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841"/>
        <w:gridCol w:w="2988"/>
        <w:gridCol w:w="6758"/>
      </w:tblGrid>
      <w:tr w:rsidR="003D7E12" w:rsidRPr="003D7E12" w14:paraId="61917D71" w14:textId="77777777" w:rsidTr="0017492B">
        <w:trPr>
          <w:tblHeader/>
        </w:trPr>
        <w:tc>
          <w:tcPr>
            <w:tcW w:w="3936" w:type="dxa"/>
            <w:tcMar>
              <w:top w:w="28" w:type="dxa"/>
              <w:bottom w:w="28" w:type="dxa"/>
            </w:tcMar>
          </w:tcPr>
          <w:p w14:paraId="29EB9113" w14:textId="77777777" w:rsidR="009D4A02" w:rsidRDefault="009D4A02" w:rsidP="007F6A0F">
            <w:pPr>
              <w:widowControl w:val="0"/>
              <w:jc w:val="center"/>
              <w:rPr>
                <w:rFonts w:ascii="Arial" w:hAnsi="Arial" w:cs="Arial"/>
                <w:b/>
              </w:rPr>
            </w:pPr>
            <w:r>
              <w:rPr>
                <w:rFonts w:ascii="Arial" w:hAnsi="Arial" w:cs="Arial"/>
                <w:b/>
              </w:rPr>
              <w:t xml:space="preserve">DRUG, </w:t>
            </w:r>
            <w:r w:rsidR="003D7E12" w:rsidRPr="003D7E12">
              <w:rPr>
                <w:rFonts w:ascii="Arial" w:hAnsi="Arial" w:cs="Arial"/>
                <w:b/>
              </w:rPr>
              <w:t xml:space="preserve">SPONSOR, </w:t>
            </w:r>
          </w:p>
          <w:p w14:paraId="1F4C259B" w14:textId="5662DE00" w:rsidR="003D7E12" w:rsidRPr="003D7E12" w:rsidRDefault="003D7E12" w:rsidP="007F6A0F">
            <w:pPr>
              <w:widowControl w:val="0"/>
              <w:jc w:val="center"/>
              <w:rPr>
                <w:rFonts w:ascii="Arial" w:hAnsi="Arial" w:cs="Arial"/>
                <w:b/>
              </w:rPr>
            </w:pPr>
            <w:r w:rsidRPr="003D7E12">
              <w:rPr>
                <w:rFonts w:ascii="Arial" w:hAnsi="Arial" w:cs="Arial"/>
                <w:b/>
              </w:rPr>
              <w:t>TYPE OF SUBMISSION</w:t>
            </w:r>
          </w:p>
          <w:p w14:paraId="474B7F74" w14:textId="77777777" w:rsidR="003D7E12" w:rsidRPr="003D7E12" w:rsidRDefault="003D7E12" w:rsidP="007F6A0F">
            <w:pPr>
              <w:widowControl w:val="0"/>
              <w:jc w:val="center"/>
              <w:rPr>
                <w:rFonts w:ascii="Arial" w:hAnsi="Arial" w:cs="Arial"/>
                <w:snapToGrid w:val="0"/>
                <w:lang w:eastAsia="en-US"/>
              </w:rPr>
            </w:pPr>
          </w:p>
          <w:p w14:paraId="36655E4E" w14:textId="77777777" w:rsidR="003D7E12" w:rsidRPr="003D7E12" w:rsidRDefault="003D7E12" w:rsidP="007F6A0F">
            <w:pPr>
              <w:widowControl w:val="0"/>
              <w:jc w:val="center"/>
              <w:rPr>
                <w:rFonts w:ascii="Arial" w:hAnsi="Arial" w:cs="Arial"/>
                <w:b/>
              </w:rPr>
            </w:pPr>
          </w:p>
        </w:tc>
        <w:tc>
          <w:tcPr>
            <w:tcW w:w="1841" w:type="dxa"/>
            <w:tcMar>
              <w:top w:w="28" w:type="dxa"/>
              <w:bottom w:w="28" w:type="dxa"/>
            </w:tcMar>
          </w:tcPr>
          <w:p w14:paraId="69DFB604"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14:paraId="4656B5EF" w14:textId="77777777" w:rsidR="003D7E12" w:rsidRPr="003D7E12" w:rsidRDefault="003D7E12" w:rsidP="007F6A0F">
            <w:pPr>
              <w:widowControl w:val="0"/>
              <w:jc w:val="center"/>
              <w:rPr>
                <w:rFonts w:ascii="Arial" w:hAnsi="Arial" w:cs="Arial"/>
                <w:b/>
                <w:i/>
                <w:snapToGrid w:val="0"/>
                <w:lang w:eastAsia="en-US"/>
              </w:rPr>
            </w:pPr>
          </w:p>
        </w:tc>
        <w:tc>
          <w:tcPr>
            <w:tcW w:w="2988" w:type="dxa"/>
            <w:tcMar>
              <w:top w:w="28" w:type="dxa"/>
              <w:bottom w:w="28" w:type="dxa"/>
            </w:tcMar>
          </w:tcPr>
          <w:p w14:paraId="078E5CAE" w14:textId="77777777" w:rsidR="003D7E12" w:rsidRPr="003D7E12" w:rsidRDefault="003D7E12" w:rsidP="007F6A0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14:paraId="7B86444B" w14:textId="77777777" w:rsidR="003D7E12" w:rsidRPr="003D7E12" w:rsidRDefault="003D7E12" w:rsidP="007F6A0F">
            <w:pPr>
              <w:widowControl w:val="0"/>
              <w:rPr>
                <w:rFonts w:ascii="Arial" w:hAnsi="Arial" w:cs="Arial"/>
                <w:b/>
                <w:snapToGrid w:val="0"/>
                <w:lang w:eastAsia="en-US"/>
              </w:rPr>
            </w:pPr>
          </w:p>
        </w:tc>
        <w:tc>
          <w:tcPr>
            <w:tcW w:w="6758" w:type="dxa"/>
          </w:tcPr>
          <w:p w14:paraId="68F6DD37"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ED64B1" w:rsidRPr="003D7E12" w14:paraId="0E4B2636" w14:textId="77777777" w:rsidTr="00630B67">
        <w:tc>
          <w:tcPr>
            <w:tcW w:w="3936" w:type="dxa"/>
            <w:tcBorders>
              <w:top w:val="single" w:sz="4" w:space="0" w:color="auto"/>
              <w:left w:val="single" w:sz="8" w:space="0" w:color="auto"/>
              <w:bottom w:val="single" w:sz="4" w:space="0" w:color="auto"/>
              <w:right w:val="single" w:sz="4" w:space="0" w:color="auto"/>
            </w:tcBorders>
            <w:shd w:val="clear" w:color="auto" w:fill="auto"/>
            <w:tcMar>
              <w:top w:w="28" w:type="dxa"/>
              <w:bottom w:w="28" w:type="dxa"/>
            </w:tcMar>
          </w:tcPr>
          <w:p w14:paraId="25F62268" w14:textId="0C92901F" w:rsidR="00ED64B1" w:rsidRPr="00D031B1" w:rsidRDefault="00ED64B1" w:rsidP="00630B67">
            <w:pPr>
              <w:widowControl w:val="0"/>
              <w:rPr>
                <w:rFonts w:ascii="Arial" w:hAnsi="Arial" w:cs="Arial"/>
                <w:highlight w:val="yellow"/>
              </w:rPr>
            </w:pPr>
            <w:r w:rsidRPr="00D031B1">
              <w:rPr>
                <w:rFonts w:ascii="Arial" w:hAnsi="Arial" w:cs="Arial"/>
                <w:color w:val="000000"/>
                <w:szCs w:val="22"/>
              </w:rPr>
              <w:t>Update on the review of the Palliative Care Schedule and plan for consultation</w:t>
            </w:r>
          </w:p>
        </w:tc>
        <w:tc>
          <w:tcPr>
            <w:tcW w:w="1841"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36DAC31E" w14:textId="6DAFA523" w:rsidR="00ED64B1" w:rsidRPr="00D031B1" w:rsidRDefault="00ED64B1" w:rsidP="00630B67">
            <w:pPr>
              <w:widowControl w:val="0"/>
              <w:rPr>
                <w:rFonts w:ascii="Arial" w:hAnsi="Arial" w:cs="Arial"/>
                <w:b/>
                <w:snapToGrid w:val="0"/>
                <w:highlight w:val="yellow"/>
                <w:lang w:eastAsia="en-US"/>
              </w:rPr>
            </w:pPr>
            <w:r w:rsidRPr="00D031B1">
              <w:rPr>
                <w:rFonts w:ascii="Arial" w:hAnsi="Arial" w:cs="Arial"/>
                <w:color w:val="000000"/>
                <w:szCs w:val="22"/>
              </w:rPr>
              <w:t xml:space="preserve">Palliative Care </w:t>
            </w:r>
          </w:p>
        </w:tc>
        <w:tc>
          <w:tcPr>
            <w:tcW w:w="2988"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17C31D7" w14:textId="065F328B" w:rsidR="00ED64B1" w:rsidRPr="00D031B1" w:rsidRDefault="00ED64B1" w:rsidP="00630B67">
            <w:pPr>
              <w:rPr>
                <w:rFonts w:ascii="Arial" w:hAnsi="Arial" w:cs="Arial"/>
                <w:highlight w:val="yellow"/>
              </w:rPr>
            </w:pPr>
            <w:r w:rsidRPr="00D031B1">
              <w:rPr>
                <w:rFonts w:ascii="Arial" w:hAnsi="Arial" w:cs="Arial"/>
                <w:color w:val="000000"/>
                <w:szCs w:val="22"/>
              </w:rPr>
              <w:t>To update the PBAC on the progress of the review of the Palliative Care Schedule (PCS) to date and</w:t>
            </w:r>
            <w:r w:rsidRPr="00D031B1">
              <w:rPr>
                <w:rFonts w:ascii="Arial" w:hAnsi="Arial" w:cs="Arial"/>
                <w:color w:val="000000"/>
                <w:szCs w:val="22"/>
              </w:rPr>
              <w:br/>
              <w:t xml:space="preserve">seek PBAC’s agreement to the proposed approach to further targeted consultation with the Royal College of General Practitioners and Palliative Care Australia </w:t>
            </w:r>
          </w:p>
        </w:tc>
        <w:tc>
          <w:tcPr>
            <w:tcW w:w="6758" w:type="dxa"/>
            <w:tcBorders>
              <w:top w:val="single" w:sz="4" w:space="0" w:color="auto"/>
              <w:left w:val="nil"/>
              <w:bottom w:val="single" w:sz="4" w:space="0" w:color="auto"/>
              <w:right w:val="single" w:sz="8" w:space="0" w:color="auto"/>
            </w:tcBorders>
            <w:shd w:val="clear" w:color="auto" w:fill="auto"/>
          </w:tcPr>
          <w:p w14:paraId="1490B3B7" w14:textId="69CE6E73" w:rsidR="00ED64B1" w:rsidRPr="00D031B1" w:rsidRDefault="00ED64B1" w:rsidP="00630B67">
            <w:pPr>
              <w:widowControl w:val="0"/>
              <w:rPr>
                <w:rFonts w:ascii="Arial" w:hAnsi="Arial" w:cs="Arial"/>
                <w:highlight w:val="yellow"/>
              </w:rPr>
            </w:pPr>
            <w:r w:rsidRPr="00D031B1">
              <w:rPr>
                <w:rFonts w:ascii="Arial" w:hAnsi="Arial" w:cs="Arial"/>
                <w:color w:val="000000"/>
                <w:szCs w:val="22"/>
              </w:rPr>
              <w:t xml:space="preserve">The PBAC noted the work undertaken on the review of the PCS to date. The PBAC acknowledged previous correspondence from stakeholders on the PCS and considered that further targeted consultation with key stakeholder organisations, the Royal College of General Practitioners and Palliative Care Australia should be undertaken to seek </w:t>
            </w:r>
            <w:r w:rsidR="00D031B1" w:rsidRPr="00D031B1">
              <w:rPr>
                <w:rFonts w:ascii="Arial" w:hAnsi="Arial" w:cs="Arial"/>
                <w:color w:val="000000"/>
                <w:szCs w:val="22"/>
              </w:rPr>
              <w:t>their current views in relation</w:t>
            </w:r>
            <w:r w:rsidRPr="00D031B1">
              <w:rPr>
                <w:rFonts w:ascii="Arial" w:hAnsi="Arial" w:cs="Arial"/>
                <w:color w:val="000000"/>
                <w:szCs w:val="22"/>
              </w:rPr>
              <w:t xml:space="preserve"> to the PCS and the individual medicine listings it contains given recent changes to opioid listings.  The PBAC noted that the outcome of the stakeholder consultation and the internal review will be presented to PBAC for its consideration and subsequent advice to the Minister. </w:t>
            </w:r>
          </w:p>
        </w:tc>
      </w:tr>
      <w:tr w:rsidR="00ED64B1" w:rsidRPr="003D7E12" w14:paraId="75661059" w14:textId="77777777" w:rsidTr="00630B67">
        <w:tc>
          <w:tcPr>
            <w:tcW w:w="3936" w:type="dxa"/>
            <w:tcBorders>
              <w:top w:val="single" w:sz="4" w:space="0" w:color="auto"/>
              <w:left w:val="single" w:sz="8" w:space="0" w:color="auto"/>
              <w:bottom w:val="single" w:sz="4" w:space="0" w:color="auto"/>
              <w:right w:val="single" w:sz="4" w:space="0" w:color="auto"/>
            </w:tcBorders>
            <w:shd w:val="clear" w:color="auto" w:fill="auto"/>
            <w:tcMar>
              <w:top w:w="28" w:type="dxa"/>
              <w:bottom w:w="28" w:type="dxa"/>
            </w:tcMar>
          </w:tcPr>
          <w:p w14:paraId="3BE5A5E9" w14:textId="7ADD24A2" w:rsidR="00ED64B1" w:rsidRPr="00D031B1" w:rsidRDefault="00ED64B1" w:rsidP="00630B67">
            <w:pPr>
              <w:widowControl w:val="0"/>
              <w:rPr>
                <w:rFonts w:ascii="Arial" w:hAnsi="Arial" w:cs="Arial"/>
                <w:highlight w:val="yellow"/>
              </w:rPr>
            </w:pPr>
            <w:r w:rsidRPr="00D031B1">
              <w:rPr>
                <w:rFonts w:ascii="Arial" w:hAnsi="Arial" w:cs="Arial"/>
                <w:color w:val="000000"/>
                <w:szCs w:val="22"/>
              </w:rPr>
              <w:t xml:space="preserve">Consideration for an Appendix to the PBAC Guidelines relating to tumour biomarker guided site agnostic therapies  </w:t>
            </w:r>
          </w:p>
        </w:tc>
        <w:tc>
          <w:tcPr>
            <w:tcW w:w="1841"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741AB8ED" w14:textId="10D35596" w:rsidR="00ED64B1" w:rsidRPr="00D031B1" w:rsidRDefault="00ED64B1" w:rsidP="00630B67">
            <w:pPr>
              <w:widowControl w:val="0"/>
              <w:rPr>
                <w:rFonts w:ascii="Arial" w:hAnsi="Arial" w:cs="Arial"/>
                <w:b/>
                <w:snapToGrid w:val="0"/>
                <w:highlight w:val="yellow"/>
                <w:lang w:eastAsia="en-US"/>
              </w:rPr>
            </w:pPr>
            <w:r w:rsidRPr="00D031B1">
              <w:rPr>
                <w:rFonts w:ascii="Arial" w:hAnsi="Arial" w:cs="Arial"/>
                <w:color w:val="000000"/>
                <w:szCs w:val="22"/>
              </w:rPr>
              <w:t>Various</w:t>
            </w:r>
          </w:p>
        </w:tc>
        <w:tc>
          <w:tcPr>
            <w:tcW w:w="2988"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403561C5" w14:textId="7EC70254" w:rsidR="00ED64B1" w:rsidRPr="00D031B1" w:rsidRDefault="00ED64B1" w:rsidP="00A96B0A">
            <w:pPr>
              <w:rPr>
                <w:rFonts w:ascii="Arial" w:hAnsi="Arial" w:cs="Arial"/>
                <w:highlight w:val="yellow"/>
              </w:rPr>
            </w:pPr>
            <w:r w:rsidRPr="00D031B1">
              <w:rPr>
                <w:rFonts w:ascii="Arial" w:hAnsi="Arial" w:cs="Arial"/>
                <w:color w:val="000000"/>
                <w:szCs w:val="22"/>
              </w:rPr>
              <w:t>To consider the development of an Appendix to the existing PBAC guidelines to provide applicants with additional guidance on the issues that would require consideration in PBAC submissions for tumour biomarker</w:t>
            </w:r>
            <w:bookmarkStart w:id="0" w:name="_GoBack"/>
            <w:r w:rsidR="00A96B0A">
              <w:rPr>
                <w:rFonts w:ascii="Arial" w:hAnsi="Arial" w:cs="Arial"/>
                <w:color w:val="000000"/>
                <w:szCs w:val="22"/>
              </w:rPr>
              <w:noBreakHyphen/>
            </w:r>
            <w:bookmarkEnd w:id="0"/>
            <w:r w:rsidRPr="00D031B1">
              <w:rPr>
                <w:rFonts w:ascii="Arial" w:hAnsi="Arial" w:cs="Arial"/>
                <w:color w:val="000000"/>
                <w:szCs w:val="22"/>
              </w:rPr>
              <w:t>guided site</w:t>
            </w:r>
            <w:r w:rsidR="00A96B0A">
              <w:rPr>
                <w:rFonts w:ascii="Arial" w:hAnsi="Arial" w:cs="Arial"/>
                <w:color w:val="000000"/>
                <w:szCs w:val="22"/>
              </w:rPr>
              <w:noBreakHyphen/>
            </w:r>
            <w:r w:rsidRPr="00D031B1">
              <w:rPr>
                <w:rFonts w:ascii="Arial" w:hAnsi="Arial" w:cs="Arial"/>
                <w:color w:val="000000"/>
                <w:szCs w:val="22"/>
              </w:rPr>
              <w:t xml:space="preserve">agnostic therapies. </w:t>
            </w:r>
          </w:p>
        </w:tc>
        <w:tc>
          <w:tcPr>
            <w:tcW w:w="6758" w:type="dxa"/>
            <w:tcBorders>
              <w:top w:val="single" w:sz="4" w:space="0" w:color="auto"/>
              <w:left w:val="nil"/>
              <w:bottom w:val="single" w:sz="4" w:space="0" w:color="auto"/>
              <w:right w:val="single" w:sz="8" w:space="0" w:color="auto"/>
            </w:tcBorders>
            <w:shd w:val="clear" w:color="auto" w:fill="auto"/>
          </w:tcPr>
          <w:p w14:paraId="6DECF8E8" w14:textId="0C658EE0" w:rsidR="00ED64B1" w:rsidRDefault="00ED64B1" w:rsidP="00630B67">
            <w:pPr>
              <w:widowControl w:val="0"/>
              <w:rPr>
                <w:rFonts w:ascii="Arial" w:hAnsi="Arial" w:cs="Arial"/>
                <w:color w:val="000000"/>
                <w:szCs w:val="22"/>
              </w:rPr>
            </w:pPr>
            <w:r w:rsidRPr="00D031B1">
              <w:rPr>
                <w:rFonts w:ascii="Arial" w:hAnsi="Arial" w:cs="Arial"/>
                <w:color w:val="000000"/>
                <w:szCs w:val="22"/>
              </w:rPr>
              <w:t>The PBAC noted the March 2019 correspondence from the Minister requesting a range of activities in relation to subsidised access to medicines for multiple cancer indications on the PBS. This included a request that the Department support the PBAC in its work to develop an Appendix to the PBAC Guidelines to provide information on possible approaches to multi-indication submissions within the existing legislative framework.</w:t>
            </w:r>
            <w:r w:rsidRPr="00D031B1">
              <w:rPr>
                <w:rFonts w:ascii="Arial" w:hAnsi="Arial" w:cs="Arial"/>
                <w:color w:val="000000"/>
                <w:szCs w:val="22"/>
              </w:rPr>
              <w:br/>
            </w:r>
            <w:r w:rsidRPr="00D031B1">
              <w:rPr>
                <w:rFonts w:ascii="Arial" w:hAnsi="Arial" w:cs="Arial"/>
                <w:color w:val="000000"/>
                <w:szCs w:val="22"/>
              </w:rPr>
              <w:br/>
              <w:t>The PBAC considered that a high level Appendix to its existing guidelines would be appropriate to provide applicants with additional guidance on the issues that would require consideration in PBAC submissions for tumour biomarker</w:t>
            </w:r>
            <w:r w:rsidR="00A96B0A">
              <w:rPr>
                <w:rFonts w:ascii="Arial" w:hAnsi="Arial" w:cs="Arial"/>
                <w:color w:val="000000"/>
                <w:szCs w:val="22"/>
              </w:rPr>
              <w:noBreakHyphen/>
            </w:r>
            <w:r w:rsidRPr="00D031B1">
              <w:rPr>
                <w:rFonts w:ascii="Arial" w:hAnsi="Arial" w:cs="Arial"/>
                <w:color w:val="000000"/>
                <w:szCs w:val="22"/>
              </w:rPr>
              <w:t>guided site</w:t>
            </w:r>
            <w:r w:rsidR="00A96B0A">
              <w:rPr>
                <w:rFonts w:ascii="Arial" w:hAnsi="Arial" w:cs="Arial"/>
                <w:color w:val="000000"/>
                <w:szCs w:val="22"/>
              </w:rPr>
              <w:noBreakHyphen/>
            </w:r>
            <w:r w:rsidRPr="00D031B1">
              <w:rPr>
                <w:rFonts w:ascii="Arial" w:hAnsi="Arial" w:cs="Arial"/>
                <w:color w:val="000000"/>
                <w:szCs w:val="22"/>
              </w:rPr>
              <w:t>agnostic therapies. The PBAC anticipated that a number of submissions for tumour biomarker</w:t>
            </w:r>
            <w:r w:rsidR="00A96B0A">
              <w:rPr>
                <w:rFonts w:ascii="Arial" w:hAnsi="Arial" w:cs="Arial"/>
                <w:color w:val="000000"/>
                <w:szCs w:val="22"/>
              </w:rPr>
              <w:t> </w:t>
            </w:r>
            <w:r w:rsidRPr="00D031B1">
              <w:rPr>
                <w:rFonts w:ascii="Arial" w:hAnsi="Arial" w:cs="Arial"/>
                <w:color w:val="000000"/>
                <w:szCs w:val="22"/>
              </w:rPr>
              <w:t>guided site</w:t>
            </w:r>
            <w:r w:rsidR="00A96B0A">
              <w:rPr>
                <w:rFonts w:ascii="Arial" w:hAnsi="Arial" w:cs="Arial"/>
                <w:color w:val="000000"/>
                <w:szCs w:val="22"/>
              </w:rPr>
              <w:noBreakHyphen/>
            </w:r>
            <w:r w:rsidRPr="00D031B1">
              <w:rPr>
                <w:rFonts w:ascii="Arial" w:hAnsi="Arial" w:cs="Arial"/>
                <w:color w:val="000000"/>
                <w:szCs w:val="22"/>
              </w:rPr>
              <w:t>agnostic therapies will be forthcoming, noting that some tumour-agnostic therapies have received overseas regulatory approval and a number of tumour biomarkers were currently being investigated for targeted therapies. The PBAC maintained its 2018 advice to the Minister that its preferred position is not to implicitly or explicitly endorse an approach which preferences recommendations for medicines (or a particular class of medicines) for one disease or sub-set of diseases over other equally devastating diseases. The PBAC advised that the Appendix should make clear that the evidence requirements for tumour biomarker</w:t>
            </w:r>
            <w:r w:rsidR="00A96B0A">
              <w:rPr>
                <w:rFonts w:ascii="Arial" w:hAnsi="Arial" w:cs="Arial"/>
                <w:color w:val="000000"/>
                <w:szCs w:val="22"/>
              </w:rPr>
              <w:noBreakHyphen/>
            </w:r>
            <w:r w:rsidRPr="00D031B1">
              <w:rPr>
                <w:rFonts w:ascii="Arial" w:hAnsi="Arial" w:cs="Arial"/>
                <w:color w:val="000000"/>
                <w:szCs w:val="22"/>
              </w:rPr>
              <w:t>guided site</w:t>
            </w:r>
            <w:r w:rsidR="00A96B0A">
              <w:rPr>
                <w:rFonts w:ascii="Arial" w:hAnsi="Arial" w:cs="Arial"/>
                <w:color w:val="000000"/>
                <w:szCs w:val="22"/>
              </w:rPr>
              <w:t> </w:t>
            </w:r>
            <w:r w:rsidRPr="00D031B1">
              <w:rPr>
                <w:rFonts w:ascii="Arial" w:hAnsi="Arial" w:cs="Arial"/>
                <w:color w:val="000000"/>
                <w:szCs w:val="22"/>
              </w:rPr>
              <w:t>agnostic therapies would be no different to that for other medicines considered in the current PBS system and that the existing legislative and policy framework for PBAC decision-making would still apply to these therapies.</w:t>
            </w:r>
          </w:p>
          <w:p w14:paraId="5AF49E34" w14:textId="3B13493A" w:rsidR="00D031B1" w:rsidRPr="00D031B1" w:rsidRDefault="00D031B1" w:rsidP="00630B67">
            <w:pPr>
              <w:widowControl w:val="0"/>
              <w:rPr>
                <w:rFonts w:ascii="Arial" w:hAnsi="Arial" w:cs="Arial"/>
                <w:highlight w:val="yellow"/>
              </w:rPr>
            </w:pPr>
          </w:p>
        </w:tc>
      </w:tr>
      <w:tr w:rsidR="00D031B1" w:rsidRPr="003D7E12" w14:paraId="0C7EED17" w14:textId="77777777" w:rsidTr="00630B67">
        <w:tc>
          <w:tcPr>
            <w:tcW w:w="3936" w:type="dxa"/>
            <w:tcBorders>
              <w:top w:val="single" w:sz="4" w:space="0" w:color="auto"/>
              <w:left w:val="single" w:sz="8" w:space="0" w:color="auto"/>
              <w:bottom w:val="single" w:sz="4" w:space="0" w:color="auto"/>
              <w:right w:val="single" w:sz="4" w:space="0" w:color="auto"/>
            </w:tcBorders>
            <w:shd w:val="clear" w:color="auto" w:fill="auto"/>
            <w:tcMar>
              <w:top w:w="28" w:type="dxa"/>
              <w:bottom w:w="28" w:type="dxa"/>
            </w:tcMar>
          </w:tcPr>
          <w:p w14:paraId="5F093378" w14:textId="7311E7BD" w:rsidR="00D031B1" w:rsidRPr="00D031B1" w:rsidRDefault="00D031B1" w:rsidP="00630B67">
            <w:pPr>
              <w:widowControl w:val="0"/>
              <w:rPr>
                <w:rFonts w:ascii="Arial" w:hAnsi="Arial" w:cs="Arial"/>
                <w:highlight w:val="yellow"/>
              </w:rPr>
            </w:pPr>
            <w:r w:rsidRPr="00D031B1">
              <w:rPr>
                <w:rFonts w:ascii="Arial" w:hAnsi="Arial" w:cs="Arial"/>
                <w:color w:val="000000"/>
                <w:szCs w:val="22"/>
              </w:rPr>
              <w:lastRenderedPageBreak/>
              <w:t>Age restrictions on inhaled corticosteroid (ICS) + long-acting beta2 agonist (LABA) fixed dose combination products</w:t>
            </w:r>
          </w:p>
        </w:tc>
        <w:tc>
          <w:tcPr>
            <w:tcW w:w="1841"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7F087E39" w14:textId="10F42CA2" w:rsidR="00D031B1" w:rsidRPr="00D031B1" w:rsidRDefault="00D031B1" w:rsidP="00630B67">
            <w:pPr>
              <w:widowControl w:val="0"/>
              <w:rPr>
                <w:rFonts w:ascii="Arial" w:hAnsi="Arial" w:cs="Arial"/>
                <w:b/>
                <w:snapToGrid w:val="0"/>
                <w:highlight w:val="yellow"/>
                <w:lang w:eastAsia="en-US"/>
              </w:rPr>
            </w:pPr>
            <w:r w:rsidRPr="00D031B1">
              <w:rPr>
                <w:rFonts w:ascii="Arial" w:hAnsi="Arial" w:cs="Arial"/>
                <w:color w:val="000000"/>
                <w:szCs w:val="22"/>
              </w:rPr>
              <w:t>Asthma</w:t>
            </w:r>
          </w:p>
        </w:tc>
        <w:tc>
          <w:tcPr>
            <w:tcW w:w="2988"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03DF45AD" w14:textId="0260F6C8" w:rsidR="00D031B1" w:rsidRPr="00D031B1" w:rsidRDefault="00D031B1" w:rsidP="00630B67">
            <w:pPr>
              <w:rPr>
                <w:rFonts w:ascii="Arial" w:hAnsi="Arial" w:cs="Arial"/>
                <w:highlight w:val="yellow"/>
              </w:rPr>
            </w:pPr>
            <w:r w:rsidRPr="00D031B1">
              <w:rPr>
                <w:rFonts w:ascii="Arial" w:hAnsi="Arial" w:cs="Arial"/>
                <w:color w:val="000000"/>
                <w:szCs w:val="22"/>
              </w:rPr>
              <w:t>For the PBAC to consider the outstanding matters of concern regarding its December 2019 recommendation for new PBS listings of ICS+LABA FDC products for children &lt;12 years who have failed with fluticasone propionate + salmeterol.</w:t>
            </w:r>
          </w:p>
        </w:tc>
        <w:tc>
          <w:tcPr>
            <w:tcW w:w="6758" w:type="dxa"/>
            <w:tcBorders>
              <w:top w:val="single" w:sz="4" w:space="0" w:color="auto"/>
              <w:left w:val="nil"/>
              <w:bottom w:val="single" w:sz="4" w:space="0" w:color="auto"/>
              <w:right w:val="single" w:sz="8" w:space="0" w:color="auto"/>
            </w:tcBorders>
            <w:shd w:val="clear" w:color="auto" w:fill="auto"/>
          </w:tcPr>
          <w:p w14:paraId="27809FCB" w14:textId="6045A915" w:rsidR="00D031B1" w:rsidRPr="00D031B1" w:rsidRDefault="00D031B1" w:rsidP="00420F9A">
            <w:pPr>
              <w:widowControl w:val="0"/>
              <w:rPr>
                <w:rFonts w:ascii="Arial" w:hAnsi="Arial" w:cs="Arial"/>
                <w:highlight w:val="yellow"/>
              </w:rPr>
            </w:pPr>
            <w:r w:rsidRPr="00D031B1">
              <w:rPr>
                <w:rFonts w:ascii="Arial" w:hAnsi="Arial" w:cs="Arial"/>
                <w:color w:val="000000"/>
                <w:szCs w:val="22"/>
              </w:rPr>
              <w:t xml:space="preserve">The PBAC clarified the intention of its December 2019 recommendation in relation to the appropriate use of inhaled corticosteroid (ICS) + long-acting beta agonist (LABA) fixed dose combination (FDC) products in children under the age of 12 who have experienced fluticasone propionate + salmeterol failure. </w:t>
            </w:r>
            <w:r w:rsidRPr="00D031B1">
              <w:rPr>
                <w:rFonts w:ascii="Arial" w:hAnsi="Arial" w:cs="Arial"/>
                <w:color w:val="000000"/>
                <w:szCs w:val="22"/>
              </w:rPr>
              <w:br/>
              <w:t>The PBAC affirmed its December 2019 recommendation for separ</w:t>
            </w:r>
            <w:r w:rsidR="00420F9A">
              <w:rPr>
                <w:rFonts w:ascii="Arial" w:hAnsi="Arial" w:cs="Arial"/>
                <w:color w:val="000000"/>
                <w:szCs w:val="22"/>
              </w:rPr>
              <w:t>ate</w:t>
            </w:r>
            <w:r w:rsidRPr="00D031B1">
              <w:rPr>
                <w:rFonts w:ascii="Arial" w:hAnsi="Arial" w:cs="Arial"/>
                <w:color w:val="000000"/>
                <w:szCs w:val="22"/>
              </w:rPr>
              <w:t xml:space="preserve"> Authority Required (STREAMLINED) listings for all budesonide + formoterol FDC products (except the 400/12 mcg strength) that are silent on age and restrict use to </w:t>
            </w:r>
            <w:r w:rsidR="00420F9A">
              <w:rPr>
                <w:rFonts w:ascii="Arial" w:hAnsi="Arial" w:cs="Arial"/>
                <w:color w:val="000000"/>
                <w:szCs w:val="22"/>
              </w:rPr>
              <w:t>patients</w:t>
            </w:r>
            <w:r w:rsidRPr="00D031B1">
              <w:rPr>
                <w:rFonts w:ascii="Arial" w:hAnsi="Arial" w:cs="Arial"/>
                <w:color w:val="000000"/>
                <w:szCs w:val="22"/>
              </w:rPr>
              <w:t xml:space="preserve"> who have failed fluticasone propionate + salmeterol. The PBAC reaffirmed its previous recommendation that prescribing for these second-line listings would be limited to respiratory specialists and paediatricians.</w:t>
            </w:r>
            <w:r w:rsidRPr="00D031B1">
              <w:rPr>
                <w:rFonts w:ascii="Arial" w:hAnsi="Arial" w:cs="Arial"/>
                <w:color w:val="000000"/>
                <w:szCs w:val="22"/>
              </w:rPr>
              <w:br/>
              <w:t xml:space="preserve">The PBAC considered that this would provide an alternative treatment for a small population of children under the age of 12 who have failed to respond to fluticasone propionate + salmeterol. The PBAC considered that these new listings should not be extended to other ICS+LABA FDC products given the lack of clinical evidence on use of these products in this paediatric population. </w:t>
            </w:r>
          </w:p>
        </w:tc>
      </w:tr>
      <w:tr w:rsidR="00D031B1" w:rsidRPr="003D7E12" w14:paraId="45D8FCDE" w14:textId="77777777" w:rsidTr="00630B67">
        <w:tc>
          <w:tcPr>
            <w:tcW w:w="3936" w:type="dxa"/>
            <w:tcBorders>
              <w:top w:val="single" w:sz="4" w:space="0" w:color="auto"/>
              <w:left w:val="single" w:sz="8" w:space="0" w:color="auto"/>
              <w:bottom w:val="single" w:sz="4" w:space="0" w:color="auto"/>
              <w:right w:val="single" w:sz="4" w:space="0" w:color="auto"/>
            </w:tcBorders>
            <w:shd w:val="clear" w:color="auto" w:fill="auto"/>
            <w:tcMar>
              <w:top w:w="28" w:type="dxa"/>
              <w:bottom w:w="28" w:type="dxa"/>
            </w:tcMar>
          </w:tcPr>
          <w:p w14:paraId="7D171E4A" w14:textId="77777777" w:rsidR="00D031B1" w:rsidRDefault="00D031B1" w:rsidP="00630B67">
            <w:pPr>
              <w:widowControl w:val="0"/>
              <w:rPr>
                <w:rFonts w:ascii="Arial" w:hAnsi="Arial" w:cs="Arial"/>
                <w:color w:val="000000"/>
                <w:szCs w:val="22"/>
              </w:rPr>
            </w:pPr>
            <w:r w:rsidRPr="00D031B1">
              <w:rPr>
                <w:rFonts w:ascii="Arial" w:hAnsi="Arial" w:cs="Arial"/>
                <w:color w:val="000000"/>
                <w:szCs w:val="22"/>
              </w:rPr>
              <w:t>SOMATROPIN</w:t>
            </w:r>
            <w:r w:rsidRPr="00D031B1">
              <w:rPr>
                <w:rFonts w:ascii="Arial" w:hAnsi="Arial" w:cs="Arial"/>
                <w:color w:val="000000"/>
                <w:szCs w:val="22"/>
              </w:rPr>
              <w:br/>
            </w:r>
            <w:r w:rsidRPr="00D031B1">
              <w:rPr>
                <w:rFonts w:ascii="Arial" w:hAnsi="Arial" w:cs="Arial"/>
                <w:color w:val="000000"/>
                <w:szCs w:val="22"/>
              </w:rPr>
              <w:br/>
              <w:t>Various forms and brands</w:t>
            </w:r>
          </w:p>
          <w:p w14:paraId="6775693E" w14:textId="77777777" w:rsidR="00D031B1" w:rsidRDefault="00D031B1" w:rsidP="00630B67">
            <w:pPr>
              <w:widowControl w:val="0"/>
              <w:rPr>
                <w:rFonts w:ascii="Arial" w:hAnsi="Arial" w:cs="Arial"/>
                <w:color w:val="000000"/>
                <w:szCs w:val="22"/>
              </w:rPr>
            </w:pPr>
          </w:p>
          <w:p w14:paraId="4F9D167A" w14:textId="4350B59C" w:rsidR="00D031B1" w:rsidRPr="00ED64B1" w:rsidRDefault="00D031B1" w:rsidP="00630B67">
            <w:pPr>
              <w:widowControl w:val="0"/>
              <w:rPr>
                <w:rFonts w:ascii="Arial" w:hAnsi="Arial" w:cs="Arial"/>
                <w:highlight w:val="yellow"/>
              </w:rPr>
            </w:pPr>
            <w:r>
              <w:rPr>
                <w:rFonts w:ascii="Arial" w:hAnsi="Arial" w:cs="Arial"/>
                <w:color w:val="000000"/>
                <w:szCs w:val="22"/>
              </w:rPr>
              <w:t xml:space="preserve">Endocrine Society of Australia </w:t>
            </w:r>
            <w:r w:rsidRPr="00D031B1">
              <w:rPr>
                <w:rFonts w:ascii="Arial" w:hAnsi="Arial" w:cs="Arial"/>
                <w:color w:val="000000"/>
                <w:szCs w:val="22"/>
              </w:rPr>
              <w:t xml:space="preserve"> </w:t>
            </w:r>
          </w:p>
        </w:tc>
        <w:tc>
          <w:tcPr>
            <w:tcW w:w="1841"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5874251B" w14:textId="5E9DC545" w:rsidR="00D031B1" w:rsidRPr="00ED64B1" w:rsidRDefault="00D031B1" w:rsidP="00630B67">
            <w:pPr>
              <w:widowControl w:val="0"/>
              <w:rPr>
                <w:rFonts w:ascii="Arial" w:hAnsi="Arial" w:cs="Arial"/>
                <w:b/>
                <w:snapToGrid w:val="0"/>
                <w:highlight w:val="yellow"/>
                <w:lang w:eastAsia="en-US"/>
              </w:rPr>
            </w:pPr>
            <w:r w:rsidRPr="00D031B1">
              <w:rPr>
                <w:rFonts w:ascii="Arial" w:hAnsi="Arial" w:cs="Arial"/>
                <w:color w:val="000000"/>
                <w:szCs w:val="22"/>
              </w:rPr>
              <w:t>Severe growth hormone deficiency (GHD)</w:t>
            </w:r>
          </w:p>
        </w:tc>
        <w:tc>
          <w:tcPr>
            <w:tcW w:w="2988"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7AC05C6A" w14:textId="65A5C92C" w:rsidR="00D031B1" w:rsidRPr="00ED64B1" w:rsidRDefault="00D031B1" w:rsidP="00630B67">
            <w:pPr>
              <w:rPr>
                <w:rFonts w:ascii="Arial" w:hAnsi="Arial" w:cs="Arial"/>
                <w:highlight w:val="yellow"/>
              </w:rPr>
            </w:pPr>
            <w:r w:rsidRPr="00D031B1">
              <w:rPr>
                <w:rFonts w:ascii="Arial" w:hAnsi="Arial" w:cs="Arial"/>
                <w:color w:val="000000"/>
                <w:szCs w:val="22"/>
              </w:rPr>
              <w:t>To consider the request from the Endocrine Society of Australia in relation to changing the current somatropin restrictions to allow growth hormone dose reduction  for patients with demonstrated GHD with an elevated IGF-1 level without treatment interruption.</w:t>
            </w:r>
          </w:p>
        </w:tc>
        <w:tc>
          <w:tcPr>
            <w:tcW w:w="6758" w:type="dxa"/>
          </w:tcPr>
          <w:p w14:paraId="40A64605" w14:textId="4BAFF4EA" w:rsidR="00D031B1" w:rsidRPr="00ED64B1" w:rsidRDefault="00D031B1" w:rsidP="00630B67">
            <w:pPr>
              <w:widowControl w:val="0"/>
              <w:rPr>
                <w:rFonts w:ascii="Arial" w:hAnsi="Arial" w:cs="Arial"/>
                <w:highlight w:val="yellow"/>
              </w:rPr>
            </w:pPr>
            <w:r w:rsidRPr="00D031B1">
              <w:rPr>
                <w:rFonts w:ascii="Arial" w:hAnsi="Arial" w:cs="Arial"/>
                <w:color w:val="000000"/>
                <w:szCs w:val="22"/>
              </w:rPr>
              <w:t>The PBAC recommended amending the current somatropin restrictions so that patients would be eligible for continuing treatment with somatropin for severe GHD, irrespective of IGF-1 level, provided that the continuing treatment is prescribed by an endocrinologist. The PBAC considered that growth hormone replacement therapy should only be prescribed by an endocrinologist.</w:t>
            </w:r>
          </w:p>
        </w:tc>
      </w:tr>
      <w:tr w:rsidR="00D031B1" w:rsidRPr="003D7E12" w14:paraId="3841E555" w14:textId="77777777" w:rsidTr="00630B67">
        <w:tc>
          <w:tcPr>
            <w:tcW w:w="3936" w:type="dxa"/>
            <w:tcBorders>
              <w:top w:val="single" w:sz="4" w:space="0" w:color="auto"/>
              <w:left w:val="single" w:sz="8" w:space="0" w:color="auto"/>
              <w:bottom w:val="single" w:sz="4" w:space="0" w:color="auto"/>
              <w:right w:val="single" w:sz="4" w:space="0" w:color="auto"/>
            </w:tcBorders>
            <w:shd w:val="clear" w:color="auto" w:fill="auto"/>
            <w:tcMar>
              <w:top w:w="28" w:type="dxa"/>
              <w:bottom w:w="28" w:type="dxa"/>
            </w:tcMar>
          </w:tcPr>
          <w:p w14:paraId="5B9E9C81" w14:textId="77777777" w:rsidR="00D031B1" w:rsidRDefault="00D031B1" w:rsidP="00630B67">
            <w:pPr>
              <w:widowControl w:val="0"/>
              <w:rPr>
                <w:rFonts w:ascii="Arial" w:hAnsi="Arial" w:cs="Arial"/>
                <w:color w:val="000000"/>
                <w:szCs w:val="22"/>
              </w:rPr>
            </w:pPr>
            <w:r w:rsidRPr="00D031B1">
              <w:rPr>
                <w:rFonts w:ascii="Arial" w:hAnsi="Arial" w:cs="Arial"/>
                <w:color w:val="000000"/>
                <w:szCs w:val="22"/>
              </w:rPr>
              <w:t>TERBINAFINE</w:t>
            </w:r>
            <w:r w:rsidRPr="00D031B1">
              <w:rPr>
                <w:rFonts w:ascii="Arial" w:hAnsi="Arial" w:cs="Arial"/>
                <w:color w:val="000000"/>
                <w:szCs w:val="22"/>
              </w:rPr>
              <w:br/>
            </w:r>
            <w:r w:rsidRPr="00D031B1">
              <w:rPr>
                <w:rFonts w:ascii="Arial" w:hAnsi="Arial" w:cs="Arial"/>
                <w:color w:val="000000"/>
                <w:szCs w:val="22"/>
              </w:rPr>
              <w:br/>
              <w:t>Tablet 250 mg (as hydrochloride)</w:t>
            </w:r>
            <w:r w:rsidRPr="00D031B1">
              <w:rPr>
                <w:rFonts w:ascii="Arial" w:hAnsi="Arial" w:cs="Arial"/>
                <w:color w:val="000000"/>
                <w:szCs w:val="22"/>
              </w:rPr>
              <w:br/>
            </w:r>
            <w:r w:rsidRPr="00D031B1">
              <w:rPr>
                <w:rFonts w:ascii="Arial" w:hAnsi="Arial" w:cs="Arial"/>
                <w:color w:val="000000"/>
                <w:szCs w:val="22"/>
              </w:rPr>
              <w:br/>
              <w:t>All brands</w:t>
            </w:r>
          </w:p>
          <w:p w14:paraId="6EE6DB00" w14:textId="77777777" w:rsidR="00D031B1" w:rsidRDefault="00D031B1" w:rsidP="00630B67">
            <w:pPr>
              <w:widowControl w:val="0"/>
              <w:rPr>
                <w:rFonts w:ascii="Arial" w:hAnsi="Arial" w:cs="Arial"/>
                <w:color w:val="000000"/>
                <w:szCs w:val="22"/>
              </w:rPr>
            </w:pPr>
          </w:p>
          <w:p w14:paraId="7BF1902A" w14:textId="7637A70F" w:rsidR="00D031B1" w:rsidRPr="00D031B1" w:rsidRDefault="00D031B1" w:rsidP="00630B67">
            <w:pPr>
              <w:widowControl w:val="0"/>
              <w:rPr>
                <w:rFonts w:ascii="Arial" w:hAnsi="Arial" w:cs="Arial"/>
                <w:color w:val="000000"/>
                <w:szCs w:val="22"/>
              </w:rPr>
            </w:pPr>
            <w:r>
              <w:rPr>
                <w:rFonts w:ascii="Arial" w:hAnsi="Arial" w:cs="Arial"/>
                <w:color w:val="000000"/>
                <w:szCs w:val="22"/>
              </w:rPr>
              <w:t xml:space="preserve">Royal College of Pathologists of Australasia </w:t>
            </w:r>
            <w:r w:rsidRPr="00D031B1">
              <w:rPr>
                <w:rFonts w:ascii="Arial" w:hAnsi="Arial" w:cs="Arial"/>
                <w:color w:val="000000"/>
                <w:szCs w:val="22"/>
              </w:rPr>
              <w:br/>
            </w:r>
          </w:p>
        </w:tc>
        <w:tc>
          <w:tcPr>
            <w:tcW w:w="1841"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7D34A02D" w14:textId="5043F119" w:rsidR="00D031B1" w:rsidRPr="00D031B1" w:rsidRDefault="00D031B1" w:rsidP="00630B67">
            <w:pPr>
              <w:widowControl w:val="0"/>
              <w:rPr>
                <w:rFonts w:ascii="Arial" w:hAnsi="Arial" w:cs="Arial"/>
                <w:color w:val="000000"/>
                <w:szCs w:val="22"/>
              </w:rPr>
            </w:pPr>
            <w:r w:rsidRPr="00D031B1">
              <w:rPr>
                <w:rFonts w:ascii="Arial" w:hAnsi="Arial" w:cs="Arial"/>
                <w:color w:val="000000"/>
                <w:szCs w:val="22"/>
              </w:rPr>
              <w:t>Onychomycosis</w:t>
            </w:r>
          </w:p>
        </w:tc>
        <w:tc>
          <w:tcPr>
            <w:tcW w:w="2988"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66F1E78A" w14:textId="32A77465" w:rsidR="00D031B1" w:rsidRPr="00D031B1" w:rsidRDefault="00D031B1" w:rsidP="00630B67">
            <w:pPr>
              <w:rPr>
                <w:rFonts w:ascii="Arial" w:hAnsi="Arial" w:cs="Arial"/>
                <w:color w:val="000000"/>
                <w:szCs w:val="22"/>
              </w:rPr>
            </w:pPr>
            <w:r w:rsidRPr="00D031B1">
              <w:rPr>
                <w:rFonts w:ascii="Arial" w:hAnsi="Arial" w:cs="Arial"/>
                <w:color w:val="000000"/>
                <w:szCs w:val="22"/>
              </w:rPr>
              <w:t>To consider the  request from the Royal College of Pathologists of Australasia to change to the restriction wording of terbinafine to capture all appropriate methods for confirming dematophyte infection.</w:t>
            </w:r>
          </w:p>
        </w:tc>
        <w:tc>
          <w:tcPr>
            <w:tcW w:w="6758" w:type="dxa"/>
          </w:tcPr>
          <w:p w14:paraId="694C8973" w14:textId="51256217" w:rsidR="00D031B1" w:rsidRPr="00D031B1" w:rsidRDefault="00D031B1" w:rsidP="00630B67">
            <w:pPr>
              <w:widowControl w:val="0"/>
              <w:rPr>
                <w:rFonts w:ascii="Arial" w:hAnsi="Arial" w:cs="Arial"/>
                <w:color w:val="000000"/>
                <w:szCs w:val="22"/>
              </w:rPr>
            </w:pPr>
            <w:r w:rsidRPr="00D031B1">
              <w:rPr>
                <w:rFonts w:ascii="Arial" w:hAnsi="Arial" w:cs="Arial"/>
              </w:rPr>
              <w:t>The PBAC recommended the clinical criteria relating to the diagnosis of dermatophyte infection for terbinafine 250 mg tablets for onychomycosis be changed to a single criterion of “dermatophyte infection confirmed by an Approved Pathology Provider” to ensure that all appropriate methods of diagnosis are captured.</w:t>
            </w:r>
          </w:p>
        </w:tc>
      </w:tr>
      <w:tr w:rsidR="00D031B1" w:rsidRPr="003D7E12" w14:paraId="6F2D5395" w14:textId="77777777" w:rsidTr="00630B67">
        <w:tc>
          <w:tcPr>
            <w:tcW w:w="3936" w:type="dxa"/>
            <w:tcBorders>
              <w:top w:val="single" w:sz="4" w:space="0" w:color="auto"/>
              <w:left w:val="single" w:sz="8" w:space="0" w:color="auto"/>
              <w:bottom w:val="single" w:sz="4" w:space="0" w:color="auto"/>
              <w:right w:val="single" w:sz="4" w:space="0" w:color="auto"/>
            </w:tcBorders>
            <w:shd w:val="clear" w:color="auto" w:fill="auto"/>
            <w:tcMar>
              <w:top w:w="28" w:type="dxa"/>
              <w:bottom w:w="28" w:type="dxa"/>
            </w:tcMar>
          </w:tcPr>
          <w:p w14:paraId="0F23DCE4" w14:textId="7C5882AC" w:rsidR="00D031B1" w:rsidRPr="00D031B1" w:rsidRDefault="00D031B1" w:rsidP="00630B67">
            <w:pPr>
              <w:widowControl w:val="0"/>
              <w:rPr>
                <w:rFonts w:ascii="Arial" w:hAnsi="Arial" w:cs="Arial"/>
                <w:highlight w:val="yellow"/>
              </w:rPr>
            </w:pPr>
            <w:r w:rsidRPr="00D031B1">
              <w:rPr>
                <w:rFonts w:ascii="Arial" w:hAnsi="Arial" w:cs="Arial"/>
                <w:color w:val="000000"/>
                <w:szCs w:val="22"/>
              </w:rPr>
              <w:lastRenderedPageBreak/>
              <w:t>PBS Process Improvements project update</w:t>
            </w:r>
          </w:p>
        </w:tc>
        <w:tc>
          <w:tcPr>
            <w:tcW w:w="1841"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6DDDC61B" w14:textId="6A9A0747" w:rsidR="00D031B1" w:rsidRPr="00D031B1" w:rsidRDefault="00D031B1" w:rsidP="00630B67">
            <w:pPr>
              <w:widowControl w:val="0"/>
              <w:rPr>
                <w:rFonts w:ascii="Arial" w:hAnsi="Arial" w:cs="Arial"/>
                <w:b/>
                <w:snapToGrid w:val="0"/>
                <w:highlight w:val="yellow"/>
                <w:lang w:eastAsia="en-US"/>
              </w:rPr>
            </w:pPr>
            <w:r w:rsidRPr="00D031B1">
              <w:rPr>
                <w:rFonts w:ascii="Arial" w:hAnsi="Arial" w:cs="Arial"/>
                <w:color w:val="000000"/>
                <w:szCs w:val="22"/>
              </w:rPr>
              <w:t>N/A</w:t>
            </w:r>
          </w:p>
        </w:tc>
        <w:tc>
          <w:tcPr>
            <w:tcW w:w="2988" w:type="dxa"/>
            <w:tcBorders>
              <w:top w:val="single" w:sz="4" w:space="0" w:color="auto"/>
              <w:left w:val="nil"/>
              <w:bottom w:val="single" w:sz="4" w:space="0" w:color="auto"/>
              <w:right w:val="single" w:sz="4" w:space="0" w:color="auto"/>
            </w:tcBorders>
            <w:shd w:val="clear" w:color="auto" w:fill="auto"/>
            <w:tcMar>
              <w:top w:w="28" w:type="dxa"/>
              <w:bottom w:w="28" w:type="dxa"/>
            </w:tcMar>
          </w:tcPr>
          <w:p w14:paraId="7005EB3F" w14:textId="3216264E" w:rsidR="00D031B1" w:rsidRPr="00D031B1" w:rsidRDefault="00D031B1" w:rsidP="00630B67">
            <w:pPr>
              <w:rPr>
                <w:rFonts w:ascii="Arial" w:hAnsi="Arial" w:cs="Arial"/>
                <w:highlight w:val="yellow"/>
              </w:rPr>
            </w:pPr>
            <w:r w:rsidRPr="00D031B1">
              <w:rPr>
                <w:rFonts w:ascii="Arial" w:hAnsi="Arial" w:cs="Arial"/>
                <w:color w:val="000000"/>
                <w:szCs w:val="22"/>
              </w:rPr>
              <w:t>To update the PBAC on the outcomes of the first two trials of standardised redactions of public summary documents (PSDs), provide the PBAC with the final redaction criteria for standardised redactions to PSDs for noting, and update the PBAC on the implementation timelines for standardised redactions of PSDs.</w:t>
            </w:r>
          </w:p>
        </w:tc>
        <w:tc>
          <w:tcPr>
            <w:tcW w:w="6758" w:type="dxa"/>
            <w:tcBorders>
              <w:top w:val="single" w:sz="4" w:space="0" w:color="auto"/>
              <w:left w:val="nil"/>
              <w:bottom w:val="single" w:sz="4" w:space="0" w:color="auto"/>
              <w:right w:val="single" w:sz="8" w:space="0" w:color="auto"/>
            </w:tcBorders>
            <w:shd w:val="clear" w:color="auto" w:fill="auto"/>
          </w:tcPr>
          <w:p w14:paraId="2E1ED064" w14:textId="16C84D50" w:rsidR="00D031B1" w:rsidRPr="00D031B1" w:rsidRDefault="00D031B1" w:rsidP="00630B67">
            <w:pPr>
              <w:widowControl w:val="0"/>
              <w:rPr>
                <w:rFonts w:ascii="Arial" w:hAnsi="Arial" w:cs="Arial"/>
                <w:highlight w:val="yellow"/>
              </w:rPr>
            </w:pPr>
            <w:r w:rsidRPr="00D031B1">
              <w:rPr>
                <w:rFonts w:ascii="Arial" w:hAnsi="Arial" w:cs="Arial"/>
                <w:color w:val="000000"/>
                <w:szCs w:val="22"/>
              </w:rPr>
              <w:t xml:space="preserve">The PBAC noted the update on the transparency reforms related to standardised redactions to PSDs. The PBAC noted the extensive consultation with industry over the last 12 months and the outcomes of the first two trials of standardised redactions. The PBAC endorsed the subsequent revisions to section 7.4 Procedure Guidance, and noted the Procedure Guidance and supporting guidance document has been published and made available in sufficient time for applicants intending to submit to the November 2020 PBAC meeting. </w:t>
            </w:r>
            <w:r w:rsidRPr="00D031B1">
              <w:rPr>
                <w:rFonts w:ascii="Arial" w:hAnsi="Arial" w:cs="Arial"/>
                <w:color w:val="000000"/>
                <w:szCs w:val="22"/>
              </w:rPr>
              <w:br/>
              <w:t>The PBAC noted the updates to the implementation timelines, specifically that process changes (a single opportunity to request redactions) for PSDs will be compulsory from and including July 2020 PSDs and that the standardised redaction criteria will be formally applied to all PSDs from and including November 2020 PSDs.</w:t>
            </w:r>
            <w:r w:rsidRPr="00D031B1">
              <w:rPr>
                <w:rFonts w:ascii="Arial" w:hAnsi="Arial" w:cs="Arial"/>
                <w:color w:val="000000"/>
                <w:szCs w:val="22"/>
              </w:rPr>
              <w:br/>
              <w:t xml:space="preserve">The PBAC reiterated its May 2019 advice on the importance of these transparency reforms and noted that it strongly supported minimal redactions in PSDs and would prefer all clinical information relevant to its decision making to be publically available. The PBAC also noted that these changes are strongly supported by consumers. The PBAC acknowledged residual industry concerns related to the intended changes, and that the Department has agreed that industry will monitor any unintended consequences of the changes, with an opportunity for these to be reviewed following 12 months of implementation. </w:t>
            </w:r>
          </w:p>
        </w:tc>
      </w:tr>
    </w:tbl>
    <w:p w14:paraId="74DAB237" w14:textId="2D206B48" w:rsidR="003D7E12" w:rsidRPr="009D4A02" w:rsidRDefault="003D7E12">
      <w:pPr>
        <w:tabs>
          <w:tab w:val="left" w:pos="5210"/>
        </w:tabs>
        <w:rPr>
          <w:rFonts w:ascii="Arial" w:hAnsi="Arial" w:cs="Arial"/>
          <w:lang w:val="en-US"/>
        </w:rPr>
      </w:pPr>
    </w:p>
    <w:sectPr w:rsidR="003D7E12" w:rsidRPr="009D4A02" w:rsidSect="009C43AD">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3238E9" w:rsidRDefault="003238E9">
      <w:r>
        <w:separator/>
      </w:r>
    </w:p>
  </w:endnote>
  <w:endnote w:type="continuationSeparator" w:id="0">
    <w:p w14:paraId="370559C7" w14:textId="77777777" w:rsidR="003238E9" w:rsidRDefault="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3238E9" w:rsidRDefault="003238E9"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36F9C8C" w14:textId="77777777" w:rsidR="003238E9" w:rsidRDefault="003238E9"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50BF50ED" w:rsidR="003238E9" w:rsidRPr="00CE0CBC" w:rsidRDefault="003238E9"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6346C2">
      <w:rPr>
        <w:rStyle w:val="PageNumber"/>
        <w:rFonts w:ascii="Arial" w:hAnsi="Arial" w:cs="Arial"/>
        <w:noProof/>
      </w:rPr>
      <w:t>2</w:t>
    </w:r>
    <w:r w:rsidRPr="00CE0CBC">
      <w:rPr>
        <w:rStyle w:val="PageNumber"/>
        <w:rFonts w:ascii="Arial" w:hAnsi="Arial" w:cs="Arial"/>
      </w:rPr>
      <w:fldChar w:fldCharType="end"/>
    </w:r>
  </w:p>
  <w:p w14:paraId="1013C17C" w14:textId="77777777" w:rsidR="003238E9" w:rsidRDefault="003238E9"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3238E9" w:rsidRDefault="003238E9">
      <w:r>
        <w:separator/>
      </w:r>
    </w:p>
  </w:footnote>
  <w:footnote w:type="continuationSeparator" w:id="0">
    <w:p w14:paraId="6A6DF096" w14:textId="77777777" w:rsidR="003238E9" w:rsidRDefault="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6FBB8A22" w:rsidR="003238E9" w:rsidRDefault="00F122BB" w:rsidP="007D408D">
    <w:pPr>
      <w:pStyle w:val="Header"/>
      <w:jc w:val="center"/>
      <w:rPr>
        <w:rFonts w:ascii="Arial" w:hAnsi="Arial" w:cs="Arial"/>
        <w:b/>
        <w:snapToGrid w:val="0"/>
        <w:lang w:eastAsia="en-US"/>
      </w:rPr>
    </w:pPr>
    <w:r>
      <w:rPr>
        <w:rFonts w:ascii="Arial" w:hAnsi="Arial" w:cs="Arial"/>
        <w:b/>
        <w:snapToGrid w:val="0"/>
        <w:lang w:eastAsia="en-US"/>
      </w:rPr>
      <w:t>MAY 2020</w:t>
    </w:r>
    <w:r w:rsidR="003238E9" w:rsidRPr="009D4A02">
      <w:rPr>
        <w:rFonts w:ascii="Arial" w:hAnsi="Arial" w:cs="Arial"/>
        <w:b/>
        <w:snapToGrid w:val="0"/>
        <w:lang w:eastAsia="en-US"/>
      </w:rPr>
      <w:t xml:space="preserve"> PBAC MEETING –</w:t>
    </w:r>
    <w:r w:rsidR="009D4A02" w:rsidRPr="009D4A02">
      <w:rPr>
        <w:rFonts w:ascii="Arial" w:hAnsi="Arial" w:cs="Arial"/>
        <w:b/>
        <w:snapToGrid w:val="0"/>
        <w:lang w:eastAsia="en-US"/>
      </w:rPr>
      <w:t xml:space="preserve"> </w:t>
    </w:r>
    <w:r w:rsidR="00D3305E" w:rsidRPr="009D4A02">
      <w:rPr>
        <w:rFonts w:ascii="Arial" w:hAnsi="Arial" w:cs="Arial"/>
        <w:b/>
        <w:snapToGrid w:val="0"/>
        <w:lang w:eastAsia="en-US"/>
      </w:rPr>
      <w:t>OTHER MATTERS</w:t>
    </w:r>
  </w:p>
  <w:p w14:paraId="159E4E12" w14:textId="77777777" w:rsidR="003238E9" w:rsidRDefault="003238E9"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C3C"/>
    <w:multiLevelType w:val="hybridMultilevel"/>
    <w:tmpl w:val="9DB83442"/>
    <w:lvl w:ilvl="0" w:tplc="495EF5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68209C"/>
    <w:multiLevelType w:val="hybridMultilevel"/>
    <w:tmpl w:val="BF62A0F0"/>
    <w:lvl w:ilvl="0" w:tplc="93828CB6">
      <w:start w:val="1"/>
      <w:numFmt w:val="upperRoman"/>
      <w:pStyle w:val="4bulletpoint"/>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0B05"/>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079E"/>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18A"/>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958"/>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913"/>
    <w:rsid w:val="000B59B1"/>
    <w:rsid w:val="000B5B24"/>
    <w:rsid w:val="000B6487"/>
    <w:rsid w:val="000B7071"/>
    <w:rsid w:val="000B7A91"/>
    <w:rsid w:val="000B7F45"/>
    <w:rsid w:val="000C040A"/>
    <w:rsid w:val="000C0497"/>
    <w:rsid w:val="000C059E"/>
    <w:rsid w:val="000C0E21"/>
    <w:rsid w:val="000C1863"/>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4810"/>
    <w:rsid w:val="000D5D71"/>
    <w:rsid w:val="000D5EFB"/>
    <w:rsid w:val="000D6416"/>
    <w:rsid w:val="000D744C"/>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AB9"/>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AC9"/>
    <w:rsid w:val="00140E09"/>
    <w:rsid w:val="0014101A"/>
    <w:rsid w:val="0014142D"/>
    <w:rsid w:val="0014148A"/>
    <w:rsid w:val="00141FEB"/>
    <w:rsid w:val="00142EED"/>
    <w:rsid w:val="00143743"/>
    <w:rsid w:val="001437D5"/>
    <w:rsid w:val="00143E66"/>
    <w:rsid w:val="00144BEF"/>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2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5E35"/>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330"/>
    <w:rsid w:val="00221B4C"/>
    <w:rsid w:val="002226A9"/>
    <w:rsid w:val="0022277E"/>
    <w:rsid w:val="00223034"/>
    <w:rsid w:val="00223614"/>
    <w:rsid w:val="002238E6"/>
    <w:rsid w:val="00223EB4"/>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2C1"/>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6C52"/>
    <w:rsid w:val="0027735C"/>
    <w:rsid w:val="00277572"/>
    <w:rsid w:val="00277812"/>
    <w:rsid w:val="00277BFB"/>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8E9"/>
    <w:rsid w:val="00323C12"/>
    <w:rsid w:val="00323D04"/>
    <w:rsid w:val="003243CB"/>
    <w:rsid w:val="003245FB"/>
    <w:rsid w:val="003250E2"/>
    <w:rsid w:val="0032569E"/>
    <w:rsid w:val="00326522"/>
    <w:rsid w:val="00326943"/>
    <w:rsid w:val="003270BF"/>
    <w:rsid w:val="0032767B"/>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3EBB"/>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796"/>
    <w:rsid w:val="003628AA"/>
    <w:rsid w:val="00362D37"/>
    <w:rsid w:val="00363C87"/>
    <w:rsid w:val="00363DA3"/>
    <w:rsid w:val="00364D63"/>
    <w:rsid w:val="00365105"/>
    <w:rsid w:val="0036579C"/>
    <w:rsid w:val="003657E7"/>
    <w:rsid w:val="00365E78"/>
    <w:rsid w:val="00366857"/>
    <w:rsid w:val="00366D6E"/>
    <w:rsid w:val="00370449"/>
    <w:rsid w:val="00370ADC"/>
    <w:rsid w:val="00370CFC"/>
    <w:rsid w:val="00370EE0"/>
    <w:rsid w:val="0037120F"/>
    <w:rsid w:val="003713B0"/>
    <w:rsid w:val="00371B3D"/>
    <w:rsid w:val="00372D4A"/>
    <w:rsid w:val="00372F44"/>
    <w:rsid w:val="00374102"/>
    <w:rsid w:val="00374783"/>
    <w:rsid w:val="00374BA5"/>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3F94"/>
    <w:rsid w:val="003946AC"/>
    <w:rsid w:val="00395338"/>
    <w:rsid w:val="00395600"/>
    <w:rsid w:val="00395C55"/>
    <w:rsid w:val="00397572"/>
    <w:rsid w:val="003A074E"/>
    <w:rsid w:val="003A0BC7"/>
    <w:rsid w:val="003A1C27"/>
    <w:rsid w:val="003A1CFF"/>
    <w:rsid w:val="003A23AD"/>
    <w:rsid w:val="003A2BB7"/>
    <w:rsid w:val="003A312D"/>
    <w:rsid w:val="003A42F4"/>
    <w:rsid w:val="003A42FF"/>
    <w:rsid w:val="003A4AB4"/>
    <w:rsid w:val="003A4C61"/>
    <w:rsid w:val="003A4D00"/>
    <w:rsid w:val="003A546F"/>
    <w:rsid w:val="003A565B"/>
    <w:rsid w:val="003A5684"/>
    <w:rsid w:val="003A5C29"/>
    <w:rsid w:val="003A5DEB"/>
    <w:rsid w:val="003A61D4"/>
    <w:rsid w:val="003A6240"/>
    <w:rsid w:val="003A648B"/>
    <w:rsid w:val="003A6A14"/>
    <w:rsid w:val="003A6C33"/>
    <w:rsid w:val="003A6C56"/>
    <w:rsid w:val="003A72E4"/>
    <w:rsid w:val="003A7535"/>
    <w:rsid w:val="003A7616"/>
    <w:rsid w:val="003A799B"/>
    <w:rsid w:val="003A7D18"/>
    <w:rsid w:val="003A7D99"/>
    <w:rsid w:val="003B00C2"/>
    <w:rsid w:val="003B022F"/>
    <w:rsid w:val="003B1AF6"/>
    <w:rsid w:val="003B1B75"/>
    <w:rsid w:val="003B253C"/>
    <w:rsid w:val="003B2FBC"/>
    <w:rsid w:val="003B32CC"/>
    <w:rsid w:val="003B35CB"/>
    <w:rsid w:val="003B4CB4"/>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31A"/>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5483"/>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5C8"/>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2A15"/>
    <w:rsid w:val="00413BE9"/>
    <w:rsid w:val="00413E03"/>
    <w:rsid w:val="004147E1"/>
    <w:rsid w:val="00414E73"/>
    <w:rsid w:val="00415367"/>
    <w:rsid w:val="004161C2"/>
    <w:rsid w:val="004170A6"/>
    <w:rsid w:val="004176BC"/>
    <w:rsid w:val="00420584"/>
    <w:rsid w:val="00420F9A"/>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5C71"/>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447"/>
    <w:rsid w:val="00482B30"/>
    <w:rsid w:val="00482F51"/>
    <w:rsid w:val="00483166"/>
    <w:rsid w:val="0048365C"/>
    <w:rsid w:val="004837B4"/>
    <w:rsid w:val="00484915"/>
    <w:rsid w:val="004853D8"/>
    <w:rsid w:val="0048589F"/>
    <w:rsid w:val="0048653C"/>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A7A91"/>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0BA"/>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2203"/>
    <w:rsid w:val="005027B8"/>
    <w:rsid w:val="00502DE1"/>
    <w:rsid w:val="0050356C"/>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2E3"/>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355"/>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B09"/>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27F3"/>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90E"/>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2E73"/>
    <w:rsid w:val="006034A7"/>
    <w:rsid w:val="006037CC"/>
    <w:rsid w:val="00603A6B"/>
    <w:rsid w:val="006040F2"/>
    <w:rsid w:val="0060449A"/>
    <w:rsid w:val="00604805"/>
    <w:rsid w:val="0060529E"/>
    <w:rsid w:val="00605384"/>
    <w:rsid w:val="00605C77"/>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D3B"/>
    <w:rsid w:val="0062558F"/>
    <w:rsid w:val="00625D3D"/>
    <w:rsid w:val="00625DB6"/>
    <w:rsid w:val="00626CAC"/>
    <w:rsid w:val="00627AD4"/>
    <w:rsid w:val="0063048A"/>
    <w:rsid w:val="00630B67"/>
    <w:rsid w:val="00630F33"/>
    <w:rsid w:val="006312A4"/>
    <w:rsid w:val="006312F8"/>
    <w:rsid w:val="006313C9"/>
    <w:rsid w:val="006317D2"/>
    <w:rsid w:val="00631C0F"/>
    <w:rsid w:val="00631DA4"/>
    <w:rsid w:val="006346C2"/>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1B1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1E3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012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34F"/>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810"/>
    <w:rsid w:val="007B0FBF"/>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5B5"/>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49FD"/>
    <w:rsid w:val="007F51FF"/>
    <w:rsid w:val="007F5557"/>
    <w:rsid w:val="007F5CD4"/>
    <w:rsid w:val="007F61E2"/>
    <w:rsid w:val="007F6A0F"/>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3FC5"/>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47F6A"/>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0F41"/>
    <w:rsid w:val="008C1814"/>
    <w:rsid w:val="008C3AD7"/>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4F2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703"/>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4A02"/>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1ED"/>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D14"/>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6BD"/>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9A9"/>
    <w:rsid w:val="00A63A8F"/>
    <w:rsid w:val="00A64389"/>
    <w:rsid w:val="00A64797"/>
    <w:rsid w:val="00A64817"/>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0CB"/>
    <w:rsid w:val="00A92A16"/>
    <w:rsid w:val="00A93154"/>
    <w:rsid w:val="00A93214"/>
    <w:rsid w:val="00A93552"/>
    <w:rsid w:val="00A93C27"/>
    <w:rsid w:val="00A93C2B"/>
    <w:rsid w:val="00A93DC1"/>
    <w:rsid w:val="00A94D8C"/>
    <w:rsid w:val="00A95EA8"/>
    <w:rsid w:val="00A96B0A"/>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0F69"/>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3FC2"/>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3CB4"/>
    <w:rsid w:val="00AF4046"/>
    <w:rsid w:val="00AF509D"/>
    <w:rsid w:val="00AF51E5"/>
    <w:rsid w:val="00AF52E7"/>
    <w:rsid w:val="00AF5D55"/>
    <w:rsid w:val="00AF605B"/>
    <w:rsid w:val="00AF741B"/>
    <w:rsid w:val="00AF7453"/>
    <w:rsid w:val="00AF7C3D"/>
    <w:rsid w:val="00AF7E72"/>
    <w:rsid w:val="00B0115C"/>
    <w:rsid w:val="00B01957"/>
    <w:rsid w:val="00B02534"/>
    <w:rsid w:val="00B028CB"/>
    <w:rsid w:val="00B0432F"/>
    <w:rsid w:val="00B043ED"/>
    <w:rsid w:val="00B054FF"/>
    <w:rsid w:val="00B05CB6"/>
    <w:rsid w:val="00B0633F"/>
    <w:rsid w:val="00B06B46"/>
    <w:rsid w:val="00B070A0"/>
    <w:rsid w:val="00B07CC0"/>
    <w:rsid w:val="00B07D53"/>
    <w:rsid w:val="00B102F5"/>
    <w:rsid w:val="00B103BE"/>
    <w:rsid w:val="00B103E9"/>
    <w:rsid w:val="00B10C24"/>
    <w:rsid w:val="00B113BB"/>
    <w:rsid w:val="00B1146D"/>
    <w:rsid w:val="00B11586"/>
    <w:rsid w:val="00B11C4D"/>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4F9"/>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3EDC"/>
    <w:rsid w:val="00BC406F"/>
    <w:rsid w:val="00BC4C88"/>
    <w:rsid w:val="00BC4ED5"/>
    <w:rsid w:val="00BC4F84"/>
    <w:rsid w:val="00BC59CA"/>
    <w:rsid w:val="00BC5BC7"/>
    <w:rsid w:val="00BC639E"/>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0ED"/>
    <w:rsid w:val="00BE0BDD"/>
    <w:rsid w:val="00BE21E3"/>
    <w:rsid w:val="00BE305B"/>
    <w:rsid w:val="00BE4436"/>
    <w:rsid w:val="00BE59B4"/>
    <w:rsid w:val="00BE62B2"/>
    <w:rsid w:val="00BE6350"/>
    <w:rsid w:val="00BE6C24"/>
    <w:rsid w:val="00BE7287"/>
    <w:rsid w:val="00BE7C93"/>
    <w:rsid w:val="00BF0362"/>
    <w:rsid w:val="00BF0479"/>
    <w:rsid w:val="00BF0D73"/>
    <w:rsid w:val="00BF1D23"/>
    <w:rsid w:val="00BF1F45"/>
    <w:rsid w:val="00BF1F82"/>
    <w:rsid w:val="00BF2520"/>
    <w:rsid w:val="00BF3470"/>
    <w:rsid w:val="00BF358E"/>
    <w:rsid w:val="00BF3B94"/>
    <w:rsid w:val="00BF3FF8"/>
    <w:rsid w:val="00BF404A"/>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2EB"/>
    <w:rsid w:val="00C11577"/>
    <w:rsid w:val="00C11DC5"/>
    <w:rsid w:val="00C11F13"/>
    <w:rsid w:val="00C11F39"/>
    <w:rsid w:val="00C11F55"/>
    <w:rsid w:val="00C12249"/>
    <w:rsid w:val="00C1250E"/>
    <w:rsid w:val="00C139A1"/>
    <w:rsid w:val="00C142C9"/>
    <w:rsid w:val="00C1448C"/>
    <w:rsid w:val="00C14A95"/>
    <w:rsid w:val="00C14D7A"/>
    <w:rsid w:val="00C16154"/>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A3B"/>
    <w:rsid w:val="00C335AE"/>
    <w:rsid w:val="00C35C70"/>
    <w:rsid w:val="00C35E26"/>
    <w:rsid w:val="00C36684"/>
    <w:rsid w:val="00C36AC3"/>
    <w:rsid w:val="00C36F0A"/>
    <w:rsid w:val="00C36F4F"/>
    <w:rsid w:val="00C372CB"/>
    <w:rsid w:val="00C4067A"/>
    <w:rsid w:val="00C41480"/>
    <w:rsid w:val="00C44052"/>
    <w:rsid w:val="00C44368"/>
    <w:rsid w:val="00C46111"/>
    <w:rsid w:val="00C46822"/>
    <w:rsid w:val="00C46CE5"/>
    <w:rsid w:val="00C46EC1"/>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3EC9"/>
    <w:rsid w:val="00C64400"/>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773B4"/>
    <w:rsid w:val="00C77F23"/>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52E9"/>
    <w:rsid w:val="00C95AC8"/>
    <w:rsid w:val="00C9760B"/>
    <w:rsid w:val="00C976E0"/>
    <w:rsid w:val="00C9796B"/>
    <w:rsid w:val="00C97C19"/>
    <w:rsid w:val="00CA0174"/>
    <w:rsid w:val="00CA0418"/>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2403"/>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6A9C"/>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0EE"/>
    <w:rsid w:val="00CE793F"/>
    <w:rsid w:val="00CF0B79"/>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0FA"/>
    <w:rsid w:val="00D005E0"/>
    <w:rsid w:val="00D012FF"/>
    <w:rsid w:val="00D0157B"/>
    <w:rsid w:val="00D01CC4"/>
    <w:rsid w:val="00D01E6B"/>
    <w:rsid w:val="00D031B1"/>
    <w:rsid w:val="00D0354D"/>
    <w:rsid w:val="00D03AC0"/>
    <w:rsid w:val="00D0497C"/>
    <w:rsid w:val="00D04F45"/>
    <w:rsid w:val="00D04FAA"/>
    <w:rsid w:val="00D0548B"/>
    <w:rsid w:val="00D05AEE"/>
    <w:rsid w:val="00D05D6E"/>
    <w:rsid w:val="00D06413"/>
    <w:rsid w:val="00D0648D"/>
    <w:rsid w:val="00D06EB9"/>
    <w:rsid w:val="00D10979"/>
    <w:rsid w:val="00D1153F"/>
    <w:rsid w:val="00D11995"/>
    <w:rsid w:val="00D11BFB"/>
    <w:rsid w:val="00D11CFD"/>
    <w:rsid w:val="00D12432"/>
    <w:rsid w:val="00D133F6"/>
    <w:rsid w:val="00D13808"/>
    <w:rsid w:val="00D13ABD"/>
    <w:rsid w:val="00D146FE"/>
    <w:rsid w:val="00D1581E"/>
    <w:rsid w:val="00D15D19"/>
    <w:rsid w:val="00D15D93"/>
    <w:rsid w:val="00D15DA1"/>
    <w:rsid w:val="00D15EEC"/>
    <w:rsid w:val="00D1635E"/>
    <w:rsid w:val="00D16380"/>
    <w:rsid w:val="00D163FF"/>
    <w:rsid w:val="00D166B5"/>
    <w:rsid w:val="00D16E87"/>
    <w:rsid w:val="00D17335"/>
    <w:rsid w:val="00D17F7B"/>
    <w:rsid w:val="00D204FE"/>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05E"/>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D0A"/>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59F"/>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4EF9"/>
    <w:rsid w:val="00DC5055"/>
    <w:rsid w:val="00DC5F0A"/>
    <w:rsid w:val="00DC6348"/>
    <w:rsid w:val="00DC6447"/>
    <w:rsid w:val="00DC6F43"/>
    <w:rsid w:val="00DC7AD9"/>
    <w:rsid w:val="00DD0822"/>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47DA"/>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230F"/>
    <w:rsid w:val="00E436CF"/>
    <w:rsid w:val="00E44877"/>
    <w:rsid w:val="00E44A44"/>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4DCC"/>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BD0"/>
    <w:rsid w:val="00EA7D0C"/>
    <w:rsid w:val="00EA7F0B"/>
    <w:rsid w:val="00EB01FF"/>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64B1"/>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4"/>
    <w:rsid w:val="00F03E2F"/>
    <w:rsid w:val="00F04D9B"/>
    <w:rsid w:val="00F05AB5"/>
    <w:rsid w:val="00F05BC9"/>
    <w:rsid w:val="00F0608B"/>
    <w:rsid w:val="00F0659C"/>
    <w:rsid w:val="00F06776"/>
    <w:rsid w:val="00F06CDD"/>
    <w:rsid w:val="00F06D5D"/>
    <w:rsid w:val="00F102AB"/>
    <w:rsid w:val="00F11AA5"/>
    <w:rsid w:val="00F11E55"/>
    <w:rsid w:val="00F122BB"/>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0B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0DE3"/>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2700"/>
    <w:rsid w:val="00F9308E"/>
    <w:rsid w:val="00F95E64"/>
    <w:rsid w:val="00F960B8"/>
    <w:rsid w:val="00F9649D"/>
    <w:rsid w:val="00F96A46"/>
    <w:rsid w:val="00F96BB8"/>
    <w:rsid w:val="00F97A19"/>
    <w:rsid w:val="00FA068B"/>
    <w:rsid w:val="00FA0B65"/>
    <w:rsid w:val="00FA1665"/>
    <w:rsid w:val="00FA1B1B"/>
    <w:rsid w:val="00FA2534"/>
    <w:rsid w:val="00FA2BC2"/>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2F6C"/>
    <w:rsid w:val="00FB35B5"/>
    <w:rsid w:val="00FB4250"/>
    <w:rsid w:val="00FB42B4"/>
    <w:rsid w:val="00FB5638"/>
    <w:rsid w:val="00FB59AB"/>
    <w:rsid w:val="00FB5A8D"/>
    <w:rsid w:val="00FB6627"/>
    <w:rsid w:val="00FB6721"/>
    <w:rsid w:val="00FB7318"/>
    <w:rsid w:val="00FB77DE"/>
    <w:rsid w:val="00FC0251"/>
    <w:rsid w:val="00FC07F8"/>
    <w:rsid w:val="00FC1102"/>
    <w:rsid w:val="00FC133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shapelayout>
  </w:shapeDefaults>
  <w:decimalSymbol w:val="."/>
  <w:listSeparator w:val=","/>
  <w14:docId w14:val="3893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D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 w:type="character" w:customStyle="1" w:styleId="CommentTextChar">
    <w:name w:val="Comment Text Char"/>
    <w:basedOn w:val="DefaultParagraphFont"/>
    <w:link w:val="CommentText"/>
    <w:rsid w:val="00374BA5"/>
  </w:style>
  <w:style w:type="character" w:customStyle="1" w:styleId="e24kjd">
    <w:name w:val="e24kjd"/>
    <w:basedOn w:val="DefaultParagraphFont"/>
    <w:rsid w:val="00D10979"/>
  </w:style>
  <w:style w:type="paragraph" w:customStyle="1" w:styleId="3Bodytext">
    <w:name w:val="3. Body text"/>
    <w:basedOn w:val="ListParagraph"/>
    <w:link w:val="3BodytextChar"/>
    <w:qFormat/>
    <w:rsid w:val="00CA0418"/>
    <w:pPr>
      <w:spacing w:after="120"/>
      <w:ind w:left="0"/>
      <w:contextualSpacing w:val="0"/>
      <w:jc w:val="both"/>
    </w:pPr>
    <w:rPr>
      <w:rFonts w:ascii="Arial" w:eastAsia="Times New Roman" w:hAnsi="Arial" w:cs="Arial"/>
      <w:sz w:val="20"/>
      <w:szCs w:val="20"/>
    </w:rPr>
  </w:style>
  <w:style w:type="character" w:customStyle="1" w:styleId="3BodytextChar">
    <w:name w:val="3. Body text Char"/>
    <w:basedOn w:val="DefaultParagraphFont"/>
    <w:link w:val="3Bodytext"/>
    <w:rsid w:val="00CA0418"/>
    <w:rPr>
      <w:rFonts w:ascii="Arial" w:hAnsi="Arial" w:cs="Arial"/>
    </w:rPr>
  </w:style>
  <w:style w:type="paragraph" w:customStyle="1" w:styleId="4Bodytextnumbered">
    <w:name w:val="4. Body text numbered"/>
    <w:basedOn w:val="ListParagraph"/>
    <w:qFormat/>
    <w:rsid w:val="000B59B1"/>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0B59B1"/>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0B59B1"/>
    <w:rPr>
      <w:rFonts w:asciiTheme="minorHAnsi" w:hAnsiTheme="minorHAnsi" w:cstheme="minorHAnsi"/>
      <w:sz w:val="24"/>
      <w:szCs w:val="24"/>
      <w:lang w:eastAsia="en-US"/>
    </w:rPr>
  </w:style>
  <w:style w:type="paragraph" w:customStyle="1" w:styleId="2Sections">
    <w:name w:val="2. Sections"/>
    <w:qFormat/>
    <w:rsid w:val="00847F6A"/>
    <w:pPr>
      <w:spacing w:before="240" w:after="120"/>
      <w:ind w:left="720" w:hanging="720"/>
      <w:outlineLvl w:val="0"/>
    </w:pPr>
    <w:rPr>
      <w:rFonts w:asciiTheme="minorHAnsi" w:hAnsiTheme="minorHAnsi" w:cs="Arial"/>
      <w:b/>
      <w:snapToGrid w:val="0"/>
      <w:sz w:val="32"/>
      <w:szCs w:val="32"/>
      <w:lang w:eastAsia="en-US"/>
    </w:rPr>
  </w:style>
  <w:style w:type="paragraph" w:styleId="BodyText2">
    <w:name w:val="Body Text 2"/>
    <w:basedOn w:val="Normal"/>
    <w:link w:val="BodyText2Char"/>
    <w:uiPriority w:val="99"/>
    <w:semiHidden/>
    <w:unhideWhenUsed/>
    <w:rsid w:val="00847F6A"/>
    <w:pPr>
      <w:spacing w:after="120" w:line="480" w:lineRule="auto"/>
    </w:pPr>
    <w:rPr>
      <w:sz w:val="24"/>
      <w:szCs w:val="24"/>
    </w:rPr>
  </w:style>
  <w:style w:type="character" w:customStyle="1" w:styleId="BodyText2Char">
    <w:name w:val="Body Text 2 Char"/>
    <w:basedOn w:val="DefaultParagraphFont"/>
    <w:link w:val="BodyText2"/>
    <w:uiPriority w:val="99"/>
    <w:semiHidden/>
    <w:rsid w:val="00847F6A"/>
    <w:rPr>
      <w:sz w:val="24"/>
      <w:szCs w:val="24"/>
    </w:rPr>
  </w:style>
  <w:style w:type="paragraph" w:customStyle="1" w:styleId="4bulletpoint">
    <w:name w:val="4. bullet point"/>
    <w:basedOn w:val="3Bodytext"/>
    <w:link w:val="4bulletpointChar"/>
    <w:qFormat/>
    <w:rsid w:val="00CA0418"/>
    <w:pPr>
      <w:numPr>
        <w:numId w:val="1"/>
      </w:numPr>
    </w:pPr>
  </w:style>
  <w:style w:type="character" w:customStyle="1" w:styleId="4bulletpointChar">
    <w:name w:val="4. bullet point Char"/>
    <w:basedOn w:val="DefaultParagraphFont"/>
    <w:link w:val="4bulletpoint"/>
    <w:rsid w:val="00CA0418"/>
    <w:rPr>
      <w:rFonts w:ascii="Arial" w:hAnsi="Arial" w:cs="Arial"/>
    </w:rPr>
  </w:style>
  <w:style w:type="paragraph" w:customStyle="1" w:styleId="PageFooter">
    <w:name w:val="Page Footer"/>
    <w:basedOn w:val="Normal"/>
    <w:link w:val="PageFooterChar"/>
    <w:qFormat/>
    <w:rsid w:val="00CA0418"/>
    <w:pPr>
      <w:keepNext/>
      <w:tabs>
        <w:tab w:val="center" w:pos="4153"/>
        <w:tab w:val="center" w:pos="4513"/>
        <w:tab w:val="right" w:pos="8306"/>
        <w:tab w:val="right" w:pos="9026"/>
      </w:tabs>
      <w:jc w:val="center"/>
    </w:pPr>
    <w:rPr>
      <w:rFonts w:ascii="Calibri" w:hAnsi="Calibri" w:cs="Arial"/>
      <w:b/>
      <w:sz w:val="24"/>
      <w:szCs w:val="24"/>
      <w:lang w:eastAsia="en-US"/>
    </w:rPr>
  </w:style>
  <w:style w:type="character" w:customStyle="1" w:styleId="PageFooterChar">
    <w:name w:val="Page Footer Char"/>
    <w:basedOn w:val="DefaultParagraphFont"/>
    <w:link w:val="PageFooter"/>
    <w:rsid w:val="00CA0418"/>
    <w:rPr>
      <w:rFonts w:ascii="Calibri" w:hAnsi="Calibri"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3502262">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1522040">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67103293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676504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3581963">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57078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6708834">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6669708">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2538291">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43672459">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6859263">
      <w:bodyDiv w:val="1"/>
      <w:marLeft w:val="0"/>
      <w:marRight w:val="0"/>
      <w:marTop w:val="0"/>
      <w:marBottom w:val="0"/>
      <w:divBdr>
        <w:top w:val="none" w:sz="0" w:space="0" w:color="auto"/>
        <w:left w:val="none" w:sz="0" w:space="0" w:color="auto"/>
        <w:bottom w:val="none" w:sz="0" w:space="0" w:color="auto"/>
        <w:right w:val="none" w:sz="0" w:space="0" w:color="auto"/>
      </w:divBdr>
    </w:div>
    <w:div w:id="2019960024">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55688218">
      <w:bodyDiv w:val="1"/>
      <w:marLeft w:val="0"/>
      <w:marRight w:val="0"/>
      <w:marTop w:val="0"/>
      <w:marBottom w:val="0"/>
      <w:divBdr>
        <w:top w:val="none" w:sz="0" w:space="0" w:color="auto"/>
        <w:left w:val="none" w:sz="0" w:space="0" w:color="auto"/>
        <w:bottom w:val="none" w:sz="0" w:space="0" w:color="auto"/>
        <w:right w:val="none" w:sz="0" w:space="0" w:color="auto"/>
      </w:divBdr>
    </w:div>
    <w:div w:id="206976047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1D66-A8FA-457B-B079-CCC76762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2020-06-05T07:15:00Z</dcterms:created>
  <dcterms:modified xsi:type="dcterms:W3CDTF">2020-06-09T06:26:00Z</dcterms:modified>
</cp:coreProperties>
</file>