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BE9CB" w14:textId="74EDDCD7" w:rsidR="003C298A" w:rsidRPr="003042C5" w:rsidRDefault="003C298A">
      <w:pPr>
        <w:rPr>
          <w:rFonts w:ascii="Arial" w:hAnsi="Arial" w:cs="Arial"/>
        </w:rPr>
      </w:pPr>
    </w:p>
    <w:tbl>
      <w:tblPr>
        <w:tblW w:w="15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262"/>
        <w:gridCol w:w="3201"/>
        <w:gridCol w:w="7011"/>
      </w:tblGrid>
      <w:tr w:rsidR="00987FDA" w:rsidRPr="003042C5" w14:paraId="2CCE65E2" w14:textId="77777777" w:rsidTr="003042C5">
        <w:trPr>
          <w:trHeight w:val="688"/>
          <w:tblHeader/>
        </w:trPr>
        <w:tc>
          <w:tcPr>
            <w:tcW w:w="3071" w:type="dxa"/>
            <w:tcMar>
              <w:top w:w="28" w:type="dxa"/>
              <w:bottom w:w="28" w:type="dxa"/>
            </w:tcMar>
          </w:tcPr>
          <w:p w14:paraId="55E51764" w14:textId="77777777" w:rsidR="0065234B" w:rsidRPr="003042C5" w:rsidRDefault="00E836AC" w:rsidP="0065234B">
            <w:pPr>
              <w:widowControl w:val="0"/>
              <w:jc w:val="center"/>
              <w:rPr>
                <w:rFonts w:ascii="Arial" w:hAnsi="Arial" w:cs="Arial"/>
                <w:b/>
              </w:rPr>
            </w:pPr>
            <w:r w:rsidRPr="003042C5">
              <w:rPr>
                <w:rFonts w:ascii="Arial" w:hAnsi="Arial" w:cs="Arial"/>
                <w:b/>
              </w:rPr>
              <w:t>DRUG NAME, FORM(S), STRENGTH(S), SPONSOR, TYPE OF SUBMISSION</w:t>
            </w:r>
          </w:p>
          <w:p w14:paraId="50BF40E7" w14:textId="77777777" w:rsidR="00E836AC" w:rsidRPr="003042C5" w:rsidRDefault="00E836AC" w:rsidP="0065234B">
            <w:pPr>
              <w:widowControl w:val="0"/>
              <w:jc w:val="center"/>
              <w:rPr>
                <w:rFonts w:ascii="Arial" w:hAnsi="Arial" w:cs="Arial"/>
                <w:b/>
              </w:rPr>
            </w:pPr>
          </w:p>
        </w:tc>
        <w:tc>
          <w:tcPr>
            <w:tcW w:w="2262" w:type="dxa"/>
            <w:tcMar>
              <w:top w:w="28" w:type="dxa"/>
              <w:bottom w:w="28" w:type="dxa"/>
            </w:tcMar>
          </w:tcPr>
          <w:p w14:paraId="5429B522" w14:textId="77777777" w:rsidR="00987FDA" w:rsidRPr="003042C5" w:rsidRDefault="00E836AC" w:rsidP="0065234B">
            <w:pPr>
              <w:widowControl w:val="0"/>
              <w:jc w:val="center"/>
              <w:rPr>
                <w:rFonts w:ascii="Arial" w:hAnsi="Arial" w:cs="Arial"/>
                <w:b/>
                <w:snapToGrid w:val="0"/>
                <w:lang w:eastAsia="en-US"/>
              </w:rPr>
            </w:pPr>
            <w:r w:rsidRPr="003042C5">
              <w:rPr>
                <w:rFonts w:ascii="Arial" w:hAnsi="Arial" w:cs="Arial"/>
                <w:b/>
                <w:snapToGrid w:val="0"/>
                <w:lang w:eastAsia="en-US"/>
              </w:rPr>
              <w:t>DRUG TYPE AND USE</w:t>
            </w:r>
          </w:p>
          <w:p w14:paraId="5F16C3AC" w14:textId="77777777" w:rsidR="00987FDA" w:rsidRPr="003042C5" w:rsidRDefault="00987FDA" w:rsidP="0065234B">
            <w:pPr>
              <w:widowControl w:val="0"/>
              <w:jc w:val="center"/>
              <w:rPr>
                <w:rFonts w:ascii="Arial" w:hAnsi="Arial" w:cs="Arial"/>
                <w:b/>
                <w:snapToGrid w:val="0"/>
                <w:lang w:eastAsia="en-US"/>
              </w:rPr>
            </w:pPr>
          </w:p>
        </w:tc>
        <w:tc>
          <w:tcPr>
            <w:tcW w:w="3201" w:type="dxa"/>
            <w:tcMar>
              <w:top w:w="28" w:type="dxa"/>
              <w:bottom w:w="28" w:type="dxa"/>
            </w:tcMar>
          </w:tcPr>
          <w:p w14:paraId="075D9406" w14:textId="77777777" w:rsidR="00987FDA" w:rsidRPr="003042C5" w:rsidRDefault="00E836AC" w:rsidP="0065234B">
            <w:pPr>
              <w:widowControl w:val="0"/>
              <w:jc w:val="center"/>
              <w:rPr>
                <w:rFonts w:ascii="Arial" w:hAnsi="Arial" w:cs="Arial"/>
                <w:b/>
                <w:snapToGrid w:val="0"/>
                <w:lang w:eastAsia="en-US"/>
              </w:rPr>
            </w:pPr>
            <w:r w:rsidRPr="003042C5">
              <w:rPr>
                <w:rFonts w:ascii="Arial" w:hAnsi="Arial" w:cs="Arial"/>
                <w:b/>
                <w:snapToGrid w:val="0"/>
                <w:lang w:eastAsia="en-US"/>
              </w:rPr>
              <w:t>LISTING REQUESTED BY SPONSOR / PURPOSE OF SUBMISSION</w:t>
            </w:r>
          </w:p>
          <w:p w14:paraId="2C046B4B" w14:textId="77777777" w:rsidR="00E836AC" w:rsidRPr="003042C5" w:rsidRDefault="00E836AC" w:rsidP="0065234B">
            <w:pPr>
              <w:widowControl w:val="0"/>
              <w:jc w:val="center"/>
              <w:rPr>
                <w:rFonts w:ascii="Arial" w:hAnsi="Arial" w:cs="Arial"/>
                <w:b/>
                <w:snapToGrid w:val="0"/>
                <w:lang w:eastAsia="en-US"/>
              </w:rPr>
            </w:pPr>
          </w:p>
        </w:tc>
        <w:tc>
          <w:tcPr>
            <w:tcW w:w="7011" w:type="dxa"/>
          </w:tcPr>
          <w:p w14:paraId="4094F02B" w14:textId="77777777" w:rsidR="00987FDA" w:rsidRPr="003042C5" w:rsidRDefault="00E836AC" w:rsidP="00E836AC">
            <w:pPr>
              <w:pStyle w:val="Header"/>
              <w:jc w:val="center"/>
              <w:rPr>
                <w:rFonts w:ascii="Arial" w:hAnsi="Arial" w:cs="Arial"/>
                <w:b/>
                <w:snapToGrid w:val="0"/>
                <w:lang w:eastAsia="en-US"/>
              </w:rPr>
            </w:pPr>
            <w:r w:rsidRPr="003042C5">
              <w:rPr>
                <w:rFonts w:ascii="Arial" w:hAnsi="Arial" w:cs="Arial"/>
                <w:b/>
                <w:snapToGrid w:val="0"/>
                <w:lang w:eastAsia="en-US"/>
              </w:rPr>
              <w:t>PBAC OUTCOME</w:t>
            </w:r>
          </w:p>
        </w:tc>
      </w:tr>
      <w:tr w:rsidR="004E53BD" w:rsidRPr="003042C5" w14:paraId="564CC838" w14:textId="77777777" w:rsidTr="008801A8">
        <w:trPr>
          <w:trHeight w:val="477"/>
        </w:trPr>
        <w:tc>
          <w:tcPr>
            <w:tcW w:w="3071" w:type="dxa"/>
            <w:vMerge w:val="restart"/>
            <w:tcMar>
              <w:top w:w="28" w:type="dxa"/>
              <w:bottom w:w="28" w:type="dxa"/>
            </w:tcMar>
          </w:tcPr>
          <w:p w14:paraId="21E8C216" w14:textId="34EDF54A" w:rsidR="00766A13" w:rsidRPr="003042C5" w:rsidRDefault="00766A13" w:rsidP="00766A13">
            <w:pPr>
              <w:rPr>
                <w:rFonts w:ascii="Arial" w:hAnsi="Arial" w:cs="Arial"/>
                <w:color w:val="000000"/>
              </w:rPr>
            </w:pPr>
            <w:r w:rsidRPr="003042C5">
              <w:rPr>
                <w:rFonts w:ascii="Arial" w:hAnsi="Arial" w:cs="Arial"/>
                <w:color w:val="000000"/>
              </w:rPr>
              <w:t>ARMODAFINIL and MODAFINIL</w:t>
            </w:r>
            <w:r w:rsidRPr="003042C5">
              <w:rPr>
                <w:rFonts w:ascii="Arial" w:hAnsi="Arial" w:cs="Arial"/>
                <w:color w:val="000000"/>
              </w:rPr>
              <w:br/>
            </w:r>
            <w:r w:rsidRPr="003042C5">
              <w:rPr>
                <w:rFonts w:ascii="Arial" w:hAnsi="Arial" w:cs="Arial"/>
                <w:color w:val="000000"/>
              </w:rPr>
              <w:br/>
            </w:r>
            <w:proofErr w:type="spellStart"/>
            <w:r w:rsidRPr="003042C5">
              <w:rPr>
                <w:rFonts w:ascii="Arial" w:hAnsi="Arial" w:cs="Arial"/>
                <w:color w:val="000000"/>
              </w:rPr>
              <w:t>modafinil</w:t>
            </w:r>
            <w:proofErr w:type="spellEnd"/>
            <w:r w:rsidRPr="003042C5">
              <w:rPr>
                <w:rFonts w:ascii="Arial" w:hAnsi="Arial" w:cs="Arial"/>
                <w:color w:val="000000"/>
              </w:rPr>
              <w:br/>
              <w:t>Tablet 100 mg</w:t>
            </w:r>
            <w:r w:rsidRPr="003042C5">
              <w:rPr>
                <w:rFonts w:ascii="Arial" w:hAnsi="Arial" w:cs="Arial"/>
                <w:color w:val="000000"/>
              </w:rPr>
              <w:br/>
            </w:r>
            <w:r w:rsidRPr="003042C5">
              <w:rPr>
                <w:rFonts w:ascii="Arial" w:hAnsi="Arial" w:cs="Arial"/>
                <w:color w:val="000000"/>
              </w:rPr>
              <w:br/>
            </w:r>
            <w:proofErr w:type="spellStart"/>
            <w:r w:rsidRPr="003042C5">
              <w:rPr>
                <w:rFonts w:ascii="Arial" w:hAnsi="Arial" w:cs="Arial"/>
                <w:color w:val="000000"/>
              </w:rPr>
              <w:t>armodafinil</w:t>
            </w:r>
            <w:proofErr w:type="spellEnd"/>
            <w:r w:rsidRPr="003042C5">
              <w:rPr>
                <w:rFonts w:ascii="Arial" w:hAnsi="Arial" w:cs="Arial"/>
                <w:color w:val="000000"/>
              </w:rPr>
              <w:br/>
              <w:t>Tablet 50 mg</w:t>
            </w:r>
            <w:r w:rsidRPr="003042C5">
              <w:rPr>
                <w:rFonts w:ascii="Arial" w:hAnsi="Arial" w:cs="Arial"/>
                <w:color w:val="000000"/>
              </w:rPr>
              <w:br/>
              <w:t>Table</w:t>
            </w:r>
            <w:r w:rsidR="009C2866">
              <w:rPr>
                <w:rFonts w:ascii="Arial" w:hAnsi="Arial" w:cs="Arial"/>
                <w:color w:val="000000"/>
              </w:rPr>
              <w:t>t 150 mg</w:t>
            </w:r>
            <w:r w:rsidR="009C2866">
              <w:rPr>
                <w:rFonts w:ascii="Arial" w:hAnsi="Arial" w:cs="Arial"/>
                <w:color w:val="000000"/>
              </w:rPr>
              <w:br/>
              <w:t>Tablet 250 mg</w:t>
            </w:r>
            <w:r w:rsidR="009C2866">
              <w:rPr>
                <w:rFonts w:ascii="Arial" w:hAnsi="Arial" w:cs="Arial"/>
                <w:color w:val="000000"/>
              </w:rPr>
              <w:br/>
            </w:r>
            <w:r w:rsidR="009C2866">
              <w:rPr>
                <w:rFonts w:ascii="Arial" w:hAnsi="Arial" w:cs="Arial"/>
                <w:color w:val="000000"/>
              </w:rPr>
              <w:br/>
              <w:t>Various brands</w:t>
            </w:r>
            <w:r w:rsidRPr="003042C5">
              <w:rPr>
                <w:rFonts w:ascii="Arial" w:hAnsi="Arial" w:cs="Arial"/>
                <w:color w:val="000000"/>
              </w:rPr>
              <w:br/>
            </w:r>
            <w:r w:rsidRPr="003042C5">
              <w:rPr>
                <w:rFonts w:ascii="Arial" w:hAnsi="Arial" w:cs="Arial"/>
                <w:color w:val="000000"/>
              </w:rPr>
              <w:br/>
              <w:t xml:space="preserve">Australasian Sleep </w:t>
            </w:r>
            <w:r w:rsidR="009C2866">
              <w:rPr>
                <w:rFonts w:ascii="Arial" w:hAnsi="Arial" w:cs="Arial"/>
                <w:color w:val="000000"/>
              </w:rPr>
              <w:t>Association</w:t>
            </w:r>
            <w:r w:rsidR="009C2866">
              <w:rPr>
                <w:rFonts w:ascii="Arial" w:hAnsi="Arial" w:cs="Arial"/>
                <w:color w:val="000000"/>
              </w:rPr>
              <w:br/>
            </w:r>
            <w:r w:rsidR="009C2866">
              <w:rPr>
                <w:rFonts w:ascii="Arial" w:hAnsi="Arial" w:cs="Arial"/>
                <w:color w:val="000000"/>
              </w:rPr>
              <w:br/>
              <w:t>Change to listing</w:t>
            </w:r>
            <w:r w:rsidR="009C2866">
              <w:rPr>
                <w:rFonts w:ascii="Arial" w:hAnsi="Arial" w:cs="Arial"/>
                <w:color w:val="000000"/>
              </w:rPr>
              <w:br/>
              <w:t>(M</w:t>
            </w:r>
            <w:r w:rsidRPr="003042C5">
              <w:rPr>
                <w:rFonts w:ascii="Arial" w:hAnsi="Arial" w:cs="Arial"/>
                <w:color w:val="000000"/>
              </w:rPr>
              <w:t>inor Submission)</w:t>
            </w:r>
          </w:p>
          <w:p w14:paraId="7D8AA472" w14:textId="07164B4E" w:rsidR="004E53BD" w:rsidRPr="003042C5" w:rsidRDefault="004E53BD" w:rsidP="004E53BD">
            <w:pPr>
              <w:widowControl w:val="0"/>
              <w:rPr>
                <w:rFonts w:ascii="Arial" w:hAnsi="Arial" w:cs="Arial"/>
                <w:snapToGrid w:val="0"/>
                <w:lang w:eastAsia="en-US"/>
              </w:rPr>
            </w:pPr>
          </w:p>
        </w:tc>
        <w:tc>
          <w:tcPr>
            <w:tcW w:w="2262" w:type="dxa"/>
            <w:vMerge w:val="restart"/>
          </w:tcPr>
          <w:p w14:paraId="5B9049D8" w14:textId="77777777" w:rsidR="00766A13" w:rsidRPr="003042C5" w:rsidRDefault="00766A13" w:rsidP="00766A13">
            <w:pPr>
              <w:rPr>
                <w:rFonts w:ascii="Arial" w:hAnsi="Arial" w:cs="Arial"/>
                <w:color w:val="000000"/>
              </w:rPr>
            </w:pPr>
            <w:r w:rsidRPr="003042C5">
              <w:rPr>
                <w:rFonts w:ascii="Arial" w:hAnsi="Arial" w:cs="Arial"/>
                <w:color w:val="000000"/>
              </w:rPr>
              <w:t>Narcolepsy</w:t>
            </w:r>
          </w:p>
          <w:p w14:paraId="35D3FC13" w14:textId="37F68342" w:rsidR="004E53BD" w:rsidRPr="003042C5" w:rsidRDefault="004E53BD" w:rsidP="004E53BD">
            <w:pPr>
              <w:widowControl w:val="0"/>
              <w:rPr>
                <w:rFonts w:ascii="Arial" w:hAnsi="Arial" w:cs="Arial"/>
                <w:snapToGrid w:val="0"/>
                <w:lang w:eastAsia="en-US"/>
              </w:rPr>
            </w:pPr>
          </w:p>
        </w:tc>
        <w:tc>
          <w:tcPr>
            <w:tcW w:w="3201" w:type="dxa"/>
            <w:tcMar>
              <w:top w:w="28" w:type="dxa"/>
              <w:bottom w:w="28" w:type="dxa"/>
            </w:tcMar>
          </w:tcPr>
          <w:p w14:paraId="5E792C20" w14:textId="64B2B2A9" w:rsidR="00766A13" w:rsidRPr="003042C5" w:rsidRDefault="00766A13" w:rsidP="00766A13">
            <w:pPr>
              <w:rPr>
                <w:rFonts w:ascii="Arial" w:hAnsi="Arial" w:cs="Arial"/>
                <w:color w:val="000000"/>
              </w:rPr>
            </w:pPr>
            <w:r w:rsidRPr="003042C5">
              <w:rPr>
                <w:rFonts w:ascii="Arial" w:hAnsi="Arial" w:cs="Arial"/>
                <w:color w:val="000000"/>
              </w:rPr>
              <w:t xml:space="preserve">To request that the PBS listings of </w:t>
            </w:r>
            <w:proofErr w:type="spellStart"/>
            <w:r w:rsidRPr="003042C5">
              <w:rPr>
                <w:rFonts w:ascii="Arial" w:hAnsi="Arial" w:cs="Arial"/>
                <w:color w:val="000000"/>
              </w:rPr>
              <w:t>armodafinil</w:t>
            </w:r>
            <w:proofErr w:type="spellEnd"/>
            <w:r w:rsidRPr="003042C5">
              <w:rPr>
                <w:rFonts w:ascii="Arial" w:hAnsi="Arial" w:cs="Arial"/>
                <w:color w:val="000000"/>
              </w:rPr>
              <w:t xml:space="preserve"> an</w:t>
            </w:r>
            <w:r w:rsidR="009C2866">
              <w:rPr>
                <w:rFonts w:ascii="Arial" w:hAnsi="Arial" w:cs="Arial"/>
                <w:color w:val="000000"/>
              </w:rPr>
              <w:t xml:space="preserve">d </w:t>
            </w:r>
            <w:proofErr w:type="spellStart"/>
            <w:r w:rsidR="009C2866">
              <w:rPr>
                <w:rFonts w:ascii="Arial" w:hAnsi="Arial" w:cs="Arial"/>
                <w:color w:val="000000"/>
              </w:rPr>
              <w:t>modafinil</w:t>
            </w:r>
            <w:proofErr w:type="spellEnd"/>
            <w:r w:rsidR="009C2866">
              <w:rPr>
                <w:rFonts w:ascii="Arial" w:hAnsi="Arial" w:cs="Arial"/>
                <w:color w:val="000000"/>
              </w:rPr>
              <w:t xml:space="preserve"> be changed to first-</w:t>
            </w:r>
            <w:r w:rsidRPr="003042C5">
              <w:rPr>
                <w:rFonts w:ascii="Arial" w:hAnsi="Arial" w:cs="Arial"/>
                <w:color w:val="000000"/>
              </w:rPr>
              <w:t>line treatment for narcolepsy in line with current clinical guidelines</w:t>
            </w:r>
            <w:r w:rsidR="009B2C4C">
              <w:rPr>
                <w:rFonts w:ascii="Arial" w:hAnsi="Arial" w:cs="Arial"/>
                <w:color w:val="000000"/>
              </w:rPr>
              <w:t>.</w:t>
            </w:r>
          </w:p>
          <w:p w14:paraId="207A2EC9" w14:textId="34197526" w:rsidR="009C2866" w:rsidRPr="003042C5" w:rsidRDefault="009C2866" w:rsidP="00237251">
            <w:pPr>
              <w:widowControl w:val="0"/>
              <w:rPr>
                <w:rFonts w:ascii="Arial" w:hAnsi="Arial" w:cs="Arial"/>
                <w:snapToGrid w:val="0"/>
                <w:lang w:eastAsia="en-US"/>
              </w:rPr>
            </w:pPr>
          </w:p>
        </w:tc>
        <w:tc>
          <w:tcPr>
            <w:tcW w:w="7011" w:type="dxa"/>
          </w:tcPr>
          <w:p w14:paraId="59B02A1F" w14:textId="09C4B19E" w:rsidR="004E53BD" w:rsidRPr="003042C5" w:rsidRDefault="008427E7" w:rsidP="008427E7">
            <w:pPr>
              <w:spacing w:after="120"/>
              <w:rPr>
                <w:rFonts w:ascii="Arial" w:hAnsi="Arial" w:cs="Arial"/>
                <w:color w:val="000000"/>
              </w:rPr>
            </w:pPr>
            <w:r w:rsidRPr="003042C5">
              <w:rPr>
                <w:rFonts w:ascii="Arial" w:hAnsi="Arial" w:cs="Arial"/>
                <w:color w:val="000000"/>
              </w:rPr>
              <w:t xml:space="preserve">The PBAC deferred making a recommendation to change the listing of </w:t>
            </w:r>
            <w:proofErr w:type="spellStart"/>
            <w:r w:rsidRPr="003042C5">
              <w:rPr>
                <w:rFonts w:ascii="Arial" w:hAnsi="Arial" w:cs="Arial"/>
                <w:color w:val="000000"/>
              </w:rPr>
              <w:t>modafinil</w:t>
            </w:r>
            <w:proofErr w:type="spellEnd"/>
            <w:r w:rsidRPr="003042C5">
              <w:rPr>
                <w:rFonts w:ascii="Arial" w:hAnsi="Arial" w:cs="Arial"/>
                <w:color w:val="000000"/>
              </w:rPr>
              <w:t xml:space="preserve"> and </w:t>
            </w:r>
            <w:proofErr w:type="spellStart"/>
            <w:r w:rsidRPr="003042C5">
              <w:rPr>
                <w:rFonts w:ascii="Arial" w:hAnsi="Arial" w:cs="Arial"/>
                <w:color w:val="000000"/>
              </w:rPr>
              <w:t>armodafinil</w:t>
            </w:r>
            <w:proofErr w:type="spellEnd"/>
            <w:r w:rsidRPr="003042C5">
              <w:rPr>
                <w:rFonts w:ascii="Arial" w:hAnsi="Arial" w:cs="Arial"/>
                <w:color w:val="000000"/>
              </w:rPr>
              <w:t xml:space="preserve"> o</w:t>
            </w:r>
            <w:r w:rsidR="009C2866">
              <w:rPr>
                <w:rFonts w:ascii="Arial" w:hAnsi="Arial" w:cs="Arial"/>
                <w:color w:val="000000"/>
              </w:rPr>
              <w:t>n the PBS to allow use as first-</w:t>
            </w:r>
            <w:r w:rsidRPr="003042C5">
              <w:rPr>
                <w:rFonts w:ascii="Arial" w:hAnsi="Arial" w:cs="Arial"/>
                <w:color w:val="000000"/>
              </w:rPr>
              <w:t>line therapy for the treatment of narcolepsy.</w:t>
            </w:r>
            <w:r w:rsidR="009C2866">
              <w:rPr>
                <w:rFonts w:ascii="Arial" w:hAnsi="Arial" w:cs="Arial"/>
                <w:color w:val="000000"/>
              </w:rPr>
              <w:br/>
            </w:r>
            <w:r w:rsidR="009C2866">
              <w:rPr>
                <w:rFonts w:ascii="Arial" w:hAnsi="Arial" w:cs="Arial"/>
                <w:color w:val="000000"/>
              </w:rPr>
              <w:br/>
            </w:r>
            <w:r w:rsidRPr="003042C5">
              <w:rPr>
                <w:rFonts w:ascii="Arial" w:hAnsi="Arial" w:cs="Arial"/>
                <w:color w:val="000000"/>
              </w:rPr>
              <w:t xml:space="preserve">The Committee considered that due to the significant cost difference between </w:t>
            </w:r>
            <w:proofErr w:type="spellStart"/>
            <w:r w:rsidRPr="003042C5">
              <w:rPr>
                <w:rFonts w:ascii="Arial" w:hAnsi="Arial" w:cs="Arial"/>
                <w:color w:val="000000"/>
              </w:rPr>
              <w:t>modafinil</w:t>
            </w:r>
            <w:proofErr w:type="spellEnd"/>
            <w:r w:rsidRPr="003042C5">
              <w:rPr>
                <w:rFonts w:ascii="Arial" w:hAnsi="Arial" w:cs="Arial"/>
                <w:color w:val="000000"/>
              </w:rPr>
              <w:t xml:space="preserve"> and </w:t>
            </w:r>
            <w:proofErr w:type="spellStart"/>
            <w:r w:rsidRPr="003042C5">
              <w:rPr>
                <w:rFonts w:ascii="Arial" w:hAnsi="Arial" w:cs="Arial"/>
                <w:color w:val="000000"/>
              </w:rPr>
              <w:t>armodafinil</w:t>
            </w:r>
            <w:proofErr w:type="spellEnd"/>
            <w:r w:rsidRPr="003042C5">
              <w:rPr>
                <w:rFonts w:ascii="Arial" w:hAnsi="Arial" w:cs="Arial"/>
                <w:color w:val="000000"/>
              </w:rPr>
              <w:t xml:space="preserve"> and </w:t>
            </w:r>
            <w:proofErr w:type="spellStart"/>
            <w:r w:rsidRPr="003042C5">
              <w:rPr>
                <w:rFonts w:ascii="Arial" w:hAnsi="Arial" w:cs="Arial"/>
                <w:color w:val="000000"/>
              </w:rPr>
              <w:t>dexamfetamine</w:t>
            </w:r>
            <w:proofErr w:type="spellEnd"/>
            <w:r w:rsidR="00DC256C">
              <w:rPr>
                <w:rFonts w:ascii="Arial" w:hAnsi="Arial" w:cs="Arial"/>
                <w:color w:val="000000"/>
              </w:rPr>
              <w:t xml:space="preserve">, </w:t>
            </w:r>
            <w:r w:rsidRPr="003042C5">
              <w:rPr>
                <w:rFonts w:ascii="Arial" w:hAnsi="Arial" w:cs="Arial"/>
                <w:color w:val="000000"/>
              </w:rPr>
              <w:t xml:space="preserve">permitting use of </w:t>
            </w:r>
            <w:proofErr w:type="spellStart"/>
            <w:r w:rsidRPr="003042C5">
              <w:rPr>
                <w:rFonts w:ascii="Arial" w:hAnsi="Arial" w:cs="Arial"/>
                <w:color w:val="000000"/>
              </w:rPr>
              <w:t>modafinil</w:t>
            </w:r>
            <w:proofErr w:type="spellEnd"/>
            <w:r w:rsidRPr="003042C5">
              <w:rPr>
                <w:rFonts w:ascii="Arial" w:hAnsi="Arial" w:cs="Arial"/>
                <w:color w:val="000000"/>
              </w:rPr>
              <w:t xml:space="preserve"> and </w:t>
            </w:r>
            <w:proofErr w:type="spellStart"/>
            <w:r w:rsidRPr="003042C5">
              <w:rPr>
                <w:rFonts w:ascii="Arial" w:hAnsi="Arial" w:cs="Arial"/>
                <w:color w:val="000000"/>
              </w:rPr>
              <w:t>armodafinil</w:t>
            </w:r>
            <w:proofErr w:type="spellEnd"/>
            <w:r w:rsidRPr="003042C5">
              <w:rPr>
                <w:rFonts w:ascii="Arial" w:hAnsi="Arial" w:cs="Arial"/>
                <w:color w:val="000000"/>
              </w:rPr>
              <w:t xml:space="preserve"> in the first line setting would have significant f</w:t>
            </w:r>
            <w:r w:rsidR="009C2866">
              <w:rPr>
                <w:rFonts w:ascii="Arial" w:hAnsi="Arial" w:cs="Arial"/>
                <w:color w:val="000000"/>
              </w:rPr>
              <w:t>inancial implications.</w:t>
            </w:r>
            <w:r w:rsidR="009C2866">
              <w:rPr>
                <w:rFonts w:ascii="Arial" w:hAnsi="Arial" w:cs="Arial"/>
                <w:color w:val="000000"/>
              </w:rPr>
              <w:br/>
            </w:r>
            <w:r w:rsidR="009C2866">
              <w:rPr>
                <w:rFonts w:ascii="Arial" w:hAnsi="Arial" w:cs="Arial"/>
                <w:color w:val="000000"/>
              </w:rPr>
              <w:br/>
            </w:r>
            <w:r w:rsidRPr="003042C5">
              <w:rPr>
                <w:rFonts w:ascii="Arial" w:hAnsi="Arial" w:cs="Arial"/>
                <w:color w:val="000000"/>
              </w:rPr>
              <w:t xml:space="preserve">The PBAC requested the Department seek further information on the available data to assess cost-effectiveness and financial implications of a first line listing of </w:t>
            </w:r>
            <w:proofErr w:type="spellStart"/>
            <w:r w:rsidRPr="003042C5">
              <w:rPr>
                <w:rFonts w:ascii="Arial" w:hAnsi="Arial" w:cs="Arial"/>
                <w:color w:val="000000"/>
              </w:rPr>
              <w:t>modafinil</w:t>
            </w:r>
            <w:proofErr w:type="spellEnd"/>
            <w:r w:rsidRPr="003042C5">
              <w:rPr>
                <w:rFonts w:ascii="Arial" w:hAnsi="Arial" w:cs="Arial"/>
                <w:color w:val="000000"/>
              </w:rPr>
              <w:t>/</w:t>
            </w:r>
            <w:proofErr w:type="spellStart"/>
            <w:r w:rsidRPr="003042C5">
              <w:rPr>
                <w:rFonts w:ascii="Arial" w:hAnsi="Arial" w:cs="Arial"/>
                <w:color w:val="000000"/>
              </w:rPr>
              <w:t>armodafinil</w:t>
            </w:r>
            <w:proofErr w:type="spellEnd"/>
            <w:r w:rsidRPr="003042C5">
              <w:rPr>
                <w:rFonts w:ascii="Arial" w:hAnsi="Arial" w:cs="Arial"/>
                <w:color w:val="000000"/>
              </w:rPr>
              <w:t xml:space="preserve"> for the treatment of narcolepsy.</w:t>
            </w:r>
            <w:r w:rsidR="009C2866">
              <w:rPr>
                <w:rFonts w:ascii="Arial" w:hAnsi="Arial" w:cs="Arial"/>
                <w:color w:val="000000"/>
              </w:rPr>
              <w:br/>
            </w:r>
            <w:r w:rsidR="009C2866">
              <w:rPr>
                <w:rFonts w:ascii="Arial" w:hAnsi="Arial" w:cs="Arial"/>
                <w:color w:val="000000"/>
              </w:rPr>
              <w:br/>
            </w:r>
            <w:r w:rsidRPr="003042C5">
              <w:rPr>
                <w:rFonts w:ascii="Arial" w:hAnsi="Arial" w:cs="Arial"/>
                <w:color w:val="000000"/>
              </w:rPr>
              <w:t>The PBAC recommended that the restrictions clarify that sleep study reports need not be resubmitted when a patient is switched between drugs (</w:t>
            </w:r>
            <w:proofErr w:type="spellStart"/>
            <w:r w:rsidRPr="003042C5">
              <w:rPr>
                <w:rFonts w:ascii="Arial" w:hAnsi="Arial" w:cs="Arial"/>
                <w:color w:val="000000"/>
              </w:rPr>
              <w:t>modafinil</w:t>
            </w:r>
            <w:proofErr w:type="spellEnd"/>
            <w:r w:rsidRPr="003042C5">
              <w:rPr>
                <w:rFonts w:ascii="Arial" w:hAnsi="Arial" w:cs="Arial"/>
                <w:color w:val="000000"/>
              </w:rPr>
              <w:t>/</w:t>
            </w:r>
            <w:proofErr w:type="spellStart"/>
            <w:r w:rsidRPr="003042C5">
              <w:rPr>
                <w:rFonts w:ascii="Arial" w:hAnsi="Arial" w:cs="Arial"/>
                <w:color w:val="000000"/>
              </w:rPr>
              <w:t>armodafinil</w:t>
            </w:r>
            <w:proofErr w:type="spellEnd"/>
            <w:r w:rsidRPr="003042C5">
              <w:rPr>
                <w:rFonts w:ascii="Arial" w:hAnsi="Arial" w:cs="Arial"/>
                <w:color w:val="000000"/>
              </w:rPr>
              <w:t xml:space="preserve">). The PBAC further clarified that results for polysomnography, </w:t>
            </w:r>
            <w:r w:rsidR="009C2866">
              <w:rPr>
                <w:rFonts w:ascii="Arial" w:hAnsi="Arial" w:cs="Arial"/>
                <w:color w:val="000000"/>
              </w:rPr>
              <w:t>Multiple Sleep Latency Test</w:t>
            </w:r>
            <w:r w:rsidRPr="003042C5">
              <w:rPr>
                <w:rFonts w:ascii="Arial" w:hAnsi="Arial" w:cs="Arial"/>
                <w:color w:val="000000"/>
              </w:rPr>
              <w:t xml:space="preserve"> or </w:t>
            </w:r>
            <w:r w:rsidR="009C2866">
              <w:rPr>
                <w:rFonts w:ascii="Arial" w:hAnsi="Arial" w:cs="Arial"/>
                <w:color w:val="000000"/>
              </w:rPr>
              <w:t>electroencephalographic</w:t>
            </w:r>
            <w:r w:rsidRPr="003042C5">
              <w:rPr>
                <w:rFonts w:ascii="Arial" w:hAnsi="Arial" w:cs="Arial"/>
                <w:color w:val="000000"/>
              </w:rPr>
              <w:t xml:space="preserve"> test need not be provided to Services Australia for patients with a diagnosis of narcolepsy combined with a history of cataplexy.</w:t>
            </w:r>
          </w:p>
        </w:tc>
      </w:tr>
      <w:tr w:rsidR="004E53BD" w:rsidRPr="003042C5" w14:paraId="57D8A630" w14:textId="77777777" w:rsidTr="008801A8">
        <w:trPr>
          <w:trHeight w:val="477"/>
        </w:trPr>
        <w:tc>
          <w:tcPr>
            <w:tcW w:w="3071" w:type="dxa"/>
            <w:vMerge/>
            <w:tcMar>
              <w:top w:w="28" w:type="dxa"/>
              <w:bottom w:w="28" w:type="dxa"/>
            </w:tcMar>
          </w:tcPr>
          <w:p w14:paraId="5AA9E7D4" w14:textId="77777777" w:rsidR="004E53BD" w:rsidRPr="003042C5" w:rsidRDefault="004E53BD" w:rsidP="000B55C6">
            <w:pPr>
              <w:widowControl w:val="0"/>
              <w:rPr>
                <w:rFonts w:ascii="Arial" w:hAnsi="Arial" w:cs="Arial"/>
                <w:snapToGrid w:val="0"/>
                <w:lang w:eastAsia="en-US"/>
              </w:rPr>
            </w:pPr>
          </w:p>
        </w:tc>
        <w:tc>
          <w:tcPr>
            <w:tcW w:w="2262" w:type="dxa"/>
            <w:vMerge/>
          </w:tcPr>
          <w:p w14:paraId="432FA7E7" w14:textId="77777777" w:rsidR="004E53BD" w:rsidRPr="003042C5" w:rsidRDefault="004E53BD" w:rsidP="000B55C6">
            <w:pPr>
              <w:widowControl w:val="0"/>
              <w:rPr>
                <w:rFonts w:ascii="Arial" w:hAnsi="Arial" w:cs="Arial"/>
                <w:snapToGrid w:val="0"/>
                <w:lang w:eastAsia="en-US"/>
              </w:rPr>
            </w:pPr>
          </w:p>
        </w:tc>
        <w:tc>
          <w:tcPr>
            <w:tcW w:w="3201" w:type="dxa"/>
            <w:tcMar>
              <w:top w:w="28" w:type="dxa"/>
              <w:bottom w:w="28" w:type="dxa"/>
            </w:tcMar>
          </w:tcPr>
          <w:p w14:paraId="16491460" w14:textId="558DC90C" w:rsidR="004E53BD" w:rsidRPr="003042C5" w:rsidRDefault="00E06390" w:rsidP="004E53BD">
            <w:pPr>
              <w:widowControl w:val="0"/>
              <w:jc w:val="right"/>
              <w:rPr>
                <w:rFonts w:ascii="Arial" w:hAnsi="Arial" w:cs="Arial"/>
                <w:snapToGrid w:val="0"/>
                <w:lang w:eastAsia="en-US"/>
              </w:rPr>
            </w:pPr>
            <w:r>
              <w:rPr>
                <w:rFonts w:ascii="Arial" w:hAnsi="Arial" w:cs="Arial"/>
                <w:snapToGrid w:val="0"/>
                <w:lang w:eastAsia="en-US"/>
              </w:rPr>
              <w:t>Sponsor’s c</w:t>
            </w:r>
            <w:r w:rsidR="009C2866">
              <w:rPr>
                <w:rFonts w:ascii="Arial" w:hAnsi="Arial" w:cs="Arial"/>
                <w:snapToGrid w:val="0"/>
                <w:lang w:eastAsia="en-US"/>
              </w:rPr>
              <w:t>omment</w:t>
            </w:r>
            <w:r w:rsidR="004E53BD" w:rsidRPr="003042C5">
              <w:rPr>
                <w:rFonts w:ascii="Arial" w:hAnsi="Arial" w:cs="Arial"/>
                <w:snapToGrid w:val="0"/>
                <w:lang w:eastAsia="en-US"/>
              </w:rPr>
              <w:t>:</w:t>
            </w:r>
          </w:p>
        </w:tc>
        <w:tc>
          <w:tcPr>
            <w:tcW w:w="7011" w:type="dxa"/>
          </w:tcPr>
          <w:p w14:paraId="2312A526" w14:textId="69154906" w:rsidR="004E53BD" w:rsidRDefault="00AD0174" w:rsidP="005159D2">
            <w:pPr>
              <w:rPr>
                <w:rFonts w:ascii="Arial" w:hAnsi="Arial" w:cs="Arial"/>
                <w:color w:val="000000"/>
              </w:rPr>
            </w:pPr>
            <w:r w:rsidRPr="00A539F6">
              <w:rPr>
                <w:rFonts w:ascii="Arial" w:hAnsi="Arial" w:cs="Arial"/>
                <w:iCs/>
              </w:rPr>
              <w:t>The sponsor had no comment.</w:t>
            </w:r>
          </w:p>
          <w:p w14:paraId="6BB1556D" w14:textId="567EE7FA" w:rsidR="009C2866" w:rsidRDefault="009C2866" w:rsidP="005159D2">
            <w:pPr>
              <w:rPr>
                <w:rFonts w:ascii="Arial" w:hAnsi="Arial" w:cs="Arial"/>
                <w:color w:val="000000"/>
              </w:rPr>
            </w:pPr>
          </w:p>
          <w:p w14:paraId="0C9F56FC" w14:textId="47053E5D" w:rsidR="009C2866" w:rsidRPr="003042C5" w:rsidRDefault="009C2866" w:rsidP="005159D2">
            <w:pPr>
              <w:rPr>
                <w:rFonts w:ascii="Arial" w:hAnsi="Arial" w:cs="Arial"/>
                <w:color w:val="000000"/>
              </w:rPr>
            </w:pPr>
          </w:p>
        </w:tc>
      </w:tr>
      <w:tr w:rsidR="000B55C6" w:rsidRPr="003042C5" w14:paraId="5BD59067" w14:textId="77777777" w:rsidTr="008801A8">
        <w:trPr>
          <w:trHeight w:val="477"/>
        </w:trPr>
        <w:tc>
          <w:tcPr>
            <w:tcW w:w="3071" w:type="dxa"/>
            <w:vMerge w:val="restart"/>
            <w:tcMar>
              <w:top w:w="28" w:type="dxa"/>
              <w:bottom w:w="28" w:type="dxa"/>
            </w:tcMar>
          </w:tcPr>
          <w:p w14:paraId="030FF2BF" w14:textId="10B06418" w:rsidR="00766A13" w:rsidRPr="003042C5" w:rsidRDefault="00766A13" w:rsidP="00766A13">
            <w:pPr>
              <w:rPr>
                <w:rFonts w:ascii="Arial" w:hAnsi="Arial" w:cs="Arial"/>
                <w:color w:val="000000"/>
              </w:rPr>
            </w:pPr>
            <w:r w:rsidRPr="003042C5">
              <w:rPr>
                <w:rFonts w:ascii="Arial" w:hAnsi="Arial" w:cs="Arial"/>
                <w:color w:val="000000"/>
              </w:rPr>
              <w:t>CANNABIDIOL</w:t>
            </w:r>
            <w:r w:rsidRPr="003042C5">
              <w:rPr>
                <w:rFonts w:ascii="Arial" w:hAnsi="Arial" w:cs="Arial"/>
                <w:color w:val="000000"/>
              </w:rPr>
              <w:br/>
            </w:r>
            <w:r w:rsidRPr="003042C5">
              <w:rPr>
                <w:rFonts w:ascii="Arial" w:hAnsi="Arial" w:cs="Arial"/>
                <w:color w:val="000000"/>
              </w:rPr>
              <w:br/>
              <w:t>Oral solution, 10</w:t>
            </w:r>
            <w:r w:rsidR="009C2866">
              <w:rPr>
                <w:rFonts w:ascii="Arial" w:hAnsi="Arial" w:cs="Arial"/>
                <w:color w:val="000000"/>
              </w:rPr>
              <w:t>0 mg per mL, 100 mL</w:t>
            </w:r>
            <w:r w:rsidR="009C2866">
              <w:rPr>
                <w:rFonts w:ascii="Arial" w:hAnsi="Arial" w:cs="Arial"/>
                <w:color w:val="000000"/>
              </w:rPr>
              <w:br/>
            </w:r>
            <w:r w:rsidR="009C2866">
              <w:rPr>
                <w:rFonts w:ascii="Arial" w:hAnsi="Arial" w:cs="Arial"/>
                <w:color w:val="000000"/>
              </w:rPr>
              <w:br/>
            </w:r>
            <w:proofErr w:type="spellStart"/>
            <w:r w:rsidR="009C2866">
              <w:rPr>
                <w:rFonts w:ascii="Arial" w:hAnsi="Arial" w:cs="Arial"/>
                <w:color w:val="000000"/>
              </w:rPr>
              <w:t>Epidyolex</w:t>
            </w:r>
            <w:proofErr w:type="spellEnd"/>
            <w:r w:rsidR="009C2866">
              <w:rPr>
                <w:rFonts w:ascii="Arial" w:hAnsi="Arial" w:cs="Arial"/>
                <w:color w:val="000000"/>
              </w:rPr>
              <w:t>®</w:t>
            </w:r>
            <w:r w:rsidRPr="003042C5">
              <w:rPr>
                <w:rFonts w:ascii="Arial" w:hAnsi="Arial" w:cs="Arial"/>
                <w:color w:val="000000"/>
              </w:rPr>
              <w:br/>
            </w:r>
            <w:r w:rsidRPr="003042C5">
              <w:rPr>
                <w:rFonts w:ascii="Arial" w:hAnsi="Arial" w:cs="Arial"/>
                <w:color w:val="000000"/>
              </w:rPr>
              <w:br/>
              <w:t>Emerge Health Pty Ltd</w:t>
            </w:r>
            <w:r w:rsidRPr="003042C5">
              <w:rPr>
                <w:rFonts w:ascii="Arial" w:hAnsi="Arial" w:cs="Arial"/>
                <w:color w:val="000000"/>
              </w:rPr>
              <w:br/>
            </w:r>
            <w:r w:rsidRPr="003042C5">
              <w:rPr>
                <w:rFonts w:ascii="Arial" w:hAnsi="Arial" w:cs="Arial"/>
                <w:color w:val="000000"/>
              </w:rPr>
              <w:br/>
              <w:t>New listing</w:t>
            </w:r>
            <w:r w:rsidRPr="003042C5">
              <w:rPr>
                <w:rFonts w:ascii="Arial" w:hAnsi="Arial" w:cs="Arial"/>
                <w:color w:val="000000"/>
              </w:rPr>
              <w:br/>
              <w:t>(Major Submission)</w:t>
            </w:r>
          </w:p>
          <w:p w14:paraId="31524ACE" w14:textId="33D0CFA5" w:rsidR="000B55C6" w:rsidRPr="003042C5" w:rsidRDefault="000B55C6" w:rsidP="000B55C6">
            <w:pPr>
              <w:widowControl w:val="0"/>
              <w:rPr>
                <w:rFonts w:ascii="Arial" w:hAnsi="Arial" w:cs="Arial"/>
                <w:snapToGrid w:val="0"/>
                <w:lang w:eastAsia="en-US"/>
              </w:rPr>
            </w:pPr>
          </w:p>
        </w:tc>
        <w:tc>
          <w:tcPr>
            <w:tcW w:w="2262" w:type="dxa"/>
            <w:vMerge w:val="restart"/>
          </w:tcPr>
          <w:p w14:paraId="6BE2DA9F" w14:textId="7C12049A" w:rsidR="00766A13" w:rsidRPr="003042C5" w:rsidRDefault="009C2866" w:rsidP="00766A13">
            <w:pPr>
              <w:rPr>
                <w:rFonts w:ascii="Arial" w:hAnsi="Arial" w:cs="Arial"/>
                <w:color w:val="000000"/>
              </w:rPr>
            </w:pPr>
            <w:r>
              <w:rPr>
                <w:rFonts w:ascii="Arial" w:hAnsi="Arial" w:cs="Arial"/>
                <w:color w:val="000000"/>
              </w:rPr>
              <w:t>Lennox-</w:t>
            </w:r>
            <w:proofErr w:type="spellStart"/>
            <w:r>
              <w:rPr>
                <w:rFonts w:ascii="Arial" w:hAnsi="Arial" w:cs="Arial"/>
                <w:color w:val="000000"/>
              </w:rPr>
              <w:t>Gastaut</w:t>
            </w:r>
            <w:proofErr w:type="spellEnd"/>
            <w:r>
              <w:rPr>
                <w:rFonts w:ascii="Arial" w:hAnsi="Arial" w:cs="Arial"/>
                <w:color w:val="000000"/>
              </w:rPr>
              <w:t xml:space="preserve"> syndrome</w:t>
            </w:r>
            <w:r w:rsidR="009A7FCD">
              <w:rPr>
                <w:rFonts w:ascii="Arial" w:hAnsi="Arial" w:cs="Arial"/>
                <w:color w:val="000000"/>
              </w:rPr>
              <w:t xml:space="preserve"> (LGS)</w:t>
            </w:r>
            <w:r w:rsidR="00766A13" w:rsidRPr="003042C5">
              <w:rPr>
                <w:rFonts w:ascii="Arial" w:hAnsi="Arial" w:cs="Arial"/>
                <w:color w:val="000000"/>
              </w:rPr>
              <w:br/>
            </w:r>
            <w:proofErr w:type="spellStart"/>
            <w:r w:rsidR="00766A13" w:rsidRPr="003042C5">
              <w:rPr>
                <w:rFonts w:ascii="Arial" w:hAnsi="Arial" w:cs="Arial"/>
                <w:color w:val="000000"/>
              </w:rPr>
              <w:t>Dravet</w:t>
            </w:r>
            <w:proofErr w:type="spellEnd"/>
            <w:r w:rsidR="00766A13" w:rsidRPr="003042C5">
              <w:rPr>
                <w:rFonts w:ascii="Arial" w:hAnsi="Arial" w:cs="Arial"/>
                <w:color w:val="000000"/>
              </w:rPr>
              <w:t xml:space="preserve"> syndrome </w:t>
            </w:r>
            <w:r w:rsidR="009A7FCD">
              <w:rPr>
                <w:rFonts w:ascii="Arial" w:hAnsi="Arial" w:cs="Arial"/>
                <w:color w:val="000000"/>
              </w:rPr>
              <w:t>(DS)</w:t>
            </w:r>
          </w:p>
          <w:p w14:paraId="3D0C967B" w14:textId="722642FA"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5EB15151" w14:textId="708B1DDD" w:rsidR="00766A13" w:rsidRPr="003042C5" w:rsidRDefault="00766A13" w:rsidP="00766A13">
            <w:pPr>
              <w:rPr>
                <w:rFonts w:ascii="Arial" w:hAnsi="Arial" w:cs="Arial"/>
                <w:color w:val="000000"/>
              </w:rPr>
            </w:pPr>
            <w:r w:rsidRPr="003042C5">
              <w:rPr>
                <w:rFonts w:ascii="Arial" w:hAnsi="Arial" w:cs="Arial"/>
                <w:color w:val="000000"/>
              </w:rPr>
              <w:t>To request a Section 100 (Highly Specialised Drugs Program - Community Access) Authority Required (STREAMLINED) listing for the adjunctive treatment of seizures in patie</w:t>
            </w:r>
            <w:r w:rsidR="009A7FCD">
              <w:rPr>
                <w:rFonts w:ascii="Arial" w:hAnsi="Arial" w:cs="Arial"/>
                <w:color w:val="000000"/>
              </w:rPr>
              <w:t xml:space="preserve">nts with LGS or DS </w:t>
            </w:r>
            <w:r w:rsidRPr="003042C5">
              <w:rPr>
                <w:rFonts w:ascii="Arial" w:hAnsi="Arial" w:cs="Arial"/>
                <w:color w:val="000000"/>
              </w:rPr>
              <w:t>in patients aged 2 years or older.</w:t>
            </w:r>
          </w:p>
          <w:p w14:paraId="26F5B7C3" w14:textId="51883A02" w:rsidR="000B55C6" w:rsidRPr="003042C5" w:rsidRDefault="000B55C6" w:rsidP="00237251">
            <w:pPr>
              <w:widowControl w:val="0"/>
              <w:rPr>
                <w:rFonts w:ascii="Arial" w:hAnsi="Arial" w:cs="Arial"/>
                <w:snapToGrid w:val="0"/>
                <w:lang w:eastAsia="en-US"/>
              </w:rPr>
            </w:pPr>
          </w:p>
        </w:tc>
        <w:tc>
          <w:tcPr>
            <w:tcW w:w="7011" w:type="dxa"/>
          </w:tcPr>
          <w:p w14:paraId="7ACB1445" w14:textId="1EE00027" w:rsidR="000B55C6" w:rsidRPr="009A7FCD" w:rsidRDefault="009A7FCD" w:rsidP="009A7FCD">
            <w:pPr>
              <w:pStyle w:val="3-BodyText"/>
              <w:ind w:left="0" w:firstLine="0"/>
              <w:jc w:val="left"/>
              <w:rPr>
                <w:rFonts w:ascii="Arial" w:hAnsi="Arial"/>
                <w:sz w:val="20"/>
                <w:szCs w:val="20"/>
              </w:rPr>
            </w:pPr>
            <w:r w:rsidRPr="009A7FCD">
              <w:rPr>
                <w:rFonts w:ascii="Arial" w:hAnsi="Arial"/>
                <w:sz w:val="20"/>
                <w:szCs w:val="20"/>
              </w:rPr>
              <w:t xml:space="preserve">The PBAC deferred making a recommendation for the listing of </w:t>
            </w:r>
            <w:proofErr w:type="spellStart"/>
            <w:r w:rsidRPr="009A7FCD">
              <w:rPr>
                <w:rFonts w:ascii="Arial" w:hAnsi="Arial"/>
                <w:sz w:val="20"/>
                <w:szCs w:val="20"/>
              </w:rPr>
              <w:t>cannabidiol</w:t>
            </w:r>
            <w:proofErr w:type="spellEnd"/>
            <w:r w:rsidRPr="009A7FCD">
              <w:rPr>
                <w:rFonts w:ascii="Arial" w:hAnsi="Arial"/>
                <w:sz w:val="20"/>
                <w:szCs w:val="20"/>
              </w:rPr>
              <w:t xml:space="preserve"> for th</w:t>
            </w:r>
            <w:r>
              <w:rPr>
                <w:rFonts w:ascii="Arial" w:hAnsi="Arial"/>
                <w:sz w:val="20"/>
                <w:szCs w:val="20"/>
              </w:rPr>
              <w:t>e treatment of DS and LGS</w:t>
            </w:r>
            <w:r w:rsidRPr="009A7FCD">
              <w:rPr>
                <w:rFonts w:ascii="Arial" w:hAnsi="Arial"/>
                <w:sz w:val="20"/>
                <w:szCs w:val="20"/>
              </w:rPr>
              <w:t xml:space="preserve"> in combination with o</w:t>
            </w:r>
            <w:r>
              <w:rPr>
                <w:rFonts w:ascii="Arial" w:hAnsi="Arial"/>
                <w:sz w:val="20"/>
                <w:szCs w:val="20"/>
              </w:rPr>
              <w:t>ther anti-epileptic drugs</w:t>
            </w:r>
            <w:r w:rsidRPr="009A7FCD">
              <w:rPr>
                <w:rFonts w:ascii="Arial" w:hAnsi="Arial"/>
                <w:sz w:val="20"/>
                <w:szCs w:val="20"/>
              </w:rPr>
              <w:t xml:space="preserve"> on the PBS to enable consultation with stakeholders regarding the role of </w:t>
            </w:r>
            <w:proofErr w:type="spellStart"/>
            <w:r w:rsidRPr="009A7FCD">
              <w:rPr>
                <w:rFonts w:ascii="Arial" w:hAnsi="Arial"/>
                <w:sz w:val="20"/>
                <w:szCs w:val="20"/>
              </w:rPr>
              <w:t>cannabidiol</w:t>
            </w:r>
            <w:proofErr w:type="spellEnd"/>
            <w:r w:rsidRPr="009A7FCD">
              <w:rPr>
                <w:rFonts w:ascii="Arial" w:hAnsi="Arial"/>
                <w:sz w:val="20"/>
                <w:szCs w:val="20"/>
              </w:rPr>
              <w:t xml:space="preserve"> </w:t>
            </w:r>
            <w:r w:rsidRPr="009A7FCD">
              <w:rPr>
                <w:rFonts w:ascii="Arial" w:hAnsi="Arial"/>
                <w:bCs/>
                <w:sz w:val="20"/>
                <w:szCs w:val="20"/>
              </w:rPr>
              <w:t xml:space="preserve">in the treatment of these rare forms of epilepsy. The PBAC considered further clarity on the clinical place of </w:t>
            </w:r>
            <w:proofErr w:type="spellStart"/>
            <w:r w:rsidRPr="009A7FCD">
              <w:rPr>
                <w:rFonts w:ascii="Arial" w:hAnsi="Arial"/>
                <w:bCs/>
                <w:sz w:val="20"/>
                <w:szCs w:val="20"/>
              </w:rPr>
              <w:t>cannabidiol</w:t>
            </w:r>
            <w:proofErr w:type="spellEnd"/>
            <w:r w:rsidRPr="009A7FCD">
              <w:rPr>
                <w:rFonts w:ascii="Arial" w:hAnsi="Arial"/>
                <w:bCs/>
                <w:sz w:val="20"/>
                <w:szCs w:val="20"/>
              </w:rPr>
              <w:t xml:space="preserve"> in therapy is required to inform the appropriate initial and continuing restriction criteria, cost-effectiveness and financial implications of </w:t>
            </w:r>
            <w:r w:rsidR="00404844">
              <w:rPr>
                <w:rFonts w:ascii="Arial" w:hAnsi="Arial"/>
                <w:bCs/>
                <w:sz w:val="20"/>
                <w:szCs w:val="20"/>
              </w:rPr>
              <w:t xml:space="preserve">listing </w:t>
            </w:r>
            <w:proofErr w:type="spellStart"/>
            <w:r w:rsidR="00404844">
              <w:rPr>
                <w:rFonts w:ascii="Arial" w:hAnsi="Arial"/>
                <w:bCs/>
                <w:sz w:val="20"/>
                <w:szCs w:val="20"/>
              </w:rPr>
              <w:t>cannabidiol</w:t>
            </w:r>
            <w:proofErr w:type="spellEnd"/>
            <w:r w:rsidR="00404844">
              <w:rPr>
                <w:rFonts w:ascii="Arial" w:hAnsi="Arial"/>
                <w:bCs/>
                <w:sz w:val="20"/>
                <w:szCs w:val="20"/>
              </w:rPr>
              <w:t xml:space="preserve">. </w:t>
            </w:r>
            <w:r>
              <w:rPr>
                <w:rFonts w:ascii="Arial" w:hAnsi="Arial"/>
                <w:bCs/>
                <w:sz w:val="20"/>
                <w:szCs w:val="20"/>
              </w:rPr>
              <w:br/>
            </w:r>
            <w:r>
              <w:rPr>
                <w:rFonts w:ascii="Arial" w:hAnsi="Arial"/>
                <w:bCs/>
                <w:sz w:val="20"/>
                <w:szCs w:val="20"/>
              </w:rPr>
              <w:br/>
            </w:r>
            <w:r w:rsidRPr="009A7FCD">
              <w:rPr>
                <w:rFonts w:ascii="Arial" w:hAnsi="Arial"/>
                <w:sz w:val="20"/>
                <w:szCs w:val="20"/>
              </w:rPr>
              <w:t xml:space="preserve">The PBAC considered there was a clinical need for additional effective and safe treatment options for people with DS and LGS and </w:t>
            </w:r>
            <w:r w:rsidRPr="009A7FCD">
              <w:rPr>
                <w:rFonts w:ascii="Arial" w:hAnsi="Arial"/>
                <w:bCs/>
                <w:sz w:val="20"/>
                <w:szCs w:val="20"/>
              </w:rPr>
              <w:t xml:space="preserve">the clinical evidence presented in the submission demonstrated </w:t>
            </w:r>
            <w:proofErr w:type="spellStart"/>
            <w:r w:rsidRPr="009A7FCD">
              <w:rPr>
                <w:rFonts w:ascii="Arial" w:hAnsi="Arial"/>
                <w:bCs/>
                <w:sz w:val="20"/>
                <w:szCs w:val="20"/>
              </w:rPr>
              <w:t>cannabidiol</w:t>
            </w:r>
            <w:proofErr w:type="spellEnd"/>
            <w:r w:rsidRPr="009A7FCD">
              <w:rPr>
                <w:rFonts w:ascii="Arial" w:hAnsi="Arial"/>
                <w:bCs/>
                <w:sz w:val="20"/>
                <w:szCs w:val="20"/>
              </w:rPr>
              <w:t xml:space="preserve"> is likely to be beneficial; however, the magnitude of the benefit was uncertain. </w:t>
            </w:r>
          </w:p>
        </w:tc>
      </w:tr>
      <w:tr w:rsidR="000B55C6" w:rsidRPr="003042C5" w14:paraId="595F2930" w14:textId="77777777" w:rsidTr="0028448C">
        <w:trPr>
          <w:trHeight w:val="477"/>
        </w:trPr>
        <w:tc>
          <w:tcPr>
            <w:tcW w:w="3071" w:type="dxa"/>
            <w:vMerge/>
            <w:tcMar>
              <w:top w:w="28" w:type="dxa"/>
              <w:bottom w:w="28" w:type="dxa"/>
            </w:tcMar>
          </w:tcPr>
          <w:p w14:paraId="2B11AAA4" w14:textId="77777777" w:rsidR="000B55C6" w:rsidRPr="003042C5" w:rsidRDefault="000B55C6" w:rsidP="000B55C6">
            <w:pPr>
              <w:widowControl w:val="0"/>
              <w:rPr>
                <w:rFonts w:ascii="Arial" w:hAnsi="Arial" w:cs="Arial"/>
                <w:snapToGrid w:val="0"/>
                <w:lang w:eastAsia="en-US"/>
              </w:rPr>
            </w:pPr>
          </w:p>
        </w:tc>
        <w:tc>
          <w:tcPr>
            <w:tcW w:w="2262" w:type="dxa"/>
            <w:vMerge/>
          </w:tcPr>
          <w:p w14:paraId="5FCC2CA5" w14:textId="77777777"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36D99254" w14:textId="7E5593CB" w:rsidR="000B55C6" w:rsidRPr="003042C5" w:rsidRDefault="00E06390" w:rsidP="000B55C6">
            <w:pPr>
              <w:widowControl w:val="0"/>
              <w:jc w:val="right"/>
              <w:rPr>
                <w:rFonts w:ascii="Arial" w:hAnsi="Arial" w:cs="Arial"/>
                <w:snapToGrid w:val="0"/>
                <w:lang w:eastAsia="en-US"/>
              </w:rPr>
            </w:pPr>
            <w:r>
              <w:rPr>
                <w:rFonts w:ascii="Arial" w:hAnsi="Arial" w:cs="Arial"/>
                <w:snapToGrid w:val="0"/>
                <w:lang w:eastAsia="en-US"/>
              </w:rPr>
              <w:t>Sponsor’s c</w:t>
            </w:r>
            <w:r w:rsidR="000B55C6" w:rsidRPr="003042C5">
              <w:rPr>
                <w:rFonts w:ascii="Arial" w:hAnsi="Arial" w:cs="Arial"/>
                <w:snapToGrid w:val="0"/>
                <w:lang w:eastAsia="en-US"/>
              </w:rPr>
              <w:t>omment:</w:t>
            </w:r>
          </w:p>
        </w:tc>
        <w:tc>
          <w:tcPr>
            <w:tcW w:w="7011" w:type="dxa"/>
            <w:shd w:val="clear" w:color="auto" w:fill="auto"/>
          </w:tcPr>
          <w:p w14:paraId="178DB024" w14:textId="399B401F" w:rsidR="00463741" w:rsidRPr="001F6F9A" w:rsidRDefault="001F6F9A" w:rsidP="001F6F9A">
            <w:pPr>
              <w:rPr>
                <w:rFonts w:ascii="Arial" w:hAnsi="Arial" w:cs="Arial"/>
              </w:rPr>
            </w:pPr>
            <w:proofErr w:type="spellStart"/>
            <w:r w:rsidRPr="001F6F9A">
              <w:rPr>
                <w:rFonts w:ascii="Arial" w:hAnsi="Arial" w:cs="Arial"/>
                <w:iCs/>
              </w:rPr>
              <w:t>Chiesi</w:t>
            </w:r>
            <w:proofErr w:type="spellEnd"/>
            <w:r w:rsidRPr="001F6F9A">
              <w:rPr>
                <w:rFonts w:ascii="Arial" w:hAnsi="Arial" w:cs="Arial"/>
                <w:iCs/>
              </w:rPr>
              <w:t xml:space="preserve"> Australia</w:t>
            </w:r>
            <w:r w:rsidR="00093219">
              <w:rPr>
                <w:rFonts w:ascii="Arial" w:hAnsi="Arial" w:cs="Arial"/>
                <w:iCs/>
              </w:rPr>
              <w:t xml:space="preserve"> (formerly Emerge Health)</w:t>
            </w:r>
            <w:r w:rsidRPr="001F6F9A">
              <w:rPr>
                <w:rFonts w:ascii="Arial" w:hAnsi="Arial" w:cs="Arial"/>
                <w:iCs/>
              </w:rPr>
              <w:t xml:space="preserve"> will work collaboratively with the PBAC, the Department of Health, and the Federal Government to ensure pati</w:t>
            </w:r>
            <w:r w:rsidR="00132F19">
              <w:rPr>
                <w:rFonts w:ascii="Arial" w:hAnsi="Arial" w:cs="Arial"/>
                <w:iCs/>
              </w:rPr>
              <w:t>ents living with DS and LGS</w:t>
            </w:r>
            <w:r w:rsidRPr="001F6F9A">
              <w:rPr>
                <w:rFonts w:ascii="Arial" w:hAnsi="Arial" w:cs="Arial"/>
                <w:iCs/>
              </w:rPr>
              <w:t xml:space="preserve"> receive access to </w:t>
            </w:r>
            <w:proofErr w:type="spellStart"/>
            <w:r w:rsidRPr="001F6F9A">
              <w:rPr>
                <w:rFonts w:ascii="Arial" w:hAnsi="Arial" w:cs="Arial"/>
                <w:iCs/>
              </w:rPr>
              <w:t>Epidyolex</w:t>
            </w:r>
            <w:proofErr w:type="spellEnd"/>
            <w:r>
              <w:rPr>
                <w:rFonts w:ascii="Arial" w:hAnsi="Arial" w:cs="Arial"/>
                <w:iCs/>
              </w:rPr>
              <w:t>®</w:t>
            </w:r>
            <w:r w:rsidRPr="001F6F9A">
              <w:rPr>
                <w:rFonts w:ascii="Arial" w:hAnsi="Arial" w:cs="Arial"/>
                <w:iCs/>
              </w:rPr>
              <w:t xml:space="preserve"> through </w:t>
            </w:r>
            <w:r>
              <w:rPr>
                <w:rFonts w:ascii="Arial" w:hAnsi="Arial" w:cs="Arial"/>
                <w:iCs/>
              </w:rPr>
              <w:t>the PBS at the earliest opportunity.</w:t>
            </w:r>
          </w:p>
          <w:p w14:paraId="53CF78EE" w14:textId="77ABDEC2" w:rsidR="009A7FCD" w:rsidRPr="003042C5" w:rsidRDefault="009A7FCD" w:rsidP="000B55C6">
            <w:pPr>
              <w:pStyle w:val="ListParagraph"/>
              <w:ind w:left="0"/>
              <w:rPr>
                <w:rFonts w:ascii="Arial" w:hAnsi="Arial" w:cs="Arial"/>
                <w:sz w:val="20"/>
                <w:szCs w:val="20"/>
              </w:rPr>
            </w:pPr>
          </w:p>
        </w:tc>
      </w:tr>
      <w:tr w:rsidR="00520A2A" w:rsidRPr="003042C5" w14:paraId="5B4B95D3" w14:textId="77777777" w:rsidTr="0028448C">
        <w:trPr>
          <w:trHeight w:val="477"/>
        </w:trPr>
        <w:tc>
          <w:tcPr>
            <w:tcW w:w="3071" w:type="dxa"/>
            <w:vMerge w:val="restart"/>
            <w:tcMar>
              <w:top w:w="28" w:type="dxa"/>
              <w:bottom w:w="28" w:type="dxa"/>
            </w:tcMar>
          </w:tcPr>
          <w:p w14:paraId="4D7D49D3" w14:textId="77777777" w:rsidR="00520A2A" w:rsidRPr="007F2336" w:rsidRDefault="00520A2A" w:rsidP="00520A2A">
            <w:pPr>
              <w:rPr>
                <w:rFonts w:ascii="Arial" w:hAnsi="Arial" w:cs="Arial"/>
                <w:color w:val="000000"/>
              </w:rPr>
            </w:pPr>
            <w:r w:rsidRPr="007F2336">
              <w:rPr>
                <w:rFonts w:ascii="Arial" w:hAnsi="Arial" w:cs="Arial"/>
                <w:color w:val="000000"/>
              </w:rPr>
              <w:t xml:space="preserve">INDACATEROL + GLYCOPYRRONIUM + MOMETASONE </w:t>
            </w:r>
            <w:r w:rsidRPr="007F2336">
              <w:rPr>
                <w:rFonts w:ascii="Arial" w:hAnsi="Arial" w:cs="Arial"/>
                <w:color w:val="000000"/>
              </w:rPr>
              <w:br/>
            </w:r>
            <w:r w:rsidRPr="007F2336">
              <w:rPr>
                <w:rFonts w:ascii="Arial" w:hAnsi="Arial" w:cs="Arial"/>
                <w:color w:val="000000"/>
              </w:rPr>
              <w:br/>
              <w:t xml:space="preserve">Capsule containing powder for oral inhalation </w:t>
            </w:r>
            <w:proofErr w:type="spellStart"/>
            <w:r w:rsidRPr="007F2336">
              <w:rPr>
                <w:rFonts w:ascii="Arial" w:hAnsi="Arial" w:cs="Arial"/>
                <w:color w:val="000000"/>
              </w:rPr>
              <w:t>mometasone</w:t>
            </w:r>
            <w:proofErr w:type="spellEnd"/>
            <w:r w:rsidRPr="007F2336">
              <w:rPr>
                <w:rFonts w:ascii="Arial" w:hAnsi="Arial" w:cs="Arial"/>
                <w:color w:val="000000"/>
              </w:rPr>
              <w:t xml:space="preserve"> furoate 80 micrograms with </w:t>
            </w:r>
            <w:proofErr w:type="spellStart"/>
            <w:r w:rsidRPr="007F2336">
              <w:rPr>
                <w:rFonts w:ascii="Arial" w:hAnsi="Arial" w:cs="Arial"/>
                <w:color w:val="000000"/>
              </w:rPr>
              <w:t>indacaterol</w:t>
            </w:r>
            <w:proofErr w:type="spellEnd"/>
            <w:r w:rsidRPr="007F2336">
              <w:rPr>
                <w:rFonts w:ascii="Arial" w:hAnsi="Arial" w:cs="Arial"/>
                <w:color w:val="000000"/>
              </w:rPr>
              <w:t xml:space="preserve"> 150 micrograms (as acetate) with </w:t>
            </w:r>
            <w:proofErr w:type="spellStart"/>
            <w:r w:rsidRPr="007F2336">
              <w:rPr>
                <w:rFonts w:ascii="Arial" w:hAnsi="Arial" w:cs="Arial"/>
                <w:color w:val="000000"/>
              </w:rPr>
              <w:t>glycopyrronium</w:t>
            </w:r>
            <w:proofErr w:type="spellEnd"/>
            <w:r w:rsidRPr="007F2336">
              <w:rPr>
                <w:rFonts w:ascii="Arial" w:hAnsi="Arial" w:cs="Arial"/>
                <w:color w:val="000000"/>
              </w:rPr>
              <w:t xml:space="preserve"> 50</w:t>
            </w:r>
            <w:r>
              <w:rPr>
                <w:rFonts w:ascii="Arial" w:hAnsi="Arial" w:cs="Arial"/>
                <w:color w:val="000000"/>
              </w:rPr>
              <w:t> </w:t>
            </w:r>
            <w:r w:rsidRPr="007F2336">
              <w:rPr>
                <w:rFonts w:ascii="Arial" w:hAnsi="Arial" w:cs="Arial"/>
                <w:color w:val="000000"/>
              </w:rPr>
              <w:t xml:space="preserve">micrograms (as bromide) (for use in </w:t>
            </w:r>
            <w:proofErr w:type="spellStart"/>
            <w:r w:rsidRPr="007F2336">
              <w:rPr>
                <w:rFonts w:ascii="Arial" w:hAnsi="Arial" w:cs="Arial"/>
                <w:color w:val="000000"/>
              </w:rPr>
              <w:t>Breezhaler</w:t>
            </w:r>
            <w:proofErr w:type="spellEnd"/>
            <w:r w:rsidRPr="007F2336">
              <w:rPr>
                <w:rFonts w:ascii="Arial" w:hAnsi="Arial" w:cs="Arial"/>
                <w:color w:val="000000"/>
              </w:rPr>
              <w:t>)</w:t>
            </w:r>
            <w:r w:rsidRPr="007F2336">
              <w:rPr>
                <w:rFonts w:ascii="Arial" w:hAnsi="Arial" w:cs="Arial"/>
                <w:color w:val="000000"/>
              </w:rPr>
              <w:br/>
            </w:r>
            <w:r w:rsidRPr="007F2336">
              <w:rPr>
                <w:rFonts w:ascii="Arial" w:hAnsi="Arial" w:cs="Arial"/>
                <w:color w:val="000000"/>
              </w:rPr>
              <w:br/>
              <w:t xml:space="preserve">Capsule containing powder for oral inhalation </w:t>
            </w:r>
            <w:proofErr w:type="spellStart"/>
            <w:r w:rsidRPr="007F2336">
              <w:rPr>
                <w:rFonts w:ascii="Arial" w:hAnsi="Arial" w:cs="Arial"/>
                <w:color w:val="000000"/>
              </w:rPr>
              <w:t>mometasone</w:t>
            </w:r>
            <w:proofErr w:type="spellEnd"/>
            <w:r w:rsidRPr="007F2336">
              <w:rPr>
                <w:rFonts w:ascii="Arial" w:hAnsi="Arial" w:cs="Arial"/>
                <w:color w:val="000000"/>
              </w:rPr>
              <w:t xml:space="preserve"> furoate 160 micrograms  with </w:t>
            </w:r>
            <w:proofErr w:type="spellStart"/>
            <w:r w:rsidRPr="007F2336">
              <w:rPr>
                <w:rFonts w:ascii="Arial" w:hAnsi="Arial" w:cs="Arial"/>
                <w:color w:val="000000"/>
              </w:rPr>
              <w:t>indacaterol</w:t>
            </w:r>
            <w:proofErr w:type="spellEnd"/>
            <w:r w:rsidRPr="007F2336">
              <w:rPr>
                <w:rFonts w:ascii="Arial" w:hAnsi="Arial" w:cs="Arial"/>
                <w:color w:val="000000"/>
              </w:rPr>
              <w:t xml:space="preserve"> 150 micrograms (as acetate) with </w:t>
            </w:r>
            <w:proofErr w:type="spellStart"/>
            <w:r w:rsidRPr="007F2336">
              <w:rPr>
                <w:rFonts w:ascii="Arial" w:hAnsi="Arial" w:cs="Arial"/>
                <w:color w:val="000000"/>
              </w:rPr>
              <w:t>glycopyrronium</w:t>
            </w:r>
            <w:proofErr w:type="spellEnd"/>
            <w:r w:rsidRPr="007F2336">
              <w:rPr>
                <w:rFonts w:ascii="Arial" w:hAnsi="Arial" w:cs="Arial"/>
                <w:color w:val="000000"/>
              </w:rPr>
              <w:t xml:space="preserve"> 50</w:t>
            </w:r>
            <w:r>
              <w:rPr>
                <w:rFonts w:ascii="Arial" w:hAnsi="Arial" w:cs="Arial"/>
                <w:color w:val="000000"/>
              </w:rPr>
              <w:t> </w:t>
            </w:r>
            <w:r w:rsidRPr="007F2336">
              <w:rPr>
                <w:rFonts w:ascii="Arial" w:hAnsi="Arial" w:cs="Arial"/>
                <w:color w:val="000000"/>
              </w:rPr>
              <w:t xml:space="preserve">micrograms (as bromide) (for use in </w:t>
            </w:r>
            <w:proofErr w:type="spellStart"/>
            <w:r w:rsidRPr="007F2336">
              <w:rPr>
                <w:rFonts w:ascii="Arial" w:hAnsi="Arial" w:cs="Arial"/>
                <w:color w:val="000000"/>
              </w:rPr>
              <w:t>Breezhaler</w:t>
            </w:r>
            <w:proofErr w:type="spellEnd"/>
            <w:r w:rsidRPr="007F2336">
              <w:rPr>
                <w:rFonts w:ascii="Arial" w:hAnsi="Arial" w:cs="Arial"/>
                <w:color w:val="000000"/>
              </w:rPr>
              <w:t>)</w:t>
            </w:r>
            <w:r w:rsidRPr="007F2336">
              <w:rPr>
                <w:rFonts w:ascii="Arial" w:hAnsi="Arial" w:cs="Arial"/>
                <w:color w:val="000000"/>
              </w:rPr>
              <w:br/>
            </w:r>
            <w:r w:rsidRPr="007F2336">
              <w:rPr>
                <w:rFonts w:ascii="Arial" w:hAnsi="Arial" w:cs="Arial"/>
                <w:color w:val="000000"/>
              </w:rPr>
              <w:br/>
            </w:r>
            <w:proofErr w:type="spellStart"/>
            <w:r w:rsidRPr="007F2336">
              <w:rPr>
                <w:rFonts w:ascii="Arial" w:hAnsi="Arial" w:cs="Arial"/>
                <w:color w:val="000000"/>
              </w:rPr>
              <w:t>Enerzair</w:t>
            </w:r>
            <w:proofErr w:type="spellEnd"/>
            <w:r w:rsidRPr="007F2336">
              <w:rPr>
                <w:rFonts w:ascii="Arial" w:hAnsi="Arial" w:cs="Arial"/>
                <w:color w:val="000000"/>
              </w:rPr>
              <w:t xml:space="preserve"> </w:t>
            </w:r>
            <w:proofErr w:type="spellStart"/>
            <w:r w:rsidRPr="007F2336">
              <w:rPr>
                <w:rFonts w:ascii="Arial" w:hAnsi="Arial" w:cs="Arial"/>
                <w:color w:val="000000"/>
              </w:rPr>
              <w:t>Breezhaler</w:t>
            </w:r>
            <w:proofErr w:type="spellEnd"/>
            <w:r w:rsidRPr="007F2336">
              <w:rPr>
                <w:rFonts w:ascii="Arial" w:hAnsi="Arial" w:cs="Arial"/>
                <w:color w:val="000000"/>
              </w:rPr>
              <w:t>®</w:t>
            </w:r>
            <w:r w:rsidRPr="007F2336">
              <w:rPr>
                <w:rFonts w:ascii="Arial" w:hAnsi="Arial" w:cs="Arial"/>
                <w:color w:val="000000"/>
              </w:rPr>
              <w:br/>
            </w:r>
            <w:r w:rsidRPr="007F2336">
              <w:rPr>
                <w:rFonts w:ascii="Arial" w:hAnsi="Arial" w:cs="Arial"/>
                <w:color w:val="000000"/>
              </w:rPr>
              <w:br/>
              <w:t>Novartis Pharmaceuticals Australia Pty Ltd</w:t>
            </w:r>
            <w:r w:rsidRPr="007F2336">
              <w:rPr>
                <w:rFonts w:ascii="Arial" w:hAnsi="Arial" w:cs="Arial"/>
                <w:color w:val="000000"/>
              </w:rPr>
              <w:br/>
            </w:r>
            <w:r w:rsidRPr="007F2336">
              <w:rPr>
                <w:rFonts w:ascii="Arial" w:hAnsi="Arial" w:cs="Arial"/>
                <w:color w:val="000000"/>
              </w:rPr>
              <w:br/>
              <w:t>New listing</w:t>
            </w:r>
            <w:r w:rsidRPr="007F2336">
              <w:rPr>
                <w:rFonts w:ascii="Arial" w:hAnsi="Arial" w:cs="Arial"/>
                <w:color w:val="000000"/>
              </w:rPr>
              <w:br/>
              <w:t>(Major Submission)</w:t>
            </w:r>
          </w:p>
          <w:p w14:paraId="0D488A35" w14:textId="77777777" w:rsidR="00520A2A" w:rsidRPr="003042C5" w:rsidRDefault="00520A2A" w:rsidP="00520A2A">
            <w:pPr>
              <w:widowControl w:val="0"/>
              <w:rPr>
                <w:rFonts w:ascii="Arial" w:hAnsi="Arial" w:cs="Arial"/>
                <w:snapToGrid w:val="0"/>
                <w:lang w:eastAsia="en-US"/>
              </w:rPr>
            </w:pPr>
          </w:p>
        </w:tc>
        <w:tc>
          <w:tcPr>
            <w:tcW w:w="2262" w:type="dxa"/>
          </w:tcPr>
          <w:p w14:paraId="32EACCCD" w14:textId="5A860A61" w:rsidR="00520A2A" w:rsidRPr="003042C5" w:rsidRDefault="00520A2A" w:rsidP="00520A2A">
            <w:pPr>
              <w:widowControl w:val="0"/>
              <w:rPr>
                <w:rFonts w:ascii="Arial" w:hAnsi="Arial" w:cs="Arial"/>
                <w:snapToGrid w:val="0"/>
                <w:lang w:eastAsia="en-US"/>
              </w:rPr>
            </w:pPr>
            <w:r w:rsidRPr="007F2336">
              <w:rPr>
                <w:rFonts w:ascii="Arial" w:hAnsi="Arial" w:cs="Arial"/>
                <w:color w:val="000000"/>
              </w:rPr>
              <w:t xml:space="preserve">Asthma </w:t>
            </w:r>
          </w:p>
        </w:tc>
        <w:tc>
          <w:tcPr>
            <w:tcW w:w="3201" w:type="dxa"/>
            <w:tcMar>
              <w:top w:w="28" w:type="dxa"/>
              <w:bottom w:w="28" w:type="dxa"/>
            </w:tcMar>
          </w:tcPr>
          <w:p w14:paraId="74BF9B21" w14:textId="63490633" w:rsidR="00520A2A" w:rsidRDefault="00520A2A" w:rsidP="00520A2A">
            <w:pPr>
              <w:widowControl w:val="0"/>
              <w:jc w:val="right"/>
              <w:rPr>
                <w:rFonts w:ascii="Arial" w:hAnsi="Arial" w:cs="Arial"/>
                <w:snapToGrid w:val="0"/>
                <w:lang w:eastAsia="en-US"/>
              </w:rPr>
            </w:pPr>
            <w:r w:rsidRPr="007F2336">
              <w:rPr>
                <w:rFonts w:ascii="Arial" w:hAnsi="Arial" w:cs="Arial"/>
                <w:color w:val="000000"/>
              </w:rPr>
              <w:t>To request an Authority Required (STREAMLINED) listing for the treatment of patients with sev</w:t>
            </w:r>
            <w:r>
              <w:rPr>
                <w:rFonts w:ascii="Arial" w:hAnsi="Arial" w:cs="Arial"/>
                <w:color w:val="000000"/>
              </w:rPr>
              <w:t xml:space="preserve">ere asthma who are inadequately </w:t>
            </w:r>
            <w:r w:rsidRPr="007F2336">
              <w:rPr>
                <w:rFonts w:ascii="Arial" w:hAnsi="Arial" w:cs="Arial"/>
                <w:color w:val="000000"/>
              </w:rPr>
              <w:t>controlled on a long acting beta agonist in combination with an inhaled corticosteroid (LABA/ICS).</w:t>
            </w:r>
          </w:p>
        </w:tc>
        <w:tc>
          <w:tcPr>
            <w:tcW w:w="7011" w:type="dxa"/>
            <w:shd w:val="clear" w:color="auto" w:fill="auto"/>
          </w:tcPr>
          <w:p w14:paraId="037FC000" w14:textId="77777777" w:rsidR="00520A2A" w:rsidRDefault="00520A2A" w:rsidP="00520A2A">
            <w:pPr>
              <w:rPr>
                <w:rFonts w:ascii="Arial" w:hAnsi="Arial" w:cs="Arial"/>
                <w:color w:val="000000"/>
              </w:rPr>
            </w:pPr>
            <w:r w:rsidRPr="007F2336">
              <w:rPr>
                <w:rFonts w:ascii="Arial" w:hAnsi="Arial"/>
                <w:lang w:val="en-GB"/>
              </w:rPr>
              <w:t xml:space="preserve">The PBAC deferred making a recommendation for the listing of </w:t>
            </w:r>
            <w:proofErr w:type="spellStart"/>
            <w:r w:rsidRPr="007F2336">
              <w:rPr>
                <w:rFonts w:ascii="Arial" w:hAnsi="Arial"/>
                <w:lang w:val="en-GB"/>
              </w:rPr>
              <w:t>mometasone</w:t>
            </w:r>
            <w:proofErr w:type="spellEnd"/>
            <w:r w:rsidRPr="007F2336">
              <w:rPr>
                <w:rFonts w:ascii="Arial" w:hAnsi="Arial"/>
                <w:lang w:val="en-GB"/>
              </w:rPr>
              <w:t xml:space="preserve"> furoate (MF), with </w:t>
            </w:r>
            <w:proofErr w:type="spellStart"/>
            <w:r w:rsidRPr="007F2336">
              <w:rPr>
                <w:rFonts w:ascii="Arial" w:hAnsi="Arial"/>
                <w:lang w:val="en-GB"/>
              </w:rPr>
              <w:t>indacaterol</w:t>
            </w:r>
            <w:proofErr w:type="spellEnd"/>
            <w:r w:rsidRPr="007F2336">
              <w:rPr>
                <w:rFonts w:ascii="Arial" w:hAnsi="Arial"/>
                <w:lang w:val="en-GB"/>
              </w:rPr>
              <w:t xml:space="preserve"> acetate (IND) and </w:t>
            </w:r>
            <w:proofErr w:type="spellStart"/>
            <w:r w:rsidRPr="007F2336">
              <w:rPr>
                <w:rFonts w:ascii="Arial" w:hAnsi="Arial"/>
                <w:lang w:val="en-GB"/>
              </w:rPr>
              <w:t>glycopyrronium</w:t>
            </w:r>
            <w:proofErr w:type="spellEnd"/>
            <w:r w:rsidRPr="007F2336">
              <w:rPr>
                <w:rFonts w:ascii="Arial" w:hAnsi="Arial"/>
                <w:lang w:val="en-GB"/>
              </w:rPr>
              <w:t xml:space="preserve"> (GLY) </w:t>
            </w:r>
            <w:r w:rsidRPr="007F2336">
              <w:rPr>
                <w:rFonts w:ascii="Arial" w:hAnsi="Arial"/>
                <w:bCs/>
                <w:lang w:val="en-GB"/>
              </w:rPr>
              <w:t>fixed dose combination (FDC)</w:t>
            </w:r>
            <w:r w:rsidRPr="007F2336">
              <w:rPr>
                <w:rFonts w:ascii="Arial" w:hAnsi="Arial"/>
                <w:lang w:val="en-GB"/>
              </w:rPr>
              <w:t xml:space="preserve"> for maintenance therapy of severe asthma as it was unclear if TGA registration would include medium dose MF/IND/GLY. However, the PBAC was of a mind to recommend the listing of high dose MF/IND/GLY for this indication on a cost-minimisation basis </w:t>
            </w:r>
            <w:r>
              <w:rPr>
                <w:rFonts w:ascii="Arial" w:hAnsi="Arial"/>
                <w:lang w:val="en-GB"/>
              </w:rPr>
              <w:t xml:space="preserve">compared </w:t>
            </w:r>
            <w:r w:rsidRPr="007F2336">
              <w:rPr>
                <w:rFonts w:ascii="Arial" w:hAnsi="Arial"/>
                <w:lang w:val="en-GB"/>
              </w:rPr>
              <w:t xml:space="preserve">with the least </w:t>
            </w:r>
            <w:r w:rsidRPr="007F2336">
              <w:rPr>
                <w:rFonts w:ascii="Arial" w:hAnsi="Arial"/>
                <w:bCs/>
              </w:rPr>
              <w:t>costly combination of high d</w:t>
            </w:r>
            <w:r>
              <w:rPr>
                <w:rFonts w:ascii="Arial" w:hAnsi="Arial"/>
                <w:bCs/>
              </w:rPr>
              <w:t xml:space="preserve">ose ICS </w:t>
            </w:r>
            <w:r w:rsidRPr="007F2336">
              <w:rPr>
                <w:rFonts w:ascii="Arial" w:hAnsi="Arial"/>
                <w:bCs/>
              </w:rPr>
              <w:t xml:space="preserve">with </w:t>
            </w:r>
            <w:r>
              <w:rPr>
                <w:rFonts w:ascii="Arial" w:hAnsi="Arial"/>
                <w:bCs/>
              </w:rPr>
              <w:t xml:space="preserve">LABA </w:t>
            </w:r>
            <w:r w:rsidRPr="007F2336">
              <w:rPr>
                <w:rFonts w:ascii="Arial" w:hAnsi="Arial"/>
                <w:bCs/>
              </w:rPr>
              <w:t>FDC plus long-act</w:t>
            </w:r>
            <w:r>
              <w:rPr>
                <w:rFonts w:ascii="Arial" w:hAnsi="Arial"/>
                <w:bCs/>
              </w:rPr>
              <w:t xml:space="preserve">ing muscarinic antagonist. </w:t>
            </w:r>
          </w:p>
          <w:p w14:paraId="75AF25D7" w14:textId="24C4527B" w:rsidR="00520A2A" w:rsidRPr="001F6F9A" w:rsidRDefault="00520A2A" w:rsidP="00520A2A">
            <w:pPr>
              <w:rPr>
                <w:rFonts w:ascii="Arial" w:hAnsi="Arial" w:cs="Arial"/>
                <w:iCs/>
              </w:rPr>
            </w:pPr>
            <w:bookmarkStart w:id="0" w:name="_GoBack"/>
            <w:bookmarkEnd w:id="0"/>
          </w:p>
        </w:tc>
      </w:tr>
      <w:tr w:rsidR="00520A2A" w:rsidRPr="003042C5" w14:paraId="7330CCE9" w14:textId="77777777" w:rsidTr="0028448C">
        <w:trPr>
          <w:trHeight w:val="477"/>
        </w:trPr>
        <w:tc>
          <w:tcPr>
            <w:tcW w:w="3071" w:type="dxa"/>
            <w:vMerge/>
            <w:tcMar>
              <w:top w:w="28" w:type="dxa"/>
              <w:bottom w:w="28" w:type="dxa"/>
            </w:tcMar>
          </w:tcPr>
          <w:p w14:paraId="2EBA84B5" w14:textId="77777777" w:rsidR="00520A2A" w:rsidRPr="003042C5" w:rsidRDefault="00520A2A" w:rsidP="00520A2A">
            <w:pPr>
              <w:widowControl w:val="0"/>
              <w:rPr>
                <w:rFonts w:ascii="Arial" w:hAnsi="Arial" w:cs="Arial"/>
                <w:snapToGrid w:val="0"/>
                <w:lang w:eastAsia="en-US"/>
              </w:rPr>
            </w:pPr>
          </w:p>
        </w:tc>
        <w:tc>
          <w:tcPr>
            <w:tcW w:w="2262" w:type="dxa"/>
          </w:tcPr>
          <w:p w14:paraId="4481E6B3" w14:textId="77777777" w:rsidR="00520A2A" w:rsidRPr="003042C5" w:rsidRDefault="00520A2A" w:rsidP="00520A2A">
            <w:pPr>
              <w:widowControl w:val="0"/>
              <w:rPr>
                <w:rFonts w:ascii="Arial" w:hAnsi="Arial" w:cs="Arial"/>
                <w:snapToGrid w:val="0"/>
                <w:lang w:eastAsia="en-US"/>
              </w:rPr>
            </w:pPr>
          </w:p>
        </w:tc>
        <w:tc>
          <w:tcPr>
            <w:tcW w:w="3201" w:type="dxa"/>
            <w:tcMar>
              <w:top w:w="28" w:type="dxa"/>
              <w:bottom w:w="28" w:type="dxa"/>
            </w:tcMar>
          </w:tcPr>
          <w:p w14:paraId="467C3DCA" w14:textId="55BAA2E2" w:rsidR="00520A2A" w:rsidRDefault="00520A2A" w:rsidP="00520A2A">
            <w:pPr>
              <w:widowControl w:val="0"/>
              <w:jc w:val="right"/>
              <w:rPr>
                <w:rFonts w:ascii="Arial" w:hAnsi="Arial" w:cs="Arial"/>
                <w:snapToGrid w:val="0"/>
                <w:lang w:eastAsia="en-US"/>
              </w:rPr>
            </w:pPr>
            <w:r>
              <w:rPr>
                <w:rFonts w:ascii="Arial" w:hAnsi="Arial" w:cs="Arial"/>
                <w:color w:val="000000"/>
              </w:rPr>
              <w:t xml:space="preserve">Sponsor’s comment: </w:t>
            </w:r>
          </w:p>
        </w:tc>
        <w:tc>
          <w:tcPr>
            <w:tcW w:w="7011" w:type="dxa"/>
            <w:shd w:val="clear" w:color="auto" w:fill="auto"/>
          </w:tcPr>
          <w:p w14:paraId="275B4347" w14:textId="7407A14C" w:rsidR="00520A2A" w:rsidRPr="001F6F9A" w:rsidRDefault="00520A2A" w:rsidP="00520A2A">
            <w:pPr>
              <w:rPr>
                <w:rFonts w:ascii="Arial" w:hAnsi="Arial" w:cs="Arial"/>
                <w:iCs/>
              </w:rPr>
            </w:pPr>
            <w:r>
              <w:rPr>
                <w:rFonts w:ascii="Arial" w:hAnsi="Arial" w:cs="Arial"/>
                <w:color w:val="000000"/>
              </w:rPr>
              <w:t>T</w:t>
            </w:r>
            <w:r w:rsidRPr="00C67719">
              <w:rPr>
                <w:rFonts w:ascii="Arial" w:hAnsi="Arial" w:cs="Arial"/>
                <w:color w:val="000000"/>
              </w:rPr>
              <w:t>he sponsor had no comment</w:t>
            </w:r>
            <w:r>
              <w:rPr>
                <w:rFonts w:ascii="Arial" w:hAnsi="Arial" w:cs="Arial"/>
                <w:color w:val="000000"/>
              </w:rPr>
              <w:t>.</w:t>
            </w:r>
          </w:p>
        </w:tc>
      </w:tr>
      <w:tr w:rsidR="000B55C6" w:rsidRPr="003042C5" w14:paraId="0B3A379F" w14:textId="77777777" w:rsidTr="009B2C4C">
        <w:trPr>
          <w:trHeight w:val="2797"/>
        </w:trPr>
        <w:tc>
          <w:tcPr>
            <w:tcW w:w="3071" w:type="dxa"/>
            <w:vMerge w:val="restart"/>
            <w:tcMar>
              <w:top w:w="28" w:type="dxa"/>
              <w:bottom w:w="28" w:type="dxa"/>
            </w:tcMar>
          </w:tcPr>
          <w:p w14:paraId="7065A19E" w14:textId="445EBE6C" w:rsidR="00766A13" w:rsidRPr="003042C5" w:rsidRDefault="00766A13" w:rsidP="00766A13">
            <w:pPr>
              <w:rPr>
                <w:rFonts w:ascii="Arial" w:hAnsi="Arial" w:cs="Arial"/>
                <w:color w:val="000000"/>
              </w:rPr>
            </w:pPr>
            <w:r w:rsidRPr="003042C5">
              <w:rPr>
                <w:rFonts w:ascii="Arial" w:hAnsi="Arial" w:cs="Arial"/>
                <w:color w:val="000000"/>
              </w:rPr>
              <w:lastRenderedPageBreak/>
              <w:t>LANADELUMAB</w:t>
            </w:r>
            <w:r w:rsidRPr="003042C5">
              <w:rPr>
                <w:rFonts w:ascii="Arial" w:hAnsi="Arial" w:cs="Arial"/>
                <w:color w:val="000000"/>
              </w:rPr>
              <w:br/>
            </w:r>
            <w:r w:rsidRPr="003042C5">
              <w:rPr>
                <w:rFonts w:ascii="Arial" w:hAnsi="Arial" w:cs="Arial"/>
                <w:color w:val="000000"/>
              </w:rPr>
              <w:br/>
              <w:t>Solution for subcutaneous injection 300 mg in 2 mL</w:t>
            </w:r>
            <w:r w:rsidRPr="003042C5">
              <w:rPr>
                <w:rFonts w:ascii="Arial" w:hAnsi="Arial" w:cs="Arial"/>
                <w:color w:val="000000"/>
              </w:rPr>
              <w:br/>
              <w:t>300 mg in 2 m</w:t>
            </w:r>
            <w:r w:rsidR="009C2866">
              <w:rPr>
                <w:rFonts w:ascii="Arial" w:hAnsi="Arial" w:cs="Arial"/>
                <w:color w:val="000000"/>
              </w:rPr>
              <w:t>L pre-filled syringe</w:t>
            </w:r>
            <w:r w:rsidR="009C2866">
              <w:rPr>
                <w:rFonts w:ascii="Arial" w:hAnsi="Arial" w:cs="Arial"/>
                <w:color w:val="000000"/>
              </w:rPr>
              <w:br/>
            </w:r>
            <w:r w:rsidR="009C2866">
              <w:rPr>
                <w:rFonts w:ascii="Arial" w:hAnsi="Arial" w:cs="Arial"/>
                <w:color w:val="000000"/>
              </w:rPr>
              <w:br/>
            </w:r>
            <w:proofErr w:type="spellStart"/>
            <w:r w:rsidR="009C2866">
              <w:rPr>
                <w:rFonts w:ascii="Arial" w:hAnsi="Arial" w:cs="Arial"/>
                <w:color w:val="000000"/>
              </w:rPr>
              <w:t>Takhzyro</w:t>
            </w:r>
            <w:proofErr w:type="spellEnd"/>
            <w:r w:rsidR="009C2866">
              <w:rPr>
                <w:rFonts w:ascii="Arial" w:hAnsi="Arial" w:cs="Arial"/>
                <w:color w:val="000000"/>
              </w:rPr>
              <w:t>®</w:t>
            </w:r>
            <w:r w:rsidRPr="003042C5">
              <w:rPr>
                <w:rFonts w:ascii="Arial" w:hAnsi="Arial" w:cs="Arial"/>
                <w:color w:val="000000"/>
              </w:rPr>
              <w:br/>
            </w:r>
            <w:r w:rsidRPr="003042C5">
              <w:rPr>
                <w:rFonts w:ascii="Arial" w:hAnsi="Arial" w:cs="Arial"/>
                <w:color w:val="000000"/>
              </w:rPr>
              <w:br/>
              <w:t xml:space="preserve">Shire Australia Pty Ltd </w:t>
            </w:r>
            <w:r w:rsidRPr="003042C5">
              <w:rPr>
                <w:rFonts w:ascii="Arial" w:hAnsi="Arial" w:cs="Arial"/>
                <w:color w:val="000000"/>
              </w:rPr>
              <w:br/>
            </w:r>
            <w:r w:rsidRPr="003042C5">
              <w:rPr>
                <w:rFonts w:ascii="Arial" w:hAnsi="Arial" w:cs="Arial"/>
                <w:color w:val="000000"/>
              </w:rPr>
              <w:br/>
              <w:t>New listing</w:t>
            </w:r>
            <w:r w:rsidRPr="003042C5">
              <w:rPr>
                <w:rFonts w:ascii="Arial" w:hAnsi="Arial" w:cs="Arial"/>
                <w:color w:val="000000"/>
              </w:rPr>
              <w:br/>
              <w:t>(Major Submission)</w:t>
            </w:r>
          </w:p>
          <w:p w14:paraId="13D731BF" w14:textId="35861A55" w:rsidR="000B55C6" w:rsidRPr="003042C5" w:rsidRDefault="000B55C6" w:rsidP="000B55C6">
            <w:pPr>
              <w:widowControl w:val="0"/>
              <w:rPr>
                <w:rFonts w:ascii="Arial" w:hAnsi="Arial" w:cs="Arial"/>
                <w:snapToGrid w:val="0"/>
                <w:lang w:eastAsia="en-US"/>
              </w:rPr>
            </w:pPr>
          </w:p>
        </w:tc>
        <w:tc>
          <w:tcPr>
            <w:tcW w:w="2262" w:type="dxa"/>
            <w:vMerge w:val="restart"/>
          </w:tcPr>
          <w:p w14:paraId="5F0637D7" w14:textId="012A9F80" w:rsidR="00766A13" w:rsidRPr="003042C5" w:rsidRDefault="00766A13" w:rsidP="00766A13">
            <w:pPr>
              <w:rPr>
                <w:rFonts w:ascii="Arial" w:hAnsi="Arial" w:cs="Arial"/>
                <w:color w:val="000000"/>
              </w:rPr>
            </w:pPr>
            <w:r w:rsidRPr="003042C5">
              <w:rPr>
                <w:rFonts w:ascii="Arial" w:hAnsi="Arial" w:cs="Arial"/>
                <w:color w:val="000000"/>
              </w:rPr>
              <w:t xml:space="preserve">Hereditary angioedema </w:t>
            </w:r>
            <w:r w:rsidR="00796A72">
              <w:rPr>
                <w:rFonts w:ascii="Arial" w:hAnsi="Arial" w:cs="Arial"/>
                <w:color w:val="000000"/>
              </w:rPr>
              <w:t>(HAE)</w:t>
            </w:r>
          </w:p>
          <w:p w14:paraId="419C2D6D" w14:textId="3E2BE893"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70C1CEBA" w14:textId="03E90A6A" w:rsidR="00766A13" w:rsidRPr="003042C5" w:rsidRDefault="00766A13" w:rsidP="00766A13">
            <w:pPr>
              <w:rPr>
                <w:rFonts w:ascii="Arial" w:hAnsi="Arial" w:cs="Arial"/>
                <w:color w:val="000000"/>
              </w:rPr>
            </w:pPr>
            <w:r w:rsidRPr="003042C5">
              <w:rPr>
                <w:rFonts w:ascii="Arial" w:hAnsi="Arial" w:cs="Arial"/>
                <w:color w:val="000000"/>
              </w:rPr>
              <w:t>Resubmission to request an Authority Required listing for the</w:t>
            </w:r>
            <w:r w:rsidRPr="003042C5">
              <w:rPr>
                <w:rFonts w:ascii="Arial" w:hAnsi="Arial" w:cs="Arial"/>
                <w:color w:val="000000"/>
              </w:rPr>
              <w:br/>
              <w:t xml:space="preserve">prevention of </w:t>
            </w:r>
            <w:r w:rsidR="00796A72">
              <w:rPr>
                <w:rFonts w:ascii="Arial" w:hAnsi="Arial" w:cs="Arial"/>
                <w:color w:val="000000"/>
              </w:rPr>
              <w:t>recurrent attacks of HAE</w:t>
            </w:r>
            <w:r w:rsidRPr="003042C5">
              <w:rPr>
                <w:rFonts w:ascii="Arial" w:hAnsi="Arial" w:cs="Arial"/>
                <w:color w:val="000000"/>
              </w:rPr>
              <w:t xml:space="preserve"> (C1-esterase-inhibitor </w:t>
            </w:r>
            <w:r w:rsidR="00796A72">
              <w:rPr>
                <w:rFonts w:ascii="Arial" w:hAnsi="Arial" w:cs="Arial"/>
                <w:color w:val="000000"/>
              </w:rPr>
              <w:t xml:space="preserve">(C1-INH) </w:t>
            </w:r>
            <w:r w:rsidRPr="003042C5">
              <w:rPr>
                <w:rFonts w:ascii="Arial" w:hAnsi="Arial" w:cs="Arial"/>
                <w:color w:val="000000"/>
              </w:rPr>
              <w:t>deficiency or</w:t>
            </w:r>
            <w:r w:rsidRPr="003042C5">
              <w:rPr>
                <w:rFonts w:ascii="Arial" w:hAnsi="Arial" w:cs="Arial"/>
                <w:color w:val="000000"/>
              </w:rPr>
              <w:br/>
              <w:t>dysfunction) in patients aged 12 years and older.</w:t>
            </w:r>
          </w:p>
          <w:p w14:paraId="1F877B8D" w14:textId="6559B970" w:rsidR="000B55C6" w:rsidRPr="003042C5" w:rsidRDefault="000B55C6" w:rsidP="00237251">
            <w:pPr>
              <w:widowControl w:val="0"/>
              <w:rPr>
                <w:rFonts w:ascii="Arial" w:hAnsi="Arial" w:cs="Arial"/>
                <w:snapToGrid w:val="0"/>
                <w:lang w:eastAsia="en-US"/>
              </w:rPr>
            </w:pPr>
          </w:p>
        </w:tc>
        <w:tc>
          <w:tcPr>
            <w:tcW w:w="7011" w:type="dxa"/>
          </w:tcPr>
          <w:p w14:paraId="2B9B989B" w14:textId="413479DB" w:rsidR="000B55C6" w:rsidRPr="00796A72" w:rsidRDefault="00796A72" w:rsidP="00796A72">
            <w:pPr>
              <w:rPr>
                <w:rFonts w:ascii="Arial" w:hAnsi="Arial" w:cs="Arial"/>
                <w:snapToGrid w:val="0"/>
              </w:rPr>
            </w:pPr>
            <w:r>
              <w:rPr>
                <w:rFonts w:ascii="Arial" w:hAnsi="Arial" w:cs="Arial"/>
                <w:snapToGrid w:val="0"/>
              </w:rPr>
              <w:t xml:space="preserve">The PBAC deferred making a recommendation for the listing of </w:t>
            </w:r>
            <w:proofErr w:type="spellStart"/>
            <w:r>
              <w:rPr>
                <w:rFonts w:ascii="Arial" w:hAnsi="Arial" w:cs="Arial"/>
                <w:snapToGrid w:val="0"/>
              </w:rPr>
              <w:t>lanadelumab</w:t>
            </w:r>
            <w:proofErr w:type="spellEnd"/>
            <w:r>
              <w:rPr>
                <w:rFonts w:ascii="Arial" w:hAnsi="Arial" w:cs="Arial"/>
                <w:snapToGrid w:val="0"/>
              </w:rPr>
              <w:t xml:space="preserve"> for routine (long-</w:t>
            </w:r>
            <w:r w:rsidRPr="00796A72">
              <w:rPr>
                <w:rFonts w:ascii="Arial" w:hAnsi="Arial" w:cs="Arial"/>
                <w:snapToGrid w:val="0"/>
              </w:rPr>
              <w:t>term) prophylaxis of recurrent at</w:t>
            </w:r>
            <w:r>
              <w:rPr>
                <w:rFonts w:ascii="Arial" w:hAnsi="Arial" w:cs="Arial"/>
                <w:snapToGrid w:val="0"/>
              </w:rPr>
              <w:t>tacks of HAE</w:t>
            </w:r>
            <w:r w:rsidRPr="00796A72">
              <w:rPr>
                <w:rFonts w:ascii="Arial" w:hAnsi="Arial" w:cs="Arial"/>
                <w:snapToGrid w:val="0"/>
              </w:rPr>
              <w:t>. The PBAC sought further information regarding the most appropriate patient population with regard to baseline HAE attack rate and continuation criteria. The PB</w:t>
            </w:r>
            <w:r>
              <w:rPr>
                <w:rFonts w:ascii="Arial" w:hAnsi="Arial" w:cs="Arial"/>
                <w:snapToGrid w:val="0"/>
              </w:rPr>
              <w:t>AC also considered that the incremental cost-effectiveness ratio</w:t>
            </w:r>
            <w:r w:rsidRPr="00796A72">
              <w:rPr>
                <w:rFonts w:ascii="Arial" w:hAnsi="Arial" w:cs="Arial"/>
                <w:snapToGrid w:val="0"/>
              </w:rPr>
              <w:t xml:space="preserve"> was high and uncertain and noted it was highly dependent on the baseline attack rate and the </w:t>
            </w:r>
            <w:r w:rsidRPr="00796A72">
              <w:rPr>
                <w:rFonts w:ascii="Arial" w:hAnsi="Arial" w:cs="Arial"/>
              </w:rPr>
              <w:t>dosage regimen assumed to be used in practice</w:t>
            </w:r>
            <w:r w:rsidRPr="00796A72">
              <w:rPr>
                <w:rFonts w:ascii="Arial" w:hAnsi="Arial" w:cs="Arial"/>
                <w:snapToGrid w:val="0"/>
              </w:rPr>
              <w:t xml:space="preserve">. </w:t>
            </w:r>
            <w:r>
              <w:rPr>
                <w:rFonts w:ascii="Arial" w:hAnsi="Arial" w:cs="Arial"/>
                <w:snapToGrid w:val="0"/>
              </w:rPr>
              <w:br/>
            </w:r>
            <w:r>
              <w:rPr>
                <w:rFonts w:ascii="Arial" w:hAnsi="Arial" w:cs="Arial"/>
                <w:snapToGrid w:val="0"/>
              </w:rPr>
              <w:br/>
            </w:r>
            <w:r w:rsidRPr="00796A72">
              <w:rPr>
                <w:rFonts w:ascii="Arial" w:hAnsi="Arial" w:cs="Arial"/>
              </w:rPr>
              <w:t>The PBAC considered that there is a high clinical need for effective and tolerable prophylactic therapies for HAE, particularly in patients who have a high burden of disease but do not meet the eligibility require</w:t>
            </w:r>
            <w:r>
              <w:rPr>
                <w:rFonts w:ascii="Arial" w:hAnsi="Arial" w:cs="Arial"/>
              </w:rPr>
              <w:t xml:space="preserve">ments for C1-INH through the National Blood Authority. </w:t>
            </w:r>
          </w:p>
        </w:tc>
      </w:tr>
      <w:tr w:rsidR="000B55C6" w:rsidRPr="003042C5" w14:paraId="7CA0BFD1" w14:textId="77777777" w:rsidTr="008801A8">
        <w:trPr>
          <w:trHeight w:val="477"/>
        </w:trPr>
        <w:tc>
          <w:tcPr>
            <w:tcW w:w="3071" w:type="dxa"/>
            <w:vMerge/>
            <w:tcMar>
              <w:top w:w="28" w:type="dxa"/>
              <w:bottom w:w="28" w:type="dxa"/>
            </w:tcMar>
          </w:tcPr>
          <w:p w14:paraId="537482E9" w14:textId="77777777" w:rsidR="000B55C6" w:rsidRPr="003042C5" w:rsidRDefault="000B55C6" w:rsidP="000B55C6">
            <w:pPr>
              <w:widowControl w:val="0"/>
              <w:rPr>
                <w:rFonts w:ascii="Arial" w:hAnsi="Arial" w:cs="Arial"/>
                <w:snapToGrid w:val="0"/>
                <w:lang w:eastAsia="en-US"/>
              </w:rPr>
            </w:pPr>
          </w:p>
        </w:tc>
        <w:tc>
          <w:tcPr>
            <w:tcW w:w="2262" w:type="dxa"/>
            <w:vMerge/>
          </w:tcPr>
          <w:p w14:paraId="37CF0EAB" w14:textId="77777777"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1D7290C9" w14:textId="25DC5FF9" w:rsidR="000B55C6" w:rsidRPr="003042C5" w:rsidRDefault="00E06390" w:rsidP="000B55C6">
            <w:pPr>
              <w:widowControl w:val="0"/>
              <w:jc w:val="right"/>
              <w:rPr>
                <w:rFonts w:ascii="Arial" w:hAnsi="Arial" w:cs="Arial"/>
                <w:snapToGrid w:val="0"/>
                <w:lang w:eastAsia="en-US"/>
              </w:rPr>
            </w:pPr>
            <w:r>
              <w:rPr>
                <w:rFonts w:ascii="Arial" w:hAnsi="Arial" w:cs="Arial"/>
                <w:snapToGrid w:val="0"/>
                <w:lang w:eastAsia="en-US"/>
              </w:rPr>
              <w:t>Sponsor’s c</w:t>
            </w:r>
            <w:r w:rsidR="000B55C6" w:rsidRPr="003042C5">
              <w:rPr>
                <w:rFonts w:ascii="Arial" w:hAnsi="Arial" w:cs="Arial"/>
                <w:snapToGrid w:val="0"/>
                <w:lang w:eastAsia="en-US"/>
              </w:rPr>
              <w:t>omment:</w:t>
            </w:r>
          </w:p>
        </w:tc>
        <w:tc>
          <w:tcPr>
            <w:tcW w:w="7011" w:type="dxa"/>
          </w:tcPr>
          <w:p w14:paraId="7796D6A5" w14:textId="2CBCE1F6" w:rsidR="000B55C6" w:rsidRDefault="00AD0174" w:rsidP="000B55C6">
            <w:pPr>
              <w:pStyle w:val="ListParagraph"/>
              <w:ind w:left="0"/>
              <w:rPr>
                <w:rFonts w:ascii="Arial" w:hAnsi="Arial" w:cs="Arial"/>
                <w:sz w:val="20"/>
                <w:szCs w:val="20"/>
              </w:rPr>
            </w:pPr>
            <w:r w:rsidRPr="00F612B0">
              <w:rPr>
                <w:rFonts w:ascii="Arial" w:hAnsi="Arial" w:cs="Arial"/>
                <w:iCs/>
                <w:sz w:val="20"/>
                <w:szCs w:val="20"/>
              </w:rPr>
              <w:t>The sponsor had no comment.</w:t>
            </w:r>
          </w:p>
          <w:p w14:paraId="0E377DF8" w14:textId="1AA999B5" w:rsidR="009A7FCD" w:rsidRDefault="009A7FCD" w:rsidP="000B55C6">
            <w:pPr>
              <w:pStyle w:val="ListParagraph"/>
              <w:ind w:left="0"/>
              <w:rPr>
                <w:rFonts w:ascii="Arial" w:hAnsi="Arial" w:cs="Arial"/>
                <w:sz w:val="20"/>
                <w:szCs w:val="20"/>
              </w:rPr>
            </w:pPr>
          </w:p>
          <w:p w14:paraId="4F29409E" w14:textId="196D392F" w:rsidR="009A7FCD" w:rsidRPr="003042C5" w:rsidRDefault="009A7FCD" w:rsidP="000B55C6">
            <w:pPr>
              <w:pStyle w:val="ListParagraph"/>
              <w:ind w:left="0"/>
              <w:rPr>
                <w:rFonts w:ascii="Arial" w:hAnsi="Arial" w:cs="Arial"/>
                <w:sz w:val="20"/>
                <w:szCs w:val="20"/>
              </w:rPr>
            </w:pPr>
          </w:p>
        </w:tc>
      </w:tr>
      <w:tr w:rsidR="000B55C6" w:rsidRPr="003042C5" w14:paraId="5361C4B8" w14:textId="77777777" w:rsidTr="008801A8">
        <w:trPr>
          <w:trHeight w:val="477"/>
        </w:trPr>
        <w:tc>
          <w:tcPr>
            <w:tcW w:w="3071" w:type="dxa"/>
            <w:vMerge w:val="restart"/>
            <w:tcMar>
              <w:top w:w="28" w:type="dxa"/>
              <w:bottom w:w="28" w:type="dxa"/>
            </w:tcMar>
          </w:tcPr>
          <w:p w14:paraId="6A728D7C" w14:textId="5AFAC54A" w:rsidR="00766A13" w:rsidRPr="003042C5" w:rsidRDefault="00766A13" w:rsidP="00766A13">
            <w:pPr>
              <w:rPr>
                <w:rFonts w:ascii="Arial" w:hAnsi="Arial" w:cs="Arial"/>
                <w:color w:val="000000"/>
              </w:rPr>
            </w:pPr>
            <w:r w:rsidRPr="003042C5">
              <w:rPr>
                <w:rFonts w:ascii="Arial" w:hAnsi="Arial" w:cs="Arial"/>
                <w:color w:val="000000"/>
              </w:rPr>
              <w:t>RIBO</w:t>
            </w:r>
            <w:r w:rsidR="009C2866">
              <w:rPr>
                <w:rFonts w:ascii="Arial" w:hAnsi="Arial" w:cs="Arial"/>
                <w:color w:val="000000"/>
              </w:rPr>
              <w:t>CICLIB</w:t>
            </w:r>
            <w:r w:rsidR="009C2866">
              <w:rPr>
                <w:rFonts w:ascii="Arial" w:hAnsi="Arial" w:cs="Arial"/>
                <w:color w:val="000000"/>
              </w:rPr>
              <w:br/>
            </w:r>
            <w:r w:rsidR="009C2866">
              <w:rPr>
                <w:rFonts w:ascii="Arial" w:hAnsi="Arial" w:cs="Arial"/>
                <w:color w:val="000000"/>
              </w:rPr>
              <w:br/>
              <w:t>Tablet 200 mg</w:t>
            </w:r>
            <w:r w:rsidR="009C2866">
              <w:rPr>
                <w:rFonts w:ascii="Arial" w:hAnsi="Arial" w:cs="Arial"/>
                <w:color w:val="000000"/>
              </w:rPr>
              <w:br/>
            </w:r>
            <w:r w:rsidR="009C2866">
              <w:rPr>
                <w:rFonts w:ascii="Arial" w:hAnsi="Arial" w:cs="Arial"/>
                <w:color w:val="000000"/>
              </w:rPr>
              <w:br/>
            </w:r>
            <w:proofErr w:type="spellStart"/>
            <w:r w:rsidR="009C2866">
              <w:rPr>
                <w:rFonts w:ascii="Arial" w:hAnsi="Arial" w:cs="Arial"/>
                <w:color w:val="000000"/>
              </w:rPr>
              <w:t>Kisqali</w:t>
            </w:r>
            <w:proofErr w:type="spellEnd"/>
            <w:r w:rsidR="009C2866">
              <w:rPr>
                <w:rFonts w:ascii="Arial" w:hAnsi="Arial" w:cs="Arial"/>
                <w:color w:val="000000"/>
              </w:rPr>
              <w:t>®</w:t>
            </w:r>
            <w:r w:rsidRPr="003042C5">
              <w:rPr>
                <w:rFonts w:ascii="Arial" w:hAnsi="Arial" w:cs="Arial"/>
                <w:color w:val="000000"/>
              </w:rPr>
              <w:br/>
            </w:r>
            <w:r w:rsidRPr="003042C5">
              <w:rPr>
                <w:rFonts w:ascii="Arial" w:hAnsi="Arial" w:cs="Arial"/>
                <w:color w:val="000000"/>
              </w:rPr>
              <w:br/>
              <w:t>Novartis Pharmaceuticals Australia Pty Ltd</w:t>
            </w:r>
            <w:r w:rsidRPr="003042C5">
              <w:rPr>
                <w:rFonts w:ascii="Arial" w:hAnsi="Arial" w:cs="Arial"/>
                <w:color w:val="000000"/>
              </w:rPr>
              <w:br/>
            </w:r>
            <w:r w:rsidRPr="003042C5">
              <w:rPr>
                <w:rFonts w:ascii="Arial" w:hAnsi="Arial" w:cs="Arial"/>
                <w:color w:val="000000"/>
              </w:rPr>
              <w:br/>
              <w:t>New listing</w:t>
            </w:r>
            <w:r w:rsidRPr="003042C5">
              <w:rPr>
                <w:rFonts w:ascii="Arial" w:hAnsi="Arial" w:cs="Arial"/>
                <w:color w:val="000000"/>
              </w:rPr>
              <w:br/>
              <w:t>(Major Submission)</w:t>
            </w:r>
          </w:p>
          <w:p w14:paraId="6E6D640B" w14:textId="0C779E69" w:rsidR="008F0E43" w:rsidRPr="003042C5" w:rsidRDefault="008F0E43" w:rsidP="008F0E43">
            <w:pPr>
              <w:widowControl w:val="0"/>
              <w:rPr>
                <w:rFonts w:ascii="Arial" w:hAnsi="Arial" w:cs="Arial"/>
                <w:snapToGrid w:val="0"/>
                <w:lang w:eastAsia="en-US"/>
              </w:rPr>
            </w:pPr>
          </w:p>
        </w:tc>
        <w:tc>
          <w:tcPr>
            <w:tcW w:w="2262" w:type="dxa"/>
            <w:vMerge w:val="restart"/>
          </w:tcPr>
          <w:p w14:paraId="7C3C6AB4" w14:textId="77777777" w:rsidR="00766A13" w:rsidRPr="003042C5" w:rsidRDefault="00766A13" w:rsidP="00766A13">
            <w:pPr>
              <w:rPr>
                <w:rFonts w:ascii="Arial" w:hAnsi="Arial" w:cs="Arial"/>
                <w:color w:val="000000"/>
              </w:rPr>
            </w:pPr>
            <w:r w:rsidRPr="003042C5">
              <w:rPr>
                <w:rFonts w:ascii="Arial" w:hAnsi="Arial" w:cs="Arial"/>
                <w:color w:val="000000"/>
              </w:rPr>
              <w:t>Breast cancer</w:t>
            </w:r>
          </w:p>
          <w:p w14:paraId="75A3F04E" w14:textId="748AD0C2"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24CDCEBB" w14:textId="77777777" w:rsidR="00766A13" w:rsidRPr="003042C5" w:rsidRDefault="00766A13" w:rsidP="00766A13">
            <w:pPr>
              <w:rPr>
                <w:rFonts w:ascii="Arial" w:hAnsi="Arial" w:cs="Arial"/>
                <w:color w:val="000000"/>
              </w:rPr>
            </w:pPr>
            <w:r w:rsidRPr="003042C5">
              <w:rPr>
                <w:rFonts w:ascii="Arial" w:hAnsi="Arial" w:cs="Arial"/>
                <w:color w:val="000000"/>
              </w:rPr>
              <w:t xml:space="preserve">To request an Authority Required listing for the treatment of postmenopausal women with hormone receptor positive (HR+), human epidermal growth factor receptor 2 negative (HER2-) advanced or metastatic breast cancer in combination with </w:t>
            </w:r>
            <w:proofErr w:type="spellStart"/>
            <w:r w:rsidRPr="003042C5">
              <w:rPr>
                <w:rFonts w:ascii="Arial" w:hAnsi="Arial" w:cs="Arial"/>
                <w:color w:val="000000"/>
              </w:rPr>
              <w:t>fulvestrant</w:t>
            </w:r>
            <w:proofErr w:type="spellEnd"/>
            <w:r w:rsidRPr="003042C5">
              <w:rPr>
                <w:rFonts w:ascii="Arial" w:hAnsi="Arial" w:cs="Arial"/>
                <w:color w:val="000000"/>
              </w:rPr>
              <w:t>.</w:t>
            </w:r>
          </w:p>
          <w:p w14:paraId="2D46D959" w14:textId="11A7FC68" w:rsidR="000B55C6" w:rsidRPr="003042C5" w:rsidRDefault="000B55C6" w:rsidP="00766A13">
            <w:pPr>
              <w:widowControl w:val="0"/>
              <w:rPr>
                <w:rFonts w:ascii="Arial" w:hAnsi="Arial" w:cs="Arial"/>
                <w:snapToGrid w:val="0"/>
                <w:lang w:eastAsia="en-US"/>
              </w:rPr>
            </w:pPr>
          </w:p>
        </w:tc>
        <w:tc>
          <w:tcPr>
            <w:tcW w:w="7011" w:type="dxa"/>
          </w:tcPr>
          <w:p w14:paraId="3EBEFF62" w14:textId="1DC7E8D5" w:rsidR="008369AD" w:rsidRPr="008369AD" w:rsidRDefault="008369AD" w:rsidP="008369AD">
            <w:pPr>
              <w:widowControl w:val="0"/>
              <w:rPr>
                <w:rFonts w:ascii="Arial" w:hAnsi="Arial" w:cs="Arial"/>
                <w:color w:val="365F91" w:themeColor="accent1" w:themeShade="BF"/>
              </w:rPr>
            </w:pPr>
            <w:r w:rsidRPr="008369AD">
              <w:rPr>
                <w:rFonts w:ascii="Arial" w:hAnsi="Arial" w:cs="Arial"/>
                <w:bCs/>
                <w:snapToGrid w:val="0"/>
                <w:lang w:val="en-GB"/>
              </w:rPr>
              <w:t>The PBAC deferred making a recommendation to ex</w:t>
            </w:r>
            <w:r>
              <w:rPr>
                <w:rFonts w:ascii="Arial" w:hAnsi="Arial" w:cs="Arial"/>
                <w:bCs/>
                <w:snapToGrid w:val="0"/>
                <w:lang w:val="en-GB"/>
              </w:rPr>
              <w:t xml:space="preserve">tend the listing of </w:t>
            </w:r>
            <w:proofErr w:type="spellStart"/>
            <w:r>
              <w:rPr>
                <w:rFonts w:ascii="Arial" w:hAnsi="Arial" w:cs="Arial"/>
                <w:bCs/>
                <w:snapToGrid w:val="0"/>
                <w:lang w:val="en-GB"/>
              </w:rPr>
              <w:t>ribociclib</w:t>
            </w:r>
            <w:proofErr w:type="spellEnd"/>
            <w:r>
              <w:rPr>
                <w:rFonts w:ascii="Arial" w:hAnsi="Arial" w:cs="Arial"/>
                <w:bCs/>
                <w:snapToGrid w:val="0"/>
                <w:lang w:val="en-GB"/>
              </w:rPr>
              <w:t xml:space="preserve"> </w:t>
            </w:r>
            <w:r w:rsidRPr="008369AD">
              <w:rPr>
                <w:rFonts w:ascii="Arial" w:hAnsi="Arial" w:cs="Arial"/>
                <w:bCs/>
                <w:snapToGrid w:val="0"/>
                <w:lang w:val="en-GB"/>
              </w:rPr>
              <w:t xml:space="preserve">to include use in combination with </w:t>
            </w:r>
            <w:proofErr w:type="spellStart"/>
            <w:r w:rsidRPr="008369AD">
              <w:rPr>
                <w:rFonts w:ascii="Arial" w:hAnsi="Arial" w:cs="Arial"/>
                <w:bCs/>
                <w:snapToGrid w:val="0"/>
                <w:lang w:val="en-GB"/>
              </w:rPr>
              <w:t>fulvestrant</w:t>
            </w:r>
            <w:proofErr w:type="spellEnd"/>
            <w:r w:rsidRPr="008369AD">
              <w:rPr>
                <w:rFonts w:ascii="Arial" w:hAnsi="Arial" w:cs="Arial"/>
                <w:bCs/>
                <w:snapToGrid w:val="0"/>
                <w:lang w:val="en-GB"/>
              </w:rPr>
              <w:t xml:space="preserve"> for the treatment of patients with (HR+ and HER2- </w:t>
            </w:r>
            <w:proofErr w:type="spellStart"/>
            <w:r w:rsidRPr="008369AD">
              <w:rPr>
                <w:rFonts w:ascii="Arial" w:hAnsi="Arial" w:cs="Arial"/>
                <w:bCs/>
                <w:snapToGrid w:val="0"/>
                <w:lang w:val="en-GB"/>
              </w:rPr>
              <w:t>unresectable</w:t>
            </w:r>
            <w:proofErr w:type="spellEnd"/>
            <w:r w:rsidRPr="008369AD">
              <w:rPr>
                <w:rFonts w:ascii="Arial" w:hAnsi="Arial" w:cs="Arial"/>
                <w:bCs/>
                <w:snapToGrid w:val="0"/>
                <w:lang w:val="en-GB"/>
              </w:rPr>
              <w:t xml:space="preserve"> advanced or metastatic breast cancer. The PBAC recognised the clinical need for this combination therapy. The PBAC </w:t>
            </w:r>
            <w:r w:rsidR="00FC7201">
              <w:rPr>
                <w:rFonts w:ascii="Arial" w:hAnsi="Arial" w:cs="Arial"/>
                <w:bCs/>
                <w:snapToGrid w:val="0"/>
                <w:lang w:val="en-GB"/>
              </w:rPr>
              <w:t>considered</w:t>
            </w:r>
            <w:r w:rsidRPr="008369AD">
              <w:rPr>
                <w:rFonts w:ascii="Arial" w:hAnsi="Arial" w:cs="Arial"/>
                <w:bCs/>
                <w:snapToGrid w:val="0"/>
                <w:lang w:val="en-GB"/>
              </w:rPr>
              <w:t xml:space="preserve"> recommend</w:t>
            </w:r>
            <w:r w:rsidR="00FC7201">
              <w:rPr>
                <w:rFonts w:ascii="Arial" w:hAnsi="Arial" w:cs="Arial"/>
                <w:bCs/>
                <w:snapToGrid w:val="0"/>
                <w:lang w:val="en-GB"/>
              </w:rPr>
              <w:t>ing</w:t>
            </w:r>
            <w:r w:rsidRPr="008369AD">
              <w:rPr>
                <w:rFonts w:ascii="Arial" w:hAnsi="Arial" w:cs="Arial"/>
                <w:bCs/>
                <w:snapToGrid w:val="0"/>
                <w:lang w:val="en-GB"/>
              </w:rPr>
              <w:t xml:space="preserve"> </w:t>
            </w:r>
            <w:proofErr w:type="spellStart"/>
            <w:r w:rsidRPr="008369AD">
              <w:rPr>
                <w:rFonts w:ascii="Arial" w:hAnsi="Arial" w:cs="Arial"/>
                <w:bCs/>
                <w:snapToGrid w:val="0"/>
                <w:lang w:val="en-GB"/>
              </w:rPr>
              <w:t>ribociclib</w:t>
            </w:r>
            <w:proofErr w:type="spellEnd"/>
            <w:r w:rsidRPr="008369AD">
              <w:rPr>
                <w:rFonts w:ascii="Arial" w:hAnsi="Arial" w:cs="Arial"/>
                <w:bCs/>
                <w:snapToGrid w:val="0"/>
                <w:lang w:val="en-GB"/>
              </w:rPr>
              <w:t xml:space="preserve"> in combination with </w:t>
            </w:r>
            <w:proofErr w:type="spellStart"/>
            <w:r w:rsidRPr="008369AD">
              <w:rPr>
                <w:rFonts w:ascii="Arial" w:hAnsi="Arial" w:cs="Arial"/>
                <w:bCs/>
                <w:snapToGrid w:val="0"/>
                <w:lang w:val="en-GB"/>
              </w:rPr>
              <w:t>fulvestrant</w:t>
            </w:r>
            <w:proofErr w:type="spellEnd"/>
            <w:r w:rsidRPr="008369AD">
              <w:rPr>
                <w:rFonts w:ascii="Arial" w:hAnsi="Arial" w:cs="Arial"/>
                <w:bCs/>
                <w:snapToGrid w:val="0"/>
                <w:lang w:val="en-GB"/>
              </w:rPr>
              <w:t xml:space="preserve">, but considered that there remains a need to resolve the appropriate weighted price, financial impact and changes to risk sharing arrangements for </w:t>
            </w:r>
            <w:proofErr w:type="spellStart"/>
            <w:r w:rsidRPr="008369AD">
              <w:rPr>
                <w:rFonts w:ascii="Arial" w:hAnsi="Arial" w:cs="Arial"/>
                <w:bCs/>
                <w:snapToGrid w:val="0"/>
                <w:lang w:val="en-GB"/>
              </w:rPr>
              <w:t>ribociclib</w:t>
            </w:r>
            <w:proofErr w:type="spellEnd"/>
            <w:r w:rsidRPr="008369AD">
              <w:rPr>
                <w:rFonts w:ascii="Arial" w:hAnsi="Arial" w:cs="Arial"/>
                <w:bCs/>
                <w:snapToGrid w:val="0"/>
                <w:lang w:val="en-GB"/>
              </w:rPr>
              <w:t>.</w:t>
            </w:r>
            <w:r w:rsidRPr="008369AD">
              <w:rPr>
                <w:rFonts w:ascii="Arial" w:hAnsi="Arial" w:cs="Arial"/>
              </w:rPr>
              <w:t xml:space="preserve"> </w:t>
            </w:r>
          </w:p>
          <w:p w14:paraId="14D1E598" w14:textId="09C4B191" w:rsidR="000B55C6" w:rsidRPr="008369AD" w:rsidRDefault="000B55C6" w:rsidP="00A81F48">
            <w:pPr>
              <w:spacing w:after="120"/>
              <w:rPr>
                <w:rFonts w:ascii="Arial" w:hAnsi="Arial" w:cs="Arial"/>
                <w:snapToGrid w:val="0"/>
                <w:lang w:eastAsia="en-US"/>
              </w:rPr>
            </w:pPr>
          </w:p>
        </w:tc>
      </w:tr>
      <w:tr w:rsidR="000B55C6" w:rsidRPr="003042C5" w14:paraId="2345EB9F" w14:textId="77777777" w:rsidTr="008801A8">
        <w:trPr>
          <w:trHeight w:val="477"/>
        </w:trPr>
        <w:tc>
          <w:tcPr>
            <w:tcW w:w="3071" w:type="dxa"/>
            <w:vMerge/>
            <w:tcMar>
              <w:top w:w="28" w:type="dxa"/>
              <w:bottom w:w="28" w:type="dxa"/>
            </w:tcMar>
          </w:tcPr>
          <w:p w14:paraId="68C4B224" w14:textId="77777777" w:rsidR="000B55C6" w:rsidRPr="003042C5" w:rsidRDefault="000B55C6" w:rsidP="000B55C6">
            <w:pPr>
              <w:widowControl w:val="0"/>
              <w:rPr>
                <w:rFonts w:ascii="Arial" w:hAnsi="Arial" w:cs="Arial"/>
                <w:snapToGrid w:val="0"/>
                <w:lang w:eastAsia="en-US"/>
              </w:rPr>
            </w:pPr>
          </w:p>
        </w:tc>
        <w:tc>
          <w:tcPr>
            <w:tcW w:w="2262" w:type="dxa"/>
            <w:vMerge/>
          </w:tcPr>
          <w:p w14:paraId="5CF2ED1D" w14:textId="77777777" w:rsidR="000B55C6" w:rsidRPr="003042C5" w:rsidRDefault="000B55C6" w:rsidP="000B55C6">
            <w:pPr>
              <w:widowControl w:val="0"/>
              <w:rPr>
                <w:rFonts w:ascii="Arial" w:hAnsi="Arial" w:cs="Arial"/>
                <w:snapToGrid w:val="0"/>
                <w:lang w:eastAsia="en-US"/>
              </w:rPr>
            </w:pPr>
          </w:p>
        </w:tc>
        <w:tc>
          <w:tcPr>
            <w:tcW w:w="3201" w:type="dxa"/>
            <w:tcMar>
              <w:top w:w="28" w:type="dxa"/>
              <w:bottom w:w="28" w:type="dxa"/>
            </w:tcMar>
          </w:tcPr>
          <w:p w14:paraId="6E7F49CC" w14:textId="1A8AFC93" w:rsidR="000B55C6" w:rsidRPr="003042C5" w:rsidRDefault="00E06390" w:rsidP="000B55C6">
            <w:pPr>
              <w:widowControl w:val="0"/>
              <w:jc w:val="right"/>
              <w:rPr>
                <w:rFonts w:ascii="Arial" w:hAnsi="Arial" w:cs="Arial"/>
                <w:snapToGrid w:val="0"/>
                <w:lang w:eastAsia="en-US"/>
              </w:rPr>
            </w:pPr>
            <w:r>
              <w:rPr>
                <w:rFonts w:ascii="Arial" w:hAnsi="Arial" w:cs="Arial"/>
                <w:snapToGrid w:val="0"/>
                <w:lang w:eastAsia="en-US"/>
              </w:rPr>
              <w:t>Sponsor’s c</w:t>
            </w:r>
            <w:r w:rsidR="000B55C6" w:rsidRPr="003042C5">
              <w:rPr>
                <w:rFonts w:ascii="Arial" w:hAnsi="Arial" w:cs="Arial"/>
                <w:snapToGrid w:val="0"/>
                <w:lang w:eastAsia="en-US"/>
              </w:rPr>
              <w:t>omment:</w:t>
            </w:r>
          </w:p>
        </w:tc>
        <w:tc>
          <w:tcPr>
            <w:tcW w:w="7011" w:type="dxa"/>
          </w:tcPr>
          <w:p w14:paraId="34D5F15A" w14:textId="71428422" w:rsidR="00AD0174" w:rsidRPr="007E7D1F" w:rsidRDefault="007E7D1F" w:rsidP="007E7D1F">
            <w:pPr>
              <w:rPr>
                <w:rFonts w:ascii="Arial" w:hAnsi="Arial" w:cs="Arial"/>
                <w:shd w:val="clear" w:color="auto" w:fill="FFFFFF"/>
              </w:rPr>
            </w:pPr>
            <w:r w:rsidRPr="007E7D1F">
              <w:rPr>
                <w:rFonts w:ascii="Arial" w:hAnsi="Arial" w:cs="Arial"/>
                <w:shd w:val="clear" w:color="auto" w:fill="FFFFFF"/>
              </w:rPr>
              <w:t xml:space="preserve">Novartis are committed to working with the PBAC to achieve sustainable PBS listing conditions and timely patient access to </w:t>
            </w:r>
            <w:proofErr w:type="spellStart"/>
            <w:r w:rsidRPr="007E7D1F">
              <w:rPr>
                <w:rFonts w:ascii="Arial" w:hAnsi="Arial" w:cs="Arial"/>
                <w:shd w:val="clear" w:color="auto" w:fill="FFFFFF"/>
              </w:rPr>
              <w:t>Kisqali</w:t>
            </w:r>
            <w:proofErr w:type="spellEnd"/>
            <w:r w:rsidRPr="007E7D1F">
              <w:rPr>
                <w:rFonts w:ascii="Arial" w:hAnsi="Arial" w:cs="Arial"/>
                <w:shd w:val="clear" w:color="auto" w:fill="FFFFFF"/>
              </w:rPr>
              <w:t>® (</w:t>
            </w:r>
            <w:proofErr w:type="spellStart"/>
            <w:r w:rsidRPr="007E7D1F">
              <w:rPr>
                <w:rFonts w:ascii="Arial" w:hAnsi="Arial" w:cs="Arial"/>
                <w:shd w:val="clear" w:color="auto" w:fill="FFFFFF"/>
              </w:rPr>
              <w:t>ribociclib</w:t>
            </w:r>
            <w:proofErr w:type="spellEnd"/>
            <w:r w:rsidRPr="007E7D1F">
              <w:rPr>
                <w:rFonts w:ascii="Arial" w:hAnsi="Arial" w:cs="Arial"/>
                <w:shd w:val="clear" w:color="auto" w:fill="FFFFFF"/>
              </w:rPr>
              <w:t xml:space="preserve">) in combination with </w:t>
            </w:r>
            <w:proofErr w:type="spellStart"/>
            <w:r w:rsidRPr="007E7D1F">
              <w:rPr>
                <w:rFonts w:ascii="Arial" w:hAnsi="Arial" w:cs="Arial"/>
                <w:shd w:val="clear" w:color="auto" w:fill="FFFFFF"/>
              </w:rPr>
              <w:t>fulvestrant</w:t>
            </w:r>
            <w:proofErr w:type="spellEnd"/>
            <w:r w:rsidRPr="007E7D1F">
              <w:rPr>
                <w:rFonts w:ascii="Arial" w:hAnsi="Arial" w:cs="Arial"/>
                <w:shd w:val="clear" w:color="auto" w:fill="FFFFFF"/>
              </w:rPr>
              <w:t>.</w:t>
            </w:r>
          </w:p>
          <w:p w14:paraId="243F1644" w14:textId="68758F79" w:rsidR="009A7FCD" w:rsidRPr="003042C5" w:rsidRDefault="009A7FCD" w:rsidP="000B55C6">
            <w:pPr>
              <w:pStyle w:val="ListParagraph"/>
              <w:ind w:left="0"/>
              <w:rPr>
                <w:rFonts w:ascii="Arial" w:hAnsi="Arial" w:cs="Arial"/>
                <w:sz w:val="20"/>
                <w:szCs w:val="20"/>
              </w:rPr>
            </w:pPr>
          </w:p>
        </w:tc>
      </w:tr>
      <w:tr w:rsidR="00520A2A" w:rsidRPr="003042C5" w14:paraId="0B99494C" w14:textId="77777777" w:rsidTr="008801A8">
        <w:trPr>
          <w:trHeight w:val="477"/>
        </w:trPr>
        <w:tc>
          <w:tcPr>
            <w:tcW w:w="3071" w:type="dxa"/>
            <w:vMerge w:val="restart"/>
            <w:tcMar>
              <w:top w:w="28" w:type="dxa"/>
              <w:bottom w:w="28" w:type="dxa"/>
            </w:tcMar>
          </w:tcPr>
          <w:p w14:paraId="0F2BA37F" w14:textId="18D7D922" w:rsidR="00520A2A" w:rsidRPr="003042C5" w:rsidRDefault="00520A2A" w:rsidP="00520A2A">
            <w:pPr>
              <w:widowControl w:val="0"/>
              <w:rPr>
                <w:rFonts w:ascii="Arial" w:hAnsi="Arial" w:cs="Arial"/>
                <w:snapToGrid w:val="0"/>
                <w:lang w:eastAsia="en-US"/>
              </w:rPr>
            </w:pPr>
            <w:r w:rsidRPr="00372B60">
              <w:rPr>
                <w:rFonts w:ascii="Arial" w:hAnsi="Arial" w:cs="Arial"/>
                <w:color w:val="000000"/>
              </w:rPr>
              <w:t>RIFAMPICIN</w:t>
            </w:r>
            <w:r w:rsidRPr="00372B60">
              <w:rPr>
                <w:rFonts w:ascii="Arial" w:hAnsi="Arial" w:cs="Arial"/>
                <w:color w:val="000000"/>
              </w:rPr>
              <w:br/>
            </w:r>
            <w:r w:rsidRPr="00372B60">
              <w:rPr>
                <w:rFonts w:ascii="Arial" w:hAnsi="Arial" w:cs="Arial"/>
                <w:color w:val="000000"/>
              </w:rPr>
              <w:br/>
              <w:t>Capsule 150 mg</w:t>
            </w:r>
            <w:r w:rsidRPr="00372B60">
              <w:rPr>
                <w:rFonts w:ascii="Arial" w:hAnsi="Arial" w:cs="Arial"/>
                <w:color w:val="000000"/>
              </w:rPr>
              <w:br/>
              <w:t>Capsule 30</w:t>
            </w:r>
            <w:r>
              <w:rPr>
                <w:rFonts w:ascii="Arial" w:hAnsi="Arial" w:cs="Arial"/>
                <w:color w:val="000000"/>
              </w:rPr>
              <w:t>0 mg</w:t>
            </w:r>
            <w:r>
              <w:rPr>
                <w:rFonts w:ascii="Arial" w:hAnsi="Arial" w:cs="Arial"/>
                <w:color w:val="000000"/>
              </w:rPr>
              <w:br/>
            </w:r>
            <w:r>
              <w:rPr>
                <w:rFonts w:ascii="Arial" w:hAnsi="Arial" w:cs="Arial"/>
                <w:color w:val="000000"/>
              </w:rPr>
              <w:br/>
            </w:r>
            <w:proofErr w:type="spellStart"/>
            <w:r>
              <w:rPr>
                <w:rFonts w:ascii="Arial" w:hAnsi="Arial" w:cs="Arial"/>
                <w:color w:val="000000"/>
              </w:rPr>
              <w:t>Rimycin</w:t>
            </w:r>
            <w:proofErr w:type="spellEnd"/>
            <w:r>
              <w:rPr>
                <w:rFonts w:ascii="Arial" w:hAnsi="Arial" w:cs="Arial"/>
                <w:color w:val="000000"/>
              </w:rPr>
              <w:t xml:space="preserve"> 150®</w:t>
            </w:r>
            <w:r>
              <w:rPr>
                <w:rFonts w:ascii="Arial" w:hAnsi="Arial" w:cs="Arial"/>
                <w:color w:val="000000"/>
              </w:rPr>
              <w:br/>
            </w:r>
            <w:proofErr w:type="spellStart"/>
            <w:r>
              <w:rPr>
                <w:rFonts w:ascii="Arial" w:hAnsi="Arial" w:cs="Arial"/>
                <w:color w:val="000000"/>
              </w:rPr>
              <w:lastRenderedPageBreak/>
              <w:t>Rymicin</w:t>
            </w:r>
            <w:proofErr w:type="spellEnd"/>
            <w:r>
              <w:rPr>
                <w:rFonts w:ascii="Arial" w:hAnsi="Arial" w:cs="Arial"/>
                <w:color w:val="000000"/>
              </w:rPr>
              <w:t xml:space="preserve"> 300®</w:t>
            </w:r>
            <w:r>
              <w:rPr>
                <w:rFonts w:ascii="Arial" w:hAnsi="Arial" w:cs="Arial"/>
                <w:color w:val="000000"/>
              </w:rPr>
              <w:br/>
            </w:r>
            <w:r>
              <w:rPr>
                <w:rFonts w:ascii="Arial" w:hAnsi="Arial" w:cs="Arial"/>
                <w:color w:val="000000"/>
              </w:rPr>
              <w:br/>
              <w:t>Mylan</w:t>
            </w:r>
            <w:r w:rsidRPr="00372B60">
              <w:rPr>
                <w:rFonts w:ascii="Arial" w:hAnsi="Arial" w:cs="Arial"/>
                <w:color w:val="000000"/>
              </w:rPr>
              <w:br/>
            </w:r>
            <w:r w:rsidRPr="00372B60">
              <w:rPr>
                <w:rFonts w:ascii="Arial" w:hAnsi="Arial" w:cs="Arial"/>
                <w:color w:val="000000"/>
              </w:rPr>
              <w:br/>
              <w:t>Change to listing</w:t>
            </w:r>
            <w:r w:rsidRPr="00372B60">
              <w:rPr>
                <w:rFonts w:ascii="Arial" w:hAnsi="Arial" w:cs="Arial"/>
                <w:color w:val="000000"/>
              </w:rPr>
              <w:br/>
              <w:t>(Minor Submission)</w:t>
            </w:r>
          </w:p>
        </w:tc>
        <w:tc>
          <w:tcPr>
            <w:tcW w:w="2262" w:type="dxa"/>
          </w:tcPr>
          <w:p w14:paraId="2BB19A76" w14:textId="77777777" w:rsidR="00520A2A" w:rsidRPr="00372B60" w:rsidRDefault="00520A2A" w:rsidP="00520A2A">
            <w:pPr>
              <w:rPr>
                <w:rFonts w:ascii="Arial" w:hAnsi="Arial" w:cs="Arial"/>
                <w:color w:val="000000"/>
              </w:rPr>
            </w:pPr>
            <w:r w:rsidRPr="00372B60">
              <w:rPr>
                <w:rFonts w:ascii="Arial" w:hAnsi="Arial" w:cs="Arial"/>
                <w:color w:val="000000"/>
              </w:rPr>
              <w:lastRenderedPageBreak/>
              <w:t xml:space="preserve">For the treatment of Mycobacterium </w:t>
            </w:r>
            <w:proofErr w:type="spellStart"/>
            <w:r w:rsidRPr="00372B60">
              <w:rPr>
                <w:rFonts w:ascii="Arial" w:hAnsi="Arial" w:cs="Arial"/>
                <w:color w:val="000000"/>
              </w:rPr>
              <w:t>ulcerans</w:t>
            </w:r>
            <w:proofErr w:type="spellEnd"/>
            <w:r w:rsidRPr="00372B60">
              <w:rPr>
                <w:rFonts w:ascii="Arial" w:hAnsi="Arial" w:cs="Arial"/>
                <w:color w:val="000000"/>
              </w:rPr>
              <w:t xml:space="preserve"> infections (</w:t>
            </w:r>
            <w:proofErr w:type="spellStart"/>
            <w:r w:rsidRPr="00372B60">
              <w:rPr>
                <w:rFonts w:ascii="Arial" w:hAnsi="Arial" w:cs="Arial"/>
                <w:color w:val="000000"/>
              </w:rPr>
              <w:t>Buruli</w:t>
            </w:r>
            <w:proofErr w:type="spellEnd"/>
            <w:r w:rsidRPr="00372B60">
              <w:rPr>
                <w:rFonts w:ascii="Arial" w:hAnsi="Arial" w:cs="Arial"/>
                <w:color w:val="000000"/>
              </w:rPr>
              <w:t xml:space="preserve"> ulcer)</w:t>
            </w:r>
          </w:p>
          <w:p w14:paraId="182C019A" w14:textId="77777777" w:rsidR="00520A2A" w:rsidRPr="003042C5" w:rsidRDefault="00520A2A" w:rsidP="00520A2A">
            <w:pPr>
              <w:widowControl w:val="0"/>
              <w:rPr>
                <w:rFonts w:ascii="Arial" w:hAnsi="Arial" w:cs="Arial"/>
                <w:snapToGrid w:val="0"/>
                <w:lang w:eastAsia="en-US"/>
              </w:rPr>
            </w:pPr>
          </w:p>
        </w:tc>
        <w:tc>
          <w:tcPr>
            <w:tcW w:w="3201" w:type="dxa"/>
            <w:tcMar>
              <w:top w:w="28" w:type="dxa"/>
              <w:bottom w:w="28" w:type="dxa"/>
            </w:tcMar>
          </w:tcPr>
          <w:p w14:paraId="577F61AE" w14:textId="77777777" w:rsidR="00520A2A" w:rsidRPr="00372B60" w:rsidRDefault="00520A2A" w:rsidP="00520A2A">
            <w:pPr>
              <w:rPr>
                <w:rFonts w:ascii="Arial" w:hAnsi="Arial" w:cs="Arial"/>
                <w:color w:val="000000"/>
              </w:rPr>
            </w:pPr>
            <w:r w:rsidRPr="00372B60">
              <w:rPr>
                <w:rFonts w:ascii="Arial" w:hAnsi="Arial" w:cs="Arial"/>
                <w:color w:val="000000"/>
              </w:rPr>
              <w:t xml:space="preserve">Request to extend the indication for rifampicin to include the treatment of Mycobacterium </w:t>
            </w:r>
            <w:proofErr w:type="spellStart"/>
            <w:r w:rsidRPr="00372B60">
              <w:rPr>
                <w:rFonts w:ascii="Arial" w:hAnsi="Arial" w:cs="Arial"/>
                <w:color w:val="000000"/>
              </w:rPr>
              <w:t>ulcerans</w:t>
            </w:r>
            <w:proofErr w:type="spellEnd"/>
            <w:r w:rsidRPr="00372B60">
              <w:rPr>
                <w:rFonts w:ascii="Arial" w:hAnsi="Arial" w:cs="Arial"/>
                <w:color w:val="000000"/>
              </w:rPr>
              <w:t xml:space="preserve"> infections (</w:t>
            </w:r>
            <w:proofErr w:type="spellStart"/>
            <w:r w:rsidRPr="00372B60">
              <w:rPr>
                <w:rFonts w:ascii="Arial" w:hAnsi="Arial" w:cs="Arial"/>
                <w:color w:val="000000"/>
              </w:rPr>
              <w:t>Buruli</w:t>
            </w:r>
            <w:proofErr w:type="spellEnd"/>
            <w:r w:rsidRPr="00372B60">
              <w:rPr>
                <w:rFonts w:ascii="Arial" w:hAnsi="Arial" w:cs="Arial"/>
                <w:color w:val="000000"/>
              </w:rPr>
              <w:t xml:space="preserve"> ulcer)</w:t>
            </w:r>
            <w:r>
              <w:rPr>
                <w:rFonts w:ascii="Arial" w:hAnsi="Arial" w:cs="Arial"/>
                <w:color w:val="000000"/>
              </w:rPr>
              <w:t>.</w:t>
            </w:r>
          </w:p>
          <w:p w14:paraId="6B4628D7" w14:textId="77777777" w:rsidR="00520A2A" w:rsidRDefault="00520A2A" w:rsidP="00520A2A">
            <w:pPr>
              <w:widowControl w:val="0"/>
              <w:jc w:val="right"/>
              <w:rPr>
                <w:rFonts w:ascii="Arial" w:hAnsi="Arial" w:cs="Arial"/>
                <w:snapToGrid w:val="0"/>
                <w:lang w:eastAsia="en-US"/>
              </w:rPr>
            </w:pPr>
          </w:p>
        </w:tc>
        <w:tc>
          <w:tcPr>
            <w:tcW w:w="7011" w:type="dxa"/>
          </w:tcPr>
          <w:p w14:paraId="4CD32E9F" w14:textId="77777777" w:rsidR="00520A2A" w:rsidRDefault="00520A2A" w:rsidP="00520A2A">
            <w:pPr>
              <w:rPr>
                <w:rFonts w:ascii="Arial" w:hAnsi="Arial" w:cs="Arial"/>
                <w:color w:val="000000"/>
              </w:rPr>
            </w:pPr>
            <w:r w:rsidRPr="00191589">
              <w:rPr>
                <w:rFonts w:ascii="Arial" w:hAnsi="Arial" w:cs="Arial"/>
                <w:color w:val="000000"/>
              </w:rPr>
              <w:t xml:space="preserve">The PBAC deferred </w:t>
            </w:r>
            <w:r>
              <w:rPr>
                <w:rFonts w:ascii="Arial" w:hAnsi="Arial" w:cs="Arial"/>
                <w:color w:val="000000"/>
              </w:rPr>
              <w:t xml:space="preserve">making a recommendation to extend the rifampicin listing pending receipt of the TGA Delegate’s Overview, however was of a mind to recommend listing for the treatment of </w:t>
            </w:r>
            <w:r w:rsidRPr="00372B60">
              <w:rPr>
                <w:rFonts w:ascii="Arial" w:hAnsi="Arial" w:cs="Arial"/>
                <w:color w:val="000000"/>
              </w:rPr>
              <w:t xml:space="preserve">Mycobacterium </w:t>
            </w:r>
            <w:proofErr w:type="spellStart"/>
            <w:r w:rsidRPr="00372B60">
              <w:rPr>
                <w:rFonts w:ascii="Arial" w:hAnsi="Arial" w:cs="Arial"/>
                <w:color w:val="000000"/>
              </w:rPr>
              <w:t>ulcerans</w:t>
            </w:r>
            <w:proofErr w:type="spellEnd"/>
            <w:r w:rsidRPr="00372B60">
              <w:rPr>
                <w:rFonts w:ascii="Arial" w:hAnsi="Arial" w:cs="Arial"/>
                <w:color w:val="000000"/>
              </w:rPr>
              <w:t xml:space="preserve"> infections (</w:t>
            </w:r>
            <w:proofErr w:type="spellStart"/>
            <w:r w:rsidRPr="00372B60">
              <w:rPr>
                <w:rFonts w:ascii="Arial" w:hAnsi="Arial" w:cs="Arial"/>
                <w:color w:val="000000"/>
              </w:rPr>
              <w:t>Buruli</w:t>
            </w:r>
            <w:proofErr w:type="spellEnd"/>
            <w:r w:rsidRPr="00372B60">
              <w:rPr>
                <w:rFonts w:ascii="Arial" w:hAnsi="Arial" w:cs="Arial"/>
                <w:color w:val="000000"/>
              </w:rPr>
              <w:t xml:space="preserve"> ulcer)</w:t>
            </w:r>
            <w:r>
              <w:rPr>
                <w:rFonts w:ascii="Arial" w:hAnsi="Arial" w:cs="Arial"/>
                <w:color w:val="000000"/>
              </w:rPr>
              <w:t>.</w:t>
            </w:r>
          </w:p>
          <w:p w14:paraId="1103E089" w14:textId="77777777" w:rsidR="00520A2A" w:rsidRDefault="00520A2A" w:rsidP="00520A2A">
            <w:pPr>
              <w:rPr>
                <w:rFonts w:ascii="Arial" w:hAnsi="Arial" w:cs="Arial"/>
                <w:shd w:val="clear" w:color="auto" w:fill="FFFFFF"/>
              </w:rPr>
            </w:pPr>
          </w:p>
          <w:p w14:paraId="7D99AD46" w14:textId="1FE78C73" w:rsidR="00520A2A" w:rsidRPr="007E7D1F" w:rsidRDefault="00520A2A" w:rsidP="00520A2A">
            <w:pPr>
              <w:rPr>
                <w:rFonts w:ascii="Arial" w:hAnsi="Arial" w:cs="Arial"/>
                <w:shd w:val="clear" w:color="auto" w:fill="FFFFFF"/>
              </w:rPr>
            </w:pPr>
          </w:p>
        </w:tc>
      </w:tr>
      <w:tr w:rsidR="00520A2A" w:rsidRPr="003042C5" w14:paraId="4DAD2023" w14:textId="77777777" w:rsidTr="008801A8">
        <w:trPr>
          <w:trHeight w:val="477"/>
        </w:trPr>
        <w:tc>
          <w:tcPr>
            <w:tcW w:w="3071" w:type="dxa"/>
            <w:vMerge/>
            <w:tcMar>
              <w:top w:w="28" w:type="dxa"/>
              <w:bottom w:w="28" w:type="dxa"/>
            </w:tcMar>
          </w:tcPr>
          <w:p w14:paraId="62085EEF" w14:textId="77777777" w:rsidR="00520A2A" w:rsidRPr="003042C5" w:rsidRDefault="00520A2A" w:rsidP="00520A2A">
            <w:pPr>
              <w:widowControl w:val="0"/>
              <w:rPr>
                <w:rFonts w:ascii="Arial" w:hAnsi="Arial" w:cs="Arial"/>
                <w:snapToGrid w:val="0"/>
                <w:lang w:eastAsia="en-US"/>
              </w:rPr>
            </w:pPr>
          </w:p>
        </w:tc>
        <w:tc>
          <w:tcPr>
            <w:tcW w:w="2262" w:type="dxa"/>
          </w:tcPr>
          <w:p w14:paraId="762EE2DE" w14:textId="77777777" w:rsidR="00520A2A" w:rsidRPr="003042C5" w:rsidRDefault="00520A2A" w:rsidP="00520A2A">
            <w:pPr>
              <w:widowControl w:val="0"/>
              <w:rPr>
                <w:rFonts w:ascii="Arial" w:hAnsi="Arial" w:cs="Arial"/>
                <w:snapToGrid w:val="0"/>
                <w:lang w:eastAsia="en-US"/>
              </w:rPr>
            </w:pPr>
          </w:p>
        </w:tc>
        <w:tc>
          <w:tcPr>
            <w:tcW w:w="3201" w:type="dxa"/>
            <w:tcMar>
              <w:top w:w="28" w:type="dxa"/>
              <w:bottom w:w="28" w:type="dxa"/>
            </w:tcMar>
          </w:tcPr>
          <w:p w14:paraId="7FC25C00" w14:textId="5CB05E81" w:rsidR="00520A2A" w:rsidRDefault="00520A2A" w:rsidP="00520A2A">
            <w:pPr>
              <w:widowControl w:val="0"/>
              <w:jc w:val="right"/>
              <w:rPr>
                <w:rFonts w:ascii="Arial" w:hAnsi="Arial" w:cs="Arial"/>
                <w:snapToGrid w:val="0"/>
                <w:lang w:eastAsia="en-US"/>
              </w:rPr>
            </w:pPr>
            <w:r>
              <w:rPr>
                <w:rFonts w:ascii="Arial" w:hAnsi="Arial" w:cs="Arial"/>
                <w:color w:val="000000"/>
              </w:rPr>
              <w:t xml:space="preserve">Sponsor’s comment: </w:t>
            </w:r>
          </w:p>
        </w:tc>
        <w:tc>
          <w:tcPr>
            <w:tcW w:w="7011" w:type="dxa"/>
          </w:tcPr>
          <w:p w14:paraId="5E5067DB" w14:textId="75266569" w:rsidR="00520A2A" w:rsidRPr="007E7D1F" w:rsidRDefault="00520A2A" w:rsidP="00520A2A">
            <w:pPr>
              <w:rPr>
                <w:rFonts w:ascii="Arial" w:hAnsi="Arial" w:cs="Arial"/>
                <w:shd w:val="clear" w:color="auto" w:fill="FFFFFF"/>
              </w:rPr>
            </w:pPr>
            <w:r>
              <w:rPr>
                <w:rFonts w:ascii="Arial" w:hAnsi="Arial" w:cs="Arial"/>
                <w:color w:val="000000"/>
              </w:rPr>
              <w:t>T</w:t>
            </w:r>
            <w:r w:rsidRPr="00C67719">
              <w:rPr>
                <w:rFonts w:ascii="Arial" w:hAnsi="Arial" w:cs="Arial"/>
                <w:color w:val="000000"/>
              </w:rPr>
              <w:t>he sponsor had no comment</w:t>
            </w:r>
            <w:r>
              <w:rPr>
                <w:rFonts w:ascii="Arial" w:hAnsi="Arial" w:cs="Arial"/>
                <w:color w:val="000000"/>
              </w:rPr>
              <w:t>.</w:t>
            </w:r>
          </w:p>
        </w:tc>
      </w:tr>
    </w:tbl>
    <w:p w14:paraId="4C6D0016" w14:textId="77777777" w:rsidR="00C26FE5" w:rsidRPr="003042C5" w:rsidRDefault="00C26FE5" w:rsidP="0065234B">
      <w:pPr>
        <w:tabs>
          <w:tab w:val="left" w:pos="5210"/>
        </w:tabs>
        <w:rPr>
          <w:rFonts w:ascii="Arial" w:hAnsi="Arial" w:cs="Arial"/>
          <w:lang w:val="en-US"/>
        </w:rPr>
      </w:pPr>
    </w:p>
    <w:sectPr w:rsidR="00C26FE5" w:rsidRPr="003042C5" w:rsidSect="00281EE0">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B9CB" w14:textId="77777777" w:rsidR="00EC7CAC" w:rsidRDefault="00EC7CAC">
      <w:r>
        <w:separator/>
      </w:r>
    </w:p>
  </w:endnote>
  <w:endnote w:type="continuationSeparator" w:id="0">
    <w:p w14:paraId="50CAB0BB"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973"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C6493"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BB92" w14:textId="28A1302F"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520A2A">
      <w:rPr>
        <w:rStyle w:val="PageNumber"/>
        <w:rFonts w:ascii="Arial" w:hAnsi="Arial" w:cs="Arial"/>
        <w:noProof/>
      </w:rPr>
      <w:t>1</w:t>
    </w:r>
    <w:r w:rsidRPr="00287C89">
      <w:rPr>
        <w:rStyle w:val="PageNumber"/>
        <w:rFonts w:ascii="Arial" w:hAnsi="Arial" w:cs="Arial"/>
      </w:rPr>
      <w:fldChar w:fldCharType="end"/>
    </w:r>
  </w:p>
  <w:p w14:paraId="4895AC47" w14:textId="77777777" w:rsidR="005E1F3B" w:rsidRDefault="005E1F3B"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1ED" w14:textId="77777777" w:rsidR="00EC7CAC" w:rsidRDefault="00EC7CAC">
      <w:r>
        <w:separator/>
      </w:r>
    </w:p>
  </w:footnote>
  <w:footnote w:type="continuationSeparator" w:id="0">
    <w:p w14:paraId="34207613"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A902" w14:textId="3851D48D" w:rsidR="002E2D3E" w:rsidRPr="003C298A" w:rsidRDefault="009328A7" w:rsidP="002E2D3E">
    <w:pPr>
      <w:jc w:val="center"/>
      <w:rPr>
        <w:rFonts w:ascii="Arial" w:hAnsi="Arial" w:cs="Arial"/>
        <w:b/>
      </w:rPr>
    </w:pPr>
    <w:r>
      <w:rPr>
        <w:rFonts w:ascii="Arial" w:hAnsi="Arial" w:cs="Arial"/>
        <w:b/>
      </w:rPr>
      <w:t>JULY</w:t>
    </w:r>
    <w:r w:rsidR="002E2D3E">
      <w:rPr>
        <w:rFonts w:ascii="Arial" w:hAnsi="Arial" w:cs="Arial"/>
        <w:b/>
      </w:rPr>
      <w:t xml:space="preserve"> 2020</w:t>
    </w:r>
    <w:r w:rsidR="002E2D3E" w:rsidRPr="003C298A">
      <w:rPr>
        <w:rFonts w:ascii="Arial" w:hAnsi="Arial" w:cs="Arial"/>
        <w:b/>
      </w:rPr>
      <w:t xml:space="preserve"> PBAC OUTCOMES - DEFERRALS</w:t>
    </w:r>
  </w:p>
  <w:p w14:paraId="6D23513F" w14:textId="7B136369" w:rsidR="00BB0500" w:rsidRPr="002E2D3E" w:rsidRDefault="00BB0500" w:rsidP="002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454"/>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E7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219"/>
    <w:rsid w:val="00093960"/>
    <w:rsid w:val="0009470A"/>
    <w:rsid w:val="00095C30"/>
    <w:rsid w:val="00096B9F"/>
    <w:rsid w:val="00096E39"/>
    <w:rsid w:val="000972AC"/>
    <w:rsid w:val="00097C0E"/>
    <w:rsid w:val="00097ED4"/>
    <w:rsid w:val="000A08BD"/>
    <w:rsid w:val="000A108A"/>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5C6"/>
    <w:rsid w:val="000B5B24"/>
    <w:rsid w:val="000B6487"/>
    <w:rsid w:val="000B7A91"/>
    <w:rsid w:val="000B7F45"/>
    <w:rsid w:val="000C040A"/>
    <w:rsid w:val="000C0497"/>
    <w:rsid w:val="000C0C68"/>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0EE"/>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5FC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19"/>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F2E"/>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09CA"/>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6C44"/>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6F9A"/>
    <w:rsid w:val="001F7055"/>
    <w:rsid w:val="001F716B"/>
    <w:rsid w:val="001F7B95"/>
    <w:rsid w:val="001F7E44"/>
    <w:rsid w:val="001F7FE1"/>
    <w:rsid w:val="002010D3"/>
    <w:rsid w:val="00201885"/>
    <w:rsid w:val="00202757"/>
    <w:rsid w:val="0020322B"/>
    <w:rsid w:val="002032C8"/>
    <w:rsid w:val="00203A75"/>
    <w:rsid w:val="0020409B"/>
    <w:rsid w:val="002060A5"/>
    <w:rsid w:val="002070E4"/>
    <w:rsid w:val="0020721C"/>
    <w:rsid w:val="002072C3"/>
    <w:rsid w:val="00207813"/>
    <w:rsid w:val="0020790A"/>
    <w:rsid w:val="00207E86"/>
    <w:rsid w:val="00210594"/>
    <w:rsid w:val="00210F65"/>
    <w:rsid w:val="00211FCA"/>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22B"/>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251"/>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448C"/>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2D3E"/>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AAF"/>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2C5"/>
    <w:rsid w:val="00304BF7"/>
    <w:rsid w:val="00304FE8"/>
    <w:rsid w:val="00305A72"/>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BC1"/>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388"/>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DC2"/>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0A5"/>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98A"/>
    <w:rsid w:val="003C2F43"/>
    <w:rsid w:val="003C32FC"/>
    <w:rsid w:val="003C49A9"/>
    <w:rsid w:val="003C4EBE"/>
    <w:rsid w:val="003C558C"/>
    <w:rsid w:val="003C56DF"/>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5E8"/>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28F"/>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1FA"/>
    <w:rsid w:val="004014C9"/>
    <w:rsid w:val="00401DDB"/>
    <w:rsid w:val="00402B5F"/>
    <w:rsid w:val="00402C3D"/>
    <w:rsid w:val="00403EDA"/>
    <w:rsid w:val="00403F44"/>
    <w:rsid w:val="0040409C"/>
    <w:rsid w:val="00404844"/>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741"/>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28F"/>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80D"/>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3B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59D2"/>
    <w:rsid w:val="0051769B"/>
    <w:rsid w:val="0052052F"/>
    <w:rsid w:val="00520571"/>
    <w:rsid w:val="00520A2A"/>
    <w:rsid w:val="00522017"/>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7DB"/>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1CC5"/>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6A3"/>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4C4D"/>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13E"/>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6F7C7B"/>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9B9"/>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64"/>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0831"/>
    <w:rsid w:val="007617E1"/>
    <w:rsid w:val="007639A5"/>
    <w:rsid w:val="00763EE9"/>
    <w:rsid w:val="00764375"/>
    <w:rsid w:val="007653BF"/>
    <w:rsid w:val="00765630"/>
    <w:rsid w:val="00765919"/>
    <w:rsid w:val="007661BB"/>
    <w:rsid w:val="0076653E"/>
    <w:rsid w:val="00766647"/>
    <w:rsid w:val="00766A13"/>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2C52"/>
    <w:rsid w:val="00783873"/>
    <w:rsid w:val="007847D1"/>
    <w:rsid w:val="00784924"/>
    <w:rsid w:val="00785D82"/>
    <w:rsid w:val="0078647B"/>
    <w:rsid w:val="0078673C"/>
    <w:rsid w:val="00786ED4"/>
    <w:rsid w:val="0078716F"/>
    <w:rsid w:val="007873C8"/>
    <w:rsid w:val="0078793D"/>
    <w:rsid w:val="00790F50"/>
    <w:rsid w:val="00791374"/>
    <w:rsid w:val="00792B66"/>
    <w:rsid w:val="0079352C"/>
    <w:rsid w:val="00793B34"/>
    <w:rsid w:val="00793B84"/>
    <w:rsid w:val="00793D87"/>
    <w:rsid w:val="0079400F"/>
    <w:rsid w:val="00794795"/>
    <w:rsid w:val="007949E6"/>
    <w:rsid w:val="00794CC2"/>
    <w:rsid w:val="00794D98"/>
    <w:rsid w:val="00794F29"/>
    <w:rsid w:val="00795A2A"/>
    <w:rsid w:val="007964B5"/>
    <w:rsid w:val="00796A72"/>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33C"/>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E7D1F"/>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BC4"/>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69AD"/>
    <w:rsid w:val="008373F3"/>
    <w:rsid w:val="00837AC7"/>
    <w:rsid w:val="00840350"/>
    <w:rsid w:val="00840409"/>
    <w:rsid w:val="0084055F"/>
    <w:rsid w:val="0084098C"/>
    <w:rsid w:val="008411FD"/>
    <w:rsid w:val="0084138C"/>
    <w:rsid w:val="008427E7"/>
    <w:rsid w:val="008429DB"/>
    <w:rsid w:val="00842BA8"/>
    <w:rsid w:val="0084324E"/>
    <w:rsid w:val="00844B2A"/>
    <w:rsid w:val="00844ED2"/>
    <w:rsid w:val="0084562E"/>
    <w:rsid w:val="00845F75"/>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0C7"/>
    <w:rsid w:val="00873845"/>
    <w:rsid w:val="00876522"/>
    <w:rsid w:val="00876AE3"/>
    <w:rsid w:val="008775DB"/>
    <w:rsid w:val="00877B07"/>
    <w:rsid w:val="00877B7A"/>
    <w:rsid w:val="008801A8"/>
    <w:rsid w:val="00880EFA"/>
    <w:rsid w:val="00881705"/>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86C"/>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290"/>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0E43"/>
    <w:rsid w:val="008F142D"/>
    <w:rsid w:val="008F1674"/>
    <w:rsid w:val="008F192D"/>
    <w:rsid w:val="008F2699"/>
    <w:rsid w:val="008F3FE5"/>
    <w:rsid w:val="008F42D7"/>
    <w:rsid w:val="008F4382"/>
    <w:rsid w:val="008F4CE7"/>
    <w:rsid w:val="008F5536"/>
    <w:rsid w:val="008F6537"/>
    <w:rsid w:val="008F7BE4"/>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28A7"/>
    <w:rsid w:val="00933665"/>
    <w:rsid w:val="00933695"/>
    <w:rsid w:val="00933CF4"/>
    <w:rsid w:val="00933F52"/>
    <w:rsid w:val="0093592D"/>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0D86"/>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3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A7FCD"/>
    <w:rsid w:val="009B01CF"/>
    <w:rsid w:val="009B02DB"/>
    <w:rsid w:val="009B0A50"/>
    <w:rsid w:val="009B1DA0"/>
    <w:rsid w:val="009B1F5D"/>
    <w:rsid w:val="009B2407"/>
    <w:rsid w:val="009B2C4C"/>
    <w:rsid w:val="009B3BEA"/>
    <w:rsid w:val="009B41BA"/>
    <w:rsid w:val="009B44F0"/>
    <w:rsid w:val="009B545D"/>
    <w:rsid w:val="009B5957"/>
    <w:rsid w:val="009B5C0B"/>
    <w:rsid w:val="009B62DB"/>
    <w:rsid w:val="009B7273"/>
    <w:rsid w:val="009B7356"/>
    <w:rsid w:val="009B7FAC"/>
    <w:rsid w:val="009C0C99"/>
    <w:rsid w:val="009C1122"/>
    <w:rsid w:val="009C1840"/>
    <w:rsid w:val="009C1B99"/>
    <w:rsid w:val="009C1DC2"/>
    <w:rsid w:val="009C2866"/>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39F6"/>
    <w:rsid w:val="00A542F8"/>
    <w:rsid w:val="00A55A47"/>
    <w:rsid w:val="00A574BF"/>
    <w:rsid w:val="00A579F8"/>
    <w:rsid w:val="00A57E65"/>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1F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5D9F"/>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174"/>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0B4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95F"/>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121"/>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138"/>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4BD"/>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246"/>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DFB"/>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A1"/>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57F7D"/>
    <w:rsid w:val="00D62320"/>
    <w:rsid w:val="00D6248B"/>
    <w:rsid w:val="00D62B5D"/>
    <w:rsid w:val="00D63379"/>
    <w:rsid w:val="00D635B1"/>
    <w:rsid w:val="00D639C5"/>
    <w:rsid w:val="00D63DA7"/>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6DEC"/>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4B0"/>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1431"/>
    <w:rsid w:val="00DC256C"/>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390"/>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875"/>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170"/>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3FCE"/>
    <w:rsid w:val="00E94584"/>
    <w:rsid w:val="00E95C26"/>
    <w:rsid w:val="00E95CEA"/>
    <w:rsid w:val="00E967F1"/>
    <w:rsid w:val="00E97FE2"/>
    <w:rsid w:val="00EA08E8"/>
    <w:rsid w:val="00EA0F7E"/>
    <w:rsid w:val="00EA1903"/>
    <w:rsid w:val="00EA1A5A"/>
    <w:rsid w:val="00EA2FC0"/>
    <w:rsid w:val="00EA3151"/>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B22"/>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27F97"/>
    <w:rsid w:val="00F303B6"/>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2B0"/>
    <w:rsid w:val="00F618C5"/>
    <w:rsid w:val="00F619E0"/>
    <w:rsid w:val="00F622E5"/>
    <w:rsid w:val="00F626FF"/>
    <w:rsid w:val="00F6380C"/>
    <w:rsid w:val="00F63E23"/>
    <w:rsid w:val="00F65D31"/>
    <w:rsid w:val="00F666A7"/>
    <w:rsid w:val="00F66A2E"/>
    <w:rsid w:val="00F67F09"/>
    <w:rsid w:val="00F706A0"/>
    <w:rsid w:val="00F709F5"/>
    <w:rsid w:val="00F70D25"/>
    <w:rsid w:val="00F717CC"/>
    <w:rsid w:val="00F72F11"/>
    <w:rsid w:val="00F72F45"/>
    <w:rsid w:val="00F72F51"/>
    <w:rsid w:val="00F73999"/>
    <w:rsid w:val="00F73AB3"/>
    <w:rsid w:val="00F73AB7"/>
    <w:rsid w:val="00F7547C"/>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4395"/>
    <w:rsid w:val="00FC54D5"/>
    <w:rsid w:val="00FC664D"/>
    <w:rsid w:val="00FC7201"/>
    <w:rsid w:val="00FC737A"/>
    <w:rsid w:val="00FC7844"/>
    <w:rsid w:val="00FD00C8"/>
    <w:rsid w:val="00FD0A8B"/>
    <w:rsid w:val="00FD1512"/>
    <w:rsid w:val="00FD1AB4"/>
    <w:rsid w:val="00FD1DDF"/>
    <w:rsid w:val="00FD28E8"/>
    <w:rsid w:val="00FD3355"/>
    <w:rsid w:val="00FD3CF7"/>
    <w:rsid w:val="00FD4FCC"/>
    <w:rsid w:val="00FD522F"/>
    <w:rsid w:val="00FD5A00"/>
    <w:rsid w:val="00FD5EA4"/>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D2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2-SectionHeading">
    <w:name w:val="2-Section Heading"/>
    <w:qFormat/>
    <w:rsid w:val="00F70D25"/>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F70D25"/>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F70D25"/>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348">
      <w:bodyDiv w:val="1"/>
      <w:marLeft w:val="0"/>
      <w:marRight w:val="0"/>
      <w:marTop w:val="0"/>
      <w:marBottom w:val="0"/>
      <w:divBdr>
        <w:top w:val="none" w:sz="0" w:space="0" w:color="auto"/>
        <w:left w:val="none" w:sz="0" w:space="0" w:color="auto"/>
        <w:bottom w:val="none" w:sz="0" w:space="0" w:color="auto"/>
        <w:right w:val="none" w:sz="0" w:space="0" w:color="auto"/>
      </w:divBdr>
    </w:div>
    <w:div w:id="12726520">
      <w:bodyDiv w:val="1"/>
      <w:marLeft w:val="0"/>
      <w:marRight w:val="0"/>
      <w:marTop w:val="0"/>
      <w:marBottom w:val="0"/>
      <w:divBdr>
        <w:top w:val="none" w:sz="0" w:space="0" w:color="auto"/>
        <w:left w:val="none" w:sz="0" w:space="0" w:color="auto"/>
        <w:bottom w:val="none" w:sz="0" w:space="0" w:color="auto"/>
        <w:right w:val="none" w:sz="0" w:space="0" w:color="auto"/>
      </w:divBdr>
    </w:div>
    <w:div w:id="1546919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2682473">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9180139">
      <w:bodyDiv w:val="1"/>
      <w:marLeft w:val="0"/>
      <w:marRight w:val="0"/>
      <w:marTop w:val="0"/>
      <w:marBottom w:val="0"/>
      <w:divBdr>
        <w:top w:val="none" w:sz="0" w:space="0" w:color="auto"/>
        <w:left w:val="none" w:sz="0" w:space="0" w:color="auto"/>
        <w:bottom w:val="none" w:sz="0" w:space="0" w:color="auto"/>
        <w:right w:val="none" w:sz="0" w:space="0" w:color="auto"/>
      </w:divBdr>
    </w:div>
    <w:div w:id="115105947">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344460">
      <w:bodyDiv w:val="1"/>
      <w:marLeft w:val="0"/>
      <w:marRight w:val="0"/>
      <w:marTop w:val="0"/>
      <w:marBottom w:val="0"/>
      <w:divBdr>
        <w:top w:val="none" w:sz="0" w:space="0" w:color="auto"/>
        <w:left w:val="none" w:sz="0" w:space="0" w:color="auto"/>
        <w:bottom w:val="none" w:sz="0" w:space="0" w:color="auto"/>
        <w:right w:val="none" w:sz="0" w:space="0" w:color="auto"/>
      </w:divBdr>
    </w:div>
    <w:div w:id="225147309">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7588008">
      <w:bodyDiv w:val="1"/>
      <w:marLeft w:val="0"/>
      <w:marRight w:val="0"/>
      <w:marTop w:val="0"/>
      <w:marBottom w:val="0"/>
      <w:divBdr>
        <w:top w:val="none" w:sz="0" w:space="0" w:color="auto"/>
        <w:left w:val="none" w:sz="0" w:space="0" w:color="auto"/>
        <w:bottom w:val="none" w:sz="0" w:space="0" w:color="auto"/>
        <w:right w:val="none" w:sz="0" w:space="0" w:color="auto"/>
      </w:divBdr>
    </w:div>
    <w:div w:id="26916572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95379813">
      <w:bodyDiv w:val="1"/>
      <w:marLeft w:val="0"/>
      <w:marRight w:val="0"/>
      <w:marTop w:val="0"/>
      <w:marBottom w:val="0"/>
      <w:divBdr>
        <w:top w:val="none" w:sz="0" w:space="0" w:color="auto"/>
        <w:left w:val="none" w:sz="0" w:space="0" w:color="auto"/>
        <w:bottom w:val="none" w:sz="0" w:space="0" w:color="auto"/>
        <w:right w:val="none" w:sz="0" w:space="0" w:color="auto"/>
      </w:divBdr>
    </w:div>
    <w:div w:id="30258874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4725438">
      <w:bodyDiv w:val="1"/>
      <w:marLeft w:val="0"/>
      <w:marRight w:val="0"/>
      <w:marTop w:val="0"/>
      <w:marBottom w:val="0"/>
      <w:divBdr>
        <w:top w:val="none" w:sz="0" w:space="0" w:color="auto"/>
        <w:left w:val="none" w:sz="0" w:space="0" w:color="auto"/>
        <w:bottom w:val="none" w:sz="0" w:space="0" w:color="auto"/>
        <w:right w:val="none" w:sz="0" w:space="0" w:color="auto"/>
      </w:divBdr>
    </w:div>
    <w:div w:id="326440692">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44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049192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306572">
      <w:bodyDiv w:val="1"/>
      <w:marLeft w:val="0"/>
      <w:marRight w:val="0"/>
      <w:marTop w:val="0"/>
      <w:marBottom w:val="0"/>
      <w:divBdr>
        <w:top w:val="none" w:sz="0" w:space="0" w:color="auto"/>
        <w:left w:val="none" w:sz="0" w:space="0" w:color="auto"/>
        <w:bottom w:val="none" w:sz="0" w:space="0" w:color="auto"/>
        <w:right w:val="none" w:sz="0" w:space="0" w:color="auto"/>
      </w:divBdr>
    </w:div>
    <w:div w:id="582758191">
      <w:bodyDiv w:val="1"/>
      <w:marLeft w:val="0"/>
      <w:marRight w:val="0"/>
      <w:marTop w:val="0"/>
      <w:marBottom w:val="0"/>
      <w:divBdr>
        <w:top w:val="none" w:sz="0" w:space="0" w:color="auto"/>
        <w:left w:val="none" w:sz="0" w:space="0" w:color="auto"/>
        <w:bottom w:val="none" w:sz="0" w:space="0" w:color="auto"/>
        <w:right w:val="none" w:sz="0" w:space="0" w:color="auto"/>
      </w:divBdr>
    </w:div>
    <w:div w:id="592128103">
      <w:bodyDiv w:val="1"/>
      <w:marLeft w:val="0"/>
      <w:marRight w:val="0"/>
      <w:marTop w:val="0"/>
      <w:marBottom w:val="0"/>
      <w:divBdr>
        <w:top w:val="none" w:sz="0" w:space="0" w:color="auto"/>
        <w:left w:val="none" w:sz="0" w:space="0" w:color="auto"/>
        <w:bottom w:val="none" w:sz="0" w:space="0" w:color="auto"/>
        <w:right w:val="none" w:sz="0" w:space="0" w:color="auto"/>
      </w:divBdr>
    </w:div>
    <w:div w:id="594553532">
      <w:bodyDiv w:val="1"/>
      <w:marLeft w:val="0"/>
      <w:marRight w:val="0"/>
      <w:marTop w:val="0"/>
      <w:marBottom w:val="0"/>
      <w:divBdr>
        <w:top w:val="none" w:sz="0" w:space="0" w:color="auto"/>
        <w:left w:val="none" w:sz="0" w:space="0" w:color="auto"/>
        <w:bottom w:val="none" w:sz="0" w:space="0" w:color="auto"/>
        <w:right w:val="none" w:sz="0" w:space="0" w:color="auto"/>
      </w:divBdr>
    </w:div>
    <w:div w:id="596792597">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768459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232091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386918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56905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76890707">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9486125">
      <w:bodyDiv w:val="1"/>
      <w:marLeft w:val="0"/>
      <w:marRight w:val="0"/>
      <w:marTop w:val="0"/>
      <w:marBottom w:val="0"/>
      <w:divBdr>
        <w:top w:val="none" w:sz="0" w:space="0" w:color="auto"/>
        <w:left w:val="none" w:sz="0" w:space="0" w:color="auto"/>
        <w:bottom w:val="none" w:sz="0" w:space="0" w:color="auto"/>
        <w:right w:val="none" w:sz="0" w:space="0" w:color="auto"/>
      </w:divBdr>
    </w:div>
    <w:div w:id="94237491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4042709">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78709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195537">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2479326">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2379559">
      <w:bodyDiv w:val="1"/>
      <w:marLeft w:val="0"/>
      <w:marRight w:val="0"/>
      <w:marTop w:val="0"/>
      <w:marBottom w:val="0"/>
      <w:divBdr>
        <w:top w:val="none" w:sz="0" w:space="0" w:color="auto"/>
        <w:left w:val="none" w:sz="0" w:space="0" w:color="auto"/>
        <w:bottom w:val="none" w:sz="0" w:space="0" w:color="auto"/>
        <w:right w:val="none" w:sz="0" w:space="0" w:color="auto"/>
      </w:divBdr>
    </w:div>
    <w:div w:id="1180123871">
      <w:bodyDiv w:val="1"/>
      <w:marLeft w:val="0"/>
      <w:marRight w:val="0"/>
      <w:marTop w:val="0"/>
      <w:marBottom w:val="0"/>
      <w:divBdr>
        <w:top w:val="none" w:sz="0" w:space="0" w:color="auto"/>
        <w:left w:val="none" w:sz="0" w:space="0" w:color="auto"/>
        <w:bottom w:val="none" w:sz="0" w:space="0" w:color="auto"/>
        <w:right w:val="none" w:sz="0" w:space="0" w:color="auto"/>
      </w:divBdr>
    </w:div>
    <w:div w:id="1183860894">
      <w:bodyDiv w:val="1"/>
      <w:marLeft w:val="0"/>
      <w:marRight w:val="0"/>
      <w:marTop w:val="0"/>
      <w:marBottom w:val="0"/>
      <w:divBdr>
        <w:top w:val="none" w:sz="0" w:space="0" w:color="auto"/>
        <w:left w:val="none" w:sz="0" w:space="0" w:color="auto"/>
        <w:bottom w:val="none" w:sz="0" w:space="0" w:color="auto"/>
        <w:right w:val="none" w:sz="0" w:space="0" w:color="auto"/>
      </w:divBdr>
    </w:div>
    <w:div w:id="1190296574">
      <w:bodyDiv w:val="1"/>
      <w:marLeft w:val="0"/>
      <w:marRight w:val="0"/>
      <w:marTop w:val="0"/>
      <w:marBottom w:val="0"/>
      <w:divBdr>
        <w:top w:val="none" w:sz="0" w:space="0" w:color="auto"/>
        <w:left w:val="none" w:sz="0" w:space="0" w:color="auto"/>
        <w:bottom w:val="none" w:sz="0" w:space="0" w:color="auto"/>
        <w:right w:val="none" w:sz="0" w:space="0" w:color="auto"/>
      </w:divBdr>
    </w:div>
    <w:div w:id="1202473056">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809788">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2918446">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8188256">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3912042">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617331">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8396772">
      <w:bodyDiv w:val="1"/>
      <w:marLeft w:val="0"/>
      <w:marRight w:val="0"/>
      <w:marTop w:val="0"/>
      <w:marBottom w:val="0"/>
      <w:divBdr>
        <w:top w:val="none" w:sz="0" w:space="0" w:color="auto"/>
        <w:left w:val="none" w:sz="0" w:space="0" w:color="auto"/>
        <w:bottom w:val="none" w:sz="0" w:space="0" w:color="auto"/>
        <w:right w:val="none" w:sz="0" w:space="0" w:color="auto"/>
      </w:divBdr>
    </w:div>
    <w:div w:id="156297799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20392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4352686">
      <w:bodyDiv w:val="1"/>
      <w:marLeft w:val="0"/>
      <w:marRight w:val="0"/>
      <w:marTop w:val="0"/>
      <w:marBottom w:val="0"/>
      <w:divBdr>
        <w:top w:val="none" w:sz="0" w:space="0" w:color="auto"/>
        <w:left w:val="none" w:sz="0" w:space="0" w:color="auto"/>
        <w:bottom w:val="none" w:sz="0" w:space="0" w:color="auto"/>
        <w:right w:val="none" w:sz="0" w:space="0" w:color="auto"/>
      </w:divBdr>
    </w:div>
    <w:div w:id="1751123233">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3230407">
      <w:bodyDiv w:val="1"/>
      <w:marLeft w:val="0"/>
      <w:marRight w:val="0"/>
      <w:marTop w:val="0"/>
      <w:marBottom w:val="0"/>
      <w:divBdr>
        <w:top w:val="none" w:sz="0" w:space="0" w:color="auto"/>
        <w:left w:val="none" w:sz="0" w:space="0" w:color="auto"/>
        <w:bottom w:val="none" w:sz="0" w:space="0" w:color="auto"/>
        <w:right w:val="none" w:sz="0" w:space="0" w:color="auto"/>
      </w:divBdr>
    </w:div>
    <w:div w:id="181352384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1598011">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2829820">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431171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5109324">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99416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387D-11FD-453E-8F68-04AEDD38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2020-08-17T06:32:00Z</dcterms:created>
  <dcterms:modified xsi:type="dcterms:W3CDTF">2020-10-29T01:10:00Z</dcterms:modified>
</cp:coreProperties>
</file>