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409"/>
        <w:gridCol w:w="3261"/>
        <w:gridCol w:w="6947"/>
      </w:tblGrid>
      <w:tr w:rsidR="00987FDA" w:rsidRPr="00D3523D" w14:paraId="2F780D8A" w14:textId="77777777" w:rsidTr="00257615">
        <w:trPr>
          <w:tblHeader/>
        </w:trPr>
        <w:tc>
          <w:tcPr>
            <w:tcW w:w="2694" w:type="dxa"/>
            <w:tcMar>
              <w:top w:w="28" w:type="dxa"/>
              <w:bottom w:w="28" w:type="dxa"/>
            </w:tcMar>
          </w:tcPr>
          <w:p w14:paraId="58BB41E5" w14:textId="46F847AB" w:rsidR="00257615" w:rsidRPr="00D3523D" w:rsidRDefault="002960C3" w:rsidP="00F10A31">
            <w:pPr>
              <w:widowControl w:val="0"/>
              <w:jc w:val="center"/>
              <w:rPr>
                <w:rFonts w:ascii="Arial" w:hAnsi="Arial" w:cs="Arial"/>
                <w:b/>
              </w:rPr>
            </w:pPr>
            <w:bookmarkStart w:id="0" w:name="_GoBack"/>
            <w:bookmarkEnd w:id="0"/>
            <w:r w:rsidRPr="00D3523D">
              <w:rPr>
                <w:rFonts w:ascii="Arial" w:hAnsi="Arial" w:cs="Arial"/>
                <w:b/>
              </w:rPr>
              <w:t>DRUG NAME, FORM(S), STRENGTH(S), SPONSOR, TYPE OF SUBMISSION</w:t>
            </w:r>
          </w:p>
        </w:tc>
        <w:tc>
          <w:tcPr>
            <w:tcW w:w="2409" w:type="dxa"/>
            <w:tcMar>
              <w:top w:w="28" w:type="dxa"/>
              <w:bottom w:w="28" w:type="dxa"/>
            </w:tcMar>
          </w:tcPr>
          <w:p w14:paraId="22DBCABB"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DRUG TYPE AND USE</w:t>
            </w:r>
          </w:p>
          <w:p w14:paraId="64FD3362" w14:textId="77777777" w:rsidR="00987FDA" w:rsidRPr="00D3523D" w:rsidRDefault="00987FDA" w:rsidP="002960C3">
            <w:pPr>
              <w:widowControl w:val="0"/>
              <w:jc w:val="center"/>
              <w:rPr>
                <w:rFonts w:ascii="Arial" w:hAnsi="Arial" w:cs="Arial"/>
                <w:b/>
                <w:snapToGrid w:val="0"/>
                <w:lang w:eastAsia="en-US"/>
              </w:rPr>
            </w:pPr>
          </w:p>
        </w:tc>
        <w:tc>
          <w:tcPr>
            <w:tcW w:w="3261" w:type="dxa"/>
            <w:tcMar>
              <w:top w:w="28" w:type="dxa"/>
              <w:bottom w:w="28" w:type="dxa"/>
            </w:tcMar>
          </w:tcPr>
          <w:p w14:paraId="60A9336E" w14:textId="77777777" w:rsidR="00987FDA" w:rsidRPr="00D3523D" w:rsidRDefault="002960C3" w:rsidP="002960C3">
            <w:pPr>
              <w:widowControl w:val="0"/>
              <w:jc w:val="center"/>
              <w:rPr>
                <w:rFonts w:ascii="Arial" w:hAnsi="Arial" w:cs="Arial"/>
                <w:b/>
                <w:snapToGrid w:val="0"/>
                <w:lang w:eastAsia="en-US"/>
              </w:rPr>
            </w:pPr>
            <w:r w:rsidRPr="00D3523D">
              <w:rPr>
                <w:rFonts w:ascii="Arial" w:hAnsi="Arial" w:cs="Arial"/>
                <w:b/>
                <w:snapToGrid w:val="0"/>
                <w:lang w:eastAsia="en-US"/>
              </w:rPr>
              <w:t>LISTING REQUESTED BY SPONSOR / PURPOSE OF SUBMISSION</w:t>
            </w:r>
          </w:p>
        </w:tc>
        <w:tc>
          <w:tcPr>
            <w:tcW w:w="6947" w:type="dxa"/>
          </w:tcPr>
          <w:p w14:paraId="5626F454" w14:textId="77777777" w:rsidR="00987FDA" w:rsidRPr="00D3523D" w:rsidRDefault="00987FDA" w:rsidP="00D167D0">
            <w:pPr>
              <w:pStyle w:val="Header"/>
              <w:jc w:val="center"/>
              <w:rPr>
                <w:rFonts w:ascii="Arial" w:hAnsi="Arial" w:cs="Arial"/>
                <w:b/>
                <w:snapToGrid w:val="0"/>
                <w:lang w:eastAsia="en-US"/>
              </w:rPr>
            </w:pPr>
            <w:r w:rsidRPr="00D3523D">
              <w:rPr>
                <w:rFonts w:ascii="Arial" w:hAnsi="Arial" w:cs="Arial"/>
                <w:b/>
                <w:snapToGrid w:val="0"/>
                <w:lang w:eastAsia="en-US"/>
              </w:rPr>
              <w:t xml:space="preserve">PBAC </w:t>
            </w:r>
            <w:r w:rsidR="002960C3" w:rsidRPr="00D3523D">
              <w:rPr>
                <w:rFonts w:ascii="Arial" w:hAnsi="Arial" w:cs="Arial"/>
                <w:b/>
                <w:snapToGrid w:val="0"/>
                <w:lang w:eastAsia="en-US"/>
              </w:rPr>
              <w:t>OUTCOME</w:t>
            </w:r>
          </w:p>
        </w:tc>
      </w:tr>
      <w:tr w:rsidR="00F16FA4" w:rsidRPr="00D3523D" w14:paraId="3E063046" w14:textId="77777777" w:rsidTr="001A199E">
        <w:trPr>
          <w:cantSplit/>
          <w:trHeight w:val="896"/>
        </w:trPr>
        <w:tc>
          <w:tcPr>
            <w:tcW w:w="2694" w:type="dxa"/>
            <w:vMerge w:val="restart"/>
            <w:tcMar>
              <w:top w:w="28" w:type="dxa"/>
              <w:bottom w:w="28" w:type="dxa"/>
            </w:tcMar>
          </w:tcPr>
          <w:p w14:paraId="6E5AEC86" w14:textId="3F8B02DC" w:rsidR="00E44A52" w:rsidRPr="008A64B3" w:rsidRDefault="00E44A52" w:rsidP="00E44A52">
            <w:pPr>
              <w:rPr>
                <w:rFonts w:ascii="Arial" w:hAnsi="Arial" w:cs="Arial"/>
                <w:color w:val="000000"/>
              </w:rPr>
            </w:pPr>
            <w:r w:rsidRPr="008A64B3">
              <w:rPr>
                <w:rFonts w:ascii="Arial" w:hAnsi="Arial" w:cs="Arial"/>
                <w:color w:val="000000"/>
              </w:rPr>
              <w:t>ACALABRUTINIB</w:t>
            </w:r>
            <w:r w:rsidRPr="008A64B3">
              <w:rPr>
                <w:rFonts w:ascii="Arial" w:hAnsi="Arial" w:cs="Arial"/>
                <w:color w:val="000000"/>
              </w:rPr>
              <w:br/>
            </w:r>
            <w:r w:rsidRPr="008A64B3">
              <w:rPr>
                <w:rFonts w:ascii="Arial" w:hAnsi="Arial" w:cs="Arial"/>
                <w:color w:val="000000"/>
              </w:rPr>
              <w:br/>
              <w:t xml:space="preserve">Capsule 100 mg </w:t>
            </w:r>
            <w:r w:rsidRPr="008A64B3">
              <w:rPr>
                <w:rFonts w:ascii="Arial" w:hAnsi="Arial" w:cs="Arial"/>
                <w:color w:val="000000"/>
              </w:rPr>
              <w:br/>
            </w:r>
            <w:r w:rsidRPr="008A64B3">
              <w:rPr>
                <w:rFonts w:ascii="Arial" w:hAnsi="Arial" w:cs="Arial"/>
                <w:color w:val="000000"/>
              </w:rPr>
              <w:br/>
            </w:r>
            <w:proofErr w:type="spellStart"/>
            <w:r w:rsidR="007A7118">
              <w:rPr>
                <w:rFonts w:ascii="Arial" w:hAnsi="Arial" w:cs="Arial"/>
                <w:color w:val="000000"/>
              </w:rPr>
              <w:t>Calquence</w:t>
            </w:r>
            <w:proofErr w:type="spellEnd"/>
            <w:r w:rsidR="007A7118">
              <w:rPr>
                <w:rFonts w:ascii="Arial" w:hAnsi="Arial" w:cs="Arial"/>
                <w:color w:val="000000"/>
              </w:rPr>
              <w:t>®</w:t>
            </w:r>
            <w:r w:rsidRPr="008A64B3">
              <w:rPr>
                <w:rFonts w:ascii="Arial" w:hAnsi="Arial" w:cs="Arial"/>
                <w:color w:val="000000"/>
              </w:rPr>
              <w:br/>
            </w:r>
            <w:r w:rsidRPr="008A64B3">
              <w:rPr>
                <w:rFonts w:ascii="Arial" w:hAnsi="Arial" w:cs="Arial"/>
                <w:color w:val="000000"/>
              </w:rPr>
              <w:br/>
              <w:t>AstraZeneca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p>
          <w:p w14:paraId="6AF1A159" w14:textId="77777777" w:rsidR="00F16FA4" w:rsidRPr="008A64B3" w:rsidRDefault="00F16FA4" w:rsidP="001A199E">
            <w:pPr>
              <w:rPr>
                <w:rFonts w:ascii="Arial" w:hAnsi="Arial" w:cs="Arial"/>
              </w:rPr>
            </w:pPr>
          </w:p>
        </w:tc>
        <w:tc>
          <w:tcPr>
            <w:tcW w:w="2409" w:type="dxa"/>
            <w:vMerge w:val="restart"/>
          </w:tcPr>
          <w:p w14:paraId="4D73B443" w14:textId="77777777" w:rsidR="00E44A52" w:rsidRPr="008A64B3" w:rsidRDefault="00E44A52" w:rsidP="00E44A52">
            <w:pPr>
              <w:rPr>
                <w:rFonts w:ascii="Arial" w:hAnsi="Arial" w:cs="Arial"/>
                <w:color w:val="000000"/>
              </w:rPr>
            </w:pPr>
            <w:r w:rsidRPr="008A64B3">
              <w:rPr>
                <w:rFonts w:ascii="Arial" w:hAnsi="Arial" w:cs="Arial"/>
                <w:color w:val="000000"/>
              </w:rPr>
              <w:t>Chronic lymphocytic leukaemia (CLL) or small lymphocytic lymphoma (SLL)</w:t>
            </w:r>
          </w:p>
          <w:p w14:paraId="52C7B078" w14:textId="77777777" w:rsidR="00F16FA4" w:rsidRPr="008A64B3" w:rsidRDefault="00F16FA4" w:rsidP="001A199E">
            <w:pPr>
              <w:rPr>
                <w:rFonts w:ascii="Arial" w:hAnsi="Arial" w:cs="Arial"/>
              </w:rPr>
            </w:pPr>
          </w:p>
        </w:tc>
        <w:tc>
          <w:tcPr>
            <w:tcW w:w="3261" w:type="dxa"/>
            <w:tcMar>
              <w:top w:w="28" w:type="dxa"/>
              <w:bottom w:w="28" w:type="dxa"/>
            </w:tcMar>
          </w:tcPr>
          <w:p w14:paraId="51C9BD0A" w14:textId="059147C1" w:rsidR="00F16FA4" w:rsidRPr="008A64B3" w:rsidRDefault="00E44A52" w:rsidP="001A199E">
            <w:pPr>
              <w:rPr>
                <w:rFonts w:ascii="Arial" w:hAnsi="Arial" w:cs="Arial"/>
                <w:color w:val="000000"/>
              </w:rPr>
            </w:pPr>
            <w:r w:rsidRPr="008A64B3">
              <w:rPr>
                <w:rFonts w:ascii="Arial" w:hAnsi="Arial" w:cs="Arial"/>
                <w:color w:val="000000"/>
              </w:rPr>
              <w:t>To request an Authority Required listing for the treatment of</w:t>
            </w:r>
            <w:r w:rsidRPr="008A64B3">
              <w:rPr>
                <w:rFonts w:ascii="Arial" w:hAnsi="Arial" w:cs="Arial"/>
                <w:color w:val="000000"/>
              </w:rPr>
              <w:br/>
              <w:t>patients (either as monotherapy or in combination with obinutuzumab) with previously untreated CLL or SLL considered</w:t>
            </w:r>
            <w:r w:rsidRPr="008A64B3">
              <w:rPr>
                <w:rFonts w:ascii="Arial" w:hAnsi="Arial" w:cs="Arial"/>
                <w:color w:val="000000"/>
              </w:rPr>
              <w:br/>
              <w:t xml:space="preserve">unsuitable for treatment with a purine analogue. A second request was for use only in the subgroup of patients with a 17p deletion. </w:t>
            </w:r>
          </w:p>
        </w:tc>
        <w:tc>
          <w:tcPr>
            <w:tcW w:w="6947" w:type="dxa"/>
          </w:tcPr>
          <w:p w14:paraId="3EB28B04" w14:textId="77777777" w:rsidR="00F522DC" w:rsidRDefault="00D46270" w:rsidP="00D46270">
            <w:pPr>
              <w:pStyle w:val="NoSpacing"/>
              <w:rPr>
                <w:rFonts w:ascii="Arial" w:hAnsi="Arial" w:cs="Arial"/>
                <w:bCs/>
                <w:snapToGrid w:val="0"/>
                <w:sz w:val="20"/>
                <w:szCs w:val="20"/>
              </w:rPr>
            </w:pPr>
            <w:r w:rsidRPr="00D46270">
              <w:rPr>
                <w:rFonts w:ascii="Arial" w:hAnsi="Arial" w:cs="Arial"/>
                <w:bCs/>
                <w:snapToGrid w:val="0"/>
                <w:sz w:val="20"/>
                <w:szCs w:val="20"/>
              </w:rPr>
              <w:t xml:space="preserve">The PBAC did not recommend the listing of acalabrutinib, for use as monotherapy or in combination with obinutuzumab, for the first-line treatment of patients with CLL or SLL who </w:t>
            </w:r>
            <w:proofErr w:type="gramStart"/>
            <w:r w:rsidRPr="00D46270">
              <w:rPr>
                <w:rFonts w:ascii="Arial" w:hAnsi="Arial" w:cs="Arial"/>
                <w:bCs/>
                <w:snapToGrid w:val="0"/>
                <w:sz w:val="20"/>
                <w:szCs w:val="20"/>
              </w:rPr>
              <w:t>are considered</w:t>
            </w:r>
            <w:proofErr w:type="gramEnd"/>
            <w:r w:rsidRPr="00D46270">
              <w:rPr>
                <w:rFonts w:ascii="Arial" w:hAnsi="Arial" w:cs="Arial"/>
                <w:bCs/>
                <w:snapToGrid w:val="0"/>
                <w:sz w:val="20"/>
                <w:szCs w:val="20"/>
              </w:rPr>
              <w:t xml:space="preserve"> unsuitable for treatment with a purine analogue. The PBAC considered that the incremental </w:t>
            </w:r>
            <w:r>
              <w:rPr>
                <w:rFonts w:ascii="Arial" w:hAnsi="Arial" w:cs="Arial"/>
                <w:bCs/>
                <w:snapToGrid w:val="0"/>
                <w:sz w:val="20"/>
                <w:szCs w:val="20"/>
              </w:rPr>
              <w:t xml:space="preserve">cost-effectiveness ratio </w:t>
            </w:r>
            <w:r w:rsidRPr="00D46270">
              <w:rPr>
                <w:rFonts w:ascii="Arial" w:hAnsi="Arial" w:cs="Arial"/>
                <w:bCs/>
                <w:snapToGrid w:val="0"/>
                <w:sz w:val="20"/>
                <w:szCs w:val="20"/>
              </w:rPr>
              <w:t xml:space="preserve">was unacceptably high and uncertain at the proposed price. </w:t>
            </w:r>
          </w:p>
          <w:p w14:paraId="7F08DC66" w14:textId="77777777" w:rsidR="00F522DC" w:rsidRDefault="00F522DC" w:rsidP="00D46270">
            <w:pPr>
              <w:pStyle w:val="NoSpacing"/>
              <w:rPr>
                <w:rFonts w:ascii="Arial" w:hAnsi="Arial" w:cs="Arial"/>
                <w:bCs/>
                <w:snapToGrid w:val="0"/>
                <w:sz w:val="20"/>
                <w:szCs w:val="20"/>
              </w:rPr>
            </w:pPr>
          </w:p>
          <w:p w14:paraId="4366137B" w14:textId="1B2895D5" w:rsidR="00F16FA4" w:rsidRPr="00D46270" w:rsidRDefault="00D46270" w:rsidP="00D46270">
            <w:pPr>
              <w:pStyle w:val="NoSpacing"/>
              <w:rPr>
                <w:rFonts w:ascii="Arial" w:hAnsi="Arial" w:cs="Arial"/>
                <w:sz w:val="20"/>
                <w:szCs w:val="20"/>
              </w:rPr>
            </w:pPr>
            <w:r w:rsidRPr="00D46270">
              <w:rPr>
                <w:rFonts w:ascii="Arial" w:hAnsi="Arial" w:cs="Arial"/>
                <w:bCs/>
                <w:snapToGrid w:val="0"/>
                <w:sz w:val="20"/>
                <w:szCs w:val="20"/>
              </w:rPr>
              <w:t xml:space="preserve">The PBAC did not recommend the listing of acalabrutinib, for use as monotherapy or in combination with obinutuzumab, for the first-line treatment of patients with CLL or SLL who harbour a 17p deletion as non-inferiority versus ibrutinib </w:t>
            </w:r>
            <w:proofErr w:type="gramStart"/>
            <w:r w:rsidRPr="00D46270">
              <w:rPr>
                <w:rFonts w:ascii="Arial" w:hAnsi="Arial" w:cs="Arial"/>
                <w:bCs/>
                <w:snapToGrid w:val="0"/>
                <w:sz w:val="20"/>
                <w:szCs w:val="20"/>
              </w:rPr>
              <w:t>was not adequately demonstrated</w:t>
            </w:r>
            <w:proofErr w:type="gramEnd"/>
            <w:r w:rsidRPr="00D46270">
              <w:rPr>
                <w:rFonts w:ascii="Arial" w:hAnsi="Arial" w:cs="Arial"/>
                <w:bCs/>
                <w:snapToGrid w:val="0"/>
                <w:sz w:val="20"/>
                <w:szCs w:val="20"/>
              </w:rPr>
              <w:t>.</w:t>
            </w:r>
            <w:r w:rsidRPr="00D46270">
              <w:rPr>
                <w:rFonts w:ascii="Arial" w:hAnsi="Arial" w:cs="Arial"/>
                <w:bCs/>
                <w:sz w:val="20"/>
                <w:szCs w:val="20"/>
              </w:rPr>
              <w:t xml:space="preserve"> </w:t>
            </w:r>
          </w:p>
        </w:tc>
      </w:tr>
      <w:tr w:rsidR="00F16FA4" w:rsidRPr="00D3523D" w14:paraId="7B14B8F0" w14:textId="77777777" w:rsidTr="001A199E">
        <w:trPr>
          <w:cantSplit/>
          <w:trHeight w:val="465"/>
        </w:trPr>
        <w:tc>
          <w:tcPr>
            <w:tcW w:w="2694" w:type="dxa"/>
            <w:vMerge/>
            <w:tcMar>
              <w:top w:w="28" w:type="dxa"/>
              <w:bottom w:w="28" w:type="dxa"/>
            </w:tcMar>
          </w:tcPr>
          <w:p w14:paraId="0E76B810" w14:textId="77777777" w:rsidR="00F16FA4" w:rsidRPr="008A64B3" w:rsidRDefault="00F16FA4" w:rsidP="001A199E">
            <w:pPr>
              <w:rPr>
                <w:rFonts w:ascii="Arial" w:hAnsi="Arial" w:cs="Arial"/>
              </w:rPr>
            </w:pPr>
          </w:p>
        </w:tc>
        <w:tc>
          <w:tcPr>
            <w:tcW w:w="2409" w:type="dxa"/>
            <w:vMerge/>
          </w:tcPr>
          <w:p w14:paraId="7B7FEDFD"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75D9FB3E" w14:textId="51D0ECED"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6077C8A6" w14:textId="77777777" w:rsidR="00F16FA4" w:rsidRDefault="00571984" w:rsidP="001A199E">
            <w:pPr>
              <w:pStyle w:val="ListParagraph"/>
              <w:ind w:left="0"/>
              <w:jc w:val="both"/>
              <w:rPr>
                <w:rFonts w:ascii="Arial" w:hAnsi="Arial" w:cs="Arial"/>
                <w:iCs/>
                <w:sz w:val="20"/>
                <w:szCs w:val="20"/>
              </w:rPr>
            </w:pPr>
            <w:r w:rsidRPr="003A723C">
              <w:rPr>
                <w:rFonts w:ascii="Arial" w:hAnsi="Arial" w:cs="Arial"/>
                <w:iCs/>
                <w:sz w:val="20"/>
                <w:szCs w:val="20"/>
              </w:rPr>
              <w:t>The sponsor had no comment.</w:t>
            </w:r>
            <w:r>
              <w:rPr>
                <w:rFonts w:ascii="Arial" w:hAnsi="Arial" w:cs="Arial"/>
                <w:iCs/>
                <w:sz w:val="20"/>
                <w:szCs w:val="20"/>
              </w:rPr>
              <w:t xml:space="preserve"> </w:t>
            </w:r>
          </w:p>
          <w:p w14:paraId="0E12B870" w14:textId="77777777" w:rsidR="00571984" w:rsidRDefault="00571984" w:rsidP="001A199E">
            <w:pPr>
              <w:pStyle w:val="ListParagraph"/>
              <w:ind w:left="0"/>
              <w:jc w:val="both"/>
              <w:rPr>
                <w:rFonts w:ascii="Arial" w:hAnsi="Arial" w:cs="Arial"/>
                <w:iCs/>
                <w:sz w:val="20"/>
                <w:szCs w:val="20"/>
              </w:rPr>
            </w:pPr>
          </w:p>
          <w:p w14:paraId="3817B498" w14:textId="77777777" w:rsidR="00571984" w:rsidRDefault="00571984" w:rsidP="001A199E">
            <w:pPr>
              <w:pStyle w:val="ListParagraph"/>
              <w:ind w:left="0"/>
              <w:jc w:val="both"/>
              <w:rPr>
                <w:rFonts w:ascii="Arial" w:hAnsi="Arial" w:cs="Arial"/>
                <w:iCs/>
                <w:sz w:val="20"/>
                <w:szCs w:val="20"/>
              </w:rPr>
            </w:pPr>
          </w:p>
          <w:p w14:paraId="46886EF0" w14:textId="510B430A" w:rsidR="00571984" w:rsidRPr="008A64B3" w:rsidRDefault="00571984" w:rsidP="001A199E">
            <w:pPr>
              <w:pStyle w:val="ListParagraph"/>
              <w:ind w:left="0"/>
              <w:jc w:val="both"/>
              <w:rPr>
                <w:rFonts w:ascii="Arial" w:hAnsi="Arial" w:cs="Arial"/>
                <w:iCs/>
                <w:sz w:val="20"/>
                <w:szCs w:val="20"/>
              </w:rPr>
            </w:pPr>
          </w:p>
        </w:tc>
      </w:tr>
      <w:tr w:rsidR="00F16FA4" w:rsidRPr="00D3523D" w14:paraId="713A52D1" w14:textId="77777777" w:rsidTr="001A199E">
        <w:trPr>
          <w:cantSplit/>
          <w:trHeight w:val="896"/>
        </w:trPr>
        <w:tc>
          <w:tcPr>
            <w:tcW w:w="2694" w:type="dxa"/>
            <w:vMerge w:val="restart"/>
            <w:tcMar>
              <w:top w:w="28" w:type="dxa"/>
              <w:bottom w:w="28" w:type="dxa"/>
            </w:tcMar>
          </w:tcPr>
          <w:p w14:paraId="48C7B1ED" w14:textId="16C0C415" w:rsidR="008A64B3" w:rsidRPr="00571984" w:rsidRDefault="00E44A52" w:rsidP="00E44A52">
            <w:pPr>
              <w:rPr>
                <w:rFonts w:ascii="Arial" w:hAnsi="Arial" w:cs="Arial"/>
                <w:color w:val="000000"/>
              </w:rPr>
            </w:pPr>
            <w:r w:rsidRPr="008A64B3">
              <w:rPr>
                <w:rFonts w:ascii="Arial" w:hAnsi="Arial" w:cs="Arial"/>
                <w:color w:val="000000"/>
              </w:rPr>
              <w:t>CAPLACIZUMAB</w:t>
            </w:r>
            <w:r w:rsidRPr="008A64B3">
              <w:rPr>
                <w:rFonts w:ascii="Arial" w:hAnsi="Arial" w:cs="Arial"/>
                <w:color w:val="000000"/>
              </w:rPr>
              <w:br/>
            </w:r>
            <w:r w:rsidRPr="008A64B3">
              <w:rPr>
                <w:rFonts w:ascii="Arial" w:hAnsi="Arial" w:cs="Arial"/>
                <w:color w:val="000000"/>
              </w:rPr>
              <w:br/>
              <w:t xml:space="preserve">Injection set containing 1 vial powder for injection 10 mg and 1 pre-filled </w:t>
            </w:r>
            <w:r w:rsidR="007A7118">
              <w:rPr>
                <w:rFonts w:ascii="Arial" w:hAnsi="Arial" w:cs="Arial"/>
                <w:color w:val="000000"/>
              </w:rPr>
              <w:t xml:space="preserve">syringe solvent 1 mL </w:t>
            </w:r>
            <w:r w:rsidR="007A7118">
              <w:rPr>
                <w:rFonts w:ascii="Arial" w:hAnsi="Arial" w:cs="Arial"/>
                <w:color w:val="000000"/>
              </w:rPr>
              <w:br/>
            </w:r>
            <w:r w:rsidR="007A7118">
              <w:rPr>
                <w:rFonts w:ascii="Arial" w:hAnsi="Arial" w:cs="Arial"/>
                <w:color w:val="000000"/>
              </w:rPr>
              <w:br/>
            </w:r>
            <w:proofErr w:type="spellStart"/>
            <w:r w:rsidR="007A7118">
              <w:rPr>
                <w:rFonts w:ascii="Arial" w:hAnsi="Arial" w:cs="Arial"/>
                <w:color w:val="000000"/>
              </w:rPr>
              <w:t>Cablivi</w:t>
            </w:r>
            <w:proofErr w:type="spellEnd"/>
            <w:r w:rsidR="007A7118">
              <w:rPr>
                <w:rFonts w:ascii="Arial" w:hAnsi="Arial" w:cs="Arial"/>
                <w:color w:val="000000"/>
              </w:rPr>
              <w:t>®</w:t>
            </w:r>
            <w:r w:rsidRPr="008A64B3">
              <w:rPr>
                <w:rFonts w:ascii="Arial" w:hAnsi="Arial" w:cs="Arial"/>
                <w:color w:val="000000"/>
              </w:rPr>
              <w:br/>
            </w:r>
            <w:r w:rsidRPr="008A64B3">
              <w:rPr>
                <w:rFonts w:ascii="Arial" w:hAnsi="Arial" w:cs="Arial"/>
                <w:color w:val="000000"/>
              </w:rPr>
              <w:br/>
              <w:t>Sanofi-Aventis Australia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p>
          <w:p w14:paraId="46483FF3" w14:textId="338118A1" w:rsidR="008A64B3" w:rsidRPr="008A64B3" w:rsidRDefault="008A64B3" w:rsidP="00E44A52">
            <w:pPr>
              <w:rPr>
                <w:rFonts w:ascii="Arial" w:hAnsi="Arial" w:cs="Arial"/>
              </w:rPr>
            </w:pPr>
          </w:p>
        </w:tc>
        <w:tc>
          <w:tcPr>
            <w:tcW w:w="2409" w:type="dxa"/>
            <w:vMerge w:val="restart"/>
          </w:tcPr>
          <w:p w14:paraId="274D9EC6" w14:textId="792D010E" w:rsidR="00E44A52" w:rsidRPr="008A64B3" w:rsidRDefault="00E44A52" w:rsidP="00E44A52">
            <w:pPr>
              <w:rPr>
                <w:rFonts w:ascii="Arial" w:hAnsi="Arial" w:cs="Arial"/>
                <w:color w:val="000000"/>
              </w:rPr>
            </w:pPr>
            <w:r w:rsidRPr="008A64B3">
              <w:rPr>
                <w:rFonts w:ascii="Arial" w:hAnsi="Arial" w:cs="Arial"/>
                <w:color w:val="000000"/>
              </w:rPr>
              <w:t>Acquired thrombotic thrombocytopenic purpura</w:t>
            </w:r>
            <w:r w:rsidR="007A7118">
              <w:rPr>
                <w:rFonts w:ascii="Arial" w:hAnsi="Arial" w:cs="Arial"/>
                <w:color w:val="000000"/>
              </w:rPr>
              <w:t xml:space="preserve"> (</w:t>
            </w:r>
            <w:proofErr w:type="spellStart"/>
            <w:r w:rsidR="007A7118">
              <w:rPr>
                <w:rFonts w:ascii="Arial" w:hAnsi="Arial" w:cs="Arial"/>
                <w:color w:val="000000"/>
              </w:rPr>
              <w:t>aTTP</w:t>
            </w:r>
            <w:proofErr w:type="spellEnd"/>
            <w:r w:rsidR="007A7118">
              <w:rPr>
                <w:rFonts w:ascii="Arial" w:hAnsi="Arial" w:cs="Arial"/>
                <w:color w:val="000000"/>
              </w:rPr>
              <w:t>)</w:t>
            </w:r>
          </w:p>
          <w:p w14:paraId="5CCA228B" w14:textId="0E1B3EBD" w:rsidR="00F16FA4" w:rsidRPr="008A64B3" w:rsidRDefault="00F16FA4" w:rsidP="001A199E">
            <w:pPr>
              <w:rPr>
                <w:rFonts w:ascii="Arial" w:hAnsi="Arial" w:cs="Arial"/>
              </w:rPr>
            </w:pPr>
          </w:p>
        </w:tc>
        <w:tc>
          <w:tcPr>
            <w:tcW w:w="3261" w:type="dxa"/>
            <w:tcMar>
              <w:top w:w="28" w:type="dxa"/>
              <w:bottom w:w="28" w:type="dxa"/>
            </w:tcMar>
          </w:tcPr>
          <w:p w14:paraId="6F406317" w14:textId="461217C7" w:rsidR="00E44A52" w:rsidRPr="008A64B3" w:rsidRDefault="00E44A52" w:rsidP="00E44A52">
            <w:pPr>
              <w:rPr>
                <w:rFonts w:ascii="Arial" w:hAnsi="Arial" w:cs="Arial"/>
                <w:color w:val="000000"/>
              </w:rPr>
            </w:pPr>
            <w:r w:rsidRPr="008A64B3">
              <w:rPr>
                <w:rFonts w:ascii="Arial" w:hAnsi="Arial" w:cs="Arial"/>
                <w:color w:val="000000"/>
              </w:rPr>
              <w:t xml:space="preserve">To request a Section 100 (Highly Specialised Drugs Program - Public and Private Hospitals) Authority Required listing for the treatment of adult patients with </w:t>
            </w:r>
            <w:proofErr w:type="spellStart"/>
            <w:r w:rsidR="007A7118">
              <w:rPr>
                <w:rFonts w:ascii="Arial" w:hAnsi="Arial" w:cs="Arial"/>
                <w:color w:val="000000"/>
              </w:rPr>
              <w:t>aTTP</w:t>
            </w:r>
            <w:proofErr w:type="spellEnd"/>
            <w:r w:rsidRPr="008A64B3">
              <w:rPr>
                <w:rFonts w:ascii="Arial" w:hAnsi="Arial" w:cs="Arial"/>
                <w:color w:val="000000"/>
              </w:rPr>
              <w:t>.</w:t>
            </w:r>
          </w:p>
          <w:p w14:paraId="519C2375" w14:textId="77777777" w:rsidR="00F16FA4" w:rsidRPr="008A64B3" w:rsidRDefault="00F16FA4" w:rsidP="001A199E">
            <w:pPr>
              <w:rPr>
                <w:rFonts w:ascii="Arial" w:hAnsi="Arial" w:cs="Arial"/>
                <w:color w:val="000000"/>
              </w:rPr>
            </w:pPr>
          </w:p>
        </w:tc>
        <w:tc>
          <w:tcPr>
            <w:tcW w:w="6947" w:type="dxa"/>
          </w:tcPr>
          <w:p w14:paraId="6E092E18" w14:textId="4EE06F5C" w:rsidR="00F16FA4" w:rsidRPr="008A64B3" w:rsidRDefault="00347545" w:rsidP="008A64B3">
            <w:pPr>
              <w:pStyle w:val="ExecSumBodyText"/>
              <w:numPr>
                <w:ilvl w:val="0"/>
                <w:numId w:val="0"/>
              </w:numPr>
              <w:jc w:val="left"/>
              <w:rPr>
                <w:rFonts w:ascii="Arial" w:hAnsi="Arial"/>
                <w:sz w:val="20"/>
                <w:szCs w:val="20"/>
              </w:rPr>
            </w:pPr>
            <w:r>
              <w:rPr>
                <w:rFonts w:ascii="Arial" w:hAnsi="Arial"/>
                <w:sz w:val="20"/>
                <w:szCs w:val="20"/>
              </w:rPr>
              <w:t xml:space="preserve">The PBAC did not recommend the listing of </w:t>
            </w:r>
            <w:proofErr w:type="spellStart"/>
            <w:r>
              <w:rPr>
                <w:rFonts w:ascii="Arial" w:hAnsi="Arial"/>
                <w:sz w:val="20"/>
                <w:szCs w:val="20"/>
              </w:rPr>
              <w:t>caplacizumab</w:t>
            </w:r>
            <w:proofErr w:type="spellEnd"/>
            <w:r>
              <w:rPr>
                <w:rFonts w:ascii="Arial" w:hAnsi="Arial"/>
                <w:sz w:val="20"/>
                <w:szCs w:val="20"/>
              </w:rPr>
              <w:t xml:space="preserve"> for the treatment of </w:t>
            </w:r>
            <w:proofErr w:type="spellStart"/>
            <w:r>
              <w:rPr>
                <w:rFonts w:ascii="Arial" w:hAnsi="Arial"/>
                <w:sz w:val="20"/>
                <w:szCs w:val="20"/>
              </w:rPr>
              <w:t>aTTP</w:t>
            </w:r>
            <w:proofErr w:type="spellEnd"/>
            <w:r>
              <w:rPr>
                <w:rFonts w:ascii="Arial" w:hAnsi="Arial"/>
                <w:sz w:val="20"/>
                <w:szCs w:val="20"/>
              </w:rPr>
              <w:t xml:space="preserve">. The PBAC considered the clinical place of therapy was uncertain. The PBAC had low confidence in the trial data given trial design, size, and conduct issues. The clinical benefit in the acute setting </w:t>
            </w:r>
            <w:proofErr w:type="gramStart"/>
            <w:r>
              <w:rPr>
                <w:rFonts w:ascii="Arial" w:hAnsi="Arial"/>
                <w:sz w:val="20"/>
                <w:szCs w:val="20"/>
              </w:rPr>
              <w:t>was considered</w:t>
            </w:r>
            <w:proofErr w:type="gramEnd"/>
            <w:r>
              <w:rPr>
                <w:rFonts w:ascii="Arial" w:hAnsi="Arial"/>
                <w:sz w:val="20"/>
                <w:szCs w:val="20"/>
              </w:rPr>
              <w:t xml:space="preserve"> modest at best and the long-term clinical benefits of treatment remained unclear, given the clinical trial results did not demonstrate a significant improvement in end organ damage and mortality. The PBAC also considered the cost-effectiveness of </w:t>
            </w:r>
            <w:proofErr w:type="spellStart"/>
            <w:r>
              <w:rPr>
                <w:rFonts w:ascii="Arial" w:hAnsi="Arial"/>
                <w:sz w:val="20"/>
                <w:szCs w:val="20"/>
              </w:rPr>
              <w:t>caplacizumab</w:t>
            </w:r>
            <w:proofErr w:type="spellEnd"/>
            <w:r>
              <w:rPr>
                <w:rFonts w:ascii="Arial" w:hAnsi="Arial"/>
                <w:sz w:val="20"/>
                <w:szCs w:val="20"/>
              </w:rPr>
              <w:t xml:space="preserve"> to be high and uncertain due to the significant structural issues in the economic model, which favoured </w:t>
            </w:r>
            <w:proofErr w:type="spellStart"/>
            <w:r>
              <w:rPr>
                <w:rFonts w:ascii="Arial" w:hAnsi="Arial"/>
                <w:sz w:val="20"/>
                <w:szCs w:val="20"/>
              </w:rPr>
              <w:t>caplacizumab</w:t>
            </w:r>
            <w:proofErr w:type="spellEnd"/>
            <w:r>
              <w:rPr>
                <w:rFonts w:ascii="Arial" w:hAnsi="Arial"/>
                <w:sz w:val="20"/>
                <w:szCs w:val="20"/>
              </w:rPr>
              <w:t>.</w:t>
            </w:r>
          </w:p>
        </w:tc>
      </w:tr>
      <w:tr w:rsidR="00F16FA4" w:rsidRPr="00D3523D" w14:paraId="51671432" w14:textId="77777777" w:rsidTr="001A199E">
        <w:trPr>
          <w:cantSplit/>
          <w:trHeight w:val="465"/>
        </w:trPr>
        <w:tc>
          <w:tcPr>
            <w:tcW w:w="2694" w:type="dxa"/>
            <w:vMerge/>
            <w:tcMar>
              <w:top w:w="28" w:type="dxa"/>
              <w:bottom w:w="28" w:type="dxa"/>
            </w:tcMar>
          </w:tcPr>
          <w:p w14:paraId="6587FEC1" w14:textId="77777777" w:rsidR="00F16FA4" w:rsidRPr="008A64B3" w:rsidRDefault="00F16FA4" w:rsidP="001A199E">
            <w:pPr>
              <w:rPr>
                <w:rFonts w:ascii="Arial" w:hAnsi="Arial" w:cs="Arial"/>
              </w:rPr>
            </w:pPr>
          </w:p>
        </w:tc>
        <w:tc>
          <w:tcPr>
            <w:tcW w:w="2409" w:type="dxa"/>
            <w:vMerge/>
          </w:tcPr>
          <w:p w14:paraId="2D45226F"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5046BA84" w14:textId="2C072578"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29B4736A" w14:textId="09F84D47" w:rsidR="00BB5D10" w:rsidRPr="00BB5D10" w:rsidRDefault="00BB5D10" w:rsidP="00BB5D10">
            <w:pPr>
              <w:rPr>
                <w:rFonts w:ascii="Arial" w:hAnsi="Arial" w:cs="Arial"/>
              </w:rPr>
            </w:pPr>
            <w:r w:rsidRPr="00BB5D10">
              <w:rPr>
                <w:rFonts w:ascii="Arial" w:hAnsi="Arial" w:cs="Arial"/>
              </w:rPr>
              <w:t xml:space="preserve">While Sanofi is disappointed with the PBAC’s decision not to recommend </w:t>
            </w:r>
            <w:proofErr w:type="spellStart"/>
            <w:r w:rsidRPr="00BB5D10">
              <w:rPr>
                <w:rFonts w:ascii="Arial" w:hAnsi="Arial" w:cs="Arial"/>
              </w:rPr>
              <w:t>Cablivi</w:t>
            </w:r>
            <w:proofErr w:type="spellEnd"/>
            <w:r>
              <w:rPr>
                <w:rFonts w:ascii="Arial" w:hAnsi="Arial" w:cs="Arial"/>
              </w:rPr>
              <w:t>®</w:t>
            </w:r>
            <w:r w:rsidRPr="00BB5D10">
              <w:rPr>
                <w:rFonts w:ascii="Arial" w:hAnsi="Arial" w:cs="Arial"/>
              </w:rPr>
              <w:t xml:space="preserve">, we look forward to continuing to work with the Committee and the Department of Health to make </w:t>
            </w:r>
            <w:proofErr w:type="spellStart"/>
            <w:r w:rsidRPr="00BB5D10">
              <w:rPr>
                <w:rFonts w:ascii="Arial" w:hAnsi="Arial" w:cs="Arial"/>
              </w:rPr>
              <w:t>Cablivi</w:t>
            </w:r>
            <w:proofErr w:type="spellEnd"/>
            <w:r>
              <w:rPr>
                <w:rFonts w:ascii="Arial" w:hAnsi="Arial" w:cs="Arial"/>
              </w:rPr>
              <w:t>®</w:t>
            </w:r>
            <w:r w:rsidRPr="00BB5D10">
              <w:rPr>
                <w:rFonts w:ascii="Arial" w:hAnsi="Arial" w:cs="Arial"/>
              </w:rPr>
              <w:t xml:space="preserve"> available to Australians with this ra</w:t>
            </w:r>
            <w:r>
              <w:rPr>
                <w:rFonts w:ascii="Arial" w:hAnsi="Arial" w:cs="Arial"/>
              </w:rPr>
              <w:t>re and life-threatening disease.</w:t>
            </w:r>
            <w:r w:rsidRPr="00BB5D10">
              <w:rPr>
                <w:rFonts w:ascii="Arial" w:hAnsi="Arial" w:cs="Arial"/>
              </w:rPr>
              <w:t xml:space="preserve"> </w:t>
            </w:r>
          </w:p>
          <w:p w14:paraId="446E2AA7" w14:textId="79721C4B" w:rsidR="00F16FA4" w:rsidRPr="008A64B3" w:rsidRDefault="00F16FA4" w:rsidP="001A199E">
            <w:pPr>
              <w:pStyle w:val="ListParagraph"/>
              <w:ind w:left="0"/>
              <w:jc w:val="both"/>
              <w:rPr>
                <w:rFonts w:ascii="Arial" w:hAnsi="Arial" w:cs="Arial"/>
                <w:iCs/>
                <w:sz w:val="20"/>
                <w:szCs w:val="20"/>
              </w:rPr>
            </w:pPr>
          </w:p>
        </w:tc>
      </w:tr>
      <w:tr w:rsidR="00F16FA4" w:rsidRPr="00D3523D" w14:paraId="45CB4802" w14:textId="77777777" w:rsidTr="001A199E">
        <w:trPr>
          <w:cantSplit/>
          <w:trHeight w:val="896"/>
        </w:trPr>
        <w:tc>
          <w:tcPr>
            <w:tcW w:w="2694" w:type="dxa"/>
            <w:vMerge w:val="restart"/>
            <w:tcMar>
              <w:top w:w="28" w:type="dxa"/>
              <w:bottom w:w="28" w:type="dxa"/>
            </w:tcMar>
          </w:tcPr>
          <w:p w14:paraId="42299596" w14:textId="4CD8C0E4" w:rsidR="00E44A52" w:rsidRPr="008A64B3" w:rsidRDefault="00E44A52" w:rsidP="00E44A52">
            <w:pPr>
              <w:rPr>
                <w:rFonts w:ascii="Arial" w:hAnsi="Arial" w:cs="Arial"/>
                <w:color w:val="000000"/>
              </w:rPr>
            </w:pPr>
            <w:r w:rsidRPr="008A64B3">
              <w:rPr>
                <w:rFonts w:ascii="Arial" w:hAnsi="Arial" w:cs="Arial"/>
                <w:color w:val="000000"/>
              </w:rPr>
              <w:lastRenderedPageBreak/>
              <w:t>DAROLUTAMIDE</w:t>
            </w:r>
            <w:r w:rsidRPr="008A64B3">
              <w:rPr>
                <w:rFonts w:ascii="Arial" w:hAnsi="Arial" w:cs="Arial"/>
                <w:color w:val="000000"/>
              </w:rPr>
              <w:br/>
            </w:r>
            <w:r w:rsidRPr="008A64B3">
              <w:rPr>
                <w:rFonts w:ascii="Arial" w:hAnsi="Arial" w:cs="Arial"/>
                <w:color w:val="000000"/>
              </w:rPr>
              <w:br/>
              <w:t>Tablet 300 mg</w:t>
            </w:r>
            <w:r w:rsidRPr="008A64B3">
              <w:rPr>
                <w:rFonts w:ascii="Arial" w:hAnsi="Arial" w:cs="Arial"/>
                <w:color w:val="000000"/>
              </w:rPr>
              <w:br/>
            </w:r>
            <w:r w:rsidRPr="008A64B3">
              <w:rPr>
                <w:rFonts w:ascii="Arial" w:hAnsi="Arial" w:cs="Arial"/>
                <w:color w:val="000000"/>
              </w:rPr>
              <w:br/>
            </w:r>
            <w:proofErr w:type="spellStart"/>
            <w:r w:rsidRPr="008A64B3">
              <w:rPr>
                <w:rFonts w:ascii="Arial" w:hAnsi="Arial" w:cs="Arial"/>
                <w:color w:val="000000"/>
              </w:rPr>
              <w:t>Nubeqa</w:t>
            </w:r>
            <w:proofErr w:type="spellEnd"/>
            <w:r w:rsidRPr="008A64B3">
              <w:rPr>
                <w:rFonts w:ascii="Arial" w:hAnsi="Arial" w:cs="Arial"/>
                <w:color w:val="000000"/>
              </w:rPr>
              <w:t>®</w:t>
            </w:r>
            <w:r w:rsidRPr="008A64B3">
              <w:rPr>
                <w:rFonts w:ascii="Arial" w:hAnsi="Arial" w:cs="Arial"/>
                <w:color w:val="000000"/>
              </w:rPr>
              <w:br/>
            </w:r>
            <w:r w:rsidRPr="008A64B3">
              <w:rPr>
                <w:rFonts w:ascii="Arial" w:hAnsi="Arial" w:cs="Arial"/>
                <w:color w:val="000000"/>
              </w:rPr>
              <w:br/>
              <w:t>Bayer Australia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p>
          <w:p w14:paraId="7A7E9F99" w14:textId="77777777" w:rsidR="00F16FA4" w:rsidRPr="008A64B3" w:rsidRDefault="00F16FA4" w:rsidP="001A199E">
            <w:pPr>
              <w:rPr>
                <w:rFonts w:ascii="Arial" w:hAnsi="Arial" w:cs="Arial"/>
              </w:rPr>
            </w:pPr>
          </w:p>
        </w:tc>
        <w:tc>
          <w:tcPr>
            <w:tcW w:w="2409" w:type="dxa"/>
            <w:vMerge w:val="restart"/>
          </w:tcPr>
          <w:p w14:paraId="1B428596" w14:textId="77777777" w:rsidR="00E44A52" w:rsidRPr="008A64B3" w:rsidRDefault="00E44A52" w:rsidP="00E44A52">
            <w:pPr>
              <w:rPr>
                <w:rFonts w:ascii="Arial" w:hAnsi="Arial" w:cs="Arial"/>
                <w:color w:val="000000"/>
              </w:rPr>
            </w:pPr>
            <w:r w:rsidRPr="008A64B3">
              <w:rPr>
                <w:rFonts w:ascii="Arial" w:hAnsi="Arial" w:cs="Arial"/>
                <w:color w:val="000000"/>
              </w:rPr>
              <w:t>Prostate cancer</w:t>
            </w:r>
          </w:p>
          <w:p w14:paraId="66BD9DD3" w14:textId="77777777" w:rsidR="00F16FA4" w:rsidRPr="008A64B3" w:rsidRDefault="00F16FA4" w:rsidP="001A199E">
            <w:pPr>
              <w:rPr>
                <w:rFonts w:ascii="Arial" w:hAnsi="Arial" w:cs="Arial"/>
              </w:rPr>
            </w:pPr>
          </w:p>
        </w:tc>
        <w:tc>
          <w:tcPr>
            <w:tcW w:w="3261" w:type="dxa"/>
            <w:tcMar>
              <w:top w:w="28" w:type="dxa"/>
              <w:bottom w:w="28" w:type="dxa"/>
            </w:tcMar>
          </w:tcPr>
          <w:p w14:paraId="4B95CA84" w14:textId="08F6E612" w:rsidR="00E44A52" w:rsidRPr="008A64B3" w:rsidRDefault="00E44A52" w:rsidP="00E44A52">
            <w:pPr>
              <w:rPr>
                <w:rFonts w:ascii="Arial" w:hAnsi="Arial" w:cs="Arial"/>
                <w:color w:val="000000"/>
              </w:rPr>
            </w:pPr>
            <w:r w:rsidRPr="008A64B3">
              <w:rPr>
                <w:rFonts w:ascii="Arial" w:hAnsi="Arial" w:cs="Arial"/>
                <w:color w:val="000000"/>
              </w:rPr>
              <w:t>To request an Authority Required listing for the treatment of non-metastatic castra</w:t>
            </w:r>
            <w:r w:rsidR="007365E8">
              <w:rPr>
                <w:rFonts w:ascii="Arial" w:hAnsi="Arial" w:cs="Arial"/>
                <w:color w:val="000000"/>
              </w:rPr>
              <w:t xml:space="preserve">tion-resistant prostate cancer </w:t>
            </w:r>
            <w:r w:rsidR="007365E8" w:rsidRPr="007365E8">
              <w:rPr>
                <w:rFonts w:ascii="Arial" w:hAnsi="Arial" w:cs="Arial"/>
              </w:rPr>
              <w:t>(m0CRPC)</w:t>
            </w:r>
            <w:r w:rsidR="007365E8">
              <w:rPr>
                <w:rFonts w:ascii="Arial" w:hAnsi="Arial" w:cs="Arial"/>
              </w:rPr>
              <w:t xml:space="preserve">. </w:t>
            </w:r>
          </w:p>
          <w:p w14:paraId="135CA190" w14:textId="77777777" w:rsidR="00F16FA4" w:rsidRPr="008A64B3" w:rsidRDefault="00F16FA4" w:rsidP="001A199E">
            <w:pPr>
              <w:rPr>
                <w:rFonts w:ascii="Arial" w:hAnsi="Arial" w:cs="Arial"/>
                <w:color w:val="000000"/>
              </w:rPr>
            </w:pPr>
          </w:p>
        </w:tc>
        <w:tc>
          <w:tcPr>
            <w:tcW w:w="6947" w:type="dxa"/>
          </w:tcPr>
          <w:p w14:paraId="63AED918" w14:textId="7FA18A92" w:rsidR="00F16FA4" w:rsidRPr="007365E8" w:rsidRDefault="007365E8" w:rsidP="007365E8">
            <w:pPr>
              <w:pStyle w:val="3-BodyText"/>
              <w:ind w:left="0" w:hanging="11"/>
              <w:jc w:val="left"/>
              <w:rPr>
                <w:rFonts w:ascii="Arial" w:hAnsi="Arial"/>
                <w:sz w:val="20"/>
                <w:szCs w:val="20"/>
              </w:rPr>
            </w:pPr>
            <w:r w:rsidRPr="007365E8">
              <w:rPr>
                <w:rFonts w:ascii="Arial" w:hAnsi="Arial"/>
                <w:sz w:val="20"/>
                <w:szCs w:val="20"/>
              </w:rPr>
              <w:t xml:space="preserve">The PBAC did not recommend the listing of </w:t>
            </w:r>
            <w:proofErr w:type="spellStart"/>
            <w:r w:rsidRPr="007365E8">
              <w:rPr>
                <w:rFonts w:ascii="Arial" w:hAnsi="Arial"/>
                <w:sz w:val="20"/>
                <w:szCs w:val="20"/>
              </w:rPr>
              <w:t>darolutamide</w:t>
            </w:r>
            <w:proofErr w:type="spellEnd"/>
            <w:r w:rsidRPr="007365E8">
              <w:rPr>
                <w:rFonts w:ascii="Arial" w:hAnsi="Arial"/>
                <w:sz w:val="20"/>
                <w:szCs w:val="20"/>
              </w:rPr>
              <w:t xml:space="preserve"> for the treatment of pat</w:t>
            </w:r>
            <w:r>
              <w:rPr>
                <w:rFonts w:ascii="Arial" w:hAnsi="Arial"/>
                <w:sz w:val="20"/>
                <w:szCs w:val="20"/>
              </w:rPr>
              <w:t xml:space="preserve">ients with </w:t>
            </w:r>
            <w:r w:rsidRPr="007365E8">
              <w:rPr>
                <w:rFonts w:ascii="Arial" w:hAnsi="Arial"/>
                <w:sz w:val="20"/>
                <w:szCs w:val="20"/>
              </w:rPr>
              <w:t>m0CRP</w:t>
            </w:r>
            <w:r>
              <w:rPr>
                <w:rFonts w:ascii="Arial" w:hAnsi="Arial"/>
                <w:sz w:val="20"/>
                <w:szCs w:val="20"/>
              </w:rPr>
              <w:t>C</w:t>
            </w:r>
            <w:r w:rsidRPr="007365E8">
              <w:rPr>
                <w:rFonts w:ascii="Arial" w:hAnsi="Arial"/>
                <w:sz w:val="20"/>
                <w:szCs w:val="20"/>
              </w:rPr>
              <w:t xml:space="preserve"> who are at high risk of distant metastases. While the PBAC considered that </w:t>
            </w:r>
            <w:proofErr w:type="spellStart"/>
            <w:r w:rsidRPr="007365E8">
              <w:rPr>
                <w:rFonts w:ascii="Arial" w:hAnsi="Arial"/>
                <w:sz w:val="20"/>
                <w:szCs w:val="20"/>
              </w:rPr>
              <w:t>darolutamide</w:t>
            </w:r>
            <w:proofErr w:type="spellEnd"/>
            <w:r w:rsidRPr="007365E8">
              <w:rPr>
                <w:rFonts w:ascii="Arial" w:hAnsi="Arial"/>
                <w:sz w:val="20"/>
                <w:szCs w:val="20"/>
              </w:rPr>
              <w:t xml:space="preserve"> provides a substantial benefit for some patients compared with standard of care in terms of delaying disease progression, it considered that the magnitude of the overall survival benefit was modest, and uncertain given the immaturity of the data. The PBAC considered that the modelled survival benefit was likely overestimated, the incremental</w:t>
            </w:r>
            <w:r>
              <w:rPr>
                <w:rFonts w:ascii="Arial" w:hAnsi="Arial"/>
                <w:sz w:val="20"/>
                <w:szCs w:val="20"/>
              </w:rPr>
              <w:t xml:space="preserve"> cost-effectiveness ratio</w:t>
            </w:r>
            <w:r w:rsidRPr="007365E8">
              <w:rPr>
                <w:rFonts w:ascii="Arial" w:hAnsi="Arial"/>
                <w:sz w:val="20"/>
                <w:szCs w:val="20"/>
              </w:rPr>
              <w:t xml:space="preserve"> was high and underestimated, and that a substantial price reduction </w:t>
            </w:r>
            <w:proofErr w:type="gramStart"/>
            <w:r w:rsidRPr="007365E8">
              <w:rPr>
                <w:rFonts w:ascii="Arial" w:hAnsi="Arial"/>
                <w:sz w:val="20"/>
                <w:szCs w:val="20"/>
              </w:rPr>
              <w:t xml:space="preserve">would be required for </w:t>
            </w:r>
            <w:proofErr w:type="spellStart"/>
            <w:r w:rsidRPr="007365E8">
              <w:rPr>
                <w:rFonts w:ascii="Arial" w:hAnsi="Arial"/>
                <w:sz w:val="20"/>
                <w:szCs w:val="20"/>
              </w:rPr>
              <w:t>darolutamide</w:t>
            </w:r>
            <w:proofErr w:type="spellEnd"/>
            <w:r w:rsidRPr="007365E8">
              <w:rPr>
                <w:rFonts w:ascii="Arial" w:hAnsi="Arial"/>
                <w:sz w:val="20"/>
                <w:szCs w:val="20"/>
              </w:rPr>
              <w:t xml:space="preserve"> to be considered</w:t>
            </w:r>
            <w:proofErr w:type="gramEnd"/>
            <w:r w:rsidRPr="007365E8">
              <w:rPr>
                <w:rFonts w:ascii="Arial" w:hAnsi="Arial"/>
                <w:sz w:val="20"/>
                <w:szCs w:val="20"/>
              </w:rPr>
              <w:t xml:space="preserve"> cost-effective. Further, the PBAC considered that the estimated financial impact of </w:t>
            </w:r>
            <w:proofErr w:type="spellStart"/>
            <w:r w:rsidRPr="007365E8">
              <w:rPr>
                <w:rFonts w:ascii="Arial" w:hAnsi="Arial"/>
                <w:sz w:val="20"/>
                <w:szCs w:val="20"/>
              </w:rPr>
              <w:t>darolutamide</w:t>
            </w:r>
            <w:proofErr w:type="spellEnd"/>
            <w:r w:rsidRPr="007365E8">
              <w:rPr>
                <w:rFonts w:ascii="Arial" w:hAnsi="Arial"/>
                <w:sz w:val="20"/>
                <w:szCs w:val="20"/>
              </w:rPr>
              <w:t xml:space="preserve"> to the PBS was uncertain.</w:t>
            </w:r>
          </w:p>
        </w:tc>
      </w:tr>
      <w:tr w:rsidR="00F16FA4" w:rsidRPr="00D3523D" w14:paraId="67B78992" w14:textId="77777777" w:rsidTr="001A199E">
        <w:trPr>
          <w:cantSplit/>
          <w:trHeight w:val="465"/>
        </w:trPr>
        <w:tc>
          <w:tcPr>
            <w:tcW w:w="2694" w:type="dxa"/>
            <w:vMerge/>
            <w:tcMar>
              <w:top w:w="28" w:type="dxa"/>
              <w:bottom w:w="28" w:type="dxa"/>
            </w:tcMar>
          </w:tcPr>
          <w:p w14:paraId="229649D9" w14:textId="77777777" w:rsidR="00F16FA4" w:rsidRPr="008A64B3" w:rsidRDefault="00F16FA4" w:rsidP="001A199E">
            <w:pPr>
              <w:rPr>
                <w:rFonts w:ascii="Arial" w:hAnsi="Arial" w:cs="Arial"/>
              </w:rPr>
            </w:pPr>
          </w:p>
        </w:tc>
        <w:tc>
          <w:tcPr>
            <w:tcW w:w="2409" w:type="dxa"/>
            <w:vMerge/>
          </w:tcPr>
          <w:p w14:paraId="7A9BCA7E"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45B43A9C" w14:textId="0953721D"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063E5B3E" w14:textId="327C6BD9" w:rsidR="00A86228" w:rsidRPr="005E32EC" w:rsidRDefault="005E32EC" w:rsidP="005E32EC">
            <w:pPr>
              <w:rPr>
                <w:rFonts w:ascii="Arial" w:hAnsi="Arial" w:cs="Arial"/>
                <w:lang w:val="en-US"/>
              </w:rPr>
            </w:pPr>
            <w:r w:rsidRPr="005E32EC">
              <w:rPr>
                <w:rFonts w:ascii="Arial" w:hAnsi="Arial" w:cs="Arial"/>
                <w:iCs/>
                <w:lang w:val="en-US"/>
              </w:rPr>
              <w:t>Bayer will continue to work with the PBAC and the Departme</w:t>
            </w:r>
            <w:r>
              <w:rPr>
                <w:rFonts w:ascii="Arial" w:hAnsi="Arial" w:cs="Arial"/>
                <w:iCs/>
                <w:lang w:val="en-US"/>
              </w:rPr>
              <w:t xml:space="preserve">nt of Health on the listing of </w:t>
            </w:r>
            <w:proofErr w:type="spellStart"/>
            <w:r>
              <w:rPr>
                <w:rFonts w:ascii="Arial" w:hAnsi="Arial" w:cs="Arial"/>
                <w:iCs/>
                <w:lang w:val="en-US"/>
              </w:rPr>
              <w:t>d</w:t>
            </w:r>
            <w:r w:rsidRPr="005E32EC">
              <w:rPr>
                <w:rFonts w:ascii="Arial" w:hAnsi="Arial" w:cs="Arial"/>
                <w:iCs/>
                <w:lang w:val="en-US"/>
              </w:rPr>
              <w:t>arolutamide</w:t>
            </w:r>
            <w:proofErr w:type="spellEnd"/>
            <w:r w:rsidRPr="005E32EC">
              <w:rPr>
                <w:rFonts w:ascii="Arial" w:hAnsi="Arial" w:cs="Arial"/>
                <w:lang w:val="en-US"/>
              </w:rPr>
              <w:t>.</w:t>
            </w:r>
          </w:p>
          <w:p w14:paraId="29958496" w14:textId="77777777" w:rsidR="00A86228" w:rsidRDefault="00A86228" w:rsidP="001A199E">
            <w:pPr>
              <w:pStyle w:val="ListParagraph"/>
              <w:ind w:left="0"/>
              <w:jc w:val="both"/>
              <w:rPr>
                <w:rFonts w:ascii="Arial" w:hAnsi="Arial" w:cs="Arial"/>
                <w:iCs/>
                <w:sz w:val="20"/>
                <w:szCs w:val="20"/>
              </w:rPr>
            </w:pPr>
          </w:p>
          <w:p w14:paraId="2E394FCF" w14:textId="74277A8E" w:rsidR="00571984" w:rsidRPr="008A64B3" w:rsidRDefault="00571984" w:rsidP="001A199E">
            <w:pPr>
              <w:pStyle w:val="ListParagraph"/>
              <w:ind w:left="0"/>
              <w:jc w:val="both"/>
              <w:rPr>
                <w:rFonts w:ascii="Arial" w:hAnsi="Arial" w:cs="Arial"/>
                <w:iCs/>
                <w:sz w:val="20"/>
                <w:szCs w:val="20"/>
              </w:rPr>
            </w:pPr>
          </w:p>
        </w:tc>
      </w:tr>
      <w:tr w:rsidR="00F16FA4" w:rsidRPr="00D3523D" w14:paraId="6BBBE314" w14:textId="77777777" w:rsidTr="001A199E">
        <w:trPr>
          <w:cantSplit/>
          <w:trHeight w:val="896"/>
        </w:trPr>
        <w:tc>
          <w:tcPr>
            <w:tcW w:w="2694" w:type="dxa"/>
            <w:vMerge w:val="restart"/>
            <w:tcMar>
              <w:top w:w="28" w:type="dxa"/>
              <w:bottom w:w="28" w:type="dxa"/>
            </w:tcMar>
          </w:tcPr>
          <w:p w14:paraId="169EE850" w14:textId="71D91228" w:rsidR="00E44A52" w:rsidRDefault="00E44A52" w:rsidP="00E44A52">
            <w:pPr>
              <w:rPr>
                <w:rFonts w:ascii="Arial" w:hAnsi="Arial" w:cs="Arial"/>
                <w:color w:val="000000"/>
              </w:rPr>
            </w:pPr>
            <w:r w:rsidRPr="008A64B3">
              <w:rPr>
                <w:rFonts w:ascii="Arial" w:hAnsi="Arial" w:cs="Arial"/>
                <w:color w:val="000000"/>
              </w:rPr>
              <w:t>MOGAMULIZUMAB</w:t>
            </w:r>
            <w:r w:rsidRPr="008A64B3">
              <w:rPr>
                <w:rFonts w:ascii="Arial" w:hAnsi="Arial" w:cs="Arial"/>
                <w:color w:val="000000"/>
              </w:rPr>
              <w:br/>
            </w:r>
            <w:r w:rsidRPr="008A64B3">
              <w:rPr>
                <w:rFonts w:ascii="Arial" w:hAnsi="Arial" w:cs="Arial"/>
                <w:color w:val="000000"/>
              </w:rPr>
              <w:br/>
              <w:t>Solution concentrate for I.V. infusi</w:t>
            </w:r>
            <w:r w:rsidR="007A7118">
              <w:rPr>
                <w:rFonts w:ascii="Arial" w:hAnsi="Arial" w:cs="Arial"/>
                <w:color w:val="000000"/>
              </w:rPr>
              <w:t>on 20 mg in 5 mL</w:t>
            </w:r>
            <w:r w:rsidR="007A7118">
              <w:rPr>
                <w:rFonts w:ascii="Arial" w:hAnsi="Arial" w:cs="Arial"/>
                <w:color w:val="000000"/>
              </w:rPr>
              <w:br/>
            </w:r>
            <w:r w:rsidR="007A7118">
              <w:rPr>
                <w:rFonts w:ascii="Arial" w:hAnsi="Arial" w:cs="Arial"/>
                <w:color w:val="000000"/>
              </w:rPr>
              <w:br/>
            </w:r>
            <w:proofErr w:type="spellStart"/>
            <w:r w:rsidR="007A7118">
              <w:rPr>
                <w:rFonts w:ascii="Arial" w:hAnsi="Arial" w:cs="Arial"/>
                <w:color w:val="000000"/>
              </w:rPr>
              <w:t>Poteligeo</w:t>
            </w:r>
            <w:proofErr w:type="spellEnd"/>
            <w:r w:rsidR="007A7118">
              <w:rPr>
                <w:rFonts w:ascii="Arial" w:hAnsi="Arial" w:cs="Arial"/>
                <w:color w:val="000000"/>
              </w:rPr>
              <w:t xml:space="preserve">®   </w:t>
            </w:r>
            <w:r w:rsidRPr="008A64B3">
              <w:rPr>
                <w:rFonts w:ascii="Arial" w:hAnsi="Arial" w:cs="Arial"/>
                <w:color w:val="000000"/>
              </w:rPr>
              <w:br/>
            </w:r>
            <w:r w:rsidRPr="008A64B3">
              <w:rPr>
                <w:rFonts w:ascii="Arial" w:hAnsi="Arial" w:cs="Arial"/>
                <w:color w:val="000000"/>
              </w:rPr>
              <w:br/>
              <w:t>Kyowa Kirin Australia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p>
          <w:p w14:paraId="045D7FB0" w14:textId="5906254E" w:rsidR="00F16FA4" w:rsidRPr="008A64B3" w:rsidRDefault="00F16FA4" w:rsidP="001A199E">
            <w:pPr>
              <w:rPr>
                <w:rFonts w:ascii="Arial" w:hAnsi="Arial" w:cs="Arial"/>
              </w:rPr>
            </w:pPr>
          </w:p>
        </w:tc>
        <w:tc>
          <w:tcPr>
            <w:tcW w:w="2409" w:type="dxa"/>
            <w:vMerge w:val="restart"/>
          </w:tcPr>
          <w:p w14:paraId="37BC4D75" w14:textId="77777777" w:rsidR="00E44A52" w:rsidRPr="008A64B3" w:rsidRDefault="00E44A52" w:rsidP="00E44A52">
            <w:pPr>
              <w:rPr>
                <w:rFonts w:ascii="Arial" w:hAnsi="Arial" w:cs="Arial"/>
                <w:color w:val="000000"/>
              </w:rPr>
            </w:pPr>
            <w:r w:rsidRPr="008A64B3">
              <w:rPr>
                <w:rFonts w:ascii="Arial" w:hAnsi="Arial" w:cs="Arial"/>
                <w:color w:val="000000"/>
              </w:rPr>
              <w:t>Cutaneous T-Cell Lymphoma (CTCL)</w:t>
            </w:r>
          </w:p>
          <w:p w14:paraId="11F844F4" w14:textId="77777777" w:rsidR="00F16FA4" w:rsidRPr="008A64B3" w:rsidRDefault="00F16FA4" w:rsidP="001A199E">
            <w:pPr>
              <w:rPr>
                <w:rFonts w:ascii="Arial" w:hAnsi="Arial" w:cs="Arial"/>
              </w:rPr>
            </w:pPr>
          </w:p>
        </w:tc>
        <w:tc>
          <w:tcPr>
            <w:tcW w:w="3261" w:type="dxa"/>
            <w:tcMar>
              <w:top w:w="28" w:type="dxa"/>
              <w:bottom w:w="28" w:type="dxa"/>
            </w:tcMar>
          </w:tcPr>
          <w:p w14:paraId="7C79F916" w14:textId="6E597DEC" w:rsidR="00F16FA4" w:rsidRPr="008A64B3" w:rsidRDefault="00E44A52" w:rsidP="001A199E">
            <w:pPr>
              <w:rPr>
                <w:rFonts w:ascii="Arial" w:hAnsi="Arial" w:cs="Arial"/>
                <w:color w:val="000000"/>
              </w:rPr>
            </w:pPr>
            <w:r w:rsidRPr="008A64B3">
              <w:rPr>
                <w:rFonts w:ascii="Arial" w:hAnsi="Arial" w:cs="Arial"/>
                <w:color w:val="000000"/>
              </w:rPr>
              <w:t>To request a Section 100 (Efficient Funding of Chemotherapy</w:t>
            </w:r>
            <w:r w:rsidR="007A7118">
              <w:rPr>
                <w:rFonts w:ascii="Arial" w:hAnsi="Arial" w:cs="Arial"/>
                <w:color w:val="000000"/>
              </w:rPr>
              <w:t xml:space="preserve">) Authority Required (Written) </w:t>
            </w:r>
            <w:r w:rsidRPr="008A64B3">
              <w:rPr>
                <w:rFonts w:ascii="Arial" w:hAnsi="Arial" w:cs="Arial"/>
                <w:color w:val="000000"/>
              </w:rPr>
              <w:t xml:space="preserve">listing for patients with relapsed or refractory CTCL who </w:t>
            </w:r>
            <w:proofErr w:type="gramStart"/>
            <w:r w:rsidRPr="008A64B3">
              <w:rPr>
                <w:rFonts w:ascii="Arial" w:hAnsi="Arial" w:cs="Arial"/>
                <w:color w:val="000000"/>
              </w:rPr>
              <w:t>have been previously treated</w:t>
            </w:r>
            <w:proofErr w:type="gramEnd"/>
            <w:r w:rsidRPr="008A64B3">
              <w:rPr>
                <w:rFonts w:ascii="Arial" w:hAnsi="Arial" w:cs="Arial"/>
                <w:color w:val="000000"/>
              </w:rPr>
              <w:t xml:space="preserve"> with at least one prior systemic therapy. </w:t>
            </w:r>
          </w:p>
        </w:tc>
        <w:tc>
          <w:tcPr>
            <w:tcW w:w="6947" w:type="dxa"/>
          </w:tcPr>
          <w:p w14:paraId="6E55C6E3" w14:textId="11879404" w:rsidR="00F16FA4" w:rsidRPr="008A64B3" w:rsidRDefault="000614F6" w:rsidP="008A64B3">
            <w:pPr>
              <w:pStyle w:val="3-BodyText"/>
              <w:ind w:left="0" w:firstLine="0"/>
              <w:jc w:val="left"/>
              <w:rPr>
                <w:rFonts w:ascii="Arial" w:hAnsi="Arial"/>
                <w:sz w:val="20"/>
                <w:szCs w:val="20"/>
              </w:rPr>
            </w:pPr>
            <w:r w:rsidRPr="008A64B3">
              <w:rPr>
                <w:rFonts w:ascii="Arial" w:hAnsi="Arial"/>
                <w:iCs/>
                <w:sz w:val="20"/>
                <w:szCs w:val="20"/>
              </w:rPr>
              <w:t xml:space="preserve">The PBAC did not recommend the listing of </w:t>
            </w:r>
            <w:proofErr w:type="spellStart"/>
            <w:r w:rsidRPr="008A64B3">
              <w:rPr>
                <w:rFonts w:ascii="Arial" w:hAnsi="Arial"/>
                <w:iCs/>
                <w:sz w:val="20"/>
                <w:szCs w:val="20"/>
              </w:rPr>
              <w:t>mogamulizumab</w:t>
            </w:r>
            <w:proofErr w:type="spellEnd"/>
            <w:r w:rsidRPr="008A64B3">
              <w:rPr>
                <w:rFonts w:ascii="Arial" w:hAnsi="Arial"/>
                <w:iCs/>
                <w:sz w:val="20"/>
                <w:szCs w:val="20"/>
              </w:rPr>
              <w:t xml:space="preserve"> for the treatment of patients with relapsed or refrac</w:t>
            </w:r>
            <w:r w:rsidR="007A7118">
              <w:rPr>
                <w:rFonts w:ascii="Arial" w:hAnsi="Arial"/>
                <w:iCs/>
                <w:sz w:val="20"/>
                <w:szCs w:val="20"/>
              </w:rPr>
              <w:t xml:space="preserve">tory CTCL </w:t>
            </w:r>
            <w:r w:rsidRPr="008A64B3">
              <w:rPr>
                <w:rFonts w:ascii="Arial" w:hAnsi="Arial"/>
                <w:iCs/>
                <w:sz w:val="20"/>
                <w:szCs w:val="20"/>
              </w:rPr>
              <w:t xml:space="preserve">following at least one prior systemic treatment for this condition. The PBAC considered that the extent of benefit for </w:t>
            </w:r>
            <w:proofErr w:type="spellStart"/>
            <w:r w:rsidRPr="008A64B3">
              <w:rPr>
                <w:rFonts w:ascii="Arial" w:hAnsi="Arial"/>
                <w:iCs/>
                <w:sz w:val="20"/>
                <w:szCs w:val="20"/>
              </w:rPr>
              <w:t>mogamulizumab</w:t>
            </w:r>
            <w:proofErr w:type="spellEnd"/>
            <w:r w:rsidRPr="008A64B3">
              <w:rPr>
                <w:rFonts w:ascii="Arial" w:hAnsi="Arial"/>
                <w:iCs/>
                <w:sz w:val="20"/>
                <w:szCs w:val="20"/>
              </w:rPr>
              <w:t xml:space="preserve"> in terms of progression free survival and overall survival was uncertain. In addition, the PBAC considered the incremental cost-effectiveness ratio was unacceptably high and uncertain at the proposed price, and the estimated financial impact was uncertain.</w:t>
            </w:r>
            <w:r w:rsidRPr="008A64B3">
              <w:rPr>
                <w:rFonts w:ascii="Arial" w:hAnsi="Arial"/>
                <w:sz w:val="20"/>
                <w:szCs w:val="20"/>
              </w:rPr>
              <w:t xml:space="preserve"> </w:t>
            </w:r>
          </w:p>
        </w:tc>
      </w:tr>
      <w:tr w:rsidR="00F16FA4" w:rsidRPr="00D3523D" w14:paraId="32A7BC16" w14:textId="77777777" w:rsidTr="001A199E">
        <w:trPr>
          <w:cantSplit/>
          <w:trHeight w:val="465"/>
        </w:trPr>
        <w:tc>
          <w:tcPr>
            <w:tcW w:w="2694" w:type="dxa"/>
            <w:vMerge/>
            <w:tcMar>
              <w:top w:w="28" w:type="dxa"/>
              <w:bottom w:w="28" w:type="dxa"/>
            </w:tcMar>
          </w:tcPr>
          <w:p w14:paraId="220376C5" w14:textId="77777777" w:rsidR="00F16FA4" w:rsidRPr="008A64B3" w:rsidRDefault="00F16FA4" w:rsidP="001A199E">
            <w:pPr>
              <w:rPr>
                <w:rFonts w:ascii="Arial" w:hAnsi="Arial" w:cs="Arial"/>
              </w:rPr>
            </w:pPr>
          </w:p>
        </w:tc>
        <w:tc>
          <w:tcPr>
            <w:tcW w:w="2409" w:type="dxa"/>
            <w:vMerge/>
          </w:tcPr>
          <w:p w14:paraId="79F02AD2" w14:textId="77777777" w:rsidR="00F16FA4" w:rsidRPr="008A64B3" w:rsidRDefault="00F16FA4" w:rsidP="001A199E">
            <w:pPr>
              <w:widowControl w:val="0"/>
              <w:rPr>
                <w:rFonts w:ascii="Arial" w:hAnsi="Arial" w:cs="Arial"/>
                <w:snapToGrid w:val="0"/>
                <w:lang w:eastAsia="en-US"/>
              </w:rPr>
            </w:pPr>
          </w:p>
        </w:tc>
        <w:tc>
          <w:tcPr>
            <w:tcW w:w="3261" w:type="dxa"/>
            <w:tcMar>
              <w:top w:w="28" w:type="dxa"/>
              <w:bottom w:w="28" w:type="dxa"/>
            </w:tcMar>
          </w:tcPr>
          <w:p w14:paraId="0DA7B088" w14:textId="44E76525" w:rsidR="00F16FA4" w:rsidRPr="008A64B3" w:rsidRDefault="00BB5F54" w:rsidP="001A199E">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6FA4" w:rsidRPr="008A64B3">
              <w:rPr>
                <w:rFonts w:ascii="Arial" w:hAnsi="Arial" w:cs="Arial"/>
                <w:snapToGrid w:val="0"/>
                <w:sz w:val="20"/>
                <w:szCs w:val="20"/>
                <w:lang w:eastAsia="en-US"/>
              </w:rPr>
              <w:t>omment:</w:t>
            </w:r>
          </w:p>
        </w:tc>
        <w:tc>
          <w:tcPr>
            <w:tcW w:w="6947" w:type="dxa"/>
          </w:tcPr>
          <w:p w14:paraId="5F68B827" w14:textId="27E1510D" w:rsidR="00D83A66" w:rsidRPr="00D83A66" w:rsidRDefault="00D83A66" w:rsidP="00D83A66">
            <w:pPr>
              <w:rPr>
                <w:rFonts w:ascii="Arial" w:hAnsi="Arial" w:cs="Arial"/>
                <w:lang w:val="en-SG"/>
              </w:rPr>
            </w:pPr>
            <w:r w:rsidRPr="00D83A66">
              <w:rPr>
                <w:rFonts w:ascii="Arial" w:hAnsi="Arial" w:cs="Arial"/>
                <w:lang w:val="en-SG"/>
              </w:rPr>
              <w:t xml:space="preserve">While disappointed with the outcome, Kyowa Kirin remains committed to working with the PBAC to provide access to </w:t>
            </w:r>
            <w:proofErr w:type="spellStart"/>
            <w:r w:rsidRPr="00D83A66">
              <w:rPr>
                <w:rFonts w:ascii="Arial" w:hAnsi="Arial" w:cs="Arial"/>
                <w:lang w:val="en-SG"/>
              </w:rPr>
              <w:t>mogamulizumab</w:t>
            </w:r>
            <w:proofErr w:type="spellEnd"/>
            <w:r w:rsidRPr="00D83A66">
              <w:rPr>
                <w:rFonts w:ascii="Arial" w:hAnsi="Arial" w:cs="Arial"/>
                <w:lang w:val="en-SG"/>
              </w:rPr>
              <w:t xml:space="preserve"> for Australians living wit</w:t>
            </w:r>
            <w:r>
              <w:rPr>
                <w:rFonts w:ascii="Arial" w:hAnsi="Arial" w:cs="Arial"/>
                <w:lang w:val="en-SG"/>
              </w:rPr>
              <w:t>h relapsed or refractory CTCL.</w:t>
            </w:r>
          </w:p>
          <w:p w14:paraId="752BF6CB" w14:textId="4435CF91" w:rsidR="00F16FA4" w:rsidRPr="008A64B3" w:rsidRDefault="00F16FA4" w:rsidP="001A199E">
            <w:pPr>
              <w:pStyle w:val="ListParagraph"/>
              <w:ind w:left="0"/>
              <w:jc w:val="both"/>
              <w:rPr>
                <w:rFonts w:ascii="Arial" w:hAnsi="Arial" w:cs="Arial"/>
                <w:iCs/>
                <w:sz w:val="20"/>
                <w:szCs w:val="20"/>
              </w:rPr>
            </w:pPr>
          </w:p>
        </w:tc>
      </w:tr>
      <w:tr w:rsidR="008A64B3" w:rsidRPr="00D3523D" w14:paraId="4C6216EB" w14:textId="77777777" w:rsidTr="008A64B3">
        <w:trPr>
          <w:cantSplit/>
          <w:trHeight w:val="1861"/>
        </w:trPr>
        <w:tc>
          <w:tcPr>
            <w:tcW w:w="2694" w:type="dxa"/>
            <w:vMerge w:val="restart"/>
            <w:tcMar>
              <w:top w:w="28" w:type="dxa"/>
              <w:bottom w:w="28" w:type="dxa"/>
            </w:tcMar>
          </w:tcPr>
          <w:p w14:paraId="3C06492A" w14:textId="4FE1F2D8" w:rsidR="008A64B3" w:rsidRPr="008A64B3" w:rsidRDefault="008A64B3" w:rsidP="008A64B3">
            <w:pPr>
              <w:rPr>
                <w:rFonts w:ascii="Arial" w:hAnsi="Arial" w:cs="Arial"/>
                <w:color w:val="000000"/>
              </w:rPr>
            </w:pPr>
            <w:r w:rsidRPr="008A64B3">
              <w:rPr>
                <w:rFonts w:ascii="Arial" w:hAnsi="Arial" w:cs="Arial"/>
                <w:color w:val="000000"/>
              </w:rPr>
              <w:lastRenderedPageBreak/>
              <w:t>RAVULIZUMAB</w:t>
            </w:r>
            <w:r w:rsidRPr="008A64B3">
              <w:rPr>
                <w:rFonts w:ascii="Arial" w:hAnsi="Arial" w:cs="Arial"/>
                <w:color w:val="000000"/>
              </w:rPr>
              <w:br/>
            </w:r>
            <w:r w:rsidRPr="008A64B3">
              <w:rPr>
                <w:rFonts w:ascii="Arial" w:hAnsi="Arial" w:cs="Arial"/>
                <w:color w:val="000000"/>
              </w:rPr>
              <w:br/>
              <w:t>Solution concentrate for I.V. infus</w:t>
            </w:r>
            <w:r w:rsidR="007A7118">
              <w:rPr>
                <w:rFonts w:ascii="Arial" w:hAnsi="Arial" w:cs="Arial"/>
                <w:color w:val="000000"/>
              </w:rPr>
              <w:t>ion 300 mg in 30 mL</w:t>
            </w:r>
            <w:r w:rsidR="007A7118">
              <w:rPr>
                <w:rFonts w:ascii="Arial" w:hAnsi="Arial" w:cs="Arial"/>
                <w:color w:val="000000"/>
              </w:rPr>
              <w:br/>
            </w:r>
            <w:r w:rsidR="007A7118">
              <w:rPr>
                <w:rFonts w:ascii="Arial" w:hAnsi="Arial" w:cs="Arial"/>
                <w:color w:val="000000"/>
              </w:rPr>
              <w:br/>
            </w:r>
            <w:proofErr w:type="spellStart"/>
            <w:r w:rsidR="007A7118">
              <w:rPr>
                <w:rFonts w:ascii="Arial" w:hAnsi="Arial" w:cs="Arial"/>
                <w:color w:val="000000"/>
              </w:rPr>
              <w:t>Ultomiris</w:t>
            </w:r>
            <w:proofErr w:type="spellEnd"/>
            <w:r w:rsidR="007A7118">
              <w:rPr>
                <w:rFonts w:ascii="Arial" w:hAnsi="Arial" w:cs="Arial"/>
                <w:color w:val="000000"/>
              </w:rPr>
              <w:t>®</w:t>
            </w:r>
            <w:r w:rsidRPr="008A64B3">
              <w:rPr>
                <w:rFonts w:ascii="Arial" w:hAnsi="Arial" w:cs="Arial"/>
                <w:color w:val="000000"/>
              </w:rPr>
              <w:br/>
            </w:r>
            <w:r w:rsidRPr="008A64B3">
              <w:rPr>
                <w:rFonts w:ascii="Arial" w:hAnsi="Arial" w:cs="Arial"/>
                <w:color w:val="000000"/>
              </w:rPr>
              <w:br/>
              <w:t>Alexion Pharmaceuticals Australasia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p>
        </w:tc>
        <w:tc>
          <w:tcPr>
            <w:tcW w:w="2409" w:type="dxa"/>
            <w:vMerge w:val="restart"/>
          </w:tcPr>
          <w:p w14:paraId="10F6FE11" w14:textId="77777777" w:rsidR="008A64B3" w:rsidRPr="008A64B3" w:rsidRDefault="008A64B3" w:rsidP="008A64B3">
            <w:pPr>
              <w:rPr>
                <w:rFonts w:ascii="Arial" w:hAnsi="Arial" w:cs="Arial"/>
                <w:color w:val="000000"/>
              </w:rPr>
            </w:pPr>
            <w:r w:rsidRPr="008A64B3">
              <w:rPr>
                <w:rFonts w:ascii="Arial" w:hAnsi="Arial" w:cs="Arial"/>
                <w:color w:val="000000"/>
              </w:rPr>
              <w:t xml:space="preserve">Paroxysmal nocturnal haemoglobinuria (PNH) </w:t>
            </w:r>
          </w:p>
          <w:p w14:paraId="5831B051" w14:textId="77777777" w:rsidR="008A64B3" w:rsidRPr="008A64B3" w:rsidRDefault="008A64B3" w:rsidP="008A64B3">
            <w:pPr>
              <w:rPr>
                <w:rFonts w:ascii="Arial" w:hAnsi="Arial" w:cs="Arial"/>
                <w:color w:val="000000"/>
              </w:rPr>
            </w:pPr>
          </w:p>
        </w:tc>
        <w:tc>
          <w:tcPr>
            <w:tcW w:w="3261" w:type="dxa"/>
            <w:tcMar>
              <w:top w:w="28" w:type="dxa"/>
              <w:bottom w:w="28" w:type="dxa"/>
            </w:tcMar>
          </w:tcPr>
          <w:p w14:paraId="6E7D831A" w14:textId="77777777" w:rsidR="008A64B3" w:rsidRPr="008A64B3" w:rsidRDefault="008A64B3" w:rsidP="008A64B3">
            <w:pPr>
              <w:rPr>
                <w:rFonts w:ascii="Arial" w:hAnsi="Arial" w:cs="Arial"/>
                <w:color w:val="000000"/>
              </w:rPr>
            </w:pPr>
            <w:r w:rsidRPr="008A64B3">
              <w:rPr>
                <w:rFonts w:ascii="Arial" w:hAnsi="Arial" w:cs="Arial"/>
                <w:color w:val="000000"/>
              </w:rPr>
              <w:t xml:space="preserve">To request a Section 100 (Highly Specialised Drugs Program - Public and Private Hospitals) Authority Required listing for the treatment of adult patients with PNH. </w:t>
            </w:r>
          </w:p>
          <w:p w14:paraId="0545E806" w14:textId="77777777" w:rsidR="008A64B3" w:rsidRPr="008A64B3" w:rsidRDefault="008A64B3" w:rsidP="008A64B3">
            <w:pPr>
              <w:rPr>
                <w:rFonts w:ascii="Arial" w:hAnsi="Arial" w:cs="Arial"/>
                <w:snapToGrid w:val="0"/>
                <w:lang w:eastAsia="en-US"/>
              </w:rPr>
            </w:pPr>
          </w:p>
        </w:tc>
        <w:tc>
          <w:tcPr>
            <w:tcW w:w="6947" w:type="dxa"/>
          </w:tcPr>
          <w:p w14:paraId="65E2E46D" w14:textId="29B1C35D" w:rsidR="008A64B3" w:rsidRPr="008A64B3" w:rsidRDefault="008A64B3" w:rsidP="008A64B3">
            <w:pPr>
              <w:pStyle w:val="ListParagraph"/>
              <w:ind w:left="0"/>
              <w:rPr>
                <w:rFonts w:ascii="Arial" w:hAnsi="Arial" w:cs="Arial"/>
                <w:iCs/>
                <w:sz w:val="20"/>
                <w:szCs w:val="20"/>
              </w:rPr>
            </w:pPr>
            <w:r w:rsidRPr="008A64B3">
              <w:rPr>
                <w:rFonts w:ascii="Arial" w:hAnsi="Arial" w:cs="Arial"/>
                <w:sz w:val="20"/>
                <w:szCs w:val="20"/>
              </w:rPr>
              <w:t>The PBAC did not recommend</w:t>
            </w:r>
            <w:r w:rsidR="003F1722">
              <w:rPr>
                <w:rFonts w:ascii="Arial" w:hAnsi="Arial" w:cs="Arial"/>
                <w:sz w:val="20"/>
                <w:szCs w:val="20"/>
              </w:rPr>
              <w:t xml:space="preserve"> the listing of</w:t>
            </w:r>
            <w:r w:rsidRPr="008A64B3">
              <w:rPr>
                <w:rFonts w:ascii="Arial" w:hAnsi="Arial" w:cs="Arial"/>
                <w:sz w:val="20"/>
                <w:szCs w:val="20"/>
              </w:rPr>
              <w:t xml:space="preserve"> </w:t>
            </w:r>
            <w:proofErr w:type="spellStart"/>
            <w:r w:rsidRPr="008A64B3">
              <w:rPr>
                <w:rFonts w:ascii="Arial" w:hAnsi="Arial" w:cs="Arial"/>
                <w:sz w:val="20"/>
                <w:szCs w:val="20"/>
              </w:rPr>
              <w:t>ravulizumab</w:t>
            </w:r>
            <w:proofErr w:type="spellEnd"/>
            <w:r w:rsidRPr="008A64B3">
              <w:rPr>
                <w:rFonts w:ascii="Arial" w:hAnsi="Arial" w:cs="Arial"/>
                <w:sz w:val="20"/>
                <w:szCs w:val="20"/>
              </w:rPr>
              <w:t xml:space="preserve"> for the t</w:t>
            </w:r>
            <w:r w:rsidR="007A7118">
              <w:rPr>
                <w:rFonts w:ascii="Arial" w:hAnsi="Arial" w:cs="Arial"/>
                <w:sz w:val="20"/>
                <w:szCs w:val="20"/>
              </w:rPr>
              <w:t>reatment of patients with PNH</w:t>
            </w:r>
            <w:r w:rsidRPr="008A64B3">
              <w:rPr>
                <w:rFonts w:ascii="Arial" w:hAnsi="Arial" w:cs="Arial"/>
                <w:sz w:val="20"/>
                <w:szCs w:val="20"/>
              </w:rPr>
              <w:t xml:space="preserve">. The PBAC considered the clinical evidence presented in the submission demonstrated that </w:t>
            </w:r>
            <w:proofErr w:type="spellStart"/>
            <w:r w:rsidRPr="008A64B3">
              <w:rPr>
                <w:rFonts w:ascii="Arial" w:hAnsi="Arial" w:cs="Arial"/>
                <w:sz w:val="20"/>
                <w:szCs w:val="20"/>
              </w:rPr>
              <w:t>ravulizumab</w:t>
            </w:r>
            <w:proofErr w:type="spellEnd"/>
            <w:r w:rsidRPr="008A64B3">
              <w:rPr>
                <w:rFonts w:ascii="Arial" w:hAnsi="Arial" w:cs="Arial"/>
                <w:sz w:val="20"/>
                <w:szCs w:val="20"/>
              </w:rPr>
              <w:t xml:space="preserve"> is likely to be non-inferior compared to </w:t>
            </w:r>
            <w:proofErr w:type="spellStart"/>
            <w:r w:rsidRPr="008A64B3">
              <w:rPr>
                <w:rFonts w:ascii="Arial" w:hAnsi="Arial" w:cs="Arial"/>
                <w:sz w:val="20"/>
                <w:szCs w:val="20"/>
              </w:rPr>
              <w:t>eculizumab</w:t>
            </w:r>
            <w:proofErr w:type="spellEnd"/>
            <w:r w:rsidRPr="008A64B3">
              <w:rPr>
                <w:rFonts w:ascii="Arial" w:hAnsi="Arial" w:cs="Arial"/>
                <w:sz w:val="20"/>
                <w:szCs w:val="20"/>
              </w:rPr>
              <w:t xml:space="preserve"> in the short-term. However, the PBAC considered that due to the lack of long-term follow-up data available, it was uncertain whether a patient’s lifespan </w:t>
            </w:r>
            <w:proofErr w:type="gramStart"/>
            <w:r w:rsidRPr="008A64B3">
              <w:rPr>
                <w:rFonts w:ascii="Arial" w:hAnsi="Arial" w:cs="Arial"/>
                <w:sz w:val="20"/>
                <w:szCs w:val="20"/>
              </w:rPr>
              <w:t>would be substantially extended</w:t>
            </w:r>
            <w:proofErr w:type="gramEnd"/>
            <w:r w:rsidRPr="008A64B3">
              <w:rPr>
                <w:rFonts w:ascii="Arial" w:hAnsi="Arial" w:cs="Arial"/>
                <w:sz w:val="20"/>
                <w:szCs w:val="20"/>
              </w:rPr>
              <w:t xml:space="preserve"> as a direct consequence of the use of </w:t>
            </w:r>
            <w:proofErr w:type="spellStart"/>
            <w:r w:rsidRPr="008A64B3">
              <w:rPr>
                <w:rFonts w:ascii="Arial" w:hAnsi="Arial" w:cs="Arial"/>
                <w:sz w:val="20"/>
                <w:szCs w:val="20"/>
              </w:rPr>
              <w:t>ravulizumab</w:t>
            </w:r>
            <w:proofErr w:type="spellEnd"/>
            <w:r w:rsidRPr="008A64B3">
              <w:rPr>
                <w:rFonts w:ascii="Arial" w:hAnsi="Arial" w:cs="Arial"/>
                <w:sz w:val="20"/>
                <w:szCs w:val="20"/>
              </w:rPr>
              <w:t xml:space="preserve">. The PBAC also considered the applicant’s economic model did not provide a valid means of estimating the cost-effectiveness of </w:t>
            </w:r>
            <w:proofErr w:type="spellStart"/>
            <w:r w:rsidRPr="008A64B3">
              <w:rPr>
                <w:rFonts w:ascii="Arial" w:hAnsi="Arial" w:cs="Arial"/>
                <w:sz w:val="20"/>
                <w:szCs w:val="20"/>
              </w:rPr>
              <w:t>ravulizumab</w:t>
            </w:r>
            <w:proofErr w:type="spellEnd"/>
            <w:r w:rsidRPr="008A64B3">
              <w:rPr>
                <w:rFonts w:ascii="Arial" w:hAnsi="Arial" w:cs="Arial"/>
                <w:sz w:val="20"/>
                <w:szCs w:val="20"/>
              </w:rPr>
              <w:t xml:space="preserve"> for PB</w:t>
            </w:r>
            <w:r w:rsidR="007A7118">
              <w:rPr>
                <w:rFonts w:ascii="Arial" w:hAnsi="Arial" w:cs="Arial"/>
                <w:sz w:val="20"/>
                <w:szCs w:val="20"/>
              </w:rPr>
              <w:t xml:space="preserve">S listing and was therefore </w:t>
            </w:r>
            <w:proofErr w:type="gramStart"/>
            <w:r w:rsidR="007A7118">
              <w:rPr>
                <w:rFonts w:ascii="Arial" w:hAnsi="Arial" w:cs="Arial"/>
                <w:sz w:val="20"/>
                <w:szCs w:val="20"/>
              </w:rPr>
              <w:t xml:space="preserve">not </w:t>
            </w:r>
            <w:r w:rsidRPr="008A64B3">
              <w:rPr>
                <w:rFonts w:ascii="Arial" w:hAnsi="Arial" w:cs="Arial"/>
                <w:sz w:val="20"/>
                <w:szCs w:val="20"/>
              </w:rPr>
              <w:t>informative</w:t>
            </w:r>
            <w:proofErr w:type="gramEnd"/>
            <w:r w:rsidRPr="008A64B3">
              <w:rPr>
                <w:rFonts w:ascii="Arial" w:hAnsi="Arial" w:cs="Arial"/>
                <w:sz w:val="20"/>
                <w:szCs w:val="20"/>
              </w:rPr>
              <w:t xml:space="preserve"> for decision-making.</w:t>
            </w:r>
          </w:p>
        </w:tc>
      </w:tr>
      <w:tr w:rsidR="008A64B3" w:rsidRPr="00D3523D" w14:paraId="2B0C8E39" w14:textId="77777777" w:rsidTr="006B06A5">
        <w:trPr>
          <w:cantSplit/>
          <w:trHeight w:val="1384"/>
        </w:trPr>
        <w:tc>
          <w:tcPr>
            <w:tcW w:w="2694" w:type="dxa"/>
            <w:vMerge/>
            <w:tcMar>
              <w:top w:w="28" w:type="dxa"/>
              <w:bottom w:w="28" w:type="dxa"/>
            </w:tcMar>
          </w:tcPr>
          <w:p w14:paraId="54FEC067" w14:textId="77777777" w:rsidR="008A64B3" w:rsidRPr="008A64B3" w:rsidRDefault="008A64B3" w:rsidP="008A64B3">
            <w:pPr>
              <w:rPr>
                <w:rFonts w:ascii="Arial" w:hAnsi="Arial" w:cs="Arial"/>
                <w:color w:val="000000"/>
              </w:rPr>
            </w:pPr>
          </w:p>
        </w:tc>
        <w:tc>
          <w:tcPr>
            <w:tcW w:w="2409" w:type="dxa"/>
            <w:vMerge/>
          </w:tcPr>
          <w:p w14:paraId="4C282282" w14:textId="77777777" w:rsidR="008A64B3" w:rsidRPr="008A64B3" w:rsidRDefault="008A64B3" w:rsidP="008A64B3">
            <w:pPr>
              <w:rPr>
                <w:rFonts w:ascii="Arial" w:hAnsi="Arial" w:cs="Arial"/>
                <w:color w:val="000000"/>
              </w:rPr>
            </w:pPr>
          </w:p>
        </w:tc>
        <w:tc>
          <w:tcPr>
            <w:tcW w:w="3261" w:type="dxa"/>
            <w:tcMar>
              <w:top w:w="28" w:type="dxa"/>
              <w:bottom w:w="28" w:type="dxa"/>
            </w:tcMar>
          </w:tcPr>
          <w:p w14:paraId="3C61028D" w14:textId="1770B21B" w:rsidR="008A64B3" w:rsidRDefault="00BB5F54" w:rsidP="008A64B3">
            <w:pPr>
              <w:jc w:val="right"/>
              <w:rPr>
                <w:rFonts w:ascii="Arial" w:hAnsi="Arial" w:cs="Arial"/>
                <w:snapToGrid w:val="0"/>
                <w:lang w:eastAsia="en-US"/>
              </w:rPr>
            </w:pPr>
            <w:r>
              <w:rPr>
                <w:rFonts w:ascii="Arial" w:hAnsi="Arial" w:cs="Arial"/>
                <w:snapToGrid w:val="0"/>
                <w:lang w:eastAsia="en-US"/>
              </w:rPr>
              <w:t>Sponsor’s c</w:t>
            </w:r>
            <w:r w:rsidR="008A64B3" w:rsidRPr="008A64B3">
              <w:rPr>
                <w:rFonts w:ascii="Arial" w:hAnsi="Arial" w:cs="Arial"/>
                <w:snapToGrid w:val="0"/>
                <w:lang w:eastAsia="en-US"/>
              </w:rPr>
              <w:t>omment:</w:t>
            </w:r>
          </w:p>
          <w:p w14:paraId="3AC0AF11" w14:textId="50DCA98A" w:rsidR="008A64B3" w:rsidRPr="008A64B3" w:rsidRDefault="008A64B3" w:rsidP="008A64B3">
            <w:pPr>
              <w:jc w:val="right"/>
              <w:rPr>
                <w:rFonts w:ascii="Arial" w:hAnsi="Arial" w:cs="Arial"/>
                <w:color w:val="000000"/>
              </w:rPr>
            </w:pPr>
          </w:p>
        </w:tc>
        <w:tc>
          <w:tcPr>
            <w:tcW w:w="6947" w:type="dxa"/>
          </w:tcPr>
          <w:p w14:paraId="0D08F0DA" w14:textId="60B26D80" w:rsidR="003A5524" w:rsidRPr="003A5524" w:rsidRDefault="003A5524" w:rsidP="003A5524">
            <w:pPr>
              <w:rPr>
                <w:rFonts w:ascii="Arial" w:hAnsi="Arial" w:cs="Arial"/>
                <w:lang w:val="en-US"/>
              </w:rPr>
            </w:pPr>
            <w:r w:rsidRPr="003A5524">
              <w:rPr>
                <w:rFonts w:ascii="Arial" w:hAnsi="Arial" w:cs="Arial"/>
                <w:lang w:val="en-US"/>
              </w:rPr>
              <w:t xml:space="preserve">Alexion welcomes the </w:t>
            </w:r>
            <w:r w:rsidRPr="003A5524">
              <w:rPr>
                <w:rFonts w:ascii="Arial" w:hAnsi="Arial" w:cs="Arial"/>
              </w:rPr>
              <w:t xml:space="preserve">PBAC’s acknowledgement that </w:t>
            </w:r>
            <w:proofErr w:type="spellStart"/>
            <w:r w:rsidRPr="003A5524">
              <w:rPr>
                <w:rFonts w:ascii="Arial" w:hAnsi="Arial" w:cs="Arial"/>
              </w:rPr>
              <w:t>ravulizumab</w:t>
            </w:r>
            <w:proofErr w:type="spellEnd"/>
            <w:r w:rsidRPr="003A5524">
              <w:rPr>
                <w:rFonts w:ascii="Arial" w:hAnsi="Arial" w:cs="Arial"/>
              </w:rPr>
              <w:t xml:space="preserve"> is non-inferior to </w:t>
            </w:r>
            <w:proofErr w:type="spellStart"/>
            <w:r w:rsidRPr="003A5524">
              <w:rPr>
                <w:rFonts w:ascii="Arial" w:hAnsi="Arial" w:cs="Arial"/>
              </w:rPr>
              <w:t>eculizumab</w:t>
            </w:r>
            <w:proofErr w:type="spellEnd"/>
            <w:r w:rsidRPr="003A5524">
              <w:rPr>
                <w:rFonts w:ascii="Arial" w:hAnsi="Arial" w:cs="Arial"/>
              </w:rPr>
              <w:t>, however</w:t>
            </w:r>
            <w:r w:rsidRPr="003A5524">
              <w:rPr>
                <w:rFonts w:ascii="Arial" w:hAnsi="Arial" w:cs="Arial"/>
                <w:i/>
                <w:iCs/>
              </w:rPr>
              <w:t xml:space="preserve"> </w:t>
            </w:r>
            <w:r w:rsidRPr="003A5524">
              <w:rPr>
                <w:rFonts w:ascii="Arial" w:hAnsi="Arial" w:cs="Arial"/>
                <w:lang w:val="en-US"/>
              </w:rPr>
              <w:t>is disappointed wit</w:t>
            </w:r>
            <w:r>
              <w:rPr>
                <w:rFonts w:ascii="Arial" w:hAnsi="Arial" w:cs="Arial"/>
                <w:lang w:val="en-US"/>
              </w:rPr>
              <w:t>h the PBAC</w:t>
            </w:r>
            <w:r w:rsidR="0023698B">
              <w:rPr>
                <w:rFonts w:ascii="Arial" w:hAnsi="Arial" w:cs="Arial"/>
                <w:lang w:val="en-US"/>
              </w:rPr>
              <w:t>’s</w:t>
            </w:r>
            <w:r>
              <w:rPr>
                <w:rFonts w:ascii="Arial" w:hAnsi="Arial" w:cs="Arial"/>
                <w:lang w:val="en-US"/>
              </w:rPr>
              <w:t xml:space="preserve"> decision</w:t>
            </w:r>
            <w:r w:rsidR="0023698B">
              <w:rPr>
                <w:rFonts w:ascii="Arial" w:hAnsi="Arial" w:cs="Arial"/>
                <w:lang w:val="en-US"/>
              </w:rPr>
              <w:t xml:space="preserve"> not</w:t>
            </w:r>
            <w:r>
              <w:rPr>
                <w:rFonts w:ascii="Arial" w:hAnsi="Arial" w:cs="Arial"/>
                <w:lang w:val="en-US"/>
              </w:rPr>
              <w:t xml:space="preserve"> to </w:t>
            </w:r>
            <w:r w:rsidR="0023698B">
              <w:rPr>
                <w:rFonts w:ascii="Arial" w:hAnsi="Arial" w:cs="Arial"/>
                <w:lang w:val="en-US"/>
              </w:rPr>
              <w:t>recommend</w:t>
            </w:r>
            <w:r>
              <w:rPr>
                <w:rFonts w:ascii="Arial" w:hAnsi="Arial" w:cs="Arial"/>
                <w:lang w:val="en-US"/>
              </w:rPr>
              <w:t xml:space="preserve">. Alexion is </w:t>
            </w:r>
            <w:r w:rsidRPr="003A5524">
              <w:rPr>
                <w:rFonts w:ascii="Arial" w:hAnsi="Arial" w:cs="Arial"/>
                <w:lang w:val="en-US"/>
              </w:rPr>
              <w:t xml:space="preserve">committed to working with the PBAC and the Department of Health to pursue access for adult patients with PNH who are calling for this new bi-monthly treatment </w:t>
            </w:r>
            <w:proofErr w:type="gramStart"/>
            <w:r w:rsidRPr="003A5524">
              <w:rPr>
                <w:rFonts w:ascii="Arial" w:hAnsi="Arial" w:cs="Arial"/>
                <w:lang w:val="en-US"/>
              </w:rPr>
              <w:t>option which</w:t>
            </w:r>
            <w:proofErr w:type="gramEnd"/>
            <w:r w:rsidRPr="003A5524">
              <w:rPr>
                <w:rFonts w:ascii="Arial" w:hAnsi="Arial" w:cs="Arial"/>
                <w:lang w:val="en-US"/>
              </w:rPr>
              <w:t xml:space="preserve"> will reduce the burden of fortnightly infusions</w:t>
            </w:r>
            <w:r>
              <w:rPr>
                <w:rFonts w:ascii="Arial" w:hAnsi="Arial" w:cs="Arial"/>
                <w:lang w:val="en-US"/>
              </w:rPr>
              <w:t xml:space="preserve">. </w:t>
            </w:r>
            <w:r>
              <w:rPr>
                <w:rFonts w:ascii="Arial" w:hAnsi="Arial" w:cs="Arial"/>
                <w:lang w:val="en-US"/>
              </w:rPr>
              <w:br/>
            </w:r>
          </w:p>
        </w:tc>
      </w:tr>
      <w:tr w:rsidR="008A64B3" w:rsidRPr="00D3523D" w14:paraId="42F1829A" w14:textId="77777777" w:rsidTr="001A199E">
        <w:trPr>
          <w:cantSplit/>
          <w:trHeight w:val="465"/>
        </w:trPr>
        <w:tc>
          <w:tcPr>
            <w:tcW w:w="2694" w:type="dxa"/>
            <w:vMerge w:val="restart"/>
            <w:tcMar>
              <w:top w:w="28" w:type="dxa"/>
              <w:bottom w:w="28" w:type="dxa"/>
            </w:tcMar>
          </w:tcPr>
          <w:p w14:paraId="38BF52DF" w14:textId="11A5C422" w:rsidR="008A64B3" w:rsidRPr="008A64B3" w:rsidRDefault="008A64B3" w:rsidP="008A64B3">
            <w:pPr>
              <w:rPr>
                <w:rFonts w:ascii="Arial" w:hAnsi="Arial" w:cs="Arial"/>
                <w:color w:val="000000"/>
              </w:rPr>
            </w:pPr>
            <w:r w:rsidRPr="008A64B3">
              <w:rPr>
                <w:rFonts w:ascii="Arial" w:hAnsi="Arial" w:cs="Arial"/>
                <w:color w:val="000000"/>
              </w:rPr>
              <w:t>TAFA</w:t>
            </w:r>
            <w:r w:rsidR="007A7118">
              <w:rPr>
                <w:rFonts w:ascii="Arial" w:hAnsi="Arial" w:cs="Arial"/>
                <w:color w:val="000000"/>
              </w:rPr>
              <w:t>MIDIS</w:t>
            </w:r>
            <w:r w:rsidR="007A7118">
              <w:rPr>
                <w:rFonts w:ascii="Arial" w:hAnsi="Arial" w:cs="Arial"/>
                <w:color w:val="000000"/>
              </w:rPr>
              <w:br/>
            </w:r>
            <w:r w:rsidR="007A7118">
              <w:rPr>
                <w:rFonts w:ascii="Arial" w:hAnsi="Arial" w:cs="Arial"/>
                <w:color w:val="000000"/>
              </w:rPr>
              <w:br/>
              <w:t>Capsule 61 mg</w:t>
            </w:r>
            <w:r w:rsidR="007A7118">
              <w:rPr>
                <w:rFonts w:ascii="Arial" w:hAnsi="Arial" w:cs="Arial"/>
                <w:color w:val="000000"/>
              </w:rPr>
              <w:br/>
            </w:r>
            <w:r w:rsidR="007A7118">
              <w:rPr>
                <w:rFonts w:ascii="Arial" w:hAnsi="Arial" w:cs="Arial"/>
                <w:color w:val="000000"/>
              </w:rPr>
              <w:br/>
            </w:r>
            <w:proofErr w:type="spellStart"/>
            <w:r w:rsidR="007A7118">
              <w:rPr>
                <w:rFonts w:ascii="Arial" w:hAnsi="Arial" w:cs="Arial"/>
                <w:color w:val="000000"/>
              </w:rPr>
              <w:t>Vyndamax</w:t>
            </w:r>
            <w:proofErr w:type="spellEnd"/>
            <w:r w:rsidR="007A7118">
              <w:rPr>
                <w:rFonts w:ascii="Arial" w:hAnsi="Arial" w:cs="Arial"/>
                <w:color w:val="000000"/>
              </w:rPr>
              <w:t>®</w:t>
            </w:r>
            <w:r w:rsidRPr="008A64B3">
              <w:rPr>
                <w:rFonts w:ascii="Arial" w:hAnsi="Arial" w:cs="Arial"/>
                <w:color w:val="000000"/>
              </w:rPr>
              <w:br/>
            </w:r>
            <w:r w:rsidRPr="008A64B3">
              <w:rPr>
                <w:rFonts w:ascii="Arial" w:hAnsi="Arial" w:cs="Arial"/>
                <w:color w:val="000000"/>
              </w:rPr>
              <w:br/>
              <w:t>Pfizer Australia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p>
          <w:p w14:paraId="7AD589E7" w14:textId="77777777" w:rsidR="008A64B3" w:rsidRPr="008A64B3" w:rsidRDefault="008A64B3" w:rsidP="008A64B3">
            <w:pPr>
              <w:rPr>
                <w:rFonts w:ascii="Arial" w:hAnsi="Arial" w:cs="Arial"/>
                <w:color w:val="000000"/>
              </w:rPr>
            </w:pPr>
          </w:p>
        </w:tc>
        <w:tc>
          <w:tcPr>
            <w:tcW w:w="2409" w:type="dxa"/>
            <w:vMerge w:val="restart"/>
          </w:tcPr>
          <w:p w14:paraId="1EDB081C" w14:textId="77777777" w:rsidR="008A64B3" w:rsidRPr="008A64B3" w:rsidRDefault="008A64B3" w:rsidP="008A64B3">
            <w:pPr>
              <w:rPr>
                <w:rFonts w:ascii="Arial" w:hAnsi="Arial" w:cs="Arial"/>
                <w:color w:val="000000"/>
              </w:rPr>
            </w:pPr>
            <w:r w:rsidRPr="008A64B3">
              <w:rPr>
                <w:rFonts w:ascii="Arial" w:hAnsi="Arial" w:cs="Arial"/>
                <w:color w:val="000000"/>
              </w:rPr>
              <w:t>Transthyretin amyloid cardiomyopathy (ATTR-CM)</w:t>
            </w:r>
          </w:p>
          <w:p w14:paraId="6D18618B" w14:textId="77777777" w:rsidR="008A64B3" w:rsidRPr="008A64B3" w:rsidRDefault="008A64B3" w:rsidP="008A64B3">
            <w:pPr>
              <w:rPr>
                <w:rFonts w:ascii="Arial" w:hAnsi="Arial" w:cs="Arial"/>
                <w:color w:val="000000"/>
              </w:rPr>
            </w:pPr>
          </w:p>
        </w:tc>
        <w:tc>
          <w:tcPr>
            <w:tcW w:w="3261" w:type="dxa"/>
            <w:tcMar>
              <w:top w:w="28" w:type="dxa"/>
              <w:bottom w:w="28" w:type="dxa"/>
            </w:tcMar>
          </w:tcPr>
          <w:p w14:paraId="53D2DE81" w14:textId="77777777" w:rsidR="008A64B3" w:rsidRPr="008A64B3" w:rsidRDefault="008A64B3" w:rsidP="008A64B3">
            <w:pPr>
              <w:rPr>
                <w:rFonts w:ascii="Arial" w:hAnsi="Arial" w:cs="Arial"/>
                <w:color w:val="000000"/>
              </w:rPr>
            </w:pPr>
            <w:r w:rsidRPr="008A64B3">
              <w:rPr>
                <w:rFonts w:ascii="Arial" w:hAnsi="Arial" w:cs="Arial"/>
                <w:color w:val="000000"/>
              </w:rPr>
              <w:t>To request an Authority Required listing for the treatment of ATTR-CM.</w:t>
            </w:r>
          </w:p>
          <w:p w14:paraId="5BAEEDE0" w14:textId="77777777" w:rsidR="008A64B3" w:rsidRPr="008A64B3" w:rsidRDefault="008A64B3" w:rsidP="008A64B3">
            <w:pPr>
              <w:rPr>
                <w:rFonts w:ascii="Arial" w:hAnsi="Arial" w:cs="Arial"/>
                <w:color w:val="000000"/>
              </w:rPr>
            </w:pPr>
          </w:p>
          <w:p w14:paraId="5B6310CC" w14:textId="77777777" w:rsidR="008A64B3" w:rsidRPr="008A64B3" w:rsidRDefault="008A64B3" w:rsidP="008A64B3">
            <w:pPr>
              <w:rPr>
                <w:rFonts w:ascii="Arial" w:hAnsi="Arial" w:cs="Arial"/>
                <w:color w:val="000000"/>
              </w:rPr>
            </w:pPr>
          </w:p>
        </w:tc>
        <w:tc>
          <w:tcPr>
            <w:tcW w:w="6947" w:type="dxa"/>
          </w:tcPr>
          <w:p w14:paraId="02885355" w14:textId="7E4A4671" w:rsidR="008A64B3" w:rsidRPr="006B06A5" w:rsidRDefault="006B06A5" w:rsidP="006B06A5">
            <w:pPr>
              <w:widowControl w:val="0"/>
              <w:spacing w:after="120"/>
              <w:rPr>
                <w:rFonts w:ascii="Arial" w:hAnsi="Arial" w:cs="Arial"/>
                <w:bCs/>
                <w:snapToGrid w:val="0"/>
                <w:lang w:eastAsia="en-US"/>
              </w:rPr>
            </w:pPr>
            <w:r w:rsidRPr="006B06A5">
              <w:rPr>
                <w:rFonts w:ascii="Arial" w:hAnsi="Arial" w:cs="Arial"/>
                <w:lang w:eastAsia="en-US"/>
              </w:rPr>
              <w:t xml:space="preserve">The PBAC did not recommend </w:t>
            </w:r>
            <w:r w:rsidR="003F1722">
              <w:rPr>
                <w:rFonts w:ascii="Arial" w:hAnsi="Arial" w:cs="Arial"/>
                <w:lang w:eastAsia="en-US"/>
              </w:rPr>
              <w:t xml:space="preserve">the listing of </w:t>
            </w:r>
            <w:proofErr w:type="spellStart"/>
            <w:r w:rsidRPr="006B06A5">
              <w:rPr>
                <w:rFonts w:ascii="Arial" w:hAnsi="Arial" w:cs="Arial"/>
                <w:lang w:eastAsia="en-US"/>
              </w:rPr>
              <w:t>tafamidis</w:t>
            </w:r>
            <w:proofErr w:type="spellEnd"/>
            <w:r w:rsidRPr="006B06A5">
              <w:rPr>
                <w:rFonts w:ascii="Arial" w:hAnsi="Arial" w:cs="Arial"/>
                <w:lang w:eastAsia="en-US"/>
              </w:rPr>
              <w:t xml:space="preserve"> for the treatment of patients with </w:t>
            </w:r>
            <w:r w:rsidRPr="006B06A5">
              <w:rPr>
                <w:rFonts w:ascii="Arial" w:hAnsi="Arial" w:cs="Arial"/>
                <w:bCs/>
                <w:snapToGrid w:val="0"/>
                <w:lang w:eastAsia="en-US"/>
              </w:rPr>
              <w:t>ATTR-CM</w:t>
            </w:r>
            <w:r w:rsidRPr="006B06A5">
              <w:rPr>
                <w:rFonts w:ascii="Arial" w:hAnsi="Arial" w:cs="Arial"/>
                <w:lang w:eastAsia="en-US"/>
              </w:rPr>
              <w:t xml:space="preserve">. The PBAC accepted that </w:t>
            </w:r>
            <w:proofErr w:type="spellStart"/>
            <w:r w:rsidRPr="006B06A5">
              <w:rPr>
                <w:rFonts w:ascii="Arial" w:hAnsi="Arial" w:cs="Arial"/>
                <w:lang w:eastAsia="en-US"/>
              </w:rPr>
              <w:t>tafamidis</w:t>
            </w:r>
            <w:proofErr w:type="spellEnd"/>
            <w:r w:rsidRPr="006B06A5">
              <w:rPr>
                <w:rFonts w:ascii="Arial" w:hAnsi="Arial" w:cs="Arial"/>
                <w:lang w:eastAsia="en-US"/>
              </w:rPr>
              <w:t xml:space="preserve"> was clinically superior to current standard management, and considered there was a high unmet </w:t>
            </w:r>
            <w:r w:rsidRPr="006B06A5">
              <w:rPr>
                <w:rFonts w:ascii="Arial" w:hAnsi="Arial" w:cs="Arial"/>
                <w:bCs/>
                <w:snapToGrid w:val="0"/>
                <w:lang w:eastAsia="en-US"/>
              </w:rPr>
              <w:t>clinical need for effective therapies for ATTR-CM.</w:t>
            </w:r>
            <w:r>
              <w:rPr>
                <w:rFonts w:ascii="Arial" w:hAnsi="Arial" w:cs="Arial"/>
                <w:bCs/>
                <w:snapToGrid w:val="0"/>
                <w:lang w:eastAsia="en-US"/>
              </w:rPr>
              <w:br/>
            </w:r>
            <w:r>
              <w:rPr>
                <w:rFonts w:ascii="Arial" w:hAnsi="Arial" w:cs="Arial"/>
                <w:bCs/>
                <w:snapToGrid w:val="0"/>
                <w:lang w:eastAsia="en-US"/>
              </w:rPr>
              <w:br/>
            </w:r>
            <w:r w:rsidRPr="006B06A5">
              <w:rPr>
                <w:rFonts w:ascii="Arial" w:hAnsi="Arial" w:cs="Arial"/>
                <w:lang w:eastAsia="en-US"/>
              </w:rPr>
              <w:t xml:space="preserve">However, the PBAC considered that the incremental cost-effectiveness </w:t>
            </w:r>
            <w:r w:rsidR="00CF00B5" w:rsidRPr="006B06A5">
              <w:rPr>
                <w:rFonts w:ascii="Arial" w:hAnsi="Arial" w:cs="Arial"/>
                <w:lang w:eastAsia="en-US"/>
              </w:rPr>
              <w:t xml:space="preserve">ratio </w:t>
            </w:r>
            <w:proofErr w:type="gramStart"/>
            <w:r w:rsidR="00CF00B5" w:rsidRPr="006B06A5">
              <w:rPr>
                <w:rFonts w:ascii="Arial" w:hAnsi="Arial" w:cs="Arial"/>
                <w:lang w:eastAsia="en-US"/>
              </w:rPr>
              <w:t>had</w:t>
            </w:r>
            <w:r w:rsidRPr="006B06A5">
              <w:rPr>
                <w:rFonts w:ascii="Arial" w:hAnsi="Arial" w:cs="Arial"/>
                <w:bCs/>
                <w:snapToGrid w:val="0"/>
                <w:lang w:eastAsia="en-US"/>
              </w:rPr>
              <w:t xml:space="preserve"> not been reliably estimated</w:t>
            </w:r>
            <w:proofErr w:type="gramEnd"/>
            <w:r w:rsidRPr="006B06A5">
              <w:rPr>
                <w:rFonts w:ascii="Arial" w:hAnsi="Arial" w:cs="Arial"/>
                <w:bCs/>
                <w:snapToGrid w:val="0"/>
                <w:lang w:eastAsia="en-US"/>
              </w:rPr>
              <w:t xml:space="preserve"> and was unacceptably high at the price proposed in the submission. The PBAC considered that the financial impact was highly likely to </w:t>
            </w:r>
            <w:proofErr w:type="gramStart"/>
            <w:r w:rsidRPr="006B06A5">
              <w:rPr>
                <w:rFonts w:ascii="Arial" w:hAnsi="Arial" w:cs="Arial"/>
                <w:bCs/>
                <w:snapToGrid w:val="0"/>
                <w:lang w:eastAsia="en-US"/>
              </w:rPr>
              <w:t>have been significantly underestimated</w:t>
            </w:r>
            <w:proofErr w:type="gramEnd"/>
            <w:r w:rsidRPr="006B06A5">
              <w:rPr>
                <w:rFonts w:ascii="Arial" w:hAnsi="Arial" w:cs="Arial"/>
                <w:bCs/>
                <w:snapToGrid w:val="0"/>
                <w:lang w:eastAsia="en-US"/>
              </w:rPr>
              <w:t xml:space="preserve"> by the submission given the uncertain prevalence of this condition and the potential for diagnosis to be increased with the new diagnostic algorithm proposed.</w:t>
            </w:r>
            <w:r w:rsidRPr="00E12BDF">
              <w:rPr>
                <w:rFonts w:asciiTheme="minorHAnsi" w:hAnsiTheme="minorHAnsi"/>
                <w:bCs/>
                <w:snapToGrid w:val="0"/>
                <w:lang w:eastAsia="en-US"/>
              </w:rPr>
              <w:t xml:space="preserve"> </w:t>
            </w:r>
          </w:p>
        </w:tc>
      </w:tr>
      <w:tr w:rsidR="008A64B3" w:rsidRPr="00D3523D" w14:paraId="7E45DA31" w14:textId="77777777" w:rsidTr="001A199E">
        <w:trPr>
          <w:cantSplit/>
          <w:trHeight w:val="465"/>
        </w:trPr>
        <w:tc>
          <w:tcPr>
            <w:tcW w:w="2694" w:type="dxa"/>
            <w:vMerge/>
            <w:tcMar>
              <w:top w:w="28" w:type="dxa"/>
              <w:bottom w:w="28" w:type="dxa"/>
            </w:tcMar>
          </w:tcPr>
          <w:p w14:paraId="6EFAE035" w14:textId="77777777" w:rsidR="008A64B3" w:rsidRPr="008A64B3" w:rsidRDefault="008A64B3" w:rsidP="008A64B3">
            <w:pPr>
              <w:rPr>
                <w:rFonts w:ascii="Arial" w:hAnsi="Arial" w:cs="Arial"/>
                <w:color w:val="000000"/>
              </w:rPr>
            </w:pPr>
          </w:p>
        </w:tc>
        <w:tc>
          <w:tcPr>
            <w:tcW w:w="2409" w:type="dxa"/>
            <w:vMerge/>
          </w:tcPr>
          <w:p w14:paraId="297841B9" w14:textId="77777777" w:rsidR="008A64B3" w:rsidRPr="008A64B3" w:rsidRDefault="008A64B3" w:rsidP="008A64B3">
            <w:pPr>
              <w:rPr>
                <w:rFonts w:ascii="Arial" w:hAnsi="Arial" w:cs="Arial"/>
                <w:color w:val="000000"/>
              </w:rPr>
            </w:pPr>
          </w:p>
        </w:tc>
        <w:tc>
          <w:tcPr>
            <w:tcW w:w="3261" w:type="dxa"/>
            <w:tcMar>
              <w:top w:w="28" w:type="dxa"/>
              <w:bottom w:w="28" w:type="dxa"/>
            </w:tcMar>
          </w:tcPr>
          <w:p w14:paraId="057E226A" w14:textId="20D131EE" w:rsidR="008A64B3" w:rsidRPr="008A64B3" w:rsidRDefault="00BB5F54" w:rsidP="008A64B3">
            <w:pPr>
              <w:jc w:val="right"/>
              <w:rPr>
                <w:rFonts w:ascii="Arial" w:hAnsi="Arial" w:cs="Arial"/>
                <w:color w:val="000000"/>
              </w:rPr>
            </w:pPr>
            <w:r>
              <w:rPr>
                <w:rFonts w:ascii="Arial" w:hAnsi="Arial" w:cs="Arial"/>
                <w:snapToGrid w:val="0"/>
                <w:lang w:eastAsia="en-US"/>
              </w:rPr>
              <w:t>Sponsor’s c</w:t>
            </w:r>
            <w:r w:rsidR="008A64B3" w:rsidRPr="008A64B3">
              <w:rPr>
                <w:rFonts w:ascii="Arial" w:hAnsi="Arial" w:cs="Arial"/>
                <w:snapToGrid w:val="0"/>
                <w:lang w:eastAsia="en-US"/>
              </w:rPr>
              <w:t>omment:</w:t>
            </w:r>
          </w:p>
        </w:tc>
        <w:tc>
          <w:tcPr>
            <w:tcW w:w="6947" w:type="dxa"/>
          </w:tcPr>
          <w:p w14:paraId="52FAE591" w14:textId="0A150AFB" w:rsidR="003A5524" w:rsidRPr="00BF0A2C" w:rsidRDefault="00BF0A2C" w:rsidP="00153954">
            <w:pPr>
              <w:pStyle w:val="ListParagraph"/>
              <w:ind w:left="0"/>
              <w:rPr>
                <w:rFonts w:ascii="Arial" w:hAnsi="Arial" w:cs="Arial"/>
                <w:sz w:val="20"/>
                <w:szCs w:val="20"/>
              </w:rPr>
            </w:pPr>
            <w:r w:rsidRPr="00BF0A2C">
              <w:rPr>
                <w:rFonts w:ascii="Arial" w:hAnsi="Arial" w:cs="Arial"/>
                <w:sz w:val="20"/>
                <w:szCs w:val="20"/>
              </w:rPr>
              <w:t xml:space="preserve">Pfizer welcomes the PBAC’s acknowledgement of the </w:t>
            </w:r>
            <w:proofErr w:type="gramStart"/>
            <w:r w:rsidRPr="00BF0A2C">
              <w:rPr>
                <w:rFonts w:ascii="Arial" w:hAnsi="Arial" w:cs="Arial"/>
                <w:sz w:val="20"/>
                <w:szCs w:val="20"/>
              </w:rPr>
              <w:t>high unmet</w:t>
            </w:r>
            <w:proofErr w:type="gramEnd"/>
            <w:r w:rsidRPr="00BF0A2C">
              <w:rPr>
                <w:rFonts w:ascii="Arial" w:hAnsi="Arial" w:cs="Arial"/>
                <w:sz w:val="20"/>
                <w:szCs w:val="20"/>
              </w:rPr>
              <w:t xml:space="preserve"> clinical need for effective therapies for ATTR-CM and acceptance of the superiority of </w:t>
            </w:r>
            <w:proofErr w:type="spellStart"/>
            <w:r w:rsidRPr="00BF0A2C">
              <w:rPr>
                <w:rFonts w:ascii="Arial" w:hAnsi="Arial" w:cs="Arial"/>
                <w:sz w:val="20"/>
                <w:szCs w:val="20"/>
              </w:rPr>
              <w:t>tafamidis</w:t>
            </w:r>
            <w:proofErr w:type="spellEnd"/>
            <w:r w:rsidRPr="00BF0A2C">
              <w:rPr>
                <w:rFonts w:ascii="Arial" w:hAnsi="Arial" w:cs="Arial"/>
                <w:sz w:val="20"/>
                <w:szCs w:val="20"/>
              </w:rPr>
              <w:t xml:space="preserve"> over standard management. Pfizer will continue to work collaboratively with the PBAC to deliver access to </w:t>
            </w:r>
            <w:proofErr w:type="spellStart"/>
            <w:r w:rsidRPr="00BF0A2C">
              <w:rPr>
                <w:rFonts w:ascii="Arial" w:hAnsi="Arial" w:cs="Arial"/>
                <w:sz w:val="20"/>
                <w:szCs w:val="20"/>
              </w:rPr>
              <w:t>tafamidis</w:t>
            </w:r>
            <w:proofErr w:type="spellEnd"/>
            <w:r w:rsidRPr="00BF0A2C">
              <w:rPr>
                <w:rFonts w:ascii="Arial" w:hAnsi="Arial" w:cs="Arial"/>
                <w:sz w:val="20"/>
                <w:szCs w:val="20"/>
              </w:rPr>
              <w:t xml:space="preserve"> for patients with this debilitating and life-threatening condition.</w:t>
            </w:r>
          </w:p>
        </w:tc>
      </w:tr>
    </w:tbl>
    <w:p w14:paraId="4081BEC2" w14:textId="77777777" w:rsidR="00640C80" w:rsidRDefault="00640C80" w:rsidP="00640C80">
      <w:pPr>
        <w:tabs>
          <w:tab w:val="left" w:pos="5210"/>
        </w:tabs>
        <w:rPr>
          <w:rFonts w:ascii="Arial" w:hAnsi="Arial" w:cs="Arial"/>
          <w:lang w:val="en-US"/>
        </w:rPr>
      </w:pPr>
    </w:p>
    <w:sectPr w:rsidR="00640C80"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AD0404" w:rsidRDefault="00AD0404">
      <w:r>
        <w:separator/>
      </w:r>
    </w:p>
  </w:endnote>
  <w:endnote w:type="continuationSeparator" w:id="0">
    <w:p w14:paraId="0B94B43F"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0AF2094A"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EE03CF">
      <w:rPr>
        <w:rStyle w:val="PageNumber"/>
        <w:rFonts w:ascii="Arial" w:hAnsi="Arial" w:cs="Arial"/>
        <w:noProof/>
      </w:rPr>
      <w:t>2</w:t>
    </w:r>
    <w:r w:rsidRPr="00287C89">
      <w:rPr>
        <w:rStyle w:val="PageNumber"/>
        <w:rFonts w:ascii="Arial" w:hAnsi="Arial" w:cs="Arial"/>
      </w:rPr>
      <w:fldChar w:fldCharType="end"/>
    </w:r>
  </w:p>
  <w:p w14:paraId="5DEC0542" w14:textId="77777777" w:rsidR="005E1F3B" w:rsidRDefault="005E1F3B" w:rsidP="00FE2A81">
    <w:pPr>
      <w:pStyle w:val="Footer"/>
      <w:ind w:right="360"/>
    </w:pPr>
  </w:p>
  <w:p w14:paraId="429295B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67AA" w14:textId="77777777" w:rsidR="00824394" w:rsidRDefault="0082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AD0404" w:rsidRDefault="00AD0404">
      <w:r>
        <w:separator/>
      </w:r>
    </w:p>
  </w:footnote>
  <w:footnote w:type="continuationSeparator" w:id="0">
    <w:p w14:paraId="7F846E8F"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97BE" w14:textId="77777777" w:rsidR="00824394" w:rsidRDefault="00824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7A53" w14:textId="51A51610" w:rsidR="0071356F" w:rsidRDefault="00214DAE" w:rsidP="0071356F">
    <w:pPr>
      <w:pStyle w:val="Header"/>
      <w:jc w:val="center"/>
      <w:rPr>
        <w:rFonts w:ascii="Arial" w:hAnsi="Arial" w:cs="Arial"/>
        <w:b/>
      </w:rPr>
    </w:pPr>
    <w:r>
      <w:rPr>
        <w:rFonts w:ascii="Arial" w:hAnsi="Arial" w:cs="Arial"/>
        <w:b/>
      </w:rPr>
      <w:t>JULY</w:t>
    </w:r>
    <w:r w:rsidR="00824394">
      <w:rPr>
        <w:rFonts w:ascii="Arial" w:hAnsi="Arial" w:cs="Arial"/>
        <w:b/>
      </w:rPr>
      <w:t xml:space="preserve"> 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14:paraId="0E28AC1B"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DE2B" w14:textId="77777777" w:rsidR="00824394" w:rsidRDefault="00824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2CF5BCC"/>
    <w:multiLevelType w:val="multilevel"/>
    <w:tmpl w:val="DA8CB816"/>
    <w:lvl w:ilvl="0">
      <w:start w:val="1"/>
      <w:numFmt w:val="decimal"/>
      <w:pStyle w:val="2-SectionHeading"/>
      <w:lvlText w:val="%1"/>
      <w:lvlJc w:val="left"/>
      <w:pPr>
        <w:ind w:left="720" w:hanging="720"/>
      </w:pPr>
      <w:rPr>
        <w:rFonts w:hint="default"/>
        <w:b/>
      </w:rPr>
    </w:lvl>
    <w:lvl w:ilvl="1">
      <w:start w:val="1"/>
      <w:numFmt w:val="decimal"/>
      <w:pStyle w:val="ExecSum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3"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28"/>
  </w:num>
  <w:num w:numId="4">
    <w:abstractNumId w:val="21"/>
  </w:num>
  <w:num w:numId="5">
    <w:abstractNumId w:val="11"/>
  </w:num>
  <w:num w:numId="6">
    <w:abstractNumId w:val="6"/>
  </w:num>
  <w:num w:numId="7">
    <w:abstractNumId w:val="3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4"/>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8"/>
  </w:num>
  <w:num w:numId="18">
    <w:abstractNumId w:val="40"/>
  </w:num>
  <w:num w:numId="19">
    <w:abstractNumId w:val="5"/>
  </w:num>
  <w:num w:numId="20">
    <w:abstractNumId w:val="12"/>
  </w:num>
  <w:num w:numId="21">
    <w:abstractNumId w:val="14"/>
  </w:num>
  <w:num w:numId="22">
    <w:abstractNumId w:val="36"/>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9"/>
  </w:num>
  <w:num w:numId="31">
    <w:abstractNumId w:val="15"/>
  </w:num>
  <w:num w:numId="32">
    <w:abstractNumId w:val="32"/>
  </w:num>
  <w:num w:numId="33">
    <w:abstractNumId w:val="37"/>
  </w:num>
  <w:num w:numId="34">
    <w:abstractNumId w:val="35"/>
  </w:num>
  <w:num w:numId="35">
    <w:abstractNumId w:val="3"/>
  </w:num>
  <w:num w:numId="36">
    <w:abstractNumId w:val="33"/>
  </w:num>
  <w:num w:numId="37">
    <w:abstractNumId w:val="2"/>
  </w:num>
  <w:num w:numId="38">
    <w:abstractNumId w:val="16"/>
  </w:num>
  <w:num w:numId="39">
    <w:abstractNumId w:val="1"/>
  </w:num>
  <w:num w:numId="40">
    <w:abstractNumId w:val="27"/>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4F6"/>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455"/>
    <w:rsid w:val="000B1811"/>
    <w:rsid w:val="000B1A6E"/>
    <w:rsid w:val="000B21DD"/>
    <w:rsid w:val="000B2F97"/>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6BE"/>
    <w:rsid w:val="000F2E82"/>
    <w:rsid w:val="000F305F"/>
    <w:rsid w:val="000F3A4F"/>
    <w:rsid w:val="000F3D50"/>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95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D4B"/>
    <w:rsid w:val="00214DAE"/>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698B"/>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C8C"/>
    <w:rsid w:val="002D545A"/>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723"/>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545"/>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3FF3"/>
    <w:rsid w:val="00384485"/>
    <w:rsid w:val="00384833"/>
    <w:rsid w:val="00384B1C"/>
    <w:rsid w:val="00384EA5"/>
    <w:rsid w:val="0038505C"/>
    <w:rsid w:val="00385BBE"/>
    <w:rsid w:val="00385D5C"/>
    <w:rsid w:val="00386843"/>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7572"/>
    <w:rsid w:val="003A074E"/>
    <w:rsid w:val="003A1CFF"/>
    <w:rsid w:val="003A2BB7"/>
    <w:rsid w:val="003A312D"/>
    <w:rsid w:val="003A4AB4"/>
    <w:rsid w:val="003A4C61"/>
    <w:rsid w:val="003A546F"/>
    <w:rsid w:val="003A5524"/>
    <w:rsid w:val="003A565B"/>
    <w:rsid w:val="003A5C29"/>
    <w:rsid w:val="003A5DEB"/>
    <w:rsid w:val="003A5F75"/>
    <w:rsid w:val="003A61D4"/>
    <w:rsid w:val="003A6240"/>
    <w:rsid w:val="003A648B"/>
    <w:rsid w:val="003A6A14"/>
    <w:rsid w:val="003A723C"/>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22"/>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48A"/>
    <w:rsid w:val="00481705"/>
    <w:rsid w:val="00481966"/>
    <w:rsid w:val="00482044"/>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6F5"/>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3BB"/>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5AD3"/>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1984"/>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2EC"/>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6A5"/>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5E8"/>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7118"/>
    <w:rsid w:val="007B01E7"/>
    <w:rsid w:val="007B0810"/>
    <w:rsid w:val="007B104F"/>
    <w:rsid w:val="007B1418"/>
    <w:rsid w:val="007B1C29"/>
    <w:rsid w:val="007B2177"/>
    <w:rsid w:val="007B2FF1"/>
    <w:rsid w:val="007B3247"/>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584"/>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64B3"/>
    <w:rsid w:val="008A7E3B"/>
    <w:rsid w:val="008B0364"/>
    <w:rsid w:val="008B0379"/>
    <w:rsid w:val="008B0D70"/>
    <w:rsid w:val="008B0EA7"/>
    <w:rsid w:val="008B18C5"/>
    <w:rsid w:val="008B480A"/>
    <w:rsid w:val="008B4F76"/>
    <w:rsid w:val="008B58D9"/>
    <w:rsid w:val="008B64DC"/>
    <w:rsid w:val="008B6AFD"/>
    <w:rsid w:val="008B70D9"/>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47B1C"/>
    <w:rsid w:val="009510F9"/>
    <w:rsid w:val="009516DD"/>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228"/>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5F21"/>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22"/>
    <w:rsid w:val="00B74D56"/>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5D10"/>
    <w:rsid w:val="00BB5F54"/>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A2C"/>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C4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052"/>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35AD"/>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62CD"/>
    <w:rsid w:val="00CC6C6A"/>
    <w:rsid w:val="00CC7881"/>
    <w:rsid w:val="00CC7971"/>
    <w:rsid w:val="00CD0422"/>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0B5"/>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6B02"/>
    <w:rsid w:val="00D37093"/>
    <w:rsid w:val="00D40425"/>
    <w:rsid w:val="00D40BC3"/>
    <w:rsid w:val="00D40D6B"/>
    <w:rsid w:val="00D4129E"/>
    <w:rsid w:val="00D418A3"/>
    <w:rsid w:val="00D41AB6"/>
    <w:rsid w:val="00D42946"/>
    <w:rsid w:val="00D43984"/>
    <w:rsid w:val="00D4459D"/>
    <w:rsid w:val="00D45A14"/>
    <w:rsid w:val="00D46270"/>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3A66"/>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699"/>
    <w:rsid w:val="00E31B79"/>
    <w:rsid w:val="00E32715"/>
    <w:rsid w:val="00E32D36"/>
    <w:rsid w:val="00E334B8"/>
    <w:rsid w:val="00E33C3F"/>
    <w:rsid w:val="00E3511E"/>
    <w:rsid w:val="00E36F8A"/>
    <w:rsid w:val="00E37A6A"/>
    <w:rsid w:val="00E37CC3"/>
    <w:rsid w:val="00E40479"/>
    <w:rsid w:val="00E40FB5"/>
    <w:rsid w:val="00E41884"/>
    <w:rsid w:val="00E4192C"/>
    <w:rsid w:val="00E41DF6"/>
    <w:rsid w:val="00E420CB"/>
    <w:rsid w:val="00E42FB9"/>
    <w:rsid w:val="00E44A52"/>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C40"/>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3CF"/>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88E"/>
    <w:rsid w:val="00F05AB5"/>
    <w:rsid w:val="00F05BC9"/>
    <w:rsid w:val="00F0608B"/>
    <w:rsid w:val="00F0659C"/>
    <w:rsid w:val="00F06776"/>
    <w:rsid w:val="00F06CDD"/>
    <w:rsid w:val="00F06D5D"/>
    <w:rsid w:val="00F10A31"/>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6FA4"/>
    <w:rsid w:val="00F17267"/>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2DC"/>
    <w:rsid w:val="00F5253A"/>
    <w:rsid w:val="00F5325B"/>
    <w:rsid w:val="00F53AF0"/>
    <w:rsid w:val="00F54D92"/>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character" w:customStyle="1" w:styleId="CommentTextChar">
    <w:name w:val="Comment Text Char"/>
    <w:basedOn w:val="DefaultParagraphFont"/>
    <w:link w:val="CommentText"/>
    <w:rsid w:val="00377360"/>
  </w:style>
  <w:style w:type="paragraph" w:customStyle="1" w:styleId="2-SectionHeading">
    <w:name w:val="2-Section Heading"/>
    <w:qFormat/>
    <w:rsid w:val="000614F6"/>
    <w:pPr>
      <w:keepNext/>
      <w:numPr>
        <w:numId w:val="40"/>
      </w:numPr>
      <w:spacing w:before="240" w:after="1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qFormat/>
    <w:rsid w:val="000614F6"/>
    <w:pPr>
      <w:numPr>
        <w:ilvl w:val="1"/>
        <w:numId w:val="40"/>
      </w:numPr>
      <w:spacing w:after="120"/>
      <w:jc w:val="both"/>
    </w:pPr>
    <w:rPr>
      <w:rFonts w:asciiTheme="minorHAnsi" w:hAnsiTheme="minorHAnsi" w:cs="Arial"/>
      <w:snapToGrid w:val="0"/>
      <w:sz w:val="24"/>
      <w:szCs w:val="24"/>
    </w:rPr>
  </w:style>
  <w:style w:type="character" w:customStyle="1" w:styleId="ExecSumBodyTextChar">
    <w:name w:val="Exec Sum Body Text Char"/>
    <w:basedOn w:val="DefaultParagraphFont"/>
    <w:link w:val="ExecSumBodyText"/>
    <w:rsid w:val="000614F6"/>
    <w:rPr>
      <w:rFonts w:asciiTheme="minorHAnsi" w:hAnsiTheme="minorHAnsi" w:cs="Arial"/>
      <w:snapToGrid w:val="0"/>
      <w:sz w:val="24"/>
      <w:szCs w:val="24"/>
    </w:rPr>
  </w:style>
  <w:style w:type="paragraph" w:customStyle="1" w:styleId="3-BodyText">
    <w:name w:val="3-Body Text"/>
    <w:basedOn w:val="ListParagraph"/>
    <w:link w:val="3-BodyTextChar"/>
    <w:qFormat/>
    <w:rsid w:val="000614F6"/>
    <w:pPr>
      <w:spacing w:after="120"/>
      <w:ind w:hanging="720"/>
      <w:contextualSpacing w:val="0"/>
      <w:jc w:val="both"/>
    </w:pPr>
    <w:rPr>
      <w:rFonts w:asciiTheme="minorHAnsi" w:eastAsia="Times New Roman" w:hAnsiTheme="minorHAnsi" w:cs="Arial"/>
      <w:snapToGrid w:val="0"/>
    </w:rPr>
  </w:style>
  <w:style w:type="character" w:customStyle="1" w:styleId="3-BodyTextChar">
    <w:name w:val="3-Body Text Char"/>
    <w:basedOn w:val="DefaultParagraphFont"/>
    <w:link w:val="3-BodyText"/>
    <w:rsid w:val="000614F6"/>
    <w:rPr>
      <w:rFonts w:asciiTheme="minorHAnsi" w:hAnsiTheme="minorHAnsi" w:cs="Arial"/>
      <w:snapToGrid w:val="0"/>
      <w:sz w:val="24"/>
      <w:szCs w:val="24"/>
    </w:rPr>
  </w:style>
  <w:style w:type="paragraph" w:styleId="NoSpacing">
    <w:name w:val="No Spacing"/>
    <w:uiPriority w:val="1"/>
    <w:qFormat/>
    <w:rsid w:val="00D4627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00614427">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5829966">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204877392">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283999061">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5380441">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57140074">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412956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498353476">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22133941">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57404395">
      <w:bodyDiv w:val="1"/>
      <w:marLeft w:val="0"/>
      <w:marRight w:val="0"/>
      <w:marTop w:val="0"/>
      <w:marBottom w:val="0"/>
      <w:divBdr>
        <w:top w:val="none" w:sz="0" w:space="0" w:color="auto"/>
        <w:left w:val="none" w:sz="0" w:space="0" w:color="auto"/>
        <w:bottom w:val="none" w:sz="0" w:space="0" w:color="auto"/>
        <w:right w:val="none" w:sz="0" w:space="0" w:color="auto"/>
      </w:divBdr>
    </w:div>
    <w:div w:id="771359341">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19542881">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119191">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6912295">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76438802">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2089617">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54048722">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89111702">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4029451">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6069021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3555132">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772817469">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665052">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55596043">
      <w:bodyDiv w:val="1"/>
      <w:marLeft w:val="0"/>
      <w:marRight w:val="0"/>
      <w:marTop w:val="0"/>
      <w:marBottom w:val="0"/>
      <w:divBdr>
        <w:top w:val="none" w:sz="0" w:space="0" w:color="auto"/>
        <w:left w:val="none" w:sz="0" w:space="0" w:color="auto"/>
        <w:bottom w:val="none" w:sz="0" w:space="0" w:color="auto"/>
        <w:right w:val="none" w:sz="0" w:space="0" w:color="auto"/>
      </w:divBdr>
    </w:div>
    <w:div w:id="1968733183">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8682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1FFE8-109B-49E6-8307-4111FC66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1125</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2020-08-03T03:02:00Z</dcterms:created>
  <dcterms:modified xsi:type="dcterms:W3CDTF">2020-10-12T20:52:00Z</dcterms:modified>
</cp:coreProperties>
</file>