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2401"/>
        <w:gridCol w:w="2702"/>
        <w:gridCol w:w="6604"/>
      </w:tblGrid>
      <w:tr w:rsidR="006452A2" w:rsidRPr="006B5404" w14:paraId="15DB5D79" w14:textId="77777777" w:rsidTr="00891EAA">
        <w:trPr>
          <w:cantSplit/>
          <w:tblHeader/>
        </w:trPr>
        <w:tc>
          <w:tcPr>
            <w:tcW w:w="3681" w:type="dxa"/>
            <w:tcMar>
              <w:top w:w="28" w:type="dxa"/>
              <w:bottom w:w="28" w:type="dxa"/>
            </w:tcMar>
          </w:tcPr>
          <w:p w14:paraId="5F09DE58" w14:textId="66CF2A37" w:rsidR="006452A2" w:rsidRPr="006B5404" w:rsidRDefault="006452A2" w:rsidP="006452A2">
            <w:pPr>
              <w:widowControl w:val="0"/>
              <w:jc w:val="center"/>
              <w:rPr>
                <w:rFonts w:ascii="Arial" w:hAnsi="Arial" w:cs="Arial"/>
                <w:b/>
              </w:rPr>
            </w:pPr>
            <w:r w:rsidRPr="00EB30E8">
              <w:rPr>
                <w:rFonts w:ascii="Arial" w:hAnsi="Arial" w:cs="Arial"/>
                <w:b/>
                <w:bCs/>
                <w:color w:val="000000"/>
              </w:rPr>
              <w:t>DRUG, SPONSOR, TYPE OF SUBMISSION</w:t>
            </w:r>
          </w:p>
        </w:tc>
        <w:tc>
          <w:tcPr>
            <w:tcW w:w="2401" w:type="dxa"/>
            <w:tcMar>
              <w:top w:w="28" w:type="dxa"/>
              <w:bottom w:w="28" w:type="dxa"/>
            </w:tcMar>
          </w:tcPr>
          <w:p w14:paraId="5F0BE240" w14:textId="3493697B" w:rsidR="006452A2" w:rsidRPr="006B5404" w:rsidRDefault="006452A2" w:rsidP="006452A2">
            <w:pPr>
              <w:widowControl w:val="0"/>
              <w:jc w:val="center"/>
              <w:rPr>
                <w:rFonts w:ascii="Arial" w:hAnsi="Arial" w:cs="Arial"/>
                <w:b/>
                <w:i/>
                <w:snapToGrid w:val="0"/>
                <w:lang w:eastAsia="en-US"/>
              </w:rPr>
            </w:pPr>
            <w:r w:rsidRPr="00EB30E8">
              <w:rPr>
                <w:rFonts w:ascii="Arial" w:hAnsi="Arial" w:cs="Arial"/>
                <w:b/>
                <w:bCs/>
                <w:color w:val="000000"/>
              </w:rPr>
              <w:t>DRUG TYPE OR USE</w:t>
            </w:r>
          </w:p>
        </w:tc>
        <w:tc>
          <w:tcPr>
            <w:tcW w:w="2702" w:type="dxa"/>
            <w:tcMar>
              <w:top w:w="28" w:type="dxa"/>
              <w:bottom w:w="28" w:type="dxa"/>
            </w:tcMar>
          </w:tcPr>
          <w:p w14:paraId="65F3986D" w14:textId="0C008FE9" w:rsidR="006452A2" w:rsidRPr="006B5404" w:rsidRDefault="006452A2" w:rsidP="006452A2">
            <w:pPr>
              <w:widowControl w:val="0"/>
              <w:jc w:val="center"/>
              <w:rPr>
                <w:rFonts w:ascii="Arial" w:hAnsi="Arial" w:cs="Arial"/>
                <w:i/>
                <w:snapToGrid w:val="0"/>
                <w:lang w:eastAsia="en-US"/>
              </w:rPr>
            </w:pPr>
            <w:r w:rsidRPr="00EB30E8">
              <w:rPr>
                <w:rFonts w:ascii="Arial" w:hAnsi="Arial" w:cs="Arial"/>
                <w:b/>
                <w:bCs/>
                <w:color w:val="000000"/>
              </w:rPr>
              <w:t>LISTING REQUESTED BY SPONSOR / PURPOSE OF SUBMISSION</w:t>
            </w:r>
          </w:p>
        </w:tc>
        <w:tc>
          <w:tcPr>
            <w:tcW w:w="6604" w:type="dxa"/>
          </w:tcPr>
          <w:p w14:paraId="4D2B6C02" w14:textId="1253F544" w:rsidR="006452A2" w:rsidRPr="006B5404" w:rsidRDefault="006452A2" w:rsidP="006452A2">
            <w:pPr>
              <w:widowControl w:val="0"/>
              <w:jc w:val="center"/>
              <w:rPr>
                <w:rFonts w:ascii="Arial" w:hAnsi="Arial" w:cs="Arial"/>
                <w:b/>
                <w:snapToGrid w:val="0"/>
                <w:lang w:eastAsia="en-US"/>
              </w:rPr>
            </w:pPr>
            <w:r>
              <w:rPr>
                <w:rFonts w:ascii="Arial" w:hAnsi="Arial" w:cs="Arial"/>
                <w:b/>
                <w:bCs/>
                <w:color w:val="000000"/>
              </w:rPr>
              <w:t>PBAC OUTCOME</w:t>
            </w:r>
          </w:p>
        </w:tc>
      </w:tr>
      <w:tr w:rsidR="00380821" w:rsidRPr="006B5404" w14:paraId="1761437B" w14:textId="77777777" w:rsidTr="00891EAA">
        <w:trPr>
          <w:cantSplit/>
          <w:trHeight w:val="430"/>
        </w:trPr>
        <w:tc>
          <w:tcPr>
            <w:tcW w:w="3681"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AC834F4" w14:textId="2C9F75D3" w:rsidR="00380821" w:rsidRPr="006B5404" w:rsidRDefault="00380821" w:rsidP="00380821">
            <w:pPr>
              <w:rPr>
                <w:rFonts w:ascii="Arial" w:hAnsi="Arial" w:cs="Arial"/>
              </w:rPr>
            </w:pPr>
            <w:r w:rsidRPr="006B5404">
              <w:rPr>
                <w:rFonts w:ascii="Arial" w:hAnsi="Arial" w:cs="Arial"/>
                <w:color w:val="000000"/>
              </w:rPr>
              <w:t>ADALIMUMAB</w:t>
            </w:r>
            <w:r w:rsidRPr="006B5404">
              <w:rPr>
                <w:rFonts w:ascii="Arial" w:hAnsi="Arial" w:cs="Arial"/>
                <w:color w:val="000000"/>
              </w:rPr>
              <w:br/>
            </w:r>
            <w:r w:rsidRPr="006B5404">
              <w:rPr>
                <w:rFonts w:ascii="Arial" w:hAnsi="Arial" w:cs="Arial"/>
                <w:color w:val="000000"/>
              </w:rPr>
              <w:br/>
              <w:t>Injection 40 mg in 0.8 mL pre-filled syringe</w:t>
            </w:r>
            <w:r w:rsidRPr="006B5404">
              <w:rPr>
                <w:rFonts w:ascii="Arial" w:hAnsi="Arial" w:cs="Arial"/>
                <w:color w:val="000000"/>
              </w:rPr>
              <w:br/>
              <w:t xml:space="preserve">Injection 40 mg in 0.8 mL single dose </w:t>
            </w:r>
            <w:proofErr w:type="spellStart"/>
            <w:r w:rsidRPr="006B5404">
              <w:rPr>
                <w:rFonts w:ascii="Arial" w:hAnsi="Arial" w:cs="Arial"/>
                <w:color w:val="000000"/>
              </w:rPr>
              <w:t>autoinjector</w:t>
            </w:r>
            <w:proofErr w:type="spellEnd"/>
            <w:r w:rsidRPr="006B5404">
              <w:rPr>
                <w:rFonts w:ascii="Arial" w:hAnsi="Arial" w:cs="Arial"/>
                <w:color w:val="000000"/>
              </w:rPr>
              <w:br/>
            </w:r>
            <w:r w:rsidRPr="006B5404">
              <w:rPr>
                <w:rFonts w:ascii="Arial" w:hAnsi="Arial" w:cs="Arial"/>
                <w:color w:val="000000"/>
              </w:rPr>
              <w:br/>
            </w:r>
            <w:proofErr w:type="spellStart"/>
            <w:r w:rsidRPr="006B5404">
              <w:rPr>
                <w:rFonts w:ascii="Arial" w:hAnsi="Arial" w:cs="Arial"/>
                <w:color w:val="000000"/>
              </w:rPr>
              <w:t>H</w:t>
            </w:r>
            <w:r w:rsidR="00891EAA">
              <w:rPr>
                <w:rFonts w:ascii="Arial" w:hAnsi="Arial" w:cs="Arial"/>
                <w:color w:val="000000"/>
              </w:rPr>
              <w:t>adlim</w:t>
            </w:r>
            <w:r w:rsidR="00563854">
              <w:rPr>
                <w:rFonts w:ascii="Arial" w:hAnsi="Arial" w:cs="Arial"/>
                <w:color w:val="000000"/>
              </w:rPr>
              <w:t>a</w:t>
            </w:r>
            <w:proofErr w:type="spellEnd"/>
            <w:r w:rsidR="00563854">
              <w:rPr>
                <w:rFonts w:ascii="Arial" w:hAnsi="Arial" w:cs="Arial"/>
                <w:color w:val="000000"/>
              </w:rPr>
              <w:t>®</w:t>
            </w:r>
            <w:r w:rsidRPr="006B5404">
              <w:rPr>
                <w:rFonts w:ascii="Arial" w:hAnsi="Arial" w:cs="Arial"/>
                <w:color w:val="000000"/>
              </w:rPr>
              <w:br/>
            </w:r>
            <w:r w:rsidRPr="006B5404">
              <w:rPr>
                <w:rFonts w:ascii="Arial" w:hAnsi="Arial" w:cs="Arial"/>
                <w:color w:val="000000"/>
              </w:rPr>
              <w:br/>
              <w:t xml:space="preserve">Merck, Sharp &amp; </w:t>
            </w:r>
            <w:proofErr w:type="spellStart"/>
            <w:r w:rsidRPr="006B5404">
              <w:rPr>
                <w:rFonts w:ascii="Arial" w:hAnsi="Arial" w:cs="Arial"/>
                <w:color w:val="000000"/>
              </w:rPr>
              <w:t>Dohme</w:t>
            </w:r>
            <w:proofErr w:type="spellEnd"/>
            <w:r w:rsidRPr="006B5404">
              <w:rPr>
                <w:rFonts w:ascii="Arial" w:hAnsi="Arial" w:cs="Arial"/>
                <w:color w:val="000000"/>
              </w:rPr>
              <w:t xml:space="preserve"> (Australia) Pty Ltd</w:t>
            </w:r>
            <w:r w:rsidRPr="006B5404">
              <w:rPr>
                <w:rFonts w:ascii="Arial" w:hAnsi="Arial" w:cs="Arial"/>
                <w:color w:val="000000"/>
              </w:rPr>
              <w:br/>
            </w:r>
            <w:r w:rsidRPr="006B5404">
              <w:rPr>
                <w:rFonts w:ascii="Arial" w:hAnsi="Arial" w:cs="Arial"/>
                <w:color w:val="000000"/>
              </w:rPr>
              <w:br/>
              <w:t>Change t</w:t>
            </w:r>
            <w:r w:rsidR="00E16F30">
              <w:rPr>
                <w:rFonts w:ascii="Arial" w:hAnsi="Arial" w:cs="Arial"/>
                <w:color w:val="000000"/>
              </w:rPr>
              <w:t>o listing</w:t>
            </w:r>
            <w:r w:rsidR="00E16F30">
              <w:rPr>
                <w:rFonts w:ascii="Arial" w:hAnsi="Arial" w:cs="Arial"/>
                <w:color w:val="000000"/>
              </w:rPr>
              <w:br/>
              <w:t>(Minor</w:t>
            </w:r>
            <w:r w:rsidRPr="006B5404">
              <w:rPr>
                <w:rFonts w:ascii="Arial" w:hAnsi="Arial" w:cs="Arial"/>
                <w:color w:val="000000"/>
              </w:rPr>
              <w:t xml:space="preserve"> Submission)</w:t>
            </w:r>
          </w:p>
        </w:tc>
        <w:tc>
          <w:tcPr>
            <w:tcW w:w="2401"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080E8341" w14:textId="664AF23B" w:rsidR="00EF43A2" w:rsidRDefault="00DB09DA" w:rsidP="00380821">
            <w:pPr>
              <w:rPr>
                <w:rFonts w:ascii="Arial" w:hAnsi="Arial" w:cs="Arial"/>
                <w:color w:val="000000"/>
              </w:rPr>
            </w:pPr>
            <w:r w:rsidRPr="00F609F4">
              <w:rPr>
                <w:rFonts w:ascii="Arial" w:hAnsi="Arial" w:cs="Arial"/>
                <w:color w:val="000000"/>
              </w:rPr>
              <w:t>Sev</w:t>
            </w:r>
            <w:r w:rsidR="009634D8">
              <w:rPr>
                <w:rFonts w:ascii="Arial" w:hAnsi="Arial" w:cs="Arial"/>
                <w:color w:val="000000"/>
              </w:rPr>
              <w:t>ere active rheumatoid arthritis Severe psoriatic arthritis</w:t>
            </w:r>
            <w:r w:rsidRPr="00F609F4">
              <w:rPr>
                <w:rFonts w:ascii="Arial" w:hAnsi="Arial" w:cs="Arial"/>
                <w:color w:val="000000"/>
              </w:rPr>
              <w:t xml:space="preserve"> </w:t>
            </w:r>
          </w:p>
          <w:p w14:paraId="7B18D2DD" w14:textId="367393FC" w:rsidR="00EF43A2" w:rsidRDefault="009634D8" w:rsidP="00380821">
            <w:pPr>
              <w:rPr>
                <w:rFonts w:ascii="Arial" w:hAnsi="Arial" w:cs="Arial"/>
                <w:color w:val="000000"/>
              </w:rPr>
            </w:pPr>
            <w:r>
              <w:rPr>
                <w:rFonts w:ascii="Arial" w:hAnsi="Arial" w:cs="Arial"/>
                <w:color w:val="000000"/>
              </w:rPr>
              <w:t>Ankylosing spondylitis</w:t>
            </w:r>
            <w:r w:rsidR="00DB09DA" w:rsidRPr="00F609F4">
              <w:rPr>
                <w:rFonts w:ascii="Arial" w:hAnsi="Arial" w:cs="Arial"/>
                <w:color w:val="000000"/>
              </w:rPr>
              <w:t xml:space="preserve"> Severe chronic plaque </w:t>
            </w:r>
            <w:r>
              <w:rPr>
                <w:rFonts w:ascii="Arial" w:hAnsi="Arial" w:cs="Arial"/>
                <w:color w:val="000000"/>
              </w:rPr>
              <w:t>psoriasis</w:t>
            </w:r>
          </w:p>
          <w:p w14:paraId="798F4AF7" w14:textId="3A8C2DF1" w:rsidR="00EF43A2" w:rsidRDefault="009634D8" w:rsidP="00380821">
            <w:pPr>
              <w:rPr>
                <w:rFonts w:ascii="Arial" w:hAnsi="Arial" w:cs="Arial"/>
                <w:color w:val="000000"/>
              </w:rPr>
            </w:pPr>
            <w:r>
              <w:rPr>
                <w:rFonts w:ascii="Arial" w:hAnsi="Arial" w:cs="Arial"/>
                <w:color w:val="000000"/>
              </w:rPr>
              <w:t>Juvenile idiopathic arthritis</w:t>
            </w:r>
            <w:r w:rsidR="00DB09DA" w:rsidRPr="00F609F4">
              <w:rPr>
                <w:rFonts w:ascii="Arial" w:hAnsi="Arial" w:cs="Arial"/>
                <w:color w:val="000000"/>
              </w:rPr>
              <w:t xml:space="preserve"> </w:t>
            </w:r>
          </w:p>
          <w:p w14:paraId="7DA440FD" w14:textId="2D76A661" w:rsidR="00380821" w:rsidRPr="006B5404" w:rsidRDefault="00DB09DA" w:rsidP="001904F5">
            <w:pPr>
              <w:rPr>
                <w:rFonts w:ascii="Arial" w:hAnsi="Arial" w:cs="Arial"/>
                <w:color w:val="000000"/>
              </w:rPr>
            </w:pPr>
            <w:r w:rsidRPr="00F609F4">
              <w:rPr>
                <w:rFonts w:ascii="Arial" w:hAnsi="Arial" w:cs="Arial"/>
                <w:color w:val="000000"/>
              </w:rPr>
              <w:t xml:space="preserve">Severe </w:t>
            </w:r>
            <w:r w:rsidR="001904F5">
              <w:rPr>
                <w:rFonts w:ascii="Arial" w:hAnsi="Arial" w:cs="Arial"/>
                <w:color w:val="000000"/>
              </w:rPr>
              <w:t>C</w:t>
            </w:r>
            <w:r w:rsidRPr="00F609F4">
              <w:rPr>
                <w:rFonts w:ascii="Arial" w:hAnsi="Arial" w:cs="Arial"/>
                <w:color w:val="000000"/>
              </w:rPr>
              <w:t>rohn</w:t>
            </w:r>
            <w:r>
              <w:rPr>
                <w:rFonts w:ascii="Arial" w:hAnsi="Arial" w:cs="Arial"/>
                <w:color w:val="000000"/>
              </w:rPr>
              <w:t>’s</w:t>
            </w:r>
            <w:r w:rsidR="009634D8">
              <w:rPr>
                <w:rFonts w:ascii="Arial" w:hAnsi="Arial" w:cs="Arial"/>
                <w:color w:val="000000"/>
              </w:rPr>
              <w:t xml:space="preserve"> disease</w:t>
            </w:r>
            <w:r w:rsidRPr="00F609F4">
              <w:rPr>
                <w:rFonts w:ascii="Arial" w:hAnsi="Arial" w:cs="Arial"/>
                <w:color w:val="000000"/>
              </w:rPr>
              <w:t xml:space="preserve"> Refractory fistulising </w:t>
            </w:r>
            <w:r w:rsidR="001904F5">
              <w:rPr>
                <w:rFonts w:ascii="Arial" w:hAnsi="Arial" w:cs="Arial"/>
                <w:color w:val="000000"/>
              </w:rPr>
              <w:t>C</w:t>
            </w:r>
            <w:r w:rsidRPr="00F609F4">
              <w:rPr>
                <w:rFonts w:ascii="Arial" w:hAnsi="Arial" w:cs="Arial"/>
                <w:color w:val="000000"/>
              </w:rPr>
              <w:t>rohn</w:t>
            </w:r>
            <w:r w:rsidR="009634D8">
              <w:rPr>
                <w:rFonts w:ascii="Arial" w:hAnsi="Arial" w:cs="Arial"/>
                <w:color w:val="000000"/>
              </w:rPr>
              <w:t>’s disease</w:t>
            </w:r>
            <w:r w:rsidR="009634D8">
              <w:rPr>
                <w:rFonts w:ascii="Arial" w:hAnsi="Arial" w:cs="Arial"/>
                <w:color w:val="000000"/>
              </w:rPr>
              <w:br/>
            </w:r>
            <w:r>
              <w:rPr>
                <w:rFonts w:ascii="Arial" w:hAnsi="Arial" w:cs="Arial"/>
                <w:color w:val="000000"/>
              </w:rPr>
              <w:t>M</w:t>
            </w:r>
            <w:r w:rsidRPr="00F609F4">
              <w:rPr>
                <w:rFonts w:ascii="Arial" w:hAnsi="Arial" w:cs="Arial"/>
                <w:color w:val="000000"/>
              </w:rPr>
              <w:t xml:space="preserve">oderate to severe hidradenitis </w:t>
            </w:r>
            <w:proofErr w:type="spellStart"/>
            <w:r w:rsidRPr="00F609F4">
              <w:rPr>
                <w:rFonts w:ascii="Arial" w:hAnsi="Arial" w:cs="Arial"/>
                <w:color w:val="000000"/>
              </w:rPr>
              <w:t>suppurativa</w:t>
            </w:r>
            <w:proofErr w:type="spellEnd"/>
          </w:p>
        </w:tc>
        <w:tc>
          <w:tcPr>
            <w:tcW w:w="2702"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215E2DA3" w14:textId="169E2F62" w:rsidR="00380821" w:rsidRPr="006B5404" w:rsidRDefault="00DB09DA" w:rsidP="00891EAA">
            <w:pPr>
              <w:rPr>
                <w:rFonts w:ascii="Arial" w:hAnsi="Arial" w:cs="Arial"/>
              </w:rPr>
            </w:pPr>
            <w:r>
              <w:rPr>
                <w:rFonts w:ascii="Arial" w:hAnsi="Arial" w:cs="Arial"/>
                <w:color w:val="000000"/>
              </w:rPr>
              <w:t xml:space="preserve">To request an extension to the currently </w:t>
            </w:r>
            <w:r w:rsidR="00563854">
              <w:rPr>
                <w:rFonts w:ascii="Arial" w:hAnsi="Arial" w:cs="Arial"/>
                <w:color w:val="000000"/>
              </w:rPr>
              <w:t xml:space="preserve">approved PBS listing of </w:t>
            </w:r>
            <w:proofErr w:type="spellStart"/>
            <w:r w:rsidR="00563854">
              <w:rPr>
                <w:rFonts w:ascii="Arial" w:hAnsi="Arial" w:cs="Arial"/>
                <w:color w:val="000000"/>
              </w:rPr>
              <w:t>Hadlima</w:t>
            </w:r>
            <w:proofErr w:type="spellEnd"/>
            <w:r w:rsidR="00563854">
              <w:rPr>
                <w:rFonts w:ascii="Arial" w:hAnsi="Arial" w:cs="Arial"/>
                <w:color w:val="000000"/>
              </w:rPr>
              <w:t>®</w:t>
            </w:r>
            <w:r>
              <w:rPr>
                <w:rFonts w:ascii="Arial" w:hAnsi="Arial" w:cs="Arial"/>
                <w:color w:val="000000"/>
              </w:rPr>
              <w:t xml:space="preserve"> to include all indications for which </w:t>
            </w:r>
            <w:proofErr w:type="spellStart"/>
            <w:r>
              <w:rPr>
                <w:rFonts w:ascii="Arial" w:hAnsi="Arial" w:cs="Arial"/>
                <w:color w:val="000000"/>
              </w:rPr>
              <w:t>Humira</w:t>
            </w:r>
            <w:proofErr w:type="spellEnd"/>
            <w:r>
              <w:rPr>
                <w:rFonts w:ascii="Arial" w:hAnsi="Arial" w:cs="Arial"/>
                <w:color w:val="000000"/>
              </w:rPr>
              <w:t>® is currently PBS listed.</w:t>
            </w:r>
          </w:p>
        </w:tc>
        <w:tc>
          <w:tcPr>
            <w:tcW w:w="6604" w:type="dxa"/>
            <w:tcBorders>
              <w:top w:val="single" w:sz="4" w:space="0" w:color="auto"/>
              <w:left w:val="single" w:sz="4" w:space="0" w:color="auto"/>
              <w:bottom w:val="single" w:sz="4" w:space="0" w:color="auto"/>
              <w:right w:val="single" w:sz="4" w:space="0" w:color="auto"/>
            </w:tcBorders>
            <w:shd w:val="clear" w:color="auto" w:fill="auto"/>
          </w:tcPr>
          <w:p w14:paraId="4971373F" w14:textId="03424C28" w:rsidR="00380821" w:rsidRPr="006B5404" w:rsidRDefault="00380821" w:rsidP="00380821">
            <w:pPr>
              <w:widowControl w:val="0"/>
              <w:spacing w:after="120"/>
              <w:rPr>
                <w:rFonts w:ascii="Arial" w:hAnsi="Arial" w:cs="Arial"/>
              </w:rPr>
            </w:pPr>
            <w:r w:rsidRPr="006B5404">
              <w:rPr>
                <w:rFonts w:ascii="Arial" w:hAnsi="Arial" w:cs="Arial"/>
                <w:color w:val="000000"/>
              </w:rPr>
              <w:t xml:space="preserve">The PBAC recommended extending the recommendation for the </w:t>
            </w:r>
            <w:proofErr w:type="spellStart"/>
            <w:r w:rsidRPr="006B5404">
              <w:rPr>
                <w:rFonts w:ascii="Arial" w:hAnsi="Arial" w:cs="Arial"/>
                <w:color w:val="000000"/>
              </w:rPr>
              <w:t>Hadlima</w:t>
            </w:r>
            <w:proofErr w:type="spellEnd"/>
            <w:r w:rsidR="00563854">
              <w:rPr>
                <w:rFonts w:ascii="Arial" w:hAnsi="Arial" w:cs="Arial"/>
                <w:color w:val="000000"/>
              </w:rPr>
              <w:t>®</w:t>
            </w:r>
            <w:r w:rsidRPr="006B5404">
              <w:rPr>
                <w:rFonts w:ascii="Arial" w:hAnsi="Arial" w:cs="Arial"/>
                <w:color w:val="000000"/>
              </w:rPr>
              <w:t xml:space="preserve"> brand of </w:t>
            </w:r>
            <w:proofErr w:type="spellStart"/>
            <w:r w:rsidRPr="006B5404">
              <w:rPr>
                <w:rFonts w:ascii="Arial" w:hAnsi="Arial" w:cs="Arial"/>
                <w:color w:val="000000"/>
              </w:rPr>
              <w:t>adalimumab</w:t>
            </w:r>
            <w:proofErr w:type="spellEnd"/>
            <w:r w:rsidRPr="006B5404">
              <w:rPr>
                <w:rFonts w:ascii="Arial" w:hAnsi="Arial" w:cs="Arial"/>
                <w:color w:val="000000"/>
              </w:rPr>
              <w:t xml:space="preserve"> (as a biosimilar of the </w:t>
            </w:r>
            <w:proofErr w:type="spellStart"/>
            <w:r w:rsidRPr="006B5404">
              <w:rPr>
                <w:rFonts w:ascii="Arial" w:hAnsi="Arial" w:cs="Arial"/>
                <w:color w:val="000000"/>
              </w:rPr>
              <w:t>Humira</w:t>
            </w:r>
            <w:proofErr w:type="spellEnd"/>
            <w:r w:rsidR="00563854">
              <w:rPr>
                <w:rFonts w:ascii="Arial" w:hAnsi="Arial" w:cs="Arial"/>
                <w:color w:val="000000"/>
              </w:rPr>
              <w:t>®</w:t>
            </w:r>
            <w:r w:rsidRPr="00F52F22">
              <w:rPr>
                <w:rFonts w:ascii="Arial" w:hAnsi="Arial" w:cs="Arial"/>
                <w:color w:val="000000"/>
                <w:vertAlign w:val="superscript"/>
              </w:rPr>
              <w:t xml:space="preserve"> </w:t>
            </w:r>
            <w:r w:rsidRPr="006B5404">
              <w:rPr>
                <w:rFonts w:ascii="Arial" w:hAnsi="Arial" w:cs="Arial"/>
                <w:color w:val="000000"/>
              </w:rPr>
              <w:t>reference biologic) for the remaining indi</w:t>
            </w:r>
            <w:r w:rsidR="00DB09DA">
              <w:rPr>
                <w:rFonts w:ascii="Arial" w:hAnsi="Arial" w:cs="Arial"/>
                <w:color w:val="000000"/>
              </w:rPr>
              <w:t xml:space="preserve">cations for which </w:t>
            </w:r>
            <w:proofErr w:type="spellStart"/>
            <w:r w:rsidR="00DB09DA">
              <w:rPr>
                <w:rFonts w:ascii="Arial" w:hAnsi="Arial" w:cs="Arial"/>
                <w:color w:val="000000"/>
              </w:rPr>
              <w:t>Humira</w:t>
            </w:r>
            <w:proofErr w:type="spellEnd"/>
            <w:proofErr w:type="gramStart"/>
            <w:r w:rsidR="001904F5">
              <w:rPr>
                <w:rFonts w:ascii="Arial" w:hAnsi="Arial" w:cs="Arial"/>
                <w:color w:val="000000"/>
              </w:rPr>
              <w:t>®</w:t>
            </w:r>
            <w:r w:rsidR="001904F5" w:rsidRPr="00F52F22">
              <w:rPr>
                <w:rFonts w:ascii="Arial" w:hAnsi="Arial" w:cs="Arial"/>
                <w:color w:val="000000"/>
                <w:vertAlign w:val="superscript"/>
              </w:rPr>
              <w:t xml:space="preserve"> </w:t>
            </w:r>
            <w:r w:rsidR="00DB09DA">
              <w:rPr>
                <w:rFonts w:ascii="Arial" w:hAnsi="Arial" w:cs="Arial"/>
                <w:color w:val="000000"/>
              </w:rPr>
              <w:t xml:space="preserve"> is</w:t>
            </w:r>
            <w:proofErr w:type="gramEnd"/>
            <w:r w:rsidR="00DB09DA">
              <w:rPr>
                <w:rFonts w:ascii="Arial" w:hAnsi="Arial" w:cs="Arial"/>
                <w:color w:val="000000"/>
              </w:rPr>
              <w:t xml:space="preserve"> PBS </w:t>
            </w:r>
            <w:r w:rsidRPr="006B5404">
              <w:rPr>
                <w:rFonts w:ascii="Arial" w:hAnsi="Arial" w:cs="Arial"/>
                <w:color w:val="000000"/>
              </w:rPr>
              <w:t>listed. The PBAC advised that the pre-filled syringe forms of the four brands</w:t>
            </w:r>
            <w:r w:rsidR="00891EAA">
              <w:rPr>
                <w:rFonts w:ascii="Arial" w:hAnsi="Arial" w:cs="Arial"/>
                <w:color w:val="000000"/>
              </w:rPr>
              <w:t xml:space="preserve"> of </w:t>
            </w:r>
            <w:proofErr w:type="spellStart"/>
            <w:r w:rsidR="00891EAA">
              <w:rPr>
                <w:rFonts w:ascii="Arial" w:hAnsi="Arial" w:cs="Arial"/>
                <w:color w:val="000000"/>
              </w:rPr>
              <w:t>adalimumab</w:t>
            </w:r>
            <w:proofErr w:type="spellEnd"/>
            <w:r w:rsidRPr="006B5404">
              <w:rPr>
                <w:rFonts w:ascii="Arial" w:hAnsi="Arial" w:cs="Arial"/>
                <w:color w:val="000000"/>
              </w:rPr>
              <w:t xml:space="preserve"> should be treat</w:t>
            </w:r>
            <w:r w:rsidR="00DB09DA">
              <w:rPr>
                <w:rFonts w:ascii="Arial" w:hAnsi="Arial" w:cs="Arial"/>
                <w:color w:val="000000"/>
              </w:rPr>
              <w:t xml:space="preserve">ed as equivalent to each other, </w:t>
            </w:r>
            <w:r w:rsidRPr="006B5404">
              <w:rPr>
                <w:rFonts w:ascii="Arial" w:hAnsi="Arial" w:cs="Arial"/>
                <w:color w:val="000000"/>
              </w:rPr>
              <w:t xml:space="preserve">and that the pre-filled pen forms of the four brands should be treated equivalent to each other for the purposes of substitution (i.e. ‘a’ flagged) to each other. </w:t>
            </w:r>
            <w:r w:rsidRPr="006B5404">
              <w:rPr>
                <w:rFonts w:ascii="Arial" w:hAnsi="Arial" w:cs="Arial"/>
                <w:color w:val="000000"/>
              </w:rPr>
              <w:br/>
            </w:r>
            <w:r w:rsidRPr="006B5404">
              <w:rPr>
                <w:rFonts w:ascii="Arial" w:hAnsi="Arial" w:cs="Arial"/>
                <w:color w:val="000000"/>
              </w:rPr>
              <w:br/>
              <w:t xml:space="preserve">The PBAC advised that biosimilar uptake drivers should apply to the expanded recommendation for </w:t>
            </w:r>
            <w:proofErr w:type="spellStart"/>
            <w:r w:rsidRPr="006B5404">
              <w:rPr>
                <w:rFonts w:ascii="Arial" w:hAnsi="Arial" w:cs="Arial"/>
                <w:color w:val="000000"/>
              </w:rPr>
              <w:t>Hadlima</w:t>
            </w:r>
            <w:proofErr w:type="spellEnd"/>
            <w:r w:rsidR="001904F5">
              <w:rPr>
                <w:rFonts w:ascii="Arial" w:hAnsi="Arial" w:cs="Arial"/>
                <w:color w:val="000000"/>
              </w:rPr>
              <w:t>®</w:t>
            </w:r>
            <w:r w:rsidRPr="006B5404">
              <w:rPr>
                <w:rFonts w:ascii="Arial" w:hAnsi="Arial" w:cs="Arial"/>
                <w:color w:val="000000"/>
              </w:rPr>
              <w:t xml:space="preserve">, consistent with previous recommendations for other biosimilar brands of </w:t>
            </w:r>
            <w:proofErr w:type="spellStart"/>
            <w:r w:rsidRPr="006B5404">
              <w:rPr>
                <w:rFonts w:ascii="Arial" w:hAnsi="Arial" w:cs="Arial"/>
                <w:color w:val="000000"/>
              </w:rPr>
              <w:t>adalimumab</w:t>
            </w:r>
            <w:proofErr w:type="spellEnd"/>
            <w:r w:rsidRPr="006B5404">
              <w:rPr>
                <w:rFonts w:ascii="Arial" w:hAnsi="Arial" w:cs="Arial"/>
                <w:color w:val="000000"/>
              </w:rPr>
              <w:t>.</w:t>
            </w:r>
          </w:p>
        </w:tc>
      </w:tr>
      <w:tr w:rsidR="00380821" w:rsidRPr="006B5404" w14:paraId="78290A25" w14:textId="77777777" w:rsidTr="00891EAA">
        <w:trPr>
          <w:cantSplit/>
          <w:trHeight w:val="430"/>
        </w:trPr>
        <w:tc>
          <w:tcPr>
            <w:tcW w:w="3681" w:type="dxa"/>
            <w:tcBorders>
              <w:top w:val="nil"/>
              <w:left w:val="single" w:sz="4" w:space="0" w:color="auto"/>
              <w:bottom w:val="single" w:sz="4" w:space="0" w:color="auto"/>
              <w:right w:val="single" w:sz="4" w:space="0" w:color="auto"/>
            </w:tcBorders>
            <w:shd w:val="clear" w:color="auto" w:fill="auto"/>
            <w:tcMar>
              <w:top w:w="28" w:type="dxa"/>
              <w:bottom w:w="28" w:type="dxa"/>
            </w:tcMar>
          </w:tcPr>
          <w:p w14:paraId="249907F9" w14:textId="416F2D3C" w:rsidR="00380821" w:rsidRPr="006B5404" w:rsidRDefault="00380821" w:rsidP="00563854">
            <w:pPr>
              <w:rPr>
                <w:rFonts w:ascii="Arial" w:hAnsi="Arial" w:cs="Arial"/>
              </w:rPr>
            </w:pPr>
            <w:r w:rsidRPr="006B5404">
              <w:rPr>
                <w:rFonts w:ascii="Arial" w:hAnsi="Arial" w:cs="Arial"/>
                <w:color w:val="000000"/>
              </w:rPr>
              <w:t>AMINO ACID FORMULA WITH VITAMINS AND MINERALS WITHOUT METHIONINE</w:t>
            </w:r>
            <w:r w:rsidRPr="006B5404">
              <w:rPr>
                <w:rFonts w:ascii="Arial" w:hAnsi="Arial" w:cs="Arial"/>
                <w:color w:val="000000"/>
              </w:rPr>
              <w:br/>
            </w:r>
            <w:r w:rsidRPr="006B5404">
              <w:rPr>
                <w:rFonts w:ascii="Arial" w:hAnsi="Arial" w:cs="Arial"/>
                <w:color w:val="000000"/>
              </w:rPr>
              <w:br/>
              <w:t>Sachets containing oral powder 28 g, 30</w:t>
            </w:r>
            <w:r w:rsidRPr="006B5404">
              <w:rPr>
                <w:rFonts w:ascii="Arial" w:hAnsi="Arial" w:cs="Arial"/>
                <w:color w:val="000000"/>
              </w:rPr>
              <w:br/>
            </w:r>
            <w:r w:rsidRPr="006B5404">
              <w:rPr>
                <w:rFonts w:ascii="Arial" w:hAnsi="Arial" w:cs="Arial"/>
                <w:color w:val="000000"/>
              </w:rPr>
              <w:br/>
              <w:t xml:space="preserve">HCU </w:t>
            </w:r>
            <w:proofErr w:type="spellStart"/>
            <w:r w:rsidRPr="006B5404">
              <w:rPr>
                <w:rFonts w:ascii="Arial" w:hAnsi="Arial" w:cs="Arial"/>
                <w:color w:val="000000"/>
              </w:rPr>
              <w:t>L</w:t>
            </w:r>
            <w:r w:rsidR="006B1993">
              <w:rPr>
                <w:rFonts w:ascii="Arial" w:hAnsi="Arial" w:cs="Arial"/>
                <w:color w:val="000000"/>
              </w:rPr>
              <w:t>ophle</w:t>
            </w:r>
            <w:r w:rsidR="00563854">
              <w:rPr>
                <w:rFonts w:ascii="Arial" w:hAnsi="Arial" w:cs="Arial"/>
                <w:color w:val="000000"/>
              </w:rPr>
              <w:t>x</w:t>
            </w:r>
            <w:proofErr w:type="spellEnd"/>
            <w:r w:rsidR="00563854">
              <w:rPr>
                <w:rFonts w:ascii="Arial" w:hAnsi="Arial" w:cs="Arial"/>
                <w:color w:val="000000"/>
              </w:rPr>
              <w:t>®</w:t>
            </w:r>
            <w:r w:rsidRPr="006B5404">
              <w:rPr>
                <w:rFonts w:ascii="Arial" w:hAnsi="Arial" w:cs="Arial"/>
                <w:color w:val="000000"/>
              </w:rPr>
              <w:br/>
            </w:r>
            <w:r w:rsidRPr="006B5404">
              <w:rPr>
                <w:rFonts w:ascii="Arial" w:hAnsi="Arial" w:cs="Arial"/>
                <w:color w:val="000000"/>
              </w:rPr>
              <w:br/>
              <w:t>Nutricia Australia Pty Ltd</w:t>
            </w:r>
            <w:r w:rsidRPr="006B5404">
              <w:rPr>
                <w:rFonts w:ascii="Arial" w:hAnsi="Arial" w:cs="Arial"/>
                <w:color w:val="000000"/>
              </w:rPr>
              <w:br/>
            </w:r>
            <w:r w:rsidRPr="006B5404">
              <w:rPr>
                <w:rFonts w:ascii="Arial" w:hAnsi="Arial" w:cs="Arial"/>
                <w:color w:val="000000"/>
              </w:rPr>
              <w:br/>
              <w:t>New listing</w:t>
            </w:r>
            <w:r w:rsidRPr="006B5404">
              <w:rPr>
                <w:rFonts w:ascii="Arial" w:hAnsi="Arial" w:cs="Arial"/>
                <w:color w:val="000000"/>
              </w:rPr>
              <w:br/>
              <w:t>(Minor Submission)</w:t>
            </w:r>
          </w:p>
        </w:tc>
        <w:tc>
          <w:tcPr>
            <w:tcW w:w="2401" w:type="dxa"/>
            <w:tcBorders>
              <w:top w:val="nil"/>
              <w:left w:val="nil"/>
              <w:bottom w:val="single" w:sz="4" w:space="0" w:color="auto"/>
              <w:right w:val="single" w:sz="4" w:space="0" w:color="auto"/>
            </w:tcBorders>
            <w:shd w:val="clear" w:color="auto" w:fill="auto"/>
            <w:tcMar>
              <w:top w:w="28" w:type="dxa"/>
              <w:bottom w:w="28" w:type="dxa"/>
            </w:tcMar>
          </w:tcPr>
          <w:p w14:paraId="1DD3A079" w14:textId="5DFC71F0" w:rsidR="00380821" w:rsidRPr="006B5404" w:rsidRDefault="00380821" w:rsidP="00380821">
            <w:pPr>
              <w:rPr>
                <w:rFonts w:ascii="Arial" w:hAnsi="Arial" w:cs="Arial"/>
              </w:rPr>
            </w:pPr>
            <w:r w:rsidRPr="006B5404">
              <w:rPr>
                <w:rFonts w:ascii="Arial" w:hAnsi="Arial" w:cs="Arial"/>
                <w:color w:val="000000"/>
              </w:rPr>
              <w:t xml:space="preserve">Pyridoxine non-responsive </w:t>
            </w:r>
            <w:proofErr w:type="spellStart"/>
            <w:r w:rsidRPr="006B5404">
              <w:rPr>
                <w:rFonts w:ascii="Arial" w:hAnsi="Arial" w:cs="Arial"/>
                <w:color w:val="000000"/>
              </w:rPr>
              <w:t>homocystinuria</w:t>
            </w:r>
            <w:proofErr w:type="spellEnd"/>
            <w:r w:rsidR="00E232E1">
              <w:rPr>
                <w:rFonts w:ascii="Arial" w:hAnsi="Arial" w:cs="Arial"/>
                <w:color w:val="000000"/>
              </w:rPr>
              <w:t xml:space="preserve"> (HCU)</w:t>
            </w:r>
          </w:p>
        </w:tc>
        <w:tc>
          <w:tcPr>
            <w:tcW w:w="2702" w:type="dxa"/>
            <w:tcBorders>
              <w:top w:val="nil"/>
              <w:left w:val="nil"/>
              <w:bottom w:val="single" w:sz="4" w:space="0" w:color="auto"/>
              <w:right w:val="single" w:sz="4" w:space="0" w:color="auto"/>
            </w:tcBorders>
            <w:shd w:val="clear" w:color="auto" w:fill="auto"/>
            <w:tcMar>
              <w:top w:w="28" w:type="dxa"/>
              <w:bottom w:w="28" w:type="dxa"/>
            </w:tcMar>
          </w:tcPr>
          <w:p w14:paraId="5ABFF13C" w14:textId="7CCF90AE" w:rsidR="00380821" w:rsidRPr="006B5404" w:rsidRDefault="00380821" w:rsidP="00E660A7">
            <w:pPr>
              <w:rPr>
                <w:rFonts w:ascii="Arial" w:hAnsi="Arial" w:cs="Arial"/>
              </w:rPr>
            </w:pPr>
            <w:r w:rsidRPr="006B5404">
              <w:rPr>
                <w:rFonts w:ascii="Arial" w:hAnsi="Arial" w:cs="Arial"/>
                <w:color w:val="000000"/>
              </w:rPr>
              <w:t xml:space="preserve">To request PBS listing of HCU </w:t>
            </w:r>
            <w:proofErr w:type="spellStart"/>
            <w:r w:rsidRPr="006B5404">
              <w:rPr>
                <w:rFonts w:ascii="Arial" w:hAnsi="Arial" w:cs="Arial"/>
                <w:color w:val="000000"/>
              </w:rPr>
              <w:t>Lophlex</w:t>
            </w:r>
            <w:proofErr w:type="spellEnd"/>
            <w:r w:rsidR="00563854">
              <w:rPr>
                <w:rFonts w:ascii="Arial" w:hAnsi="Arial" w:cs="Arial"/>
                <w:color w:val="000000"/>
              </w:rPr>
              <w:t xml:space="preserve">® </w:t>
            </w:r>
            <w:r w:rsidRPr="006B5404">
              <w:rPr>
                <w:rFonts w:ascii="Arial" w:hAnsi="Arial" w:cs="Arial"/>
                <w:color w:val="000000"/>
              </w:rPr>
              <w:t xml:space="preserve">for the dietary management of </w:t>
            </w:r>
            <w:r w:rsidR="00E232E1">
              <w:rPr>
                <w:rFonts w:ascii="Arial" w:hAnsi="Arial" w:cs="Arial"/>
                <w:color w:val="000000"/>
              </w:rPr>
              <w:t>HCU</w:t>
            </w:r>
            <w:r w:rsidR="00807997">
              <w:rPr>
                <w:rFonts w:ascii="Arial" w:hAnsi="Arial" w:cs="Arial"/>
                <w:color w:val="000000"/>
              </w:rPr>
              <w:t>.</w:t>
            </w:r>
          </w:p>
        </w:tc>
        <w:tc>
          <w:tcPr>
            <w:tcW w:w="6604" w:type="dxa"/>
            <w:tcBorders>
              <w:top w:val="nil"/>
              <w:left w:val="single" w:sz="4" w:space="0" w:color="auto"/>
              <w:bottom w:val="single" w:sz="4" w:space="0" w:color="auto"/>
              <w:right w:val="single" w:sz="4" w:space="0" w:color="auto"/>
            </w:tcBorders>
            <w:shd w:val="clear" w:color="auto" w:fill="auto"/>
          </w:tcPr>
          <w:p w14:paraId="10967C3E" w14:textId="547229AC" w:rsidR="00380821" w:rsidRPr="006B5404" w:rsidRDefault="00380821" w:rsidP="00380821">
            <w:pPr>
              <w:widowControl w:val="0"/>
              <w:rPr>
                <w:rFonts w:ascii="Arial" w:hAnsi="Arial" w:cs="Arial"/>
              </w:rPr>
            </w:pPr>
            <w:r w:rsidRPr="006B5404">
              <w:rPr>
                <w:rFonts w:ascii="Arial" w:hAnsi="Arial" w:cs="Arial"/>
                <w:color w:val="000000"/>
              </w:rPr>
              <w:t xml:space="preserve">The PBAC recommended the listing of HCU </w:t>
            </w:r>
            <w:proofErr w:type="spellStart"/>
            <w:r w:rsidRPr="006B5404">
              <w:rPr>
                <w:rFonts w:ascii="Arial" w:hAnsi="Arial" w:cs="Arial"/>
                <w:color w:val="000000"/>
              </w:rPr>
              <w:t>Lophlex</w:t>
            </w:r>
            <w:proofErr w:type="spellEnd"/>
            <w:r w:rsidR="00563854">
              <w:rPr>
                <w:rFonts w:ascii="Arial" w:hAnsi="Arial" w:cs="Arial"/>
                <w:color w:val="000000"/>
              </w:rPr>
              <w:t>®</w:t>
            </w:r>
            <w:r w:rsidRPr="006B5404">
              <w:rPr>
                <w:rFonts w:ascii="Arial" w:hAnsi="Arial" w:cs="Arial"/>
                <w:color w:val="000000"/>
              </w:rPr>
              <w:t xml:space="preserve"> for the management of pyridoxine non-responsive HCU on a cost-minimisation basis per gram of protein with the nominated comparators. </w:t>
            </w:r>
          </w:p>
        </w:tc>
      </w:tr>
      <w:tr w:rsidR="00380821" w:rsidRPr="006B5404" w14:paraId="3FE860D5" w14:textId="77777777" w:rsidTr="00891EAA">
        <w:trPr>
          <w:cantSplit/>
          <w:trHeight w:val="430"/>
        </w:trPr>
        <w:tc>
          <w:tcPr>
            <w:tcW w:w="3681" w:type="dxa"/>
            <w:tcBorders>
              <w:top w:val="nil"/>
              <w:left w:val="single" w:sz="4" w:space="0" w:color="auto"/>
              <w:bottom w:val="single" w:sz="4" w:space="0" w:color="auto"/>
              <w:right w:val="single" w:sz="4" w:space="0" w:color="auto"/>
            </w:tcBorders>
            <w:shd w:val="clear" w:color="auto" w:fill="auto"/>
            <w:tcMar>
              <w:top w:w="28" w:type="dxa"/>
              <w:bottom w:w="28" w:type="dxa"/>
            </w:tcMar>
          </w:tcPr>
          <w:p w14:paraId="4B03DA05" w14:textId="6E1294EA" w:rsidR="00380821" w:rsidRPr="006B5404" w:rsidRDefault="00380821" w:rsidP="006B1993">
            <w:pPr>
              <w:rPr>
                <w:rFonts w:ascii="Arial" w:hAnsi="Arial" w:cs="Arial"/>
              </w:rPr>
            </w:pPr>
            <w:r w:rsidRPr="006B5404">
              <w:rPr>
                <w:rFonts w:ascii="Arial" w:hAnsi="Arial" w:cs="Arial"/>
                <w:color w:val="000000"/>
              </w:rPr>
              <w:lastRenderedPageBreak/>
              <w:t>AMINO ACID FORMULA WITH VITAMINS AND MINERALS WITHOUT PHENYLALANINE AND TYROSINE</w:t>
            </w:r>
            <w:r w:rsidRPr="006B5404">
              <w:rPr>
                <w:rFonts w:ascii="Arial" w:hAnsi="Arial" w:cs="Arial"/>
                <w:color w:val="000000"/>
              </w:rPr>
              <w:br/>
            </w:r>
            <w:r w:rsidRPr="006B5404">
              <w:rPr>
                <w:rFonts w:ascii="Arial" w:hAnsi="Arial" w:cs="Arial"/>
                <w:color w:val="000000"/>
              </w:rPr>
              <w:br/>
              <w:t>Sachets containing oral powder 28 g, 30</w:t>
            </w:r>
            <w:r w:rsidRPr="006B5404">
              <w:rPr>
                <w:rFonts w:ascii="Arial" w:hAnsi="Arial" w:cs="Arial"/>
                <w:color w:val="000000"/>
              </w:rPr>
              <w:br/>
            </w:r>
            <w:r w:rsidRPr="006B5404">
              <w:rPr>
                <w:rFonts w:ascii="Arial" w:hAnsi="Arial" w:cs="Arial"/>
                <w:color w:val="000000"/>
              </w:rPr>
              <w:br/>
              <w:t xml:space="preserve">TYR </w:t>
            </w:r>
            <w:proofErr w:type="spellStart"/>
            <w:r w:rsidRPr="006B5404">
              <w:rPr>
                <w:rFonts w:ascii="Arial" w:hAnsi="Arial" w:cs="Arial"/>
                <w:color w:val="000000"/>
              </w:rPr>
              <w:t>L</w:t>
            </w:r>
            <w:r w:rsidR="006B1993">
              <w:rPr>
                <w:rFonts w:ascii="Arial" w:hAnsi="Arial" w:cs="Arial"/>
                <w:color w:val="000000"/>
              </w:rPr>
              <w:t>ophlex</w:t>
            </w:r>
            <w:proofErr w:type="spellEnd"/>
            <w:r w:rsidR="00563854">
              <w:rPr>
                <w:rFonts w:ascii="Arial" w:hAnsi="Arial" w:cs="Arial"/>
                <w:color w:val="000000"/>
              </w:rPr>
              <w:t>®</w:t>
            </w:r>
            <w:r w:rsidRPr="006B5404">
              <w:rPr>
                <w:rFonts w:ascii="Arial" w:hAnsi="Arial" w:cs="Arial"/>
                <w:color w:val="000000"/>
              </w:rPr>
              <w:br/>
            </w:r>
            <w:r w:rsidRPr="006B5404">
              <w:rPr>
                <w:rFonts w:ascii="Arial" w:hAnsi="Arial" w:cs="Arial"/>
                <w:color w:val="000000"/>
              </w:rPr>
              <w:br/>
              <w:t>Nutricia Australia Pty Ltd</w:t>
            </w:r>
            <w:r w:rsidRPr="006B5404">
              <w:rPr>
                <w:rFonts w:ascii="Arial" w:hAnsi="Arial" w:cs="Arial"/>
                <w:color w:val="000000"/>
              </w:rPr>
              <w:br/>
            </w:r>
            <w:r w:rsidRPr="006B5404">
              <w:rPr>
                <w:rFonts w:ascii="Arial" w:hAnsi="Arial" w:cs="Arial"/>
                <w:color w:val="000000"/>
              </w:rPr>
              <w:br/>
              <w:t>New listing</w:t>
            </w:r>
            <w:r w:rsidRPr="006B5404">
              <w:rPr>
                <w:rFonts w:ascii="Arial" w:hAnsi="Arial" w:cs="Arial"/>
                <w:color w:val="000000"/>
              </w:rPr>
              <w:br/>
              <w:t>(Minor Submission)</w:t>
            </w:r>
          </w:p>
        </w:tc>
        <w:tc>
          <w:tcPr>
            <w:tcW w:w="2401" w:type="dxa"/>
            <w:tcBorders>
              <w:top w:val="nil"/>
              <w:left w:val="nil"/>
              <w:bottom w:val="single" w:sz="4" w:space="0" w:color="auto"/>
              <w:right w:val="single" w:sz="4" w:space="0" w:color="auto"/>
            </w:tcBorders>
            <w:shd w:val="clear" w:color="auto" w:fill="auto"/>
            <w:tcMar>
              <w:top w:w="28" w:type="dxa"/>
              <w:bottom w:w="28" w:type="dxa"/>
            </w:tcMar>
          </w:tcPr>
          <w:p w14:paraId="6DCFCFB3" w14:textId="133A50F4" w:rsidR="00380821" w:rsidRPr="006B5404" w:rsidRDefault="00380821" w:rsidP="00380821">
            <w:pPr>
              <w:rPr>
                <w:rFonts w:ascii="Arial" w:hAnsi="Arial" w:cs="Arial"/>
                <w:color w:val="000000"/>
              </w:rPr>
            </w:pPr>
            <w:proofErr w:type="spellStart"/>
            <w:r w:rsidRPr="006B5404">
              <w:rPr>
                <w:rFonts w:ascii="Arial" w:hAnsi="Arial" w:cs="Arial"/>
                <w:color w:val="000000"/>
              </w:rPr>
              <w:t>Tyrosinaemia</w:t>
            </w:r>
            <w:proofErr w:type="spellEnd"/>
          </w:p>
        </w:tc>
        <w:tc>
          <w:tcPr>
            <w:tcW w:w="2702" w:type="dxa"/>
            <w:tcBorders>
              <w:top w:val="nil"/>
              <w:left w:val="nil"/>
              <w:bottom w:val="single" w:sz="4" w:space="0" w:color="auto"/>
              <w:right w:val="single" w:sz="4" w:space="0" w:color="auto"/>
            </w:tcBorders>
            <w:shd w:val="clear" w:color="auto" w:fill="auto"/>
            <w:tcMar>
              <w:top w:w="28" w:type="dxa"/>
              <w:bottom w:w="28" w:type="dxa"/>
            </w:tcMar>
          </w:tcPr>
          <w:p w14:paraId="585FF6B8" w14:textId="0D28F1CD" w:rsidR="00380821" w:rsidRPr="006B5404" w:rsidRDefault="00380821" w:rsidP="00380821">
            <w:pPr>
              <w:rPr>
                <w:rFonts w:ascii="Arial" w:hAnsi="Arial" w:cs="Arial"/>
              </w:rPr>
            </w:pPr>
            <w:r w:rsidRPr="006B5404">
              <w:rPr>
                <w:rFonts w:ascii="Arial" w:hAnsi="Arial" w:cs="Arial"/>
                <w:color w:val="000000"/>
              </w:rPr>
              <w:t xml:space="preserve">To request PBS listing of TYR </w:t>
            </w:r>
            <w:proofErr w:type="spellStart"/>
            <w:r w:rsidRPr="006B5404">
              <w:rPr>
                <w:rFonts w:ascii="Arial" w:hAnsi="Arial" w:cs="Arial"/>
                <w:color w:val="000000"/>
              </w:rPr>
              <w:t>Lophlex</w:t>
            </w:r>
            <w:proofErr w:type="spellEnd"/>
            <w:r w:rsidR="00563854">
              <w:rPr>
                <w:rFonts w:ascii="Arial" w:hAnsi="Arial" w:cs="Arial"/>
                <w:color w:val="000000"/>
              </w:rPr>
              <w:t>®</w:t>
            </w:r>
            <w:r w:rsidRPr="006B5404">
              <w:rPr>
                <w:rFonts w:ascii="Arial" w:hAnsi="Arial" w:cs="Arial"/>
                <w:color w:val="000000"/>
              </w:rPr>
              <w:t xml:space="preserve"> for the dietary management of </w:t>
            </w:r>
            <w:proofErr w:type="spellStart"/>
            <w:r w:rsidRPr="006B5404">
              <w:rPr>
                <w:rFonts w:ascii="Arial" w:hAnsi="Arial" w:cs="Arial"/>
                <w:color w:val="000000"/>
              </w:rPr>
              <w:t>tyrosinaemia</w:t>
            </w:r>
            <w:proofErr w:type="spellEnd"/>
            <w:r w:rsidR="00807997">
              <w:rPr>
                <w:rFonts w:ascii="Arial" w:hAnsi="Arial" w:cs="Arial"/>
                <w:color w:val="000000"/>
              </w:rPr>
              <w:t>.</w:t>
            </w:r>
          </w:p>
        </w:tc>
        <w:tc>
          <w:tcPr>
            <w:tcW w:w="6604" w:type="dxa"/>
            <w:tcBorders>
              <w:top w:val="single" w:sz="4" w:space="0" w:color="auto"/>
              <w:left w:val="single" w:sz="4" w:space="0" w:color="auto"/>
              <w:bottom w:val="single" w:sz="4" w:space="0" w:color="auto"/>
              <w:right w:val="single" w:sz="4" w:space="0" w:color="auto"/>
            </w:tcBorders>
          </w:tcPr>
          <w:p w14:paraId="197A279B" w14:textId="54BD8A53" w:rsidR="00181E5E" w:rsidRPr="006B5404" w:rsidRDefault="00181E5E" w:rsidP="00181E5E">
            <w:pPr>
              <w:rPr>
                <w:rFonts w:ascii="Arial" w:hAnsi="Arial" w:cs="Arial"/>
                <w:color w:val="000000"/>
              </w:rPr>
            </w:pPr>
            <w:r w:rsidRPr="006B5404">
              <w:rPr>
                <w:rFonts w:ascii="Arial" w:hAnsi="Arial" w:cs="Arial"/>
                <w:color w:val="000000"/>
              </w:rPr>
              <w:t xml:space="preserve">The PBAC recommended the listing of TYR </w:t>
            </w:r>
            <w:proofErr w:type="spellStart"/>
            <w:r w:rsidRPr="006B5404">
              <w:rPr>
                <w:rFonts w:ascii="Arial" w:hAnsi="Arial" w:cs="Arial"/>
                <w:color w:val="000000"/>
              </w:rPr>
              <w:t>Lophlex</w:t>
            </w:r>
            <w:proofErr w:type="spellEnd"/>
            <w:r w:rsidR="00563854">
              <w:rPr>
                <w:rFonts w:ascii="Arial" w:hAnsi="Arial" w:cs="Arial"/>
                <w:color w:val="000000"/>
              </w:rPr>
              <w:t>®</w:t>
            </w:r>
            <w:r w:rsidRPr="006B5404">
              <w:rPr>
                <w:rFonts w:ascii="Arial" w:hAnsi="Arial" w:cs="Arial"/>
                <w:color w:val="000000"/>
              </w:rPr>
              <w:t xml:space="preserve"> for the management of </w:t>
            </w:r>
            <w:proofErr w:type="spellStart"/>
            <w:r w:rsidRPr="006B5404">
              <w:rPr>
                <w:rFonts w:ascii="Arial" w:hAnsi="Arial" w:cs="Arial"/>
                <w:color w:val="000000"/>
              </w:rPr>
              <w:t>tyrosinaemia</w:t>
            </w:r>
            <w:proofErr w:type="spellEnd"/>
            <w:r w:rsidRPr="006B5404">
              <w:rPr>
                <w:rFonts w:ascii="Arial" w:hAnsi="Arial" w:cs="Arial"/>
                <w:color w:val="000000"/>
              </w:rPr>
              <w:t xml:space="preserve"> on a cost-minimisation basis per gram of protein with the nominated comparators.</w:t>
            </w:r>
          </w:p>
          <w:p w14:paraId="7488D1DF" w14:textId="7EC7B813" w:rsidR="00380821" w:rsidRPr="006B5404" w:rsidRDefault="00380821" w:rsidP="00380821">
            <w:pPr>
              <w:widowControl w:val="0"/>
              <w:rPr>
                <w:rFonts w:ascii="Arial" w:hAnsi="Arial" w:cs="Arial"/>
              </w:rPr>
            </w:pPr>
          </w:p>
        </w:tc>
      </w:tr>
      <w:tr w:rsidR="00380821" w:rsidRPr="006B5404" w14:paraId="5752BC26" w14:textId="77777777" w:rsidTr="00891EAA">
        <w:trPr>
          <w:cantSplit/>
          <w:trHeight w:val="430"/>
        </w:trPr>
        <w:tc>
          <w:tcPr>
            <w:tcW w:w="3681" w:type="dxa"/>
            <w:tcBorders>
              <w:top w:val="nil"/>
              <w:left w:val="single" w:sz="4" w:space="0" w:color="auto"/>
              <w:bottom w:val="single" w:sz="4" w:space="0" w:color="auto"/>
              <w:right w:val="single" w:sz="4" w:space="0" w:color="auto"/>
            </w:tcBorders>
            <w:shd w:val="clear" w:color="auto" w:fill="auto"/>
            <w:tcMar>
              <w:top w:w="28" w:type="dxa"/>
              <w:bottom w:w="28" w:type="dxa"/>
            </w:tcMar>
          </w:tcPr>
          <w:p w14:paraId="785BEDC6" w14:textId="0FB7D5F9" w:rsidR="00380821" w:rsidRPr="006B5404" w:rsidRDefault="00380821" w:rsidP="00380821">
            <w:pPr>
              <w:rPr>
                <w:rFonts w:ascii="Arial" w:hAnsi="Arial" w:cs="Arial"/>
                <w:color w:val="000000"/>
              </w:rPr>
            </w:pPr>
            <w:r w:rsidRPr="006B5404">
              <w:rPr>
                <w:rFonts w:ascii="Arial" w:hAnsi="Arial" w:cs="Arial"/>
                <w:color w:val="000000"/>
              </w:rPr>
              <w:t>AMINO ACID FORMULA WITH VITAMINS AND MINERALS WITHOUT VALINE, LEUCINE AND ISOLEUCINE</w:t>
            </w:r>
            <w:r w:rsidRPr="006B5404">
              <w:rPr>
                <w:rFonts w:ascii="Arial" w:hAnsi="Arial" w:cs="Arial"/>
                <w:color w:val="000000"/>
              </w:rPr>
              <w:br/>
            </w:r>
            <w:r w:rsidRPr="006B5404">
              <w:rPr>
                <w:rFonts w:ascii="Arial" w:hAnsi="Arial" w:cs="Arial"/>
                <w:color w:val="000000"/>
              </w:rPr>
              <w:br/>
              <w:t>Sachets containing oral powder 28 g, 30</w:t>
            </w:r>
            <w:r w:rsidRPr="006B5404">
              <w:rPr>
                <w:rFonts w:ascii="Arial" w:hAnsi="Arial" w:cs="Arial"/>
                <w:color w:val="000000"/>
              </w:rPr>
              <w:br/>
            </w:r>
            <w:r w:rsidRPr="006B5404">
              <w:rPr>
                <w:rFonts w:ascii="Arial" w:hAnsi="Arial" w:cs="Arial"/>
                <w:color w:val="000000"/>
              </w:rPr>
              <w:br/>
              <w:t xml:space="preserve">MSUD </w:t>
            </w:r>
            <w:proofErr w:type="spellStart"/>
            <w:r w:rsidRPr="006B5404">
              <w:rPr>
                <w:rFonts w:ascii="Arial" w:hAnsi="Arial" w:cs="Arial"/>
                <w:color w:val="000000"/>
              </w:rPr>
              <w:t>Lophlex</w:t>
            </w:r>
            <w:proofErr w:type="spellEnd"/>
            <w:r w:rsidR="00563854">
              <w:rPr>
                <w:rFonts w:ascii="Arial" w:hAnsi="Arial" w:cs="Arial"/>
                <w:color w:val="000000"/>
              </w:rPr>
              <w:t>®</w:t>
            </w:r>
            <w:r w:rsidRPr="006B5404">
              <w:rPr>
                <w:rFonts w:ascii="Arial" w:hAnsi="Arial" w:cs="Arial"/>
                <w:color w:val="000000"/>
              </w:rPr>
              <w:br/>
            </w:r>
            <w:r w:rsidRPr="006B5404">
              <w:rPr>
                <w:rFonts w:ascii="Arial" w:hAnsi="Arial" w:cs="Arial"/>
                <w:color w:val="000000"/>
              </w:rPr>
              <w:br/>
              <w:t>Nutricia Australia Pty Ltd</w:t>
            </w:r>
            <w:r w:rsidRPr="006B5404">
              <w:rPr>
                <w:rFonts w:ascii="Arial" w:hAnsi="Arial" w:cs="Arial"/>
                <w:color w:val="000000"/>
              </w:rPr>
              <w:br/>
            </w:r>
            <w:r w:rsidRPr="006B5404">
              <w:rPr>
                <w:rFonts w:ascii="Arial" w:hAnsi="Arial" w:cs="Arial"/>
                <w:color w:val="000000"/>
              </w:rPr>
              <w:br/>
              <w:t>New listing</w:t>
            </w:r>
            <w:r w:rsidRPr="006B5404">
              <w:rPr>
                <w:rFonts w:ascii="Arial" w:hAnsi="Arial" w:cs="Arial"/>
                <w:color w:val="000000"/>
              </w:rPr>
              <w:br/>
              <w:t>(Minor Submission)</w:t>
            </w:r>
          </w:p>
          <w:p w14:paraId="2F310335" w14:textId="01C4DCEC" w:rsidR="00CE227D" w:rsidRPr="006B5404" w:rsidRDefault="00CE227D" w:rsidP="00380821">
            <w:pPr>
              <w:rPr>
                <w:rFonts w:ascii="Arial" w:hAnsi="Arial" w:cs="Arial"/>
              </w:rPr>
            </w:pPr>
          </w:p>
        </w:tc>
        <w:tc>
          <w:tcPr>
            <w:tcW w:w="2401" w:type="dxa"/>
            <w:tcBorders>
              <w:top w:val="nil"/>
              <w:left w:val="nil"/>
              <w:bottom w:val="single" w:sz="4" w:space="0" w:color="auto"/>
              <w:right w:val="single" w:sz="4" w:space="0" w:color="auto"/>
            </w:tcBorders>
            <w:shd w:val="clear" w:color="auto" w:fill="auto"/>
            <w:tcMar>
              <w:top w:w="28" w:type="dxa"/>
              <w:bottom w:w="28" w:type="dxa"/>
            </w:tcMar>
          </w:tcPr>
          <w:p w14:paraId="0654DEBA" w14:textId="7A1E04B1" w:rsidR="00380821" w:rsidRPr="006B5404" w:rsidRDefault="00E232E1" w:rsidP="00380821">
            <w:pPr>
              <w:rPr>
                <w:rFonts w:ascii="Arial" w:hAnsi="Arial" w:cs="Arial"/>
              </w:rPr>
            </w:pPr>
            <w:r>
              <w:rPr>
                <w:rFonts w:ascii="Arial" w:hAnsi="Arial" w:cs="Arial"/>
                <w:color w:val="000000"/>
              </w:rPr>
              <w:t>Maple syrup urine d</w:t>
            </w:r>
            <w:r w:rsidR="00380821" w:rsidRPr="006B5404">
              <w:rPr>
                <w:rFonts w:ascii="Arial" w:hAnsi="Arial" w:cs="Arial"/>
                <w:color w:val="000000"/>
              </w:rPr>
              <w:t>isease</w:t>
            </w:r>
            <w:r w:rsidR="00AD045A">
              <w:rPr>
                <w:rFonts w:ascii="Arial" w:hAnsi="Arial" w:cs="Arial"/>
                <w:color w:val="000000"/>
              </w:rPr>
              <w:t xml:space="preserve"> (MSUD)</w:t>
            </w:r>
          </w:p>
        </w:tc>
        <w:tc>
          <w:tcPr>
            <w:tcW w:w="2702" w:type="dxa"/>
            <w:tcBorders>
              <w:top w:val="nil"/>
              <w:left w:val="nil"/>
              <w:bottom w:val="single" w:sz="4" w:space="0" w:color="auto"/>
              <w:right w:val="single" w:sz="4" w:space="0" w:color="auto"/>
            </w:tcBorders>
            <w:shd w:val="clear" w:color="auto" w:fill="auto"/>
            <w:tcMar>
              <w:top w:w="28" w:type="dxa"/>
              <w:bottom w:w="28" w:type="dxa"/>
            </w:tcMar>
          </w:tcPr>
          <w:p w14:paraId="00F12A37" w14:textId="1A9D86A8" w:rsidR="00380821" w:rsidRPr="006B5404" w:rsidRDefault="00380821" w:rsidP="00380821">
            <w:pPr>
              <w:rPr>
                <w:rFonts w:ascii="Arial" w:hAnsi="Arial" w:cs="Arial"/>
              </w:rPr>
            </w:pPr>
            <w:r w:rsidRPr="006B5404">
              <w:rPr>
                <w:rFonts w:ascii="Arial" w:hAnsi="Arial" w:cs="Arial"/>
                <w:color w:val="000000"/>
              </w:rPr>
              <w:t xml:space="preserve">To request PBS listing of MSUD </w:t>
            </w:r>
            <w:proofErr w:type="spellStart"/>
            <w:r w:rsidRPr="006B5404">
              <w:rPr>
                <w:rFonts w:ascii="Arial" w:hAnsi="Arial" w:cs="Arial"/>
                <w:color w:val="000000"/>
              </w:rPr>
              <w:t>Lophlex</w:t>
            </w:r>
            <w:proofErr w:type="spellEnd"/>
            <w:r w:rsidR="00563854">
              <w:rPr>
                <w:rFonts w:ascii="Arial" w:hAnsi="Arial" w:cs="Arial"/>
                <w:color w:val="000000"/>
              </w:rPr>
              <w:t>®</w:t>
            </w:r>
            <w:r w:rsidRPr="006B5404">
              <w:rPr>
                <w:rFonts w:ascii="Arial" w:hAnsi="Arial" w:cs="Arial"/>
                <w:color w:val="000000"/>
              </w:rPr>
              <w:t xml:space="preserve"> for the dietary management of </w:t>
            </w:r>
            <w:r w:rsidR="00AD045A">
              <w:rPr>
                <w:rFonts w:ascii="Arial" w:hAnsi="Arial" w:cs="Arial"/>
                <w:color w:val="000000"/>
              </w:rPr>
              <w:t>MSUD</w:t>
            </w:r>
            <w:r w:rsidR="00807997">
              <w:rPr>
                <w:rFonts w:ascii="Arial" w:hAnsi="Arial" w:cs="Arial"/>
                <w:color w:val="000000"/>
              </w:rPr>
              <w:t>.</w:t>
            </w:r>
          </w:p>
        </w:tc>
        <w:tc>
          <w:tcPr>
            <w:tcW w:w="6604" w:type="dxa"/>
            <w:tcBorders>
              <w:top w:val="single" w:sz="4" w:space="0" w:color="auto"/>
              <w:left w:val="single" w:sz="4" w:space="0" w:color="auto"/>
              <w:bottom w:val="single" w:sz="4" w:space="0" w:color="auto"/>
              <w:right w:val="single" w:sz="4" w:space="0" w:color="auto"/>
            </w:tcBorders>
          </w:tcPr>
          <w:p w14:paraId="57B8F917" w14:textId="39C9712C" w:rsidR="00CE227D" w:rsidRPr="006B5404" w:rsidRDefault="00CE227D" w:rsidP="00CE227D">
            <w:pPr>
              <w:rPr>
                <w:rFonts w:ascii="Arial" w:hAnsi="Arial" w:cs="Arial"/>
                <w:color w:val="000000"/>
              </w:rPr>
            </w:pPr>
            <w:r w:rsidRPr="006B5404">
              <w:rPr>
                <w:rFonts w:ascii="Arial" w:hAnsi="Arial" w:cs="Arial"/>
                <w:color w:val="000000"/>
              </w:rPr>
              <w:t xml:space="preserve">The PBAC recommended the listing of MSUD </w:t>
            </w:r>
            <w:proofErr w:type="spellStart"/>
            <w:r w:rsidRPr="006B5404">
              <w:rPr>
                <w:rFonts w:ascii="Arial" w:hAnsi="Arial" w:cs="Arial"/>
                <w:color w:val="000000"/>
              </w:rPr>
              <w:t>Lophlex</w:t>
            </w:r>
            <w:proofErr w:type="spellEnd"/>
            <w:r w:rsidR="00563854">
              <w:rPr>
                <w:rFonts w:ascii="Arial" w:hAnsi="Arial" w:cs="Arial"/>
                <w:color w:val="000000"/>
              </w:rPr>
              <w:t>®</w:t>
            </w:r>
            <w:r w:rsidRPr="006B5404">
              <w:rPr>
                <w:rFonts w:ascii="Arial" w:hAnsi="Arial" w:cs="Arial"/>
                <w:color w:val="000000"/>
              </w:rPr>
              <w:t xml:space="preserve"> for the management of MSUD on a cost-minimisation basis per gram of protein with the nominated comparators.</w:t>
            </w:r>
          </w:p>
          <w:p w14:paraId="2BD64CF2" w14:textId="0F749908" w:rsidR="00380821" w:rsidRPr="006B5404" w:rsidRDefault="00380821" w:rsidP="00380821">
            <w:pPr>
              <w:widowControl w:val="0"/>
              <w:spacing w:after="120"/>
              <w:rPr>
                <w:rFonts w:ascii="Arial" w:hAnsi="Arial" w:cs="Arial"/>
              </w:rPr>
            </w:pPr>
          </w:p>
        </w:tc>
      </w:tr>
      <w:tr w:rsidR="00380821" w:rsidRPr="006B5404" w14:paraId="127D0CA2" w14:textId="77777777" w:rsidTr="00891EAA">
        <w:trPr>
          <w:cantSplit/>
          <w:trHeight w:val="430"/>
        </w:trPr>
        <w:tc>
          <w:tcPr>
            <w:tcW w:w="3681" w:type="dxa"/>
            <w:tcBorders>
              <w:top w:val="nil"/>
              <w:left w:val="single" w:sz="4" w:space="0" w:color="auto"/>
              <w:bottom w:val="single" w:sz="4" w:space="0" w:color="auto"/>
              <w:right w:val="single" w:sz="4" w:space="0" w:color="auto"/>
            </w:tcBorders>
            <w:shd w:val="clear" w:color="auto" w:fill="auto"/>
            <w:tcMar>
              <w:top w:w="28" w:type="dxa"/>
              <w:bottom w:w="28" w:type="dxa"/>
            </w:tcMar>
          </w:tcPr>
          <w:p w14:paraId="7D25EA09" w14:textId="32E4DA43" w:rsidR="00380821" w:rsidRPr="006B5404" w:rsidRDefault="00380821" w:rsidP="00380821">
            <w:pPr>
              <w:rPr>
                <w:rFonts w:ascii="Arial" w:hAnsi="Arial" w:cs="Arial"/>
              </w:rPr>
            </w:pPr>
            <w:r w:rsidRPr="006B5404">
              <w:rPr>
                <w:rFonts w:ascii="Arial" w:hAnsi="Arial" w:cs="Arial"/>
                <w:color w:val="000000"/>
              </w:rPr>
              <w:lastRenderedPageBreak/>
              <w:t>AMINO ACID FORMULA WITH VITAMINS, MINERALS AND LONG CHAIN POLYUNSATURATED FATTY ACIDS WITHOUT PHENYLALANINE</w:t>
            </w:r>
            <w:r w:rsidRPr="006B5404">
              <w:rPr>
                <w:rFonts w:ascii="Arial" w:hAnsi="Arial" w:cs="Arial"/>
                <w:color w:val="000000"/>
              </w:rPr>
              <w:br/>
              <w:t>AMINO ACID FORMULA WITH VITAMINS AND MINERALS WITHOUT PHENYLALANINE AND TYROSINE</w:t>
            </w:r>
            <w:r w:rsidRPr="006B5404">
              <w:rPr>
                <w:rFonts w:ascii="Arial" w:hAnsi="Arial" w:cs="Arial"/>
                <w:color w:val="000000"/>
              </w:rPr>
              <w:br/>
              <w:t>AMINO ACID FORMULA WITH VITAMINS AND MINERALS WITHOUT LYSINE AND LOW IN TRYPTOPHAN</w:t>
            </w:r>
            <w:r w:rsidRPr="006B5404">
              <w:rPr>
                <w:rFonts w:ascii="Arial" w:hAnsi="Arial" w:cs="Arial"/>
                <w:color w:val="000000"/>
              </w:rPr>
              <w:br/>
              <w:t>AMINO ACID FORMULA WITH VITAMINS AND MINERALS WITHOUT METHIONINE , THREONINE AND VALINE AND LOW IN ISOLEUCINE</w:t>
            </w:r>
            <w:r w:rsidRPr="006B5404">
              <w:rPr>
                <w:rFonts w:ascii="Arial" w:hAnsi="Arial" w:cs="Arial"/>
                <w:color w:val="000000"/>
              </w:rPr>
              <w:br/>
              <w:t>AMINO ACID FORMULA WITH VITAMINS AND MINERALS WITHOUT METHIONINE</w:t>
            </w:r>
            <w:r w:rsidRPr="006B5404">
              <w:rPr>
                <w:rFonts w:ascii="Arial" w:hAnsi="Arial" w:cs="Arial"/>
                <w:color w:val="000000"/>
              </w:rPr>
              <w:br/>
              <w:t xml:space="preserve">AMINO ACID FORMULA WITH VITAMINS AND MINERALS WITHOUT VALINE,  LEUCINE AND ISOLEUCINE </w:t>
            </w:r>
            <w:r w:rsidRPr="006B5404">
              <w:rPr>
                <w:rFonts w:ascii="Arial" w:hAnsi="Arial" w:cs="Arial"/>
                <w:color w:val="000000"/>
              </w:rPr>
              <w:br/>
            </w:r>
            <w:r w:rsidRPr="006B5404">
              <w:rPr>
                <w:rFonts w:ascii="Arial" w:hAnsi="Arial" w:cs="Arial"/>
                <w:color w:val="000000"/>
              </w:rPr>
              <w:br/>
              <w:t>Oral powder 400 g</w:t>
            </w:r>
            <w:r w:rsidRPr="006B5404">
              <w:rPr>
                <w:rFonts w:ascii="Arial" w:hAnsi="Arial" w:cs="Arial"/>
                <w:color w:val="000000"/>
              </w:rPr>
              <w:br/>
            </w:r>
            <w:r w:rsidRPr="006B5404">
              <w:rPr>
                <w:rFonts w:ascii="Arial" w:hAnsi="Arial" w:cs="Arial"/>
                <w:color w:val="000000"/>
              </w:rPr>
              <w:br/>
              <w:t>PKU Anamix Infant</w:t>
            </w:r>
            <w:r w:rsidR="00563854">
              <w:rPr>
                <w:rFonts w:ascii="Arial" w:hAnsi="Arial" w:cs="Arial"/>
                <w:color w:val="000000"/>
              </w:rPr>
              <w:t>®</w:t>
            </w:r>
            <w:r w:rsidRPr="006B5404">
              <w:rPr>
                <w:rFonts w:ascii="Arial" w:hAnsi="Arial" w:cs="Arial"/>
                <w:color w:val="000000"/>
              </w:rPr>
              <w:br/>
              <w:t>TYR Anamix Infant</w:t>
            </w:r>
            <w:r w:rsidR="00563854">
              <w:rPr>
                <w:rFonts w:ascii="Arial" w:hAnsi="Arial" w:cs="Arial"/>
                <w:color w:val="000000"/>
              </w:rPr>
              <w:t>®</w:t>
            </w:r>
            <w:r w:rsidRPr="006B5404">
              <w:rPr>
                <w:rFonts w:ascii="Arial" w:hAnsi="Arial" w:cs="Arial"/>
                <w:color w:val="000000"/>
              </w:rPr>
              <w:br/>
              <w:t>GA1 Anamix Infant</w:t>
            </w:r>
            <w:r w:rsidR="00563854">
              <w:rPr>
                <w:rFonts w:ascii="Arial" w:hAnsi="Arial" w:cs="Arial"/>
                <w:color w:val="000000"/>
              </w:rPr>
              <w:t>®</w:t>
            </w:r>
            <w:r w:rsidRPr="006B5404">
              <w:rPr>
                <w:rFonts w:ascii="Arial" w:hAnsi="Arial" w:cs="Arial"/>
                <w:color w:val="000000"/>
              </w:rPr>
              <w:br/>
              <w:t>MMA/PA Anamix Infant</w:t>
            </w:r>
            <w:r w:rsidR="00563854">
              <w:rPr>
                <w:rFonts w:ascii="Arial" w:hAnsi="Arial" w:cs="Arial"/>
                <w:color w:val="000000"/>
              </w:rPr>
              <w:t>®</w:t>
            </w:r>
            <w:r w:rsidRPr="006B5404">
              <w:rPr>
                <w:rFonts w:ascii="Arial" w:hAnsi="Arial" w:cs="Arial"/>
                <w:color w:val="000000"/>
              </w:rPr>
              <w:br/>
              <w:t>HCU Anamix Infant</w:t>
            </w:r>
            <w:r w:rsidR="00563854">
              <w:rPr>
                <w:rFonts w:ascii="Arial" w:hAnsi="Arial" w:cs="Arial"/>
                <w:color w:val="000000"/>
              </w:rPr>
              <w:t>®</w:t>
            </w:r>
            <w:r w:rsidR="00E25603">
              <w:rPr>
                <w:rFonts w:ascii="Arial" w:hAnsi="Arial" w:cs="Arial"/>
                <w:color w:val="000000"/>
              </w:rPr>
              <w:br/>
              <w:t>MSUD Anamix Infant</w:t>
            </w:r>
            <w:r w:rsidR="00563854">
              <w:rPr>
                <w:rFonts w:ascii="Arial" w:hAnsi="Arial" w:cs="Arial"/>
                <w:color w:val="000000"/>
              </w:rPr>
              <w:t>®</w:t>
            </w:r>
            <w:r w:rsidRPr="006B5404">
              <w:rPr>
                <w:rFonts w:ascii="Arial" w:hAnsi="Arial" w:cs="Arial"/>
                <w:color w:val="000000"/>
              </w:rPr>
              <w:br/>
            </w:r>
            <w:r w:rsidRPr="006B5404">
              <w:rPr>
                <w:rFonts w:ascii="Arial" w:hAnsi="Arial" w:cs="Arial"/>
                <w:color w:val="000000"/>
              </w:rPr>
              <w:br/>
              <w:t>Nutricia Australia Pty Ltd</w:t>
            </w:r>
            <w:r w:rsidRPr="006B5404">
              <w:rPr>
                <w:rFonts w:ascii="Arial" w:hAnsi="Arial" w:cs="Arial"/>
                <w:color w:val="000000"/>
              </w:rPr>
              <w:br/>
            </w:r>
            <w:r w:rsidRPr="006B5404">
              <w:rPr>
                <w:rFonts w:ascii="Arial" w:hAnsi="Arial" w:cs="Arial"/>
                <w:color w:val="000000"/>
              </w:rPr>
              <w:br/>
              <w:t>Change to listing</w:t>
            </w:r>
            <w:r w:rsidRPr="006B5404">
              <w:rPr>
                <w:rFonts w:ascii="Arial" w:hAnsi="Arial" w:cs="Arial"/>
                <w:color w:val="000000"/>
              </w:rPr>
              <w:br/>
            </w:r>
            <w:r w:rsidRPr="00E16F30">
              <w:rPr>
                <w:rFonts w:ascii="Arial" w:hAnsi="Arial" w:cs="Arial"/>
                <w:color w:val="000000"/>
              </w:rPr>
              <w:t>(</w:t>
            </w:r>
            <w:r w:rsidR="00E16F30">
              <w:rPr>
                <w:rFonts w:ascii="Arial" w:hAnsi="Arial" w:cs="Arial"/>
                <w:color w:val="000000"/>
              </w:rPr>
              <w:t>Minor Submission</w:t>
            </w:r>
            <w:r w:rsidRPr="00E16F30">
              <w:rPr>
                <w:rFonts w:ascii="Arial" w:hAnsi="Arial" w:cs="Arial"/>
                <w:color w:val="000000"/>
              </w:rPr>
              <w:t>)</w:t>
            </w:r>
          </w:p>
        </w:tc>
        <w:tc>
          <w:tcPr>
            <w:tcW w:w="2401" w:type="dxa"/>
            <w:tcBorders>
              <w:top w:val="nil"/>
              <w:left w:val="nil"/>
              <w:bottom w:val="single" w:sz="4" w:space="0" w:color="auto"/>
              <w:right w:val="single" w:sz="4" w:space="0" w:color="auto"/>
            </w:tcBorders>
            <w:shd w:val="clear" w:color="auto" w:fill="auto"/>
            <w:tcMar>
              <w:top w:w="28" w:type="dxa"/>
              <w:bottom w:w="28" w:type="dxa"/>
            </w:tcMar>
          </w:tcPr>
          <w:p w14:paraId="329068A9" w14:textId="05A80AB9" w:rsidR="00380821" w:rsidRPr="006B5404" w:rsidRDefault="00380821" w:rsidP="00380821">
            <w:pPr>
              <w:rPr>
                <w:rFonts w:ascii="Arial" w:hAnsi="Arial" w:cs="Arial"/>
              </w:rPr>
            </w:pPr>
            <w:r w:rsidRPr="006B5404">
              <w:rPr>
                <w:rFonts w:ascii="Arial" w:hAnsi="Arial" w:cs="Arial"/>
                <w:color w:val="000000"/>
              </w:rPr>
              <w:t xml:space="preserve">Phenylketonuria </w:t>
            </w:r>
            <w:r w:rsidR="00A93965">
              <w:rPr>
                <w:rFonts w:ascii="Arial" w:hAnsi="Arial" w:cs="Arial"/>
                <w:color w:val="000000"/>
              </w:rPr>
              <w:t>(PKU)</w:t>
            </w:r>
            <w:r w:rsidRPr="006B5404">
              <w:rPr>
                <w:rFonts w:ascii="Arial" w:hAnsi="Arial" w:cs="Arial"/>
                <w:color w:val="000000"/>
              </w:rPr>
              <w:br/>
            </w:r>
            <w:proofErr w:type="spellStart"/>
            <w:r w:rsidRPr="006B5404">
              <w:rPr>
                <w:rFonts w:ascii="Arial" w:hAnsi="Arial" w:cs="Arial"/>
                <w:color w:val="000000"/>
              </w:rPr>
              <w:t>Tyrosinaemia</w:t>
            </w:r>
            <w:proofErr w:type="spellEnd"/>
            <w:r w:rsidRPr="006B5404">
              <w:rPr>
                <w:rFonts w:ascii="Arial" w:hAnsi="Arial" w:cs="Arial"/>
                <w:color w:val="000000"/>
              </w:rPr>
              <w:br/>
            </w:r>
            <w:proofErr w:type="spellStart"/>
            <w:r w:rsidRPr="006B5404">
              <w:rPr>
                <w:rFonts w:ascii="Arial" w:hAnsi="Arial" w:cs="Arial"/>
                <w:color w:val="000000"/>
              </w:rPr>
              <w:t>Glutaric</w:t>
            </w:r>
            <w:proofErr w:type="spellEnd"/>
            <w:r w:rsidRPr="006B5404">
              <w:rPr>
                <w:rFonts w:ascii="Arial" w:hAnsi="Arial" w:cs="Arial"/>
                <w:color w:val="000000"/>
              </w:rPr>
              <w:t xml:space="preserve"> </w:t>
            </w:r>
            <w:r w:rsidR="00AF1D58">
              <w:rPr>
                <w:rFonts w:ascii="Arial" w:hAnsi="Arial" w:cs="Arial"/>
                <w:color w:val="000000"/>
              </w:rPr>
              <w:t>aciduria t</w:t>
            </w:r>
            <w:r w:rsidRPr="006B5404">
              <w:rPr>
                <w:rFonts w:ascii="Arial" w:hAnsi="Arial" w:cs="Arial"/>
                <w:color w:val="000000"/>
              </w:rPr>
              <w:t>ype 1</w:t>
            </w:r>
            <w:r w:rsidR="00215E5C">
              <w:rPr>
                <w:rFonts w:ascii="Arial" w:hAnsi="Arial" w:cs="Arial"/>
                <w:color w:val="000000"/>
              </w:rPr>
              <w:t xml:space="preserve"> (GA1)</w:t>
            </w:r>
            <w:r w:rsidR="00A93965">
              <w:rPr>
                <w:rFonts w:ascii="Arial" w:hAnsi="Arial" w:cs="Arial"/>
                <w:color w:val="000000"/>
              </w:rPr>
              <w:br/>
            </w:r>
            <w:proofErr w:type="spellStart"/>
            <w:r w:rsidR="00A93965">
              <w:rPr>
                <w:rFonts w:ascii="Arial" w:hAnsi="Arial" w:cs="Arial"/>
                <w:color w:val="000000"/>
              </w:rPr>
              <w:t>Methylmalonic</w:t>
            </w:r>
            <w:proofErr w:type="spellEnd"/>
            <w:r w:rsidR="00A93965">
              <w:rPr>
                <w:rFonts w:ascii="Arial" w:hAnsi="Arial" w:cs="Arial"/>
                <w:color w:val="000000"/>
              </w:rPr>
              <w:t xml:space="preserve"> </w:t>
            </w:r>
            <w:proofErr w:type="spellStart"/>
            <w:r w:rsidR="00A93965">
              <w:rPr>
                <w:rFonts w:ascii="Arial" w:hAnsi="Arial" w:cs="Arial"/>
                <w:color w:val="000000"/>
              </w:rPr>
              <w:t>acidaemia</w:t>
            </w:r>
            <w:proofErr w:type="spellEnd"/>
            <w:r w:rsidR="00215E5C">
              <w:rPr>
                <w:rFonts w:ascii="Arial" w:hAnsi="Arial" w:cs="Arial"/>
                <w:color w:val="000000"/>
              </w:rPr>
              <w:t xml:space="preserve"> (MMA)</w:t>
            </w:r>
            <w:r w:rsidR="00A93965">
              <w:rPr>
                <w:rFonts w:ascii="Arial" w:hAnsi="Arial" w:cs="Arial"/>
                <w:color w:val="000000"/>
              </w:rPr>
              <w:t xml:space="preserve"> and Propionic </w:t>
            </w:r>
            <w:proofErr w:type="spellStart"/>
            <w:r w:rsidR="00A93965">
              <w:rPr>
                <w:rFonts w:ascii="Arial" w:hAnsi="Arial" w:cs="Arial"/>
                <w:color w:val="000000"/>
              </w:rPr>
              <w:t>a</w:t>
            </w:r>
            <w:r w:rsidRPr="006B5404">
              <w:rPr>
                <w:rFonts w:ascii="Arial" w:hAnsi="Arial" w:cs="Arial"/>
                <w:color w:val="000000"/>
              </w:rPr>
              <w:t>cidaemia</w:t>
            </w:r>
            <w:proofErr w:type="spellEnd"/>
            <w:r w:rsidR="00215E5C">
              <w:rPr>
                <w:rFonts w:ascii="Arial" w:hAnsi="Arial" w:cs="Arial"/>
                <w:color w:val="000000"/>
              </w:rPr>
              <w:t xml:space="preserve"> (PA)</w:t>
            </w:r>
            <w:r w:rsidRPr="006B5404">
              <w:rPr>
                <w:rFonts w:ascii="Arial" w:hAnsi="Arial" w:cs="Arial"/>
                <w:color w:val="000000"/>
              </w:rPr>
              <w:br/>
              <w:t xml:space="preserve">Proven pyridoxine non-responsive </w:t>
            </w:r>
            <w:proofErr w:type="spellStart"/>
            <w:r w:rsidRPr="006B5404">
              <w:rPr>
                <w:rFonts w:ascii="Arial" w:hAnsi="Arial" w:cs="Arial"/>
                <w:color w:val="000000"/>
              </w:rPr>
              <w:t>homocystinuria</w:t>
            </w:r>
            <w:proofErr w:type="spellEnd"/>
            <w:r w:rsidR="00E232E1">
              <w:rPr>
                <w:rFonts w:ascii="Arial" w:hAnsi="Arial" w:cs="Arial"/>
                <w:color w:val="000000"/>
              </w:rPr>
              <w:t xml:space="preserve"> (HCU) </w:t>
            </w:r>
            <w:r w:rsidR="00E232E1">
              <w:rPr>
                <w:rFonts w:ascii="Arial" w:hAnsi="Arial" w:cs="Arial"/>
                <w:color w:val="000000"/>
              </w:rPr>
              <w:br/>
              <w:t>Proven maple syrup urine d</w:t>
            </w:r>
            <w:r w:rsidRPr="006B5404">
              <w:rPr>
                <w:rFonts w:ascii="Arial" w:hAnsi="Arial" w:cs="Arial"/>
                <w:color w:val="000000"/>
              </w:rPr>
              <w:t xml:space="preserve">isease </w:t>
            </w:r>
            <w:r w:rsidR="00A93965">
              <w:rPr>
                <w:rFonts w:ascii="Arial" w:hAnsi="Arial" w:cs="Arial"/>
                <w:color w:val="000000"/>
              </w:rPr>
              <w:t>(MSUD)</w:t>
            </w:r>
          </w:p>
        </w:tc>
        <w:tc>
          <w:tcPr>
            <w:tcW w:w="2702" w:type="dxa"/>
            <w:tcBorders>
              <w:top w:val="nil"/>
              <w:left w:val="nil"/>
              <w:bottom w:val="single" w:sz="4" w:space="0" w:color="auto"/>
              <w:right w:val="single" w:sz="4" w:space="0" w:color="auto"/>
            </w:tcBorders>
            <w:shd w:val="clear" w:color="auto" w:fill="auto"/>
            <w:tcMar>
              <w:top w:w="28" w:type="dxa"/>
              <w:bottom w:w="28" w:type="dxa"/>
            </w:tcMar>
          </w:tcPr>
          <w:p w14:paraId="690BEBF1" w14:textId="334E4EDC" w:rsidR="00380821" w:rsidRPr="006B5404" w:rsidRDefault="00380821" w:rsidP="00380821">
            <w:pPr>
              <w:rPr>
                <w:rFonts w:ascii="Arial" w:hAnsi="Arial" w:cs="Arial"/>
              </w:rPr>
            </w:pPr>
            <w:r w:rsidRPr="006B5404">
              <w:rPr>
                <w:rFonts w:ascii="Arial" w:hAnsi="Arial" w:cs="Arial"/>
                <w:color w:val="000000"/>
              </w:rPr>
              <w:t>To request a change to the formulation of Anamix Infant products.</w:t>
            </w:r>
          </w:p>
        </w:tc>
        <w:tc>
          <w:tcPr>
            <w:tcW w:w="6604" w:type="dxa"/>
            <w:tcBorders>
              <w:top w:val="single" w:sz="4" w:space="0" w:color="auto"/>
              <w:left w:val="single" w:sz="4" w:space="0" w:color="auto"/>
              <w:bottom w:val="single" w:sz="4" w:space="0" w:color="auto"/>
              <w:right w:val="single" w:sz="4" w:space="0" w:color="auto"/>
            </w:tcBorders>
          </w:tcPr>
          <w:p w14:paraId="2A623012" w14:textId="72761751" w:rsidR="00A93965" w:rsidRPr="00A93965" w:rsidRDefault="00CE227D" w:rsidP="00CE227D">
            <w:pPr>
              <w:rPr>
                <w:rFonts w:ascii="Arial" w:hAnsi="Arial" w:cs="Arial"/>
                <w:color w:val="000000"/>
              </w:rPr>
            </w:pPr>
            <w:r w:rsidRPr="00A93965">
              <w:rPr>
                <w:rFonts w:ascii="Arial" w:hAnsi="Arial" w:cs="Arial"/>
                <w:color w:val="000000"/>
              </w:rPr>
              <w:t xml:space="preserve">The PBAC recommended continuing the listings of: </w:t>
            </w:r>
          </w:p>
          <w:p w14:paraId="6AC30108" w14:textId="05F0BF65" w:rsidR="00A93965" w:rsidRPr="00A93965" w:rsidRDefault="00CE227D" w:rsidP="00A93965">
            <w:pPr>
              <w:pStyle w:val="ListParagraph"/>
              <w:numPr>
                <w:ilvl w:val="0"/>
                <w:numId w:val="36"/>
              </w:numPr>
              <w:rPr>
                <w:rFonts w:ascii="Arial" w:hAnsi="Arial" w:cs="Arial"/>
                <w:color w:val="000000"/>
                <w:sz w:val="20"/>
                <w:szCs w:val="20"/>
              </w:rPr>
            </w:pPr>
            <w:r w:rsidRPr="00A93965">
              <w:rPr>
                <w:rFonts w:ascii="Arial" w:hAnsi="Arial" w:cs="Arial"/>
                <w:color w:val="000000"/>
                <w:sz w:val="20"/>
                <w:szCs w:val="20"/>
              </w:rPr>
              <w:t>PKU Anamix Infant</w:t>
            </w:r>
            <w:r w:rsidR="00563854">
              <w:rPr>
                <w:rFonts w:ascii="Arial" w:hAnsi="Arial" w:cs="Arial"/>
                <w:color w:val="000000"/>
              </w:rPr>
              <w:t>®</w:t>
            </w:r>
            <w:r w:rsidRPr="00A93965">
              <w:rPr>
                <w:rFonts w:ascii="Arial" w:hAnsi="Arial" w:cs="Arial"/>
                <w:color w:val="000000"/>
                <w:sz w:val="20"/>
                <w:szCs w:val="20"/>
                <w:vertAlign w:val="superscript"/>
              </w:rPr>
              <w:t xml:space="preserve"> </w:t>
            </w:r>
            <w:r w:rsidRPr="00A93965">
              <w:rPr>
                <w:rFonts w:ascii="Arial" w:hAnsi="Arial" w:cs="Arial"/>
                <w:color w:val="000000"/>
                <w:sz w:val="20"/>
                <w:szCs w:val="20"/>
              </w:rPr>
              <w:t xml:space="preserve">for the dietary management of </w:t>
            </w:r>
            <w:r w:rsidR="00A93965" w:rsidRPr="00A93965">
              <w:rPr>
                <w:rFonts w:ascii="Arial" w:hAnsi="Arial" w:cs="Arial"/>
                <w:color w:val="000000"/>
                <w:sz w:val="20"/>
                <w:szCs w:val="20"/>
              </w:rPr>
              <w:t>PKU</w:t>
            </w:r>
            <w:r w:rsidRPr="00A93965">
              <w:rPr>
                <w:rFonts w:ascii="Arial" w:hAnsi="Arial" w:cs="Arial"/>
                <w:color w:val="000000"/>
                <w:sz w:val="20"/>
                <w:szCs w:val="20"/>
              </w:rPr>
              <w:t xml:space="preserve">; </w:t>
            </w:r>
          </w:p>
          <w:p w14:paraId="186C54CA" w14:textId="02C9EBAF" w:rsidR="00A93965" w:rsidRPr="00A93965" w:rsidRDefault="00CE227D" w:rsidP="00A93965">
            <w:pPr>
              <w:pStyle w:val="ListParagraph"/>
              <w:numPr>
                <w:ilvl w:val="0"/>
                <w:numId w:val="36"/>
              </w:numPr>
              <w:rPr>
                <w:rFonts w:ascii="Arial" w:hAnsi="Arial" w:cs="Arial"/>
                <w:color w:val="000000"/>
                <w:sz w:val="20"/>
                <w:szCs w:val="20"/>
              </w:rPr>
            </w:pPr>
            <w:r w:rsidRPr="00A93965">
              <w:rPr>
                <w:rFonts w:ascii="Arial" w:hAnsi="Arial" w:cs="Arial"/>
                <w:color w:val="000000"/>
                <w:sz w:val="20"/>
                <w:szCs w:val="20"/>
              </w:rPr>
              <w:t>TYR Anamix Infant</w:t>
            </w:r>
            <w:r w:rsidR="00563854">
              <w:rPr>
                <w:rFonts w:ascii="Arial" w:hAnsi="Arial" w:cs="Arial"/>
                <w:color w:val="000000"/>
              </w:rPr>
              <w:t>®</w:t>
            </w:r>
            <w:r w:rsidRPr="00A93965">
              <w:rPr>
                <w:rFonts w:ascii="Arial" w:hAnsi="Arial" w:cs="Arial"/>
                <w:color w:val="000000"/>
                <w:sz w:val="20"/>
                <w:szCs w:val="20"/>
              </w:rPr>
              <w:t xml:space="preserve"> for the dietary management of </w:t>
            </w:r>
            <w:proofErr w:type="spellStart"/>
            <w:r w:rsidRPr="00A93965">
              <w:rPr>
                <w:rFonts w:ascii="Arial" w:hAnsi="Arial" w:cs="Arial"/>
                <w:color w:val="000000"/>
                <w:sz w:val="20"/>
                <w:szCs w:val="20"/>
              </w:rPr>
              <w:t>Tyrosinaemia</w:t>
            </w:r>
            <w:proofErr w:type="spellEnd"/>
            <w:r w:rsidRPr="00A93965">
              <w:rPr>
                <w:rFonts w:ascii="Arial" w:hAnsi="Arial" w:cs="Arial"/>
                <w:color w:val="000000"/>
                <w:sz w:val="20"/>
                <w:szCs w:val="20"/>
              </w:rPr>
              <w:t xml:space="preserve">; </w:t>
            </w:r>
          </w:p>
          <w:p w14:paraId="13E220F1" w14:textId="4D37983A" w:rsidR="00A93965" w:rsidRPr="00A93965" w:rsidRDefault="00CE227D" w:rsidP="00A93965">
            <w:pPr>
              <w:pStyle w:val="ListParagraph"/>
              <w:numPr>
                <w:ilvl w:val="0"/>
                <w:numId w:val="36"/>
              </w:numPr>
              <w:rPr>
                <w:rFonts w:ascii="Arial" w:hAnsi="Arial" w:cs="Arial"/>
                <w:color w:val="000000"/>
                <w:sz w:val="20"/>
                <w:szCs w:val="20"/>
              </w:rPr>
            </w:pPr>
            <w:r w:rsidRPr="00A93965">
              <w:rPr>
                <w:rFonts w:ascii="Arial" w:hAnsi="Arial" w:cs="Arial"/>
                <w:color w:val="000000"/>
                <w:sz w:val="20"/>
                <w:szCs w:val="20"/>
              </w:rPr>
              <w:t>GA1 Anamix Infant</w:t>
            </w:r>
            <w:r w:rsidR="00563854">
              <w:rPr>
                <w:rFonts w:ascii="Arial" w:hAnsi="Arial" w:cs="Arial"/>
                <w:color w:val="000000"/>
              </w:rPr>
              <w:t xml:space="preserve">® </w:t>
            </w:r>
            <w:r w:rsidRPr="00A93965">
              <w:rPr>
                <w:rFonts w:ascii="Arial" w:hAnsi="Arial" w:cs="Arial"/>
                <w:color w:val="000000"/>
                <w:sz w:val="20"/>
                <w:szCs w:val="20"/>
              </w:rPr>
              <w:t>for the dietary management of p</w:t>
            </w:r>
            <w:r w:rsidR="00E232E1">
              <w:rPr>
                <w:rFonts w:ascii="Arial" w:hAnsi="Arial" w:cs="Arial"/>
                <w:color w:val="000000"/>
                <w:sz w:val="20"/>
                <w:szCs w:val="20"/>
              </w:rPr>
              <w:t xml:space="preserve">roven </w:t>
            </w:r>
            <w:r w:rsidR="00BE2CFF">
              <w:rPr>
                <w:rFonts w:ascii="Arial" w:hAnsi="Arial" w:cs="Arial"/>
                <w:color w:val="000000"/>
                <w:sz w:val="20"/>
                <w:szCs w:val="20"/>
              </w:rPr>
              <w:t>GA1</w:t>
            </w:r>
            <w:r w:rsidR="00A93965" w:rsidRPr="00A93965">
              <w:rPr>
                <w:rFonts w:ascii="Arial" w:hAnsi="Arial" w:cs="Arial"/>
                <w:color w:val="000000"/>
                <w:sz w:val="20"/>
                <w:szCs w:val="20"/>
              </w:rPr>
              <w:t>;</w:t>
            </w:r>
          </w:p>
          <w:p w14:paraId="328619A7" w14:textId="0384A290" w:rsidR="00A93965" w:rsidRPr="00A93965" w:rsidRDefault="00CE227D" w:rsidP="00A93965">
            <w:pPr>
              <w:pStyle w:val="ListParagraph"/>
              <w:numPr>
                <w:ilvl w:val="0"/>
                <w:numId w:val="36"/>
              </w:numPr>
              <w:rPr>
                <w:rFonts w:ascii="Arial" w:hAnsi="Arial" w:cs="Arial"/>
                <w:color w:val="000000"/>
                <w:sz w:val="20"/>
                <w:szCs w:val="20"/>
              </w:rPr>
            </w:pPr>
            <w:r w:rsidRPr="00A93965">
              <w:rPr>
                <w:rFonts w:ascii="Arial" w:hAnsi="Arial" w:cs="Arial"/>
                <w:color w:val="000000"/>
                <w:sz w:val="20"/>
                <w:szCs w:val="20"/>
              </w:rPr>
              <w:t>MMA/PA Anamix Infant</w:t>
            </w:r>
            <w:r w:rsidR="00563854">
              <w:rPr>
                <w:rFonts w:ascii="Arial" w:hAnsi="Arial" w:cs="Arial"/>
                <w:color w:val="000000"/>
              </w:rPr>
              <w:t>®</w:t>
            </w:r>
            <w:r w:rsidRPr="00A93965">
              <w:rPr>
                <w:rFonts w:ascii="Arial" w:hAnsi="Arial" w:cs="Arial"/>
                <w:color w:val="000000"/>
                <w:sz w:val="20"/>
                <w:szCs w:val="20"/>
              </w:rPr>
              <w:t xml:space="preserve"> for th</w:t>
            </w:r>
            <w:r w:rsidR="00E232E1">
              <w:rPr>
                <w:rFonts w:ascii="Arial" w:hAnsi="Arial" w:cs="Arial"/>
                <w:color w:val="000000"/>
                <w:sz w:val="20"/>
                <w:szCs w:val="20"/>
              </w:rPr>
              <w:t xml:space="preserve">e dietary management of proven </w:t>
            </w:r>
            <w:r w:rsidR="00935827">
              <w:rPr>
                <w:rFonts w:ascii="Arial" w:hAnsi="Arial" w:cs="Arial"/>
                <w:color w:val="000000"/>
                <w:sz w:val="20"/>
                <w:szCs w:val="20"/>
              </w:rPr>
              <w:t>MMA</w:t>
            </w:r>
            <w:r w:rsidR="00E232E1">
              <w:rPr>
                <w:rFonts w:ascii="Arial" w:hAnsi="Arial" w:cs="Arial"/>
                <w:color w:val="000000"/>
                <w:sz w:val="20"/>
                <w:szCs w:val="20"/>
              </w:rPr>
              <w:t xml:space="preserve"> and</w:t>
            </w:r>
            <w:r w:rsidR="00935827">
              <w:rPr>
                <w:rFonts w:ascii="Arial" w:hAnsi="Arial" w:cs="Arial"/>
                <w:color w:val="000000"/>
                <w:sz w:val="20"/>
                <w:szCs w:val="20"/>
              </w:rPr>
              <w:t xml:space="preserve"> PA</w:t>
            </w:r>
            <w:r w:rsidR="00A93965" w:rsidRPr="00A93965">
              <w:rPr>
                <w:rFonts w:ascii="Arial" w:hAnsi="Arial" w:cs="Arial"/>
                <w:color w:val="000000"/>
                <w:sz w:val="20"/>
                <w:szCs w:val="20"/>
              </w:rPr>
              <w:t>;</w:t>
            </w:r>
          </w:p>
          <w:p w14:paraId="65304FCD" w14:textId="3612D461" w:rsidR="00A93965" w:rsidRPr="00A93965" w:rsidRDefault="00CE227D" w:rsidP="00A93965">
            <w:pPr>
              <w:pStyle w:val="ListParagraph"/>
              <w:numPr>
                <w:ilvl w:val="0"/>
                <w:numId w:val="36"/>
              </w:numPr>
              <w:rPr>
                <w:rFonts w:ascii="Arial" w:hAnsi="Arial" w:cs="Arial"/>
                <w:color w:val="000000"/>
                <w:sz w:val="20"/>
                <w:szCs w:val="20"/>
              </w:rPr>
            </w:pPr>
            <w:r w:rsidRPr="00A93965">
              <w:rPr>
                <w:rFonts w:ascii="Arial" w:hAnsi="Arial" w:cs="Arial"/>
                <w:color w:val="000000"/>
                <w:sz w:val="20"/>
                <w:szCs w:val="20"/>
              </w:rPr>
              <w:t>HCU Anamix Infant</w:t>
            </w:r>
            <w:r w:rsidR="00563854">
              <w:rPr>
                <w:rFonts w:ascii="Arial" w:hAnsi="Arial" w:cs="Arial"/>
                <w:color w:val="000000"/>
              </w:rPr>
              <w:t>®</w:t>
            </w:r>
            <w:r w:rsidRPr="00A93965">
              <w:rPr>
                <w:rFonts w:ascii="Arial" w:hAnsi="Arial" w:cs="Arial"/>
                <w:color w:val="000000"/>
                <w:sz w:val="20"/>
                <w:szCs w:val="20"/>
              </w:rPr>
              <w:t xml:space="preserve"> for the dietary management of proven </w:t>
            </w:r>
            <w:r w:rsidR="00E232E1">
              <w:rPr>
                <w:rFonts w:ascii="Arial" w:hAnsi="Arial" w:cs="Arial"/>
                <w:color w:val="000000"/>
                <w:sz w:val="20"/>
                <w:szCs w:val="20"/>
              </w:rPr>
              <w:t>p</w:t>
            </w:r>
            <w:r w:rsidRPr="00A93965">
              <w:rPr>
                <w:rFonts w:ascii="Arial" w:hAnsi="Arial" w:cs="Arial"/>
                <w:color w:val="000000"/>
                <w:sz w:val="20"/>
                <w:szCs w:val="20"/>
              </w:rPr>
              <w:t>yridoxine non</w:t>
            </w:r>
            <w:r w:rsidR="00A93965" w:rsidRPr="00A93965">
              <w:rPr>
                <w:rFonts w:ascii="Arial" w:hAnsi="Arial" w:cs="Arial"/>
                <w:color w:val="000000"/>
                <w:sz w:val="20"/>
                <w:szCs w:val="20"/>
              </w:rPr>
              <w:t xml:space="preserve">-responsive </w:t>
            </w:r>
            <w:r w:rsidR="00E232E1">
              <w:rPr>
                <w:rFonts w:ascii="Arial" w:hAnsi="Arial" w:cs="Arial"/>
                <w:color w:val="000000"/>
                <w:sz w:val="20"/>
                <w:szCs w:val="20"/>
              </w:rPr>
              <w:t>HCU</w:t>
            </w:r>
            <w:r w:rsidR="00A93965" w:rsidRPr="00A93965">
              <w:rPr>
                <w:rFonts w:ascii="Arial" w:hAnsi="Arial" w:cs="Arial"/>
                <w:color w:val="000000"/>
                <w:sz w:val="20"/>
                <w:szCs w:val="20"/>
              </w:rPr>
              <w:t>; and</w:t>
            </w:r>
          </w:p>
          <w:p w14:paraId="453B053F" w14:textId="54320A4A" w:rsidR="00CE227D" w:rsidRPr="00A93965" w:rsidRDefault="00CE227D" w:rsidP="00A93965">
            <w:pPr>
              <w:pStyle w:val="ListParagraph"/>
              <w:numPr>
                <w:ilvl w:val="0"/>
                <w:numId w:val="36"/>
              </w:numPr>
              <w:rPr>
                <w:rFonts w:ascii="Arial" w:hAnsi="Arial" w:cs="Arial"/>
                <w:color w:val="000000"/>
                <w:sz w:val="20"/>
                <w:szCs w:val="20"/>
              </w:rPr>
            </w:pPr>
            <w:r w:rsidRPr="00A93965">
              <w:rPr>
                <w:rFonts w:ascii="Arial" w:hAnsi="Arial" w:cs="Arial"/>
                <w:color w:val="000000"/>
                <w:sz w:val="20"/>
                <w:szCs w:val="20"/>
              </w:rPr>
              <w:t>MSUD Anamix Infant</w:t>
            </w:r>
            <w:r w:rsidR="00563854">
              <w:rPr>
                <w:rFonts w:ascii="Arial" w:hAnsi="Arial" w:cs="Arial"/>
                <w:color w:val="000000"/>
              </w:rPr>
              <w:t>®</w:t>
            </w:r>
            <w:r w:rsidRPr="00A93965">
              <w:rPr>
                <w:rFonts w:ascii="Arial" w:hAnsi="Arial" w:cs="Arial"/>
                <w:color w:val="000000"/>
                <w:sz w:val="20"/>
                <w:szCs w:val="20"/>
              </w:rPr>
              <w:t xml:space="preserve"> for the dietary management of proven </w:t>
            </w:r>
            <w:r w:rsidR="00E232E1">
              <w:rPr>
                <w:rFonts w:ascii="Arial" w:hAnsi="Arial" w:cs="Arial"/>
                <w:color w:val="000000"/>
                <w:sz w:val="20"/>
                <w:szCs w:val="20"/>
              </w:rPr>
              <w:t>MSUD</w:t>
            </w:r>
            <w:r w:rsidRPr="00A93965">
              <w:rPr>
                <w:rFonts w:ascii="Arial" w:hAnsi="Arial" w:cs="Arial"/>
                <w:color w:val="000000"/>
                <w:sz w:val="20"/>
                <w:szCs w:val="20"/>
              </w:rPr>
              <w:t>, following their reformulation due to changes in European compositional standards.</w:t>
            </w:r>
          </w:p>
          <w:p w14:paraId="5DEE1A8A" w14:textId="08BDFF7A" w:rsidR="00380821" w:rsidRPr="006B5404" w:rsidRDefault="00380821" w:rsidP="00380821">
            <w:pPr>
              <w:widowControl w:val="0"/>
              <w:spacing w:after="120"/>
              <w:rPr>
                <w:rFonts w:ascii="Arial" w:hAnsi="Arial" w:cs="Arial"/>
              </w:rPr>
            </w:pPr>
          </w:p>
        </w:tc>
      </w:tr>
      <w:tr w:rsidR="00380821" w:rsidRPr="006B5404" w14:paraId="2368025A" w14:textId="77777777" w:rsidTr="00891EAA">
        <w:trPr>
          <w:cantSplit/>
          <w:trHeight w:val="430"/>
        </w:trPr>
        <w:tc>
          <w:tcPr>
            <w:tcW w:w="3681" w:type="dxa"/>
            <w:tcBorders>
              <w:top w:val="nil"/>
              <w:left w:val="single" w:sz="4" w:space="0" w:color="auto"/>
              <w:bottom w:val="single" w:sz="4" w:space="0" w:color="auto"/>
              <w:right w:val="single" w:sz="4" w:space="0" w:color="auto"/>
            </w:tcBorders>
            <w:shd w:val="clear" w:color="auto" w:fill="auto"/>
            <w:tcMar>
              <w:top w:w="28" w:type="dxa"/>
              <w:bottom w:w="28" w:type="dxa"/>
            </w:tcMar>
          </w:tcPr>
          <w:p w14:paraId="2AE693C6" w14:textId="72908E12" w:rsidR="00380821" w:rsidRPr="006B5404" w:rsidRDefault="00380821" w:rsidP="00BC458C">
            <w:pPr>
              <w:rPr>
                <w:rFonts w:ascii="Arial" w:hAnsi="Arial" w:cs="Arial"/>
              </w:rPr>
            </w:pPr>
            <w:r w:rsidRPr="006B5404">
              <w:rPr>
                <w:rFonts w:ascii="Arial" w:hAnsi="Arial" w:cs="Arial"/>
                <w:color w:val="000000"/>
              </w:rPr>
              <w:lastRenderedPageBreak/>
              <w:t>APREMILAST</w:t>
            </w:r>
            <w:r w:rsidRPr="006B5404">
              <w:rPr>
                <w:rFonts w:ascii="Arial" w:hAnsi="Arial" w:cs="Arial"/>
                <w:color w:val="000000"/>
              </w:rPr>
              <w:br/>
            </w:r>
            <w:r w:rsidRPr="006B5404">
              <w:rPr>
                <w:rFonts w:ascii="Arial" w:hAnsi="Arial" w:cs="Arial"/>
                <w:color w:val="000000"/>
              </w:rPr>
              <w:br/>
              <w:t>Tablet 30 mg</w:t>
            </w:r>
            <w:r w:rsidRPr="006B5404">
              <w:rPr>
                <w:rFonts w:ascii="Arial" w:hAnsi="Arial" w:cs="Arial"/>
                <w:color w:val="000000"/>
              </w:rPr>
              <w:br/>
              <w:t>Pack containing 4 tablets of 10 mg, 4</w:t>
            </w:r>
            <w:r w:rsidR="00BC458C">
              <w:rPr>
                <w:rFonts w:ascii="Arial" w:hAnsi="Arial" w:cs="Arial"/>
                <w:color w:val="000000"/>
              </w:rPr>
              <w:t> </w:t>
            </w:r>
            <w:r w:rsidRPr="006B5404">
              <w:rPr>
                <w:rFonts w:ascii="Arial" w:hAnsi="Arial" w:cs="Arial"/>
                <w:color w:val="000000"/>
              </w:rPr>
              <w:t>tablets of 20 mg and 19 tablets of 30</w:t>
            </w:r>
            <w:r w:rsidR="00BC458C">
              <w:rPr>
                <w:rFonts w:ascii="Arial" w:hAnsi="Arial" w:cs="Arial"/>
                <w:color w:val="000000"/>
              </w:rPr>
              <w:t> </w:t>
            </w:r>
            <w:r w:rsidRPr="006B5404">
              <w:rPr>
                <w:rFonts w:ascii="Arial" w:hAnsi="Arial" w:cs="Arial"/>
                <w:color w:val="000000"/>
              </w:rPr>
              <w:t>mg</w:t>
            </w:r>
            <w:r w:rsidRPr="006B5404">
              <w:rPr>
                <w:rFonts w:ascii="Arial" w:hAnsi="Arial" w:cs="Arial"/>
                <w:color w:val="000000"/>
              </w:rPr>
              <w:br/>
            </w:r>
            <w:proofErr w:type="spellStart"/>
            <w:r w:rsidR="00E25603">
              <w:rPr>
                <w:rFonts w:ascii="Arial" w:hAnsi="Arial" w:cs="Arial"/>
                <w:color w:val="000000"/>
              </w:rPr>
              <w:t>Otezla</w:t>
            </w:r>
            <w:proofErr w:type="spellEnd"/>
            <w:r w:rsidR="00563854">
              <w:rPr>
                <w:rFonts w:ascii="Arial" w:hAnsi="Arial" w:cs="Arial"/>
                <w:color w:val="000000"/>
              </w:rPr>
              <w:t>®</w:t>
            </w:r>
            <w:r w:rsidRPr="006B5404">
              <w:rPr>
                <w:rFonts w:ascii="Arial" w:hAnsi="Arial" w:cs="Arial"/>
                <w:color w:val="000000"/>
              </w:rPr>
              <w:br/>
            </w:r>
            <w:r w:rsidRPr="006B5404">
              <w:rPr>
                <w:rFonts w:ascii="Arial" w:hAnsi="Arial" w:cs="Arial"/>
                <w:color w:val="000000"/>
              </w:rPr>
              <w:br/>
              <w:t>Amgen Australia Pty Ltd</w:t>
            </w:r>
            <w:r w:rsidRPr="006B5404">
              <w:rPr>
                <w:rFonts w:ascii="Arial" w:hAnsi="Arial" w:cs="Arial"/>
                <w:color w:val="000000"/>
              </w:rPr>
              <w:br/>
            </w:r>
            <w:r w:rsidRPr="006B5404">
              <w:rPr>
                <w:rFonts w:ascii="Arial" w:hAnsi="Arial" w:cs="Arial"/>
                <w:color w:val="000000"/>
              </w:rPr>
              <w:br/>
              <w:t>New listing</w:t>
            </w:r>
            <w:r w:rsidRPr="006B5404">
              <w:rPr>
                <w:rFonts w:ascii="Arial" w:hAnsi="Arial" w:cs="Arial"/>
                <w:color w:val="000000"/>
              </w:rPr>
              <w:br/>
              <w:t>(Minor Submission)</w:t>
            </w:r>
          </w:p>
        </w:tc>
        <w:tc>
          <w:tcPr>
            <w:tcW w:w="2401" w:type="dxa"/>
            <w:tcBorders>
              <w:top w:val="nil"/>
              <w:left w:val="nil"/>
              <w:bottom w:val="single" w:sz="4" w:space="0" w:color="auto"/>
              <w:right w:val="single" w:sz="4" w:space="0" w:color="auto"/>
            </w:tcBorders>
            <w:shd w:val="clear" w:color="auto" w:fill="auto"/>
            <w:tcMar>
              <w:top w:w="28" w:type="dxa"/>
              <w:bottom w:w="28" w:type="dxa"/>
            </w:tcMar>
          </w:tcPr>
          <w:p w14:paraId="6ABFD2FE" w14:textId="41B02006" w:rsidR="00380821" w:rsidRPr="006B5404" w:rsidRDefault="00380821" w:rsidP="00380821">
            <w:pPr>
              <w:rPr>
                <w:rFonts w:ascii="Arial" w:hAnsi="Arial" w:cs="Arial"/>
              </w:rPr>
            </w:pPr>
            <w:r w:rsidRPr="006B5404">
              <w:rPr>
                <w:rFonts w:ascii="Arial" w:hAnsi="Arial" w:cs="Arial"/>
                <w:color w:val="000000"/>
              </w:rPr>
              <w:t>Plaque psoriasis</w:t>
            </w:r>
          </w:p>
        </w:tc>
        <w:tc>
          <w:tcPr>
            <w:tcW w:w="2702" w:type="dxa"/>
            <w:tcBorders>
              <w:top w:val="nil"/>
              <w:left w:val="nil"/>
              <w:bottom w:val="single" w:sz="4" w:space="0" w:color="auto"/>
              <w:right w:val="single" w:sz="4" w:space="0" w:color="auto"/>
            </w:tcBorders>
            <w:shd w:val="clear" w:color="auto" w:fill="auto"/>
            <w:tcMar>
              <w:top w:w="28" w:type="dxa"/>
              <w:bottom w:w="28" w:type="dxa"/>
            </w:tcMar>
          </w:tcPr>
          <w:p w14:paraId="5C0E3FBA" w14:textId="0B3D4703" w:rsidR="00380821" w:rsidRPr="006B5404" w:rsidRDefault="00380821" w:rsidP="00380821">
            <w:pPr>
              <w:rPr>
                <w:rFonts w:ascii="Arial" w:hAnsi="Arial" w:cs="Arial"/>
              </w:rPr>
            </w:pPr>
            <w:r w:rsidRPr="006B5404">
              <w:rPr>
                <w:rFonts w:ascii="Arial" w:hAnsi="Arial" w:cs="Arial"/>
                <w:color w:val="000000"/>
              </w:rPr>
              <w:t xml:space="preserve">Resubmission to request the Authority Required (STREAMLINED) listing of </w:t>
            </w:r>
            <w:proofErr w:type="spellStart"/>
            <w:r w:rsidRPr="006B5404">
              <w:rPr>
                <w:rFonts w:ascii="Arial" w:hAnsi="Arial" w:cs="Arial"/>
                <w:color w:val="000000"/>
              </w:rPr>
              <w:t>apremilast</w:t>
            </w:r>
            <w:proofErr w:type="spellEnd"/>
            <w:r w:rsidRPr="006B5404">
              <w:rPr>
                <w:rFonts w:ascii="Arial" w:hAnsi="Arial" w:cs="Arial"/>
                <w:color w:val="000000"/>
              </w:rPr>
              <w:t xml:space="preserve"> for the treatment of plaque psoriasis</w:t>
            </w:r>
            <w:r w:rsidR="00AF1D58">
              <w:rPr>
                <w:rFonts w:ascii="Arial" w:hAnsi="Arial" w:cs="Arial"/>
                <w:color w:val="000000"/>
              </w:rPr>
              <w:t>.</w:t>
            </w:r>
          </w:p>
        </w:tc>
        <w:tc>
          <w:tcPr>
            <w:tcW w:w="6604" w:type="dxa"/>
            <w:tcBorders>
              <w:top w:val="single" w:sz="4" w:space="0" w:color="auto"/>
              <w:left w:val="single" w:sz="4" w:space="0" w:color="auto"/>
              <w:bottom w:val="single" w:sz="4" w:space="0" w:color="auto"/>
              <w:right w:val="single" w:sz="4" w:space="0" w:color="auto"/>
            </w:tcBorders>
          </w:tcPr>
          <w:p w14:paraId="5E87E6D9" w14:textId="266BD6DE" w:rsidR="00CE227D" w:rsidRPr="006B5404" w:rsidRDefault="00CE227D" w:rsidP="00CE227D">
            <w:pPr>
              <w:rPr>
                <w:rFonts w:ascii="Arial" w:hAnsi="Arial" w:cs="Arial"/>
                <w:color w:val="000000"/>
              </w:rPr>
            </w:pPr>
            <w:r w:rsidRPr="006B5404">
              <w:rPr>
                <w:rFonts w:ascii="Arial" w:hAnsi="Arial" w:cs="Arial"/>
                <w:color w:val="000000"/>
              </w:rPr>
              <w:t xml:space="preserve">The PBAC recommended the listing of </w:t>
            </w:r>
            <w:proofErr w:type="spellStart"/>
            <w:r w:rsidRPr="006B5404">
              <w:rPr>
                <w:rFonts w:ascii="Arial" w:hAnsi="Arial" w:cs="Arial"/>
                <w:color w:val="000000"/>
              </w:rPr>
              <w:t>apremilast</w:t>
            </w:r>
            <w:proofErr w:type="spellEnd"/>
            <w:r w:rsidRPr="006B5404">
              <w:rPr>
                <w:rFonts w:ascii="Arial" w:hAnsi="Arial" w:cs="Arial"/>
                <w:color w:val="000000"/>
              </w:rPr>
              <w:t xml:space="preserve"> for the treatment of severe chronic plaque psoriasis in patients who have failed treatment with or who are contraindicated or intolerant to methotrexate. The PBA</w:t>
            </w:r>
            <w:r w:rsidR="004B349C">
              <w:rPr>
                <w:rFonts w:ascii="Arial" w:hAnsi="Arial" w:cs="Arial"/>
                <w:color w:val="000000"/>
              </w:rPr>
              <w:t>C recommended listing on a cost-</w:t>
            </w:r>
            <w:r w:rsidRPr="006B5404">
              <w:rPr>
                <w:rFonts w:ascii="Arial" w:hAnsi="Arial" w:cs="Arial"/>
                <w:color w:val="000000"/>
              </w:rPr>
              <w:t xml:space="preserve">minimisation basis with </w:t>
            </w:r>
            <w:proofErr w:type="spellStart"/>
            <w:r w:rsidRPr="006B5404">
              <w:rPr>
                <w:rFonts w:ascii="Arial" w:hAnsi="Arial" w:cs="Arial"/>
                <w:color w:val="000000"/>
              </w:rPr>
              <w:t>cyclosporin</w:t>
            </w:r>
            <w:proofErr w:type="spellEnd"/>
            <w:r w:rsidRPr="006B5404">
              <w:rPr>
                <w:rFonts w:ascii="Arial" w:hAnsi="Arial" w:cs="Arial"/>
                <w:color w:val="000000"/>
              </w:rPr>
              <w:t xml:space="preserve"> after accounting for differential adverse event and patient monitoring costs. In making this recommendation, the PBAC accepted that the resubmission had adequately addressed concerns raised in previous considerations and had appropriately proposed a price and </w:t>
            </w:r>
            <w:r w:rsidR="000A31F1">
              <w:rPr>
                <w:rFonts w:ascii="Arial" w:hAnsi="Arial" w:cs="Arial"/>
                <w:color w:val="000000"/>
              </w:rPr>
              <w:t>Risk Sharing A</w:t>
            </w:r>
            <w:r w:rsidRPr="006B5404">
              <w:rPr>
                <w:rFonts w:ascii="Arial" w:hAnsi="Arial" w:cs="Arial"/>
                <w:color w:val="000000"/>
              </w:rPr>
              <w:t>rrangement consistent with Committee’s November 2017 advice.</w:t>
            </w:r>
          </w:p>
          <w:p w14:paraId="4C66EB91" w14:textId="504F7AD7" w:rsidR="00380821" w:rsidRPr="006B5404" w:rsidRDefault="00380821" w:rsidP="00380821">
            <w:pPr>
              <w:widowControl w:val="0"/>
              <w:spacing w:after="120"/>
              <w:rPr>
                <w:rFonts w:ascii="Arial" w:hAnsi="Arial" w:cs="Arial"/>
              </w:rPr>
            </w:pPr>
          </w:p>
        </w:tc>
      </w:tr>
      <w:tr w:rsidR="00380821" w:rsidRPr="006B5404" w14:paraId="26341AD0" w14:textId="77777777" w:rsidTr="00891EAA">
        <w:trPr>
          <w:cantSplit/>
          <w:trHeight w:val="430"/>
        </w:trPr>
        <w:tc>
          <w:tcPr>
            <w:tcW w:w="3681" w:type="dxa"/>
            <w:tcBorders>
              <w:top w:val="nil"/>
              <w:left w:val="single" w:sz="4" w:space="0" w:color="auto"/>
              <w:bottom w:val="single" w:sz="4" w:space="0" w:color="auto"/>
              <w:right w:val="single" w:sz="4" w:space="0" w:color="auto"/>
            </w:tcBorders>
            <w:shd w:val="clear" w:color="auto" w:fill="auto"/>
            <w:tcMar>
              <w:top w:w="28" w:type="dxa"/>
              <w:bottom w:w="28" w:type="dxa"/>
            </w:tcMar>
          </w:tcPr>
          <w:p w14:paraId="2DBFE2C7" w14:textId="77777777" w:rsidR="00236F0B" w:rsidRDefault="00236F0B" w:rsidP="00236F0B">
            <w:pPr>
              <w:rPr>
                <w:rFonts w:ascii="Arial" w:hAnsi="Arial" w:cs="Arial"/>
                <w:color w:val="000000"/>
              </w:rPr>
            </w:pPr>
            <w:r>
              <w:rPr>
                <w:rFonts w:ascii="Arial" w:hAnsi="Arial" w:cs="Arial"/>
                <w:color w:val="000000"/>
              </w:rPr>
              <w:t>ATEZOLIZUMAB + BEVACIZUMAB</w:t>
            </w:r>
            <w:r>
              <w:rPr>
                <w:rFonts w:ascii="Arial" w:hAnsi="Arial" w:cs="Arial"/>
                <w:color w:val="000000"/>
              </w:rPr>
              <w:br/>
            </w:r>
            <w:r>
              <w:rPr>
                <w:rFonts w:ascii="Arial" w:hAnsi="Arial" w:cs="Arial"/>
                <w:color w:val="000000"/>
              </w:rPr>
              <w:br/>
              <w:t xml:space="preserve">Atezolizumab: </w:t>
            </w:r>
            <w:r>
              <w:rPr>
                <w:rFonts w:ascii="Arial" w:hAnsi="Arial" w:cs="Arial"/>
                <w:color w:val="000000"/>
              </w:rPr>
              <w:br/>
              <w:t xml:space="preserve">Solution concentrate for I.V. infusion 1200 mg in 20 mL, </w:t>
            </w:r>
            <w:r>
              <w:rPr>
                <w:rFonts w:ascii="Arial" w:hAnsi="Arial" w:cs="Arial"/>
                <w:color w:val="000000"/>
              </w:rPr>
              <w:br/>
              <w:t>Solution concentrate for I.V. infusion 840 mg in 14 mL</w:t>
            </w:r>
          </w:p>
          <w:p w14:paraId="356BBBC1" w14:textId="77777777" w:rsidR="00236F0B" w:rsidRDefault="00236F0B" w:rsidP="00236F0B">
            <w:pPr>
              <w:rPr>
                <w:rFonts w:ascii="Arial" w:hAnsi="Arial" w:cs="Arial"/>
                <w:color w:val="000000"/>
              </w:rPr>
            </w:pPr>
          </w:p>
          <w:p w14:paraId="14F65F4A" w14:textId="77777777" w:rsidR="00380821" w:rsidRDefault="00236F0B" w:rsidP="00236F0B">
            <w:pPr>
              <w:rPr>
                <w:rFonts w:ascii="Arial" w:hAnsi="Arial" w:cs="Arial"/>
                <w:color w:val="000000"/>
              </w:rPr>
            </w:pPr>
            <w:proofErr w:type="spellStart"/>
            <w:r>
              <w:rPr>
                <w:rFonts w:ascii="Arial" w:hAnsi="Arial" w:cs="Arial"/>
                <w:color w:val="000000"/>
              </w:rPr>
              <w:t>Tecentriq</w:t>
            </w:r>
            <w:proofErr w:type="spellEnd"/>
            <w:r>
              <w:rPr>
                <w:rFonts w:ascii="Arial" w:hAnsi="Arial" w:cs="Arial"/>
                <w:color w:val="000000"/>
              </w:rPr>
              <w:t>®</w:t>
            </w:r>
            <w:r>
              <w:rPr>
                <w:rFonts w:ascii="Arial" w:hAnsi="Arial" w:cs="Arial"/>
                <w:color w:val="000000"/>
              </w:rPr>
              <w:br/>
            </w:r>
            <w:r>
              <w:rPr>
                <w:rFonts w:ascii="Arial" w:hAnsi="Arial" w:cs="Arial"/>
                <w:color w:val="000000"/>
              </w:rPr>
              <w:br/>
              <w:t xml:space="preserve">Bevacizumab: </w:t>
            </w:r>
            <w:r>
              <w:rPr>
                <w:rFonts w:ascii="Arial" w:hAnsi="Arial" w:cs="Arial"/>
                <w:color w:val="000000"/>
              </w:rPr>
              <w:br/>
              <w:t xml:space="preserve">Solution for I.V. infusion 100 mg in 4 mL, </w:t>
            </w:r>
            <w:r>
              <w:rPr>
                <w:rFonts w:ascii="Arial" w:hAnsi="Arial" w:cs="Arial"/>
                <w:color w:val="000000"/>
              </w:rPr>
              <w:br/>
              <w:t>Solution for I.V. infusion 400 mg in 16 mL</w:t>
            </w:r>
            <w:r>
              <w:rPr>
                <w:rFonts w:ascii="Arial" w:hAnsi="Arial" w:cs="Arial"/>
                <w:color w:val="000000"/>
              </w:rPr>
              <w:br/>
            </w:r>
            <w:r>
              <w:rPr>
                <w:rFonts w:ascii="Arial" w:hAnsi="Arial" w:cs="Arial"/>
                <w:color w:val="000000"/>
              </w:rPr>
              <w:br/>
            </w:r>
            <w:proofErr w:type="spellStart"/>
            <w:r>
              <w:rPr>
                <w:rFonts w:ascii="Arial" w:hAnsi="Arial" w:cs="Arial"/>
                <w:color w:val="000000"/>
              </w:rPr>
              <w:t>Avastin</w:t>
            </w:r>
            <w:proofErr w:type="spellEnd"/>
            <w:r>
              <w:rPr>
                <w:rFonts w:ascii="Arial" w:hAnsi="Arial" w:cs="Arial"/>
                <w:color w:val="000000"/>
              </w:rPr>
              <w:t>®</w:t>
            </w:r>
            <w:r>
              <w:rPr>
                <w:rFonts w:ascii="Arial" w:hAnsi="Arial" w:cs="Arial"/>
                <w:color w:val="000000"/>
              </w:rPr>
              <w:br/>
            </w:r>
            <w:r>
              <w:rPr>
                <w:rFonts w:ascii="Arial" w:hAnsi="Arial" w:cs="Arial"/>
                <w:color w:val="000000"/>
              </w:rPr>
              <w:br/>
              <w:t>Roche Products Pty Ltd</w:t>
            </w:r>
          </w:p>
          <w:p w14:paraId="529B83A8" w14:textId="77777777" w:rsidR="006B6E47" w:rsidRDefault="006B6E47" w:rsidP="00236F0B">
            <w:pPr>
              <w:rPr>
                <w:rFonts w:ascii="Arial" w:hAnsi="Arial" w:cs="Arial"/>
                <w:color w:val="000000"/>
              </w:rPr>
            </w:pPr>
          </w:p>
          <w:p w14:paraId="1D285E4B" w14:textId="7ADA705F" w:rsidR="006B6E47" w:rsidRPr="006B5404" w:rsidRDefault="006B6E47" w:rsidP="00236F0B">
            <w:pPr>
              <w:rPr>
                <w:rFonts w:ascii="Arial" w:hAnsi="Arial" w:cs="Arial"/>
              </w:rPr>
            </w:pPr>
            <w:r>
              <w:rPr>
                <w:rFonts w:ascii="Arial" w:hAnsi="Arial" w:cs="Arial"/>
                <w:color w:val="000000"/>
              </w:rPr>
              <w:t>Change to listing</w:t>
            </w:r>
            <w:r>
              <w:rPr>
                <w:rFonts w:ascii="Arial" w:hAnsi="Arial" w:cs="Arial"/>
                <w:color w:val="000000"/>
              </w:rPr>
              <w:br/>
              <w:t>(Major Submission)</w:t>
            </w:r>
          </w:p>
        </w:tc>
        <w:tc>
          <w:tcPr>
            <w:tcW w:w="2401" w:type="dxa"/>
            <w:tcBorders>
              <w:top w:val="nil"/>
              <w:left w:val="nil"/>
              <w:bottom w:val="single" w:sz="4" w:space="0" w:color="auto"/>
              <w:right w:val="single" w:sz="4" w:space="0" w:color="auto"/>
            </w:tcBorders>
            <w:shd w:val="clear" w:color="auto" w:fill="auto"/>
            <w:tcMar>
              <w:top w:w="28" w:type="dxa"/>
              <w:bottom w:w="28" w:type="dxa"/>
            </w:tcMar>
          </w:tcPr>
          <w:p w14:paraId="30B61680" w14:textId="0E38D88F" w:rsidR="00380821" w:rsidRPr="006B5404" w:rsidRDefault="00380821" w:rsidP="00380821">
            <w:pPr>
              <w:rPr>
                <w:rFonts w:ascii="Arial" w:hAnsi="Arial" w:cs="Arial"/>
              </w:rPr>
            </w:pPr>
            <w:r w:rsidRPr="006B5404">
              <w:rPr>
                <w:rFonts w:ascii="Arial" w:hAnsi="Arial" w:cs="Arial"/>
                <w:color w:val="000000"/>
              </w:rPr>
              <w:t>Hepatocellular carcinoma (HCC)</w:t>
            </w:r>
          </w:p>
        </w:tc>
        <w:tc>
          <w:tcPr>
            <w:tcW w:w="2702" w:type="dxa"/>
            <w:tcBorders>
              <w:top w:val="nil"/>
              <w:left w:val="nil"/>
              <w:bottom w:val="single" w:sz="4" w:space="0" w:color="auto"/>
              <w:right w:val="single" w:sz="4" w:space="0" w:color="auto"/>
            </w:tcBorders>
            <w:shd w:val="clear" w:color="auto" w:fill="auto"/>
            <w:tcMar>
              <w:top w:w="28" w:type="dxa"/>
              <w:bottom w:w="28" w:type="dxa"/>
            </w:tcMar>
          </w:tcPr>
          <w:p w14:paraId="5489E944" w14:textId="310F1584" w:rsidR="00380821" w:rsidRPr="006B5404" w:rsidRDefault="00380821" w:rsidP="00380821">
            <w:pPr>
              <w:rPr>
                <w:rFonts w:ascii="Arial" w:hAnsi="Arial" w:cs="Arial"/>
              </w:rPr>
            </w:pPr>
            <w:r w:rsidRPr="006B5404">
              <w:rPr>
                <w:rFonts w:ascii="Arial" w:hAnsi="Arial" w:cs="Arial"/>
                <w:color w:val="000000"/>
              </w:rPr>
              <w:t xml:space="preserve">To request Section 100 (Efficient Funding of Chemotherapy) Authority Required (STREAMLINED) listings for the treatment of patients with </w:t>
            </w:r>
            <w:proofErr w:type="spellStart"/>
            <w:r w:rsidRPr="006B5404">
              <w:rPr>
                <w:rFonts w:ascii="Arial" w:hAnsi="Arial" w:cs="Arial"/>
                <w:color w:val="000000"/>
              </w:rPr>
              <w:t>unresectable</w:t>
            </w:r>
            <w:proofErr w:type="spellEnd"/>
            <w:r w:rsidRPr="006B5404">
              <w:rPr>
                <w:rFonts w:ascii="Arial" w:hAnsi="Arial" w:cs="Arial"/>
                <w:color w:val="000000"/>
              </w:rPr>
              <w:t xml:space="preserve"> locally advanced or metastatic Barcelona Clinic Liver Cancer</w:t>
            </w:r>
            <w:r w:rsidR="00AA01CC">
              <w:rPr>
                <w:rFonts w:ascii="Arial" w:hAnsi="Arial" w:cs="Arial"/>
                <w:color w:val="000000"/>
              </w:rPr>
              <w:t xml:space="preserve"> (BCLC)</w:t>
            </w:r>
            <w:r w:rsidR="009634D8">
              <w:rPr>
                <w:rFonts w:ascii="Arial" w:hAnsi="Arial" w:cs="Arial"/>
                <w:color w:val="000000"/>
              </w:rPr>
              <w:t xml:space="preserve"> Stage B or S</w:t>
            </w:r>
            <w:r w:rsidRPr="006B5404">
              <w:rPr>
                <w:rFonts w:ascii="Arial" w:hAnsi="Arial" w:cs="Arial"/>
                <w:color w:val="000000"/>
              </w:rPr>
              <w:t>tage C HCC who have not received prior systemic therapy.</w:t>
            </w:r>
          </w:p>
        </w:tc>
        <w:tc>
          <w:tcPr>
            <w:tcW w:w="6604" w:type="dxa"/>
            <w:tcBorders>
              <w:top w:val="single" w:sz="4" w:space="0" w:color="auto"/>
              <w:left w:val="single" w:sz="4" w:space="0" w:color="auto"/>
              <w:bottom w:val="single" w:sz="4" w:space="0" w:color="auto"/>
              <w:right w:val="single" w:sz="4" w:space="0" w:color="auto"/>
            </w:tcBorders>
          </w:tcPr>
          <w:p w14:paraId="74FDDA87" w14:textId="6BD3B973" w:rsidR="00CE227D" w:rsidRPr="006B5404" w:rsidRDefault="00CE227D" w:rsidP="00CE227D">
            <w:pPr>
              <w:rPr>
                <w:rFonts w:ascii="Arial" w:hAnsi="Arial" w:cs="Arial"/>
                <w:color w:val="000000"/>
              </w:rPr>
            </w:pPr>
            <w:r w:rsidRPr="006B5404">
              <w:rPr>
                <w:rFonts w:ascii="Arial" w:hAnsi="Arial" w:cs="Arial"/>
                <w:color w:val="000000"/>
              </w:rPr>
              <w:t>The PBAC recommended the listing of atezolizumab in combination with bevacizumab (</w:t>
            </w:r>
            <w:proofErr w:type="spellStart"/>
            <w:r w:rsidRPr="006B5404">
              <w:rPr>
                <w:rFonts w:ascii="Arial" w:hAnsi="Arial" w:cs="Arial"/>
                <w:color w:val="000000"/>
              </w:rPr>
              <w:t>Atezo+Bev</w:t>
            </w:r>
            <w:proofErr w:type="spellEnd"/>
            <w:r w:rsidRPr="006B5404">
              <w:rPr>
                <w:rFonts w:ascii="Arial" w:hAnsi="Arial" w:cs="Arial"/>
                <w:color w:val="000000"/>
              </w:rPr>
              <w:t xml:space="preserve">) for the treatment of patients with advanced </w:t>
            </w:r>
            <w:proofErr w:type="spellStart"/>
            <w:r w:rsidRPr="006B5404">
              <w:rPr>
                <w:rFonts w:ascii="Arial" w:hAnsi="Arial" w:cs="Arial"/>
                <w:color w:val="000000"/>
              </w:rPr>
              <w:t>unresectable</w:t>
            </w:r>
            <w:proofErr w:type="spellEnd"/>
            <w:r w:rsidR="009634D8">
              <w:rPr>
                <w:rFonts w:ascii="Arial" w:hAnsi="Arial" w:cs="Arial"/>
                <w:color w:val="000000"/>
              </w:rPr>
              <w:t xml:space="preserve"> BCLC Stage B or S</w:t>
            </w:r>
            <w:r w:rsidRPr="006B5404">
              <w:rPr>
                <w:rFonts w:ascii="Arial" w:hAnsi="Arial" w:cs="Arial"/>
                <w:color w:val="000000"/>
              </w:rPr>
              <w:t xml:space="preserve">tage C HCC who have not received prior systemic treatment. The PBAC considered there was a high clinical need in this patient population and recognised the substantial clinical benefit provided by </w:t>
            </w:r>
            <w:proofErr w:type="spellStart"/>
            <w:r w:rsidRPr="006B5404">
              <w:rPr>
                <w:rFonts w:ascii="Arial" w:hAnsi="Arial" w:cs="Arial"/>
                <w:color w:val="000000"/>
              </w:rPr>
              <w:t>Atezo+Bev</w:t>
            </w:r>
            <w:proofErr w:type="spellEnd"/>
            <w:r w:rsidRPr="006B5404">
              <w:rPr>
                <w:rFonts w:ascii="Arial" w:hAnsi="Arial" w:cs="Arial"/>
                <w:color w:val="000000"/>
              </w:rPr>
              <w:t>, despite the immaturity of the overall surviv</w:t>
            </w:r>
            <w:r w:rsidR="00A65E04">
              <w:rPr>
                <w:rFonts w:ascii="Arial" w:hAnsi="Arial" w:cs="Arial"/>
                <w:color w:val="000000"/>
              </w:rPr>
              <w:t>al data. The PBAC</w:t>
            </w:r>
            <w:r w:rsidR="00D46CD0">
              <w:rPr>
                <w:rFonts w:ascii="Arial" w:hAnsi="Arial" w:cs="Arial"/>
                <w:color w:val="000000"/>
              </w:rPr>
              <w:t xml:space="preserve"> considered that the cost-effectiveness of </w:t>
            </w:r>
            <w:proofErr w:type="spellStart"/>
            <w:r w:rsidR="00D46CD0">
              <w:rPr>
                <w:rFonts w:ascii="Arial" w:hAnsi="Arial" w:cs="Arial"/>
                <w:color w:val="000000"/>
              </w:rPr>
              <w:t>Atezo+Bev</w:t>
            </w:r>
            <w:proofErr w:type="spellEnd"/>
            <w:r w:rsidR="00D46CD0">
              <w:rPr>
                <w:rFonts w:ascii="Arial" w:hAnsi="Arial" w:cs="Arial"/>
                <w:color w:val="000000"/>
              </w:rPr>
              <w:t xml:space="preserve"> would be acceptable at </w:t>
            </w:r>
            <w:r w:rsidRPr="006B5404">
              <w:rPr>
                <w:rFonts w:ascii="Arial" w:hAnsi="Arial" w:cs="Arial"/>
                <w:color w:val="000000"/>
              </w:rPr>
              <w:t>the price proposed in the s</w:t>
            </w:r>
            <w:r w:rsidR="000A31F1">
              <w:rPr>
                <w:rFonts w:ascii="Arial" w:hAnsi="Arial" w:cs="Arial"/>
                <w:color w:val="000000"/>
              </w:rPr>
              <w:t>ubmission, with an appropriate Risk Sharing A</w:t>
            </w:r>
            <w:r w:rsidRPr="006B5404">
              <w:rPr>
                <w:rFonts w:ascii="Arial" w:hAnsi="Arial" w:cs="Arial"/>
                <w:color w:val="000000"/>
              </w:rPr>
              <w:t xml:space="preserve">rrangement to manage the risk of use outside the restriction. </w:t>
            </w:r>
          </w:p>
          <w:p w14:paraId="28F04FDA" w14:textId="326DEC7B" w:rsidR="00380821" w:rsidRPr="006B5404" w:rsidRDefault="00380821" w:rsidP="00380821">
            <w:pPr>
              <w:widowControl w:val="0"/>
              <w:spacing w:after="120"/>
              <w:rPr>
                <w:rFonts w:ascii="Arial" w:hAnsi="Arial" w:cs="Arial"/>
              </w:rPr>
            </w:pPr>
          </w:p>
        </w:tc>
      </w:tr>
      <w:tr w:rsidR="00380821" w:rsidRPr="006B5404" w14:paraId="01944821" w14:textId="77777777" w:rsidTr="00891EAA">
        <w:trPr>
          <w:cantSplit/>
          <w:trHeight w:val="430"/>
        </w:trPr>
        <w:tc>
          <w:tcPr>
            <w:tcW w:w="3681" w:type="dxa"/>
            <w:tcBorders>
              <w:top w:val="nil"/>
              <w:left w:val="single" w:sz="4" w:space="0" w:color="auto"/>
              <w:bottom w:val="single" w:sz="4" w:space="0" w:color="auto"/>
              <w:right w:val="single" w:sz="4" w:space="0" w:color="auto"/>
            </w:tcBorders>
            <w:shd w:val="clear" w:color="auto" w:fill="auto"/>
            <w:tcMar>
              <w:top w:w="28" w:type="dxa"/>
              <w:bottom w:w="28" w:type="dxa"/>
            </w:tcMar>
          </w:tcPr>
          <w:p w14:paraId="004278AE" w14:textId="130C24CA" w:rsidR="00380821" w:rsidRPr="006B5404" w:rsidRDefault="00380821" w:rsidP="00BC458C">
            <w:pPr>
              <w:rPr>
                <w:rFonts w:ascii="Arial" w:hAnsi="Arial" w:cs="Arial"/>
              </w:rPr>
            </w:pPr>
            <w:r w:rsidRPr="006B5404">
              <w:rPr>
                <w:rFonts w:ascii="Arial" w:hAnsi="Arial" w:cs="Arial"/>
                <w:color w:val="000000"/>
              </w:rPr>
              <w:lastRenderedPageBreak/>
              <w:t>BECLOMETASONE DIPROPIONATE + FORMOTEROL FUMARATE DIHYDRATE</w:t>
            </w:r>
            <w:r w:rsidRPr="006B5404">
              <w:rPr>
                <w:rFonts w:ascii="Arial" w:hAnsi="Arial" w:cs="Arial"/>
                <w:color w:val="000000"/>
              </w:rPr>
              <w:br/>
            </w:r>
            <w:r w:rsidRPr="006B5404">
              <w:rPr>
                <w:rFonts w:ascii="Arial" w:hAnsi="Arial" w:cs="Arial"/>
                <w:color w:val="000000"/>
              </w:rPr>
              <w:br/>
              <w:t xml:space="preserve">Powder for oral inhalation in breath actuated device containing </w:t>
            </w:r>
            <w:proofErr w:type="spellStart"/>
            <w:r w:rsidRPr="006B5404">
              <w:rPr>
                <w:rFonts w:ascii="Arial" w:hAnsi="Arial" w:cs="Arial"/>
                <w:color w:val="000000"/>
              </w:rPr>
              <w:t>beclometasone</w:t>
            </w:r>
            <w:proofErr w:type="spellEnd"/>
            <w:r w:rsidRPr="006B5404">
              <w:rPr>
                <w:rFonts w:ascii="Arial" w:hAnsi="Arial" w:cs="Arial"/>
                <w:color w:val="000000"/>
              </w:rPr>
              <w:t xml:space="preserve"> </w:t>
            </w:r>
            <w:proofErr w:type="spellStart"/>
            <w:r w:rsidRPr="006B5404">
              <w:rPr>
                <w:rFonts w:ascii="Arial" w:hAnsi="Arial" w:cs="Arial"/>
                <w:color w:val="000000"/>
              </w:rPr>
              <w:t>dipropionate</w:t>
            </w:r>
            <w:proofErr w:type="spellEnd"/>
            <w:r w:rsidRPr="006B5404">
              <w:rPr>
                <w:rFonts w:ascii="Arial" w:hAnsi="Arial" w:cs="Arial"/>
                <w:color w:val="000000"/>
              </w:rPr>
              <w:t xml:space="preserve"> 100</w:t>
            </w:r>
            <w:r w:rsidR="00BC458C">
              <w:rPr>
                <w:rFonts w:ascii="Arial" w:hAnsi="Arial" w:cs="Arial"/>
                <w:color w:val="000000"/>
              </w:rPr>
              <w:t> </w:t>
            </w:r>
            <w:r w:rsidRPr="006B5404">
              <w:rPr>
                <w:rFonts w:ascii="Arial" w:hAnsi="Arial" w:cs="Arial"/>
                <w:color w:val="000000"/>
              </w:rPr>
              <w:t xml:space="preserve">micrograms with formoterol fumarate </w:t>
            </w:r>
            <w:proofErr w:type="spellStart"/>
            <w:r w:rsidRPr="006B5404">
              <w:rPr>
                <w:rFonts w:ascii="Arial" w:hAnsi="Arial" w:cs="Arial"/>
                <w:color w:val="000000"/>
              </w:rPr>
              <w:t>dihydrate</w:t>
            </w:r>
            <w:proofErr w:type="spellEnd"/>
            <w:r w:rsidRPr="006B5404">
              <w:rPr>
                <w:rFonts w:ascii="Arial" w:hAnsi="Arial" w:cs="Arial"/>
                <w:color w:val="000000"/>
              </w:rPr>
              <w:t xml:space="preserve"> 6 microgra</w:t>
            </w:r>
            <w:r w:rsidR="00E25603">
              <w:rPr>
                <w:rFonts w:ascii="Arial" w:hAnsi="Arial" w:cs="Arial"/>
                <w:color w:val="000000"/>
              </w:rPr>
              <w:t>ms per dose, 120 doses</w:t>
            </w:r>
            <w:r w:rsidR="00E25603">
              <w:rPr>
                <w:rFonts w:ascii="Arial" w:hAnsi="Arial" w:cs="Arial"/>
                <w:color w:val="000000"/>
              </w:rPr>
              <w:br/>
            </w:r>
            <w:r w:rsidR="00E25603">
              <w:rPr>
                <w:rFonts w:ascii="Arial" w:hAnsi="Arial" w:cs="Arial"/>
                <w:color w:val="000000"/>
              </w:rPr>
              <w:br/>
            </w:r>
            <w:proofErr w:type="spellStart"/>
            <w:r w:rsidR="00E25603">
              <w:rPr>
                <w:rFonts w:ascii="Arial" w:hAnsi="Arial" w:cs="Arial"/>
                <w:color w:val="000000"/>
              </w:rPr>
              <w:t>Fostair</w:t>
            </w:r>
            <w:proofErr w:type="spellEnd"/>
            <w:r w:rsidR="00CD476C">
              <w:rPr>
                <w:rFonts w:ascii="Arial" w:hAnsi="Arial" w:cs="Arial"/>
                <w:color w:val="000000"/>
              </w:rPr>
              <w:t>®</w:t>
            </w:r>
            <w:r w:rsidRPr="006B5404">
              <w:rPr>
                <w:rFonts w:ascii="Arial" w:hAnsi="Arial" w:cs="Arial"/>
                <w:color w:val="000000"/>
              </w:rPr>
              <w:br/>
            </w:r>
            <w:r w:rsidRPr="006B5404">
              <w:rPr>
                <w:rFonts w:ascii="Arial" w:hAnsi="Arial" w:cs="Arial"/>
                <w:color w:val="000000"/>
              </w:rPr>
              <w:br/>
              <w:t>Emerge Health Pty Ltd</w:t>
            </w:r>
            <w:r w:rsidRPr="006B5404">
              <w:rPr>
                <w:rFonts w:ascii="Arial" w:hAnsi="Arial" w:cs="Arial"/>
                <w:color w:val="000000"/>
              </w:rPr>
              <w:br/>
            </w:r>
            <w:r w:rsidRPr="006B5404">
              <w:rPr>
                <w:rFonts w:ascii="Arial" w:hAnsi="Arial" w:cs="Arial"/>
                <w:color w:val="000000"/>
              </w:rPr>
              <w:br/>
              <w:t>New listing</w:t>
            </w:r>
            <w:r w:rsidRPr="006B5404">
              <w:rPr>
                <w:rFonts w:ascii="Arial" w:hAnsi="Arial" w:cs="Arial"/>
                <w:color w:val="000000"/>
              </w:rPr>
              <w:br/>
              <w:t>(Major Submission)</w:t>
            </w:r>
          </w:p>
        </w:tc>
        <w:tc>
          <w:tcPr>
            <w:tcW w:w="2401" w:type="dxa"/>
            <w:tcBorders>
              <w:top w:val="nil"/>
              <w:left w:val="nil"/>
              <w:bottom w:val="single" w:sz="4" w:space="0" w:color="auto"/>
              <w:right w:val="single" w:sz="4" w:space="0" w:color="auto"/>
            </w:tcBorders>
            <w:shd w:val="clear" w:color="auto" w:fill="auto"/>
            <w:tcMar>
              <w:top w:w="28" w:type="dxa"/>
              <w:bottom w:w="28" w:type="dxa"/>
            </w:tcMar>
          </w:tcPr>
          <w:p w14:paraId="111C5BD8" w14:textId="6A319D05" w:rsidR="00380821" w:rsidRPr="006B5404" w:rsidRDefault="00380821" w:rsidP="00380821">
            <w:pPr>
              <w:rPr>
                <w:rFonts w:ascii="Arial" w:hAnsi="Arial" w:cs="Arial"/>
              </w:rPr>
            </w:pPr>
            <w:r w:rsidRPr="006B5404">
              <w:rPr>
                <w:rFonts w:ascii="Arial" w:hAnsi="Arial" w:cs="Arial"/>
                <w:color w:val="000000"/>
              </w:rPr>
              <w:t xml:space="preserve"> Asthma</w:t>
            </w:r>
          </w:p>
        </w:tc>
        <w:tc>
          <w:tcPr>
            <w:tcW w:w="2702" w:type="dxa"/>
            <w:tcBorders>
              <w:top w:val="nil"/>
              <w:left w:val="nil"/>
              <w:bottom w:val="single" w:sz="4" w:space="0" w:color="auto"/>
              <w:right w:val="single" w:sz="4" w:space="0" w:color="auto"/>
            </w:tcBorders>
            <w:shd w:val="clear" w:color="auto" w:fill="auto"/>
            <w:tcMar>
              <w:top w:w="28" w:type="dxa"/>
              <w:bottom w:w="28" w:type="dxa"/>
            </w:tcMar>
          </w:tcPr>
          <w:p w14:paraId="07FC1C87" w14:textId="0C61B085" w:rsidR="00380821" w:rsidRPr="006B5404" w:rsidRDefault="00380821" w:rsidP="00380821">
            <w:pPr>
              <w:rPr>
                <w:rFonts w:ascii="Arial" w:hAnsi="Arial" w:cs="Arial"/>
              </w:rPr>
            </w:pPr>
            <w:r w:rsidRPr="006B5404">
              <w:rPr>
                <w:rFonts w:ascii="Arial" w:hAnsi="Arial" w:cs="Arial"/>
                <w:color w:val="000000"/>
              </w:rPr>
              <w:t xml:space="preserve">To request an Authority Required (STREAMLINED) listing for the treatment of patients with asthma. </w:t>
            </w:r>
          </w:p>
        </w:tc>
        <w:tc>
          <w:tcPr>
            <w:tcW w:w="6604" w:type="dxa"/>
            <w:tcBorders>
              <w:top w:val="single" w:sz="4" w:space="0" w:color="auto"/>
              <w:left w:val="single" w:sz="4" w:space="0" w:color="auto"/>
              <w:bottom w:val="single" w:sz="4" w:space="0" w:color="auto"/>
              <w:right w:val="single" w:sz="4" w:space="0" w:color="auto"/>
            </w:tcBorders>
          </w:tcPr>
          <w:p w14:paraId="25BA14E7" w14:textId="590046B7" w:rsidR="003C55D3" w:rsidRDefault="00CE227D" w:rsidP="00CE227D">
            <w:pPr>
              <w:rPr>
                <w:rFonts w:ascii="Arial" w:hAnsi="Arial" w:cs="Arial"/>
                <w:color w:val="000000"/>
              </w:rPr>
            </w:pPr>
            <w:r w:rsidRPr="006B5404">
              <w:rPr>
                <w:rFonts w:ascii="Arial" w:hAnsi="Arial" w:cs="Arial"/>
                <w:color w:val="000000"/>
              </w:rPr>
              <w:t xml:space="preserve">The PBAC recommended the listing of the fixed dose combination (FDC) of </w:t>
            </w:r>
            <w:proofErr w:type="spellStart"/>
            <w:r w:rsidRPr="006B5404">
              <w:rPr>
                <w:rFonts w:ascii="Arial" w:hAnsi="Arial" w:cs="Arial"/>
                <w:color w:val="000000"/>
              </w:rPr>
              <w:t>beclometasone</w:t>
            </w:r>
            <w:proofErr w:type="spellEnd"/>
            <w:r w:rsidRPr="006B5404">
              <w:rPr>
                <w:rFonts w:ascii="Arial" w:hAnsi="Arial" w:cs="Arial"/>
                <w:color w:val="000000"/>
              </w:rPr>
              <w:t xml:space="preserve"> (BEC) with formoterol (FOR) for the maintenance</w:t>
            </w:r>
            <w:r w:rsidR="00A65E04">
              <w:rPr>
                <w:rFonts w:ascii="Arial" w:hAnsi="Arial" w:cs="Arial"/>
                <w:color w:val="000000"/>
              </w:rPr>
              <w:t xml:space="preserve"> treatment of asthma. The PBAC recommended listing on a cost-mi</w:t>
            </w:r>
            <w:r w:rsidR="00BC458C">
              <w:rPr>
                <w:rFonts w:ascii="Arial" w:hAnsi="Arial" w:cs="Arial"/>
                <w:color w:val="000000"/>
              </w:rPr>
              <w:t>ni</w:t>
            </w:r>
            <w:r w:rsidR="00A65E04">
              <w:rPr>
                <w:rFonts w:ascii="Arial" w:hAnsi="Arial" w:cs="Arial"/>
                <w:color w:val="000000"/>
              </w:rPr>
              <w:t xml:space="preserve">misation basis compared with </w:t>
            </w:r>
            <w:r w:rsidRPr="006B5404">
              <w:rPr>
                <w:rFonts w:ascii="Arial" w:hAnsi="Arial" w:cs="Arial"/>
                <w:color w:val="000000"/>
              </w:rPr>
              <w:t xml:space="preserve">the least costly combination of an inhaled corticosteroid with a long-acting beta2 agonist FDC or combination of the individual components (BEC + FOR) at comparable doses. </w:t>
            </w:r>
          </w:p>
          <w:p w14:paraId="69867E6F" w14:textId="7625DDC7" w:rsidR="00CE227D" w:rsidRPr="006B5404" w:rsidRDefault="00CE227D" w:rsidP="00CE227D">
            <w:pPr>
              <w:rPr>
                <w:rFonts w:ascii="Arial" w:hAnsi="Arial" w:cs="Arial"/>
                <w:color w:val="000000"/>
              </w:rPr>
            </w:pPr>
            <w:r w:rsidRPr="006B5404">
              <w:rPr>
                <w:rFonts w:ascii="Arial" w:hAnsi="Arial" w:cs="Arial"/>
                <w:color w:val="000000"/>
              </w:rPr>
              <w:br/>
              <w:t xml:space="preserve">The PBAC did not recommend the listing of BEC/FOR </w:t>
            </w:r>
            <w:proofErr w:type="spellStart"/>
            <w:r w:rsidRPr="006B5404">
              <w:rPr>
                <w:rFonts w:ascii="Arial" w:hAnsi="Arial" w:cs="Arial"/>
                <w:color w:val="000000"/>
              </w:rPr>
              <w:t>for</w:t>
            </w:r>
            <w:proofErr w:type="spellEnd"/>
            <w:r w:rsidRPr="006B5404">
              <w:rPr>
                <w:rFonts w:ascii="Arial" w:hAnsi="Arial" w:cs="Arial"/>
                <w:color w:val="000000"/>
              </w:rPr>
              <w:t xml:space="preserve"> asthma maintenance and reliever therapy due to concerns the data presented were not adequate to support a listing for this indication and the potential for quality use of medicine issues. </w:t>
            </w:r>
          </w:p>
          <w:p w14:paraId="636DAD0A" w14:textId="7885A7F3" w:rsidR="00380821" w:rsidRPr="006B5404" w:rsidRDefault="00380821" w:rsidP="00380821">
            <w:pPr>
              <w:widowControl w:val="0"/>
              <w:spacing w:after="120"/>
              <w:rPr>
                <w:rFonts w:ascii="Arial" w:hAnsi="Arial" w:cs="Arial"/>
              </w:rPr>
            </w:pPr>
          </w:p>
        </w:tc>
      </w:tr>
      <w:tr w:rsidR="00380821" w:rsidRPr="006B5404" w14:paraId="4DE86DC6" w14:textId="77777777" w:rsidTr="00891EAA">
        <w:trPr>
          <w:cantSplit/>
          <w:trHeight w:val="430"/>
        </w:trPr>
        <w:tc>
          <w:tcPr>
            <w:tcW w:w="3681" w:type="dxa"/>
            <w:tcBorders>
              <w:top w:val="nil"/>
              <w:left w:val="single" w:sz="4" w:space="0" w:color="auto"/>
              <w:bottom w:val="single" w:sz="4" w:space="0" w:color="auto"/>
              <w:right w:val="single" w:sz="4" w:space="0" w:color="auto"/>
            </w:tcBorders>
            <w:shd w:val="clear" w:color="auto" w:fill="auto"/>
            <w:tcMar>
              <w:top w:w="28" w:type="dxa"/>
              <w:bottom w:w="28" w:type="dxa"/>
            </w:tcMar>
          </w:tcPr>
          <w:p w14:paraId="375B7317" w14:textId="00C8A493" w:rsidR="006B6E47" w:rsidRDefault="006B6E47" w:rsidP="006B6E47">
            <w:pPr>
              <w:rPr>
                <w:rFonts w:ascii="Arial" w:hAnsi="Arial" w:cs="Arial"/>
                <w:color w:val="000000"/>
              </w:rPr>
            </w:pPr>
            <w:r>
              <w:rPr>
                <w:rFonts w:ascii="Arial" w:hAnsi="Arial" w:cs="Arial"/>
                <w:color w:val="000000"/>
              </w:rPr>
              <w:t>BEVACIZUMAB</w:t>
            </w:r>
            <w:r>
              <w:rPr>
                <w:rFonts w:ascii="Arial" w:hAnsi="Arial" w:cs="Arial"/>
                <w:color w:val="000000"/>
              </w:rPr>
              <w:br/>
            </w:r>
          </w:p>
          <w:p w14:paraId="4A5B0A94" w14:textId="77777777" w:rsidR="006B6E47" w:rsidRDefault="006B6E47" w:rsidP="006B6E47">
            <w:pPr>
              <w:rPr>
                <w:rFonts w:ascii="Arial" w:hAnsi="Arial" w:cs="Arial"/>
                <w:color w:val="000000"/>
              </w:rPr>
            </w:pPr>
            <w:r>
              <w:rPr>
                <w:rFonts w:ascii="Arial" w:hAnsi="Arial" w:cs="Arial"/>
                <w:color w:val="000000"/>
              </w:rPr>
              <w:t>Solution for I.V. infusion 100 mg in 4 mL</w:t>
            </w:r>
          </w:p>
          <w:p w14:paraId="21B1A5B6" w14:textId="77777777" w:rsidR="006B6E47" w:rsidRDefault="006B6E47" w:rsidP="006B6E47">
            <w:pPr>
              <w:rPr>
                <w:rFonts w:ascii="Arial" w:hAnsi="Arial" w:cs="Arial"/>
                <w:color w:val="000000"/>
              </w:rPr>
            </w:pPr>
            <w:r>
              <w:rPr>
                <w:rFonts w:ascii="Arial" w:hAnsi="Arial" w:cs="Arial"/>
                <w:color w:val="000000"/>
              </w:rPr>
              <w:t>Solution for I.V infusion 400 mg in 16 mL</w:t>
            </w:r>
          </w:p>
          <w:p w14:paraId="372EF7B5" w14:textId="77777777" w:rsidR="006B6E47" w:rsidRDefault="006B6E47" w:rsidP="006B6E47">
            <w:pPr>
              <w:rPr>
                <w:rFonts w:ascii="Arial" w:hAnsi="Arial" w:cs="Arial"/>
                <w:color w:val="000000"/>
              </w:rPr>
            </w:pPr>
          </w:p>
          <w:p w14:paraId="1FE1A443" w14:textId="0B357CDE" w:rsidR="006B6E47" w:rsidRDefault="006B6E47" w:rsidP="006B6E47">
            <w:pPr>
              <w:rPr>
                <w:rFonts w:ascii="Arial" w:hAnsi="Arial" w:cs="Arial"/>
                <w:color w:val="000000"/>
              </w:rPr>
            </w:pPr>
            <w:proofErr w:type="spellStart"/>
            <w:r>
              <w:rPr>
                <w:rFonts w:ascii="Arial" w:hAnsi="Arial" w:cs="Arial"/>
                <w:color w:val="000000"/>
              </w:rPr>
              <w:t>Zirabev</w:t>
            </w:r>
            <w:proofErr w:type="spellEnd"/>
            <w:r w:rsidR="00CD476C">
              <w:rPr>
                <w:rFonts w:ascii="Arial" w:hAnsi="Arial" w:cs="Arial"/>
                <w:color w:val="000000"/>
              </w:rPr>
              <w:t>®</w:t>
            </w:r>
          </w:p>
          <w:p w14:paraId="2E675916" w14:textId="77777777" w:rsidR="006B6E47" w:rsidRDefault="006B6E47" w:rsidP="006B6E47">
            <w:pPr>
              <w:rPr>
                <w:rFonts w:ascii="Arial" w:hAnsi="Arial" w:cs="Arial"/>
                <w:color w:val="000000"/>
              </w:rPr>
            </w:pPr>
          </w:p>
          <w:p w14:paraId="73658612" w14:textId="4DD1640D" w:rsidR="00380821" w:rsidRPr="006B5404" w:rsidRDefault="006B6E47" w:rsidP="006B6E47">
            <w:pPr>
              <w:rPr>
                <w:rFonts w:ascii="Arial" w:hAnsi="Arial" w:cs="Arial"/>
              </w:rPr>
            </w:pPr>
            <w:r>
              <w:rPr>
                <w:rFonts w:ascii="Arial" w:hAnsi="Arial" w:cs="Arial"/>
                <w:color w:val="000000"/>
              </w:rPr>
              <w:t>Pfizer Australia Pty Ltd</w:t>
            </w:r>
            <w:r w:rsidR="00380821" w:rsidRPr="006B5404">
              <w:rPr>
                <w:rFonts w:ascii="Arial" w:hAnsi="Arial" w:cs="Arial"/>
                <w:color w:val="000000"/>
              </w:rPr>
              <w:br/>
            </w:r>
            <w:r w:rsidR="00380821" w:rsidRPr="006B5404">
              <w:rPr>
                <w:rFonts w:ascii="Arial" w:hAnsi="Arial" w:cs="Arial"/>
                <w:color w:val="000000"/>
              </w:rPr>
              <w:br/>
              <w:t>New listing</w:t>
            </w:r>
            <w:r w:rsidR="00380821" w:rsidRPr="006B5404">
              <w:rPr>
                <w:rFonts w:ascii="Arial" w:hAnsi="Arial" w:cs="Arial"/>
                <w:color w:val="000000"/>
              </w:rPr>
              <w:br/>
              <w:t>(Minor Submission)</w:t>
            </w:r>
          </w:p>
        </w:tc>
        <w:tc>
          <w:tcPr>
            <w:tcW w:w="2401" w:type="dxa"/>
            <w:tcBorders>
              <w:top w:val="nil"/>
              <w:left w:val="nil"/>
              <w:bottom w:val="single" w:sz="4" w:space="0" w:color="auto"/>
              <w:right w:val="single" w:sz="4" w:space="0" w:color="auto"/>
            </w:tcBorders>
            <w:shd w:val="clear" w:color="auto" w:fill="auto"/>
            <w:tcMar>
              <w:top w:w="28" w:type="dxa"/>
              <w:bottom w:w="28" w:type="dxa"/>
            </w:tcMar>
          </w:tcPr>
          <w:p w14:paraId="18D544DF" w14:textId="4666CF23" w:rsidR="00380821" w:rsidRPr="006B5404" w:rsidRDefault="00380821" w:rsidP="00BC458C">
            <w:pPr>
              <w:rPr>
                <w:rFonts w:ascii="Arial" w:hAnsi="Arial" w:cs="Arial"/>
              </w:rPr>
            </w:pPr>
            <w:r w:rsidRPr="006B5404">
              <w:rPr>
                <w:rFonts w:ascii="Arial" w:hAnsi="Arial" w:cs="Arial"/>
                <w:color w:val="000000"/>
              </w:rPr>
              <w:t xml:space="preserve">Advanced International Federation of </w:t>
            </w:r>
            <w:proofErr w:type="spellStart"/>
            <w:r w:rsidRPr="006B5404">
              <w:rPr>
                <w:rFonts w:ascii="Arial" w:hAnsi="Arial" w:cs="Arial"/>
                <w:color w:val="000000"/>
              </w:rPr>
              <w:t>Gynecology</w:t>
            </w:r>
            <w:proofErr w:type="spellEnd"/>
            <w:r w:rsidRPr="006B5404">
              <w:rPr>
                <w:rFonts w:ascii="Arial" w:hAnsi="Arial" w:cs="Arial"/>
                <w:color w:val="000000"/>
              </w:rPr>
              <w:t xml:space="preserve"> and Obstetrics Stage IIIB, IIIC or Stage IV epithelial ovarian, fallopian tu</w:t>
            </w:r>
            <w:r w:rsidR="009634D8">
              <w:rPr>
                <w:rFonts w:ascii="Arial" w:hAnsi="Arial" w:cs="Arial"/>
                <w:color w:val="000000"/>
              </w:rPr>
              <w:t>be or primary peritoneal cancer</w:t>
            </w:r>
            <w:r w:rsidR="00423326">
              <w:rPr>
                <w:rFonts w:ascii="Arial" w:hAnsi="Arial" w:cs="Arial"/>
                <w:color w:val="000000"/>
              </w:rPr>
              <w:br/>
              <w:t>Advanced carcinoma of cervix</w:t>
            </w:r>
            <w:r w:rsidRPr="006B5404">
              <w:rPr>
                <w:rFonts w:ascii="Arial" w:hAnsi="Arial" w:cs="Arial"/>
                <w:color w:val="000000"/>
              </w:rPr>
              <w:br/>
              <w:t>Rel</w:t>
            </w:r>
            <w:r w:rsidR="00423326">
              <w:rPr>
                <w:rFonts w:ascii="Arial" w:hAnsi="Arial" w:cs="Arial"/>
                <w:color w:val="000000"/>
              </w:rPr>
              <w:t>apsed or recurrent glioblastoma</w:t>
            </w:r>
            <w:r w:rsidRPr="006B5404">
              <w:rPr>
                <w:rFonts w:ascii="Arial" w:hAnsi="Arial" w:cs="Arial"/>
                <w:color w:val="000000"/>
              </w:rPr>
              <w:br/>
              <w:t>Stage IV (metastatic) non-</w:t>
            </w:r>
            <w:r w:rsidR="00423326">
              <w:rPr>
                <w:rFonts w:ascii="Arial" w:hAnsi="Arial" w:cs="Arial"/>
                <w:color w:val="000000"/>
              </w:rPr>
              <w:t>small cell lung cancer</w:t>
            </w:r>
            <w:r w:rsidR="00423326">
              <w:rPr>
                <w:rFonts w:ascii="Arial" w:hAnsi="Arial" w:cs="Arial"/>
                <w:color w:val="000000"/>
              </w:rPr>
              <w:br/>
              <w:t>Metastatic colorectal cancer</w:t>
            </w:r>
          </w:p>
        </w:tc>
        <w:tc>
          <w:tcPr>
            <w:tcW w:w="2702" w:type="dxa"/>
            <w:tcBorders>
              <w:top w:val="nil"/>
              <w:left w:val="nil"/>
              <w:bottom w:val="single" w:sz="4" w:space="0" w:color="auto"/>
              <w:right w:val="single" w:sz="4" w:space="0" w:color="auto"/>
            </w:tcBorders>
            <w:shd w:val="clear" w:color="auto" w:fill="auto"/>
            <w:tcMar>
              <w:top w:w="28" w:type="dxa"/>
              <w:bottom w:w="28" w:type="dxa"/>
            </w:tcMar>
          </w:tcPr>
          <w:p w14:paraId="48BFDAE1" w14:textId="57F9B8CB" w:rsidR="00380821" w:rsidRPr="006B5404" w:rsidRDefault="00380821" w:rsidP="00380821">
            <w:pPr>
              <w:rPr>
                <w:rFonts w:ascii="Arial" w:hAnsi="Arial" w:cs="Arial"/>
              </w:rPr>
            </w:pPr>
            <w:r w:rsidRPr="006B5404">
              <w:rPr>
                <w:rFonts w:ascii="Arial" w:hAnsi="Arial" w:cs="Arial"/>
                <w:color w:val="000000"/>
              </w:rPr>
              <w:t>To r</w:t>
            </w:r>
            <w:r w:rsidR="00866524">
              <w:rPr>
                <w:rFonts w:ascii="Arial" w:hAnsi="Arial" w:cs="Arial"/>
                <w:color w:val="000000"/>
              </w:rPr>
              <w:t xml:space="preserve">equest a </w:t>
            </w:r>
            <w:r w:rsidR="00866524" w:rsidRPr="006B5404">
              <w:rPr>
                <w:rFonts w:ascii="Arial" w:hAnsi="Arial" w:cs="Arial"/>
                <w:color w:val="000000"/>
              </w:rPr>
              <w:t>Section 100 (Efficient Funding of Chemotherapy)</w:t>
            </w:r>
            <w:r w:rsidRPr="006B5404">
              <w:rPr>
                <w:rFonts w:ascii="Arial" w:hAnsi="Arial" w:cs="Arial"/>
                <w:color w:val="000000"/>
              </w:rPr>
              <w:t xml:space="preserve"> Authority Required (STREAMLINED) listing of a new biosimilar bevacizumab under the same conditions as the reference biologic</w:t>
            </w:r>
          </w:p>
        </w:tc>
        <w:tc>
          <w:tcPr>
            <w:tcW w:w="6604" w:type="dxa"/>
            <w:tcBorders>
              <w:top w:val="single" w:sz="4" w:space="0" w:color="auto"/>
              <w:left w:val="single" w:sz="4" w:space="0" w:color="auto"/>
              <w:bottom w:val="single" w:sz="4" w:space="0" w:color="auto"/>
              <w:right w:val="single" w:sz="4" w:space="0" w:color="auto"/>
            </w:tcBorders>
          </w:tcPr>
          <w:p w14:paraId="032E35BF" w14:textId="30DF2044" w:rsidR="00423326" w:rsidRDefault="00CE227D" w:rsidP="00CE227D">
            <w:pPr>
              <w:rPr>
                <w:rFonts w:ascii="Arial" w:hAnsi="Arial" w:cs="Arial"/>
                <w:color w:val="000000"/>
              </w:rPr>
            </w:pPr>
            <w:r w:rsidRPr="006B5404">
              <w:rPr>
                <w:rFonts w:ascii="Arial" w:hAnsi="Arial" w:cs="Arial"/>
                <w:color w:val="000000"/>
              </w:rPr>
              <w:t>The PBAC recommended the</w:t>
            </w:r>
            <w:r w:rsidR="00BC458C">
              <w:rPr>
                <w:rFonts w:ascii="Arial" w:hAnsi="Arial" w:cs="Arial"/>
                <w:color w:val="000000"/>
              </w:rPr>
              <w:t xml:space="preserve"> </w:t>
            </w:r>
            <w:r w:rsidRPr="006B5404">
              <w:rPr>
                <w:rFonts w:ascii="Arial" w:hAnsi="Arial" w:cs="Arial"/>
                <w:color w:val="000000"/>
              </w:rPr>
              <w:t>listing of bevacizumab (</w:t>
            </w:r>
            <w:proofErr w:type="spellStart"/>
            <w:r w:rsidRPr="006B5404">
              <w:rPr>
                <w:rFonts w:ascii="Arial" w:hAnsi="Arial" w:cs="Arial"/>
                <w:color w:val="000000"/>
              </w:rPr>
              <w:t>Zirabev</w:t>
            </w:r>
            <w:proofErr w:type="spellEnd"/>
            <w:r w:rsidR="00CD476C">
              <w:rPr>
                <w:rFonts w:ascii="Arial" w:hAnsi="Arial" w:cs="Arial"/>
                <w:color w:val="000000"/>
              </w:rPr>
              <w:t>®</w:t>
            </w:r>
            <w:r w:rsidRPr="006B5404">
              <w:rPr>
                <w:rFonts w:ascii="Arial" w:hAnsi="Arial" w:cs="Arial"/>
                <w:color w:val="000000"/>
              </w:rPr>
              <w:t>) as a biosimilar brand of bevacizumab (</w:t>
            </w:r>
            <w:proofErr w:type="spellStart"/>
            <w:r w:rsidRPr="006B5404">
              <w:rPr>
                <w:rFonts w:ascii="Arial" w:hAnsi="Arial" w:cs="Arial"/>
                <w:color w:val="000000"/>
              </w:rPr>
              <w:t>Avastin</w:t>
            </w:r>
            <w:proofErr w:type="spellEnd"/>
            <w:r w:rsidR="00CD476C">
              <w:rPr>
                <w:rFonts w:ascii="Arial" w:hAnsi="Arial" w:cs="Arial"/>
                <w:color w:val="000000"/>
              </w:rPr>
              <w:t>®</w:t>
            </w:r>
            <w:r w:rsidRPr="006B5404">
              <w:rPr>
                <w:rFonts w:ascii="Arial" w:hAnsi="Arial" w:cs="Arial"/>
                <w:color w:val="000000"/>
              </w:rPr>
              <w:t xml:space="preserve">) on a cost-minimisation basis for all of the indications for which </w:t>
            </w:r>
            <w:proofErr w:type="spellStart"/>
            <w:r w:rsidRPr="006B5404">
              <w:rPr>
                <w:rFonts w:ascii="Arial" w:hAnsi="Arial" w:cs="Arial"/>
                <w:color w:val="000000"/>
              </w:rPr>
              <w:t>Avastin</w:t>
            </w:r>
            <w:proofErr w:type="spellEnd"/>
            <w:r w:rsidR="001904F5">
              <w:rPr>
                <w:rFonts w:ascii="Arial" w:hAnsi="Arial" w:cs="Arial"/>
                <w:color w:val="000000"/>
              </w:rPr>
              <w:t>®</w:t>
            </w:r>
            <w:r w:rsidR="001904F5" w:rsidRPr="00F52F22">
              <w:rPr>
                <w:rFonts w:ascii="Arial" w:hAnsi="Arial" w:cs="Arial"/>
                <w:color w:val="000000"/>
                <w:vertAlign w:val="superscript"/>
              </w:rPr>
              <w:t xml:space="preserve"> </w:t>
            </w:r>
            <w:r w:rsidRPr="006B5404">
              <w:rPr>
                <w:rFonts w:ascii="Arial" w:hAnsi="Arial" w:cs="Arial"/>
                <w:color w:val="000000"/>
              </w:rPr>
              <w:t>is currently PBS</w:t>
            </w:r>
            <w:r w:rsidR="006B6E47">
              <w:rPr>
                <w:rFonts w:ascii="Arial" w:hAnsi="Arial" w:cs="Arial"/>
                <w:color w:val="000000"/>
              </w:rPr>
              <w:t xml:space="preserve"> </w:t>
            </w:r>
            <w:r w:rsidRPr="006B5404">
              <w:rPr>
                <w:rFonts w:ascii="Arial" w:hAnsi="Arial" w:cs="Arial"/>
                <w:color w:val="000000"/>
              </w:rPr>
              <w:t xml:space="preserve">listed. Consistent with </w:t>
            </w:r>
            <w:proofErr w:type="spellStart"/>
            <w:r w:rsidRPr="006B5404">
              <w:rPr>
                <w:rFonts w:ascii="Arial" w:hAnsi="Arial" w:cs="Arial"/>
                <w:color w:val="000000"/>
              </w:rPr>
              <w:t>Avastin</w:t>
            </w:r>
            <w:proofErr w:type="spellEnd"/>
            <w:r w:rsidR="001904F5">
              <w:rPr>
                <w:rFonts w:ascii="Arial" w:hAnsi="Arial" w:cs="Arial"/>
                <w:color w:val="000000"/>
              </w:rPr>
              <w:t>®</w:t>
            </w:r>
            <w:r w:rsidRPr="006B5404">
              <w:rPr>
                <w:rFonts w:ascii="Arial" w:hAnsi="Arial" w:cs="Arial"/>
                <w:color w:val="000000"/>
              </w:rPr>
              <w:t>, the PBAC recommended an Authority Required (STREAMLINED) listing for all indications except for relapsed or recurrent glioblastoma, which is currently a written authority for initial treatment and telephone authority for continuing treatment.</w:t>
            </w:r>
          </w:p>
          <w:p w14:paraId="19F6E30E" w14:textId="1EA71E6A" w:rsidR="00CE227D" w:rsidRPr="006B5404" w:rsidRDefault="00CE227D" w:rsidP="00CE227D">
            <w:pPr>
              <w:rPr>
                <w:rFonts w:ascii="Arial" w:hAnsi="Arial" w:cs="Arial"/>
                <w:color w:val="000000"/>
              </w:rPr>
            </w:pPr>
            <w:r w:rsidRPr="006B5404">
              <w:rPr>
                <w:rFonts w:ascii="Arial" w:hAnsi="Arial" w:cs="Arial"/>
                <w:color w:val="000000"/>
              </w:rPr>
              <w:br/>
              <w:t xml:space="preserve">The PBAC noted that Efficient Funding of Chemotherapy medicines are governed by the </w:t>
            </w:r>
            <w:r w:rsidRPr="003905A8">
              <w:rPr>
                <w:rFonts w:ascii="Arial" w:hAnsi="Arial" w:cs="Arial"/>
                <w:i/>
                <w:color w:val="000000"/>
              </w:rPr>
              <w:t>National Health (Efficient Funding of Chemotherapy) Special Arrangement 2011</w:t>
            </w:r>
            <w:r w:rsidRPr="006B5404">
              <w:rPr>
                <w:rFonts w:ascii="Arial" w:hAnsi="Arial" w:cs="Arial"/>
                <w:color w:val="000000"/>
              </w:rPr>
              <w:t>, and that Section 33(2) allows substitution of brands under the same item code.</w:t>
            </w:r>
          </w:p>
          <w:p w14:paraId="033CC89A" w14:textId="23CB7D6B" w:rsidR="00380821" w:rsidRPr="006B5404" w:rsidRDefault="00380821" w:rsidP="00380821">
            <w:pPr>
              <w:widowControl w:val="0"/>
              <w:rPr>
                <w:rFonts w:ascii="Arial" w:hAnsi="Arial" w:cs="Arial"/>
              </w:rPr>
            </w:pPr>
          </w:p>
        </w:tc>
      </w:tr>
      <w:tr w:rsidR="00760E1B" w:rsidRPr="006B5404" w14:paraId="141F6D63" w14:textId="77777777" w:rsidTr="00891EAA">
        <w:trPr>
          <w:cantSplit/>
          <w:trHeight w:val="430"/>
        </w:trPr>
        <w:tc>
          <w:tcPr>
            <w:tcW w:w="3681" w:type="dxa"/>
            <w:tcBorders>
              <w:top w:val="nil"/>
              <w:left w:val="single" w:sz="4" w:space="0" w:color="auto"/>
              <w:bottom w:val="single" w:sz="4" w:space="0" w:color="auto"/>
              <w:right w:val="single" w:sz="4" w:space="0" w:color="auto"/>
            </w:tcBorders>
            <w:shd w:val="clear" w:color="auto" w:fill="auto"/>
            <w:tcMar>
              <w:top w:w="28" w:type="dxa"/>
              <w:bottom w:w="28" w:type="dxa"/>
            </w:tcMar>
          </w:tcPr>
          <w:p w14:paraId="1620D9D3" w14:textId="7D1CCC50" w:rsidR="00760E1B" w:rsidRPr="006B5404" w:rsidRDefault="00760E1B" w:rsidP="00760E1B">
            <w:pPr>
              <w:rPr>
                <w:rFonts w:ascii="Arial" w:hAnsi="Arial" w:cs="Arial"/>
              </w:rPr>
            </w:pPr>
            <w:r w:rsidRPr="006B5404">
              <w:rPr>
                <w:rFonts w:ascii="Arial" w:hAnsi="Arial" w:cs="Arial"/>
                <w:color w:val="000000"/>
              </w:rPr>
              <w:lastRenderedPageBreak/>
              <w:t>BIMATOPROST</w:t>
            </w:r>
            <w:r>
              <w:rPr>
                <w:rFonts w:ascii="Arial" w:hAnsi="Arial" w:cs="Arial"/>
                <w:color w:val="000000"/>
              </w:rPr>
              <w:br/>
            </w:r>
            <w:r>
              <w:rPr>
                <w:rFonts w:ascii="Arial" w:hAnsi="Arial" w:cs="Arial"/>
                <w:color w:val="000000"/>
              </w:rPr>
              <w:br/>
            </w:r>
            <w:r w:rsidRPr="006B5404">
              <w:rPr>
                <w:rFonts w:ascii="Arial" w:hAnsi="Arial" w:cs="Arial"/>
                <w:color w:val="000000"/>
              </w:rPr>
              <w:t>300 micrograms per</w:t>
            </w:r>
            <w:r>
              <w:rPr>
                <w:rFonts w:ascii="Arial" w:hAnsi="Arial" w:cs="Arial"/>
                <w:color w:val="000000"/>
              </w:rPr>
              <w:t xml:space="preserve"> mL, 3 mL</w:t>
            </w:r>
            <w:r>
              <w:rPr>
                <w:rFonts w:ascii="Arial" w:hAnsi="Arial" w:cs="Arial"/>
                <w:color w:val="000000"/>
              </w:rPr>
              <w:br/>
            </w:r>
            <w:r>
              <w:rPr>
                <w:rFonts w:ascii="Arial" w:hAnsi="Arial" w:cs="Arial"/>
                <w:color w:val="000000"/>
              </w:rPr>
              <w:br/>
            </w:r>
            <w:proofErr w:type="spellStart"/>
            <w:r>
              <w:rPr>
                <w:rFonts w:ascii="Arial" w:hAnsi="Arial" w:cs="Arial"/>
                <w:color w:val="000000"/>
              </w:rPr>
              <w:t>Vizo</w:t>
            </w:r>
            <w:proofErr w:type="spellEnd"/>
            <w:r>
              <w:rPr>
                <w:rFonts w:ascii="Arial" w:hAnsi="Arial" w:cs="Arial"/>
                <w:color w:val="000000"/>
              </w:rPr>
              <w:t xml:space="preserve">-PF </w:t>
            </w:r>
            <w:proofErr w:type="spellStart"/>
            <w:r>
              <w:rPr>
                <w:rFonts w:ascii="Arial" w:hAnsi="Arial" w:cs="Arial"/>
                <w:color w:val="000000"/>
              </w:rPr>
              <w:t>Bimatoprost</w:t>
            </w:r>
            <w:proofErr w:type="spellEnd"/>
            <w:r w:rsidR="00CD476C">
              <w:rPr>
                <w:rFonts w:ascii="Arial" w:hAnsi="Arial" w:cs="Arial"/>
                <w:color w:val="000000"/>
              </w:rPr>
              <w:t>®</w:t>
            </w:r>
            <w:r w:rsidRPr="006B5404">
              <w:rPr>
                <w:rFonts w:ascii="Arial" w:hAnsi="Arial" w:cs="Arial"/>
                <w:color w:val="000000"/>
              </w:rPr>
              <w:br/>
            </w:r>
            <w:r w:rsidRPr="006B5404">
              <w:rPr>
                <w:rFonts w:ascii="Arial" w:hAnsi="Arial" w:cs="Arial"/>
                <w:color w:val="000000"/>
              </w:rPr>
              <w:br/>
              <w:t>AFT Pharmaceuticals Pty Ltd</w:t>
            </w:r>
            <w:r w:rsidRPr="006B5404">
              <w:rPr>
                <w:rFonts w:ascii="Arial" w:hAnsi="Arial" w:cs="Arial"/>
                <w:color w:val="000000"/>
              </w:rPr>
              <w:br/>
            </w:r>
            <w:r w:rsidRPr="006B5404">
              <w:rPr>
                <w:rFonts w:ascii="Arial" w:hAnsi="Arial" w:cs="Arial"/>
                <w:color w:val="000000"/>
              </w:rPr>
              <w:br/>
              <w:t>New listing</w:t>
            </w:r>
            <w:r w:rsidRPr="006B5404">
              <w:rPr>
                <w:rFonts w:ascii="Arial" w:hAnsi="Arial" w:cs="Arial"/>
                <w:color w:val="000000"/>
              </w:rPr>
              <w:br/>
            </w:r>
            <w:r w:rsidRPr="00E16F30">
              <w:rPr>
                <w:rFonts w:ascii="Arial" w:hAnsi="Arial" w:cs="Arial"/>
                <w:color w:val="000000"/>
              </w:rPr>
              <w:t>(Minor Submission)</w:t>
            </w:r>
            <w:r>
              <w:rPr>
                <w:rFonts w:ascii="Arial" w:hAnsi="Arial" w:cs="Arial"/>
                <w:color w:val="000000"/>
              </w:rPr>
              <w:t xml:space="preserve"> </w:t>
            </w:r>
          </w:p>
        </w:tc>
        <w:tc>
          <w:tcPr>
            <w:tcW w:w="2401" w:type="dxa"/>
            <w:tcBorders>
              <w:top w:val="nil"/>
              <w:left w:val="nil"/>
              <w:bottom w:val="single" w:sz="4" w:space="0" w:color="auto"/>
              <w:right w:val="single" w:sz="4" w:space="0" w:color="auto"/>
            </w:tcBorders>
            <w:shd w:val="clear" w:color="auto" w:fill="auto"/>
            <w:tcMar>
              <w:top w:w="28" w:type="dxa"/>
              <w:bottom w:w="28" w:type="dxa"/>
            </w:tcMar>
          </w:tcPr>
          <w:p w14:paraId="05513B23" w14:textId="6099D210" w:rsidR="00760E1B" w:rsidRPr="006B5404" w:rsidRDefault="00760E1B" w:rsidP="00760E1B">
            <w:pPr>
              <w:rPr>
                <w:rFonts w:ascii="Arial" w:hAnsi="Arial" w:cs="Arial"/>
              </w:rPr>
            </w:pPr>
            <w:r w:rsidRPr="00FD3C61">
              <w:rPr>
                <w:rFonts w:ascii="Arial" w:hAnsi="Arial" w:cs="Arial"/>
              </w:rPr>
              <w:t>Reduction of elevated intraocular pressure or open</w:t>
            </w:r>
            <w:r w:rsidR="00CE2E56">
              <w:rPr>
                <w:rFonts w:ascii="Arial" w:hAnsi="Arial" w:cs="Arial"/>
              </w:rPr>
              <w:t xml:space="preserve"> angle glaucoma, as first-</w:t>
            </w:r>
            <w:r w:rsidRPr="00FD3C61">
              <w:rPr>
                <w:rFonts w:ascii="Arial" w:hAnsi="Arial" w:cs="Arial"/>
              </w:rPr>
              <w:t>line therapy or monotherapy or as adjunctive therapy to topical beta-blockers.</w:t>
            </w:r>
          </w:p>
        </w:tc>
        <w:tc>
          <w:tcPr>
            <w:tcW w:w="2702" w:type="dxa"/>
            <w:tcBorders>
              <w:top w:val="nil"/>
              <w:left w:val="nil"/>
              <w:bottom w:val="single" w:sz="4" w:space="0" w:color="auto"/>
              <w:right w:val="single" w:sz="4" w:space="0" w:color="auto"/>
            </w:tcBorders>
            <w:shd w:val="clear" w:color="auto" w:fill="auto"/>
            <w:tcMar>
              <w:top w:w="28" w:type="dxa"/>
              <w:bottom w:w="28" w:type="dxa"/>
            </w:tcMar>
          </w:tcPr>
          <w:p w14:paraId="18566C22" w14:textId="79AB4B17" w:rsidR="00760E1B" w:rsidRPr="006B5404" w:rsidRDefault="00760E1B" w:rsidP="00760E1B">
            <w:pPr>
              <w:rPr>
                <w:rFonts w:ascii="Arial" w:hAnsi="Arial" w:cs="Arial"/>
              </w:rPr>
            </w:pPr>
            <w:r>
              <w:rPr>
                <w:rFonts w:ascii="Arial" w:hAnsi="Arial" w:cs="Arial"/>
                <w:color w:val="000000"/>
              </w:rPr>
              <w:t xml:space="preserve">To request the unrestricted PBS listing for </w:t>
            </w:r>
            <w:proofErr w:type="spellStart"/>
            <w:r>
              <w:rPr>
                <w:rFonts w:ascii="Arial" w:hAnsi="Arial" w:cs="Arial"/>
                <w:color w:val="000000"/>
              </w:rPr>
              <w:t>Vizo</w:t>
            </w:r>
            <w:proofErr w:type="spellEnd"/>
            <w:r>
              <w:rPr>
                <w:rFonts w:ascii="Arial" w:hAnsi="Arial" w:cs="Arial"/>
                <w:color w:val="000000"/>
              </w:rPr>
              <w:t xml:space="preserve">-PF </w:t>
            </w:r>
            <w:proofErr w:type="spellStart"/>
            <w:r>
              <w:rPr>
                <w:rFonts w:ascii="Arial" w:hAnsi="Arial" w:cs="Arial"/>
                <w:color w:val="000000"/>
              </w:rPr>
              <w:t>Bimatoprost</w:t>
            </w:r>
            <w:proofErr w:type="spellEnd"/>
            <w:r>
              <w:rPr>
                <w:rFonts w:ascii="Arial" w:hAnsi="Arial" w:cs="Arial"/>
                <w:color w:val="000000"/>
              </w:rPr>
              <w:t>® for the reduction of elevated intraocular pressure, o</w:t>
            </w:r>
            <w:r w:rsidR="00CE2E56">
              <w:rPr>
                <w:rFonts w:ascii="Arial" w:hAnsi="Arial" w:cs="Arial"/>
                <w:color w:val="000000"/>
              </w:rPr>
              <w:t>r open angle glaucoma, as first-</w:t>
            </w:r>
            <w:r>
              <w:rPr>
                <w:rFonts w:ascii="Arial" w:hAnsi="Arial" w:cs="Arial"/>
                <w:color w:val="000000"/>
              </w:rPr>
              <w:t>line therapy or monotherapy or as adjunctive therapy to topical beta-blockers.</w:t>
            </w:r>
          </w:p>
        </w:tc>
        <w:tc>
          <w:tcPr>
            <w:tcW w:w="6604" w:type="dxa"/>
            <w:tcBorders>
              <w:top w:val="single" w:sz="4" w:space="0" w:color="auto"/>
              <w:left w:val="single" w:sz="4" w:space="0" w:color="auto"/>
              <w:bottom w:val="single" w:sz="4" w:space="0" w:color="auto"/>
              <w:right w:val="single" w:sz="4" w:space="0" w:color="auto"/>
            </w:tcBorders>
          </w:tcPr>
          <w:p w14:paraId="467F1397" w14:textId="75D30209" w:rsidR="00760E1B" w:rsidRPr="006B5404" w:rsidRDefault="00760E1B" w:rsidP="00257ED7">
            <w:pPr>
              <w:widowControl w:val="0"/>
              <w:rPr>
                <w:rFonts w:ascii="Arial" w:hAnsi="Arial" w:cs="Arial"/>
              </w:rPr>
            </w:pPr>
            <w:r>
              <w:rPr>
                <w:rFonts w:ascii="Arial" w:hAnsi="Arial" w:cs="Arial"/>
              </w:rPr>
              <w:t xml:space="preserve">The PBAC recommended the </w:t>
            </w:r>
            <w:r w:rsidRPr="006B5404">
              <w:rPr>
                <w:rFonts w:ascii="Arial" w:hAnsi="Arial" w:cs="Arial"/>
              </w:rPr>
              <w:t xml:space="preserve">listing </w:t>
            </w:r>
            <w:r w:rsidR="00257ED7">
              <w:rPr>
                <w:rFonts w:ascii="Arial" w:hAnsi="Arial" w:cs="Arial"/>
              </w:rPr>
              <w:t xml:space="preserve">of </w:t>
            </w:r>
            <w:proofErr w:type="spellStart"/>
            <w:r w:rsidRPr="006B5404">
              <w:rPr>
                <w:rFonts w:ascii="Arial" w:hAnsi="Arial" w:cs="Arial"/>
              </w:rPr>
              <w:t>Vizo</w:t>
            </w:r>
            <w:proofErr w:type="spellEnd"/>
            <w:r w:rsidRPr="006B5404">
              <w:rPr>
                <w:rFonts w:ascii="Arial" w:hAnsi="Arial" w:cs="Arial"/>
              </w:rPr>
              <w:t xml:space="preserve">-PF </w:t>
            </w:r>
            <w:proofErr w:type="spellStart"/>
            <w:r w:rsidRPr="006B5404">
              <w:rPr>
                <w:rFonts w:ascii="Arial" w:hAnsi="Arial" w:cs="Arial"/>
              </w:rPr>
              <w:t>Bimatoprost</w:t>
            </w:r>
            <w:proofErr w:type="spellEnd"/>
            <w:r>
              <w:rPr>
                <w:rFonts w:ascii="Arial" w:hAnsi="Arial" w:cs="Arial"/>
              </w:rPr>
              <w:t>®</w:t>
            </w:r>
            <w:r w:rsidRPr="006B5404">
              <w:rPr>
                <w:rFonts w:ascii="Arial" w:hAnsi="Arial" w:cs="Arial"/>
              </w:rPr>
              <w:t xml:space="preserve"> in a preservative-free multi-dose bottle for the reduction of elevated intraocular pressure, o</w:t>
            </w:r>
            <w:r w:rsidR="00CE2E56">
              <w:rPr>
                <w:rFonts w:ascii="Arial" w:hAnsi="Arial" w:cs="Arial"/>
              </w:rPr>
              <w:t>r open angle glaucoma, as first-</w:t>
            </w:r>
            <w:r w:rsidRPr="006B5404">
              <w:rPr>
                <w:rFonts w:ascii="Arial" w:hAnsi="Arial" w:cs="Arial"/>
              </w:rPr>
              <w:t>line therapy or monotherapy or as adjunctive therapy to to</w:t>
            </w:r>
            <w:r w:rsidR="004B349C">
              <w:rPr>
                <w:rFonts w:ascii="Arial" w:hAnsi="Arial" w:cs="Arial"/>
              </w:rPr>
              <w:t xml:space="preserve">pical beta-blockers. The PBAC recommended listing on a cost-minimisation basis compared with the </w:t>
            </w:r>
            <w:r w:rsidRPr="006B5404">
              <w:rPr>
                <w:rFonts w:ascii="Arial" w:hAnsi="Arial" w:cs="Arial"/>
              </w:rPr>
              <w:t>lowest priced alternative agent.</w:t>
            </w:r>
          </w:p>
        </w:tc>
      </w:tr>
      <w:tr w:rsidR="00380821" w:rsidRPr="006B5404" w14:paraId="36651DC2" w14:textId="77777777" w:rsidTr="00891EAA">
        <w:trPr>
          <w:cantSplit/>
          <w:trHeight w:val="430"/>
        </w:trPr>
        <w:tc>
          <w:tcPr>
            <w:tcW w:w="3681" w:type="dxa"/>
            <w:tcBorders>
              <w:top w:val="nil"/>
              <w:left w:val="single" w:sz="4" w:space="0" w:color="auto"/>
              <w:bottom w:val="single" w:sz="4" w:space="0" w:color="auto"/>
              <w:right w:val="single" w:sz="4" w:space="0" w:color="auto"/>
            </w:tcBorders>
            <w:shd w:val="clear" w:color="auto" w:fill="auto"/>
            <w:tcMar>
              <w:top w:w="28" w:type="dxa"/>
              <w:bottom w:w="28" w:type="dxa"/>
            </w:tcMar>
          </w:tcPr>
          <w:p w14:paraId="177A3E8B" w14:textId="507EC5A7" w:rsidR="00380821" w:rsidRPr="006B5404" w:rsidRDefault="00380821" w:rsidP="00380821">
            <w:pPr>
              <w:rPr>
                <w:rFonts w:ascii="Arial" w:hAnsi="Arial" w:cs="Arial"/>
              </w:rPr>
            </w:pPr>
            <w:r w:rsidRPr="006B5404">
              <w:rPr>
                <w:rFonts w:ascii="Arial" w:hAnsi="Arial" w:cs="Arial"/>
                <w:color w:val="000000"/>
              </w:rPr>
              <w:t>CARBOHYDRATE, FAT, VITAMINS, MINERALS AND TRACE ELEMENTS</w:t>
            </w:r>
            <w:r w:rsidRPr="006B5404">
              <w:rPr>
                <w:rFonts w:ascii="Arial" w:hAnsi="Arial" w:cs="Arial"/>
                <w:color w:val="000000"/>
              </w:rPr>
              <w:br/>
            </w:r>
            <w:r w:rsidR="00E25603">
              <w:rPr>
                <w:rFonts w:ascii="Arial" w:hAnsi="Arial" w:cs="Arial"/>
                <w:color w:val="000000"/>
              </w:rPr>
              <w:br/>
              <w:t xml:space="preserve">Oral powder 400 g </w:t>
            </w:r>
            <w:r w:rsidR="00E25603">
              <w:rPr>
                <w:rFonts w:ascii="Arial" w:hAnsi="Arial" w:cs="Arial"/>
                <w:color w:val="000000"/>
              </w:rPr>
              <w:br/>
            </w:r>
            <w:r w:rsidR="00E25603">
              <w:rPr>
                <w:rFonts w:ascii="Arial" w:hAnsi="Arial" w:cs="Arial"/>
                <w:color w:val="000000"/>
              </w:rPr>
              <w:br/>
            </w:r>
            <w:proofErr w:type="spellStart"/>
            <w:r w:rsidR="00E25603">
              <w:rPr>
                <w:rFonts w:ascii="Arial" w:hAnsi="Arial" w:cs="Arial"/>
                <w:color w:val="000000"/>
              </w:rPr>
              <w:t>Energivit</w:t>
            </w:r>
            <w:proofErr w:type="spellEnd"/>
            <w:r w:rsidR="00CD476C">
              <w:rPr>
                <w:rFonts w:ascii="Arial" w:hAnsi="Arial" w:cs="Arial"/>
                <w:color w:val="000000"/>
              </w:rPr>
              <w:t>®</w:t>
            </w:r>
            <w:r w:rsidRPr="006B5404">
              <w:rPr>
                <w:rFonts w:ascii="Arial" w:hAnsi="Arial" w:cs="Arial"/>
                <w:color w:val="000000"/>
              </w:rPr>
              <w:br/>
            </w:r>
            <w:r w:rsidRPr="006B5404">
              <w:rPr>
                <w:rFonts w:ascii="Arial" w:hAnsi="Arial" w:cs="Arial"/>
                <w:color w:val="000000"/>
              </w:rPr>
              <w:br/>
              <w:t>Nutricia Australia Pty Ltd</w:t>
            </w:r>
            <w:r w:rsidRPr="006B5404">
              <w:rPr>
                <w:rFonts w:ascii="Arial" w:hAnsi="Arial" w:cs="Arial"/>
                <w:color w:val="000000"/>
              </w:rPr>
              <w:br/>
            </w:r>
            <w:r w:rsidRPr="006B5404">
              <w:rPr>
                <w:rFonts w:ascii="Arial" w:hAnsi="Arial" w:cs="Arial"/>
                <w:color w:val="000000"/>
              </w:rPr>
              <w:br/>
              <w:t>Change to listing</w:t>
            </w:r>
            <w:r w:rsidRPr="006B5404">
              <w:rPr>
                <w:rFonts w:ascii="Arial" w:hAnsi="Arial" w:cs="Arial"/>
                <w:color w:val="000000"/>
              </w:rPr>
              <w:br/>
            </w:r>
            <w:r w:rsidRPr="00E16F30">
              <w:rPr>
                <w:rFonts w:ascii="Arial" w:hAnsi="Arial" w:cs="Arial"/>
                <w:color w:val="000000"/>
              </w:rPr>
              <w:t>(</w:t>
            </w:r>
            <w:r w:rsidR="00E16F30" w:rsidRPr="00E16F30">
              <w:rPr>
                <w:rFonts w:ascii="Arial" w:hAnsi="Arial" w:cs="Arial"/>
                <w:color w:val="000000"/>
              </w:rPr>
              <w:t>Minor Submission</w:t>
            </w:r>
          </w:p>
        </w:tc>
        <w:tc>
          <w:tcPr>
            <w:tcW w:w="2401" w:type="dxa"/>
            <w:tcBorders>
              <w:top w:val="nil"/>
              <w:left w:val="nil"/>
              <w:bottom w:val="single" w:sz="4" w:space="0" w:color="auto"/>
              <w:right w:val="single" w:sz="4" w:space="0" w:color="auto"/>
            </w:tcBorders>
            <w:shd w:val="clear" w:color="auto" w:fill="auto"/>
            <w:tcMar>
              <w:top w:w="28" w:type="dxa"/>
              <w:bottom w:w="28" w:type="dxa"/>
            </w:tcMar>
          </w:tcPr>
          <w:p w14:paraId="47BE1B62" w14:textId="1EDAB833" w:rsidR="00380821" w:rsidRPr="006B5404" w:rsidRDefault="00380821" w:rsidP="00380821">
            <w:pPr>
              <w:rPr>
                <w:rFonts w:ascii="Arial" w:hAnsi="Arial" w:cs="Arial"/>
              </w:rPr>
            </w:pPr>
            <w:r w:rsidRPr="006B5404">
              <w:rPr>
                <w:rFonts w:ascii="Arial" w:hAnsi="Arial" w:cs="Arial"/>
                <w:color w:val="000000"/>
              </w:rPr>
              <w:t>Proven inborn errors of protein metabolism</w:t>
            </w:r>
          </w:p>
        </w:tc>
        <w:tc>
          <w:tcPr>
            <w:tcW w:w="2702" w:type="dxa"/>
            <w:tcBorders>
              <w:top w:val="nil"/>
              <w:left w:val="nil"/>
              <w:bottom w:val="single" w:sz="4" w:space="0" w:color="auto"/>
              <w:right w:val="single" w:sz="4" w:space="0" w:color="auto"/>
            </w:tcBorders>
            <w:shd w:val="clear" w:color="auto" w:fill="auto"/>
            <w:tcMar>
              <w:top w:w="28" w:type="dxa"/>
              <w:bottom w:w="28" w:type="dxa"/>
            </w:tcMar>
          </w:tcPr>
          <w:p w14:paraId="632D63FA" w14:textId="5417D600" w:rsidR="00380821" w:rsidRPr="006B5404" w:rsidRDefault="00263D59" w:rsidP="00380821">
            <w:pPr>
              <w:rPr>
                <w:rFonts w:ascii="Arial" w:hAnsi="Arial" w:cs="Arial"/>
              </w:rPr>
            </w:pPr>
            <w:r>
              <w:rPr>
                <w:rFonts w:ascii="Arial" w:hAnsi="Arial" w:cs="Arial"/>
                <w:color w:val="000000"/>
              </w:rPr>
              <w:t xml:space="preserve">To request a formulation change of </w:t>
            </w:r>
            <w:proofErr w:type="spellStart"/>
            <w:r>
              <w:rPr>
                <w:rFonts w:ascii="Arial" w:hAnsi="Arial" w:cs="Arial"/>
                <w:color w:val="000000"/>
              </w:rPr>
              <w:t>Energivit</w:t>
            </w:r>
            <w:proofErr w:type="spellEnd"/>
            <w:r>
              <w:rPr>
                <w:rFonts w:ascii="Arial" w:hAnsi="Arial" w:cs="Arial"/>
                <w:color w:val="000000"/>
              </w:rPr>
              <w:t>® for the dietary management of proven inborn errors of protein metabolism.</w:t>
            </w:r>
          </w:p>
        </w:tc>
        <w:tc>
          <w:tcPr>
            <w:tcW w:w="6604" w:type="dxa"/>
            <w:tcBorders>
              <w:top w:val="single" w:sz="4" w:space="0" w:color="auto"/>
              <w:left w:val="single" w:sz="4" w:space="0" w:color="auto"/>
              <w:bottom w:val="single" w:sz="4" w:space="0" w:color="auto"/>
              <w:right w:val="single" w:sz="4" w:space="0" w:color="auto"/>
            </w:tcBorders>
          </w:tcPr>
          <w:p w14:paraId="6EA07966" w14:textId="4D0B4A12" w:rsidR="00CE227D" w:rsidRPr="006B5404" w:rsidRDefault="00CE227D" w:rsidP="00CE227D">
            <w:pPr>
              <w:rPr>
                <w:rFonts w:ascii="Arial" w:hAnsi="Arial" w:cs="Arial"/>
                <w:color w:val="000000"/>
              </w:rPr>
            </w:pPr>
            <w:r w:rsidRPr="006B5404">
              <w:rPr>
                <w:rFonts w:ascii="Arial" w:hAnsi="Arial" w:cs="Arial"/>
                <w:color w:val="000000"/>
              </w:rPr>
              <w:t xml:space="preserve">The PBAC recommended continuing the listing of </w:t>
            </w:r>
            <w:proofErr w:type="spellStart"/>
            <w:r w:rsidRPr="006B5404">
              <w:rPr>
                <w:rFonts w:ascii="Arial" w:hAnsi="Arial" w:cs="Arial"/>
                <w:color w:val="000000"/>
              </w:rPr>
              <w:t>Energivit</w:t>
            </w:r>
            <w:proofErr w:type="spellEnd"/>
            <w:r w:rsidR="00CD476C">
              <w:rPr>
                <w:rFonts w:ascii="Arial" w:hAnsi="Arial" w:cs="Arial"/>
                <w:color w:val="000000"/>
              </w:rPr>
              <w:t>®</w:t>
            </w:r>
            <w:r w:rsidRPr="006B5404">
              <w:rPr>
                <w:rFonts w:ascii="Arial" w:hAnsi="Arial" w:cs="Arial"/>
                <w:color w:val="000000"/>
              </w:rPr>
              <w:t xml:space="preserve"> on the PBS following its reformulation. </w:t>
            </w:r>
          </w:p>
          <w:p w14:paraId="5F6164CE" w14:textId="5B1F0859" w:rsidR="00380821" w:rsidRPr="006B5404" w:rsidRDefault="00380821" w:rsidP="00380821">
            <w:pPr>
              <w:widowControl w:val="0"/>
              <w:rPr>
                <w:rFonts w:ascii="Arial" w:hAnsi="Arial" w:cs="Arial"/>
              </w:rPr>
            </w:pPr>
          </w:p>
        </w:tc>
      </w:tr>
      <w:tr w:rsidR="00380821" w:rsidRPr="006B5404" w14:paraId="5DA79AC5" w14:textId="77777777" w:rsidTr="00891EAA">
        <w:trPr>
          <w:cantSplit/>
          <w:trHeight w:val="430"/>
        </w:trPr>
        <w:tc>
          <w:tcPr>
            <w:tcW w:w="3681" w:type="dxa"/>
            <w:tcBorders>
              <w:top w:val="nil"/>
              <w:left w:val="single" w:sz="4" w:space="0" w:color="auto"/>
              <w:bottom w:val="single" w:sz="4" w:space="0" w:color="auto"/>
              <w:right w:val="single" w:sz="4" w:space="0" w:color="auto"/>
            </w:tcBorders>
            <w:shd w:val="clear" w:color="auto" w:fill="auto"/>
            <w:tcMar>
              <w:top w:w="28" w:type="dxa"/>
              <w:bottom w:w="28" w:type="dxa"/>
            </w:tcMar>
          </w:tcPr>
          <w:p w14:paraId="35DD4A79" w14:textId="74AFB4FB" w:rsidR="00380821" w:rsidRPr="006B5404" w:rsidRDefault="00380821" w:rsidP="00380821">
            <w:pPr>
              <w:rPr>
                <w:rFonts w:ascii="Arial" w:hAnsi="Arial" w:cs="Arial"/>
              </w:rPr>
            </w:pPr>
            <w:r w:rsidRPr="006B5404">
              <w:rPr>
                <w:rFonts w:ascii="Arial" w:hAnsi="Arial" w:cs="Arial"/>
                <w:color w:val="000000"/>
              </w:rPr>
              <w:lastRenderedPageBreak/>
              <w:t>CARFILZOMIB</w:t>
            </w:r>
            <w:r w:rsidRPr="006B5404">
              <w:rPr>
                <w:rFonts w:ascii="Arial" w:hAnsi="Arial" w:cs="Arial"/>
                <w:color w:val="000000"/>
              </w:rPr>
              <w:br/>
            </w:r>
            <w:r w:rsidRPr="006B5404">
              <w:rPr>
                <w:rFonts w:ascii="Arial" w:hAnsi="Arial" w:cs="Arial"/>
                <w:color w:val="000000"/>
              </w:rPr>
              <w:br/>
              <w:t>Powder for injection 10 mg</w:t>
            </w:r>
            <w:r w:rsidRPr="006B5404">
              <w:rPr>
                <w:rFonts w:ascii="Arial" w:hAnsi="Arial" w:cs="Arial"/>
                <w:color w:val="000000"/>
              </w:rPr>
              <w:br/>
              <w:t>Powder for injection 30 mg</w:t>
            </w:r>
            <w:r w:rsidRPr="006B5404">
              <w:rPr>
                <w:rFonts w:ascii="Arial" w:hAnsi="Arial" w:cs="Arial"/>
                <w:color w:val="000000"/>
              </w:rPr>
              <w:br/>
              <w:t>Powder for injecti</w:t>
            </w:r>
            <w:r w:rsidR="00E25603">
              <w:rPr>
                <w:rFonts w:ascii="Arial" w:hAnsi="Arial" w:cs="Arial"/>
                <w:color w:val="000000"/>
              </w:rPr>
              <w:t>on 60 mg</w:t>
            </w:r>
            <w:r w:rsidR="00E25603">
              <w:rPr>
                <w:rFonts w:ascii="Arial" w:hAnsi="Arial" w:cs="Arial"/>
                <w:color w:val="000000"/>
              </w:rPr>
              <w:br/>
            </w:r>
            <w:r w:rsidR="00E25603">
              <w:rPr>
                <w:rFonts w:ascii="Arial" w:hAnsi="Arial" w:cs="Arial"/>
                <w:color w:val="000000"/>
              </w:rPr>
              <w:br/>
            </w:r>
            <w:proofErr w:type="spellStart"/>
            <w:r w:rsidR="00E25603">
              <w:rPr>
                <w:rFonts w:ascii="Arial" w:hAnsi="Arial" w:cs="Arial"/>
                <w:color w:val="000000"/>
              </w:rPr>
              <w:t>Kyprolis</w:t>
            </w:r>
            <w:proofErr w:type="spellEnd"/>
            <w:r w:rsidR="00CD476C">
              <w:rPr>
                <w:rFonts w:ascii="Arial" w:hAnsi="Arial" w:cs="Arial"/>
                <w:color w:val="000000"/>
              </w:rPr>
              <w:t>®</w:t>
            </w:r>
            <w:r w:rsidRPr="006B5404">
              <w:rPr>
                <w:rFonts w:ascii="Arial" w:hAnsi="Arial" w:cs="Arial"/>
                <w:color w:val="000000"/>
              </w:rPr>
              <w:br/>
            </w:r>
            <w:r w:rsidRPr="006B5404">
              <w:rPr>
                <w:rFonts w:ascii="Arial" w:hAnsi="Arial" w:cs="Arial"/>
                <w:color w:val="000000"/>
              </w:rPr>
              <w:br/>
              <w:t>Amgen Australia Pty Ltd</w:t>
            </w:r>
            <w:r w:rsidRPr="006B5404">
              <w:rPr>
                <w:rFonts w:ascii="Arial" w:hAnsi="Arial" w:cs="Arial"/>
                <w:color w:val="000000"/>
              </w:rPr>
              <w:br/>
            </w:r>
            <w:r w:rsidRPr="006B5404">
              <w:rPr>
                <w:rFonts w:ascii="Arial" w:hAnsi="Arial" w:cs="Arial"/>
                <w:color w:val="000000"/>
              </w:rPr>
              <w:br/>
              <w:t>Change to listing</w:t>
            </w:r>
            <w:r w:rsidRPr="006B5404">
              <w:rPr>
                <w:rFonts w:ascii="Arial" w:hAnsi="Arial" w:cs="Arial"/>
                <w:color w:val="000000"/>
              </w:rPr>
              <w:br/>
              <w:t>(Minor Submission)</w:t>
            </w:r>
          </w:p>
        </w:tc>
        <w:tc>
          <w:tcPr>
            <w:tcW w:w="2401" w:type="dxa"/>
            <w:tcBorders>
              <w:top w:val="nil"/>
              <w:left w:val="nil"/>
              <w:bottom w:val="single" w:sz="4" w:space="0" w:color="auto"/>
              <w:right w:val="single" w:sz="4" w:space="0" w:color="auto"/>
            </w:tcBorders>
            <w:shd w:val="clear" w:color="auto" w:fill="auto"/>
            <w:tcMar>
              <w:top w:w="28" w:type="dxa"/>
              <w:bottom w:w="28" w:type="dxa"/>
            </w:tcMar>
          </w:tcPr>
          <w:p w14:paraId="057ED2EF" w14:textId="4628A5D0" w:rsidR="00380821" w:rsidRPr="006B5404" w:rsidRDefault="00380821" w:rsidP="00380821">
            <w:pPr>
              <w:rPr>
                <w:rFonts w:ascii="Arial" w:hAnsi="Arial" w:cs="Arial"/>
              </w:rPr>
            </w:pPr>
            <w:r w:rsidRPr="006B5404">
              <w:rPr>
                <w:rFonts w:ascii="Arial" w:hAnsi="Arial" w:cs="Arial"/>
                <w:color w:val="000000"/>
              </w:rPr>
              <w:t>Multiple myeloma</w:t>
            </w:r>
            <w:r w:rsidR="003E70D1">
              <w:rPr>
                <w:rFonts w:ascii="Arial" w:hAnsi="Arial" w:cs="Arial"/>
                <w:color w:val="000000"/>
              </w:rPr>
              <w:t xml:space="preserve"> (MM)</w:t>
            </w:r>
          </w:p>
        </w:tc>
        <w:tc>
          <w:tcPr>
            <w:tcW w:w="2702" w:type="dxa"/>
            <w:tcBorders>
              <w:top w:val="nil"/>
              <w:left w:val="nil"/>
              <w:bottom w:val="single" w:sz="4" w:space="0" w:color="auto"/>
              <w:right w:val="single" w:sz="4" w:space="0" w:color="auto"/>
            </w:tcBorders>
            <w:shd w:val="clear" w:color="auto" w:fill="auto"/>
            <w:tcMar>
              <w:top w:w="28" w:type="dxa"/>
              <w:bottom w:w="28" w:type="dxa"/>
            </w:tcMar>
          </w:tcPr>
          <w:p w14:paraId="581E4152" w14:textId="77777777" w:rsidR="005B4CF6" w:rsidRDefault="005B4CF6" w:rsidP="005B4CF6">
            <w:pPr>
              <w:rPr>
                <w:rFonts w:ascii="Arial" w:hAnsi="Arial" w:cs="Arial"/>
                <w:color w:val="000000"/>
              </w:rPr>
            </w:pPr>
            <w:r>
              <w:rPr>
                <w:rFonts w:ascii="Arial" w:hAnsi="Arial" w:cs="Arial"/>
                <w:color w:val="000000"/>
              </w:rPr>
              <w:t>To request:</w:t>
            </w:r>
          </w:p>
          <w:p w14:paraId="1BBCC055" w14:textId="5F51EAE8" w:rsidR="005B4CF6" w:rsidRDefault="005B4CF6" w:rsidP="005B4CF6">
            <w:pPr>
              <w:pStyle w:val="ListParagraph"/>
              <w:numPr>
                <w:ilvl w:val="0"/>
                <w:numId w:val="37"/>
              </w:numPr>
              <w:rPr>
                <w:rFonts w:ascii="Arial" w:eastAsia="Times New Roman" w:hAnsi="Arial" w:cs="Arial"/>
                <w:color w:val="000000"/>
                <w:sz w:val="20"/>
                <w:szCs w:val="20"/>
              </w:rPr>
            </w:pPr>
            <w:r>
              <w:rPr>
                <w:rFonts w:ascii="Arial" w:eastAsia="Times New Roman" w:hAnsi="Arial" w:cs="Arial"/>
                <w:color w:val="000000"/>
                <w:sz w:val="20"/>
                <w:szCs w:val="20"/>
              </w:rPr>
              <w:t>A change to authority level from telephone authority to streamlined authority for both initial and continuing treatment</w:t>
            </w:r>
            <w:r w:rsidR="002D6405">
              <w:rPr>
                <w:rFonts w:ascii="Arial" w:eastAsia="Times New Roman" w:hAnsi="Arial" w:cs="Arial"/>
                <w:color w:val="000000"/>
                <w:sz w:val="20"/>
                <w:szCs w:val="20"/>
              </w:rPr>
              <w:t>;</w:t>
            </w:r>
          </w:p>
          <w:p w14:paraId="73261992" w14:textId="4947AE51" w:rsidR="005B4CF6" w:rsidRDefault="005B4CF6" w:rsidP="005B4CF6">
            <w:pPr>
              <w:pStyle w:val="ListParagraph"/>
              <w:numPr>
                <w:ilvl w:val="0"/>
                <w:numId w:val="37"/>
              </w:numPr>
              <w:rPr>
                <w:rFonts w:ascii="Arial" w:eastAsia="Times New Roman" w:hAnsi="Arial" w:cs="Arial"/>
                <w:color w:val="000000"/>
                <w:sz w:val="20"/>
                <w:szCs w:val="20"/>
              </w:rPr>
            </w:pPr>
            <w:r>
              <w:rPr>
                <w:rFonts w:ascii="Arial" w:eastAsia="Times New Roman" w:hAnsi="Arial" w:cs="Arial"/>
                <w:color w:val="000000"/>
                <w:sz w:val="20"/>
                <w:szCs w:val="20"/>
              </w:rPr>
              <w:t xml:space="preserve">An amendment to the current dosing regimen of </w:t>
            </w:r>
            <w:proofErr w:type="spellStart"/>
            <w:r>
              <w:rPr>
                <w:rFonts w:ascii="Arial" w:eastAsia="Times New Roman" w:hAnsi="Arial" w:cs="Arial"/>
                <w:color w:val="000000"/>
                <w:sz w:val="20"/>
                <w:szCs w:val="20"/>
              </w:rPr>
              <w:t>carfilzomib</w:t>
            </w:r>
            <w:proofErr w:type="spellEnd"/>
            <w:r>
              <w:rPr>
                <w:rFonts w:ascii="Arial" w:eastAsia="Times New Roman" w:hAnsi="Arial" w:cs="Arial"/>
                <w:color w:val="000000"/>
                <w:sz w:val="20"/>
                <w:szCs w:val="20"/>
              </w:rPr>
              <w:t xml:space="preserve"> to allow a weekly dosing regimen of 70 mg/m</w:t>
            </w:r>
            <w:r w:rsidRPr="00A04395">
              <w:rPr>
                <w:rFonts w:ascii="Arial" w:eastAsia="Times New Roman" w:hAnsi="Arial" w:cs="Arial"/>
                <w:color w:val="000000"/>
                <w:sz w:val="20"/>
                <w:szCs w:val="20"/>
                <w:vertAlign w:val="superscript"/>
              </w:rPr>
              <w:t>2</w:t>
            </w:r>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carfilzomib</w:t>
            </w:r>
            <w:proofErr w:type="spellEnd"/>
            <w:r>
              <w:rPr>
                <w:rFonts w:ascii="Arial" w:eastAsia="Times New Roman" w:hAnsi="Arial" w:cs="Arial"/>
                <w:color w:val="000000"/>
                <w:sz w:val="20"/>
                <w:szCs w:val="20"/>
              </w:rPr>
              <w:t xml:space="preserve"> and dexamethasone</w:t>
            </w:r>
            <w:r w:rsidR="002D6405">
              <w:rPr>
                <w:rFonts w:ascii="Arial" w:eastAsia="Times New Roman" w:hAnsi="Arial" w:cs="Arial"/>
                <w:color w:val="000000"/>
                <w:sz w:val="20"/>
                <w:szCs w:val="20"/>
              </w:rPr>
              <w:t>;</w:t>
            </w:r>
          </w:p>
          <w:p w14:paraId="6D6EDF88" w14:textId="1C6158F1" w:rsidR="00380821" w:rsidRPr="005B4CF6" w:rsidRDefault="005B4CF6" w:rsidP="005B4CF6">
            <w:pPr>
              <w:pStyle w:val="ListParagraph"/>
              <w:numPr>
                <w:ilvl w:val="0"/>
                <w:numId w:val="37"/>
              </w:numPr>
              <w:rPr>
                <w:rFonts w:ascii="Arial" w:eastAsia="Times New Roman" w:hAnsi="Arial" w:cs="Arial"/>
                <w:color w:val="000000"/>
                <w:sz w:val="20"/>
                <w:szCs w:val="20"/>
              </w:rPr>
            </w:pPr>
            <w:r w:rsidRPr="005B4CF6">
              <w:rPr>
                <w:rFonts w:ascii="Arial" w:eastAsia="Times New Roman" w:hAnsi="Arial" w:cs="Arial"/>
                <w:color w:val="000000"/>
                <w:sz w:val="20"/>
                <w:szCs w:val="20"/>
              </w:rPr>
              <w:t>An increase in the maximum amount from 120 mg to 160 mg to allow for the weekly dosing of 70 mg/m</w:t>
            </w:r>
            <w:r w:rsidRPr="005B4CF6">
              <w:rPr>
                <w:rFonts w:ascii="Arial" w:eastAsia="Times New Roman" w:hAnsi="Arial" w:cs="Arial"/>
                <w:color w:val="000000"/>
                <w:sz w:val="20"/>
                <w:szCs w:val="20"/>
                <w:vertAlign w:val="superscript"/>
              </w:rPr>
              <w:t>2</w:t>
            </w:r>
            <w:r w:rsidRPr="005B4CF6">
              <w:rPr>
                <w:rFonts w:ascii="Arial" w:eastAsia="Times New Roman" w:hAnsi="Arial" w:cs="Arial"/>
                <w:color w:val="000000"/>
                <w:sz w:val="20"/>
                <w:szCs w:val="20"/>
              </w:rPr>
              <w:t xml:space="preserve"> </w:t>
            </w:r>
            <w:proofErr w:type="spellStart"/>
            <w:r w:rsidRPr="005B4CF6">
              <w:rPr>
                <w:rFonts w:ascii="Arial" w:eastAsia="Times New Roman" w:hAnsi="Arial" w:cs="Arial"/>
                <w:color w:val="000000"/>
                <w:sz w:val="20"/>
                <w:szCs w:val="20"/>
              </w:rPr>
              <w:t>carfilzomib</w:t>
            </w:r>
            <w:proofErr w:type="spellEnd"/>
            <w:r w:rsidRPr="005B4CF6">
              <w:rPr>
                <w:rFonts w:ascii="Arial" w:eastAsia="Times New Roman" w:hAnsi="Arial" w:cs="Arial"/>
                <w:color w:val="000000"/>
                <w:sz w:val="20"/>
                <w:szCs w:val="20"/>
              </w:rPr>
              <w:t xml:space="preserve"> and dexamethasone</w:t>
            </w:r>
            <w:r>
              <w:rPr>
                <w:rFonts w:ascii="Arial" w:eastAsia="Times New Roman" w:hAnsi="Arial" w:cs="Arial"/>
                <w:color w:val="000000"/>
                <w:sz w:val="20"/>
                <w:szCs w:val="20"/>
              </w:rPr>
              <w:t>.</w:t>
            </w:r>
          </w:p>
        </w:tc>
        <w:tc>
          <w:tcPr>
            <w:tcW w:w="6604" w:type="dxa"/>
            <w:tcBorders>
              <w:top w:val="single" w:sz="4" w:space="0" w:color="auto"/>
              <w:left w:val="single" w:sz="4" w:space="0" w:color="auto"/>
              <w:bottom w:val="single" w:sz="4" w:space="0" w:color="auto"/>
              <w:right w:val="single" w:sz="4" w:space="0" w:color="auto"/>
            </w:tcBorders>
          </w:tcPr>
          <w:p w14:paraId="51715197" w14:textId="634D8190" w:rsidR="00E25603" w:rsidRDefault="00CE227D" w:rsidP="00CE227D">
            <w:pPr>
              <w:rPr>
                <w:rFonts w:ascii="Arial" w:hAnsi="Arial" w:cs="Arial"/>
                <w:color w:val="000000"/>
              </w:rPr>
            </w:pPr>
            <w:r w:rsidRPr="006B5404">
              <w:rPr>
                <w:rFonts w:ascii="Arial" w:hAnsi="Arial" w:cs="Arial"/>
                <w:color w:val="000000"/>
              </w:rPr>
              <w:t>The PBAC recommended the addition of the 70 mg/m</w:t>
            </w:r>
            <w:r w:rsidRPr="006B5404">
              <w:rPr>
                <w:rFonts w:ascii="Arial" w:hAnsi="Arial" w:cs="Arial"/>
                <w:color w:val="000000"/>
                <w:vertAlign w:val="superscript"/>
              </w:rPr>
              <w:t>2</w:t>
            </w:r>
            <w:r w:rsidRPr="006B5404">
              <w:rPr>
                <w:rFonts w:ascii="Arial" w:hAnsi="Arial" w:cs="Arial"/>
                <w:color w:val="000000"/>
              </w:rPr>
              <w:t xml:space="preserve"> once weekly (70</w:t>
            </w:r>
            <w:r w:rsidR="00294EC0">
              <w:rPr>
                <w:rFonts w:ascii="Arial" w:hAnsi="Arial" w:cs="Arial"/>
                <w:color w:val="000000"/>
              </w:rPr>
              <w:t> </w:t>
            </w:r>
            <w:r w:rsidRPr="006B5404">
              <w:rPr>
                <w:rFonts w:ascii="Arial" w:hAnsi="Arial" w:cs="Arial"/>
                <w:color w:val="000000"/>
              </w:rPr>
              <w:t>QW) dosing regimen to the existing 56 mg/m</w:t>
            </w:r>
            <w:r w:rsidRPr="006B5404">
              <w:rPr>
                <w:rFonts w:ascii="Arial" w:hAnsi="Arial" w:cs="Arial"/>
                <w:color w:val="000000"/>
                <w:vertAlign w:val="superscript"/>
              </w:rPr>
              <w:t>2</w:t>
            </w:r>
            <w:r w:rsidRPr="006B5404">
              <w:rPr>
                <w:rFonts w:ascii="Arial" w:hAnsi="Arial" w:cs="Arial"/>
                <w:color w:val="000000"/>
              </w:rPr>
              <w:t xml:space="preserve"> twice weekly (56</w:t>
            </w:r>
            <w:r w:rsidR="00294EC0">
              <w:rPr>
                <w:rFonts w:ascii="Arial" w:hAnsi="Arial" w:cs="Arial"/>
                <w:color w:val="000000"/>
              </w:rPr>
              <w:t> </w:t>
            </w:r>
            <w:r w:rsidRPr="006B5404">
              <w:rPr>
                <w:rFonts w:ascii="Arial" w:hAnsi="Arial" w:cs="Arial"/>
                <w:color w:val="000000"/>
              </w:rPr>
              <w:t xml:space="preserve">BIW) dosing regimen where </w:t>
            </w:r>
            <w:proofErr w:type="spellStart"/>
            <w:r w:rsidRPr="006B5404">
              <w:rPr>
                <w:rFonts w:ascii="Arial" w:hAnsi="Arial" w:cs="Arial"/>
                <w:color w:val="000000"/>
              </w:rPr>
              <w:t>carfilzomib</w:t>
            </w:r>
            <w:proofErr w:type="spellEnd"/>
            <w:r w:rsidRPr="006B5404">
              <w:rPr>
                <w:rFonts w:ascii="Arial" w:hAnsi="Arial" w:cs="Arial"/>
                <w:color w:val="000000"/>
              </w:rPr>
              <w:t xml:space="preserve"> is used in combination with </w:t>
            </w:r>
            <w:r w:rsidRPr="00284F8F">
              <w:rPr>
                <w:rFonts w:ascii="Arial" w:hAnsi="Arial" w:cs="Arial"/>
                <w:color w:val="000000"/>
              </w:rPr>
              <w:t>dexamethasone (Cd) for the treatment of patients with relapsed or refractory</w:t>
            </w:r>
            <w:r w:rsidR="003E70D1" w:rsidRPr="00284F8F">
              <w:rPr>
                <w:rFonts w:ascii="Arial" w:hAnsi="Arial" w:cs="Arial"/>
                <w:color w:val="000000"/>
              </w:rPr>
              <w:t xml:space="preserve"> (RR) MM</w:t>
            </w:r>
            <w:r w:rsidRPr="00284F8F">
              <w:rPr>
                <w:rFonts w:ascii="Arial" w:hAnsi="Arial" w:cs="Arial"/>
                <w:color w:val="000000"/>
              </w:rPr>
              <w:t>. The PBAC considered that Cd70 QW is likely to be comparable</w:t>
            </w:r>
            <w:r w:rsidR="00294EC0" w:rsidRPr="00284F8F">
              <w:rPr>
                <w:rFonts w:ascii="Arial" w:hAnsi="Arial" w:cs="Arial"/>
                <w:color w:val="000000"/>
              </w:rPr>
              <w:t xml:space="preserve"> in effectiveness and safety</w:t>
            </w:r>
            <w:r w:rsidRPr="00284F8F">
              <w:rPr>
                <w:rFonts w:ascii="Arial" w:hAnsi="Arial" w:cs="Arial"/>
                <w:color w:val="000000"/>
              </w:rPr>
              <w:t xml:space="preserve"> to Cd56 BIW for RRMM.</w:t>
            </w:r>
            <w:r w:rsidRPr="006B5404">
              <w:rPr>
                <w:rFonts w:ascii="Arial" w:hAnsi="Arial" w:cs="Arial"/>
                <w:color w:val="000000"/>
              </w:rPr>
              <w:t xml:space="preserve">                                                                   </w:t>
            </w:r>
          </w:p>
          <w:p w14:paraId="76C40EC4" w14:textId="77777777" w:rsidR="00E25603" w:rsidRDefault="00E25603" w:rsidP="00CE227D">
            <w:pPr>
              <w:rPr>
                <w:rFonts w:ascii="Arial" w:hAnsi="Arial" w:cs="Arial"/>
                <w:color w:val="000000"/>
              </w:rPr>
            </w:pPr>
          </w:p>
          <w:p w14:paraId="2D628348" w14:textId="28B96104" w:rsidR="00E25603" w:rsidRDefault="00CE227D" w:rsidP="00CE227D">
            <w:pPr>
              <w:rPr>
                <w:rFonts w:ascii="Arial" w:hAnsi="Arial" w:cs="Arial"/>
                <w:color w:val="000000"/>
              </w:rPr>
            </w:pPr>
            <w:r w:rsidRPr="006B5404">
              <w:rPr>
                <w:rFonts w:ascii="Arial" w:hAnsi="Arial" w:cs="Arial"/>
                <w:color w:val="000000"/>
              </w:rPr>
              <w:t xml:space="preserve">The PBAC recommended a new listing of </w:t>
            </w:r>
            <w:proofErr w:type="spellStart"/>
            <w:r w:rsidRPr="006B5404">
              <w:rPr>
                <w:rFonts w:ascii="Arial" w:hAnsi="Arial" w:cs="Arial"/>
                <w:color w:val="000000"/>
              </w:rPr>
              <w:t>carfilzomib</w:t>
            </w:r>
            <w:proofErr w:type="spellEnd"/>
            <w:r w:rsidRPr="006B5404">
              <w:rPr>
                <w:rFonts w:ascii="Arial" w:hAnsi="Arial" w:cs="Arial"/>
                <w:color w:val="000000"/>
              </w:rPr>
              <w:t xml:space="preserve"> with a maximum dose of 160 mg to allow for once weekly dosing. The PBAC also considered it would be appropriate to lower the restriction authority type from Authority Required (Telephone) to Authority Required (STREAMLINED) for all </w:t>
            </w:r>
            <w:proofErr w:type="spellStart"/>
            <w:r w:rsidRPr="006B5404">
              <w:rPr>
                <w:rFonts w:ascii="Arial" w:hAnsi="Arial" w:cs="Arial"/>
                <w:color w:val="000000"/>
              </w:rPr>
              <w:t>carfilzomib</w:t>
            </w:r>
            <w:proofErr w:type="spellEnd"/>
            <w:r w:rsidRPr="006B5404">
              <w:rPr>
                <w:rFonts w:ascii="Arial" w:hAnsi="Arial" w:cs="Arial"/>
                <w:color w:val="000000"/>
              </w:rPr>
              <w:t xml:space="preserve"> listings in both initial and continuing treatment of RRMM to help improve patient access to MM treatment.</w:t>
            </w:r>
          </w:p>
          <w:p w14:paraId="05AE5C00" w14:textId="77777777" w:rsidR="00E25603" w:rsidRDefault="00E25603" w:rsidP="00CE227D">
            <w:pPr>
              <w:rPr>
                <w:rFonts w:ascii="Arial" w:hAnsi="Arial" w:cs="Arial"/>
                <w:color w:val="000000"/>
              </w:rPr>
            </w:pPr>
          </w:p>
          <w:p w14:paraId="296D356F" w14:textId="4143FA80" w:rsidR="00380821" w:rsidRPr="00F14700" w:rsidRDefault="00CE227D" w:rsidP="00F14700">
            <w:pPr>
              <w:rPr>
                <w:rFonts w:ascii="Arial" w:hAnsi="Arial" w:cs="Arial"/>
                <w:color w:val="000000"/>
              </w:rPr>
            </w:pPr>
            <w:r w:rsidRPr="006B5404">
              <w:rPr>
                <w:rFonts w:ascii="Arial" w:hAnsi="Arial" w:cs="Arial"/>
                <w:color w:val="000000"/>
              </w:rPr>
              <w:t>Th</w:t>
            </w:r>
            <w:r w:rsidR="004B349C">
              <w:rPr>
                <w:rFonts w:ascii="Arial" w:hAnsi="Arial" w:cs="Arial"/>
                <w:color w:val="000000"/>
              </w:rPr>
              <w:t>e PBAC considered the cost-</w:t>
            </w:r>
            <w:r w:rsidRPr="006B5404">
              <w:rPr>
                <w:rFonts w:ascii="Arial" w:hAnsi="Arial" w:cs="Arial"/>
                <w:color w:val="000000"/>
              </w:rPr>
              <w:t>minimisation analysis should be based on the equi-effective doses (cumulative) of 4969 mg for Cd70 QW and 7278 mg for Cd56 BIW. The PBAC considered that uncertainties around uptake being higher than estimated in the submission c</w:t>
            </w:r>
            <w:r w:rsidR="000A31F1">
              <w:rPr>
                <w:rFonts w:ascii="Arial" w:hAnsi="Arial" w:cs="Arial"/>
                <w:color w:val="000000"/>
              </w:rPr>
              <w:t>ould be managed by the current Risk Sharing Arrangement</w:t>
            </w:r>
            <w:r w:rsidRPr="006B5404">
              <w:rPr>
                <w:rFonts w:ascii="Arial" w:hAnsi="Arial" w:cs="Arial"/>
                <w:color w:val="000000"/>
              </w:rPr>
              <w:t xml:space="preserve"> for </w:t>
            </w:r>
            <w:proofErr w:type="spellStart"/>
            <w:r w:rsidRPr="006B5404">
              <w:rPr>
                <w:rFonts w:ascii="Arial" w:hAnsi="Arial" w:cs="Arial"/>
                <w:color w:val="000000"/>
              </w:rPr>
              <w:t>carfilzomib</w:t>
            </w:r>
            <w:proofErr w:type="spellEnd"/>
            <w:r w:rsidRPr="006B5404">
              <w:rPr>
                <w:rFonts w:ascii="Arial" w:hAnsi="Arial" w:cs="Arial"/>
                <w:color w:val="000000"/>
              </w:rPr>
              <w:t>.</w:t>
            </w:r>
          </w:p>
        </w:tc>
      </w:tr>
      <w:tr w:rsidR="00380821" w:rsidRPr="006B5404" w14:paraId="7F79FB74" w14:textId="77777777" w:rsidTr="00891EAA">
        <w:trPr>
          <w:cantSplit/>
          <w:trHeight w:val="430"/>
        </w:trPr>
        <w:tc>
          <w:tcPr>
            <w:tcW w:w="3681" w:type="dxa"/>
            <w:tcBorders>
              <w:top w:val="nil"/>
              <w:left w:val="single" w:sz="4" w:space="0" w:color="auto"/>
              <w:bottom w:val="single" w:sz="4" w:space="0" w:color="auto"/>
              <w:right w:val="single" w:sz="4" w:space="0" w:color="auto"/>
            </w:tcBorders>
            <w:shd w:val="clear" w:color="auto" w:fill="auto"/>
            <w:tcMar>
              <w:top w:w="28" w:type="dxa"/>
              <w:bottom w:w="28" w:type="dxa"/>
            </w:tcMar>
          </w:tcPr>
          <w:p w14:paraId="26C3789C" w14:textId="2A7F92EE" w:rsidR="00380821" w:rsidRPr="006B5404" w:rsidRDefault="00380821" w:rsidP="00380821">
            <w:pPr>
              <w:rPr>
                <w:rFonts w:ascii="Arial" w:hAnsi="Arial" w:cs="Arial"/>
              </w:rPr>
            </w:pPr>
            <w:r w:rsidRPr="006B5404">
              <w:rPr>
                <w:rFonts w:ascii="Arial" w:hAnsi="Arial" w:cs="Arial"/>
                <w:color w:val="000000"/>
              </w:rPr>
              <w:t>CATIONIC OPHTHALMIC EMULSION, PRESERVATIVE FREE</w:t>
            </w:r>
            <w:r w:rsidRPr="006B5404">
              <w:rPr>
                <w:rFonts w:ascii="Arial" w:hAnsi="Arial" w:cs="Arial"/>
                <w:color w:val="000000"/>
              </w:rPr>
              <w:br/>
            </w:r>
            <w:r w:rsidRPr="006B5404">
              <w:rPr>
                <w:rFonts w:ascii="Arial" w:hAnsi="Arial" w:cs="Arial"/>
                <w:color w:val="000000"/>
              </w:rPr>
              <w:br/>
              <w:t>Eye drops containing heavy mineral oil 0.5% and light mine</w:t>
            </w:r>
            <w:r w:rsidR="00E25603">
              <w:rPr>
                <w:rFonts w:ascii="Arial" w:hAnsi="Arial" w:cs="Arial"/>
                <w:color w:val="000000"/>
              </w:rPr>
              <w:t>ral oil 0.5%, 10 mL</w:t>
            </w:r>
            <w:r w:rsidR="00E25603">
              <w:rPr>
                <w:rFonts w:ascii="Arial" w:hAnsi="Arial" w:cs="Arial"/>
                <w:color w:val="000000"/>
              </w:rPr>
              <w:br/>
            </w:r>
            <w:r w:rsidR="00E25603">
              <w:rPr>
                <w:rFonts w:ascii="Arial" w:hAnsi="Arial" w:cs="Arial"/>
                <w:color w:val="000000"/>
              </w:rPr>
              <w:br/>
            </w:r>
            <w:proofErr w:type="spellStart"/>
            <w:r w:rsidR="00E25603">
              <w:rPr>
                <w:rFonts w:ascii="Arial" w:hAnsi="Arial" w:cs="Arial"/>
                <w:color w:val="000000"/>
              </w:rPr>
              <w:t>Cationorm</w:t>
            </w:r>
            <w:proofErr w:type="spellEnd"/>
            <w:r w:rsidR="00CD476C">
              <w:rPr>
                <w:rFonts w:ascii="Arial" w:hAnsi="Arial" w:cs="Arial"/>
                <w:color w:val="000000"/>
              </w:rPr>
              <w:t>®</w:t>
            </w:r>
            <w:r w:rsidRPr="006B5404">
              <w:rPr>
                <w:rFonts w:ascii="Arial" w:hAnsi="Arial" w:cs="Arial"/>
                <w:color w:val="000000"/>
              </w:rPr>
              <w:br/>
            </w:r>
            <w:r w:rsidRPr="006B5404">
              <w:rPr>
                <w:rFonts w:ascii="Arial" w:hAnsi="Arial" w:cs="Arial"/>
                <w:color w:val="000000"/>
              </w:rPr>
              <w:br/>
            </w:r>
            <w:proofErr w:type="spellStart"/>
            <w:r w:rsidRPr="006B5404">
              <w:rPr>
                <w:rFonts w:ascii="Arial" w:hAnsi="Arial" w:cs="Arial"/>
                <w:color w:val="000000"/>
              </w:rPr>
              <w:t>Seqirus</w:t>
            </w:r>
            <w:proofErr w:type="spellEnd"/>
            <w:r w:rsidRPr="006B5404">
              <w:rPr>
                <w:rFonts w:ascii="Arial" w:hAnsi="Arial" w:cs="Arial"/>
                <w:color w:val="000000"/>
              </w:rPr>
              <w:t xml:space="preserve"> (Australia) Pty Ltd</w:t>
            </w:r>
            <w:r w:rsidRPr="006B5404">
              <w:rPr>
                <w:rFonts w:ascii="Arial" w:hAnsi="Arial" w:cs="Arial"/>
                <w:color w:val="000000"/>
              </w:rPr>
              <w:br/>
            </w:r>
            <w:r w:rsidRPr="006B5404">
              <w:rPr>
                <w:rFonts w:ascii="Arial" w:hAnsi="Arial" w:cs="Arial"/>
                <w:color w:val="000000"/>
              </w:rPr>
              <w:br/>
              <w:t>New listing</w:t>
            </w:r>
            <w:r w:rsidRPr="006B5404">
              <w:rPr>
                <w:rFonts w:ascii="Arial" w:hAnsi="Arial" w:cs="Arial"/>
                <w:color w:val="000000"/>
              </w:rPr>
              <w:br/>
              <w:t>(Minor Submission)</w:t>
            </w:r>
          </w:p>
        </w:tc>
        <w:tc>
          <w:tcPr>
            <w:tcW w:w="2401" w:type="dxa"/>
            <w:tcBorders>
              <w:top w:val="nil"/>
              <w:left w:val="nil"/>
              <w:bottom w:val="single" w:sz="4" w:space="0" w:color="auto"/>
              <w:right w:val="single" w:sz="4" w:space="0" w:color="auto"/>
            </w:tcBorders>
            <w:shd w:val="clear" w:color="auto" w:fill="auto"/>
            <w:tcMar>
              <w:top w:w="28" w:type="dxa"/>
              <w:bottom w:w="28" w:type="dxa"/>
            </w:tcMar>
          </w:tcPr>
          <w:p w14:paraId="33F6C4F3" w14:textId="6D4416A1" w:rsidR="00380821" w:rsidRPr="006B5404" w:rsidRDefault="00380821" w:rsidP="00380821">
            <w:pPr>
              <w:rPr>
                <w:rFonts w:ascii="Arial" w:hAnsi="Arial" w:cs="Arial"/>
              </w:rPr>
            </w:pPr>
            <w:r w:rsidRPr="006B5404">
              <w:rPr>
                <w:rFonts w:ascii="Arial" w:hAnsi="Arial" w:cs="Arial"/>
                <w:color w:val="000000"/>
              </w:rPr>
              <w:t>Severe dry eye syndrome</w:t>
            </w:r>
          </w:p>
        </w:tc>
        <w:tc>
          <w:tcPr>
            <w:tcW w:w="2702" w:type="dxa"/>
            <w:tcBorders>
              <w:top w:val="nil"/>
              <w:left w:val="nil"/>
              <w:bottom w:val="single" w:sz="4" w:space="0" w:color="auto"/>
              <w:right w:val="single" w:sz="4" w:space="0" w:color="auto"/>
            </w:tcBorders>
            <w:shd w:val="clear" w:color="auto" w:fill="auto"/>
            <w:tcMar>
              <w:top w:w="28" w:type="dxa"/>
              <w:bottom w:w="28" w:type="dxa"/>
            </w:tcMar>
          </w:tcPr>
          <w:p w14:paraId="1CEE74AC" w14:textId="0D9A9332" w:rsidR="00380821" w:rsidRPr="006B5404" w:rsidRDefault="00F14700" w:rsidP="00380821">
            <w:pPr>
              <w:rPr>
                <w:rFonts w:ascii="Arial" w:hAnsi="Arial" w:cs="Arial"/>
              </w:rPr>
            </w:pPr>
            <w:r w:rsidRPr="008F526E">
              <w:rPr>
                <w:rFonts w:ascii="Arial" w:hAnsi="Arial" w:cs="Arial"/>
                <w:color w:val="000000"/>
              </w:rPr>
              <w:t xml:space="preserve">To request </w:t>
            </w:r>
            <w:r>
              <w:rPr>
                <w:rFonts w:ascii="Arial" w:hAnsi="Arial" w:cs="Arial"/>
                <w:color w:val="000000"/>
              </w:rPr>
              <w:t xml:space="preserve">an Authority Required (STREAMLINED) </w:t>
            </w:r>
            <w:r w:rsidRPr="008F526E">
              <w:rPr>
                <w:rFonts w:ascii="Arial" w:hAnsi="Arial" w:cs="Arial"/>
                <w:color w:val="000000"/>
              </w:rPr>
              <w:t xml:space="preserve">PBS listing for </w:t>
            </w:r>
            <w:r>
              <w:rPr>
                <w:rFonts w:ascii="Arial" w:hAnsi="Arial" w:cs="Arial"/>
                <w:color w:val="000000"/>
              </w:rPr>
              <w:t xml:space="preserve">the </w:t>
            </w:r>
            <w:r w:rsidRPr="008F526E">
              <w:rPr>
                <w:rFonts w:ascii="Arial" w:hAnsi="Arial" w:cs="Arial"/>
                <w:color w:val="000000"/>
              </w:rPr>
              <w:t>treatment of severe dry eye syndrome</w:t>
            </w:r>
            <w:r>
              <w:rPr>
                <w:rFonts w:ascii="Arial" w:hAnsi="Arial" w:cs="Arial"/>
                <w:color w:val="000000"/>
              </w:rPr>
              <w:t>.</w:t>
            </w:r>
          </w:p>
        </w:tc>
        <w:tc>
          <w:tcPr>
            <w:tcW w:w="6604" w:type="dxa"/>
            <w:tcBorders>
              <w:top w:val="single" w:sz="4" w:space="0" w:color="auto"/>
              <w:left w:val="single" w:sz="4" w:space="0" w:color="auto"/>
              <w:bottom w:val="single" w:sz="4" w:space="0" w:color="auto"/>
              <w:right w:val="single" w:sz="4" w:space="0" w:color="auto"/>
            </w:tcBorders>
          </w:tcPr>
          <w:p w14:paraId="2A894EE2" w14:textId="63F909E8" w:rsidR="00CE227D" w:rsidRPr="006B5404" w:rsidRDefault="00CE227D" w:rsidP="00CE227D">
            <w:pPr>
              <w:rPr>
                <w:rFonts w:ascii="Arial" w:hAnsi="Arial" w:cs="Arial"/>
                <w:color w:val="000000"/>
              </w:rPr>
            </w:pPr>
            <w:r w:rsidRPr="006B5404">
              <w:rPr>
                <w:rFonts w:ascii="Arial" w:hAnsi="Arial" w:cs="Arial"/>
                <w:color w:val="000000"/>
              </w:rPr>
              <w:t xml:space="preserve">The PBAC recommended the listing of </w:t>
            </w:r>
            <w:proofErr w:type="spellStart"/>
            <w:r w:rsidRPr="006B5404">
              <w:rPr>
                <w:rFonts w:ascii="Arial" w:hAnsi="Arial" w:cs="Arial"/>
                <w:color w:val="000000"/>
              </w:rPr>
              <w:t>Cationorm</w:t>
            </w:r>
            <w:proofErr w:type="spellEnd"/>
            <w:r w:rsidR="00CD476C">
              <w:rPr>
                <w:rFonts w:ascii="Arial" w:hAnsi="Arial" w:cs="Arial"/>
                <w:color w:val="000000"/>
              </w:rPr>
              <w:t>®</w:t>
            </w:r>
            <w:r w:rsidRPr="006B5404">
              <w:rPr>
                <w:rFonts w:ascii="Arial" w:hAnsi="Arial" w:cs="Arial"/>
                <w:color w:val="000000"/>
              </w:rPr>
              <w:t xml:space="preserve"> for the treatment of severe dry eye syndrome in patients who are sensitive to preservatives in multi-dose eye drops. T</w:t>
            </w:r>
            <w:r w:rsidR="00FC4EBB">
              <w:rPr>
                <w:rFonts w:ascii="Arial" w:hAnsi="Arial" w:cs="Arial"/>
                <w:color w:val="000000"/>
              </w:rPr>
              <w:t xml:space="preserve">he PBAC recommended </w:t>
            </w:r>
            <w:r w:rsidRPr="00FC4EBB">
              <w:rPr>
                <w:rFonts w:ascii="Arial" w:hAnsi="Arial" w:cs="Arial"/>
                <w:color w:val="000000"/>
              </w:rPr>
              <w:t xml:space="preserve">listing </w:t>
            </w:r>
            <w:r w:rsidRPr="006B5404">
              <w:rPr>
                <w:rFonts w:ascii="Arial" w:hAnsi="Arial" w:cs="Arial"/>
                <w:color w:val="000000"/>
              </w:rPr>
              <w:t>on a cost-minimisation basis</w:t>
            </w:r>
            <w:r w:rsidR="00FC4EBB">
              <w:rPr>
                <w:rFonts w:ascii="Arial" w:hAnsi="Arial" w:cs="Arial"/>
                <w:color w:val="000000"/>
              </w:rPr>
              <w:t>,</w:t>
            </w:r>
            <w:r w:rsidRPr="006B5404">
              <w:rPr>
                <w:rFonts w:ascii="Arial" w:hAnsi="Arial" w:cs="Arial"/>
                <w:color w:val="000000"/>
              </w:rPr>
              <w:t xml:space="preserve"> at the lowest cost per tr</w:t>
            </w:r>
            <w:r w:rsidR="00F14700">
              <w:rPr>
                <w:rFonts w:ascii="Arial" w:hAnsi="Arial" w:cs="Arial"/>
                <w:color w:val="000000"/>
              </w:rPr>
              <w:t>eatment</w:t>
            </w:r>
            <w:r w:rsidR="00FC4EBB">
              <w:rPr>
                <w:rFonts w:ascii="Arial" w:hAnsi="Arial" w:cs="Arial"/>
                <w:color w:val="000000"/>
              </w:rPr>
              <w:t>,</w:t>
            </w:r>
            <w:r w:rsidR="00F14700">
              <w:rPr>
                <w:rFonts w:ascii="Arial" w:hAnsi="Arial" w:cs="Arial"/>
                <w:color w:val="000000"/>
              </w:rPr>
              <w:t xml:space="preserve"> compared with other PBS </w:t>
            </w:r>
            <w:r w:rsidRPr="006B5404">
              <w:rPr>
                <w:rFonts w:ascii="Arial" w:hAnsi="Arial" w:cs="Arial"/>
                <w:color w:val="000000"/>
              </w:rPr>
              <w:t>listed preservative-free, multi-dose ocular lubricants (Evolve</w:t>
            </w:r>
            <w:r w:rsidR="006A0D8F">
              <w:rPr>
                <w:rFonts w:ascii="Arial" w:hAnsi="Arial" w:cs="Arial"/>
                <w:color w:val="000000"/>
              </w:rPr>
              <w:t>®</w:t>
            </w:r>
            <w:r w:rsidRPr="006B5404">
              <w:rPr>
                <w:rFonts w:ascii="Arial" w:hAnsi="Arial" w:cs="Arial"/>
                <w:color w:val="000000"/>
              </w:rPr>
              <w:t xml:space="preserve"> </w:t>
            </w:r>
            <w:proofErr w:type="spellStart"/>
            <w:r w:rsidRPr="006B5404">
              <w:rPr>
                <w:rFonts w:ascii="Arial" w:hAnsi="Arial" w:cs="Arial"/>
                <w:color w:val="000000"/>
              </w:rPr>
              <w:t>carmellose</w:t>
            </w:r>
            <w:proofErr w:type="spellEnd"/>
            <w:r w:rsidRPr="006B5404">
              <w:rPr>
                <w:rFonts w:ascii="Arial" w:hAnsi="Arial" w:cs="Arial"/>
                <w:color w:val="000000"/>
              </w:rPr>
              <w:t xml:space="preserve"> 0.5% and Evolve</w:t>
            </w:r>
            <w:proofErr w:type="gramStart"/>
            <w:r w:rsidR="002E0A56">
              <w:rPr>
                <w:rFonts w:ascii="Arial" w:hAnsi="Arial" w:cs="Arial"/>
                <w:color w:val="000000"/>
              </w:rPr>
              <w:t>®</w:t>
            </w:r>
            <w:r w:rsidR="002E0A56" w:rsidRPr="00F52F22">
              <w:rPr>
                <w:rFonts w:ascii="Arial" w:hAnsi="Arial" w:cs="Arial"/>
                <w:color w:val="000000"/>
                <w:vertAlign w:val="superscript"/>
              </w:rPr>
              <w:t xml:space="preserve"> </w:t>
            </w:r>
            <w:r w:rsidRPr="006B5404">
              <w:rPr>
                <w:rFonts w:ascii="Arial" w:hAnsi="Arial" w:cs="Arial"/>
                <w:color w:val="000000"/>
              </w:rPr>
              <w:t xml:space="preserve"> </w:t>
            </w:r>
            <w:proofErr w:type="spellStart"/>
            <w:r w:rsidRPr="006B5404">
              <w:rPr>
                <w:rFonts w:ascii="Arial" w:hAnsi="Arial" w:cs="Arial"/>
                <w:color w:val="000000"/>
              </w:rPr>
              <w:t>hypromellose</w:t>
            </w:r>
            <w:proofErr w:type="spellEnd"/>
            <w:proofErr w:type="gramEnd"/>
            <w:r w:rsidRPr="006B5404">
              <w:rPr>
                <w:rFonts w:ascii="Arial" w:hAnsi="Arial" w:cs="Arial"/>
                <w:color w:val="000000"/>
              </w:rPr>
              <w:t xml:space="preserve"> 0.3%).</w:t>
            </w:r>
          </w:p>
          <w:p w14:paraId="02FEAE86" w14:textId="0F732E4B" w:rsidR="00380821" w:rsidRPr="006B5404" w:rsidRDefault="00380821" w:rsidP="00380821">
            <w:pPr>
              <w:widowControl w:val="0"/>
              <w:rPr>
                <w:rFonts w:ascii="Arial" w:hAnsi="Arial" w:cs="Arial"/>
              </w:rPr>
            </w:pPr>
          </w:p>
        </w:tc>
      </w:tr>
      <w:tr w:rsidR="00215E5C" w:rsidRPr="006B5404" w14:paraId="1047DFB8" w14:textId="77777777" w:rsidTr="00891EAA">
        <w:trPr>
          <w:cantSplit/>
          <w:trHeight w:val="430"/>
        </w:trPr>
        <w:tc>
          <w:tcPr>
            <w:tcW w:w="3681"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3E3B56A0" w14:textId="0AD6FA34" w:rsidR="00215E5C" w:rsidRPr="006B5404" w:rsidRDefault="00215E5C" w:rsidP="00215E5C">
            <w:pPr>
              <w:rPr>
                <w:rFonts w:ascii="Arial" w:hAnsi="Arial" w:cs="Arial"/>
              </w:rPr>
            </w:pPr>
            <w:r w:rsidRPr="006B5404">
              <w:rPr>
                <w:rFonts w:ascii="Arial" w:hAnsi="Arial" w:cs="Arial"/>
                <w:color w:val="000000"/>
              </w:rPr>
              <w:lastRenderedPageBreak/>
              <w:t>CLOSTRIDIUM BOTULINUM TYPE A TOXIN-HAEMAGGLUTININ COMPLEX</w:t>
            </w:r>
            <w:r w:rsidRPr="006B5404">
              <w:rPr>
                <w:rFonts w:ascii="Arial" w:hAnsi="Arial" w:cs="Arial"/>
                <w:color w:val="000000"/>
              </w:rPr>
              <w:br/>
            </w:r>
            <w:r w:rsidRPr="006B5404">
              <w:rPr>
                <w:rFonts w:ascii="Arial" w:hAnsi="Arial" w:cs="Arial"/>
                <w:color w:val="000000"/>
              </w:rPr>
              <w:br/>
              <w:t>Lyophilised powder for I.M. injection 300 units</w:t>
            </w:r>
            <w:r w:rsidRPr="006B5404">
              <w:rPr>
                <w:rFonts w:ascii="Arial" w:hAnsi="Arial" w:cs="Arial"/>
                <w:color w:val="000000"/>
              </w:rPr>
              <w:br/>
              <w:t>Lyophilised powder for I.</w:t>
            </w:r>
            <w:r>
              <w:rPr>
                <w:rFonts w:ascii="Arial" w:hAnsi="Arial" w:cs="Arial"/>
                <w:color w:val="000000"/>
              </w:rPr>
              <w:t>M. injection 500 units</w:t>
            </w:r>
            <w:r>
              <w:rPr>
                <w:rFonts w:ascii="Arial" w:hAnsi="Arial" w:cs="Arial"/>
                <w:color w:val="000000"/>
              </w:rPr>
              <w:br/>
            </w:r>
            <w:r>
              <w:rPr>
                <w:rFonts w:ascii="Arial" w:hAnsi="Arial" w:cs="Arial"/>
                <w:color w:val="000000"/>
              </w:rPr>
              <w:br/>
            </w:r>
            <w:proofErr w:type="spellStart"/>
            <w:r>
              <w:rPr>
                <w:rFonts w:ascii="Arial" w:hAnsi="Arial" w:cs="Arial"/>
                <w:color w:val="000000"/>
              </w:rPr>
              <w:t>Dysport</w:t>
            </w:r>
            <w:proofErr w:type="spellEnd"/>
            <w:r w:rsidR="00CD476C">
              <w:rPr>
                <w:rFonts w:ascii="Arial" w:hAnsi="Arial" w:cs="Arial"/>
                <w:color w:val="000000"/>
              </w:rPr>
              <w:t>®</w:t>
            </w:r>
            <w:r w:rsidRPr="006B5404">
              <w:rPr>
                <w:rFonts w:ascii="Arial" w:hAnsi="Arial" w:cs="Arial"/>
                <w:color w:val="000000"/>
              </w:rPr>
              <w:br/>
            </w:r>
            <w:r w:rsidRPr="006B5404">
              <w:rPr>
                <w:rFonts w:ascii="Arial" w:hAnsi="Arial" w:cs="Arial"/>
                <w:color w:val="000000"/>
              </w:rPr>
              <w:br/>
            </w:r>
            <w:proofErr w:type="spellStart"/>
            <w:r w:rsidRPr="006B5404">
              <w:rPr>
                <w:rFonts w:ascii="Arial" w:hAnsi="Arial" w:cs="Arial"/>
                <w:color w:val="000000"/>
              </w:rPr>
              <w:t>Ipsen</w:t>
            </w:r>
            <w:proofErr w:type="spellEnd"/>
            <w:r w:rsidRPr="006B5404">
              <w:rPr>
                <w:rFonts w:ascii="Arial" w:hAnsi="Arial" w:cs="Arial"/>
                <w:color w:val="000000"/>
              </w:rPr>
              <w:t xml:space="preserve"> Pty Ltd</w:t>
            </w:r>
            <w:r w:rsidRPr="006B5404">
              <w:rPr>
                <w:rFonts w:ascii="Arial" w:hAnsi="Arial" w:cs="Arial"/>
                <w:color w:val="000000"/>
              </w:rPr>
              <w:br/>
            </w:r>
            <w:r w:rsidRPr="006B5404">
              <w:rPr>
                <w:rFonts w:ascii="Arial" w:hAnsi="Arial" w:cs="Arial"/>
                <w:color w:val="000000"/>
              </w:rPr>
              <w:br/>
              <w:t>Change to listing</w:t>
            </w:r>
            <w:r w:rsidRPr="006B5404">
              <w:rPr>
                <w:rFonts w:ascii="Arial" w:hAnsi="Arial" w:cs="Arial"/>
                <w:color w:val="000000"/>
              </w:rPr>
              <w:br/>
              <w:t>(Major Submission)</w:t>
            </w:r>
          </w:p>
        </w:tc>
        <w:tc>
          <w:tcPr>
            <w:tcW w:w="2401"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05770408" w14:textId="47F73FAD" w:rsidR="00215E5C" w:rsidRPr="006B5404" w:rsidRDefault="00215E5C" w:rsidP="00215E5C">
            <w:pPr>
              <w:rPr>
                <w:rFonts w:ascii="Arial" w:hAnsi="Arial" w:cs="Arial"/>
              </w:rPr>
            </w:pPr>
            <w:r>
              <w:rPr>
                <w:rFonts w:ascii="Arial" w:hAnsi="Arial" w:cs="Arial"/>
                <w:color w:val="000000"/>
              </w:rPr>
              <w:t xml:space="preserve">Focal spasticity of the upper limb </w:t>
            </w:r>
          </w:p>
        </w:tc>
        <w:tc>
          <w:tcPr>
            <w:tcW w:w="2702"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41E25A75" w14:textId="43E026A5" w:rsidR="00215E5C" w:rsidRPr="006B5404" w:rsidRDefault="00215E5C" w:rsidP="00215E5C">
            <w:pPr>
              <w:rPr>
                <w:rFonts w:ascii="Arial" w:hAnsi="Arial" w:cs="Arial"/>
              </w:rPr>
            </w:pPr>
            <w:r>
              <w:rPr>
                <w:rFonts w:ascii="Arial" w:hAnsi="Arial" w:cs="Arial"/>
                <w:color w:val="000000"/>
              </w:rPr>
              <w:t xml:space="preserve">To request an extension to the current Section 100 (Botulinum Toxin Program) Authority Required (STREAMLINED) listing to include the treatment of focal spasticity of the upper limb in patients with cerebral palsy aged 2 years or older. </w:t>
            </w:r>
          </w:p>
        </w:tc>
        <w:tc>
          <w:tcPr>
            <w:tcW w:w="6604" w:type="dxa"/>
            <w:tcBorders>
              <w:top w:val="single" w:sz="4" w:space="0" w:color="auto"/>
              <w:left w:val="single" w:sz="4" w:space="0" w:color="auto"/>
              <w:bottom w:val="single" w:sz="4" w:space="0" w:color="auto"/>
              <w:right w:val="single" w:sz="4" w:space="0" w:color="auto"/>
            </w:tcBorders>
          </w:tcPr>
          <w:p w14:paraId="74AC47B5" w14:textId="01D73235" w:rsidR="00215E5C" w:rsidRPr="006B5404" w:rsidRDefault="00215E5C" w:rsidP="00B03A2D">
            <w:pPr>
              <w:widowControl w:val="0"/>
              <w:spacing w:after="120"/>
              <w:rPr>
                <w:rFonts w:ascii="Arial" w:hAnsi="Arial" w:cs="Arial"/>
              </w:rPr>
            </w:pPr>
            <w:r w:rsidRPr="006B5404">
              <w:rPr>
                <w:rFonts w:ascii="Arial" w:hAnsi="Arial" w:cs="Arial"/>
              </w:rPr>
              <w:t xml:space="preserve">The PBAC recommended the listing of </w:t>
            </w:r>
            <w:proofErr w:type="spellStart"/>
            <w:r w:rsidRPr="006B5404">
              <w:rPr>
                <w:rFonts w:ascii="Arial" w:hAnsi="Arial" w:cs="Arial"/>
              </w:rPr>
              <w:t>Dysport</w:t>
            </w:r>
            <w:proofErr w:type="spellEnd"/>
            <w:r w:rsidR="00CD476C">
              <w:rPr>
                <w:rFonts w:ascii="Arial" w:hAnsi="Arial" w:cs="Arial"/>
                <w:color w:val="000000"/>
              </w:rPr>
              <w:t>®</w:t>
            </w:r>
            <w:r w:rsidRPr="006B5404">
              <w:rPr>
                <w:rFonts w:ascii="Arial" w:hAnsi="Arial" w:cs="Arial"/>
              </w:rPr>
              <w:t xml:space="preserve"> for the treatment of moderate to severe focal spasticity of the upper limb in patients with cerebral palsy. Although the indirect comparison between </w:t>
            </w:r>
            <w:proofErr w:type="spellStart"/>
            <w:r w:rsidRPr="006B5404">
              <w:rPr>
                <w:rFonts w:ascii="Arial" w:hAnsi="Arial" w:cs="Arial"/>
              </w:rPr>
              <w:t>Dysport</w:t>
            </w:r>
            <w:proofErr w:type="spellEnd"/>
            <w:r w:rsidR="00232181">
              <w:rPr>
                <w:rFonts w:ascii="Arial" w:hAnsi="Arial" w:cs="Arial"/>
              </w:rPr>
              <w:t>®</w:t>
            </w:r>
            <w:r w:rsidRPr="006B5404">
              <w:rPr>
                <w:rFonts w:ascii="Arial" w:hAnsi="Arial" w:cs="Arial"/>
              </w:rPr>
              <w:t xml:space="preserve"> and the nominated comparator, Botox</w:t>
            </w:r>
            <w:r w:rsidR="00CD476C">
              <w:rPr>
                <w:rFonts w:ascii="Arial" w:hAnsi="Arial" w:cs="Arial"/>
                <w:color w:val="000000"/>
              </w:rPr>
              <w:t>®</w:t>
            </w:r>
            <w:r w:rsidRPr="006B5404">
              <w:rPr>
                <w:rFonts w:ascii="Arial" w:hAnsi="Arial" w:cs="Arial"/>
              </w:rPr>
              <w:t xml:space="preserve">, had a number of issues including small patient numbers and heterogeneity, the </w:t>
            </w:r>
            <w:r>
              <w:rPr>
                <w:rFonts w:ascii="Arial" w:hAnsi="Arial" w:cs="Arial"/>
              </w:rPr>
              <w:t xml:space="preserve">PBAC was satisfied that </w:t>
            </w:r>
            <w:proofErr w:type="spellStart"/>
            <w:r>
              <w:rPr>
                <w:rFonts w:ascii="Arial" w:hAnsi="Arial" w:cs="Arial"/>
              </w:rPr>
              <w:t>Dysport</w:t>
            </w:r>
            <w:proofErr w:type="spellEnd"/>
            <w:r w:rsidR="00232181">
              <w:rPr>
                <w:rFonts w:ascii="Arial" w:hAnsi="Arial" w:cs="Arial"/>
              </w:rPr>
              <w:t>®</w:t>
            </w:r>
            <w:r>
              <w:rPr>
                <w:rFonts w:ascii="Arial" w:hAnsi="Arial" w:cs="Arial"/>
              </w:rPr>
              <w:t xml:space="preserve"> was non</w:t>
            </w:r>
            <w:r w:rsidR="00245888">
              <w:rPr>
                <w:rFonts w:ascii="Arial" w:hAnsi="Arial" w:cs="Arial"/>
              </w:rPr>
              <w:noBreakHyphen/>
            </w:r>
            <w:r>
              <w:rPr>
                <w:rFonts w:ascii="Arial" w:hAnsi="Arial" w:cs="Arial"/>
              </w:rPr>
              <w:t>inferior to Botox</w:t>
            </w:r>
            <w:r w:rsidR="00232181">
              <w:rPr>
                <w:rFonts w:ascii="Arial" w:hAnsi="Arial" w:cs="Arial"/>
              </w:rPr>
              <w:t>®</w:t>
            </w:r>
            <w:r w:rsidRPr="006B5404">
              <w:rPr>
                <w:rFonts w:ascii="Arial" w:hAnsi="Arial" w:cs="Arial"/>
              </w:rPr>
              <w:t xml:space="preserve"> in terms of comparative efficacy and safety. Based on the maximum dispensed quantity of </w:t>
            </w:r>
            <w:proofErr w:type="spellStart"/>
            <w:r w:rsidRPr="006B5404">
              <w:rPr>
                <w:rFonts w:ascii="Arial" w:hAnsi="Arial" w:cs="Arial"/>
              </w:rPr>
              <w:t>Dysport</w:t>
            </w:r>
            <w:proofErr w:type="spellEnd"/>
            <w:r w:rsidR="00232181">
              <w:rPr>
                <w:rFonts w:ascii="Arial" w:hAnsi="Arial" w:cs="Arial"/>
              </w:rPr>
              <w:t>®</w:t>
            </w:r>
            <w:r w:rsidRPr="006B5404">
              <w:rPr>
                <w:rFonts w:ascii="Arial" w:hAnsi="Arial" w:cs="Arial"/>
              </w:rPr>
              <w:t xml:space="preserve"> for upper limb spasticity, the PBAC considered that the </w:t>
            </w:r>
            <w:proofErr w:type="spellStart"/>
            <w:r w:rsidRPr="006B5404">
              <w:rPr>
                <w:rFonts w:ascii="Arial" w:hAnsi="Arial" w:cs="Arial"/>
              </w:rPr>
              <w:t>equi</w:t>
            </w:r>
            <w:proofErr w:type="spellEnd"/>
            <w:r w:rsidRPr="006B5404">
              <w:rPr>
                <w:rFonts w:ascii="Arial" w:hAnsi="Arial" w:cs="Arial"/>
              </w:rPr>
              <w:t>-effec</w:t>
            </w:r>
            <w:r>
              <w:rPr>
                <w:rFonts w:ascii="Arial" w:hAnsi="Arial" w:cs="Arial"/>
              </w:rPr>
              <w:t xml:space="preserve">tive doses of </w:t>
            </w:r>
            <w:proofErr w:type="spellStart"/>
            <w:r>
              <w:rPr>
                <w:rFonts w:ascii="Arial" w:hAnsi="Arial" w:cs="Arial"/>
              </w:rPr>
              <w:t>Dysport</w:t>
            </w:r>
            <w:proofErr w:type="spellEnd"/>
            <w:r w:rsidR="00232181">
              <w:rPr>
                <w:rFonts w:ascii="Arial" w:hAnsi="Arial" w:cs="Arial"/>
              </w:rPr>
              <w:t>®</w:t>
            </w:r>
            <w:r w:rsidRPr="006B5404">
              <w:rPr>
                <w:rFonts w:ascii="Arial" w:hAnsi="Arial" w:cs="Arial"/>
              </w:rPr>
              <w:t xml:space="preserve"> and Botox</w:t>
            </w:r>
            <w:r w:rsidR="00232181">
              <w:rPr>
                <w:rFonts w:ascii="Arial" w:hAnsi="Arial" w:cs="Arial"/>
              </w:rPr>
              <w:t>®</w:t>
            </w:r>
            <w:r w:rsidRPr="006B5404">
              <w:rPr>
                <w:rFonts w:ascii="Arial" w:hAnsi="Arial" w:cs="Arial"/>
              </w:rPr>
              <w:t xml:space="preserve"> were: 2.5</w:t>
            </w:r>
            <w:r w:rsidR="00245888">
              <w:rPr>
                <w:rFonts w:ascii="Arial" w:hAnsi="Arial" w:cs="Arial"/>
              </w:rPr>
              <w:t> </w:t>
            </w:r>
            <w:r w:rsidRPr="006B5404">
              <w:rPr>
                <w:rFonts w:ascii="Arial" w:hAnsi="Arial" w:cs="Arial"/>
              </w:rPr>
              <w:t xml:space="preserve">U </w:t>
            </w:r>
            <w:proofErr w:type="spellStart"/>
            <w:r w:rsidRPr="006B5404">
              <w:rPr>
                <w:rFonts w:ascii="Arial" w:hAnsi="Arial" w:cs="Arial"/>
              </w:rPr>
              <w:t>Dysport</w:t>
            </w:r>
            <w:proofErr w:type="spellEnd"/>
            <w:r w:rsidR="00232181">
              <w:rPr>
                <w:rFonts w:ascii="Arial" w:hAnsi="Arial" w:cs="Arial"/>
              </w:rPr>
              <w:t>®</w:t>
            </w:r>
            <w:r w:rsidRPr="006B5404">
              <w:rPr>
                <w:rFonts w:ascii="Arial" w:hAnsi="Arial" w:cs="Arial"/>
              </w:rPr>
              <w:t xml:space="preserve"> = 1.0</w:t>
            </w:r>
            <w:r w:rsidR="00245888">
              <w:rPr>
                <w:rFonts w:ascii="Arial" w:hAnsi="Arial" w:cs="Arial"/>
              </w:rPr>
              <w:t> </w:t>
            </w:r>
            <w:r w:rsidRPr="006B5404">
              <w:rPr>
                <w:rFonts w:ascii="Arial" w:hAnsi="Arial" w:cs="Arial"/>
              </w:rPr>
              <w:t>U Botox</w:t>
            </w:r>
            <w:r w:rsidR="00232181">
              <w:rPr>
                <w:rFonts w:ascii="Arial" w:hAnsi="Arial" w:cs="Arial"/>
              </w:rPr>
              <w:t>®</w:t>
            </w:r>
            <w:r w:rsidRPr="006B5404">
              <w:rPr>
                <w:rFonts w:ascii="Arial" w:hAnsi="Arial" w:cs="Arial"/>
              </w:rPr>
              <w:t>.</w:t>
            </w:r>
          </w:p>
        </w:tc>
      </w:tr>
      <w:tr w:rsidR="00CE227D" w:rsidRPr="006B5404" w14:paraId="10F453B9" w14:textId="77777777" w:rsidTr="00891EAA">
        <w:trPr>
          <w:cantSplit/>
          <w:trHeight w:val="430"/>
        </w:trPr>
        <w:tc>
          <w:tcPr>
            <w:tcW w:w="3681" w:type="dxa"/>
            <w:tcBorders>
              <w:top w:val="nil"/>
              <w:left w:val="single" w:sz="4" w:space="0" w:color="auto"/>
              <w:bottom w:val="single" w:sz="4" w:space="0" w:color="auto"/>
              <w:right w:val="single" w:sz="4" w:space="0" w:color="auto"/>
            </w:tcBorders>
            <w:shd w:val="clear" w:color="auto" w:fill="auto"/>
            <w:tcMar>
              <w:top w:w="28" w:type="dxa"/>
              <w:bottom w:w="28" w:type="dxa"/>
            </w:tcMar>
          </w:tcPr>
          <w:p w14:paraId="2F3363B1" w14:textId="1E9F0F6D" w:rsidR="00CE227D" w:rsidRPr="006B5404" w:rsidRDefault="00CE227D" w:rsidP="00CE227D">
            <w:pPr>
              <w:rPr>
                <w:rFonts w:ascii="Arial" w:hAnsi="Arial" w:cs="Arial"/>
              </w:rPr>
            </w:pPr>
            <w:r w:rsidRPr="006B5404">
              <w:rPr>
                <w:rFonts w:ascii="Arial" w:hAnsi="Arial" w:cs="Arial"/>
                <w:color w:val="000000"/>
              </w:rPr>
              <w:t>DARATUMUMAB</w:t>
            </w:r>
            <w:r w:rsidRPr="006B5404">
              <w:rPr>
                <w:rFonts w:ascii="Arial" w:hAnsi="Arial" w:cs="Arial"/>
                <w:color w:val="000000"/>
              </w:rPr>
              <w:br/>
            </w:r>
            <w:r w:rsidRPr="006B5404">
              <w:rPr>
                <w:rFonts w:ascii="Arial" w:hAnsi="Arial" w:cs="Arial"/>
                <w:color w:val="000000"/>
              </w:rPr>
              <w:br/>
              <w:t xml:space="preserve">100 mg/5 mL injection, 5 mL vial </w:t>
            </w:r>
            <w:r w:rsidRPr="006B5404">
              <w:rPr>
                <w:rFonts w:ascii="Arial" w:hAnsi="Arial" w:cs="Arial"/>
                <w:color w:val="000000"/>
              </w:rPr>
              <w:br/>
              <w:t>400 mg/20 mL i</w:t>
            </w:r>
            <w:r w:rsidR="0089219D">
              <w:rPr>
                <w:rFonts w:ascii="Arial" w:hAnsi="Arial" w:cs="Arial"/>
                <w:color w:val="000000"/>
              </w:rPr>
              <w:t>njection, 20 mL vial</w:t>
            </w:r>
            <w:r w:rsidR="0089219D">
              <w:rPr>
                <w:rFonts w:ascii="Arial" w:hAnsi="Arial" w:cs="Arial"/>
                <w:color w:val="000000"/>
              </w:rPr>
              <w:br/>
            </w:r>
            <w:r w:rsidR="0089219D">
              <w:rPr>
                <w:rFonts w:ascii="Arial" w:hAnsi="Arial" w:cs="Arial"/>
                <w:color w:val="000000"/>
              </w:rPr>
              <w:br/>
            </w:r>
            <w:proofErr w:type="spellStart"/>
            <w:r w:rsidR="0089219D">
              <w:rPr>
                <w:rFonts w:ascii="Arial" w:hAnsi="Arial" w:cs="Arial"/>
                <w:color w:val="000000"/>
              </w:rPr>
              <w:t>Darzalex</w:t>
            </w:r>
            <w:proofErr w:type="spellEnd"/>
            <w:r w:rsidR="00CD476C">
              <w:rPr>
                <w:rFonts w:ascii="Arial" w:hAnsi="Arial" w:cs="Arial"/>
                <w:color w:val="000000"/>
              </w:rPr>
              <w:t>®</w:t>
            </w:r>
            <w:r w:rsidRPr="006B5404">
              <w:rPr>
                <w:rFonts w:ascii="Arial" w:hAnsi="Arial" w:cs="Arial"/>
                <w:color w:val="000000"/>
              </w:rPr>
              <w:br/>
            </w:r>
            <w:r w:rsidRPr="006B5404">
              <w:rPr>
                <w:rFonts w:ascii="Arial" w:hAnsi="Arial" w:cs="Arial"/>
                <w:color w:val="000000"/>
              </w:rPr>
              <w:br/>
            </w:r>
            <w:r w:rsidR="00C218A2">
              <w:rPr>
                <w:rFonts w:ascii="Arial" w:hAnsi="Arial" w:cs="Arial"/>
                <w:color w:val="000000"/>
              </w:rPr>
              <w:t>Janssen-</w:t>
            </w:r>
            <w:proofErr w:type="spellStart"/>
            <w:r w:rsidR="00C218A2">
              <w:rPr>
                <w:rFonts w:ascii="Arial" w:hAnsi="Arial" w:cs="Arial"/>
                <w:color w:val="000000"/>
              </w:rPr>
              <w:t>Cilag</w:t>
            </w:r>
            <w:proofErr w:type="spellEnd"/>
            <w:r w:rsidR="00C218A2">
              <w:rPr>
                <w:rFonts w:ascii="Arial" w:hAnsi="Arial" w:cs="Arial"/>
                <w:color w:val="000000"/>
              </w:rPr>
              <w:t xml:space="preserve"> Pty Ltd</w:t>
            </w:r>
            <w:r w:rsidRPr="006B5404">
              <w:rPr>
                <w:rFonts w:ascii="Arial" w:hAnsi="Arial" w:cs="Arial"/>
                <w:color w:val="000000"/>
              </w:rPr>
              <w:br/>
            </w:r>
            <w:r w:rsidRPr="006B5404">
              <w:rPr>
                <w:rFonts w:ascii="Arial" w:hAnsi="Arial" w:cs="Arial"/>
                <w:color w:val="000000"/>
              </w:rPr>
              <w:br/>
              <w:t>New listing</w:t>
            </w:r>
            <w:r w:rsidRPr="006B5404">
              <w:rPr>
                <w:rFonts w:ascii="Arial" w:hAnsi="Arial" w:cs="Arial"/>
                <w:color w:val="000000"/>
              </w:rPr>
              <w:br/>
              <w:t>(Minor Submission)</w:t>
            </w:r>
          </w:p>
        </w:tc>
        <w:tc>
          <w:tcPr>
            <w:tcW w:w="2401" w:type="dxa"/>
            <w:tcBorders>
              <w:top w:val="nil"/>
              <w:left w:val="nil"/>
              <w:bottom w:val="single" w:sz="4" w:space="0" w:color="auto"/>
              <w:right w:val="single" w:sz="4" w:space="0" w:color="auto"/>
            </w:tcBorders>
            <w:shd w:val="clear" w:color="auto" w:fill="auto"/>
            <w:tcMar>
              <w:top w:w="28" w:type="dxa"/>
              <w:bottom w:w="28" w:type="dxa"/>
            </w:tcMar>
          </w:tcPr>
          <w:p w14:paraId="61845B7C" w14:textId="057B6871" w:rsidR="00CE227D" w:rsidRPr="006B5404" w:rsidRDefault="00CE227D" w:rsidP="00CE227D">
            <w:pPr>
              <w:rPr>
                <w:rFonts w:ascii="Arial" w:hAnsi="Arial" w:cs="Arial"/>
              </w:rPr>
            </w:pPr>
            <w:r w:rsidRPr="006B5404">
              <w:rPr>
                <w:rFonts w:ascii="Arial" w:hAnsi="Arial" w:cs="Arial"/>
                <w:color w:val="000000"/>
              </w:rPr>
              <w:t>Multiple myeloma</w:t>
            </w:r>
            <w:r w:rsidR="003E70D1">
              <w:rPr>
                <w:rFonts w:ascii="Arial" w:hAnsi="Arial" w:cs="Arial"/>
                <w:color w:val="000000"/>
              </w:rPr>
              <w:t xml:space="preserve"> (MM)</w:t>
            </w:r>
          </w:p>
        </w:tc>
        <w:tc>
          <w:tcPr>
            <w:tcW w:w="2702" w:type="dxa"/>
            <w:tcBorders>
              <w:top w:val="nil"/>
              <w:left w:val="nil"/>
              <w:bottom w:val="single" w:sz="4" w:space="0" w:color="auto"/>
              <w:right w:val="single" w:sz="4" w:space="0" w:color="auto"/>
            </w:tcBorders>
            <w:shd w:val="clear" w:color="auto" w:fill="auto"/>
            <w:tcMar>
              <w:top w:w="28" w:type="dxa"/>
              <w:bottom w:w="28" w:type="dxa"/>
            </w:tcMar>
          </w:tcPr>
          <w:p w14:paraId="2DB68A40" w14:textId="1655E44F" w:rsidR="00CE227D" w:rsidRPr="006B5404" w:rsidRDefault="003E70D1" w:rsidP="00CE227D">
            <w:pPr>
              <w:rPr>
                <w:rFonts w:ascii="Arial" w:hAnsi="Arial" w:cs="Arial"/>
              </w:rPr>
            </w:pPr>
            <w:r>
              <w:rPr>
                <w:rFonts w:ascii="Arial" w:hAnsi="Arial" w:cs="Arial"/>
                <w:color w:val="000000"/>
              </w:rPr>
              <w:t xml:space="preserve">Resubmission to request a Section 100 (Efficient Funding of Chemotherapy) Authority Required listing for the treatment of second-line MM in combination with </w:t>
            </w:r>
            <w:proofErr w:type="spellStart"/>
            <w:r>
              <w:rPr>
                <w:rFonts w:ascii="Arial" w:hAnsi="Arial" w:cs="Arial"/>
                <w:color w:val="000000"/>
              </w:rPr>
              <w:t>bortezomib</w:t>
            </w:r>
            <w:proofErr w:type="spellEnd"/>
            <w:r>
              <w:rPr>
                <w:rFonts w:ascii="Arial" w:hAnsi="Arial" w:cs="Arial"/>
                <w:color w:val="000000"/>
              </w:rPr>
              <w:t xml:space="preserve"> and dexamethasone.</w:t>
            </w:r>
          </w:p>
        </w:tc>
        <w:tc>
          <w:tcPr>
            <w:tcW w:w="6604" w:type="dxa"/>
            <w:tcBorders>
              <w:top w:val="single" w:sz="4" w:space="0" w:color="auto"/>
              <w:left w:val="single" w:sz="4" w:space="0" w:color="auto"/>
              <w:bottom w:val="single" w:sz="4" w:space="0" w:color="auto"/>
              <w:right w:val="single" w:sz="4" w:space="0" w:color="auto"/>
            </w:tcBorders>
          </w:tcPr>
          <w:p w14:paraId="1A8239E9" w14:textId="0B99136E" w:rsidR="00CE227D" w:rsidRPr="0089219D" w:rsidRDefault="00CE227D" w:rsidP="00245888">
            <w:pPr>
              <w:rPr>
                <w:rFonts w:ascii="Arial" w:hAnsi="Arial" w:cs="Arial"/>
                <w:color w:val="000000"/>
              </w:rPr>
            </w:pPr>
            <w:r w:rsidRPr="006B5404">
              <w:rPr>
                <w:rFonts w:ascii="Arial" w:hAnsi="Arial" w:cs="Arial"/>
                <w:color w:val="000000"/>
              </w:rPr>
              <w:t xml:space="preserve">The PBAC recommended the listing of </w:t>
            </w:r>
            <w:proofErr w:type="spellStart"/>
            <w:r w:rsidRPr="006B5404">
              <w:rPr>
                <w:rFonts w:ascii="Arial" w:hAnsi="Arial" w:cs="Arial"/>
                <w:color w:val="000000"/>
              </w:rPr>
              <w:t>daratumumab</w:t>
            </w:r>
            <w:proofErr w:type="spellEnd"/>
            <w:r w:rsidRPr="006B5404">
              <w:rPr>
                <w:rFonts w:ascii="Arial" w:hAnsi="Arial" w:cs="Arial"/>
                <w:color w:val="000000"/>
              </w:rPr>
              <w:t xml:space="preserve">, for use in combination with </w:t>
            </w:r>
            <w:proofErr w:type="spellStart"/>
            <w:r w:rsidRPr="006B5404">
              <w:rPr>
                <w:rFonts w:ascii="Arial" w:hAnsi="Arial" w:cs="Arial"/>
                <w:color w:val="000000"/>
              </w:rPr>
              <w:t>bortezomib</w:t>
            </w:r>
            <w:proofErr w:type="spellEnd"/>
            <w:r w:rsidRPr="006B5404">
              <w:rPr>
                <w:rFonts w:ascii="Arial" w:hAnsi="Arial" w:cs="Arial"/>
                <w:color w:val="000000"/>
              </w:rPr>
              <w:t xml:space="preserve"> and dexamethasone (</w:t>
            </w:r>
            <w:proofErr w:type="spellStart"/>
            <w:r w:rsidRPr="006B5404">
              <w:rPr>
                <w:rFonts w:ascii="Arial" w:hAnsi="Arial" w:cs="Arial"/>
                <w:color w:val="000000"/>
              </w:rPr>
              <w:t>DBd</w:t>
            </w:r>
            <w:proofErr w:type="spellEnd"/>
            <w:r w:rsidRPr="006B5404">
              <w:rPr>
                <w:rFonts w:ascii="Arial" w:hAnsi="Arial" w:cs="Arial"/>
                <w:color w:val="000000"/>
              </w:rPr>
              <w:t xml:space="preserve">), as a second-line treatment for patients with MM, on the basis that it should be available only under special arrangements under the Section 100 Efficient Funding of Chemotherapy program. The PBAC noted that </w:t>
            </w:r>
            <w:proofErr w:type="spellStart"/>
            <w:r w:rsidRPr="006B5404">
              <w:rPr>
                <w:rFonts w:ascii="Arial" w:hAnsi="Arial" w:cs="Arial"/>
                <w:color w:val="000000"/>
              </w:rPr>
              <w:t>daratumumab</w:t>
            </w:r>
            <w:proofErr w:type="spellEnd"/>
            <w:r w:rsidRPr="006B5404">
              <w:rPr>
                <w:rFonts w:ascii="Arial" w:hAnsi="Arial" w:cs="Arial"/>
                <w:color w:val="000000"/>
              </w:rPr>
              <w:t xml:space="preserve"> monotherapy would be provided by the sponsor to all eligible relapsed and/or refractory MM patients who have no other PBS-funded treatment options on a compassionate basis.</w:t>
            </w:r>
            <w:r w:rsidRPr="006B5404">
              <w:rPr>
                <w:rFonts w:ascii="Arial" w:hAnsi="Arial" w:cs="Arial"/>
                <w:color w:val="000000"/>
              </w:rPr>
              <w:br/>
            </w:r>
            <w:r w:rsidRPr="006B5404">
              <w:rPr>
                <w:rFonts w:ascii="Arial" w:hAnsi="Arial" w:cs="Arial"/>
                <w:color w:val="000000"/>
              </w:rPr>
              <w:br/>
              <w:t xml:space="preserve">The PBAC noted that a revised economic evaluation was presented which incorporated the Committee’s previous recommendations. The PBAC considered </w:t>
            </w:r>
            <w:proofErr w:type="spellStart"/>
            <w:r w:rsidRPr="006B5404">
              <w:rPr>
                <w:rFonts w:ascii="Arial" w:hAnsi="Arial" w:cs="Arial"/>
                <w:color w:val="000000"/>
              </w:rPr>
              <w:t>daratumumab</w:t>
            </w:r>
            <w:proofErr w:type="spellEnd"/>
            <w:r w:rsidRPr="006B5404">
              <w:rPr>
                <w:rFonts w:ascii="Arial" w:hAnsi="Arial" w:cs="Arial"/>
                <w:color w:val="000000"/>
              </w:rPr>
              <w:t xml:space="preserve"> would be cost-ef</w:t>
            </w:r>
            <w:r w:rsidR="00A52844">
              <w:rPr>
                <w:rFonts w:ascii="Arial" w:hAnsi="Arial" w:cs="Arial"/>
                <w:color w:val="000000"/>
              </w:rPr>
              <w:t>fective if the incremental cost-</w:t>
            </w:r>
            <w:r w:rsidRPr="006B5404">
              <w:rPr>
                <w:rFonts w:ascii="Arial" w:hAnsi="Arial" w:cs="Arial"/>
                <w:color w:val="000000"/>
              </w:rPr>
              <w:t xml:space="preserve">effectiveness ratio was reduced to be in the range of $45,000 to $75,000 per quality adjusted life year. </w:t>
            </w:r>
            <w:r w:rsidRPr="006B5404">
              <w:rPr>
                <w:rFonts w:ascii="Arial" w:hAnsi="Arial" w:cs="Arial"/>
                <w:color w:val="000000"/>
              </w:rPr>
              <w:br/>
            </w:r>
            <w:r w:rsidRPr="006B5404">
              <w:rPr>
                <w:rFonts w:ascii="Arial" w:hAnsi="Arial" w:cs="Arial"/>
                <w:color w:val="000000"/>
              </w:rPr>
              <w:br/>
              <w:t xml:space="preserve">The PBAC considered the financial impact estimates were revised appropriately in the minor resubmission, and </w:t>
            </w:r>
            <w:r w:rsidR="00245888">
              <w:rPr>
                <w:rFonts w:ascii="Arial" w:hAnsi="Arial" w:cs="Arial"/>
                <w:color w:val="000000"/>
              </w:rPr>
              <w:t xml:space="preserve">noted </w:t>
            </w:r>
            <w:r w:rsidRPr="006B5404">
              <w:rPr>
                <w:rFonts w:ascii="Arial" w:hAnsi="Arial" w:cs="Arial"/>
                <w:color w:val="000000"/>
              </w:rPr>
              <w:t xml:space="preserve">that these estimates formed the basis of the proposed Risk Sharing Arrangement. </w:t>
            </w:r>
          </w:p>
        </w:tc>
      </w:tr>
      <w:tr w:rsidR="00CE227D" w:rsidRPr="006B5404" w14:paraId="54D26CDF" w14:textId="77777777" w:rsidTr="00891EAA">
        <w:trPr>
          <w:cantSplit/>
          <w:trHeight w:val="430"/>
        </w:trPr>
        <w:tc>
          <w:tcPr>
            <w:tcW w:w="3681" w:type="dxa"/>
            <w:tcBorders>
              <w:top w:val="nil"/>
              <w:left w:val="single" w:sz="4" w:space="0" w:color="auto"/>
              <w:bottom w:val="single" w:sz="4" w:space="0" w:color="auto"/>
              <w:right w:val="single" w:sz="4" w:space="0" w:color="auto"/>
            </w:tcBorders>
            <w:shd w:val="clear" w:color="auto" w:fill="auto"/>
            <w:tcMar>
              <w:top w:w="28" w:type="dxa"/>
              <w:bottom w:w="28" w:type="dxa"/>
            </w:tcMar>
          </w:tcPr>
          <w:p w14:paraId="2C8B072D" w14:textId="55691EC1" w:rsidR="00CE227D" w:rsidRPr="006B5404" w:rsidRDefault="00CE227D" w:rsidP="00CE227D">
            <w:pPr>
              <w:rPr>
                <w:rFonts w:ascii="Arial" w:hAnsi="Arial" w:cs="Arial"/>
              </w:rPr>
            </w:pPr>
            <w:r w:rsidRPr="006B5404">
              <w:rPr>
                <w:rFonts w:ascii="Arial" w:hAnsi="Arial" w:cs="Arial"/>
                <w:color w:val="000000"/>
              </w:rPr>
              <w:lastRenderedPageBreak/>
              <w:t>DOLUTEGRAVIR + LAMIVUDINE</w:t>
            </w:r>
            <w:r w:rsidRPr="006B5404">
              <w:rPr>
                <w:rFonts w:ascii="Arial" w:hAnsi="Arial" w:cs="Arial"/>
                <w:color w:val="000000"/>
              </w:rPr>
              <w:br/>
            </w:r>
            <w:r w:rsidRPr="006B5404">
              <w:rPr>
                <w:rFonts w:ascii="Arial" w:hAnsi="Arial" w:cs="Arial"/>
                <w:color w:val="000000"/>
              </w:rPr>
              <w:br/>
              <w:t xml:space="preserve">Tablet containing </w:t>
            </w:r>
            <w:proofErr w:type="spellStart"/>
            <w:r w:rsidRPr="006B5404">
              <w:rPr>
                <w:rFonts w:ascii="Arial" w:hAnsi="Arial" w:cs="Arial"/>
                <w:color w:val="000000"/>
              </w:rPr>
              <w:t>dolutegravir</w:t>
            </w:r>
            <w:proofErr w:type="spellEnd"/>
            <w:r w:rsidRPr="006B5404">
              <w:rPr>
                <w:rFonts w:ascii="Arial" w:hAnsi="Arial" w:cs="Arial"/>
                <w:color w:val="000000"/>
              </w:rPr>
              <w:t xml:space="preserve"> 50 mg (as sodium) </w:t>
            </w:r>
            <w:r w:rsidR="0089219D">
              <w:rPr>
                <w:rFonts w:ascii="Arial" w:hAnsi="Arial" w:cs="Arial"/>
                <w:color w:val="000000"/>
              </w:rPr>
              <w:t>with lamivudine 300 mg</w:t>
            </w:r>
            <w:r w:rsidR="0089219D">
              <w:rPr>
                <w:rFonts w:ascii="Arial" w:hAnsi="Arial" w:cs="Arial"/>
                <w:color w:val="000000"/>
              </w:rPr>
              <w:br/>
            </w:r>
            <w:r w:rsidR="0089219D">
              <w:rPr>
                <w:rFonts w:ascii="Arial" w:hAnsi="Arial" w:cs="Arial"/>
                <w:color w:val="000000"/>
              </w:rPr>
              <w:br/>
            </w:r>
            <w:proofErr w:type="spellStart"/>
            <w:r w:rsidR="0089219D">
              <w:rPr>
                <w:rFonts w:ascii="Arial" w:hAnsi="Arial" w:cs="Arial"/>
                <w:color w:val="000000"/>
              </w:rPr>
              <w:t>Dovato</w:t>
            </w:r>
            <w:proofErr w:type="spellEnd"/>
            <w:r w:rsidR="00CD476C">
              <w:rPr>
                <w:rFonts w:ascii="Arial" w:hAnsi="Arial" w:cs="Arial"/>
                <w:color w:val="000000"/>
              </w:rPr>
              <w:t>®</w:t>
            </w:r>
            <w:r w:rsidRPr="006B5404">
              <w:rPr>
                <w:rFonts w:ascii="Arial" w:hAnsi="Arial" w:cs="Arial"/>
                <w:color w:val="000000"/>
              </w:rPr>
              <w:br/>
            </w:r>
            <w:r w:rsidRPr="006B5404">
              <w:rPr>
                <w:rFonts w:ascii="Arial" w:hAnsi="Arial" w:cs="Arial"/>
                <w:color w:val="000000"/>
              </w:rPr>
              <w:br/>
            </w:r>
            <w:proofErr w:type="spellStart"/>
            <w:r w:rsidRPr="006B5404">
              <w:rPr>
                <w:rFonts w:ascii="Arial" w:hAnsi="Arial" w:cs="Arial"/>
                <w:color w:val="000000"/>
              </w:rPr>
              <w:t>ViiV</w:t>
            </w:r>
            <w:proofErr w:type="spellEnd"/>
            <w:r w:rsidRPr="006B5404">
              <w:rPr>
                <w:rFonts w:ascii="Arial" w:hAnsi="Arial" w:cs="Arial"/>
                <w:color w:val="000000"/>
              </w:rPr>
              <w:t xml:space="preserve"> Healthcare Australia Pty Ltd</w:t>
            </w:r>
            <w:r w:rsidRPr="006B5404">
              <w:rPr>
                <w:rFonts w:ascii="Arial" w:hAnsi="Arial" w:cs="Arial"/>
                <w:color w:val="000000"/>
              </w:rPr>
              <w:br/>
            </w:r>
            <w:r w:rsidRPr="006B5404">
              <w:rPr>
                <w:rFonts w:ascii="Arial" w:hAnsi="Arial" w:cs="Arial"/>
                <w:color w:val="000000"/>
              </w:rPr>
              <w:br/>
              <w:t>Change to listing</w:t>
            </w:r>
            <w:r w:rsidRPr="006B5404">
              <w:rPr>
                <w:rFonts w:ascii="Arial" w:hAnsi="Arial" w:cs="Arial"/>
                <w:color w:val="000000"/>
              </w:rPr>
              <w:br/>
              <w:t>(Major Submission)</w:t>
            </w:r>
          </w:p>
        </w:tc>
        <w:tc>
          <w:tcPr>
            <w:tcW w:w="2401" w:type="dxa"/>
            <w:tcBorders>
              <w:top w:val="nil"/>
              <w:left w:val="nil"/>
              <w:bottom w:val="single" w:sz="4" w:space="0" w:color="auto"/>
              <w:right w:val="single" w:sz="4" w:space="0" w:color="auto"/>
            </w:tcBorders>
            <w:shd w:val="clear" w:color="auto" w:fill="auto"/>
            <w:tcMar>
              <w:top w:w="28" w:type="dxa"/>
              <w:bottom w:w="28" w:type="dxa"/>
            </w:tcMar>
          </w:tcPr>
          <w:p w14:paraId="6C9F2701" w14:textId="4D107D90" w:rsidR="00CE227D" w:rsidRPr="006B5404" w:rsidRDefault="00CE227D" w:rsidP="00CE227D">
            <w:pPr>
              <w:rPr>
                <w:rFonts w:ascii="Arial" w:hAnsi="Arial" w:cs="Arial"/>
              </w:rPr>
            </w:pPr>
            <w:r w:rsidRPr="006B5404">
              <w:rPr>
                <w:rFonts w:ascii="Arial" w:hAnsi="Arial" w:cs="Arial"/>
                <w:color w:val="000000"/>
              </w:rPr>
              <w:t>Human immunodeficiency virus (HIV) infection</w:t>
            </w:r>
          </w:p>
        </w:tc>
        <w:tc>
          <w:tcPr>
            <w:tcW w:w="2702" w:type="dxa"/>
            <w:tcBorders>
              <w:top w:val="nil"/>
              <w:left w:val="nil"/>
              <w:bottom w:val="single" w:sz="4" w:space="0" w:color="auto"/>
              <w:right w:val="single" w:sz="4" w:space="0" w:color="auto"/>
            </w:tcBorders>
            <w:shd w:val="clear" w:color="auto" w:fill="auto"/>
            <w:tcMar>
              <w:top w:w="28" w:type="dxa"/>
              <w:bottom w:w="28" w:type="dxa"/>
            </w:tcMar>
          </w:tcPr>
          <w:p w14:paraId="30A85384" w14:textId="461C9C3F" w:rsidR="00CE227D" w:rsidRPr="006B5404" w:rsidRDefault="005A063B" w:rsidP="00CE227D">
            <w:pPr>
              <w:rPr>
                <w:rFonts w:ascii="Arial" w:hAnsi="Arial" w:cs="Arial"/>
              </w:rPr>
            </w:pPr>
            <w:r>
              <w:rPr>
                <w:rFonts w:ascii="Arial" w:hAnsi="Arial" w:cs="Arial"/>
                <w:color w:val="000000"/>
              </w:rPr>
              <w:t>To request an extension of the current Section 100 (Highly Specialised Drugs Program - Community Access) Authority Required (STREAMLINED) listing to include the treatment of HIV infection in antiretroviral therapy experienced patients.</w:t>
            </w:r>
          </w:p>
        </w:tc>
        <w:tc>
          <w:tcPr>
            <w:tcW w:w="6604" w:type="dxa"/>
            <w:tcBorders>
              <w:top w:val="single" w:sz="4" w:space="0" w:color="auto"/>
              <w:left w:val="single" w:sz="4" w:space="0" w:color="auto"/>
              <w:bottom w:val="single" w:sz="4" w:space="0" w:color="auto"/>
              <w:right w:val="single" w:sz="4" w:space="0" w:color="auto"/>
            </w:tcBorders>
          </w:tcPr>
          <w:p w14:paraId="0C0D3F06" w14:textId="43C74D31" w:rsidR="003B412F" w:rsidRDefault="00CE227D" w:rsidP="00CE227D">
            <w:pPr>
              <w:rPr>
                <w:rFonts w:ascii="Arial" w:hAnsi="Arial" w:cs="Arial"/>
                <w:color w:val="000000"/>
              </w:rPr>
            </w:pPr>
            <w:r w:rsidRPr="006B5404">
              <w:rPr>
                <w:rFonts w:ascii="Arial" w:hAnsi="Arial" w:cs="Arial"/>
                <w:color w:val="000000"/>
              </w:rPr>
              <w:t xml:space="preserve">The PBAC recommended amending the listing of </w:t>
            </w:r>
            <w:proofErr w:type="spellStart"/>
            <w:r w:rsidRPr="006B5404">
              <w:rPr>
                <w:rFonts w:ascii="Arial" w:hAnsi="Arial" w:cs="Arial"/>
                <w:color w:val="000000"/>
              </w:rPr>
              <w:t>dolutegravir</w:t>
            </w:r>
            <w:proofErr w:type="spellEnd"/>
            <w:r w:rsidRPr="006B5404">
              <w:rPr>
                <w:rFonts w:ascii="Arial" w:hAnsi="Arial" w:cs="Arial"/>
                <w:color w:val="000000"/>
              </w:rPr>
              <w:t xml:space="preserve"> with lamivudine (DTG/3TC) to permit use in patients who are treatment-experienced with other anti-retroviral regimens, at the same price as the component drugs </w:t>
            </w:r>
            <w:proofErr w:type="spellStart"/>
            <w:r w:rsidRPr="006B5404">
              <w:rPr>
                <w:rFonts w:ascii="Arial" w:hAnsi="Arial" w:cs="Arial"/>
                <w:color w:val="000000"/>
              </w:rPr>
              <w:t>dolutegravir</w:t>
            </w:r>
            <w:proofErr w:type="spellEnd"/>
            <w:r w:rsidRPr="006B5404">
              <w:rPr>
                <w:rFonts w:ascii="Arial" w:hAnsi="Arial" w:cs="Arial"/>
                <w:color w:val="000000"/>
              </w:rPr>
              <w:t xml:space="preserve"> and lamivudine, taken concomitantly. </w:t>
            </w:r>
          </w:p>
          <w:p w14:paraId="6D8019C3" w14:textId="77777777" w:rsidR="003B412F" w:rsidRDefault="003B412F" w:rsidP="00CE227D">
            <w:pPr>
              <w:rPr>
                <w:rFonts w:ascii="Arial" w:hAnsi="Arial" w:cs="Arial"/>
                <w:color w:val="000000"/>
              </w:rPr>
            </w:pPr>
          </w:p>
          <w:p w14:paraId="13B9AA99" w14:textId="49D16CA9" w:rsidR="00CE227D" w:rsidRPr="005A063B" w:rsidRDefault="00CE227D" w:rsidP="00CD73A9">
            <w:pPr>
              <w:rPr>
                <w:rFonts w:ascii="Arial" w:hAnsi="Arial" w:cs="Arial"/>
                <w:color w:val="000000"/>
              </w:rPr>
            </w:pPr>
            <w:r w:rsidRPr="006B5404">
              <w:rPr>
                <w:rFonts w:ascii="Arial" w:hAnsi="Arial" w:cs="Arial"/>
                <w:color w:val="000000"/>
              </w:rPr>
              <w:t xml:space="preserve">The recommendation </w:t>
            </w:r>
            <w:r w:rsidR="00245888">
              <w:rPr>
                <w:rFonts w:ascii="Arial" w:hAnsi="Arial" w:cs="Arial"/>
                <w:color w:val="000000"/>
              </w:rPr>
              <w:t>was</w:t>
            </w:r>
            <w:r w:rsidRPr="006B5404">
              <w:rPr>
                <w:rFonts w:ascii="Arial" w:hAnsi="Arial" w:cs="Arial"/>
                <w:color w:val="000000"/>
              </w:rPr>
              <w:t xml:space="preserve"> based on the PBAC’s assessment of the 48-week data from the TANGO study</w:t>
            </w:r>
            <w:r w:rsidR="00245888">
              <w:rPr>
                <w:rFonts w:ascii="Arial" w:hAnsi="Arial" w:cs="Arial"/>
                <w:color w:val="000000"/>
              </w:rPr>
              <w:t>,</w:t>
            </w:r>
            <w:r w:rsidRPr="006B5404">
              <w:rPr>
                <w:rFonts w:ascii="Arial" w:hAnsi="Arial" w:cs="Arial"/>
                <w:color w:val="000000"/>
              </w:rPr>
              <w:t xml:space="preserve"> which evaluated the efficacy and safety of DTG/3TC in patients who switched from a </w:t>
            </w:r>
            <w:proofErr w:type="spellStart"/>
            <w:r w:rsidRPr="006B5404">
              <w:rPr>
                <w:rFonts w:ascii="Arial" w:hAnsi="Arial" w:cs="Arial"/>
                <w:color w:val="000000"/>
              </w:rPr>
              <w:t>tenofovir</w:t>
            </w:r>
            <w:proofErr w:type="spellEnd"/>
            <w:r w:rsidRPr="006B5404">
              <w:rPr>
                <w:rFonts w:ascii="Arial" w:hAnsi="Arial" w:cs="Arial"/>
                <w:color w:val="000000"/>
              </w:rPr>
              <w:t>-based regimen</w:t>
            </w:r>
            <w:r w:rsidR="00CD73A9">
              <w:rPr>
                <w:rFonts w:ascii="Arial" w:hAnsi="Arial" w:cs="Arial"/>
                <w:color w:val="000000"/>
              </w:rPr>
              <w:t xml:space="preserve"> and</w:t>
            </w:r>
            <w:r w:rsidRPr="006B5404">
              <w:rPr>
                <w:rFonts w:ascii="Arial" w:hAnsi="Arial" w:cs="Arial"/>
                <w:color w:val="000000"/>
              </w:rPr>
              <w:t xml:space="preserve"> supported a conclusion that DTG/3TC is likely non-inferior </w:t>
            </w:r>
            <w:r w:rsidR="00CD73A9">
              <w:rPr>
                <w:rFonts w:ascii="Arial" w:hAnsi="Arial" w:cs="Arial"/>
                <w:color w:val="000000"/>
              </w:rPr>
              <w:t>in</w:t>
            </w:r>
            <w:r w:rsidRPr="006B5404">
              <w:rPr>
                <w:rFonts w:ascii="Arial" w:hAnsi="Arial" w:cs="Arial"/>
                <w:color w:val="000000"/>
              </w:rPr>
              <w:t xml:space="preserve"> effectiveness and safety</w:t>
            </w:r>
            <w:r w:rsidR="00CD73A9">
              <w:rPr>
                <w:rFonts w:ascii="Arial" w:hAnsi="Arial" w:cs="Arial"/>
                <w:color w:val="000000"/>
              </w:rPr>
              <w:t xml:space="preserve"> compared</w:t>
            </w:r>
            <w:r w:rsidRPr="006B5404">
              <w:rPr>
                <w:rFonts w:ascii="Arial" w:hAnsi="Arial" w:cs="Arial"/>
                <w:color w:val="000000"/>
              </w:rPr>
              <w:t xml:space="preserve"> to alternative three-drug regimens.</w:t>
            </w:r>
          </w:p>
        </w:tc>
      </w:tr>
      <w:tr w:rsidR="005A063B" w:rsidRPr="006B5404" w14:paraId="0FECC7CD" w14:textId="77777777" w:rsidTr="00891EAA">
        <w:trPr>
          <w:cantSplit/>
          <w:trHeight w:val="430"/>
        </w:trPr>
        <w:tc>
          <w:tcPr>
            <w:tcW w:w="3681" w:type="dxa"/>
            <w:tcBorders>
              <w:top w:val="nil"/>
              <w:left w:val="single" w:sz="4" w:space="0" w:color="auto"/>
              <w:bottom w:val="single" w:sz="4" w:space="0" w:color="auto"/>
              <w:right w:val="single" w:sz="4" w:space="0" w:color="auto"/>
            </w:tcBorders>
            <w:shd w:val="clear" w:color="auto" w:fill="auto"/>
            <w:tcMar>
              <w:top w:w="28" w:type="dxa"/>
              <w:bottom w:w="28" w:type="dxa"/>
            </w:tcMar>
          </w:tcPr>
          <w:p w14:paraId="4224A1DA" w14:textId="7E6DB9CF" w:rsidR="005A063B" w:rsidRPr="006B5404" w:rsidRDefault="005A063B" w:rsidP="005A063B">
            <w:pPr>
              <w:rPr>
                <w:rFonts w:ascii="Arial" w:hAnsi="Arial" w:cs="Arial"/>
              </w:rPr>
            </w:pPr>
            <w:r w:rsidRPr="006B5404">
              <w:rPr>
                <w:rFonts w:ascii="Arial" w:hAnsi="Arial" w:cs="Arial"/>
                <w:color w:val="000000"/>
              </w:rPr>
              <w:t>DULAGLUTIDE</w:t>
            </w:r>
            <w:r w:rsidRPr="006B5404">
              <w:rPr>
                <w:rFonts w:ascii="Arial" w:hAnsi="Arial" w:cs="Arial"/>
                <w:color w:val="000000"/>
              </w:rPr>
              <w:br/>
            </w:r>
            <w:r w:rsidRPr="006B5404">
              <w:rPr>
                <w:rFonts w:ascii="Arial" w:hAnsi="Arial" w:cs="Arial"/>
                <w:color w:val="000000"/>
              </w:rPr>
              <w:br/>
              <w:t>Injection 1.5 mg in 0.5 mL single dose pre-filled pen</w:t>
            </w:r>
            <w:r w:rsidRPr="006B5404">
              <w:rPr>
                <w:rFonts w:ascii="Arial" w:hAnsi="Arial" w:cs="Arial"/>
                <w:color w:val="000000"/>
              </w:rPr>
              <w:br/>
            </w:r>
            <w:r w:rsidRPr="006B5404">
              <w:rPr>
                <w:rFonts w:ascii="Arial" w:hAnsi="Arial" w:cs="Arial"/>
                <w:color w:val="000000"/>
              </w:rPr>
              <w:br/>
            </w:r>
            <w:proofErr w:type="spellStart"/>
            <w:r w:rsidRPr="006B5404">
              <w:rPr>
                <w:rFonts w:ascii="Arial" w:hAnsi="Arial" w:cs="Arial"/>
                <w:color w:val="000000"/>
              </w:rPr>
              <w:t>Trulicity</w:t>
            </w:r>
            <w:proofErr w:type="spellEnd"/>
            <w:r w:rsidR="00CD476C">
              <w:rPr>
                <w:rFonts w:ascii="Arial" w:hAnsi="Arial" w:cs="Arial"/>
                <w:color w:val="000000"/>
              </w:rPr>
              <w:t>®</w:t>
            </w:r>
            <w:r w:rsidRPr="006B5404">
              <w:rPr>
                <w:rFonts w:ascii="Arial" w:hAnsi="Arial" w:cs="Arial"/>
                <w:color w:val="000000"/>
              </w:rPr>
              <w:br/>
            </w:r>
            <w:r w:rsidRPr="006B5404">
              <w:rPr>
                <w:rFonts w:ascii="Arial" w:hAnsi="Arial" w:cs="Arial"/>
                <w:color w:val="000000"/>
              </w:rPr>
              <w:br/>
              <w:t>Eli Lilly Australia Pty Ltd</w:t>
            </w:r>
            <w:r w:rsidRPr="006B5404">
              <w:rPr>
                <w:rFonts w:ascii="Arial" w:hAnsi="Arial" w:cs="Arial"/>
                <w:color w:val="000000"/>
              </w:rPr>
              <w:br/>
            </w:r>
            <w:r w:rsidRPr="006B5404">
              <w:rPr>
                <w:rFonts w:ascii="Arial" w:hAnsi="Arial" w:cs="Arial"/>
                <w:color w:val="000000"/>
              </w:rPr>
              <w:br/>
              <w:t>Change to listing</w:t>
            </w:r>
            <w:r w:rsidRPr="006B5404">
              <w:rPr>
                <w:rFonts w:ascii="Arial" w:hAnsi="Arial" w:cs="Arial"/>
                <w:color w:val="000000"/>
              </w:rPr>
              <w:br/>
              <w:t>(Minor Submission)</w:t>
            </w:r>
          </w:p>
        </w:tc>
        <w:tc>
          <w:tcPr>
            <w:tcW w:w="2401" w:type="dxa"/>
            <w:tcBorders>
              <w:top w:val="nil"/>
              <w:left w:val="nil"/>
              <w:bottom w:val="single" w:sz="4" w:space="0" w:color="auto"/>
              <w:right w:val="single" w:sz="4" w:space="0" w:color="auto"/>
            </w:tcBorders>
            <w:shd w:val="clear" w:color="auto" w:fill="auto"/>
            <w:tcMar>
              <w:top w:w="28" w:type="dxa"/>
              <w:bottom w:w="28" w:type="dxa"/>
            </w:tcMar>
          </w:tcPr>
          <w:p w14:paraId="1261FF44" w14:textId="18FEBD55" w:rsidR="005A063B" w:rsidRPr="006B5404" w:rsidRDefault="005A063B" w:rsidP="005A063B">
            <w:pPr>
              <w:rPr>
                <w:rFonts w:ascii="Arial" w:hAnsi="Arial" w:cs="Arial"/>
              </w:rPr>
            </w:pPr>
            <w:r>
              <w:rPr>
                <w:rFonts w:ascii="Arial" w:hAnsi="Arial" w:cs="Arial"/>
                <w:color w:val="000000"/>
              </w:rPr>
              <w:t>Type 2 Diabetes Mellitus (T2DM)</w:t>
            </w:r>
          </w:p>
        </w:tc>
        <w:tc>
          <w:tcPr>
            <w:tcW w:w="2702" w:type="dxa"/>
            <w:tcBorders>
              <w:top w:val="nil"/>
              <w:left w:val="nil"/>
              <w:bottom w:val="single" w:sz="4" w:space="0" w:color="auto"/>
              <w:right w:val="single" w:sz="4" w:space="0" w:color="auto"/>
            </w:tcBorders>
            <w:shd w:val="clear" w:color="auto" w:fill="auto"/>
            <w:tcMar>
              <w:top w:w="28" w:type="dxa"/>
              <w:bottom w:w="28" w:type="dxa"/>
            </w:tcMar>
          </w:tcPr>
          <w:p w14:paraId="61D27CFC" w14:textId="5ECEA469" w:rsidR="005A063B" w:rsidRPr="006B5404" w:rsidRDefault="005A063B" w:rsidP="005A063B">
            <w:pPr>
              <w:rPr>
                <w:rFonts w:ascii="Arial" w:hAnsi="Arial" w:cs="Arial"/>
              </w:rPr>
            </w:pPr>
            <w:r w:rsidRPr="006B5404">
              <w:rPr>
                <w:rFonts w:ascii="Arial" w:hAnsi="Arial" w:cs="Arial"/>
                <w:color w:val="000000"/>
              </w:rPr>
              <w:t>Resubmission to request an Authority Required (STREAMLINED) listing for use in combination with insulin and metformin for the treatment of patients with</w:t>
            </w:r>
            <w:r>
              <w:rPr>
                <w:rFonts w:ascii="Arial" w:hAnsi="Arial" w:cs="Arial"/>
                <w:color w:val="000000"/>
              </w:rPr>
              <w:t xml:space="preserve"> T2DM.</w:t>
            </w:r>
          </w:p>
        </w:tc>
        <w:tc>
          <w:tcPr>
            <w:tcW w:w="6604" w:type="dxa"/>
            <w:tcBorders>
              <w:top w:val="single" w:sz="4" w:space="0" w:color="auto"/>
              <w:left w:val="single" w:sz="4" w:space="0" w:color="auto"/>
              <w:bottom w:val="single" w:sz="4" w:space="0" w:color="auto"/>
              <w:right w:val="single" w:sz="4" w:space="0" w:color="auto"/>
            </w:tcBorders>
          </w:tcPr>
          <w:p w14:paraId="398A7665" w14:textId="43D8B8B3" w:rsidR="005A063B" w:rsidRPr="006B5404" w:rsidRDefault="005A063B" w:rsidP="00CD73A9">
            <w:pPr>
              <w:widowControl w:val="0"/>
              <w:spacing w:after="120"/>
              <w:rPr>
                <w:rFonts w:ascii="Arial" w:hAnsi="Arial" w:cs="Arial"/>
              </w:rPr>
            </w:pPr>
            <w:r w:rsidRPr="006B5404">
              <w:rPr>
                <w:rFonts w:ascii="Arial" w:hAnsi="Arial" w:cs="Arial"/>
              </w:rPr>
              <w:t xml:space="preserve">The PBAC recommended extending the existing listing of </w:t>
            </w:r>
            <w:proofErr w:type="spellStart"/>
            <w:r w:rsidRPr="006B5404">
              <w:rPr>
                <w:rFonts w:ascii="Arial" w:hAnsi="Arial" w:cs="Arial"/>
              </w:rPr>
              <w:t>dulaglutide</w:t>
            </w:r>
            <w:proofErr w:type="spellEnd"/>
            <w:r w:rsidRPr="006B5404">
              <w:rPr>
                <w:rFonts w:ascii="Arial" w:hAnsi="Arial" w:cs="Arial"/>
              </w:rPr>
              <w:t xml:space="preserve"> to include the treatment of </w:t>
            </w:r>
            <w:r>
              <w:rPr>
                <w:rFonts w:ascii="Arial" w:hAnsi="Arial" w:cs="Arial"/>
              </w:rPr>
              <w:t>T2DM</w:t>
            </w:r>
            <w:r w:rsidR="00CD73A9">
              <w:rPr>
                <w:rFonts w:ascii="Arial" w:hAnsi="Arial" w:cs="Arial"/>
              </w:rPr>
              <w:t xml:space="preserve"> </w:t>
            </w:r>
            <w:r w:rsidRPr="006B5404">
              <w:rPr>
                <w:rFonts w:ascii="Arial" w:hAnsi="Arial" w:cs="Arial"/>
              </w:rPr>
              <w:t>in combination with insulin and metformin unless contraindicated or not tolerated</w:t>
            </w:r>
            <w:r w:rsidR="00FC4EBB">
              <w:rPr>
                <w:rFonts w:ascii="Arial" w:hAnsi="Arial" w:cs="Arial"/>
              </w:rPr>
              <w:t>. The PBAC recommended</w:t>
            </w:r>
            <w:r w:rsidRPr="00FC4EBB">
              <w:rPr>
                <w:rFonts w:ascii="Arial" w:hAnsi="Arial" w:cs="Arial"/>
              </w:rPr>
              <w:t xml:space="preserve"> listing</w:t>
            </w:r>
            <w:r w:rsidR="004F305B">
              <w:rPr>
                <w:rFonts w:ascii="Arial" w:hAnsi="Arial" w:cs="Arial"/>
              </w:rPr>
              <w:t xml:space="preserve"> for </w:t>
            </w:r>
            <w:proofErr w:type="spellStart"/>
            <w:r w:rsidR="004F305B" w:rsidRPr="006B5404">
              <w:rPr>
                <w:rFonts w:ascii="Arial" w:hAnsi="Arial" w:cs="Arial"/>
              </w:rPr>
              <w:t>dulaglutide</w:t>
            </w:r>
            <w:proofErr w:type="spellEnd"/>
            <w:r w:rsidR="004F305B" w:rsidRPr="006B5404">
              <w:rPr>
                <w:rFonts w:ascii="Arial" w:hAnsi="Arial" w:cs="Arial"/>
              </w:rPr>
              <w:t xml:space="preserve"> 1.5 mg once wee</w:t>
            </w:r>
            <w:r w:rsidR="004F305B">
              <w:rPr>
                <w:rFonts w:ascii="Arial" w:hAnsi="Arial" w:cs="Arial"/>
              </w:rPr>
              <w:t>kly (QW)</w:t>
            </w:r>
            <w:r w:rsidRPr="00FC4EBB">
              <w:rPr>
                <w:rFonts w:ascii="Arial" w:hAnsi="Arial" w:cs="Arial"/>
              </w:rPr>
              <w:t xml:space="preserve"> </w:t>
            </w:r>
            <w:r w:rsidR="004F305B">
              <w:rPr>
                <w:rFonts w:ascii="Arial" w:hAnsi="Arial" w:cs="Arial"/>
              </w:rPr>
              <w:t xml:space="preserve">on a cost-minimisation basis compared with </w:t>
            </w:r>
            <w:proofErr w:type="spellStart"/>
            <w:r w:rsidR="004F305B" w:rsidRPr="006B5404">
              <w:rPr>
                <w:rFonts w:ascii="Arial" w:hAnsi="Arial" w:cs="Arial"/>
              </w:rPr>
              <w:t>exenatide</w:t>
            </w:r>
            <w:proofErr w:type="spellEnd"/>
            <w:r w:rsidR="004F305B" w:rsidRPr="006B5404">
              <w:rPr>
                <w:rFonts w:ascii="Arial" w:hAnsi="Arial" w:cs="Arial"/>
              </w:rPr>
              <w:t xml:space="preserve"> 10 mcg twice daily (BID).</w:t>
            </w:r>
            <w:r w:rsidR="00D16BA6">
              <w:rPr>
                <w:rFonts w:ascii="Arial" w:hAnsi="Arial" w:cs="Arial"/>
              </w:rPr>
              <w:br/>
            </w:r>
            <w:r w:rsidR="00D16BA6">
              <w:rPr>
                <w:rFonts w:ascii="Arial" w:hAnsi="Arial" w:cs="Arial"/>
              </w:rPr>
              <w:br/>
            </w:r>
            <w:r w:rsidRPr="006B5404">
              <w:rPr>
                <w:rFonts w:ascii="Arial" w:hAnsi="Arial" w:cs="Arial"/>
              </w:rPr>
              <w:t xml:space="preserve">The PBAC considered that the </w:t>
            </w:r>
            <w:r w:rsidR="00CD73A9">
              <w:rPr>
                <w:rFonts w:ascii="Arial" w:hAnsi="Arial" w:cs="Arial"/>
              </w:rPr>
              <w:t>QW</w:t>
            </w:r>
            <w:r w:rsidRPr="006B5404">
              <w:rPr>
                <w:rFonts w:ascii="Arial" w:hAnsi="Arial" w:cs="Arial"/>
              </w:rPr>
              <w:t xml:space="preserve"> dosing regimen of </w:t>
            </w:r>
            <w:proofErr w:type="spellStart"/>
            <w:r w:rsidRPr="006B5404">
              <w:rPr>
                <w:rFonts w:ascii="Arial" w:hAnsi="Arial" w:cs="Arial"/>
              </w:rPr>
              <w:t>dulaglutide</w:t>
            </w:r>
            <w:proofErr w:type="spellEnd"/>
            <w:r w:rsidRPr="006B5404">
              <w:rPr>
                <w:rFonts w:ascii="Arial" w:hAnsi="Arial" w:cs="Arial"/>
              </w:rPr>
              <w:t xml:space="preserve"> may improve health outcomes for some patients, particularly those with poor adherence, due to less frequent injections compared with </w:t>
            </w:r>
            <w:proofErr w:type="spellStart"/>
            <w:r w:rsidRPr="006B5404">
              <w:rPr>
                <w:rFonts w:ascii="Arial" w:hAnsi="Arial" w:cs="Arial"/>
              </w:rPr>
              <w:t>exenatide</w:t>
            </w:r>
            <w:proofErr w:type="spellEnd"/>
            <w:r w:rsidRPr="006B5404">
              <w:rPr>
                <w:rFonts w:ascii="Arial" w:hAnsi="Arial" w:cs="Arial"/>
              </w:rPr>
              <w:t xml:space="preserve"> BID. As such, the PBAC considered a small price advantage to be reasonable on the basis of potential health benefits from likely improved adherence in a small number of patient populations. However, the PBAC advised that the price advantage for </w:t>
            </w:r>
            <w:proofErr w:type="spellStart"/>
            <w:r w:rsidRPr="006B5404">
              <w:rPr>
                <w:rFonts w:ascii="Arial" w:hAnsi="Arial" w:cs="Arial"/>
              </w:rPr>
              <w:t>dulaglutide</w:t>
            </w:r>
            <w:proofErr w:type="spellEnd"/>
            <w:r w:rsidRPr="006B5404">
              <w:rPr>
                <w:rFonts w:ascii="Arial" w:hAnsi="Arial" w:cs="Arial"/>
              </w:rPr>
              <w:t xml:space="preserve"> QW, when used with insulin and metformin (unless contraindicated or not tolerated), should be no higher than that which currently applies to </w:t>
            </w:r>
            <w:proofErr w:type="spellStart"/>
            <w:r w:rsidRPr="006B5404">
              <w:rPr>
                <w:rFonts w:ascii="Arial" w:hAnsi="Arial" w:cs="Arial"/>
              </w:rPr>
              <w:t>dulaglutide</w:t>
            </w:r>
            <w:proofErr w:type="spellEnd"/>
            <w:r w:rsidRPr="006B5404">
              <w:rPr>
                <w:rFonts w:ascii="Arial" w:hAnsi="Arial" w:cs="Arial"/>
              </w:rPr>
              <w:t xml:space="preserve"> QW for use with metformin and/or a sulfonylurea.</w:t>
            </w:r>
          </w:p>
        </w:tc>
      </w:tr>
      <w:tr w:rsidR="005A063B" w:rsidRPr="006B5404" w14:paraId="2FAFDFC3" w14:textId="77777777" w:rsidTr="00891EAA">
        <w:trPr>
          <w:cantSplit/>
          <w:trHeight w:val="430"/>
        </w:trPr>
        <w:tc>
          <w:tcPr>
            <w:tcW w:w="3681" w:type="dxa"/>
            <w:tcBorders>
              <w:top w:val="nil"/>
              <w:left w:val="single" w:sz="4" w:space="0" w:color="auto"/>
              <w:bottom w:val="single" w:sz="4" w:space="0" w:color="auto"/>
              <w:right w:val="single" w:sz="4" w:space="0" w:color="auto"/>
            </w:tcBorders>
            <w:shd w:val="clear" w:color="auto" w:fill="auto"/>
            <w:tcMar>
              <w:top w:w="28" w:type="dxa"/>
              <w:bottom w:w="28" w:type="dxa"/>
            </w:tcMar>
          </w:tcPr>
          <w:p w14:paraId="48F7E715" w14:textId="2E2981B1" w:rsidR="005A063B" w:rsidRDefault="005A063B" w:rsidP="005A063B">
            <w:pPr>
              <w:rPr>
                <w:rFonts w:ascii="Arial" w:hAnsi="Arial" w:cs="Arial"/>
                <w:color w:val="000000"/>
              </w:rPr>
            </w:pPr>
            <w:r w:rsidRPr="006B5404">
              <w:rPr>
                <w:rFonts w:ascii="Arial" w:hAnsi="Arial" w:cs="Arial"/>
                <w:color w:val="000000"/>
              </w:rPr>
              <w:lastRenderedPageBreak/>
              <w:t>ENOXAPARIN</w:t>
            </w:r>
            <w:r w:rsidRPr="006B5404">
              <w:rPr>
                <w:rFonts w:ascii="Arial" w:hAnsi="Arial" w:cs="Arial"/>
                <w:color w:val="000000"/>
              </w:rPr>
              <w:br/>
            </w:r>
            <w:r w:rsidRPr="006B5404">
              <w:rPr>
                <w:rFonts w:ascii="Arial" w:hAnsi="Arial" w:cs="Arial"/>
                <w:color w:val="000000"/>
              </w:rPr>
              <w:br/>
              <w:t>Injection containing enoxaparin sodium 100 mg (10,000 I.U. anti-</w:t>
            </w:r>
            <w:proofErr w:type="spellStart"/>
            <w:r w:rsidR="008253F7">
              <w:rPr>
                <w:rFonts w:ascii="Arial" w:hAnsi="Arial" w:cs="Arial"/>
                <w:color w:val="000000"/>
              </w:rPr>
              <w:t>Xa</w:t>
            </w:r>
            <w:proofErr w:type="spellEnd"/>
            <w:r w:rsidR="008253F7">
              <w:rPr>
                <w:rFonts w:ascii="Arial" w:hAnsi="Arial" w:cs="Arial"/>
                <w:color w:val="000000"/>
              </w:rPr>
              <w:t>) in 1 mL pre-filled syringe</w:t>
            </w:r>
          </w:p>
          <w:p w14:paraId="79B0BB76" w14:textId="77777777" w:rsidR="005A063B" w:rsidRDefault="005A063B" w:rsidP="005A063B">
            <w:pPr>
              <w:rPr>
                <w:rFonts w:ascii="Arial" w:hAnsi="Arial" w:cs="Arial"/>
                <w:color w:val="000000"/>
              </w:rPr>
            </w:pPr>
          </w:p>
          <w:p w14:paraId="6A002E29" w14:textId="6E6F5F61" w:rsidR="005A063B" w:rsidRDefault="005A063B" w:rsidP="005A063B">
            <w:pPr>
              <w:rPr>
                <w:rFonts w:ascii="Arial" w:hAnsi="Arial" w:cs="Arial"/>
                <w:color w:val="000000"/>
              </w:rPr>
            </w:pPr>
            <w:r w:rsidRPr="006B5404">
              <w:rPr>
                <w:rFonts w:ascii="Arial" w:hAnsi="Arial" w:cs="Arial"/>
                <w:color w:val="000000"/>
              </w:rPr>
              <w:t>Injection containing enoxaparin sodium 120 mg (12,000 I</w:t>
            </w:r>
            <w:r w:rsidR="008253F7">
              <w:rPr>
                <w:rFonts w:ascii="Arial" w:hAnsi="Arial" w:cs="Arial"/>
                <w:color w:val="000000"/>
              </w:rPr>
              <w:t>.U. anti-</w:t>
            </w:r>
            <w:proofErr w:type="spellStart"/>
            <w:r w:rsidR="008253F7">
              <w:rPr>
                <w:rFonts w:ascii="Arial" w:hAnsi="Arial" w:cs="Arial"/>
                <w:color w:val="000000"/>
              </w:rPr>
              <w:t>Xa</w:t>
            </w:r>
            <w:proofErr w:type="spellEnd"/>
            <w:r w:rsidR="008253F7">
              <w:rPr>
                <w:rFonts w:ascii="Arial" w:hAnsi="Arial" w:cs="Arial"/>
                <w:color w:val="000000"/>
              </w:rPr>
              <w:t>) in 0.8 mL syringe</w:t>
            </w:r>
          </w:p>
          <w:p w14:paraId="310C040D" w14:textId="77777777" w:rsidR="005A063B" w:rsidRDefault="005A063B" w:rsidP="005A063B">
            <w:pPr>
              <w:rPr>
                <w:rFonts w:ascii="Arial" w:hAnsi="Arial" w:cs="Arial"/>
                <w:color w:val="000000"/>
              </w:rPr>
            </w:pPr>
          </w:p>
          <w:p w14:paraId="4A1C1AAB" w14:textId="15E77569" w:rsidR="005A063B" w:rsidRDefault="005A063B" w:rsidP="005A063B">
            <w:pPr>
              <w:rPr>
                <w:rFonts w:ascii="Arial" w:hAnsi="Arial" w:cs="Arial"/>
                <w:color w:val="000000"/>
              </w:rPr>
            </w:pPr>
            <w:r w:rsidRPr="006B5404">
              <w:rPr>
                <w:rFonts w:ascii="Arial" w:hAnsi="Arial" w:cs="Arial"/>
                <w:color w:val="000000"/>
              </w:rPr>
              <w:t>Injection containing enoxaparin</w:t>
            </w:r>
            <w:r w:rsidR="00093FB6">
              <w:rPr>
                <w:rFonts w:ascii="Arial" w:hAnsi="Arial" w:cs="Arial"/>
                <w:color w:val="000000"/>
              </w:rPr>
              <w:t xml:space="preserve"> sodium</w:t>
            </w:r>
            <w:r w:rsidRPr="006B5404">
              <w:rPr>
                <w:rFonts w:ascii="Arial" w:hAnsi="Arial" w:cs="Arial"/>
                <w:color w:val="000000"/>
              </w:rPr>
              <w:t xml:space="preserve"> 150 mg (15,000 I</w:t>
            </w:r>
            <w:r w:rsidR="00E2348D">
              <w:rPr>
                <w:rFonts w:ascii="Arial" w:hAnsi="Arial" w:cs="Arial"/>
                <w:color w:val="000000"/>
              </w:rPr>
              <w:t>.U. anti-</w:t>
            </w:r>
            <w:proofErr w:type="spellStart"/>
            <w:r w:rsidR="00E2348D">
              <w:rPr>
                <w:rFonts w:ascii="Arial" w:hAnsi="Arial" w:cs="Arial"/>
                <w:color w:val="000000"/>
              </w:rPr>
              <w:t>Xa</w:t>
            </w:r>
            <w:proofErr w:type="spellEnd"/>
            <w:r w:rsidR="00E2348D">
              <w:rPr>
                <w:rFonts w:ascii="Arial" w:hAnsi="Arial" w:cs="Arial"/>
                <w:color w:val="000000"/>
              </w:rPr>
              <w:t>) in 1</w:t>
            </w:r>
            <w:bookmarkStart w:id="0" w:name="_GoBack"/>
            <w:bookmarkEnd w:id="0"/>
            <w:r w:rsidR="008253F7">
              <w:rPr>
                <w:rFonts w:ascii="Arial" w:hAnsi="Arial" w:cs="Arial"/>
                <w:color w:val="000000"/>
              </w:rPr>
              <w:t xml:space="preserve"> mL syringe</w:t>
            </w:r>
          </w:p>
          <w:p w14:paraId="38CACEE3" w14:textId="77777777" w:rsidR="005A063B" w:rsidRDefault="005A063B" w:rsidP="005A063B">
            <w:pPr>
              <w:rPr>
                <w:rFonts w:ascii="Arial" w:hAnsi="Arial" w:cs="Arial"/>
                <w:color w:val="000000"/>
              </w:rPr>
            </w:pPr>
          </w:p>
          <w:p w14:paraId="39DC8354" w14:textId="4EEBA9D3" w:rsidR="005A063B" w:rsidRDefault="005A063B" w:rsidP="005A063B">
            <w:pPr>
              <w:rPr>
                <w:rFonts w:ascii="Arial" w:hAnsi="Arial" w:cs="Arial"/>
                <w:color w:val="000000"/>
              </w:rPr>
            </w:pPr>
            <w:r w:rsidRPr="006B5404">
              <w:rPr>
                <w:rFonts w:ascii="Arial" w:hAnsi="Arial" w:cs="Arial"/>
                <w:color w:val="000000"/>
              </w:rPr>
              <w:t>Injection containing enoxaparin sodium 20 mg (2,000 I.U. anti-</w:t>
            </w:r>
            <w:proofErr w:type="spellStart"/>
            <w:r w:rsidRPr="006B5404">
              <w:rPr>
                <w:rFonts w:ascii="Arial" w:hAnsi="Arial" w:cs="Arial"/>
                <w:color w:val="000000"/>
              </w:rPr>
              <w:t>Xa</w:t>
            </w:r>
            <w:proofErr w:type="spellEnd"/>
            <w:r w:rsidR="008253F7">
              <w:rPr>
                <w:rFonts w:ascii="Arial" w:hAnsi="Arial" w:cs="Arial"/>
                <w:color w:val="000000"/>
              </w:rPr>
              <w:t>) in 0.2 mL pre-filled syringe</w:t>
            </w:r>
          </w:p>
          <w:p w14:paraId="3DBF44E9" w14:textId="77777777" w:rsidR="005A063B" w:rsidRDefault="005A063B" w:rsidP="005A063B">
            <w:pPr>
              <w:rPr>
                <w:rFonts w:ascii="Arial" w:hAnsi="Arial" w:cs="Arial"/>
                <w:color w:val="000000"/>
              </w:rPr>
            </w:pPr>
          </w:p>
          <w:p w14:paraId="57C98887" w14:textId="11EA299E" w:rsidR="005A063B" w:rsidRDefault="005A063B" w:rsidP="005A063B">
            <w:pPr>
              <w:rPr>
                <w:rFonts w:ascii="Arial" w:hAnsi="Arial" w:cs="Arial"/>
                <w:color w:val="000000"/>
              </w:rPr>
            </w:pPr>
            <w:r w:rsidRPr="006B5404">
              <w:rPr>
                <w:rFonts w:ascii="Arial" w:hAnsi="Arial" w:cs="Arial"/>
                <w:color w:val="000000"/>
              </w:rPr>
              <w:t>Injection containing enoxaparin sodium 40 mg (4,000 I.U. anti-</w:t>
            </w:r>
            <w:proofErr w:type="spellStart"/>
            <w:r w:rsidRPr="006B5404">
              <w:rPr>
                <w:rFonts w:ascii="Arial" w:hAnsi="Arial" w:cs="Arial"/>
                <w:color w:val="000000"/>
              </w:rPr>
              <w:t>Xa</w:t>
            </w:r>
            <w:proofErr w:type="spellEnd"/>
            <w:r w:rsidRPr="006B5404">
              <w:rPr>
                <w:rFonts w:ascii="Arial" w:hAnsi="Arial" w:cs="Arial"/>
                <w:color w:val="000000"/>
              </w:rPr>
              <w:t xml:space="preserve">) in 0.4 mL </w:t>
            </w:r>
            <w:r w:rsidR="008253F7">
              <w:rPr>
                <w:rFonts w:ascii="Arial" w:hAnsi="Arial" w:cs="Arial"/>
                <w:color w:val="000000"/>
              </w:rPr>
              <w:t>pre-filled syringe</w:t>
            </w:r>
          </w:p>
          <w:p w14:paraId="53C20F51" w14:textId="77777777" w:rsidR="005A063B" w:rsidRDefault="005A063B" w:rsidP="005A063B">
            <w:pPr>
              <w:rPr>
                <w:rFonts w:ascii="Arial" w:hAnsi="Arial" w:cs="Arial"/>
                <w:color w:val="000000"/>
              </w:rPr>
            </w:pPr>
          </w:p>
          <w:p w14:paraId="61F54AAE" w14:textId="40184934" w:rsidR="005A063B" w:rsidRDefault="005A063B" w:rsidP="005A063B">
            <w:pPr>
              <w:rPr>
                <w:rFonts w:ascii="Arial" w:hAnsi="Arial" w:cs="Arial"/>
                <w:color w:val="000000"/>
              </w:rPr>
            </w:pPr>
            <w:r w:rsidRPr="006B5404">
              <w:rPr>
                <w:rFonts w:ascii="Arial" w:hAnsi="Arial" w:cs="Arial"/>
                <w:color w:val="000000"/>
              </w:rPr>
              <w:t>Injection containing enoxaparin sodium 60 mg (6,000 I.U. anti-</w:t>
            </w:r>
            <w:proofErr w:type="spellStart"/>
            <w:r w:rsidRPr="006B5404">
              <w:rPr>
                <w:rFonts w:ascii="Arial" w:hAnsi="Arial" w:cs="Arial"/>
                <w:color w:val="000000"/>
              </w:rPr>
              <w:t>Xa</w:t>
            </w:r>
            <w:proofErr w:type="spellEnd"/>
            <w:r w:rsidR="008253F7">
              <w:rPr>
                <w:rFonts w:ascii="Arial" w:hAnsi="Arial" w:cs="Arial"/>
                <w:color w:val="000000"/>
              </w:rPr>
              <w:t>) in 0.6 mL pre-filled syringe</w:t>
            </w:r>
          </w:p>
          <w:p w14:paraId="4EC8AC2A" w14:textId="77777777" w:rsidR="005A063B" w:rsidRDefault="005A063B" w:rsidP="005A063B">
            <w:pPr>
              <w:rPr>
                <w:rFonts w:ascii="Arial" w:hAnsi="Arial" w:cs="Arial"/>
                <w:color w:val="000000"/>
              </w:rPr>
            </w:pPr>
          </w:p>
          <w:p w14:paraId="5D1A8B7F" w14:textId="34099C09" w:rsidR="005A063B" w:rsidRPr="006B5404" w:rsidRDefault="005A063B" w:rsidP="005A063B">
            <w:pPr>
              <w:rPr>
                <w:rFonts w:ascii="Arial" w:hAnsi="Arial" w:cs="Arial"/>
              </w:rPr>
            </w:pPr>
            <w:r w:rsidRPr="006B5404">
              <w:rPr>
                <w:rFonts w:ascii="Arial" w:hAnsi="Arial" w:cs="Arial"/>
                <w:color w:val="000000"/>
              </w:rPr>
              <w:t xml:space="preserve">Injection containing enoxaparin sodium 80 mg (8,000 </w:t>
            </w:r>
            <w:r w:rsidR="008253F7">
              <w:rPr>
                <w:rFonts w:ascii="Arial" w:hAnsi="Arial" w:cs="Arial"/>
                <w:color w:val="000000"/>
              </w:rPr>
              <w:t>I.U. anti-</w:t>
            </w:r>
            <w:proofErr w:type="spellStart"/>
            <w:r w:rsidR="008253F7">
              <w:rPr>
                <w:rFonts w:ascii="Arial" w:hAnsi="Arial" w:cs="Arial"/>
                <w:color w:val="000000"/>
              </w:rPr>
              <w:t>Xa</w:t>
            </w:r>
            <w:proofErr w:type="spellEnd"/>
            <w:r w:rsidR="008253F7">
              <w:rPr>
                <w:rFonts w:ascii="Arial" w:hAnsi="Arial" w:cs="Arial"/>
                <w:color w:val="000000"/>
              </w:rPr>
              <w:t>) in 0.8 mL syringe</w:t>
            </w:r>
            <w:r>
              <w:rPr>
                <w:rFonts w:ascii="Arial" w:hAnsi="Arial" w:cs="Arial"/>
                <w:color w:val="000000"/>
              </w:rPr>
              <w:br/>
            </w:r>
            <w:r w:rsidRPr="006B5404">
              <w:rPr>
                <w:rFonts w:ascii="Arial" w:hAnsi="Arial" w:cs="Arial"/>
                <w:color w:val="000000"/>
              </w:rPr>
              <w:br/>
            </w:r>
            <w:proofErr w:type="spellStart"/>
            <w:r>
              <w:rPr>
                <w:rFonts w:ascii="Arial" w:hAnsi="Arial" w:cs="Arial"/>
                <w:color w:val="000000"/>
              </w:rPr>
              <w:t>Enoxapo</w:t>
            </w:r>
            <w:proofErr w:type="spellEnd"/>
            <w:r w:rsidR="00CD476C">
              <w:rPr>
                <w:rFonts w:ascii="Arial" w:hAnsi="Arial" w:cs="Arial"/>
                <w:color w:val="000000"/>
              </w:rPr>
              <w:t>®</w:t>
            </w:r>
            <w:r w:rsidRPr="006B5404">
              <w:rPr>
                <w:rFonts w:ascii="Arial" w:hAnsi="Arial" w:cs="Arial"/>
                <w:color w:val="000000"/>
              </w:rPr>
              <w:br/>
            </w:r>
            <w:r w:rsidRPr="006B5404">
              <w:rPr>
                <w:rFonts w:ascii="Arial" w:hAnsi="Arial" w:cs="Arial"/>
                <w:color w:val="000000"/>
              </w:rPr>
              <w:br/>
            </w:r>
            <w:proofErr w:type="spellStart"/>
            <w:r w:rsidRPr="006B5404">
              <w:rPr>
                <w:rFonts w:ascii="Arial" w:hAnsi="Arial" w:cs="Arial"/>
                <w:color w:val="000000"/>
              </w:rPr>
              <w:t>Apotex</w:t>
            </w:r>
            <w:proofErr w:type="spellEnd"/>
            <w:r w:rsidRPr="006B5404">
              <w:rPr>
                <w:rFonts w:ascii="Arial" w:hAnsi="Arial" w:cs="Arial"/>
                <w:color w:val="000000"/>
              </w:rPr>
              <w:t xml:space="preserve"> Pty Ltd</w:t>
            </w:r>
            <w:r w:rsidRPr="006B5404">
              <w:rPr>
                <w:rFonts w:ascii="Arial" w:hAnsi="Arial" w:cs="Arial"/>
                <w:color w:val="000000"/>
              </w:rPr>
              <w:br/>
            </w:r>
            <w:r w:rsidRPr="006B5404">
              <w:rPr>
                <w:rFonts w:ascii="Arial" w:hAnsi="Arial" w:cs="Arial"/>
                <w:color w:val="000000"/>
              </w:rPr>
              <w:br/>
              <w:t>New listing</w:t>
            </w:r>
            <w:r w:rsidRPr="006B5404">
              <w:rPr>
                <w:rFonts w:ascii="Arial" w:hAnsi="Arial" w:cs="Arial"/>
                <w:color w:val="000000"/>
              </w:rPr>
              <w:br/>
              <w:t>(Minor Submission)</w:t>
            </w:r>
          </w:p>
        </w:tc>
        <w:tc>
          <w:tcPr>
            <w:tcW w:w="2401" w:type="dxa"/>
            <w:tcBorders>
              <w:top w:val="nil"/>
              <w:left w:val="nil"/>
              <w:bottom w:val="single" w:sz="4" w:space="0" w:color="auto"/>
              <w:right w:val="single" w:sz="4" w:space="0" w:color="auto"/>
            </w:tcBorders>
            <w:shd w:val="clear" w:color="auto" w:fill="auto"/>
            <w:tcMar>
              <w:top w:w="28" w:type="dxa"/>
              <w:bottom w:w="28" w:type="dxa"/>
            </w:tcMar>
          </w:tcPr>
          <w:p w14:paraId="5E6662EC" w14:textId="647A7D62" w:rsidR="005A063B" w:rsidRPr="006B5404" w:rsidRDefault="005A063B" w:rsidP="005A063B">
            <w:pPr>
              <w:rPr>
                <w:rFonts w:ascii="Arial" w:hAnsi="Arial" w:cs="Arial"/>
              </w:rPr>
            </w:pPr>
            <w:r w:rsidRPr="006B5404">
              <w:rPr>
                <w:rFonts w:ascii="Arial" w:hAnsi="Arial" w:cs="Arial"/>
                <w:color w:val="000000"/>
              </w:rPr>
              <w:t>Prevention and trea</w:t>
            </w:r>
            <w:r w:rsidR="00D16BA6">
              <w:rPr>
                <w:rFonts w:ascii="Arial" w:hAnsi="Arial" w:cs="Arial"/>
                <w:color w:val="000000"/>
              </w:rPr>
              <w:t>tment of deep vein thrombosis; H</w:t>
            </w:r>
            <w:r w:rsidRPr="006B5404">
              <w:rPr>
                <w:rFonts w:ascii="Arial" w:hAnsi="Arial" w:cs="Arial"/>
                <w:color w:val="000000"/>
              </w:rPr>
              <w:t>aemodialysis</w:t>
            </w:r>
          </w:p>
        </w:tc>
        <w:tc>
          <w:tcPr>
            <w:tcW w:w="2702" w:type="dxa"/>
            <w:tcBorders>
              <w:top w:val="nil"/>
              <w:left w:val="nil"/>
              <w:bottom w:val="single" w:sz="4" w:space="0" w:color="auto"/>
              <w:right w:val="single" w:sz="4" w:space="0" w:color="auto"/>
            </w:tcBorders>
            <w:shd w:val="clear" w:color="auto" w:fill="auto"/>
            <w:tcMar>
              <w:top w:w="28" w:type="dxa"/>
              <w:bottom w:w="28" w:type="dxa"/>
            </w:tcMar>
          </w:tcPr>
          <w:p w14:paraId="18EDE522" w14:textId="7181295E" w:rsidR="005A063B" w:rsidRPr="006B5404" w:rsidRDefault="00D16BA6" w:rsidP="005A063B">
            <w:pPr>
              <w:rPr>
                <w:rFonts w:ascii="Arial" w:hAnsi="Arial" w:cs="Arial"/>
              </w:rPr>
            </w:pPr>
            <w:r>
              <w:rPr>
                <w:rFonts w:ascii="Arial" w:hAnsi="Arial" w:cs="Arial"/>
                <w:color w:val="000000"/>
              </w:rPr>
              <w:t xml:space="preserve">To request the Restricted Benefit listing of a biosimilar enoxaparin for the same indications as the originator brand </w:t>
            </w:r>
            <w:proofErr w:type="spellStart"/>
            <w:r>
              <w:rPr>
                <w:rFonts w:ascii="Arial" w:hAnsi="Arial" w:cs="Arial"/>
                <w:color w:val="000000"/>
              </w:rPr>
              <w:t>Clexane</w:t>
            </w:r>
            <w:proofErr w:type="spellEnd"/>
            <w:r>
              <w:rPr>
                <w:rFonts w:ascii="Arial" w:hAnsi="Arial" w:cs="Arial"/>
                <w:color w:val="000000"/>
              </w:rPr>
              <w:t xml:space="preserve"> Safety-Lock®.</w:t>
            </w:r>
          </w:p>
        </w:tc>
        <w:tc>
          <w:tcPr>
            <w:tcW w:w="6604" w:type="dxa"/>
            <w:tcBorders>
              <w:top w:val="single" w:sz="4" w:space="0" w:color="auto"/>
              <w:left w:val="single" w:sz="4" w:space="0" w:color="auto"/>
              <w:bottom w:val="single" w:sz="4" w:space="0" w:color="auto"/>
              <w:right w:val="single" w:sz="4" w:space="0" w:color="auto"/>
            </w:tcBorders>
          </w:tcPr>
          <w:p w14:paraId="1B83F08C" w14:textId="215257C7" w:rsidR="005A063B" w:rsidRPr="006B5404" w:rsidRDefault="005A063B" w:rsidP="003D33C7">
            <w:pPr>
              <w:widowControl w:val="0"/>
              <w:spacing w:after="120"/>
              <w:rPr>
                <w:rFonts w:ascii="Arial" w:hAnsi="Arial" w:cs="Arial"/>
              </w:rPr>
            </w:pPr>
            <w:r w:rsidRPr="00E07254">
              <w:rPr>
                <w:rFonts w:ascii="Arial" w:hAnsi="Arial" w:cs="Arial"/>
              </w:rPr>
              <w:t>The PBAC recommended the listing of the biosimi</w:t>
            </w:r>
            <w:r w:rsidR="00D16BA6">
              <w:rPr>
                <w:rFonts w:ascii="Arial" w:hAnsi="Arial" w:cs="Arial"/>
              </w:rPr>
              <w:t>lar brand of enoxaparin</w:t>
            </w:r>
            <w:r w:rsidRPr="00E07254">
              <w:rPr>
                <w:rFonts w:ascii="Arial" w:hAnsi="Arial" w:cs="Arial"/>
              </w:rPr>
              <w:t xml:space="preserve"> (</w:t>
            </w:r>
            <w:proofErr w:type="spellStart"/>
            <w:r w:rsidRPr="00E07254">
              <w:rPr>
                <w:rFonts w:ascii="Arial" w:hAnsi="Arial" w:cs="Arial"/>
              </w:rPr>
              <w:t>Enoxap</w:t>
            </w:r>
            <w:r w:rsidR="004B349C">
              <w:rPr>
                <w:rFonts w:ascii="Arial" w:hAnsi="Arial" w:cs="Arial"/>
              </w:rPr>
              <w:t>o</w:t>
            </w:r>
            <w:proofErr w:type="spellEnd"/>
            <w:r w:rsidR="004B349C">
              <w:rPr>
                <w:rFonts w:ascii="Arial" w:hAnsi="Arial" w:cs="Arial"/>
              </w:rPr>
              <w:t>®</w:t>
            </w:r>
            <w:r w:rsidR="00D16BA6">
              <w:rPr>
                <w:rFonts w:ascii="Arial" w:hAnsi="Arial" w:cs="Arial"/>
              </w:rPr>
              <w:t>)</w:t>
            </w:r>
            <w:r w:rsidRPr="00E07254">
              <w:rPr>
                <w:rFonts w:ascii="Arial" w:hAnsi="Arial" w:cs="Arial"/>
              </w:rPr>
              <w:t xml:space="preserve"> on a cost-minimisation basis for the same indications and level of restrictions for which the reference product </w:t>
            </w:r>
            <w:proofErr w:type="spellStart"/>
            <w:r w:rsidRPr="00E07254">
              <w:rPr>
                <w:rFonts w:ascii="Arial" w:hAnsi="Arial" w:cs="Arial"/>
              </w:rPr>
              <w:t>Clexane</w:t>
            </w:r>
            <w:proofErr w:type="spellEnd"/>
            <w:r w:rsidRPr="00E07254">
              <w:rPr>
                <w:rFonts w:ascii="Arial" w:hAnsi="Arial" w:cs="Arial"/>
              </w:rPr>
              <w:t xml:space="preserve"> Safety-Lock</w:t>
            </w:r>
            <w:r w:rsidR="00CD476C">
              <w:rPr>
                <w:rFonts w:ascii="Arial" w:hAnsi="Arial" w:cs="Arial"/>
                <w:color w:val="000000"/>
              </w:rPr>
              <w:t>®</w:t>
            </w:r>
            <w:r w:rsidRPr="00E07254">
              <w:rPr>
                <w:rFonts w:ascii="Arial" w:hAnsi="Arial" w:cs="Arial"/>
              </w:rPr>
              <w:t xml:space="preserve"> is currently PBS </w:t>
            </w:r>
            <w:r w:rsidR="004B349C">
              <w:rPr>
                <w:rFonts w:ascii="Arial" w:hAnsi="Arial" w:cs="Arial"/>
              </w:rPr>
              <w:t>listed. The PBAC recommended listing</w:t>
            </w:r>
            <w:r w:rsidR="00093FB6">
              <w:rPr>
                <w:rFonts w:ascii="Arial" w:hAnsi="Arial" w:cs="Arial"/>
              </w:rPr>
              <w:t xml:space="preserve"> for </w:t>
            </w:r>
            <w:proofErr w:type="spellStart"/>
            <w:r w:rsidR="00093FB6">
              <w:rPr>
                <w:rFonts w:ascii="Arial" w:hAnsi="Arial" w:cs="Arial"/>
              </w:rPr>
              <w:t>Enoxapo</w:t>
            </w:r>
            <w:proofErr w:type="spellEnd"/>
            <w:r w:rsidR="00093FB6">
              <w:rPr>
                <w:rFonts w:ascii="Arial" w:hAnsi="Arial" w:cs="Arial"/>
              </w:rPr>
              <w:t xml:space="preserve">® 120 mg/0.8 mL and 150 mg/mL </w:t>
            </w:r>
            <w:r w:rsidR="004B349C">
              <w:rPr>
                <w:rFonts w:ascii="Arial" w:hAnsi="Arial" w:cs="Arial"/>
              </w:rPr>
              <w:t>on a cost-minimisation basis compared with enoxaparin 100 mg/</w:t>
            </w:r>
            <w:proofErr w:type="spellStart"/>
            <w:r w:rsidR="004B349C">
              <w:rPr>
                <w:rFonts w:ascii="Arial" w:hAnsi="Arial" w:cs="Arial"/>
              </w:rPr>
              <w:t>m</w:t>
            </w:r>
            <w:r w:rsidR="00093FB6">
              <w:rPr>
                <w:rFonts w:ascii="Arial" w:hAnsi="Arial" w:cs="Arial"/>
              </w:rPr>
              <w:t>L.</w:t>
            </w:r>
            <w:proofErr w:type="spellEnd"/>
            <w:r w:rsidR="00D16BA6">
              <w:rPr>
                <w:rFonts w:ascii="Arial" w:hAnsi="Arial" w:cs="Arial"/>
              </w:rPr>
              <w:br/>
            </w:r>
            <w:r w:rsidR="00D16BA6">
              <w:rPr>
                <w:rFonts w:ascii="Arial" w:hAnsi="Arial" w:cs="Arial"/>
              </w:rPr>
              <w:br/>
            </w:r>
            <w:r w:rsidRPr="00E07254">
              <w:rPr>
                <w:rFonts w:ascii="Arial" w:hAnsi="Arial" w:cs="Arial"/>
              </w:rPr>
              <w:t xml:space="preserve">The PBAC advised that, under Section 101(4AACD) of the </w:t>
            </w:r>
            <w:r w:rsidRPr="003905A8">
              <w:rPr>
                <w:rFonts w:ascii="Arial" w:hAnsi="Arial" w:cs="Arial"/>
                <w:i/>
              </w:rPr>
              <w:t>National Health Act 1953</w:t>
            </w:r>
            <w:r w:rsidRPr="00E07254">
              <w:rPr>
                <w:rFonts w:ascii="Arial" w:hAnsi="Arial" w:cs="Arial"/>
              </w:rPr>
              <w:t xml:space="preserve">, </w:t>
            </w:r>
            <w:proofErr w:type="spellStart"/>
            <w:r w:rsidRPr="00E07254">
              <w:rPr>
                <w:rFonts w:ascii="Arial" w:hAnsi="Arial" w:cs="Arial"/>
              </w:rPr>
              <w:t>Enoxapo</w:t>
            </w:r>
            <w:proofErr w:type="spellEnd"/>
            <w:proofErr w:type="gramStart"/>
            <w:r w:rsidR="002E0A56">
              <w:rPr>
                <w:rFonts w:ascii="Arial" w:hAnsi="Arial" w:cs="Arial"/>
                <w:color w:val="000000"/>
              </w:rPr>
              <w:t>®</w:t>
            </w:r>
            <w:r w:rsidR="002E0A56" w:rsidRPr="00F52F22">
              <w:rPr>
                <w:rFonts w:ascii="Arial" w:hAnsi="Arial" w:cs="Arial"/>
                <w:color w:val="000000"/>
                <w:vertAlign w:val="superscript"/>
              </w:rPr>
              <w:t xml:space="preserve"> </w:t>
            </w:r>
            <w:r w:rsidRPr="00E07254">
              <w:rPr>
                <w:rFonts w:ascii="Arial" w:hAnsi="Arial" w:cs="Arial"/>
              </w:rPr>
              <w:t xml:space="preserve"> should</w:t>
            </w:r>
            <w:proofErr w:type="gramEnd"/>
            <w:r w:rsidRPr="00E07254">
              <w:rPr>
                <w:rFonts w:ascii="Arial" w:hAnsi="Arial" w:cs="Arial"/>
              </w:rPr>
              <w:t xml:space="preserve"> be treated as equivalent (‘a’ flagged) with t</w:t>
            </w:r>
            <w:r w:rsidR="00D16BA6">
              <w:rPr>
                <w:rFonts w:ascii="Arial" w:hAnsi="Arial" w:cs="Arial"/>
              </w:rPr>
              <w:t>he other brands of enoxaparin</w:t>
            </w:r>
            <w:r w:rsidR="003D33C7" w:rsidRPr="00E07254">
              <w:rPr>
                <w:rFonts w:ascii="Arial" w:hAnsi="Arial" w:cs="Arial"/>
              </w:rPr>
              <w:t xml:space="preserve"> in the Schedule of Pharmaceutical Benefits</w:t>
            </w:r>
            <w:r w:rsidR="00D16BA6">
              <w:rPr>
                <w:rFonts w:ascii="Arial" w:hAnsi="Arial" w:cs="Arial"/>
              </w:rPr>
              <w:t>.</w:t>
            </w:r>
            <w:r w:rsidR="00D16BA6">
              <w:rPr>
                <w:rFonts w:ascii="Arial" w:hAnsi="Arial" w:cs="Arial"/>
              </w:rPr>
              <w:br/>
            </w:r>
            <w:r w:rsidR="00D16BA6">
              <w:rPr>
                <w:rFonts w:ascii="Arial" w:hAnsi="Arial" w:cs="Arial"/>
              </w:rPr>
              <w:br/>
            </w:r>
            <w:r w:rsidRPr="00E07254">
              <w:rPr>
                <w:rFonts w:ascii="Arial" w:hAnsi="Arial" w:cs="Arial"/>
              </w:rPr>
              <w:t>The PBAC recommended the addition of an administrative note to encourage the uptake of biosimilar prescribing for treatment naïve patients, in accordance with the Australian Government’s Biosimilar Uptake Driver policy</w:t>
            </w:r>
            <w:r>
              <w:rPr>
                <w:rFonts w:ascii="Arial" w:hAnsi="Arial" w:cs="Arial"/>
              </w:rPr>
              <w:t>.</w:t>
            </w:r>
          </w:p>
        </w:tc>
      </w:tr>
      <w:tr w:rsidR="005A063B" w:rsidRPr="006B5404" w14:paraId="07890EDC" w14:textId="77777777" w:rsidTr="00891EAA">
        <w:trPr>
          <w:cantSplit/>
          <w:trHeight w:val="430"/>
        </w:trPr>
        <w:tc>
          <w:tcPr>
            <w:tcW w:w="3681" w:type="dxa"/>
            <w:tcBorders>
              <w:top w:val="nil"/>
              <w:left w:val="single" w:sz="4" w:space="0" w:color="auto"/>
              <w:bottom w:val="single" w:sz="4" w:space="0" w:color="auto"/>
              <w:right w:val="single" w:sz="4" w:space="0" w:color="auto"/>
            </w:tcBorders>
            <w:shd w:val="clear" w:color="auto" w:fill="auto"/>
            <w:tcMar>
              <w:top w:w="28" w:type="dxa"/>
              <w:bottom w:w="28" w:type="dxa"/>
            </w:tcMar>
          </w:tcPr>
          <w:p w14:paraId="41B0B93A" w14:textId="37A50A66" w:rsidR="005A063B" w:rsidRPr="006B5404" w:rsidRDefault="005A063B" w:rsidP="005A063B">
            <w:pPr>
              <w:rPr>
                <w:rFonts w:ascii="Arial" w:hAnsi="Arial" w:cs="Arial"/>
              </w:rPr>
            </w:pPr>
            <w:r w:rsidRPr="006B5404">
              <w:rPr>
                <w:rFonts w:ascii="Arial" w:hAnsi="Arial" w:cs="Arial"/>
                <w:color w:val="000000"/>
              </w:rPr>
              <w:lastRenderedPageBreak/>
              <w:t>FOSNETUPITANT (AS CHLORIDE HYDROCHLORIDE)/</w:t>
            </w:r>
            <w:r w:rsidR="00A9571A">
              <w:rPr>
                <w:rFonts w:ascii="Arial" w:hAnsi="Arial" w:cs="Arial"/>
                <w:color w:val="000000"/>
              </w:rPr>
              <w:t xml:space="preserve"> </w:t>
            </w:r>
            <w:r w:rsidRPr="006B5404">
              <w:rPr>
                <w:rFonts w:ascii="Arial" w:hAnsi="Arial" w:cs="Arial"/>
                <w:color w:val="000000"/>
              </w:rPr>
              <w:t>PALONOSETRON (AS HYDROCHLORIDE)</w:t>
            </w:r>
            <w:r w:rsidRPr="006B5404">
              <w:rPr>
                <w:rFonts w:ascii="Arial" w:hAnsi="Arial" w:cs="Arial"/>
                <w:color w:val="000000"/>
              </w:rPr>
              <w:br/>
            </w:r>
            <w:r w:rsidRPr="006B5404">
              <w:rPr>
                <w:rFonts w:ascii="Arial" w:hAnsi="Arial" w:cs="Arial"/>
                <w:color w:val="000000"/>
              </w:rPr>
              <w:br/>
              <w:t xml:space="preserve">Powder for Injection containing </w:t>
            </w:r>
            <w:proofErr w:type="spellStart"/>
            <w:r w:rsidRPr="006B5404">
              <w:rPr>
                <w:rFonts w:ascii="Arial" w:hAnsi="Arial" w:cs="Arial"/>
                <w:color w:val="000000"/>
              </w:rPr>
              <w:t>fosnetupitant</w:t>
            </w:r>
            <w:proofErr w:type="spellEnd"/>
            <w:r w:rsidRPr="006B5404">
              <w:rPr>
                <w:rFonts w:ascii="Arial" w:hAnsi="Arial" w:cs="Arial"/>
                <w:color w:val="000000"/>
              </w:rPr>
              <w:t xml:space="preserve"> 235 mg and </w:t>
            </w:r>
            <w:proofErr w:type="spellStart"/>
            <w:r w:rsidRPr="006B5404">
              <w:rPr>
                <w:rFonts w:ascii="Arial" w:hAnsi="Arial" w:cs="Arial"/>
                <w:color w:val="000000"/>
              </w:rPr>
              <w:t>pal</w:t>
            </w:r>
            <w:r>
              <w:rPr>
                <w:rFonts w:ascii="Arial" w:hAnsi="Arial" w:cs="Arial"/>
                <w:color w:val="000000"/>
              </w:rPr>
              <w:t>onosetron</w:t>
            </w:r>
            <w:proofErr w:type="spellEnd"/>
            <w:r>
              <w:rPr>
                <w:rFonts w:ascii="Arial" w:hAnsi="Arial" w:cs="Arial"/>
                <w:color w:val="000000"/>
              </w:rPr>
              <w:t xml:space="preserve"> 250 mg </w:t>
            </w:r>
            <w:r>
              <w:rPr>
                <w:rFonts w:ascii="Arial" w:hAnsi="Arial" w:cs="Arial"/>
                <w:color w:val="000000"/>
              </w:rPr>
              <w:br/>
            </w:r>
            <w:r>
              <w:rPr>
                <w:rFonts w:ascii="Arial" w:hAnsi="Arial" w:cs="Arial"/>
                <w:color w:val="000000"/>
              </w:rPr>
              <w:br/>
            </w:r>
            <w:proofErr w:type="spellStart"/>
            <w:r>
              <w:rPr>
                <w:rFonts w:ascii="Arial" w:hAnsi="Arial" w:cs="Arial"/>
                <w:color w:val="000000"/>
              </w:rPr>
              <w:t>Akynzeo</w:t>
            </w:r>
            <w:proofErr w:type="spellEnd"/>
            <w:r>
              <w:rPr>
                <w:rFonts w:ascii="Arial" w:hAnsi="Arial" w:cs="Arial"/>
                <w:color w:val="000000"/>
              </w:rPr>
              <w:t xml:space="preserve"> IV</w:t>
            </w:r>
            <w:r w:rsidR="00CD476C">
              <w:rPr>
                <w:rFonts w:ascii="Arial" w:hAnsi="Arial" w:cs="Arial"/>
                <w:color w:val="000000"/>
              </w:rPr>
              <w:t>®</w:t>
            </w:r>
            <w:r w:rsidRPr="006B5404">
              <w:rPr>
                <w:rFonts w:ascii="Arial" w:hAnsi="Arial" w:cs="Arial"/>
                <w:color w:val="000000"/>
              </w:rPr>
              <w:br/>
            </w:r>
            <w:r w:rsidRPr="006B5404">
              <w:rPr>
                <w:rFonts w:ascii="Arial" w:hAnsi="Arial" w:cs="Arial"/>
                <w:color w:val="000000"/>
              </w:rPr>
              <w:br/>
            </w:r>
            <w:proofErr w:type="spellStart"/>
            <w:r w:rsidRPr="006B5404">
              <w:rPr>
                <w:rFonts w:ascii="Arial" w:hAnsi="Arial" w:cs="Arial"/>
                <w:color w:val="000000"/>
              </w:rPr>
              <w:t>Mundipharma</w:t>
            </w:r>
            <w:proofErr w:type="spellEnd"/>
            <w:r w:rsidRPr="006B5404">
              <w:rPr>
                <w:rFonts w:ascii="Arial" w:hAnsi="Arial" w:cs="Arial"/>
                <w:color w:val="000000"/>
              </w:rPr>
              <w:t xml:space="preserve"> Pty Limited</w:t>
            </w:r>
            <w:r w:rsidRPr="006B5404">
              <w:rPr>
                <w:rFonts w:ascii="Arial" w:hAnsi="Arial" w:cs="Arial"/>
                <w:color w:val="000000"/>
              </w:rPr>
              <w:br/>
            </w:r>
            <w:r w:rsidRPr="006B5404">
              <w:rPr>
                <w:rFonts w:ascii="Arial" w:hAnsi="Arial" w:cs="Arial"/>
                <w:color w:val="000000"/>
              </w:rPr>
              <w:br/>
              <w:t>New listing</w:t>
            </w:r>
            <w:r w:rsidRPr="006B5404">
              <w:rPr>
                <w:rFonts w:ascii="Arial" w:hAnsi="Arial" w:cs="Arial"/>
                <w:color w:val="000000"/>
              </w:rPr>
              <w:br/>
              <w:t>(Minor Submission)</w:t>
            </w:r>
          </w:p>
        </w:tc>
        <w:tc>
          <w:tcPr>
            <w:tcW w:w="2401" w:type="dxa"/>
            <w:tcBorders>
              <w:top w:val="nil"/>
              <w:left w:val="nil"/>
              <w:bottom w:val="single" w:sz="4" w:space="0" w:color="auto"/>
              <w:right w:val="single" w:sz="4" w:space="0" w:color="auto"/>
            </w:tcBorders>
            <w:shd w:val="clear" w:color="auto" w:fill="auto"/>
            <w:tcMar>
              <w:top w:w="28" w:type="dxa"/>
              <w:bottom w:w="28" w:type="dxa"/>
            </w:tcMar>
          </w:tcPr>
          <w:p w14:paraId="33BEC0D0" w14:textId="73742ABB" w:rsidR="005A063B" w:rsidRPr="006B5404" w:rsidRDefault="005A063B" w:rsidP="005A063B">
            <w:pPr>
              <w:rPr>
                <w:rFonts w:ascii="Arial" w:hAnsi="Arial" w:cs="Arial"/>
              </w:rPr>
            </w:pPr>
            <w:r w:rsidRPr="006B5404">
              <w:rPr>
                <w:rFonts w:ascii="Arial" w:hAnsi="Arial" w:cs="Arial"/>
                <w:color w:val="000000"/>
              </w:rPr>
              <w:t>Nausea and vomiting</w:t>
            </w:r>
          </w:p>
        </w:tc>
        <w:tc>
          <w:tcPr>
            <w:tcW w:w="2702" w:type="dxa"/>
            <w:tcBorders>
              <w:top w:val="nil"/>
              <w:left w:val="nil"/>
              <w:bottom w:val="single" w:sz="4" w:space="0" w:color="auto"/>
              <w:right w:val="single" w:sz="4" w:space="0" w:color="auto"/>
            </w:tcBorders>
            <w:shd w:val="clear" w:color="auto" w:fill="auto"/>
            <w:tcMar>
              <w:top w:w="28" w:type="dxa"/>
              <w:bottom w:w="28" w:type="dxa"/>
            </w:tcMar>
          </w:tcPr>
          <w:p w14:paraId="37F7A93B" w14:textId="11962BF9" w:rsidR="005A063B" w:rsidRPr="006B5404" w:rsidRDefault="00563854" w:rsidP="005A063B">
            <w:pPr>
              <w:rPr>
                <w:rFonts w:ascii="Arial" w:hAnsi="Arial" w:cs="Arial"/>
              </w:rPr>
            </w:pPr>
            <w:r w:rsidRPr="008F526E">
              <w:rPr>
                <w:rFonts w:ascii="Arial" w:hAnsi="Arial" w:cs="Arial"/>
                <w:color w:val="000000"/>
              </w:rPr>
              <w:t xml:space="preserve">To request </w:t>
            </w:r>
            <w:r>
              <w:rPr>
                <w:rFonts w:ascii="Arial" w:hAnsi="Arial" w:cs="Arial"/>
                <w:color w:val="000000"/>
              </w:rPr>
              <w:t xml:space="preserve">a </w:t>
            </w:r>
            <w:r w:rsidRPr="008F526E">
              <w:rPr>
                <w:rFonts w:ascii="Arial" w:hAnsi="Arial" w:cs="Arial"/>
                <w:color w:val="000000"/>
              </w:rPr>
              <w:t>Ge</w:t>
            </w:r>
            <w:r>
              <w:rPr>
                <w:rFonts w:ascii="Arial" w:hAnsi="Arial" w:cs="Arial"/>
                <w:color w:val="000000"/>
              </w:rPr>
              <w:t xml:space="preserve">neral Schedule and Section 100 </w:t>
            </w:r>
            <w:r w:rsidRPr="008F526E">
              <w:rPr>
                <w:rFonts w:ascii="Arial" w:hAnsi="Arial" w:cs="Arial"/>
                <w:color w:val="000000"/>
              </w:rPr>
              <w:t>Efficient Funding of Chemotherapy</w:t>
            </w:r>
            <w:r>
              <w:rPr>
                <w:rFonts w:ascii="Arial" w:hAnsi="Arial" w:cs="Arial"/>
                <w:color w:val="000000"/>
              </w:rPr>
              <w:t xml:space="preserve"> Authority Required (STREAMLINED)</w:t>
            </w:r>
            <w:r w:rsidRPr="008F526E">
              <w:rPr>
                <w:rFonts w:ascii="Arial" w:hAnsi="Arial" w:cs="Arial"/>
                <w:color w:val="000000"/>
              </w:rPr>
              <w:t xml:space="preserve"> listing of an IV form of </w:t>
            </w:r>
            <w:proofErr w:type="spellStart"/>
            <w:r w:rsidRPr="008F526E">
              <w:rPr>
                <w:rFonts w:ascii="Arial" w:hAnsi="Arial" w:cs="Arial"/>
                <w:color w:val="000000"/>
              </w:rPr>
              <w:t>fosnetupitant</w:t>
            </w:r>
            <w:proofErr w:type="spellEnd"/>
            <w:r w:rsidRPr="008F526E">
              <w:rPr>
                <w:rFonts w:ascii="Arial" w:hAnsi="Arial" w:cs="Arial"/>
                <w:color w:val="000000"/>
              </w:rPr>
              <w:t>/</w:t>
            </w:r>
            <w:proofErr w:type="spellStart"/>
            <w:r w:rsidRPr="008F526E">
              <w:rPr>
                <w:rFonts w:ascii="Arial" w:hAnsi="Arial" w:cs="Arial"/>
                <w:color w:val="000000"/>
              </w:rPr>
              <w:t>palonosetron</w:t>
            </w:r>
            <w:proofErr w:type="spellEnd"/>
            <w:r w:rsidRPr="008F526E">
              <w:rPr>
                <w:rFonts w:ascii="Arial" w:hAnsi="Arial" w:cs="Arial"/>
                <w:color w:val="000000"/>
              </w:rPr>
              <w:t xml:space="preserve"> under the same conditions as the capsule form.</w:t>
            </w:r>
          </w:p>
        </w:tc>
        <w:tc>
          <w:tcPr>
            <w:tcW w:w="6604" w:type="dxa"/>
            <w:tcBorders>
              <w:top w:val="single" w:sz="4" w:space="0" w:color="auto"/>
              <w:left w:val="single" w:sz="4" w:space="0" w:color="auto"/>
              <w:bottom w:val="single" w:sz="4" w:space="0" w:color="auto"/>
              <w:right w:val="single" w:sz="4" w:space="0" w:color="auto"/>
            </w:tcBorders>
          </w:tcPr>
          <w:p w14:paraId="49759BE4" w14:textId="2D1D43C0" w:rsidR="005A063B" w:rsidRPr="006B5404" w:rsidRDefault="005A063B" w:rsidP="005A063B">
            <w:pPr>
              <w:rPr>
                <w:rFonts w:ascii="Arial" w:hAnsi="Arial" w:cs="Arial"/>
                <w:color w:val="000000"/>
              </w:rPr>
            </w:pPr>
            <w:r w:rsidRPr="006B5404">
              <w:rPr>
                <w:rFonts w:ascii="Arial" w:hAnsi="Arial" w:cs="Arial"/>
                <w:color w:val="000000"/>
              </w:rPr>
              <w:t>The PBAC recommended</w:t>
            </w:r>
            <w:r w:rsidR="008253F7">
              <w:rPr>
                <w:rFonts w:ascii="Arial" w:hAnsi="Arial" w:cs="Arial"/>
                <w:color w:val="000000"/>
              </w:rPr>
              <w:t xml:space="preserve"> the listing of </w:t>
            </w:r>
            <w:proofErr w:type="spellStart"/>
            <w:r w:rsidRPr="006B5404">
              <w:rPr>
                <w:rFonts w:ascii="Arial" w:hAnsi="Arial" w:cs="Arial"/>
                <w:color w:val="000000"/>
              </w:rPr>
              <w:t>Akynzeo</w:t>
            </w:r>
            <w:proofErr w:type="spellEnd"/>
            <w:r w:rsidRPr="006B5404">
              <w:rPr>
                <w:rFonts w:ascii="Arial" w:hAnsi="Arial" w:cs="Arial"/>
                <w:color w:val="000000"/>
              </w:rPr>
              <w:t xml:space="preserve"> IV</w:t>
            </w:r>
            <w:r w:rsidR="00CD476C">
              <w:rPr>
                <w:rFonts w:ascii="Arial" w:hAnsi="Arial" w:cs="Arial"/>
                <w:color w:val="000000"/>
              </w:rPr>
              <w:t>®</w:t>
            </w:r>
            <w:r w:rsidR="008253F7">
              <w:rPr>
                <w:rFonts w:ascii="Arial" w:hAnsi="Arial" w:cs="Arial"/>
                <w:color w:val="000000"/>
              </w:rPr>
              <w:t xml:space="preserve"> </w:t>
            </w:r>
            <w:r w:rsidRPr="006B5404">
              <w:rPr>
                <w:rFonts w:ascii="Arial" w:hAnsi="Arial" w:cs="Arial"/>
                <w:color w:val="000000"/>
              </w:rPr>
              <w:t xml:space="preserve">under the same conditions as the currently PBS listed capsule form, </w:t>
            </w:r>
            <w:proofErr w:type="spellStart"/>
            <w:r w:rsidRPr="006B5404">
              <w:rPr>
                <w:rFonts w:ascii="Arial" w:hAnsi="Arial" w:cs="Arial"/>
                <w:color w:val="000000"/>
              </w:rPr>
              <w:t>netupitant</w:t>
            </w:r>
            <w:proofErr w:type="spellEnd"/>
            <w:r w:rsidRPr="006B5404">
              <w:rPr>
                <w:rFonts w:ascii="Arial" w:hAnsi="Arial" w:cs="Arial"/>
                <w:color w:val="000000"/>
              </w:rPr>
              <w:t xml:space="preserve"> 300 mg plus </w:t>
            </w:r>
            <w:proofErr w:type="spellStart"/>
            <w:r w:rsidRPr="006B5404">
              <w:rPr>
                <w:rFonts w:ascii="Arial" w:hAnsi="Arial" w:cs="Arial"/>
                <w:color w:val="000000"/>
              </w:rPr>
              <w:t>palonosetron</w:t>
            </w:r>
            <w:proofErr w:type="spellEnd"/>
            <w:r w:rsidRPr="006B5404">
              <w:rPr>
                <w:rFonts w:ascii="Arial" w:hAnsi="Arial" w:cs="Arial"/>
                <w:color w:val="000000"/>
              </w:rPr>
              <w:t xml:space="preserve"> 500 mcg capsule (</w:t>
            </w:r>
            <w:proofErr w:type="spellStart"/>
            <w:r w:rsidRPr="006B5404">
              <w:rPr>
                <w:rFonts w:ascii="Arial" w:hAnsi="Arial" w:cs="Arial"/>
                <w:color w:val="000000"/>
              </w:rPr>
              <w:t>Akynzeo</w:t>
            </w:r>
            <w:proofErr w:type="spellEnd"/>
            <w:r w:rsidR="00CD476C">
              <w:rPr>
                <w:rFonts w:ascii="Arial" w:hAnsi="Arial" w:cs="Arial"/>
                <w:color w:val="000000"/>
              </w:rPr>
              <w:t>®</w:t>
            </w:r>
            <w:r w:rsidRPr="006B5404">
              <w:rPr>
                <w:rFonts w:ascii="Arial" w:hAnsi="Arial" w:cs="Arial"/>
                <w:color w:val="000000"/>
              </w:rPr>
              <w:t xml:space="preserve">), </w:t>
            </w:r>
            <w:r w:rsidR="00891CA2">
              <w:rPr>
                <w:rFonts w:ascii="Arial" w:hAnsi="Arial" w:cs="Arial"/>
                <w:color w:val="000000"/>
              </w:rPr>
              <w:t xml:space="preserve">and </w:t>
            </w:r>
            <w:r w:rsidRPr="006B5404">
              <w:rPr>
                <w:rFonts w:ascii="Arial" w:hAnsi="Arial" w:cs="Arial"/>
                <w:color w:val="000000"/>
              </w:rPr>
              <w:t xml:space="preserve">on a cost-minimisation basis to the lowest cost combination of a neurokinin-1 receptor antagonist with a 5-hydroxytryptamine (serotonin) receptor antagonist. </w:t>
            </w:r>
          </w:p>
          <w:p w14:paraId="332402B8" w14:textId="127D799F" w:rsidR="005A063B" w:rsidRPr="006B5404" w:rsidRDefault="005A063B" w:rsidP="005A063B">
            <w:pPr>
              <w:widowControl w:val="0"/>
              <w:rPr>
                <w:rFonts w:ascii="Arial" w:hAnsi="Arial" w:cs="Arial"/>
              </w:rPr>
            </w:pPr>
          </w:p>
        </w:tc>
      </w:tr>
      <w:tr w:rsidR="005A063B" w:rsidRPr="006B5404" w14:paraId="1FA286EA" w14:textId="77777777" w:rsidTr="00891EAA">
        <w:trPr>
          <w:cantSplit/>
          <w:trHeight w:val="430"/>
        </w:trPr>
        <w:tc>
          <w:tcPr>
            <w:tcW w:w="3681" w:type="dxa"/>
            <w:tcBorders>
              <w:top w:val="nil"/>
              <w:left w:val="single" w:sz="4" w:space="0" w:color="auto"/>
              <w:bottom w:val="single" w:sz="4" w:space="0" w:color="auto"/>
              <w:right w:val="single" w:sz="4" w:space="0" w:color="auto"/>
            </w:tcBorders>
            <w:shd w:val="clear" w:color="auto" w:fill="auto"/>
            <w:tcMar>
              <w:top w:w="28" w:type="dxa"/>
              <w:bottom w:w="28" w:type="dxa"/>
            </w:tcMar>
          </w:tcPr>
          <w:p w14:paraId="0479419F" w14:textId="1BD267AF" w:rsidR="005A063B" w:rsidRPr="006B5404" w:rsidRDefault="005A063B" w:rsidP="005A063B">
            <w:pPr>
              <w:rPr>
                <w:rFonts w:ascii="Arial" w:hAnsi="Arial" w:cs="Arial"/>
              </w:rPr>
            </w:pPr>
            <w:r w:rsidRPr="006B5404">
              <w:rPr>
                <w:rFonts w:ascii="Arial" w:hAnsi="Arial" w:cs="Arial"/>
                <w:color w:val="000000"/>
              </w:rPr>
              <w:t>FULVESTRANT</w:t>
            </w:r>
            <w:r w:rsidRPr="006B5404">
              <w:rPr>
                <w:rFonts w:ascii="Arial" w:hAnsi="Arial" w:cs="Arial"/>
                <w:color w:val="000000"/>
              </w:rPr>
              <w:br/>
            </w:r>
            <w:r w:rsidRPr="006B5404">
              <w:rPr>
                <w:rFonts w:ascii="Arial" w:hAnsi="Arial" w:cs="Arial"/>
                <w:color w:val="000000"/>
              </w:rPr>
              <w:br/>
              <w:t>Injection 250 mg in 5 m</w:t>
            </w:r>
            <w:r>
              <w:rPr>
                <w:rFonts w:ascii="Arial" w:hAnsi="Arial" w:cs="Arial"/>
                <w:color w:val="000000"/>
              </w:rPr>
              <w:t>L pre-filled syringe</w:t>
            </w:r>
            <w:r>
              <w:rPr>
                <w:rFonts w:ascii="Arial" w:hAnsi="Arial" w:cs="Arial"/>
                <w:color w:val="000000"/>
              </w:rPr>
              <w:br/>
            </w:r>
            <w:r>
              <w:rPr>
                <w:rFonts w:ascii="Arial" w:hAnsi="Arial" w:cs="Arial"/>
                <w:color w:val="000000"/>
              </w:rPr>
              <w:br/>
            </w:r>
            <w:proofErr w:type="spellStart"/>
            <w:r>
              <w:rPr>
                <w:rFonts w:ascii="Arial" w:hAnsi="Arial" w:cs="Arial"/>
                <w:color w:val="000000"/>
              </w:rPr>
              <w:t>Faslodex</w:t>
            </w:r>
            <w:proofErr w:type="spellEnd"/>
            <w:r w:rsidR="00CD476C">
              <w:rPr>
                <w:rFonts w:ascii="Arial" w:hAnsi="Arial" w:cs="Arial"/>
                <w:color w:val="000000"/>
              </w:rPr>
              <w:t>®</w:t>
            </w:r>
            <w:r w:rsidRPr="006B5404">
              <w:rPr>
                <w:rFonts w:ascii="Arial" w:hAnsi="Arial" w:cs="Arial"/>
                <w:color w:val="000000"/>
              </w:rPr>
              <w:br/>
            </w:r>
            <w:r w:rsidRPr="006B5404">
              <w:rPr>
                <w:rFonts w:ascii="Arial" w:hAnsi="Arial" w:cs="Arial"/>
                <w:color w:val="000000"/>
              </w:rPr>
              <w:br/>
              <w:t>AstraZeneca Pty Ltd</w:t>
            </w:r>
            <w:r w:rsidRPr="006B5404">
              <w:rPr>
                <w:rFonts w:ascii="Arial" w:hAnsi="Arial" w:cs="Arial"/>
                <w:color w:val="000000"/>
              </w:rPr>
              <w:br/>
            </w:r>
            <w:r w:rsidRPr="006B5404">
              <w:rPr>
                <w:rFonts w:ascii="Arial" w:hAnsi="Arial" w:cs="Arial"/>
                <w:color w:val="000000"/>
              </w:rPr>
              <w:br/>
              <w:t>New listing</w:t>
            </w:r>
            <w:r w:rsidRPr="006B5404">
              <w:rPr>
                <w:rFonts w:ascii="Arial" w:hAnsi="Arial" w:cs="Arial"/>
                <w:color w:val="000000"/>
              </w:rPr>
              <w:br/>
              <w:t>(Major Submission)</w:t>
            </w:r>
          </w:p>
        </w:tc>
        <w:tc>
          <w:tcPr>
            <w:tcW w:w="2401" w:type="dxa"/>
            <w:tcBorders>
              <w:top w:val="nil"/>
              <w:left w:val="nil"/>
              <w:bottom w:val="single" w:sz="4" w:space="0" w:color="auto"/>
              <w:right w:val="single" w:sz="4" w:space="0" w:color="auto"/>
            </w:tcBorders>
            <w:shd w:val="clear" w:color="auto" w:fill="auto"/>
            <w:tcMar>
              <w:top w:w="28" w:type="dxa"/>
              <w:bottom w:w="28" w:type="dxa"/>
            </w:tcMar>
          </w:tcPr>
          <w:p w14:paraId="3AD711CE" w14:textId="6BAB9CC8" w:rsidR="005A063B" w:rsidRPr="006B5404" w:rsidRDefault="005A063B" w:rsidP="005A063B">
            <w:pPr>
              <w:rPr>
                <w:rFonts w:ascii="Arial" w:hAnsi="Arial" w:cs="Arial"/>
              </w:rPr>
            </w:pPr>
            <w:r w:rsidRPr="006B5404">
              <w:rPr>
                <w:rFonts w:ascii="Arial" w:hAnsi="Arial" w:cs="Arial"/>
                <w:color w:val="000000"/>
              </w:rPr>
              <w:t>Breast cancer</w:t>
            </w:r>
          </w:p>
        </w:tc>
        <w:tc>
          <w:tcPr>
            <w:tcW w:w="2702" w:type="dxa"/>
            <w:tcBorders>
              <w:top w:val="nil"/>
              <w:left w:val="nil"/>
              <w:bottom w:val="single" w:sz="4" w:space="0" w:color="auto"/>
              <w:right w:val="single" w:sz="4" w:space="0" w:color="auto"/>
            </w:tcBorders>
            <w:shd w:val="clear" w:color="auto" w:fill="auto"/>
            <w:tcMar>
              <w:top w:w="28" w:type="dxa"/>
              <w:bottom w:w="28" w:type="dxa"/>
            </w:tcMar>
          </w:tcPr>
          <w:p w14:paraId="482359A3" w14:textId="77777777" w:rsidR="00A9571A" w:rsidRDefault="008253F7" w:rsidP="005A063B">
            <w:pPr>
              <w:rPr>
                <w:rFonts w:ascii="Arial" w:hAnsi="Arial" w:cs="Arial"/>
                <w:color w:val="000000"/>
              </w:rPr>
            </w:pPr>
            <w:r>
              <w:rPr>
                <w:rFonts w:ascii="Arial" w:hAnsi="Arial" w:cs="Arial"/>
                <w:color w:val="000000"/>
              </w:rPr>
              <w:t xml:space="preserve">To request an Authority Required (STREAMLINED) listing for the treatment of patients with hormone receptor positive, human epidermal growth factor receptor-2 negative </w:t>
            </w:r>
          </w:p>
          <w:p w14:paraId="67D2E9A5" w14:textId="5F674D1A" w:rsidR="005A063B" w:rsidRPr="006B5404" w:rsidRDefault="008253F7" w:rsidP="005A063B">
            <w:pPr>
              <w:rPr>
                <w:rFonts w:ascii="Arial" w:hAnsi="Arial" w:cs="Arial"/>
              </w:rPr>
            </w:pPr>
            <w:r>
              <w:rPr>
                <w:rFonts w:ascii="Arial" w:hAnsi="Arial" w:cs="Arial"/>
                <w:color w:val="000000"/>
              </w:rPr>
              <w:t>(HER2) advanced breast cancer.</w:t>
            </w:r>
          </w:p>
        </w:tc>
        <w:tc>
          <w:tcPr>
            <w:tcW w:w="6604" w:type="dxa"/>
            <w:tcBorders>
              <w:top w:val="single" w:sz="4" w:space="0" w:color="auto"/>
              <w:left w:val="single" w:sz="4" w:space="0" w:color="auto"/>
              <w:bottom w:val="single" w:sz="4" w:space="0" w:color="auto"/>
              <w:right w:val="single" w:sz="4" w:space="0" w:color="auto"/>
            </w:tcBorders>
          </w:tcPr>
          <w:p w14:paraId="79B0D16C" w14:textId="007EFA5D" w:rsidR="005A063B" w:rsidRDefault="005A063B" w:rsidP="005A063B">
            <w:pPr>
              <w:rPr>
                <w:rFonts w:ascii="Arial" w:hAnsi="Arial" w:cs="Arial"/>
                <w:color w:val="000000"/>
              </w:rPr>
            </w:pPr>
            <w:r w:rsidRPr="006B5404">
              <w:rPr>
                <w:rFonts w:ascii="Arial" w:hAnsi="Arial" w:cs="Arial"/>
                <w:color w:val="000000"/>
              </w:rPr>
              <w:t>The PBAC recommended</w:t>
            </w:r>
            <w:r w:rsidR="008253F7">
              <w:rPr>
                <w:rFonts w:ascii="Arial" w:hAnsi="Arial" w:cs="Arial"/>
                <w:color w:val="000000"/>
              </w:rPr>
              <w:t xml:space="preserve"> the</w:t>
            </w:r>
            <w:r w:rsidRPr="006B5404">
              <w:rPr>
                <w:rFonts w:ascii="Arial" w:hAnsi="Arial" w:cs="Arial"/>
                <w:color w:val="000000"/>
              </w:rPr>
              <w:t xml:space="preserve"> listing of </w:t>
            </w:r>
            <w:proofErr w:type="spellStart"/>
            <w:r w:rsidRPr="006B5404">
              <w:rPr>
                <w:rFonts w:ascii="Arial" w:hAnsi="Arial" w:cs="Arial"/>
                <w:color w:val="000000"/>
              </w:rPr>
              <w:t>fulvestrant</w:t>
            </w:r>
            <w:proofErr w:type="spellEnd"/>
            <w:r w:rsidRPr="006B5404">
              <w:rPr>
                <w:rFonts w:ascii="Arial" w:hAnsi="Arial" w:cs="Arial"/>
                <w:color w:val="000000"/>
              </w:rPr>
              <w:t xml:space="preserve"> for the treatment of patients with </w:t>
            </w:r>
            <w:proofErr w:type="spellStart"/>
            <w:r w:rsidRPr="006B5404">
              <w:rPr>
                <w:rFonts w:ascii="Arial" w:hAnsi="Arial" w:cs="Arial"/>
                <w:color w:val="000000"/>
              </w:rPr>
              <w:t>unresectable</w:t>
            </w:r>
            <w:proofErr w:type="spellEnd"/>
            <w:r w:rsidRPr="006B5404">
              <w:rPr>
                <w:rFonts w:ascii="Arial" w:hAnsi="Arial" w:cs="Arial"/>
                <w:color w:val="000000"/>
              </w:rPr>
              <w:t xml:space="preserve"> advanced or metastatic breast cancer. Th</w:t>
            </w:r>
            <w:r w:rsidR="00CE2E56">
              <w:rPr>
                <w:rFonts w:ascii="Arial" w:hAnsi="Arial" w:cs="Arial"/>
                <w:color w:val="000000"/>
              </w:rPr>
              <w:t>e PBAC was satisfied that first-</w:t>
            </w:r>
            <w:r w:rsidRPr="006B5404">
              <w:rPr>
                <w:rFonts w:ascii="Arial" w:hAnsi="Arial" w:cs="Arial"/>
                <w:color w:val="000000"/>
              </w:rPr>
              <w:t xml:space="preserve">line treatment with </w:t>
            </w:r>
            <w:proofErr w:type="spellStart"/>
            <w:r w:rsidRPr="006B5404">
              <w:rPr>
                <w:rFonts w:ascii="Arial" w:hAnsi="Arial" w:cs="Arial"/>
                <w:color w:val="000000"/>
              </w:rPr>
              <w:t>fulvestrant</w:t>
            </w:r>
            <w:proofErr w:type="spellEnd"/>
            <w:r w:rsidRPr="006B5404">
              <w:rPr>
                <w:rFonts w:ascii="Arial" w:hAnsi="Arial" w:cs="Arial"/>
                <w:color w:val="000000"/>
              </w:rPr>
              <w:t xml:space="preserve"> provides, for some patients, an improvement in efficacy over non-steroidal aromatase inhibitors. The PBAC also considered, on balance, </w:t>
            </w:r>
            <w:r w:rsidR="00891CA2">
              <w:rPr>
                <w:rFonts w:ascii="Arial" w:hAnsi="Arial" w:cs="Arial"/>
                <w:color w:val="000000"/>
              </w:rPr>
              <w:t xml:space="preserve">that </w:t>
            </w:r>
            <w:proofErr w:type="spellStart"/>
            <w:r w:rsidRPr="006B5404">
              <w:rPr>
                <w:rFonts w:ascii="Arial" w:hAnsi="Arial" w:cs="Arial"/>
                <w:color w:val="000000"/>
              </w:rPr>
              <w:t>fulvestrant</w:t>
            </w:r>
            <w:proofErr w:type="spellEnd"/>
            <w:r w:rsidRPr="006B5404">
              <w:rPr>
                <w:rFonts w:ascii="Arial" w:hAnsi="Arial" w:cs="Arial"/>
                <w:color w:val="000000"/>
              </w:rPr>
              <w:t xml:space="preserve"> provides acceptable effectiveness and potentially increased safety and tolerability in subsequent lines of therapy. </w:t>
            </w:r>
          </w:p>
          <w:p w14:paraId="3D3D9854" w14:textId="77777777" w:rsidR="005A063B" w:rsidRDefault="005A063B" w:rsidP="005A063B">
            <w:pPr>
              <w:rPr>
                <w:rFonts w:ascii="Arial" w:hAnsi="Arial" w:cs="Arial"/>
                <w:color w:val="000000"/>
              </w:rPr>
            </w:pPr>
          </w:p>
          <w:p w14:paraId="7E420289" w14:textId="10A3D1E9" w:rsidR="005A063B" w:rsidRPr="006B5404" w:rsidRDefault="005A063B" w:rsidP="005A063B">
            <w:pPr>
              <w:rPr>
                <w:rFonts w:ascii="Arial" w:hAnsi="Arial" w:cs="Arial"/>
                <w:color w:val="000000"/>
              </w:rPr>
            </w:pPr>
            <w:r w:rsidRPr="006B5404">
              <w:rPr>
                <w:rFonts w:ascii="Arial" w:hAnsi="Arial" w:cs="Arial"/>
                <w:color w:val="000000"/>
              </w:rPr>
              <w:t>The PBAC considered that the</w:t>
            </w:r>
            <w:r w:rsidR="00CE2E56">
              <w:rPr>
                <w:rFonts w:ascii="Arial" w:hAnsi="Arial" w:cs="Arial"/>
                <w:color w:val="000000"/>
              </w:rPr>
              <w:t xml:space="preserve"> magnitude of benefit for first-</w:t>
            </w:r>
            <w:r w:rsidRPr="006B5404">
              <w:rPr>
                <w:rFonts w:ascii="Arial" w:hAnsi="Arial" w:cs="Arial"/>
                <w:color w:val="000000"/>
              </w:rPr>
              <w:t xml:space="preserve">line treatment with </w:t>
            </w:r>
            <w:proofErr w:type="spellStart"/>
            <w:r w:rsidRPr="006B5404">
              <w:rPr>
                <w:rFonts w:ascii="Arial" w:hAnsi="Arial" w:cs="Arial"/>
                <w:color w:val="000000"/>
              </w:rPr>
              <w:t>fulvestrant</w:t>
            </w:r>
            <w:proofErr w:type="spellEnd"/>
            <w:r w:rsidRPr="006B5404">
              <w:rPr>
                <w:rFonts w:ascii="Arial" w:hAnsi="Arial" w:cs="Arial"/>
                <w:color w:val="000000"/>
              </w:rPr>
              <w:t xml:space="preserve"> was uncertain due to limitations in the trial data and its applicability to the PBS population. This resulted in uncertainty in the </w:t>
            </w:r>
            <w:r w:rsidR="00A52844">
              <w:rPr>
                <w:rFonts w:ascii="Arial" w:hAnsi="Arial" w:cs="Arial"/>
                <w:color w:val="000000"/>
              </w:rPr>
              <w:t>incremental cost-</w:t>
            </w:r>
            <w:r w:rsidR="008253F7" w:rsidRPr="006B5404">
              <w:rPr>
                <w:rFonts w:ascii="Arial" w:hAnsi="Arial" w:cs="Arial"/>
                <w:color w:val="000000"/>
              </w:rPr>
              <w:t>effectiveness ratio</w:t>
            </w:r>
            <w:r w:rsidR="008253F7">
              <w:rPr>
                <w:rFonts w:ascii="Arial" w:hAnsi="Arial" w:cs="Arial"/>
                <w:color w:val="000000"/>
              </w:rPr>
              <w:t xml:space="preserve"> (ICER)</w:t>
            </w:r>
            <w:r w:rsidR="008253F7" w:rsidRPr="006B5404">
              <w:rPr>
                <w:rFonts w:ascii="Arial" w:hAnsi="Arial" w:cs="Arial"/>
                <w:color w:val="000000"/>
              </w:rPr>
              <w:t xml:space="preserve"> </w:t>
            </w:r>
            <w:r w:rsidRPr="006B5404">
              <w:rPr>
                <w:rFonts w:ascii="Arial" w:hAnsi="Arial" w:cs="Arial"/>
                <w:color w:val="000000"/>
              </w:rPr>
              <w:t xml:space="preserve">presented, which the PBAC considered could be addressed through a price reduction to achieve an acceptable ICER. The PBAC considered that a reduction in price for subsequent line use was also appropriate, given the high level of uncertainty in the clinical evidence presented. </w:t>
            </w:r>
          </w:p>
          <w:p w14:paraId="215A48AB" w14:textId="47A02A8C" w:rsidR="005A063B" w:rsidRPr="006B5404" w:rsidRDefault="005A063B" w:rsidP="005A063B">
            <w:pPr>
              <w:widowControl w:val="0"/>
              <w:rPr>
                <w:rFonts w:ascii="Arial" w:hAnsi="Arial" w:cs="Arial"/>
              </w:rPr>
            </w:pPr>
          </w:p>
        </w:tc>
      </w:tr>
      <w:tr w:rsidR="005A063B" w:rsidRPr="006B5404" w14:paraId="17909744" w14:textId="77777777" w:rsidTr="00891EAA">
        <w:trPr>
          <w:cantSplit/>
          <w:trHeight w:val="430"/>
        </w:trPr>
        <w:tc>
          <w:tcPr>
            <w:tcW w:w="3681" w:type="dxa"/>
            <w:tcBorders>
              <w:top w:val="nil"/>
              <w:left w:val="single" w:sz="4" w:space="0" w:color="auto"/>
              <w:bottom w:val="single" w:sz="4" w:space="0" w:color="auto"/>
              <w:right w:val="single" w:sz="4" w:space="0" w:color="auto"/>
            </w:tcBorders>
            <w:shd w:val="clear" w:color="auto" w:fill="auto"/>
            <w:tcMar>
              <w:top w:w="28" w:type="dxa"/>
              <w:bottom w:w="28" w:type="dxa"/>
            </w:tcMar>
          </w:tcPr>
          <w:p w14:paraId="762E2FD0" w14:textId="37A27601" w:rsidR="005A063B" w:rsidRPr="006B5404" w:rsidRDefault="005A063B" w:rsidP="005A063B">
            <w:pPr>
              <w:rPr>
                <w:rFonts w:ascii="Arial" w:hAnsi="Arial" w:cs="Arial"/>
              </w:rPr>
            </w:pPr>
            <w:r w:rsidRPr="006B5404">
              <w:rPr>
                <w:rFonts w:ascii="Arial" w:hAnsi="Arial" w:cs="Arial"/>
                <w:color w:val="000000"/>
              </w:rPr>
              <w:lastRenderedPageBreak/>
              <w:t>GLYCOMACROPEPTIDE AND ESSENTIAL AMINO ACIDS WITH VITAMINS AND MINERALS</w:t>
            </w:r>
            <w:r w:rsidRPr="006B5404">
              <w:rPr>
                <w:rFonts w:ascii="Arial" w:hAnsi="Arial" w:cs="Arial"/>
                <w:color w:val="000000"/>
              </w:rPr>
              <w:br/>
            </w:r>
            <w:r w:rsidRPr="006B5404">
              <w:rPr>
                <w:rFonts w:ascii="Arial" w:hAnsi="Arial" w:cs="Arial"/>
                <w:color w:val="000000"/>
              </w:rPr>
              <w:br/>
              <w:t xml:space="preserve">Sachets containing oral powder 31 </w:t>
            </w:r>
            <w:r>
              <w:rPr>
                <w:rFonts w:ascii="Arial" w:hAnsi="Arial" w:cs="Arial"/>
                <w:color w:val="000000"/>
              </w:rPr>
              <w:t>g, 30</w:t>
            </w:r>
            <w:r>
              <w:rPr>
                <w:rFonts w:ascii="Arial" w:hAnsi="Arial" w:cs="Arial"/>
                <w:color w:val="000000"/>
              </w:rPr>
              <w:br/>
            </w:r>
            <w:r>
              <w:rPr>
                <w:rFonts w:ascii="Arial" w:hAnsi="Arial" w:cs="Arial"/>
                <w:color w:val="000000"/>
              </w:rPr>
              <w:br/>
            </w:r>
            <w:proofErr w:type="spellStart"/>
            <w:r>
              <w:rPr>
                <w:rFonts w:ascii="Arial" w:hAnsi="Arial" w:cs="Arial"/>
                <w:color w:val="000000"/>
              </w:rPr>
              <w:t>Tylactin</w:t>
            </w:r>
            <w:proofErr w:type="spellEnd"/>
            <w:r>
              <w:rPr>
                <w:rFonts w:ascii="Arial" w:hAnsi="Arial" w:cs="Arial"/>
                <w:color w:val="000000"/>
              </w:rPr>
              <w:t xml:space="preserve"> Build 2</w:t>
            </w:r>
            <w:r w:rsidR="00891CA2">
              <w:rPr>
                <w:rFonts w:ascii="Arial" w:hAnsi="Arial" w:cs="Arial"/>
                <w:color w:val="000000"/>
              </w:rPr>
              <w:t>0®</w:t>
            </w:r>
            <w:r w:rsidRPr="006B5404">
              <w:rPr>
                <w:rFonts w:ascii="Arial" w:hAnsi="Arial" w:cs="Arial"/>
                <w:color w:val="000000"/>
              </w:rPr>
              <w:br/>
            </w:r>
            <w:r w:rsidRPr="006B5404">
              <w:rPr>
                <w:rFonts w:ascii="Arial" w:hAnsi="Arial" w:cs="Arial"/>
                <w:color w:val="000000"/>
              </w:rPr>
              <w:br/>
              <w:t>Cortex Health Pty Ltd</w:t>
            </w:r>
            <w:r w:rsidRPr="006B5404">
              <w:rPr>
                <w:rFonts w:ascii="Arial" w:hAnsi="Arial" w:cs="Arial"/>
                <w:color w:val="000000"/>
              </w:rPr>
              <w:br/>
            </w:r>
            <w:r w:rsidRPr="006B5404">
              <w:rPr>
                <w:rFonts w:ascii="Arial" w:hAnsi="Arial" w:cs="Arial"/>
                <w:color w:val="000000"/>
              </w:rPr>
              <w:br/>
              <w:t>New listing</w:t>
            </w:r>
            <w:r w:rsidRPr="006B5404">
              <w:rPr>
                <w:rFonts w:ascii="Arial" w:hAnsi="Arial" w:cs="Arial"/>
                <w:color w:val="000000"/>
              </w:rPr>
              <w:br/>
              <w:t>(Minor Submission)</w:t>
            </w:r>
          </w:p>
        </w:tc>
        <w:tc>
          <w:tcPr>
            <w:tcW w:w="2401" w:type="dxa"/>
            <w:tcBorders>
              <w:top w:val="nil"/>
              <w:left w:val="nil"/>
              <w:bottom w:val="single" w:sz="4" w:space="0" w:color="auto"/>
              <w:right w:val="single" w:sz="4" w:space="0" w:color="auto"/>
            </w:tcBorders>
            <w:shd w:val="clear" w:color="auto" w:fill="auto"/>
            <w:tcMar>
              <w:top w:w="28" w:type="dxa"/>
              <w:bottom w:w="28" w:type="dxa"/>
            </w:tcMar>
          </w:tcPr>
          <w:p w14:paraId="64ED2ECE" w14:textId="2362F3D9" w:rsidR="005A063B" w:rsidRPr="006B5404" w:rsidRDefault="005A063B" w:rsidP="005A063B">
            <w:pPr>
              <w:rPr>
                <w:rFonts w:ascii="Arial" w:hAnsi="Arial" w:cs="Arial"/>
              </w:rPr>
            </w:pPr>
            <w:proofErr w:type="spellStart"/>
            <w:r w:rsidRPr="006B5404">
              <w:rPr>
                <w:rFonts w:ascii="Arial" w:hAnsi="Arial" w:cs="Arial"/>
                <w:color w:val="000000"/>
              </w:rPr>
              <w:t>Tyrosinaemia</w:t>
            </w:r>
            <w:proofErr w:type="spellEnd"/>
          </w:p>
        </w:tc>
        <w:tc>
          <w:tcPr>
            <w:tcW w:w="2702" w:type="dxa"/>
            <w:tcBorders>
              <w:top w:val="nil"/>
              <w:left w:val="nil"/>
              <w:bottom w:val="single" w:sz="4" w:space="0" w:color="auto"/>
              <w:right w:val="single" w:sz="4" w:space="0" w:color="auto"/>
            </w:tcBorders>
            <w:shd w:val="clear" w:color="auto" w:fill="auto"/>
            <w:tcMar>
              <w:top w:w="28" w:type="dxa"/>
              <w:bottom w:w="28" w:type="dxa"/>
            </w:tcMar>
          </w:tcPr>
          <w:p w14:paraId="7A297291" w14:textId="04442540" w:rsidR="005A063B" w:rsidRPr="006B5404" w:rsidRDefault="005A063B" w:rsidP="005A063B">
            <w:pPr>
              <w:rPr>
                <w:rFonts w:ascii="Arial" w:hAnsi="Arial" w:cs="Arial"/>
              </w:rPr>
            </w:pPr>
            <w:r w:rsidRPr="006B5404">
              <w:rPr>
                <w:rFonts w:ascii="Arial" w:hAnsi="Arial" w:cs="Arial"/>
                <w:color w:val="000000"/>
              </w:rPr>
              <w:t>To request a Restricted Benefit listing for the dietary</w:t>
            </w:r>
            <w:r w:rsidRPr="006B5404">
              <w:rPr>
                <w:rFonts w:ascii="Arial" w:hAnsi="Arial" w:cs="Arial"/>
                <w:color w:val="000000"/>
              </w:rPr>
              <w:br/>
              <w:t xml:space="preserve">management of patients with </w:t>
            </w:r>
            <w:proofErr w:type="spellStart"/>
            <w:r w:rsidRPr="006B5404">
              <w:rPr>
                <w:rFonts w:ascii="Arial" w:hAnsi="Arial" w:cs="Arial"/>
                <w:color w:val="000000"/>
              </w:rPr>
              <w:t>tyrosinaemia</w:t>
            </w:r>
            <w:proofErr w:type="spellEnd"/>
            <w:r w:rsidRPr="006B5404">
              <w:rPr>
                <w:rFonts w:ascii="Arial" w:hAnsi="Arial" w:cs="Arial"/>
                <w:color w:val="000000"/>
              </w:rPr>
              <w:t>.</w:t>
            </w:r>
          </w:p>
        </w:tc>
        <w:tc>
          <w:tcPr>
            <w:tcW w:w="6604" w:type="dxa"/>
            <w:tcBorders>
              <w:top w:val="single" w:sz="4" w:space="0" w:color="auto"/>
              <w:left w:val="single" w:sz="4" w:space="0" w:color="auto"/>
              <w:bottom w:val="single" w:sz="4" w:space="0" w:color="auto"/>
              <w:right w:val="single" w:sz="4" w:space="0" w:color="auto"/>
            </w:tcBorders>
          </w:tcPr>
          <w:p w14:paraId="4B05A99F" w14:textId="7CDB43BC" w:rsidR="005A063B" w:rsidRPr="006B5404" w:rsidRDefault="005A063B" w:rsidP="005A063B">
            <w:pPr>
              <w:rPr>
                <w:rFonts w:ascii="Arial" w:hAnsi="Arial" w:cs="Arial"/>
                <w:color w:val="000000"/>
              </w:rPr>
            </w:pPr>
            <w:r w:rsidRPr="006B5404">
              <w:rPr>
                <w:rFonts w:ascii="Arial" w:hAnsi="Arial" w:cs="Arial"/>
                <w:color w:val="000000"/>
              </w:rPr>
              <w:t xml:space="preserve">The PBAC recommended the listing of a new </w:t>
            </w:r>
            <w:proofErr w:type="spellStart"/>
            <w:r w:rsidRPr="006B5404">
              <w:rPr>
                <w:rFonts w:ascii="Arial" w:hAnsi="Arial" w:cs="Arial"/>
                <w:color w:val="000000"/>
              </w:rPr>
              <w:t>glycomacropeptide</w:t>
            </w:r>
            <w:proofErr w:type="spellEnd"/>
            <w:r w:rsidRPr="006B5404">
              <w:rPr>
                <w:rFonts w:ascii="Arial" w:hAnsi="Arial" w:cs="Arial"/>
                <w:color w:val="000000"/>
              </w:rPr>
              <w:t xml:space="preserve"> formula, </w:t>
            </w:r>
            <w:proofErr w:type="spellStart"/>
            <w:r w:rsidRPr="006B5404">
              <w:rPr>
                <w:rFonts w:ascii="Arial" w:hAnsi="Arial" w:cs="Arial"/>
                <w:color w:val="000000"/>
              </w:rPr>
              <w:t>Tylactin</w:t>
            </w:r>
            <w:proofErr w:type="spellEnd"/>
            <w:r w:rsidRPr="006B5404">
              <w:rPr>
                <w:rFonts w:ascii="Arial" w:hAnsi="Arial" w:cs="Arial"/>
                <w:color w:val="000000"/>
              </w:rPr>
              <w:t xml:space="preserve"> Build 2</w:t>
            </w:r>
            <w:r w:rsidR="00891CA2">
              <w:rPr>
                <w:rFonts w:ascii="Arial" w:hAnsi="Arial" w:cs="Arial"/>
                <w:color w:val="000000"/>
              </w:rPr>
              <w:t>0®</w:t>
            </w:r>
            <w:r w:rsidRPr="006B5404">
              <w:rPr>
                <w:rFonts w:ascii="Arial" w:hAnsi="Arial" w:cs="Arial"/>
                <w:color w:val="000000"/>
              </w:rPr>
              <w:t xml:space="preserve">, for the dietary management of </w:t>
            </w:r>
            <w:proofErr w:type="spellStart"/>
            <w:r w:rsidRPr="006B5404">
              <w:rPr>
                <w:rFonts w:ascii="Arial" w:hAnsi="Arial" w:cs="Arial"/>
                <w:color w:val="000000"/>
              </w:rPr>
              <w:t>tyrosinaemia</w:t>
            </w:r>
            <w:proofErr w:type="spellEnd"/>
            <w:r w:rsidR="004B349C">
              <w:rPr>
                <w:rFonts w:ascii="Arial" w:hAnsi="Arial" w:cs="Arial"/>
                <w:color w:val="000000"/>
              </w:rPr>
              <w:t xml:space="preserve"> on a cost-</w:t>
            </w:r>
            <w:r w:rsidRPr="006B5404">
              <w:rPr>
                <w:rFonts w:ascii="Arial" w:hAnsi="Arial" w:cs="Arial"/>
                <w:color w:val="000000"/>
              </w:rPr>
              <w:t>minimisation basis to the lowest cost alternative on the PBS for the same condition, at an equivalent cost per gram of protein equivalent.</w:t>
            </w:r>
          </w:p>
          <w:p w14:paraId="3172AE2C" w14:textId="3A2DC436" w:rsidR="005A063B" w:rsidRPr="006B5404" w:rsidRDefault="005A063B" w:rsidP="005A063B">
            <w:pPr>
              <w:widowControl w:val="0"/>
              <w:spacing w:after="120"/>
              <w:rPr>
                <w:rFonts w:ascii="Arial" w:hAnsi="Arial" w:cs="Arial"/>
              </w:rPr>
            </w:pPr>
          </w:p>
        </w:tc>
      </w:tr>
      <w:tr w:rsidR="005A063B" w:rsidRPr="006B5404" w14:paraId="6A73848A" w14:textId="77777777" w:rsidTr="00891EAA">
        <w:trPr>
          <w:cantSplit/>
          <w:trHeight w:val="430"/>
        </w:trPr>
        <w:tc>
          <w:tcPr>
            <w:tcW w:w="3681" w:type="dxa"/>
            <w:tcBorders>
              <w:top w:val="nil"/>
              <w:left w:val="single" w:sz="4" w:space="0" w:color="auto"/>
              <w:bottom w:val="single" w:sz="4" w:space="0" w:color="auto"/>
              <w:right w:val="single" w:sz="4" w:space="0" w:color="auto"/>
            </w:tcBorders>
            <w:shd w:val="clear" w:color="auto" w:fill="auto"/>
            <w:tcMar>
              <w:top w:w="28" w:type="dxa"/>
              <w:bottom w:w="28" w:type="dxa"/>
            </w:tcMar>
          </w:tcPr>
          <w:p w14:paraId="79399305" w14:textId="78694B91" w:rsidR="005A063B" w:rsidRPr="006B5404" w:rsidRDefault="005A063B" w:rsidP="005A063B">
            <w:pPr>
              <w:rPr>
                <w:rFonts w:ascii="Arial" w:hAnsi="Arial" w:cs="Arial"/>
              </w:rPr>
            </w:pPr>
            <w:r w:rsidRPr="006B5404">
              <w:rPr>
                <w:rFonts w:ascii="Arial" w:hAnsi="Arial" w:cs="Arial"/>
                <w:color w:val="000000"/>
              </w:rPr>
              <w:t>GUSELKUMAB</w:t>
            </w:r>
            <w:r w:rsidRPr="006B5404">
              <w:rPr>
                <w:rFonts w:ascii="Arial" w:hAnsi="Arial" w:cs="Arial"/>
                <w:color w:val="000000"/>
              </w:rPr>
              <w:br/>
            </w:r>
            <w:r w:rsidRPr="006B5404">
              <w:rPr>
                <w:rFonts w:ascii="Arial" w:hAnsi="Arial" w:cs="Arial"/>
                <w:color w:val="000000"/>
              </w:rPr>
              <w:br/>
              <w:t xml:space="preserve">Solution for injection 100 </w:t>
            </w:r>
            <w:r>
              <w:rPr>
                <w:rFonts w:ascii="Arial" w:hAnsi="Arial" w:cs="Arial"/>
                <w:color w:val="000000"/>
              </w:rPr>
              <w:t>mg in 1 mL pen device</w:t>
            </w:r>
            <w:r>
              <w:rPr>
                <w:rFonts w:ascii="Arial" w:hAnsi="Arial" w:cs="Arial"/>
                <w:color w:val="000000"/>
              </w:rPr>
              <w:br/>
            </w:r>
            <w:r>
              <w:rPr>
                <w:rFonts w:ascii="Arial" w:hAnsi="Arial" w:cs="Arial"/>
                <w:color w:val="000000"/>
              </w:rPr>
              <w:br/>
            </w:r>
            <w:proofErr w:type="spellStart"/>
            <w:r>
              <w:rPr>
                <w:rFonts w:ascii="Arial" w:hAnsi="Arial" w:cs="Arial"/>
                <w:color w:val="000000"/>
              </w:rPr>
              <w:t>Tremfy</w:t>
            </w:r>
            <w:r w:rsidR="00891CA2">
              <w:rPr>
                <w:rFonts w:ascii="Arial" w:hAnsi="Arial" w:cs="Arial"/>
                <w:color w:val="000000"/>
              </w:rPr>
              <w:t>a</w:t>
            </w:r>
            <w:proofErr w:type="spellEnd"/>
            <w:r w:rsidR="00891CA2">
              <w:rPr>
                <w:rFonts w:ascii="Arial" w:hAnsi="Arial" w:cs="Arial"/>
                <w:color w:val="000000"/>
              </w:rPr>
              <w:t>®</w:t>
            </w:r>
            <w:r w:rsidRPr="006B5404">
              <w:rPr>
                <w:rFonts w:ascii="Arial" w:hAnsi="Arial" w:cs="Arial"/>
                <w:color w:val="000000"/>
              </w:rPr>
              <w:br/>
            </w:r>
            <w:r w:rsidRPr="006B5404">
              <w:rPr>
                <w:rFonts w:ascii="Arial" w:hAnsi="Arial" w:cs="Arial"/>
                <w:color w:val="000000"/>
              </w:rPr>
              <w:br/>
            </w:r>
            <w:r w:rsidR="00891CA2">
              <w:rPr>
                <w:rFonts w:ascii="Arial" w:hAnsi="Arial" w:cs="Arial"/>
                <w:color w:val="000000"/>
              </w:rPr>
              <w:t>Janssen-</w:t>
            </w:r>
            <w:proofErr w:type="spellStart"/>
            <w:r w:rsidR="00891CA2">
              <w:rPr>
                <w:rFonts w:ascii="Arial" w:hAnsi="Arial" w:cs="Arial"/>
                <w:color w:val="000000"/>
              </w:rPr>
              <w:t>Cilag</w:t>
            </w:r>
            <w:proofErr w:type="spellEnd"/>
            <w:r w:rsidR="00891CA2">
              <w:rPr>
                <w:rFonts w:ascii="Arial" w:hAnsi="Arial" w:cs="Arial"/>
                <w:color w:val="000000"/>
              </w:rPr>
              <w:t xml:space="preserve"> Pty Ltd</w:t>
            </w:r>
            <w:r w:rsidRPr="006B5404">
              <w:rPr>
                <w:rFonts w:ascii="Arial" w:hAnsi="Arial" w:cs="Arial"/>
                <w:color w:val="000000"/>
              </w:rPr>
              <w:br/>
            </w:r>
            <w:r w:rsidRPr="006B5404">
              <w:rPr>
                <w:rFonts w:ascii="Arial" w:hAnsi="Arial" w:cs="Arial"/>
                <w:color w:val="000000"/>
              </w:rPr>
              <w:br/>
              <w:t>New listing</w:t>
            </w:r>
            <w:r w:rsidRPr="006B5404">
              <w:rPr>
                <w:rFonts w:ascii="Arial" w:hAnsi="Arial" w:cs="Arial"/>
                <w:color w:val="000000"/>
              </w:rPr>
              <w:br/>
            </w:r>
            <w:r w:rsidRPr="00E16F30">
              <w:rPr>
                <w:rFonts w:ascii="Arial" w:hAnsi="Arial" w:cs="Arial"/>
                <w:color w:val="000000"/>
              </w:rPr>
              <w:t>(Minor Submission)</w:t>
            </w:r>
          </w:p>
        </w:tc>
        <w:tc>
          <w:tcPr>
            <w:tcW w:w="2401" w:type="dxa"/>
            <w:tcBorders>
              <w:top w:val="nil"/>
              <w:left w:val="nil"/>
              <w:bottom w:val="single" w:sz="4" w:space="0" w:color="auto"/>
              <w:right w:val="single" w:sz="4" w:space="0" w:color="auto"/>
            </w:tcBorders>
            <w:shd w:val="clear" w:color="auto" w:fill="auto"/>
            <w:tcMar>
              <w:top w:w="28" w:type="dxa"/>
              <w:bottom w:w="28" w:type="dxa"/>
            </w:tcMar>
          </w:tcPr>
          <w:p w14:paraId="30CA1ABB" w14:textId="2A89DFCD" w:rsidR="005A063B" w:rsidRPr="006B5404" w:rsidRDefault="005A063B" w:rsidP="005A063B">
            <w:pPr>
              <w:rPr>
                <w:rFonts w:ascii="Arial" w:hAnsi="Arial" w:cs="Arial"/>
              </w:rPr>
            </w:pPr>
            <w:r w:rsidRPr="006B5404">
              <w:rPr>
                <w:rFonts w:ascii="Arial" w:hAnsi="Arial" w:cs="Arial"/>
                <w:color w:val="000000"/>
              </w:rPr>
              <w:t>Severe chronic plaque psoriasis</w:t>
            </w:r>
          </w:p>
        </w:tc>
        <w:tc>
          <w:tcPr>
            <w:tcW w:w="2702" w:type="dxa"/>
            <w:tcBorders>
              <w:top w:val="nil"/>
              <w:left w:val="nil"/>
              <w:bottom w:val="single" w:sz="4" w:space="0" w:color="auto"/>
              <w:right w:val="single" w:sz="4" w:space="0" w:color="auto"/>
            </w:tcBorders>
            <w:shd w:val="clear" w:color="auto" w:fill="auto"/>
            <w:tcMar>
              <w:top w:w="28" w:type="dxa"/>
              <w:bottom w:w="28" w:type="dxa"/>
            </w:tcMar>
          </w:tcPr>
          <w:p w14:paraId="547051C6" w14:textId="79563A3F" w:rsidR="005A063B" w:rsidRPr="006B5404" w:rsidRDefault="005A063B" w:rsidP="005A063B">
            <w:pPr>
              <w:rPr>
                <w:rFonts w:ascii="Arial" w:hAnsi="Arial" w:cs="Arial"/>
              </w:rPr>
            </w:pPr>
            <w:r w:rsidRPr="006B5404">
              <w:rPr>
                <w:rFonts w:ascii="Arial" w:hAnsi="Arial" w:cs="Arial"/>
                <w:color w:val="000000"/>
              </w:rPr>
              <w:t xml:space="preserve">To request the Authority Required (Written) PBS listing of a pre-filled pen presentation of </w:t>
            </w:r>
            <w:proofErr w:type="spellStart"/>
            <w:r w:rsidRPr="006B5404">
              <w:rPr>
                <w:rFonts w:ascii="Arial" w:hAnsi="Arial" w:cs="Arial"/>
                <w:color w:val="000000"/>
              </w:rPr>
              <w:t>guselkumab</w:t>
            </w:r>
            <w:proofErr w:type="spellEnd"/>
            <w:r w:rsidRPr="006B5404">
              <w:rPr>
                <w:rFonts w:ascii="Arial" w:hAnsi="Arial" w:cs="Arial"/>
                <w:color w:val="000000"/>
              </w:rPr>
              <w:t xml:space="preserve"> (</w:t>
            </w:r>
            <w:proofErr w:type="spellStart"/>
            <w:r w:rsidRPr="006B5404">
              <w:rPr>
                <w:rFonts w:ascii="Arial" w:hAnsi="Arial" w:cs="Arial"/>
                <w:color w:val="000000"/>
              </w:rPr>
              <w:t>T</w:t>
            </w:r>
            <w:r>
              <w:rPr>
                <w:rFonts w:ascii="Arial" w:hAnsi="Arial" w:cs="Arial"/>
                <w:color w:val="000000"/>
              </w:rPr>
              <w:t>remfy</w:t>
            </w:r>
            <w:r w:rsidR="00891CA2">
              <w:rPr>
                <w:rFonts w:ascii="Arial" w:hAnsi="Arial" w:cs="Arial"/>
                <w:color w:val="000000"/>
              </w:rPr>
              <w:t>a</w:t>
            </w:r>
            <w:proofErr w:type="spellEnd"/>
            <w:r w:rsidR="00891CA2">
              <w:rPr>
                <w:rFonts w:ascii="Arial" w:hAnsi="Arial" w:cs="Arial"/>
                <w:color w:val="000000"/>
              </w:rPr>
              <w:t>®</w:t>
            </w:r>
            <w:r w:rsidRPr="006B5404">
              <w:rPr>
                <w:rFonts w:ascii="Arial" w:hAnsi="Arial" w:cs="Arial"/>
                <w:color w:val="000000"/>
              </w:rPr>
              <w:t>) 100 mg under the same conditions as the existing pre-filled syringe presentation.</w:t>
            </w:r>
          </w:p>
        </w:tc>
        <w:tc>
          <w:tcPr>
            <w:tcW w:w="6604" w:type="dxa"/>
            <w:tcBorders>
              <w:top w:val="single" w:sz="4" w:space="0" w:color="auto"/>
              <w:left w:val="single" w:sz="4" w:space="0" w:color="auto"/>
              <w:bottom w:val="single" w:sz="4" w:space="0" w:color="auto"/>
              <w:right w:val="single" w:sz="4" w:space="0" w:color="auto"/>
            </w:tcBorders>
          </w:tcPr>
          <w:p w14:paraId="4781E157" w14:textId="77777777" w:rsidR="005A063B" w:rsidRPr="006B5404" w:rsidRDefault="005A063B" w:rsidP="005A063B">
            <w:pPr>
              <w:rPr>
                <w:rFonts w:ascii="Arial" w:hAnsi="Arial" w:cs="Arial"/>
                <w:color w:val="000000"/>
              </w:rPr>
            </w:pPr>
            <w:r w:rsidRPr="006B5404">
              <w:rPr>
                <w:rFonts w:ascii="Arial" w:hAnsi="Arial" w:cs="Arial"/>
                <w:color w:val="000000"/>
              </w:rPr>
              <w:t xml:space="preserve">The PBAC recommended the listing of a new form of </w:t>
            </w:r>
            <w:proofErr w:type="spellStart"/>
            <w:r w:rsidRPr="006B5404">
              <w:rPr>
                <w:rFonts w:ascii="Arial" w:hAnsi="Arial" w:cs="Arial"/>
                <w:color w:val="000000"/>
              </w:rPr>
              <w:t>guselkumab</w:t>
            </w:r>
            <w:proofErr w:type="spellEnd"/>
            <w:r w:rsidRPr="006B5404">
              <w:rPr>
                <w:rFonts w:ascii="Arial" w:hAnsi="Arial" w:cs="Arial"/>
                <w:color w:val="000000"/>
              </w:rPr>
              <w:t xml:space="preserve"> (pre-filled pen) 100 mg under the same arrangements as the currently listed </w:t>
            </w:r>
            <w:proofErr w:type="spellStart"/>
            <w:r w:rsidRPr="006B5404">
              <w:rPr>
                <w:rFonts w:ascii="Arial" w:hAnsi="Arial" w:cs="Arial"/>
                <w:color w:val="000000"/>
              </w:rPr>
              <w:t>guselkumab</w:t>
            </w:r>
            <w:proofErr w:type="spellEnd"/>
            <w:r w:rsidRPr="006B5404">
              <w:rPr>
                <w:rFonts w:ascii="Arial" w:hAnsi="Arial" w:cs="Arial"/>
                <w:color w:val="000000"/>
              </w:rPr>
              <w:t xml:space="preserve"> pre-filled syringe 100 mg. </w:t>
            </w:r>
          </w:p>
          <w:p w14:paraId="6F1DEF55" w14:textId="1EF4D6C7" w:rsidR="005A063B" w:rsidRPr="006B5404" w:rsidRDefault="005A063B" w:rsidP="005A063B">
            <w:pPr>
              <w:widowControl w:val="0"/>
              <w:spacing w:after="120"/>
              <w:rPr>
                <w:rFonts w:ascii="Arial" w:hAnsi="Arial" w:cs="Arial"/>
              </w:rPr>
            </w:pPr>
          </w:p>
        </w:tc>
      </w:tr>
      <w:tr w:rsidR="005A063B" w:rsidRPr="006B5404" w14:paraId="67612CAC" w14:textId="77777777" w:rsidTr="00891EAA">
        <w:trPr>
          <w:cantSplit/>
          <w:trHeight w:val="430"/>
        </w:trPr>
        <w:tc>
          <w:tcPr>
            <w:tcW w:w="3681" w:type="dxa"/>
            <w:tcBorders>
              <w:top w:val="nil"/>
              <w:left w:val="single" w:sz="4" w:space="0" w:color="auto"/>
              <w:bottom w:val="single" w:sz="4" w:space="0" w:color="auto"/>
              <w:right w:val="single" w:sz="4" w:space="0" w:color="auto"/>
            </w:tcBorders>
            <w:shd w:val="clear" w:color="auto" w:fill="auto"/>
            <w:tcMar>
              <w:top w:w="28" w:type="dxa"/>
              <w:bottom w:w="28" w:type="dxa"/>
            </w:tcMar>
          </w:tcPr>
          <w:p w14:paraId="564353B8" w14:textId="74D7DC9E" w:rsidR="005A063B" w:rsidRPr="006B5404" w:rsidRDefault="005A063B" w:rsidP="00A9571A">
            <w:pPr>
              <w:rPr>
                <w:rFonts w:ascii="Arial" w:hAnsi="Arial" w:cs="Arial"/>
              </w:rPr>
            </w:pPr>
            <w:r w:rsidRPr="006B5404">
              <w:rPr>
                <w:rFonts w:ascii="Arial" w:hAnsi="Arial" w:cs="Arial"/>
                <w:color w:val="000000"/>
              </w:rPr>
              <w:lastRenderedPageBreak/>
              <w:t>INDACATEROL+ MOMETASONE</w:t>
            </w:r>
            <w:r w:rsidRPr="006B5404">
              <w:rPr>
                <w:rFonts w:ascii="Arial" w:hAnsi="Arial" w:cs="Arial"/>
                <w:color w:val="000000"/>
              </w:rPr>
              <w:br/>
            </w:r>
            <w:r w:rsidRPr="006B5404">
              <w:rPr>
                <w:rFonts w:ascii="Arial" w:hAnsi="Arial" w:cs="Arial"/>
                <w:color w:val="000000"/>
              </w:rPr>
              <w:br/>
              <w:t xml:space="preserve">Capsule containing powder for oral inhalation </w:t>
            </w:r>
            <w:proofErr w:type="spellStart"/>
            <w:r w:rsidRPr="006B5404">
              <w:rPr>
                <w:rFonts w:ascii="Arial" w:hAnsi="Arial" w:cs="Arial"/>
                <w:color w:val="000000"/>
              </w:rPr>
              <w:t>mometasone</w:t>
            </w:r>
            <w:proofErr w:type="spellEnd"/>
            <w:r w:rsidRPr="006B5404">
              <w:rPr>
                <w:rFonts w:ascii="Arial" w:hAnsi="Arial" w:cs="Arial"/>
                <w:color w:val="000000"/>
              </w:rPr>
              <w:t xml:space="preserve"> furoate 80</w:t>
            </w:r>
            <w:r w:rsidR="00A9571A">
              <w:rPr>
                <w:rFonts w:ascii="Arial" w:hAnsi="Arial" w:cs="Arial"/>
                <w:color w:val="000000"/>
              </w:rPr>
              <w:t> </w:t>
            </w:r>
            <w:r w:rsidRPr="006B5404">
              <w:rPr>
                <w:rFonts w:ascii="Arial" w:hAnsi="Arial" w:cs="Arial"/>
                <w:color w:val="000000"/>
              </w:rPr>
              <w:t xml:space="preserve">micrograms  with </w:t>
            </w:r>
            <w:proofErr w:type="spellStart"/>
            <w:r w:rsidRPr="006B5404">
              <w:rPr>
                <w:rFonts w:ascii="Arial" w:hAnsi="Arial" w:cs="Arial"/>
                <w:color w:val="000000"/>
              </w:rPr>
              <w:t>indacaterol</w:t>
            </w:r>
            <w:proofErr w:type="spellEnd"/>
            <w:r w:rsidRPr="006B5404">
              <w:rPr>
                <w:rFonts w:ascii="Arial" w:hAnsi="Arial" w:cs="Arial"/>
                <w:color w:val="000000"/>
              </w:rPr>
              <w:t xml:space="preserve"> 150</w:t>
            </w:r>
            <w:r w:rsidR="00A9571A">
              <w:rPr>
                <w:rFonts w:ascii="Arial" w:hAnsi="Arial" w:cs="Arial"/>
                <w:color w:val="000000"/>
              </w:rPr>
              <w:t> </w:t>
            </w:r>
            <w:r w:rsidRPr="006B5404">
              <w:rPr>
                <w:rFonts w:ascii="Arial" w:hAnsi="Arial" w:cs="Arial"/>
                <w:color w:val="000000"/>
              </w:rPr>
              <w:t xml:space="preserve">micrograms (as acetate) (for use in </w:t>
            </w:r>
            <w:proofErr w:type="spellStart"/>
            <w:r w:rsidRPr="006B5404">
              <w:rPr>
                <w:rFonts w:ascii="Arial" w:hAnsi="Arial" w:cs="Arial"/>
                <w:color w:val="000000"/>
              </w:rPr>
              <w:t>Breezhaler</w:t>
            </w:r>
            <w:proofErr w:type="spellEnd"/>
            <w:r w:rsidR="002E0A56">
              <w:rPr>
                <w:rFonts w:ascii="Arial" w:hAnsi="Arial" w:cs="Arial"/>
                <w:color w:val="000000"/>
              </w:rPr>
              <w:t>®</w:t>
            </w:r>
            <w:r w:rsidRPr="006B5404">
              <w:rPr>
                <w:rFonts w:ascii="Arial" w:hAnsi="Arial" w:cs="Arial"/>
                <w:color w:val="000000"/>
              </w:rPr>
              <w:t xml:space="preserve">) </w:t>
            </w:r>
            <w:r w:rsidRPr="006B5404">
              <w:rPr>
                <w:rFonts w:ascii="Arial" w:hAnsi="Arial" w:cs="Arial"/>
                <w:color w:val="000000"/>
              </w:rPr>
              <w:br/>
            </w:r>
            <w:r w:rsidRPr="006B5404">
              <w:rPr>
                <w:rFonts w:ascii="Arial" w:hAnsi="Arial" w:cs="Arial"/>
                <w:color w:val="000000"/>
              </w:rPr>
              <w:br/>
              <w:t xml:space="preserve">Capsule containing powder for oral inhalation </w:t>
            </w:r>
            <w:proofErr w:type="spellStart"/>
            <w:r w:rsidRPr="006B5404">
              <w:rPr>
                <w:rFonts w:ascii="Arial" w:hAnsi="Arial" w:cs="Arial"/>
                <w:color w:val="000000"/>
              </w:rPr>
              <w:t>mometasone</w:t>
            </w:r>
            <w:proofErr w:type="spellEnd"/>
            <w:r w:rsidRPr="006B5404">
              <w:rPr>
                <w:rFonts w:ascii="Arial" w:hAnsi="Arial" w:cs="Arial"/>
                <w:color w:val="000000"/>
              </w:rPr>
              <w:t xml:space="preserve"> furoate 160</w:t>
            </w:r>
            <w:r w:rsidR="00A9571A">
              <w:rPr>
                <w:rFonts w:ascii="Arial" w:hAnsi="Arial" w:cs="Arial"/>
                <w:color w:val="000000"/>
              </w:rPr>
              <w:t> </w:t>
            </w:r>
            <w:r w:rsidRPr="006B5404">
              <w:rPr>
                <w:rFonts w:ascii="Arial" w:hAnsi="Arial" w:cs="Arial"/>
                <w:color w:val="000000"/>
              </w:rPr>
              <w:t xml:space="preserve">micrograms with </w:t>
            </w:r>
            <w:proofErr w:type="spellStart"/>
            <w:r w:rsidRPr="006B5404">
              <w:rPr>
                <w:rFonts w:ascii="Arial" w:hAnsi="Arial" w:cs="Arial"/>
                <w:color w:val="000000"/>
              </w:rPr>
              <w:t>indacaterol</w:t>
            </w:r>
            <w:proofErr w:type="spellEnd"/>
            <w:r w:rsidRPr="006B5404">
              <w:rPr>
                <w:rFonts w:ascii="Arial" w:hAnsi="Arial" w:cs="Arial"/>
                <w:color w:val="000000"/>
              </w:rPr>
              <w:t xml:space="preserve"> 150</w:t>
            </w:r>
            <w:r w:rsidR="00A9571A">
              <w:rPr>
                <w:rFonts w:ascii="Arial" w:hAnsi="Arial" w:cs="Arial"/>
                <w:color w:val="000000"/>
              </w:rPr>
              <w:t> </w:t>
            </w:r>
            <w:r w:rsidRPr="006B5404">
              <w:rPr>
                <w:rFonts w:ascii="Arial" w:hAnsi="Arial" w:cs="Arial"/>
                <w:color w:val="000000"/>
              </w:rPr>
              <w:t xml:space="preserve">micrograms (as acetate) (for use in </w:t>
            </w:r>
            <w:proofErr w:type="spellStart"/>
            <w:r w:rsidRPr="006B5404">
              <w:rPr>
                <w:rFonts w:ascii="Arial" w:hAnsi="Arial" w:cs="Arial"/>
                <w:color w:val="000000"/>
              </w:rPr>
              <w:t>Breezhaler</w:t>
            </w:r>
            <w:proofErr w:type="spellEnd"/>
            <w:r w:rsidR="002E0A56">
              <w:rPr>
                <w:rFonts w:ascii="Arial" w:hAnsi="Arial" w:cs="Arial"/>
                <w:color w:val="000000"/>
              </w:rPr>
              <w:t>®</w:t>
            </w:r>
            <w:r w:rsidRPr="006B5404">
              <w:rPr>
                <w:rFonts w:ascii="Arial" w:hAnsi="Arial" w:cs="Arial"/>
                <w:color w:val="000000"/>
              </w:rPr>
              <w:t xml:space="preserve">) </w:t>
            </w:r>
            <w:r w:rsidRPr="006B5404">
              <w:rPr>
                <w:rFonts w:ascii="Arial" w:hAnsi="Arial" w:cs="Arial"/>
                <w:color w:val="000000"/>
              </w:rPr>
              <w:br/>
            </w:r>
            <w:r w:rsidRPr="006B5404">
              <w:rPr>
                <w:rFonts w:ascii="Arial" w:hAnsi="Arial" w:cs="Arial"/>
                <w:color w:val="000000"/>
              </w:rPr>
              <w:br/>
              <w:t xml:space="preserve">Capsule containing powder for oral inhalation </w:t>
            </w:r>
            <w:proofErr w:type="spellStart"/>
            <w:r w:rsidRPr="006B5404">
              <w:rPr>
                <w:rFonts w:ascii="Arial" w:hAnsi="Arial" w:cs="Arial"/>
                <w:color w:val="000000"/>
              </w:rPr>
              <w:t>mometasone</w:t>
            </w:r>
            <w:proofErr w:type="spellEnd"/>
            <w:r w:rsidRPr="006B5404">
              <w:rPr>
                <w:rFonts w:ascii="Arial" w:hAnsi="Arial" w:cs="Arial"/>
                <w:color w:val="000000"/>
              </w:rPr>
              <w:t xml:space="preserve"> furoate 320</w:t>
            </w:r>
            <w:r w:rsidR="00A9571A">
              <w:rPr>
                <w:rFonts w:ascii="Arial" w:hAnsi="Arial" w:cs="Arial"/>
                <w:color w:val="000000"/>
              </w:rPr>
              <w:t> </w:t>
            </w:r>
            <w:r w:rsidRPr="006B5404">
              <w:rPr>
                <w:rFonts w:ascii="Arial" w:hAnsi="Arial" w:cs="Arial"/>
                <w:color w:val="000000"/>
              </w:rPr>
              <w:t xml:space="preserve">micrograms with </w:t>
            </w:r>
            <w:proofErr w:type="spellStart"/>
            <w:r w:rsidRPr="006B5404">
              <w:rPr>
                <w:rFonts w:ascii="Arial" w:hAnsi="Arial" w:cs="Arial"/>
                <w:color w:val="000000"/>
              </w:rPr>
              <w:t>indacaterol</w:t>
            </w:r>
            <w:proofErr w:type="spellEnd"/>
            <w:r w:rsidRPr="006B5404">
              <w:rPr>
                <w:rFonts w:ascii="Arial" w:hAnsi="Arial" w:cs="Arial"/>
                <w:color w:val="000000"/>
              </w:rPr>
              <w:t xml:space="preserve"> 150</w:t>
            </w:r>
            <w:r w:rsidR="00A9571A">
              <w:rPr>
                <w:rFonts w:ascii="Arial" w:hAnsi="Arial" w:cs="Arial"/>
                <w:color w:val="000000"/>
              </w:rPr>
              <w:t> </w:t>
            </w:r>
            <w:r w:rsidRPr="006B5404">
              <w:rPr>
                <w:rFonts w:ascii="Arial" w:hAnsi="Arial" w:cs="Arial"/>
                <w:color w:val="000000"/>
              </w:rPr>
              <w:t xml:space="preserve">micrograms (as acetate) (for use in </w:t>
            </w:r>
            <w:proofErr w:type="spellStart"/>
            <w:r w:rsidRPr="006B5404">
              <w:rPr>
                <w:rFonts w:ascii="Arial" w:hAnsi="Arial" w:cs="Arial"/>
                <w:color w:val="000000"/>
              </w:rPr>
              <w:t>Br</w:t>
            </w:r>
            <w:r>
              <w:rPr>
                <w:rFonts w:ascii="Arial" w:hAnsi="Arial" w:cs="Arial"/>
                <w:color w:val="000000"/>
              </w:rPr>
              <w:t>eezhaler</w:t>
            </w:r>
            <w:proofErr w:type="spellEnd"/>
            <w:r w:rsidR="002E0A56">
              <w:rPr>
                <w:rFonts w:ascii="Arial" w:hAnsi="Arial" w:cs="Arial"/>
                <w:color w:val="000000"/>
              </w:rPr>
              <w:t>®</w:t>
            </w:r>
            <w:r>
              <w:rPr>
                <w:rFonts w:ascii="Arial" w:hAnsi="Arial" w:cs="Arial"/>
                <w:color w:val="000000"/>
              </w:rPr>
              <w:t>)</w:t>
            </w:r>
            <w:r>
              <w:rPr>
                <w:rFonts w:ascii="Arial" w:hAnsi="Arial" w:cs="Arial"/>
                <w:color w:val="000000"/>
              </w:rPr>
              <w:br/>
            </w:r>
            <w:r>
              <w:rPr>
                <w:rFonts w:ascii="Arial" w:hAnsi="Arial" w:cs="Arial"/>
                <w:color w:val="000000"/>
              </w:rPr>
              <w:br/>
            </w:r>
            <w:proofErr w:type="spellStart"/>
            <w:r>
              <w:rPr>
                <w:rFonts w:ascii="Arial" w:hAnsi="Arial" w:cs="Arial"/>
                <w:color w:val="000000"/>
              </w:rPr>
              <w:t>Atectura</w:t>
            </w:r>
            <w:proofErr w:type="spellEnd"/>
            <w:r>
              <w:rPr>
                <w:rFonts w:ascii="Arial" w:hAnsi="Arial" w:cs="Arial"/>
                <w:color w:val="000000"/>
              </w:rPr>
              <w:t xml:space="preserve"> </w:t>
            </w:r>
            <w:proofErr w:type="spellStart"/>
            <w:r>
              <w:rPr>
                <w:rFonts w:ascii="Arial" w:hAnsi="Arial" w:cs="Arial"/>
                <w:color w:val="000000"/>
              </w:rPr>
              <w:t>Breezhale</w:t>
            </w:r>
            <w:r w:rsidR="0021410F">
              <w:rPr>
                <w:rFonts w:ascii="Arial" w:hAnsi="Arial" w:cs="Arial"/>
                <w:color w:val="000000"/>
              </w:rPr>
              <w:t>r</w:t>
            </w:r>
            <w:proofErr w:type="spellEnd"/>
            <w:r w:rsidR="0021410F">
              <w:rPr>
                <w:rFonts w:ascii="Arial" w:hAnsi="Arial" w:cs="Arial"/>
                <w:color w:val="000000"/>
              </w:rPr>
              <w:t>®</w:t>
            </w:r>
            <w:r w:rsidRPr="006B5404">
              <w:rPr>
                <w:rFonts w:ascii="Arial" w:hAnsi="Arial" w:cs="Arial"/>
                <w:color w:val="000000"/>
              </w:rPr>
              <w:br/>
            </w:r>
            <w:r w:rsidRPr="006B5404">
              <w:rPr>
                <w:rFonts w:ascii="Arial" w:hAnsi="Arial" w:cs="Arial"/>
                <w:color w:val="000000"/>
              </w:rPr>
              <w:br/>
              <w:t>Novartis Pharmaceuticals Australia Pty Ltd</w:t>
            </w:r>
            <w:r w:rsidRPr="006B5404">
              <w:rPr>
                <w:rFonts w:ascii="Arial" w:hAnsi="Arial" w:cs="Arial"/>
                <w:color w:val="000000"/>
              </w:rPr>
              <w:br/>
            </w:r>
            <w:r w:rsidRPr="006B5404">
              <w:rPr>
                <w:rFonts w:ascii="Arial" w:hAnsi="Arial" w:cs="Arial"/>
                <w:color w:val="000000"/>
              </w:rPr>
              <w:br/>
              <w:t>New listing</w:t>
            </w:r>
            <w:r w:rsidRPr="006B5404">
              <w:rPr>
                <w:rFonts w:ascii="Arial" w:hAnsi="Arial" w:cs="Arial"/>
                <w:color w:val="000000"/>
              </w:rPr>
              <w:br/>
              <w:t>(Major Submission)</w:t>
            </w:r>
          </w:p>
        </w:tc>
        <w:tc>
          <w:tcPr>
            <w:tcW w:w="2401" w:type="dxa"/>
            <w:tcBorders>
              <w:top w:val="nil"/>
              <w:left w:val="nil"/>
              <w:bottom w:val="single" w:sz="4" w:space="0" w:color="auto"/>
              <w:right w:val="single" w:sz="4" w:space="0" w:color="auto"/>
            </w:tcBorders>
            <w:shd w:val="clear" w:color="auto" w:fill="auto"/>
            <w:tcMar>
              <w:top w:w="28" w:type="dxa"/>
              <w:bottom w:w="28" w:type="dxa"/>
            </w:tcMar>
          </w:tcPr>
          <w:p w14:paraId="6FEFA750" w14:textId="219C4C00" w:rsidR="005A063B" w:rsidRPr="006B5404" w:rsidRDefault="005A063B" w:rsidP="005A063B">
            <w:pPr>
              <w:rPr>
                <w:rFonts w:ascii="Arial" w:hAnsi="Arial" w:cs="Arial"/>
              </w:rPr>
            </w:pPr>
            <w:r w:rsidRPr="006B5404">
              <w:rPr>
                <w:rFonts w:ascii="Arial" w:hAnsi="Arial" w:cs="Arial"/>
                <w:color w:val="000000"/>
              </w:rPr>
              <w:t>Asthma</w:t>
            </w:r>
          </w:p>
        </w:tc>
        <w:tc>
          <w:tcPr>
            <w:tcW w:w="2702" w:type="dxa"/>
            <w:tcBorders>
              <w:top w:val="nil"/>
              <w:left w:val="nil"/>
              <w:bottom w:val="single" w:sz="4" w:space="0" w:color="auto"/>
              <w:right w:val="single" w:sz="4" w:space="0" w:color="auto"/>
            </w:tcBorders>
            <w:shd w:val="clear" w:color="auto" w:fill="auto"/>
            <w:tcMar>
              <w:top w:w="28" w:type="dxa"/>
              <w:bottom w:w="28" w:type="dxa"/>
            </w:tcMar>
          </w:tcPr>
          <w:p w14:paraId="57F2905D" w14:textId="041C5ADE" w:rsidR="005A063B" w:rsidRPr="006B5404" w:rsidRDefault="005A063B" w:rsidP="005A063B">
            <w:pPr>
              <w:rPr>
                <w:rFonts w:ascii="Arial" w:hAnsi="Arial" w:cs="Arial"/>
              </w:rPr>
            </w:pPr>
            <w:r w:rsidRPr="006B5404">
              <w:rPr>
                <w:rFonts w:ascii="Arial" w:hAnsi="Arial" w:cs="Arial"/>
                <w:color w:val="000000"/>
              </w:rPr>
              <w:t>To request an Authority Required (STREAMLINED) listing for the treatment of asthma.</w:t>
            </w:r>
          </w:p>
        </w:tc>
        <w:tc>
          <w:tcPr>
            <w:tcW w:w="6604" w:type="dxa"/>
            <w:tcBorders>
              <w:top w:val="single" w:sz="4" w:space="0" w:color="auto"/>
              <w:left w:val="single" w:sz="4" w:space="0" w:color="auto"/>
              <w:bottom w:val="single" w:sz="4" w:space="0" w:color="auto"/>
              <w:right w:val="single" w:sz="4" w:space="0" w:color="auto"/>
            </w:tcBorders>
          </w:tcPr>
          <w:p w14:paraId="5736AB94" w14:textId="16591E8E" w:rsidR="005A063B" w:rsidRPr="00D46CD0" w:rsidRDefault="005A063B" w:rsidP="00D46CD0">
            <w:pPr>
              <w:widowControl w:val="0"/>
              <w:spacing w:after="120"/>
              <w:rPr>
                <w:rFonts w:ascii="Arial" w:hAnsi="Arial" w:cs="Arial"/>
              </w:rPr>
            </w:pPr>
            <w:r w:rsidRPr="00E07254">
              <w:rPr>
                <w:rFonts w:ascii="Arial" w:hAnsi="Arial" w:cs="Arial"/>
              </w:rPr>
              <w:t xml:space="preserve">The PBAC recommended the listing of the fixed dose combination (FDC) of </w:t>
            </w:r>
            <w:proofErr w:type="spellStart"/>
            <w:r w:rsidRPr="00E07254">
              <w:rPr>
                <w:rFonts w:ascii="Arial" w:hAnsi="Arial" w:cs="Arial"/>
              </w:rPr>
              <w:t>mometasone</w:t>
            </w:r>
            <w:proofErr w:type="spellEnd"/>
            <w:r w:rsidRPr="00E07254">
              <w:rPr>
                <w:rFonts w:ascii="Arial" w:hAnsi="Arial" w:cs="Arial"/>
              </w:rPr>
              <w:t xml:space="preserve"> furoate (MF) with </w:t>
            </w:r>
            <w:proofErr w:type="spellStart"/>
            <w:r w:rsidRPr="00E07254">
              <w:rPr>
                <w:rFonts w:ascii="Arial" w:hAnsi="Arial" w:cs="Arial"/>
              </w:rPr>
              <w:t>indacaterol</w:t>
            </w:r>
            <w:proofErr w:type="spellEnd"/>
            <w:r w:rsidRPr="00E07254">
              <w:rPr>
                <w:rFonts w:ascii="Arial" w:hAnsi="Arial" w:cs="Arial"/>
              </w:rPr>
              <w:t xml:space="preserve"> (IND) for the maintenance</w:t>
            </w:r>
            <w:r w:rsidR="00D46CD0">
              <w:rPr>
                <w:rFonts w:ascii="Arial" w:hAnsi="Arial" w:cs="Arial"/>
              </w:rPr>
              <w:t xml:space="preserve"> treatment of asthma. The PBAC recommended listing on a cost-minimisation basis </w:t>
            </w:r>
            <w:r w:rsidR="004B349C">
              <w:rPr>
                <w:rFonts w:ascii="Arial" w:hAnsi="Arial" w:cs="Arial"/>
              </w:rPr>
              <w:t xml:space="preserve">compared </w:t>
            </w:r>
            <w:r w:rsidR="00D46CD0">
              <w:rPr>
                <w:rFonts w:ascii="Arial" w:hAnsi="Arial" w:cs="Arial"/>
              </w:rPr>
              <w:t xml:space="preserve">with the least costly </w:t>
            </w:r>
            <w:r>
              <w:rPr>
                <w:rFonts w:ascii="Arial" w:hAnsi="Arial" w:cs="Arial"/>
              </w:rPr>
              <w:t xml:space="preserve">PBS </w:t>
            </w:r>
            <w:r w:rsidRPr="00E07254">
              <w:rPr>
                <w:rFonts w:ascii="Arial" w:hAnsi="Arial" w:cs="Arial"/>
              </w:rPr>
              <w:t>listed inhaled corticosteroid with long-acting beta2 agonist FDC product at comparable doses for each MF/IND strength.</w:t>
            </w:r>
          </w:p>
        </w:tc>
      </w:tr>
      <w:tr w:rsidR="005A063B" w:rsidRPr="006B5404" w14:paraId="4140EE73" w14:textId="77777777" w:rsidTr="00891EAA">
        <w:trPr>
          <w:cantSplit/>
          <w:trHeight w:val="430"/>
        </w:trPr>
        <w:tc>
          <w:tcPr>
            <w:tcW w:w="3681" w:type="dxa"/>
            <w:tcBorders>
              <w:top w:val="nil"/>
              <w:left w:val="single" w:sz="4" w:space="0" w:color="auto"/>
              <w:bottom w:val="single" w:sz="4" w:space="0" w:color="auto"/>
              <w:right w:val="single" w:sz="4" w:space="0" w:color="auto"/>
            </w:tcBorders>
            <w:shd w:val="clear" w:color="auto" w:fill="auto"/>
            <w:tcMar>
              <w:top w:w="28" w:type="dxa"/>
              <w:bottom w:w="28" w:type="dxa"/>
            </w:tcMar>
          </w:tcPr>
          <w:p w14:paraId="19C97B45" w14:textId="47109E00" w:rsidR="005A063B" w:rsidRPr="006B5404" w:rsidRDefault="005A063B" w:rsidP="005A063B">
            <w:pPr>
              <w:rPr>
                <w:rFonts w:ascii="Arial" w:hAnsi="Arial" w:cs="Arial"/>
              </w:rPr>
            </w:pPr>
            <w:r w:rsidRPr="006B5404">
              <w:rPr>
                <w:rFonts w:ascii="Arial" w:hAnsi="Arial" w:cs="Arial"/>
                <w:color w:val="000000"/>
              </w:rPr>
              <w:t>IXEKIZUMAB</w:t>
            </w:r>
            <w:r w:rsidRPr="006B5404">
              <w:rPr>
                <w:rFonts w:ascii="Arial" w:hAnsi="Arial" w:cs="Arial"/>
                <w:color w:val="000000"/>
              </w:rPr>
              <w:br/>
            </w:r>
            <w:r w:rsidRPr="006B5404">
              <w:rPr>
                <w:rFonts w:ascii="Arial" w:hAnsi="Arial" w:cs="Arial"/>
                <w:color w:val="000000"/>
              </w:rPr>
              <w:br/>
              <w:t>Injection 80 mg in 1 mL sin</w:t>
            </w:r>
            <w:r>
              <w:rPr>
                <w:rFonts w:ascii="Arial" w:hAnsi="Arial" w:cs="Arial"/>
                <w:color w:val="000000"/>
              </w:rPr>
              <w:t>gle dose pre-filled pen</w:t>
            </w:r>
            <w:r>
              <w:rPr>
                <w:rFonts w:ascii="Arial" w:hAnsi="Arial" w:cs="Arial"/>
                <w:color w:val="000000"/>
              </w:rPr>
              <w:br/>
            </w:r>
            <w:r>
              <w:rPr>
                <w:rFonts w:ascii="Arial" w:hAnsi="Arial" w:cs="Arial"/>
                <w:color w:val="000000"/>
              </w:rPr>
              <w:br/>
            </w:r>
            <w:proofErr w:type="spellStart"/>
            <w:r>
              <w:rPr>
                <w:rFonts w:ascii="Arial" w:hAnsi="Arial" w:cs="Arial"/>
                <w:color w:val="000000"/>
              </w:rPr>
              <w:t>Talt</w:t>
            </w:r>
            <w:r w:rsidR="00C001F5">
              <w:rPr>
                <w:rFonts w:ascii="Arial" w:hAnsi="Arial" w:cs="Arial"/>
                <w:color w:val="000000"/>
              </w:rPr>
              <w:t>z</w:t>
            </w:r>
            <w:proofErr w:type="spellEnd"/>
            <w:r w:rsidR="00C001F5">
              <w:rPr>
                <w:rFonts w:ascii="Arial" w:hAnsi="Arial" w:cs="Arial"/>
                <w:color w:val="000000"/>
              </w:rPr>
              <w:t>®</w:t>
            </w:r>
            <w:r w:rsidRPr="006B5404">
              <w:rPr>
                <w:rFonts w:ascii="Arial" w:hAnsi="Arial" w:cs="Arial"/>
                <w:color w:val="000000"/>
              </w:rPr>
              <w:br/>
            </w:r>
            <w:r w:rsidRPr="006B5404">
              <w:rPr>
                <w:rFonts w:ascii="Arial" w:hAnsi="Arial" w:cs="Arial"/>
                <w:color w:val="000000"/>
              </w:rPr>
              <w:br/>
              <w:t xml:space="preserve">Eli Lilly Australia Pty Ltd </w:t>
            </w:r>
            <w:r w:rsidRPr="006B5404">
              <w:rPr>
                <w:rFonts w:ascii="Arial" w:hAnsi="Arial" w:cs="Arial"/>
                <w:color w:val="000000"/>
              </w:rPr>
              <w:br/>
            </w:r>
            <w:r w:rsidRPr="006B5404">
              <w:rPr>
                <w:rFonts w:ascii="Arial" w:hAnsi="Arial" w:cs="Arial"/>
                <w:color w:val="000000"/>
              </w:rPr>
              <w:br/>
              <w:t>Change to listing</w:t>
            </w:r>
            <w:r w:rsidRPr="006B5404">
              <w:rPr>
                <w:rFonts w:ascii="Arial" w:hAnsi="Arial" w:cs="Arial"/>
                <w:color w:val="000000"/>
              </w:rPr>
              <w:br/>
              <w:t>(Major Submission)</w:t>
            </w:r>
          </w:p>
        </w:tc>
        <w:tc>
          <w:tcPr>
            <w:tcW w:w="2401" w:type="dxa"/>
            <w:tcBorders>
              <w:top w:val="nil"/>
              <w:left w:val="nil"/>
              <w:bottom w:val="single" w:sz="4" w:space="0" w:color="auto"/>
              <w:right w:val="single" w:sz="4" w:space="0" w:color="auto"/>
            </w:tcBorders>
            <w:shd w:val="clear" w:color="auto" w:fill="auto"/>
            <w:tcMar>
              <w:top w:w="28" w:type="dxa"/>
              <w:bottom w:w="28" w:type="dxa"/>
            </w:tcMar>
          </w:tcPr>
          <w:p w14:paraId="618AB7BE" w14:textId="1E90E50C" w:rsidR="005A063B" w:rsidRPr="006B5404" w:rsidRDefault="005A063B" w:rsidP="005A063B">
            <w:pPr>
              <w:rPr>
                <w:rFonts w:ascii="Arial" w:hAnsi="Arial" w:cs="Arial"/>
              </w:rPr>
            </w:pPr>
            <w:r w:rsidRPr="006B5404">
              <w:rPr>
                <w:rFonts w:ascii="Arial" w:hAnsi="Arial" w:cs="Arial"/>
                <w:color w:val="000000"/>
              </w:rPr>
              <w:t>Ankylosing spondylitis</w:t>
            </w:r>
          </w:p>
        </w:tc>
        <w:tc>
          <w:tcPr>
            <w:tcW w:w="2702" w:type="dxa"/>
            <w:tcBorders>
              <w:top w:val="nil"/>
              <w:left w:val="nil"/>
              <w:bottom w:val="single" w:sz="4" w:space="0" w:color="auto"/>
              <w:right w:val="single" w:sz="4" w:space="0" w:color="auto"/>
            </w:tcBorders>
            <w:shd w:val="clear" w:color="auto" w:fill="auto"/>
            <w:tcMar>
              <w:top w:w="28" w:type="dxa"/>
              <w:bottom w:w="28" w:type="dxa"/>
            </w:tcMar>
          </w:tcPr>
          <w:p w14:paraId="21B7DE46" w14:textId="37AFB7CE" w:rsidR="005A063B" w:rsidRPr="006B5404" w:rsidRDefault="005A063B" w:rsidP="005A063B">
            <w:pPr>
              <w:rPr>
                <w:rFonts w:ascii="Arial" w:hAnsi="Arial" w:cs="Arial"/>
              </w:rPr>
            </w:pPr>
            <w:r w:rsidRPr="006B5404">
              <w:rPr>
                <w:rFonts w:ascii="Arial" w:hAnsi="Arial" w:cs="Arial"/>
                <w:color w:val="000000"/>
              </w:rPr>
              <w:t xml:space="preserve">To request an extension to the current Authority Required listing to include the treatment of patients with active ankylosing spondylitis.  </w:t>
            </w:r>
          </w:p>
        </w:tc>
        <w:tc>
          <w:tcPr>
            <w:tcW w:w="6604" w:type="dxa"/>
            <w:tcBorders>
              <w:top w:val="single" w:sz="4" w:space="0" w:color="auto"/>
              <w:left w:val="single" w:sz="4" w:space="0" w:color="auto"/>
              <w:bottom w:val="single" w:sz="4" w:space="0" w:color="auto"/>
              <w:right w:val="single" w:sz="4" w:space="0" w:color="auto"/>
            </w:tcBorders>
          </w:tcPr>
          <w:p w14:paraId="25D6ECA3" w14:textId="40E1A576" w:rsidR="005A063B" w:rsidRPr="006B5404" w:rsidRDefault="005A063B" w:rsidP="005A063B">
            <w:pPr>
              <w:widowControl w:val="0"/>
              <w:rPr>
                <w:rFonts w:ascii="Arial" w:hAnsi="Arial" w:cs="Arial"/>
              </w:rPr>
            </w:pPr>
            <w:r w:rsidRPr="00E07254">
              <w:rPr>
                <w:rFonts w:ascii="Arial" w:hAnsi="Arial" w:cs="Arial"/>
              </w:rPr>
              <w:t xml:space="preserve">The PBAC recommended the listing of </w:t>
            </w:r>
            <w:proofErr w:type="spellStart"/>
            <w:r w:rsidRPr="00E07254">
              <w:rPr>
                <w:rFonts w:ascii="Arial" w:hAnsi="Arial" w:cs="Arial"/>
              </w:rPr>
              <w:t>ixekizumab</w:t>
            </w:r>
            <w:proofErr w:type="spellEnd"/>
            <w:r w:rsidRPr="00E07254">
              <w:rPr>
                <w:rFonts w:ascii="Arial" w:hAnsi="Arial" w:cs="Arial"/>
              </w:rPr>
              <w:t xml:space="preserve"> on a cost-minimisation basis to the least costly biological medicine for ankylosing spondylitis.</w:t>
            </w:r>
          </w:p>
        </w:tc>
      </w:tr>
      <w:tr w:rsidR="00646CDE" w:rsidRPr="006B5404" w14:paraId="2620D890" w14:textId="77777777" w:rsidTr="00891EAA">
        <w:trPr>
          <w:cantSplit/>
          <w:trHeight w:val="430"/>
        </w:trPr>
        <w:tc>
          <w:tcPr>
            <w:tcW w:w="3681" w:type="dxa"/>
            <w:tcBorders>
              <w:top w:val="nil"/>
              <w:left w:val="single" w:sz="4" w:space="0" w:color="auto"/>
              <w:bottom w:val="single" w:sz="4" w:space="0" w:color="auto"/>
              <w:right w:val="single" w:sz="4" w:space="0" w:color="auto"/>
            </w:tcBorders>
            <w:shd w:val="clear" w:color="auto" w:fill="auto"/>
            <w:tcMar>
              <w:top w:w="28" w:type="dxa"/>
              <w:bottom w:w="28" w:type="dxa"/>
            </w:tcMar>
          </w:tcPr>
          <w:p w14:paraId="086D56F4" w14:textId="389DDBC8" w:rsidR="00646CDE" w:rsidRPr="006B5404" w:rsidRDefault="00646CDE" w:rsidP="00646CDE">
            <w:pPr>
              <w:rPr>
                <w:rFonts w:ascii="Arial" w:hAnsi="Arial" w:cs="Arial"/>
              </w:rPr>
            </w:pPr>
            <w:r w:rsidRPr="006B5404">
              <w:rPr>
                <w:rFonts w:ascii="Arial" w:hAnsi="Arial" w:cs="Arial"/>
                <w:color w:val="000000"/>
              </w:rPr>
              <w:lastRenderedPageBreak/>
              <w:t>MILK POWDER SYNTHETIC LOW CALCIUM</w:t>
            </w:r>
            <w:r w:rsidRPr="006B5404">
              <w:rPr>
                <w:rFonts w:ascii="Arial" w:hAnsi="Arial" w:cs="Arial"/>
                <w:color w:val="000000"/>
              </w:rPr>
              <w:br/>
            </w:r>
            <w:r w:rsidRPr="006B5404">
              <w:rPr>
                <w:rFonts w:ascii="Arial" w:hAnsi="Arial" w:cs="Arial"/>
                <w:color w:val="000000"/>
              </w:rPr>
              <w:br/>
              <w:t>Low calc</w:t>
            </w:r>
            <w:r>
              <w:rPr>
                <w:rFonts w:ascii="Arial" w:hAnsi="Arial" w:cs="Arial"/>
                <w:color w:val="000000"/>
              </w:rPr>
              <w:t>ium oral powder 400 g</w:t>
            </w:r>
            <w:r>
              <w:rPr>
                <w:rFonts w:ascii="Arial" w:hAnsi="Arial" w:cs="Arial"/>
                <w:color w:val="000000"/>
              </w:rPr>
              <w:br/>
            </w:r>
            <w:r>
              <w:rPr>
                <w:rFonts w:ascii="Arial" w:hAnsi="Arial" w:cs="Arial"/>
                <w:color w:val="000000"/>
              </w:rPr>
              <w:br/>
            </w:r>
            <w:proofErr w:type="spellStart"/>
            <w:r>
              <w:rPr>
                <w:rFonts w:ascii="Arial" w:hAnsi="Arial" w:cs="Arial"/>
                <w:color w:val="000000"/>
              </w:rPr>
              <w:t>Locasol</w:t>
            </w:r>
            <w:proofErr w:type="spellEnd"/>
            <w:r>
              <w:rPr>
                <w:rFonts w:ascii="Arial" w:hAnsi="Arial" w:cs="Arial"/>
                <w:color w:val="000000"/>
              </w:rPr>
              <w:t>®</w:t>
            </w:r>
            <w:r w:rsidRPr="006B5404">
              <w:rPr>
                <w:rFonts w:ascii="Arial" w:hAnsi="Arial" w:cs="Arial"/>
                <w:color w:val="000000"/>
              </w:rPr>
              <w:br/>
            </w:r>
            <w:r w:rsidRPr="006B5404">
              <w:rPr>
                <w:rFonts w:ascii="Arial" w:hAnsi="Arial" w:cs="Arial"/>
                <w:color w:val="000000"/>
              </w:rPr>
              <w:br/>
              <w:t>Nutricia Australia Pty Ltd</w:t>
            </w:r>
            <w:r w:rsidRPr="006B5404">
              <w:rPr>
                <w:rFonts w:ascii="Arial" w:hAnsi="Arial" w:cs="Arial"/>
                <w:color w:val="000000"/>
              </w:rPr>
              <w:br/>
            </w:r>
            <w:r w:rsidRPr="006B5404">
              <w:rPr>
                <w:rFonts w:ascii="Arial" w:hAnsi="Arial" w:cs="Arial"/>
                <w:color w:val="000000"/>
              </w:rPr>
              <w:br/>
              <w:t>Change to listing</w:t>
            </w:r>
            <w:r w:rsidRPr="006B5404">
              <w:rPr>
                <w:rFonts w:ascii="Arial" w:hAnsi="Arial" w:cs="Arial"/>
                <w:color w:val="000000"/>
              </w:rPr>
              <w:br/>
            </w:r>
            <w:r w:rsidRPr="00E16F30">
              <w:rPr>
                <w:rFonts w:ascii="Arial" w:hAnsi="Arial" w:cs="Arial"/>
                <w:color w:val="000000"/>
              </w:rPr>
              <w:t>(Minor Submission)</w:t>
            </w:r>
          </w:p>
        </w:tc>
        <w:tc>
          <w:tcPr>
            <w:tcW w:w="2401" w:type="dxa"/>
            <w:tcBorders>
              <w:top w:val="nil"/>
              <w:left w:val="nil"/>
              <w:bottom w:val="single" w:sz="4" w:space="0" w:color="auto"/>
              <w:right w:val="single" w:sz="4" w:space="0" w:color="auto"/>
            </w:tcBorders>
            <w:shd w:val="clear" w:color="auto" w:fill="auto"/>
            <w:tcMar>
              <w:top w:w="28" w:type="dxa"/>
              <w:bottom w:w="28" w:type="dxa"/>
            </w:tcMar>
          </w:tcPr>
          <w:p w14:paraId="65AD8317" w14:textId="7192DABA" w:rsidR="00646CDE" w:rsidRPr="006B5404" w:rsidRDefault="00646CDE" w:rsidP="00646CDE">
            <w:pPr>
              <w:rPr>
                <w:rFonts w:ascii="Arial" w:hAnsi="Arial" w:cs="Arial"/>
              </w:rPr>
            </w:pPr>
            <w:r w:rsidRPr="006B5404">
              <w:rPr>
                <w:rFonts w:ascii="Arial" w:hAnsi="Arial" w:cs="Arial"/>
                <w:color w:val="000000"/>
              </w:rPr>
              <w:t>Hypercalcaemia</w:t>
            </w:r>
          </w:p>
        </w:tc>
        <w:tc>
          <w:tcPr>
            <w:tcW w:w="2702" w:type="dxa"/>
            <w:tcBorders>
              <w:top w:val="nil"/>
              <w:left w:val="nil"/>
              <w:bottom w:val="single" w:sz="4" w:space="0" w:color="auto"/>
              <w:right w:val="single" w:sz="4" w:space="0" w:color="auto"/>
            </w:tcBorders>
            <w:shd w:val="clear" w:color="auto" w:fill="auto"/>
            <w:tcMar>
              <w:top w:w="28" w:type="dxa"/>
              <w:bottom w:w="28" w:type="dxa"/>
            </w:tcMar>
          </w:tcPr>
          <w:p w14:paraId="08153D03" w14:textId="34A58C26" w:rsidR="00646CDE" w:rsidRPr="006B5404" w:rsidRDefault="00646CDE" w:rsidP="00646CDE">
            <w:pPr>
              <w:spacing w:after="120"/>
              <w:rPr>
                <w:rFonts w:ascii="Arial" w:hAnsi="Arial" w:cs="Arial"/>
              </w:rPr>
            </w:pPr>
            <w:r>
              <w:rPr>
                <w:rFonts w:ascii="Arial" w:hAnsi="Arial" w:cs="Arial"/>
                <w:color w:val="000000"/>
              </w:rPr>
              <w:t xml:space="preserve">To request a formulation change of </w:t>
            </w:r>
            <w:proofErr w:type="spellStart"/>
            <w:r>
              <w:rPr>
                <w:rFonts w:ascii="Arial" w:hAnsi="Arial" w:cs="Arial"/>
                <w:color w:val="000000"/>
              </w:rPr>
              <w:t>Locasol</w:t>
            </w:r>
            <w:proofErr w:type="spellEnd"/>
            <w:r>
              <w:rPr>
                <w:rFonts w:ascii="Arial" w:hAnsi="Arial" w:cs="Arial"/>
                <w:color w:val="000000"/>
              </w:rPr>
              <w:t>® for the dietary management of hypercalcaemia.</w:t>
            </w:r>
          </w:p>
        </w:tc>
        <w:tc>
          <w:tcPr>
            <w:tcW w:w="6604" w:type="dxa"/>
            <w:tcBorders>
              <w:top w:val="single" w:sz="4" w:space="0" w:color="auto"/>
              <w:left w:val="single" w:sz="4" w:space="0" w:color="auto"/>
              <w:bottom w:val="single" w:sz="4" w:space="0" w:color="auto"/>
              <w:right w:val="single" w:sz="4" w:space="0" w:color="auto"/>
            </w:tcBorders>
          </w:tcPr>
          <w:p w14:paraId="6B408AFC" w14:textId="06F73C91" w:rsidR="00646CDE" w:rsidRPr="006B5404" w:rsidRDefault="00646CDE" w:rsidP="00387D87">
            <w:pPr>
              <w:widowControl w:val="0"/>
              <w:spacing w:after="120"/>
              <w:rPr>
                <w:rFonts w:ascii="Arial" w:hAnsi="Arial" w:cs="Arial"/>
              </w:rPr>
            </w:pPr>
            <w:r w:rsidRPr="00E07254">
              <w:rPr>
                <w:rFonts w:ascii="Arial" w:hAnsi="Arial" w:cs="Arial"/>
              </w:rPr>
              <w:t xml:space="preserve">The PBAC recommended continuing the listing of </w:t>
            </w:r>
            <w:proofErr w:type="spellStart"/>
            <w:r w:rsidRPr="00E07254">
              <w:rPr>
                <w:rFonts w:ascii="Arial" w:hAnsi="Arial" w:cs="Arial"/>
              </w:rPr>
              <w:t>Locaso</w:t>
            </w:r>
            <w:r w:rsidR="006F1C58">
              <w:rPr>
                <w:rFonts w:ascii="Arial" w:hAnsi="Arial" w:cs="Arial"/>
              </w:rPr>
              <w:t>l</w:t>
            </w:r>
            <w:proofErr w:type="spellEnd"/>
            <w:r w:rsidR="006F1C58">
              <w:rPr>
                <w:rFonts w:ascii="Arial" w:hAnsi="Arial" w:cs="Arial"/>
              </w:rPr>
              <w:t>®</w:t>
            </w:r>
            <w:r w:rsidR="00387D87">
              <w:rPr>
                <w:rFonts w:ascii="Arial" w:hAnsi="Arial" w:cs="Arial"/>
              </w:rPr>
              <w:t xml:space="preserve"> </w:t>
            </w:r>
            <w:r w:rsidRPr="00E07254">
              <w:rPr>
                <w:rFonts w:ascii="Arial" w:hAnsi="Arial" w:cs="Arial"/>
              </w:rPr>
              <w:t>for the dietary</w:t>
            </w:r>
            <w:r w:rsidR="006F1C58">
              <w:rPr>
                <w:rFonts w:ascii="Arial" w:hAnsi="Arial" w:cs="Arial"/>
              </w:rPr>
              <w:t xml:space="preserve"> management of hypercalcaemia for</w:t>
            </w:r>
            <w:r w:rsidRPr="00E07254">
              <w:rPr>
                <w:rFonts w:ascii="Arial" w:hAnsi="Arial" w:cs="Arial"/>
              </w:rPr>
              <w:t xml:space="preserve"> patients under the age of four years (inclusive), </w:t>
            </w:r>
            <w:r w:rsidR="00A9571A" w:rsidRPr="006B5404">
              <w:rPr>
                <w:rFonts w:ascii="Arial" w:hAnsi="Arial" w:cs="Arial"/>
                <w:color w:val="000000"/>
              </w:rPr>
              <w:t xml:space="preserve">following its </w:t>
            </w:r>
            <w:r w:rsidR="00A9571A">
              <w:rPr>
                <w:rFonts w:ascii="Arial" w:hAnsi="Arial" w:cs="Arial"/>
                <w:color w:val="000000"/>
              </w:rPr>
              <w:t>reformulation due to changes in</w:t>
            </w:r>
            <w:r w:rsidRPr="00E07254">
              <w:rPr>
                <w:rFonts w:ascii="Arial" w:hAnsi="Arial" w:cs="Arial"/>
              </w:rPr>
              <w:t xml:space="preserve"> European compositional standards.</w:t>
            </w:r>
          </w:p>
        </w:tc>
      </w:tr>
      <w:tr w:rsidR="00646CDE" w:rsidRPr="006B5404" w14:paraId="3493ECFA" w14:textId="77777777" w:rsidTr="00891EAA">
        <w:trPr>
          <w:cantSplit/>
          <w:trHeight w:val="430"/>
        </w:trPr>
        <w:tc>
          <w:tcPr>
            <w:tcW w:w="3681" w:type="dxa"/>
            <w:tcBorders>
              <w:top w:val="nil"/>
              <w:left w:val="single" w:sz="4" w:space="0" w:color="auto"/>
              <w:bottom w:val="single" w:sz="4" w:space="0" w:color="auto"/>
              <w:right w:val="single" w:sz="4" w:space="0" w:color="auto"/>
            </w:tcBorders>
            <w:shd w:val="clear" w:color="auto" w:fill="auto"/>
            <w:tcMar>
              <w:top w:w="28" w:type="dxa"/>
              <w:bottom w:w="28" w:type="dxa"/>
            </w:tcMar>
          </w:tcPr>
          <w:p w14:paraId="51A104E6" w14:textId="77777777" w:rsidR="00387D87" w:rsidRDefault="00387D87" w:rsidP="00646CDE">
            <w:pPr>
              <w:rPr>
                <w:rFonts w:ascii="Arial" w:hAnsi="Arial" w:cs="Arial"/>
                <w:color w:val="000000"/>
              </w:rPr>
            </w:pPr>
            <w:r>
              <w:rPr>
                <w:rFonts w:ascii="Arial" w:hAnsi="Arial" w:cs="Arial"/>
                <w:color w:val="000000"/>
              </w:rPr>
              <w:t>NUSINERSEN</w:t>
            </w:r>
            <w:r>
              <w:rPr>
                <w:rFonts w:ascii="Arial" w:hAnsi="Arial" w:cs="Arial"/>
                <w:color w:val="000000"/>
              </w:rPr>
              <w:br/>
            </w:r>
          </w:p>
          <w:p w14:paraId="1B5E0264" w14:textId="746BD7C2" w:rsidR="00646CDE" w:rsidRPr="006B5404" w:rsidRDefault="00646CDE" w:rsidP="00646CDE">
            <w:pPr>
              <w:rPr>
                <w:rFonts w:ascii="Arial" w:hAnsi="Arial" w:cs="Arial"/>
              </w:rPr>
            </w:pPr>
            <w:r w:rsidRPr="006B5404">
              <w:rPr>
                <w:rFonts w:ascii="Arial" w:hAnsi="Arial" w:cs="Arial"/>
                <w:color w:val="000000"/>
              </w:rPr>
              <w:t>Solution for inj</w:t>
            </w:r>
            <w:r>
              <w:rPr>
                <w:rFonts w:ascii="Arial" w:hAnsi="Arial" w:cs="Arial"/>
                <w:color w:val="000000"/>
              </w:rPr>
              <w:t>ection 12 mg in 5 mL</w:t>
            </w:r>
            <w:r>
              <w:rPr>
                <w:rFonts w:ascii="Arial" w:hAnsi="Arial" w:cs="Arial"/>
                <w:color w:val="000000"/>
              </w:rPr>
              <w:br/>
            </w:r>
            <w:r>
              <w:rPr>
                <w:rFonts w:ascii="Arial" w:hAnsi="Arial" w:cs="Arial"/>
                <w:color w:val="000000"/>
              </w:rPr>
              <w:br/>
            </w:r>
            <w:proofErr w:type="spellStart"/>
            <w:r>
              <w:rPr>
                <w:rFonts w:ascii="Arial" w:hAnsi="Arial" w:cs="Arial"/>
                <w:color w:val="000000"/>
              </w:rPr>
              <w:t>Spinraz</w:t>
            </w:r>
            <w:r w:rsidR="00E523B4">
              <w:rPr>
                <w:rFonts w:ascii="Arial" w:hAnsi="Arial" w:cs="Arial"/>
                <w:color w:val="000000"/>
              </w:rPr>
              <w:t>a</w:t>
            </w:r>
            <w:proofErr w:type="spellEnd"/>
            <w:r w:rsidR="00E523B4">
              <w:rPr>
                <w:rFonts w:ascii="Arial" w:hAnsi="Arial" w:cs="Arial"/>
                <w:color w:val="000000"/>
              </w:rPr>
              <w:t>®</w:t>
            </w:r>
            <w:r w:rsidRPr="006B5404">
              <w:rPr>
                <w:rFonts w:ascii="Arial" w:hAnsi="Arial" w:cs="Arial"/>
                <w:color w:val="000000"/>
              </w:rPr>
              <w:br/>
            </w:r>
            <w:r w:rsidRPr="006B5404">
              <w:rPr>
                <w:rFonts w:ascii="Arial" w:hAnsi="Arial" w:cs="Arial"/>
                <w:color w:val="000000"/>
              </w:rPr>
              <w:br/>
              <w:t>Biogen Australia Pty Ltd</w:t>
            </w:r>
            <w:r w:rsidRPr="006B5404">
              <w:rPr>
                <w:rFonts w:ascii="Arial" w:hAnsi="Arial" w:cs="Arial"/>
                <w:color w:val="000000"/>
              </w:rPr>
              <w:br/>
            </w:r>
            <w:r w:rsidRPr="006B5404">
              <w:rPr>
                <w:rFonts w:ascii="Arial" w:hAnsi="Arial" w:cs="Arial"/>
                <w:color w:val="000000"/>
              </w:rPr>
              <w:br/>
              <w:t>Change to listing</w:t>
            </w:r>
            <w:r w:rsidRPr="006B5404">
              <w:rPr>
                <w:rFonts w:ascii="Arial" w:hAnsi="Arial" w:cs="Arial"/>
                <w:color w:val="000000"/>
              </w:rPr>
              <w:br/>
              <w:t>(Major Submission)</w:t>
            </w:r>
          </w:p>
        </w:tc>
        <w:tc>
          <w:tcPr>
            <w:tcW w:w="2401" w:type="dxa"/>
            <w:tcBorders>
              <w:top w:val="nil"/>
              <w:left w:val="nil"/>
              <w:bottom w:val="single" w:sz="4" w:space="0" w:color="auto"/>
              <w:right w:val="single" w:sz="4" w:space="0" w:color="auto"/>
            </w:tcBorders>
            <w:shd w:val="clear" w:color="auto" w:fill="auto"/>
            <w:tcMar>
              <w:top w:w="28" w:type="dxa"/>
              <w:bottom w:w="28" w:type="dxa"/>
            </w:tcMar>
          </w:tcPr>
          <w:p w14:paraId="008E6803" w14:textId="2209D513" w:rsidR="00646CDE" w:rsidRPr="006B5404" w:rsidRDefault="00646CDE" w:rsidP="00646CDE">
            <w:pPr>
              <w:rPr>
                <w:rFonts w:ascii="Arial" w:hAnsi="Arial" w:cs="Arial"/>
              </w:rPr>
            </w:pPr>
            <w:r w:rsidRPr="006B5404">
              <w:rPr>
                <w:rFonts w:ascii="Arial" w:hAnsi="Arial" w:cs="Arial"/>
                <w:color w:val="000000"/>
              </w:rPr>
              <w:t>Spinal muscular atrophy (SMA)</w:t>
            </w:r>
          </w:p>
        </w:tc>
        <w:tc>
          <w:tcPr>
            <w:tcW w:w="2702" w:type="dxa"/>
            <w:tcBorders>
              <w:top w:val="nil"/>
              <w:left w:val="nil"/>
              <w:bottom w:val="single" w:sz="4" w:space="0" w:color="auto"/>
              <w:right w:val="single" w:sz="4" w:space="0" w:color="auto"/>
            </w:tcBorders>
            <w:shd w:val="clear" w:color="auto" w:fill="auto"/>
            <w:tcMar>
              <w:top w:w="28" w:type="dxa"/>
              <w:bottom w:w="28" w:type="dxa"/>
            </w:tcMar>
          </w:tcPr>
          <w:p w14:paraId="7238D89C" w14:textId="357EAFA6" w:rsidR="00E523B4" w:rsidRPr="004B3CFA" w:rsidRDefault="00646CDE" w:rsidP="00646CDE">
            <w:pPr>
              <w:rPr>
                <w:rFonts w:ascii="Arial" w:hAnsi="Arial" w:cs="Arial"/>
                <w:color w:val="000000"/>
              </w:rPr>
            </w:pPr>
            <w:r w:rsidRPr="006B5404">
              <w:rPr>
                <w:rFonts w:ascii="Arial" w:hAnsi="Arial" w:cs="Arial"/>
                <w:color w:val="000000"/>
              </w:rPr>
              <w:t>Resubmission to request a Section 100 (Highly Specia</w:t>
            </w:r>
            <w:r w:rsidR="00182F97">
              <w:rPr>
                <w:rFonts w:ascii="Arial" w:hAnsi="Arial" w:cs="Arial"/>
                <w:color w:val="000000"/>
              </w:rPr>
              <w:t xml:space="preserve">lised Drugs </w:t>
            </w:r>
            <w:r w:rsidR="00E523B4">
              <w:rPr>
                <w:rFonts w:ascii="Arial" w:hAnsi="Arial" w:cs="Arial"/>
                <w:color w:val="000000"/>
              </w:rPr>
              <w:t xml:space="preserve">Program – </w:t>
            </w:r>
            <w:r w:rsidRPr="006B5404">
              <w:rPr>
                <w:rFonts w:ascii="Arial" w:hAnsi="Arial" w:cs="Arial"/>
                <w:color w:val="000000"/>
              </w:rPr>
              <w:t>Public and Private Hospitals) Authority Required listing for the treatment</w:t>
            </w:r>
            <w:r w:rsidRPr="006B5404">
              <w:rPr>
                <w:rFonts w:ascii="Arial" w:hAnsi="Arial" w:cs="Arial"/>
                <w:color w:val="000000"/>
              </w:rPr>
              <w:br/>
              <w:t>of patients with pre-symptomatic, i</w:t>
            </w:r>
            <w:r w:rsidR="004B3CFA">
              <w:rPr>
                <w:rFonts w:ascii="Arial" w:hAnsi="Arial" w:cs="Arial"/>
                <w:color w:val="000000"/>
              </w:rPr>
              <w:t>nfantile and</w:t>
            </w:r>
            <w:r w:rsidR="004B3CFA">
              <w:rPr>
                <w:rFonts w:ascii="Arial" w:hAnsi="Arial" w:cs="Arial"/>
                <w:color w:val="000000"/>
              </w:rPr>
              <w:br/>
              <w:t xml:space="preserve">childhood-onset SMA. </w:t>
            </w:r>
          </w:p>
        </w:tc>
        <w:tc>
          <w:tcPr>
            <w:tcW w:w="6604" w:type="dxa"/>
            <w:tcBorders>
              <w:top w:val="single" w:sz="4" w:space="0" w:color="auto"/>
              <w:left w:val="single" w:sz="4" w:space="0" w:color="auto"/>
              <w:bottom w:val="single" w:sz="4" w:space="0" w:color="auto"/>
              <w:right w:val="single" w:sz="4" w:space="0" w:color="auto"/>
            </w:tcBorders>
          </w:tcPr>
          <w:p w14:paraId="2940C35F" w14:textId="3CA55A19" w:rsidR="00646CDE" w:rsidRPr="004B3CFA" w:rsidRDefault="00646CDE" w:rsidP="004B3CFA">
            <w:pPr>
              <w:rPr>
                <w:rFonts w:ascii="Arial" w:hAnsi="Arial" w:cs="Arial"/>
                <w:color w:val="000000"/>
              </w:rPr>
            </w:pPr>
            <w:r w:rsidRPr="00130231">
              <w:rPr>
                <w:rFonts w:ascii="Arial" w:hAnsi="Arial" w:cs="Arial"/>
                <w:color w:val="000000"/>
              </w:rPr>
              <w:t xml:space="preserve">The PBAC recommended the addition of pre-symptomatic initiation to the current listing of </w:t>
            </w:r>
            <w:proofErr w:type="spellStart"/>
            <w:r w:rsidRPr="00130231">
              <w:rPr>
                <w:rFonts w:ascii="Arial" w:hAnsi="Arial" w:cs="Arial"/>
                <w:color w:val="000000"/>
              </w:rPr>
              <w:t>nusinersen</w:t>
            </w:r>
            <w:proofErr w:type="spellEnd"/>
            <w:r w:rsidRPr="00130231">
              <w:rPr>
                <w:rFonts w:ascii="Arial" w:hAnsi="Arial" w:cs="Arial"/>
                <w:color w:val="000000"/>
              </w:rPr>
              <w:t xml:space="preserve"> to include the pre-symptomatic initiation of treatment of patients genetically diagnosed with SMA, who </w:t>
            </w:r>
            <w:r w:rsidR="00130231" w:rsidRPr="00130231">
              <w:rPr>
                <w:rFonts w:ascii="Arial" w:hAnsi="Arial" w:cs="Arial"/>
                <w:color w:val="000000"/>
              </w:rPr>
              <w:t>have a Survival-of-Motor-Neuron 2</w:t>
            </w:r>
            <w:r w:rsidR="004B3CFA" w:rsidRPr="00130231">
              <w:rPr>
                <w:rFonts w:ascii="Arial" w:hAnsi="Arial" w:cs="Arial"/>
                <w:color w:val="000000"/>
              </w:rPr>
              <w:t xml:space="preserve"> </w:t>
            </w:r>
            <w:r w:rsidR="00130231" w:rsidRPr="00130231">
              <w:rPr>
                <w:rFonts w:ascii="Arial" w:hAnsi="Arial" w:cs="Arial"/>
                <w:color w:val="000000"/>
              </w:rPr>
              <w:t>(</w:t>
            </w:r>
            <w:r w:rsidR="004B3CFA" w:rsidRPr="00130231">
              <w:rPr>
                <w:rFonts w:ascii="Arial" w:hAnsi="Arial" w:cs="Arial"/>
                <w:color w:val="000000"/>
              </w:rPr>
              <w:t>SMN2</w:t>
            </w:r>
            <w:r w:rsidR="00130231" w:rsidRPr="00130231">
              <w:rPr>
                <w:rFonts w:ascii="Arial" w:hAnsi="Arial" w:cs="Arial"/>
                <w:color w:val="000000"/>
              </w:rPr>
              <w:t xml:space="preserve">) gene copy number </w:t>
            </w:r>
            <w:r w:rsidR="00130231" w:rsidRPr="00130231">
              <w:rPr>
                <w:rFonts w:ascii="Arial" w:hAnsi="Arial" w:cs="Arial"/>
              </w:rPr>
              <w:t>of 1 or 2 (i.e. SMN2 copy number ≤2).</w:t>
            </w:r>
            <w:r w:rsidR="004B3CFA">
              <w:rPr>
                <w:rFonts w:ascii="Arial" w:hAnsi="Arial" w:cs="Arial"/>
                <w:color w:val="000000"/>
              </w:rPr>
              <w:t xml:space="preserve"> </w:t>
            </w:r>
            <w:r w:rsidRPr="006B5404">
              <w:rPr>
                <w:rFonts w:ascii="Arial" w:hAnsi="Arial" w:cs="Arial"/>
                <w:color w:val="000000"/>
              </w:rPr>
              <w:t xml:space="preserve">The PBAC considered that pre-symptomatic initiation of treatment with </w:t>
            </w:r>
            <w:proofErr w:type="spellStart"/>
            <w:r w:rsidRPr="006B5404">
              <w:rPr>
                <w:rFonts w:ascii="Arial" w:hAnsi="Arial" w:cs="Arial"/>
                <w:color w:val="000000"/>
              </w:rPr>
              <w:t>nusinersen</w:t>
            </w:r>
            <w:proofErr w:type="spellEnd"/>
            <w:r w:rsidRPr="006B5404">
              <w:rPr>
                <w:rFonts w:ascii="Arial" w:hAnsi="Arial" w:cs="Arial"/>
                <w:color w:val="000000"/>
              </w:rPr>
              <w:t xml:space="preserve"> would provide an additional benefit for some patients compared with initiation upon development of symptoms. The PBAC acknowledged that the current requirement for symptoms to develop prior to accessing subsidised treatment could have a significant burden on the families of infants genetically diagnosed with SMA.</w:t>
            </w:r>
            <w:r w:rsidRPr="006B5404">
              <w:rPr>
                <w:rFonts w:ascii="Arial" w:hAnsi="Arial" w:cs="Arial"/>
                <w:color w:val="000000"/>
              </w:rPr>
              <w:br/>
            </w:r>
            <w:r w:rsidRPr="006B5404">
              <w:rPr>
                <w:rFonts w:ascii="Arial" w:hAnsi="Arial" w:cs="Arial"/>
                <w:color w:val="000000"/>
              </w:rPr>
              <w:br/>
              <w:t>The PBAC noted there was remaining uncertainty around the cost-effectiveness of pre</w:t>
            </w:r>
            <w:r w:rsidR="008F2A65">
              <w:rPr>
                <w:rFonts w:ascii="Arial" w:hAnsi="Arial" w:cs="Arial"/>
                <w:color w:val="000000"/>
              </w:rPr>
              <w:t>-</w:t>
            </w:r>
            <w:r w:rsidRPr="006B5404">
              <w:rPr>
                <w:rFonts w:ascii="Arial" w:hAnsi="Arial" w:cs="Arial"/>
                <w:color w:val="000000"/>
              </w:rPr>
              <w:t xml:space="preserve">symptomatic initiation of treatment with </w:t>
            </w:r>
            <w:proofErr w:type="spellStart"/>
            <w:r w:rsidRPr="006B5404">
              <w:rPr>
                <w:rFonts w:ascii="Arial" w:hAnsi="Arial" w:cs="Arial"/>
                <w:color w:val="000000"/>
              </w:rPr>
              <w:t>nusinersen</w:t>
            </w:r>
            <w:proofErr w:type="spellEnd"/>
            <w:r w:rsidRPr="006B5404">
              <w:rPr>
                <w:rFonts w:ascii="Arial" w:hAnsi="Arial" w:cs="Arial"/>
                <w:color w:val="000000"/>
              </w:rPr>
              <w:t xml:space="preserve"> due to the uncertain magnitude of incremental benefit compared to symptomatic treatment. However, the PBAC was satisfied that extension of the current listing would be cost-effective if the conditions specified in the existing Risk Sharing Arrangement</w:t>
            </w:r>
            <w:r>
              <w:rPr>
                <w:rFonts w:ascii="Arial" w:hAnsi="Arial" w:cs="Arial"/>
                <w:color w:val="000000"/>
              </w:rPr>
              <w:t xml:space="preserve"> (RSA)</w:t>
            </w:r>
            <w:r w:rsidR="004B3CFA">
              <w:rPr>
                <w:rFonts w:ascii="Arial" w:hAnsi="Arial" w:cs="Arial"/>
                <w:color w:val="000000"/>
              </w:rPr>
              <w:t xml:space="preserve"> were also </w:t>
            </w:r>
            <w:r w:rsidRPr="006B5404">
              <w:rPr>
                <w:rFonts w:ascii="Arial" w:hAnsi="Arial" w:cs="Arial"/>
                <w:color w:val="000000"/>
              </w:rPr>
              <w:t xml:space="preserve">applied to the extended listing. </w:t>
            </w:r>
            <w:r w:rsidRPr="006B5404">
              <w:rPr>
                <w:rFonts w:ascii="Arial" w:hAnsi="Arial" w:cs="Arial"/>
                <w:color w:val="000000"/>
              </w:rPr>
              <w:br/>
            </w:r>
            <w:r w:rsidRPr="006B5404">
              <w:rPr>
                <w:rFonts w:ascii="Arial" w:hAnsi="Arial" w:cs="Arial"/>
                <w:color w:val="000000"/>
              </w:rPr>
              <w:br/>
              <w:t xml:space="preserve">The PBAC advised that the extended listing should be included in the current </w:t>
            </w:r>
            <w:r>
              <w:rPr>
                <w:rFonts w:ascii="Arial" w:hAnsi="Arial" w:cs="Arial"/>
                <w:color w:val="000000"/>
              </w:rPr>
              <w:t>RSA</w:t>
            </w:r>
            <w:r w:rsidRPr="006B5404">
              <w:rPr>
                <w:rFonts w:ascii="Arial" w:hAnsi="Arial" w:cs="Arial"/>
                <w:color w:val="000000"/>
              </w:rPr>
              <w:t xml:space="preserve"> in place for </w:t>
            </w:r>
            <w:proofErr w:type="spellStart"/>
            <w:r w:rsidRPr="006B5404">
              <w:rPr>
                <w:rFonts w:ascii="Arial" w:hAnsi="Arial" w:cs="Arial"/>
                <w:color w:val="000000"/>
              </w:rPr>
              <w:t>nusinersen</w:t>
            </w:r>
            <w:proofErr w:type="spellEnd"/>
            <w:r w:rsidRPr="006B5404">
              <w:rPr>
                <w:rFonts w:ascii="Arial" w:hAnsi="Arial" w:cs="Arial"/>
                <w:color w:val="000000"/>
              </w:rPr>
              <w:t xml:space="preserve"> to manage this uncertainty.</w:t>
            </w:r>
          </w:p>
        </w:tc>
      </w:tr>
      <w:tr w:rsidR="00646CDE" w:rsidRPr="006B5404" w14:paraId="6E706471" w14:textId="77777777" w:rsidTr="00891EAA">
        <w:trPr>
          <w:cantSplit/>
          <w:trHeight w:val="430"/>
        </w:trPr>
        <w:tc>
          <w:tcPr>
            <w:tcW w:w="3681" w:type="dxa"/>
            <w:tcBorders>
              <w:top w:val="nil"/>
              <w:left w:val="single" w:sz="4" w:space="0" w:color="auto"/>
              <w:bottom w:val="single" w:sz="4" w:space="0" w:color="auto"/>
              <w:right w:val="single" w:sz="4" w:space="0" w:color="auto"/>
            </w:tcBorders>
            <w:shd w:val="clear" w:color="auto" w:fill="auto"/>
            <w:tcMar>
              <w:top w:w="28" w:type="dxa"/>
              <w:bottom w:w="28" w:type="dxa"/>
            </w:tcMar>
          </w:tcPr>
          <w:p w14:paraId="57111576" w14:textId="01A80BEF" w:rsidR="00646CDE" w:rsidRPr="006B5404" w:rsidRDefault="00646CDE" w:rsidP="00646CDE">
            <w:pPr>
              <w:rPr>
                <w:rFonts w:ascii="Arial" w:hAnsi="Arial" w:cs="Arial"/>
              </w:rPr>
            </w:pPr>
            <w:r w:rsidRPr="006B5404">
              <w:rPr>
                <w:rFonts w:ascii="Arial" w:hAnsi="Arial" w:cs="Arial"/>
                <w:color w:val="000000"/>
              </w:rPr>
              <w:lastRenderedPageBreak/>
              <w:t>OLAPARIB</w:t>
            </w:r>
            <w:r w:rsidRPr="006B5404">
              <w:rPr>
                <w:rFonts w:ascii="Arial" w:hAnsi="Arial" w:cs="Arial"/>
                <w:color w:val="000000"/>
              </w:rPr>
              <w:br/>
            </w:r>
            <w:r w:rsidRPr="006B5404">
              <w:rPr>
                <w:rFonts w:ascii="Arial" w:hAnsi="Arial" w:cs="Arial"/>
                <w:color w:val="000000"/>
              </w:rPr>
              <w:br/>
              <w:t xml:space="preserve">Tablet </w:t>
            </w:r>
            <w:r>
              <w:rPr>
                <w:rFonts w:ascii="Arial" w:hAnsi="Arial" w:cs="Arial"/>
                <w:color w:val="000000"/>
              </w:rPr>
              <w:t>100 mg</w:t>
            </w:r>
            <w:r>
              <w:rPr>
                <w:rFonts w:ascii="Arial" w:hAnsi="Arial" w:cs="Arial"/>
                <w:color w:val="000000"/>
              </w:rPr>
              <w:br/>
              <w:t>Tablet 150 mg</w:t>
            </w:r>
            <w:r>
              <w:rPr>
                <w:rFonts w:ascii="Arial" w:hAnsi="Arial" w:cs="Arial"/>
                <w:color w:val="000000"/>
              </w:rPr>
              <w:br/>
            </w:r>
            <w:r>
              <w:rPr>
                <w:rFonts w:ascii="Arial" w:hAnsi="Arial" w:cs="Arial"/>
                <w:color w:val="000000"/>
              </w:rPr>
              <w:br/>
            </w:r>
            <w:proofErr w:type="spellStart"/>
            <w:r>
              <w:rPr>
                <w:rFonts w:ascii="Arial" w:hAnsi="Arial" w:cs="Arial"/>
                <w:color w:val="000000"/>
              </w:rPr>
              <w:t>Lynparz</w:t>
            </w:r>
            <w:r w:rsidR="00CE2E56">
              <w:rPr>
                <w:rFonts w:ascii="Arial" w:hAnsi="Arial" w:cs="Arial"/>
                <w:color w:val="000000"/>
              </w:rPr>
              <w:t>a</w:t>
            </w:r>
            <w:proofErr w:type="spellEnd"/>
            <w:r w:rsidR="00CE2E56">
              <w:rPr>
                <w:rFonts w:ascii="Arial" w:hAnsi="Arial" w:cs="Arial"/>
                <w:color w:val="000000"/>
              </w:rPr>
              <w:t>®</w:t>
            </w:r>
            <w:r w:rsidRPr="006B5404">
              <w:rPr>
                <w:rFonts w:ascii="Arial" w:hAnsi="Arial" w:cs="Arial"/>
                <w:color w:val="000000"/>
              </w:rPr>
              <w:br/>
            </w:r>
            <w:r w:rsidRPr="006B5404">
              <w:rPr>
                <w:rFonts w:ascii="Arial" w:hAnsi="Arial" w:cs="Arial"/>
                <w:color w:val="000000"/>
              </w:rPr>
              <w:br/>
              <w:t>AstraZeneca Pty Ltd</w:t>
            </w:r>
            <w:r w:rsidRPr="006B5404">
              <w:rPr>
                <w:rFonts w:ascii="Arial" w:hAnsi="Arial" w:cs="Arial"/>
                <w:color w:val="000000"/>
              </w:rPr>
              <w:br/>
            </w:r>
            <w:r w:rsidRPr="006B5404">
              <w:rPr>
                <w:rFonts w:ascii="Arial" w:hAnsi="Arial" w:cs="Arial"/>
                <w:color w:val="000000"/>
              </w:rPr>
              <w:br/>
              <w:t>Change to listing</w:t>
            </w:r>
            <w:r w:rsidRPr="006B5404">
              <w:rPr>
                <w:rFonts w:ascii="Arial" w:hAnsi="Arial" w:cs="Arial"/>
                <w:color w:val="000000"/>
              </w:rPr>
              <w:br/>
              <w:t>(Major Submission)</w:t>
            </w:r>
          </w:p>
        </w:tc>
        <w:tc>
          <w:tcPr>
            <w:tcW w:w="2401" w:type="dxa"/>
            <w:tcBorders>
              <w:top w:val="nil"/>
              <w:left w:val="nil"/>
              <w:bottom w:val="single" w:sz="4" w:space="0" w:color="auto"/>
              <w:right w:val="single" w:sz="4" w:space="0" w:color="auto"/>
            </w:tcBorders>
            <w:shd w:val="clear" w:color="auto" w:fill="auto"/>
            <w:tcMar>
              <w:top w:w="28" w:type="dxa"/>
              <w:bottom w:w="28" w:type="dxa"/>
            </w:tcMar>
          </w:tcPr>
          <w:p w14:paraId="21C71183" w14:textId="06506365" w:rsidR="00646CDE" w:rsidRPr="006B5404" w:rsidRDefault="00646CDE" w:rsidP="00646CDE">
            <w:pPr>
              <w:rPr>
                <w:rFonts w:ascii="Arial" w:hAnsi="Arial" w:cs="Arial"/>
              </w:rPr>
            </w:pPr>
            <w:r w:rsidRPr="006B5404">
              <w:rPr>
                <w:rFonts w:ascii="Arial" w:hAnsi="Arial" w:cs="Arial"/>
                <w:color w:val="000000"/>
              </w:rPr>
              <w:t xml:space="preserve">Ovarian, fallopian tube or primary peritoneal cancer </w:t>
            </w:r>
          </w:p>
        </w:tc>
        <w:tc>
          <w:tcPr>
            <w:tcW w:w="2702" w:type="dxa"/>
            <w:tcBorders>
              <w:top w:val="nil"/>
              <w:left w:val="nil"/>
              <w:bottom w:val="single" w:sz="4" w:space="0" w:color="auto"/>
              <w:right w:val="single" w:sz="4" w:space="0" w:color="auto"/>
            </w:tcBorders>
            <w:shd w:val="clear" w:color="auto" w:fill="auto"/>
            <w:tcMar>
              <w:top w:w="28" w:type="dxa"/>
              <w:bottom w:w="28" w:type="dxa"/>
            </w:tcMar>
          </w:tcPr>
          <w:p w14:paraId="062F194E" w14:textId="3BC2BB08" w:rsidR="00646CDE" w:rsidRDefault="00646CDE" w:rsidP="00646CDE">
            <w:pPr>
              <w:rPr>
                <w:rFonts w:ascii="Arial" w:hAnsi="Arial" w:cs="Arial"/>
                <w:color w:val="000000"/>
              </w:rPr>
            </w:pPr>
            <w:r w:rsidRPr="006B5404">
              <w:rPr>
                <w:rFonts w:ascii="Arial" w:hAnsi="Arial" w:cs="Arial"/>
                <w:color w:val="000000"/>
              </w:rPr>
              <w:t>Resubmission to request a</w:t>
            </w:r>
            <w:r w:rsidR="00CE2E56">
              <w:rPr>
                <w:rFonts w:ascii="Arial" w:hAnsi="Arial" w:cs="Arial"/>
                <w:color w:val="000000"/>
              </w:rPr>
              <w:t>n</w:t>
            </w:r>
            <w:r w:rsidRPr="006B5404">
              <w:rPr>
                <w:rFonts w:ascii="Arial" w:hAnsi="Arial" w:cs="Arial"/>
                <w:color w:val="000000"/>
              </w:rPr>
              <w:t xml:space="preserve"> Authority Required listing for newly diagnosed advanced BRCA-mutated high grade epithelial ovarian, fallopian tube or primary peritoneal cancer in response (complete or partial) to first-line platinum-based chemotherapy.</w:t>
            </w:r>
          </w:p>
          <w:p w14:paraId="6CF7A4D4" w14:textId="4290F4D4" w:rsidR="00CE2E56" w:rsidRPr="006B5404" w:rsidRDefault="00CE2E56" w:rsidP="00646CDE">
            <w:pPr>
              <w:rPr>
                <w:rFonts w:ascii="Arial" w:hAnsi="Arial" w:cs="Arial"/>
              </w:rPr>
            </w:pPr>
          </w:p>
        </w:tc>
        <w:tc>
          <w:tcPr>
            <w:tcW w:w="6604" w:type="dxa"/>
            <w:tcBorders>
              <w:top w:val="single" w:sz="4" w:space="0" w:color="auto"/>
              <w:left w:val="single" w:sz="4" w:space="0" w:color="auto"/>
              <w:bottom w:val="single" w:sz="4" w:space="0" w:color="auto"/>
              <w:right w:val="single" w:sz="4" w:space="0" w:color="auto"/>
            </w:tcBorders>
          </w:tcPr>
          <w:p w14:paraId="096F804D" w14:textId="76130759" w:rsidR="00646CDE" w:rsidRDefault="00646CDE" w:rsidP="00CE2E56">
            <w:pPr>
              <w:rPr>
                <w:rFonts w:ascii="Arial" w:hAnsi="Arial" w:cs="Arial"/>
                <w:color w:val="000000"/>
              </w:rPr>
            </w:pPr>
            <w:r w:rsidRPr="006B5404">
              <w:rPr>
                <w:rFonts w:ascii="Arial" w:hAnsi="Arial" w:cs="Arial"/>
                <w:color w:val="000000"/>
              </w:rPr>
              <w:t>The PBAC recommended</w:t>
            </w:r>
            <w:r w:rsidR="00CE2E56">
              <w:rPr>
                <w:rFonts w:ascii="Arial" w:hAnsi="Arial" w:cs="Arial"/>
                <w:color w:val="000000"/>
              </w:rPr>
              <w:t xml:space="preserve"> the listing</w:t>
            </w:r>
            <w:r w:rsidRPr="006B5404">
              <w:rPr>
                <w:rFonts w:ascii="Arial" w:hAnsi="Arial" w:cs="Arial"/>
                <w:color w:val="000000"/>
              </w:rPr>
              <w:t xml:space="preserve"> for </w:t>
            </w:r>
            <w:r w:rsidR="00CE2E56">
              <w:rPr>
                <w:rFonts w:ascii="Arial" w:hAnsi="Arial" w:cs="Arial"/>
                <w:color w:val="000000"/>
              </w:rPr>
              <w:t xml:space="preserve">patients with </w:t>
            </w:r>
            <w:r w:rsidRPr="006B5404">
              <w:rPr>
                <w:rFonts w:ascii="Arial" w:hAnsi="Arial" w:cs="Arial"/>
                <w:color w:val="000000"/>
              </w:rPr>
              <w:t>newly diagnosed advanced BRCA-mutated high-grade epithelial ovarian, fallopian t</w:t>
            </w:r>
            <w:r w:rsidR="00CE2E56">
              <w:rPr>
                <w:rFonts w:ascii="Arial" w:hAnsi="Arial" w:cs="Arial"/>
                <w:color w:val="000000"/>
              </w:rPr>
              <w:t>ube or primary peritoneal cancer,</w:t>
            </w:r>
            <w:r w:rsidRPr="006B5404">
              <w:rPr>
                <w:rFonts w:ascii="Arial" w:hAnsi="Arial" w:cs="Arial"/>
                <w:color w:val="000000"/>
              </w:rPr>
              <w:t xml:space="preserve"> who are in response (complete response or partial response) to 1L platinum-based chemotherapy. The PBAC recognised the clinical need for effective treatments for patients with ovarian cancer prior to disease relapse. Th</w:t>
            </w:r>
            <w:r w:rsidR="00CE2E56">
              <w:rPr>
                <w:rFonts w:ascii="Arial" w:hAnsi="Arial" w:cs="Arial"/>
                <w:color w:val="000000"/>
              </w:rPr>
              <w:t>e PBAC was satisfied that first-</w:t>
            </w:r>
            <w:r w:rsidRPr="006B5404">
              <w:rPr>
                <w:rFonts w:ascii="Arial" w:hAnsi="Arial" w:cs="Arial"/>
                <w:color w:val="000000"/>
              </w:rPr>
              <w:t xml:space="preserve">line maintenance with </w:t>
            </w:r>
            <w:proofErr w:type="spellStart"/>
            <w:r w:rsidRPr="006B5404">
              <w:rPr>
                <w:rFonts w:ascii="Arial" w:hAnsi="Arial" w:cs="Arial"/>
                <w:color w:val="000000"/>
              </w:rPr>
              <w:t>olaparib</w:t>
            </w:r>
            <w:proofErr w:type="spellEnd"/>
            <w:r w:rsidRPr="006B5404">
              <w:rPr>
                <w:rFonts w:ascii="Arial" w:hAnsi="Arial" w:cs="Arial"/>
                <w:color w:val="000000"/>
              </w:rPr>
              <w:t xml:space="preserve"> provides, for some patients, a significant delay in the time to progression and subsequent treatment. The PBAC considered </w:t>
            </w:r>
            <w:proofErr w:type="spellStart"/>
            <w:r w:rsidRPr="006B5404">
              <w:rPr>
                <w:rFonts w:ascii="Arial" w:hAnsi="Arial" w:cs="Arial"/>
                <w:color w:val="000000"/>
              </w:rPr>
              <w:t>olaparib</w:t>
            </w:r>
            <w:proofErr w:type="spellEnd"/>
            <w:r w:rsidRPr="006B5404">
              <w:rPr>
                <w:rFonts w:ascii="Arial" w:hAnsi="Arial" w:cs="Arial"/>
                <w:color w:val="000000"/>
              </w:rPr>
              <w:t xml:space="preserve"> would be cost-effective if the economic model was revised to address the uncertain gain in overall survival and the price for first-line </w:t>
            </w:r>
            <w:proofErr w:type="spellStart"/>
            <w:r w:rsidRPr="006B5404">
              <w:rPr>
                <w:rFonts w:ascii="Arial" w:hAnsi="Arial" w:cs="Arial"/>
                <w:color w:val="000000"/>
              </w:rPr>
              <w:t>olaparib</w:t>
            </w:r>
            <w:proofErr w:type="spellEnd"/>
            <w:r w:rsidRPr="006B5404">
              <w:rPr>
                <w:rFonts w:ascii="Arial" w:hAnsi="Arial" w:cs="Arial"/>
                <w:color w:val="000000"/>
              </w:rPr>
              <w:t xml:space="preserve"> reduce</w:t>
            </w:r>
            <w:r w:rsidR="00A52844">
              <w:rPr>
                <w:rFonts w:ascii="Arial" w:hAnsi="Arial" w:cs="Arial"/>
                <w:color w:val="000000"/>
              </w:rPr>
              <w:t>d to bring the incremental cost-</w:t>
            </w:r>
            <w:r w:rsidRPr="006B5404">
              <w:rPr>
                <w:rFonts w:ascii="Arial" w:hAnsi="Arial" w:cs="Arial"/>
                <w:color w:val="000000"/>
              </w:rPr>
              <w:t>effectiveness ratio into an acceptable range.</w:t>
            </w:r>
          </w:p>
          <w:p w14:paraId="4EFA2BD5" w14:textId="63E2A8B8" w:rsidR="00CE2E56" w:rsidRPr="00CE2E56" w:rsidRDefault="00CE2E56" w:rsidP="00CE2E56">
            <w:pPr>
              <w:rPr>
                <w:rFonts w:ascii="Arial" w:hAnsi="Arial" w:cs="Arial"/>
                <w:color w:val="000000"/>
              </w:rPr>
            </w:pPr>
          </w:p>
        </w:tc>
      </w:tr>
      <w:tr w:rsidR="00646CDE" w:rsidRPr="006B5404" w14:paraId="45FBA395" w14:textId="77777777" w:rsidTr="00891EAA">
        <w:trPr>
          <w:cantSplit/>
          <w:trHeight w:val="430"/>
        </w:trPr>
        <w:tc>
          <w:tcPr>
            <w:tcW w:w="3681" w:type="dxa"/>
            <w:tcBorders>
              <w:top w:val="nil"/>
              <w:left w:val="single" w:sz="4" w:space="0" w:color="auto"/>
              <w:bottom w:val="single" w:sz="4" w:space="0" w:color="auto"/>
              <w:right w:val="single" w:sz="4" w:space="0" w:color="auto"/>
            </w:tcBorders>
            <w:shd w:val="clear" w:color="auto" w:fill="auto"/>
            <w:tcMar>
              <w:top w:w="28" w:type="dxa"/>
              <w:bottom w:w="28" w:type="dxa"/>
            </w:tcMar>
          </w:tcPr>
          <w:p w14:paraId="004A77F3" w14:textId="22E8B447" w:rsidR="00646CDE" w:rsidRPr="006B5404" w:rsidRDefault="00646CDE" w:rsidP="00646CDE">
            <w:pPr>
              <w:rPr>
                <w:rFonts w:ascii="Arial" w:hAnsi="Arial" w:cs="Arial"/>
              </w:rPr>
            </w:pPr>
            <w:r w:rsidRPr="006B5404">
              <w:rPr>
                <w:rFonts w:ascii="Arial" w:hAnsi="Arial" w:cs="Arial"/>
                <w:color w:val="000000"/>
              </w:rPr>
              <w:t xml:space="preserve">OSIMERTINIB </w:t>
            </w:r>
            <w:r w:rsidRPr="006B5404">
              <w:rPr>
                <w:rFonts w:ascii="Arial" w:hAnsi="Arial" w:cs="Arial"/>
                <w:color w:val="000000"/>
              </w:rPr>
              <w:br/>
            </w:r>
            <w:r w:rsidRPr="006B5404">
              <w:rPr>
                <w:rFonts w:ascii="Arial" w:hAnsi="Arial" w:cs="Arial"/>
                <w:color w:val="000000"/>
              </w:rPr>
              <w:br/>
              <w:t>Table</w:t>
            </w:r>
            <w:r>
              <w:rPr>
                <w:rFonts w:ascii="Arial" w:hAnsi="Arial" w:cs="Arial"/>
                <w:color w:val="000000"/>
              </w:rPr>
              <w:t>t 40 mg</w:t>
            </w:r>
            <w:r>
              <w:rPr>
                <w:rFonts w:ascii="Arial" w:hAnsi="Arial" w:cs="Arial"/>
                <w:color w:val="000000"/>
              </w:rPr>
              <w:br/>
              <w:t xml:space="preserve">Tablet 80 mg </w:t>
            </w:r>
            <w:r>
              <w:rPr>
                <w:rFonts w:ascii="Arial" w:hAnsi="Arial" w:cs="Arial"/>
                <w:color w:val="000000"/>
              </w:rPr>
              <w:br/>
            </w:r>
            <w:r>
              <w:rPr>
                <w:rFonts w:ascii="Arial" w:hAnsi="Arial" w:cs="Arial"/>
                <w:color w:val="000000"/>
              </w:rPr>
              <w:br/>
            </w:r>
            <w:proofErr w:type="spellStart"/>
            <w:r>
              <w:rPr>
                <w:rFonts w:ascii="Arial" w:hAnsi="Arial" w:cs="Arial"/>
                <w:color w:val="000000"/>
              </w:rPr>
              <w:t>Tagrisso</w:t>
            </w:r>
            <w:proofErr w:type="spellEnd"/>
            <w:r w:rsidR="00CE2E56">
              <w:rPr>
                <w:rFonts w:ascii="Arial" w:hAnsi="Arial" w:cs="Arial"/>
                <w:color w:val="000000"/>
              </w:rPr>
              <w:t>®</w:t>
            </w:r>
            <w:r w:rsidRPr="006B5404">
              <w:rPr>
                <w:rFonts w:ascii="Arial" w:hAnsi="Arial" w:cs="Arial"/>
                <w:color w:val="000000"/>
              </w:rPr>
              <w:br/>
            </w:r>
            <w:r w:rsidRPr="006B5404">
              <w:rPr>
                <w:rFonts w:ascii="Arial" w:hAnsi="Arial" w:cs="Arial"/>
                <w:color w:val="000000"/>
              </w:rPr>
              <w:br/>
              <w:t>AstraZeneca Pty Ltd</w:t>
            </w:r>
            <w:r w:rsidRPr="006B5404">
              <w:rPr>
                <w:rFonts w:ascii="Arial" w:hAnsi="Arial" w:cs="Arial"/>
                <w:color w:val="000000"/>
              </w:rPr>
              <w:br/>
            </w:r>
            <w:r w:rsidRPr="006B5404">
              <w:rPr>
                <w:rFonts w:ascii="Arial" w:hAnsi="Arial" w:cs="Arial"/>
                <w:color w:val="000000"/>
              </w:rPr>
              <w:br/>
              <w:t>Change to listing</w:t>
            </w:r>
            <w:r w:rsidRPr="006B5404">
              <w:rPr>
                <w:rFonts w:ascii="Arial" w:hAnsi="Arial" w:cs="Arial"/>
                <w:color w:val="000000"/>
              </w:rPr>
              <w:br/>
              <w:t>(Major Submission)</w:t>
            </w:r>
          </w:p>
        </w:tc>
        <w:tc>
          <w:tcPr>
            <w:tcW w:w="2401" w:type="dxa"/>
            <w:tcBorders>
              <w:top w:val="nil"/>
              <w:left w:val="nil"/>
              <w:bottom w:val="single" w:sz="4" w:space="0" w:color="auto"/>
              <w:right w:val="single" w:sz="4" w:space="0" w:color="auto"/>
            </w:tcBorders>
            <w:shd w:val="clear" w:color="auto" w:fill="auto"/>
            <w:tcMar>
              <w:top w:w="28" w:type="dxa"/>
              <w:bottom w:w="28" w:type="dxa"/>
            </w:tcMar>
          </w:tcPr>
          <w:p w14:paraId="457EE052" w14:textId="0C05274F" w:rsidR="00646CDE" w:rsidRPr="006B5404" w:rsidRDefault="00646CDE" w:rsidP="00646CDE">
            <w:pPr>
              <w:rPr>
                <w:rFonts w:ascii="Arial" w:hAnsi="Arial" w:cs="Arial"/>
              </w:rPr>
            </w:pPr>
            <w:r w:rsidRPr="006B5404">
              <w:rPr>
                <w:rFonts w:ascii="Arial" w:hAnsi="Arial" w:cs="Arial"/>
                <w:color w:val="000000"/>
              </w:rPr>
              <w:t>Non-small cell lung cancer (NSCLC)</w:t>
            </w:r>
          </w:p>
        </w:tc>
        <w:tc>
          <w:tcPr>
            <w:tcW w:w="2702" w:type="dxa"/>
            <w:tcBorders>
              <w:top w:val="nil"/>
              <w:left w:val="nil"/>
              <w:bottom w:val="single" w:sz="4" w:space="0" w:color="auto"/>
              <w:right w:val="single" w:sz="4" w:space="0" w:color="auto"/>
            </w:tcBorders>
            <w:shd w:val="clear" w:color="auto" w:fill="auto"/>
            <w:tcMar>
              <w:top w:w="28" w:type="dxa"/>
              <w:bottom w:w="28" w:type="dxa"/>
            </w:tcMar>
          </w:tcPr>
          <w:p w14:paraId="2F7071A6" w14:textId="0614449D" w:rsidR="00646CDE" w:rsidRPr="006B5404" w:rsidRDefault="00646CDE" w:rsidP="008F2A65">
            <w:pPr>
              <w:rPr>
                <w:rFonts w:ascii="Arial" w:hAnsi="Arial" w:cs="Arial"/>
              </w:rPr>
            </w:pPr>
            <w:r w:rsidRPr="006B5404">
              <w:rPr>
                <w:rFonts w:ascii="Arial" w:hAnsi="Arial" w:cs="Arial"/>
                <w:color w:val="000000"/>
              </w:rPr>
              <w:t>Resubmission to request an Authority Required listing for the firs</w:t>
            </w:r>
            <w:r w:rsidR="00CE2E56">
              <w:rPr>
                <w:rFonts w:ascii="Arial" w:hAnsi="Arial" w:cs="Arial"/>
                <w:color w:val="000000"/>
              </w:rPr>
              <w:t>t-</w:t>
            </w:r>
            <w:r w:rsidRPr="006B5404">
              <w:rPr>
                <w:rFonts w:ascii="Arial" w:hAnsi="Arial" w:cs="Arial"/>
                <w:color w:val="000000"/>
              </w:rPr>
              <w:t>line treatment of patients with Stage IIIB (locally</w:t>
            </w:r>
            <w:r w:rsidR="008F2A65">
              <w:rPr>
                <w:rFonts w:ascii="Arial" w:hAnsi="Arial" w:cs="Arial"/>
                <w:color w:val="000000"/>
              </w:rPr>
              <w:t xml:space="preserve"> advanced) or Stage IV (metastatic)</w:t>
            </w:r>
            <w:r w:rsidRPr="006B5404">
              <w:rPr>
                <w:rFonts w:ascii="Arial" w:hAnsi="Arial" w:cs="Arial"/>
                <w:color w:val="000000"/>
              </w:rPr>
              <w:t xml:space="preserve"> epidermal growth</w:t>
            </w:r>
            <w:r w:rsidR="008F2A65">
              <w:rPr>
                <w:rFonts w:ascii="Arial" w:hAnsi="Arial" w:cs="Arial"/>
                <w:color w:val="000000"/>
              </w:rPr>
              <w:t xml:space="preserve"> factor recept</w:t>
            </w:r>
            <w:r w:rsidRPr="006B5404">
              <w:rPr>
                <w:rFonts w:ascii="Arial" w:hAnsi="Arial" w:cs="Arial"/>
                <w:color w:val="000000"/>
              </w:rPr>
              <w:t>or</w:t>
            </w:r>
            <w:r w:rsidR="005E1FFF">
              <w:rPr>
                <w:rFonts w:ascii="Arial" w:hAnsi="Arial" w:cs="Arial"/>
                <w:color w:val="000000"/>
              </w:rPr>
              <w:t xml:space="preserve"> (EGFR)</w:t>
            </w:r>
            <w:r w:rsidRPr="006B5404">
              <w:rPr>
                <w:rFonts w:ascii="Arial" w:hAnsi="Arial" w:cs="Arial"/>
                <w:color w:val="000000"/>
              </w:rPr>
              <w:t xml:space="preserve"> mutation positive NSCLC</w:t>
            </w:r>
            <w:r w:rsidR="00A52844">
              <w:rPr>
                <w:rFonts w:ascii="Arial" w:hAnsi="Arial" w:cs="Arial"/>
                <w:color w:val="000000"/>
              </w:rPr>
              <w:t>.</w:t>
            </w:r>
          </w:p>
        </w:tc>
        <w:tc>
          <w:tcPr>
            <w:tcW w:w="6604" w:type="dxa"/>
            <w:tcBorders>
              <w:top w:val="single" w:sz="4" w:space="0" w:color="auto"/>
              <w:left w:val="single" w:sz="4" w:space="0" w:color="auto"/>
              <w:bottom w:val="single" w:sz="4" w:space="0" w:color="auto"/>
              <w:right w:val="single" w:sz="4" w:space="0" w:color="auto"/>
            </w:tcBorders>
          </w:tcPr>
          <w:p w14:paraId="3E4CE566" w14:textId="6D2A7FDE" w:rsidR="00646CDE" w:rsidRDefault="00646CDE" w:rsidP="00646CDE">
            <w:pPr>
              <w:rPr>
                <w:rFonts w:ascii="Arial" w:hAnsi="Arial" w:cs="Arial"/>
                <w:color w:val="000000"/>
              </w:rPr>
            </w:pPr>
            <w:r w:rsidRPr="006B5404">
              <w:rPr>
                <w:rFonts w:ascii="Arial" w:hAnsi="Arial" w:cs="Arial"/>
                <w:color w:val="000000"/>
              </w:rPr>
              <w:t xml:space="preserve">The PBAC recommended the listing of </w:t>
            </w:r>
            <w:proofErr w:type="spellStart"/>
            <w:r w:rsidRPr="006B5404">
              <w:rPr>
                <w:rFonts w:ascii="Arial" w:hAnsi="Arial" w:cs="Arial"/>
                <w:color w:val="000000"/>
              </w:rPr>
              <w:t>osimertinib</w:t>
            </w:r>
            <w:proofErr w:type="spellEnd"/>
            <w:r w:rsidRPr="006B5404">
              <w:rPr>
                <w:rFonts w:ascii="Arial" w:hAnsi="Arial" w:cs="Arial"/>
                <w:color w:val="000000"/>
              </w:rPr>
              <w:t xml:space="preserve"> for the first-line treatment of locally advanced or metastat</w:t>
            </w:r>
            <w:r w:rsidR="005E1FFF">
              <w:rPr>
                <w:rFonts w:ascii="Arial" w:hAnsi="Arial" w:cs="Arial"/>
                <w:color w:val="000000"/>
              </w:rPr>
              <w:t>ic (Stage IIIB or IV), EGFR</w:t>
            </w:r>
            <w:r w:rsidRPr="006B5404">
              <w:rPr>
                <w:rFonts w:ascii="Arial" w:hAnsi="Arial" w:cs="Arial"/>
                <w:color w:val="000000"/>
              </w:rPr>
              <w:t xml:space="preserve"> mutation posi</w:t>
            </w:r>
            <w:r w:rsidR="005E1FFF">
              <w:rPr>
                <w:rFonts w:ascii="Arial" w:hAnsi="Arial" w:cs="Arial"/>
                <w:color w:val="000000"/>
              </w:rPr>
              <w:t>tive, NSCLC</w:t>
            </w:r>
            <w:r w:rsidRPr="006B5404">
              <w:rPr>
                <w:rFonts w:ascii="Arial" w:hAnsi="Arial" w:cs="Arial"/>
                <w:color w:val="000000"/>
              </w:rPr>
              <w:t xml:space="preserve">. The PBAC considered treatment with </w:t>
            </w:r>
            <w:proofErr w:type="spellStart"/>
            <w:r w:rsidRPr="006B5404">
              <w:rPr>
                <w:rFonts w:ascii="Arial" w:hAnsi="Arial" w:cs="Arial"/>
                <w:color w:val="000000"/>
              </w:rPr>
              <w:t>osimertinib</w:t>
            </w:r>
            <w:proofErr w:type="spellEnd"/>
            <w:r w:rsidRPr="006B5404">
              <w:rPr>
                <w:rFonts w:ascii="Arial" w:hAnsi="Arial" w:cs="Arial"/>
                <w:color w:val="000000"/>
              </w:rPr>
              <w:t xml:space="preserve"> provided an improvement in progression free survival, overall survival and safety compared to treatment with PBS listed EGFR  tyrosine kinase inhibitors. </w:t>
            </w:r>
          </w:p>
          <w:p w14:paraId="0C7AFCEC" w14:textId="77777777" w:rsidR="00646CDE" w:rsidRDefault="00646CDE" w:rsidP="00646CDE">
            <w:pPr>
              <w:rPr>
                <w:rFonts w:ascii="Arial" w:hAnsi="Arial" w:cs="Arial"/>
                <w:color w:val="000000"/>
              </w:rPr>
            </w:pPr>
          </w:p>
          <w:p w14:paraId="1C5D6515" w14:textId="3D470C98" w:rsidR="00646CDE" w:rsidRPr="004F305B" w:rsidRDefault="004F305B" w:rsidP="008701F7">
            <w:pPr>
              <w:rPr>
                <w:rFonts w:ascii="Arial" w:hAnsi="Arial" w:cs="Arial"/>
                <w:color w:val="000000"/>
              </w:rPr>
            </w:pPr>
            <w:r>
              <w:rPr>
                <w:rFonts w:ascii="Arial" w:hAnsi="Arial" w:cs="Arial"/>
                <w:color w:val="000000"/>
              </w:rPr>
              <w:t xml:space="preserve">The PBAC recommended listing </w:t>
            </w:r>
            <w:r w:rsidR="008701F7">
              <w:rPr>
                <w:rFonts w:ascii="Arial" w:hAnsi="Arial" w:cs="Arial"/>
                <w:color w:val="000000"/>
              </w:rPr>
              <w:t>based on</w:t>
            </w:r>
            <w:r>
              <w:rPr>
                <w:rFonts w:ascii="Arial" w:hAnsi="Arial" w:cs="Arial"/>
                <w:color w:val="000000"/>
              </w:rPr>
              <w:t xml:space="preserve"> </w:t>
            </w:r>
            <w:r w:rsidR="00A52844">
              <w:rPr>
                <w:rFonts w:ascii="Arial" w:hAnsi="Arial" w:cs="Arial"/>
                <w:color w:val="000000"/>
              </w:rPr>
              <w:t>the incremental cost-</w:t>
            </w:r>
            <w:r w:rsidR="00646CDE" w:rsidRPr="006B5404">
              <w:rPr>
                <w:rFonts w:ascii="Arial" w:hAnsi="Arial" w:cs="Arial"/>
                <w:color w:val="000000"/>
              </w:rPr>
              <w:t>effectiveness ratio proposed in the Sponsor’s pre-PBAC response.</w:t>
            </w:r>
          </w:p>
        </w:tc>
      </w:tr>
      <w:tr w:rsidR="00646CDE" w:rsidRPr="006B5404" w14:paraId="19ECA9DC" w14:textId="77777777" w:rsidTr="00891EAA">
        <w:trPr>
          <w:cantSplit/>
          <w:trHeight w:val="430"/>
        </w:trPr>
        <w:tc>
          <w:tcPr>
            <w:tcW w:w="3681" w:type="dxa"/>
            <w:tcBorders>
              <w:top w:val="nil"/>
              <w:left w:val="single" w:sz="4" w:space="0" w:color="auto"/>
              <w:bottom w:val="single" w:sz="4" w:space="0" w:color="auto"/>
              <w:right w:val="single" w:sz="4" w:space="0" w:color="auto"/>
            </w:tcBorders>
            <w:shd w:val="clear" w:color="auto" w:fill="auto"/>
            <w:tcMar>
              <w:top w:w="28" w:type="dxa"/>
              <w:bottom w:w="28" w:type="dxa"/>
            </w:tcMar>
          </w:tcPr>
          <w:p w14:paraId="54BBC15A" w14:textId="72CD656A" w:rsidR="00646CDE" w:rsidRPr="00C57B30" w:rsidRDefault="00646CDE" w:rsidP="00646CDE">
            <w:pPr>
              <w:rPr>
                <w:rFonts w:ascii="Arial" w:hAnsi="Arial" w:cs="Arial"/>
                <w:color w:val="000000"/>
              </w:rPr>
            </w:pPr>
            <w:r w:rsidRPr="00C57B30">
              <w:rPr>
                <w:rFonts w:ascii="Arial" w:hAnsi="Arial" w:cs="Arial"/>
                <w:color w:val="000000"/>
              </w:rPr>
              <w:t>PARACETAMOL</w:t>
            </w:r>
            <w:r w:rsidRPr="00C57B30">
              <w:rPr>
                <w:rFonts w:ascii="Arial" w:hAnsi="Arial" w:cs="Arial"/>
                <w:color w:val="000000"/>
              </w:rPr>
              <w:br/>
            </w:r>
            <w:r w:rsidRPr="00C57B30">
              <w:rPr>
                <w:rFonts w:ascii="Arial" w:hAnsi="Arial" w:cs="Arial"/>
                <w:color w:val="000000"/>
              </w:rPr>
              <w:br/>
              <w:t>Supp</w:t>
            </w:r>
            <w:r>
              <w:rPr>
                <w:rFonts w:ascii="Arial" w:hAnsi="Arial" w:cs="Arial"/>
                <w:color w:val="000000"/>
              </w:rPr>
              <w:t>ositories 500 mg, 24</w:t>
            </w:r>
            <w:r>
              <w:rPr>
                <w:rFonts w:ascii="Arial" w:hAnsi="Arial" w:cs="Arial"/>
                <w:color w:val="000000"/>
              </w:rPr>
              <w:br/>
            </w:r>
            <w:r>
              <w:rPr>
                <w:rFonts w:ascii="Arial" w:hAnsi="Arial" w:cs="Arial"/>
                <w:color w:val="000000"/>
              </w:rPr>
              <w:br/>
              <w:t>Panadol</w:t>
            </w:r>
            <w:r w:rsidR="00CE2E56">
              <w:rPr>
                <w:rFonts w:ascii="Arial" w:hAnsi="Arial" w:cs="Arial"/>
                <w:color w:val="000000"/>
              </w:rPr>
              <w:t>®</w:t>
            </w:r>
            <w:r w:rsidRPr="00C57B30">
              <w:rPr>
                <w:rFonts w:ascii="Arial" w:hAnsi="Arial" w:cs="Arial"/>
                <w:color w:val="000000"/>
              </w:rPr>
              <w:br/>
            </w:r>
            <w:r w:rsidRPr="00C57B30">
              <w:rPr>
                <w:rFonts w:ascii="Arial" w:hAnsi="Arial" w:cs="Arial"/>
                <w:color w:val="000000"/>
              </w:rPr>
              <w:br/>
            </w:r>
            <w:proofErr w:type="spellStart"/>
            <w:r w:rsidRPr="00C57B30">
              <w:rPr>
                <w:rFonts w:ascii="Arial" w:hAnsi="Arial" w:cs="Arial"/>
                <w:color w:val="000000"/>
              </w:rPr>
              <w:t>Glaxosmithkline</w:t>
            </w:r>
            <w:proofErr w:type="spellEnd"/>
            <w:r w:rsidRPr="00C57B30">
              <w:rPr>
                <w:rFonts w:ascii="Arial" w:hAnsi="Arial" w:cs="Arial"/>
                <w:color w:val="000000"/>
              </w:rPr>
              <w:t xml:space="preserve"> Austral</w:t>
            </w:r>
            <w:r w:rsidR="005479DE">
              <w:rPr>
                <w:rFonts w:ascii="Arial" w:hAnsi="Arial" w:cs="Arial"/>
                <w:color w:val="000000"/>
              </w:rPr>
              <w:t>ia Pty Ltd</w:t>
            </w:r>
            <w:r w:rsidR="005479DE">
              <w:rPr>
                <w:rFonts w:ascii="Arial" w:hAnsi="Arial" w:cs="Arial"/>
                <w:color w:val="000000"/>
              </w:rPr>
              <w:br/>
            </w:r>
            <w:r w:rsidR="005479DE">
              <w:rPr>
                <w:rFonts w:ascii="Arial" w:hAnsi="Arial" w:cs="Arial"/>
                <w:color w:val="000000"/>
              </w:rPr>
              <w:br/>
              <w:t>Change to listing</w:t>
            </w:r>
            <w:r w:rsidR="005479DE">
              <w:rPr>
                <w:rFonts w:ascii="Arial" w:hAnsi="Arial" w:cs="Arial"/>
                <w:color w:val="000000"/>
              </w:rPr>
              <w:br/>
              <w:t>(M</w:t>
            </w:r>
            <w:r w:rsidRPr="00C57B30">
              <w:rPr>
                <w:rFonts w:ascii="Arial" w:hAnsi="Arial" w:cs="Arial"/>
                <w:color w:val="000000"/>
              </w:rPr>
              <w:t>inor Submission)</w:t>
            </w:r>
          </w:p>
          <w:p w14:paraId="320D2295" w14:textId="77777777" w:rsidR="00646CDE" w:rsidRPr="00C57B30" w:rsidRDefault="00646CDE" w:rsidP="00646CDE">
            <w:pPr>
              <w:rPr>
                <w:rFonts w:ascii="Arial" w:hAnsi="Arial" w:cs="Arial"/>
                <w:color w:val="000000"/>
              </w:rPr>
            </w:pPr>
          </w:p>
        </w:tc>
        <w:tc>
          <w:tcPr>
            <w:tcW w:w="2401" w:type="dxa"/>
            <w:tcBorders>
              <w:top w:val="nil"/>
              <w:left w:val="nil"/>
              <w:bottom w:val="single" w:sz="4" w:space="0" w:color="auto"/>
              <w:right w:val="single" w:sz="4" w:space="0" w:color="auto"/>
            </w:tcBorders>
            <w:shd w:val="clear" w:color="auto" w:fill="auto"/>
            <w:tcMar>
              <w:top w:w="28" w:type="dxa"/>
              <w:bottom w:w="28" w:type="dxa"/>
            </w:tcMar>
          </w:tcPr>
          <w:p w14:paraId="06533DCC" w14:textId="77777777" w:rsidR="00646CDE" w:rsidRPr="00C57B30" w:rsidRDefault="00646CDE" w:rsidP="00646CDE">
            <w:pPr>
              <w:rPr>
                <w:rFonts w:ascii="Arial" w:hAnsi="Arial" w:cs="Arial"/>
                <w:color w:val="000000"/>
              </w:rPr>
            </w:pPr>
            <w:r w:rsidRPr="00C57B30">
              <w:rPr>
                <w:rFonts w:ascii="Arial" w:hAnsi="Arial" w:cs="Arial"/>
                <w:color w:val="000000"/>
              </w:rPr>
              <w:t>Palliative care</w:t>
            </w:r>
          </w:p>
          <w:p w14:paraId="3CF472B0" w14:textId="77777777" w:rsidR="00646CDE" w:rsidRPr="00C57B30" w:rsidRDefault="00646CDE" w:rsidP="00646CDE">
            <w:pPr>
              <w:rPr>
                <w:rFonts w:ascii="Arial" w:hAnsi="Arial" w:cs="Arial"/>
                <w:color w:val="000000"/>
              </w:rPr>
            </w:pPr>
          </w:p>
        </w:tc>
        <w:tc>
          <w:tcPr>
            <w:tcW w:w="2702" w:type="dxa"/>
            <w:tcBorders>
              <w:top w:val="nil"/>
              <w:left w:val="nil"/>
              <w:bottom w:val="single" w:sz="4" w:space="0" w:color="auto"/>
              <w:right w:val="single" w:sz="4" w:space="0" w:color="auto"/>
            </w:tcBorders>
            <w:shd w:val="clear" w:color="auto" w:fill="auto"/>
            <w:tcMar>
              <w:top w:w="28" w:type="dxa"/>
              <w:bottom w:w="28" w:type="dxa"/>
            </w:tcMar>
          </w:tcPr>
          <w:p w14:paraId="1895EB7B" w14:textId="7FCEB62C" w:rsidR="00646CDE" w:rsidRPr="00C57B30" w:rsidRDefault="00646CDE" w:rsidP="00646CDE">
            <w:pPr>
              <w:rPr>
                <w:rFonts w:ascii="Arial" w:hAnsi="Arial" w:cs="Arial"/>
                <w:color w:val="000000"/>
              </w:rPr>
            </w:pPr>
            <w:r w:rsidRPr="00C57B30">
              <w:rPr>
                <w:rFonts w:ascii="Arial" w:hAnsi="Arial" w:cs="Arial"/>
                <w:color w:val="000000"/>
              </w:rPr>
              <w:t xml:space="preserve">To request a change to </w:t>
            </w:r>
            <w:r w:rsidR="00FC4EBB">
              <w:rPr>
                <w:rFonts w:ascii="Arial" w:hAnsi="Arial" w:cs="Arial"/>
                <w:color w:val="000000"/>
              </w:rPr>
              <w:t xml:space="preserve">the PBS </w:t>
            </w:r>
            <w:r w:rsidRPr="00C57B30">
              <w:rPr>
                <w:rFonts w:ascii="Arial" w:hAnsi="Arial" w:cs="Arial"/>
                <w:color w:val="000000"/>
              </w:rPr>
              <w:t>listing with amended packaged quantity and a price change.</w:t>
            </w:r>
          </w:p>
          <w:p w14:paraId="08E0AB7F" w14:textId="77777777" w:rsidR="00646CDE" w:rsidRPr="00C57B30" w:rsidRDefault="00646CDE" w:rsidP="00646CDE">
            <w:pPr>
              <w:rPr>
                <w:rFonts w:ascii="Arial" w:hAnsi="Arial" w:cs="Arial"/>
                <w:color w:val="000000"/>
              </w:rPr>
            </w:pPr>
          </w:p>
        </w:tc>
        <w:tc>
          <w:tcPr>
            <w:tcW w:w="6604" w:type="dxa"/>
            <w:tcBorders>
              <w:top w:val="single" w:sz="4" w:space="0" w:color="auto"/>
              <w:left w:val="single" w:sz="4" w:space="0" w:color="auto"/>
              <w:bottom w:val="single" w:sz="4" w:space="0" w:color="auto"/>
              <w:right w:val="single" w:sz="4" w:space="0" w:color="auto"/>
            </w:tcBorders>
          </w:tcPr>
          <w:p w14:paraId="50B91C44" w14:textId="47CD7FC6" w:rsidR="00646CDE" w:rsidRPr="00C57B30" w:rsidRDefault="00646CDE" w:rsidP="00646CDE">
            <w:pPr>
              <w:rPr>
                <w:rFonts w:ascii="Arial" w:hAnsi="Arial" w:cs="Arial"/>
                <w:color w:val="000000"/>
              </w:rPr>
            </w:pPr>
            <w:r w:rsidRPr="00C57B30">
              <w:rPr>
                <w:rFonts w:ascii="Arial" w:hAnsi="Arial" w:cs="Arial"/>
                <w:color w:val="000000"/>
              </w:rPr>
              <w:t>The PBAC recommended the listing of paracetamol suppositories 500</w:t>
            </w:r>
            <w:r w:rsidR="008701F7">
              <w:rPr>
                <w:rFonts w:ascii="Arial" w:hAnsi="Arial" w:cs="Arial"/>
                <w:color w:val="000000"/>
              </w:rPr>
              <w:t> </w:t>
            </w:r>
            <w:r w:rsidRPr="00C57B30">
              <w:rPr>
                <w:rFonts w:ascii="Arial" w:hAnsi="Arial" w:cs="Arial"/>
                <w:color w:val="000000"/>
              </w:rPr>
              <w:t>mg, 10 (Panado</w:t>
            </w:r>
            <w:r w:rsidR="005E1FFF">
              <w:rPr>
                <w:rFonts w:ascii="Arial" w:hAnsi="Arial" w:cs="Arial"/>
                <w:color w:val="000000"/>
              </w:rPr>
              <w:t>l®</w:t>
            </w:r>
            <w:r w:rsidR="00232181">
              <w:rPr>
                <w:rFonts w:ascii="Arial" w:hAnsi="Arial" w:cs="Arial"/>
                <w:color w:val="000000"/>
              </w:rPr>
              <w:t xml:space="preserve"> </w:t>
            </w:r>
            <w:r w:rsidRPr="00C57B30">
              <w:rPr>
                <w:rFonts w:ascii="Arial" w:hAnsi="Arial" w:cs="Arial"/>
                <w:color w:val="000000"/>
              </w:rPr>
              <w:t>10) with the same conditions as the currently listed paracetamol suppositories 500 mg, 24 (Panadol</w:t>
            </w:r>
            <w:r w:rsidR="00232181">
              <w:rPr>
                <w:rFonts w:ascii="Arial" w:hAnsi="Arial" w:cs="Arial"/>
                <w:color w:val="000000"/>
              </w:rPr>
              <w:t>®</w:t>
            </w:r>
            <w:r w:rsidRPr="00C57B30">
              <w:rPr>
                <w:rFonts w:ascii="Arial" w:hAnsi="Arial" w:cs="Arial"/>
                <w:color w:val="000000"/>
              </w:rPr>
              <w:t xml:space="preserve"> 24) with an increased maximum quantity of 10 packs. The PB</w:t>
            </w:r>
            <w:r w:rsidR="00A65E04">
              <w:rPr>
                <w:rFonts w:ascii="Arial" w:hAnsi="Arial" w:cs="Arial"/>
                <w:color w:val="000000"/>
              </w:rPr>
              <w:t xml:space="preserve">AC recommended listing based on </w:t>
            </w:r>
            <w:r w:rsidRPr="00C57B30">
              <w:rPr>
                <w:rFonts w:ascii="Arial" w:hAnsi="Arial" w:cs="Arial"/>
                <w:color w:val="000000"/>
              </w:rPr>
              <w:t>the importance of continued access to paracetamol suppository products for a small, targeted group of palliative care patients for whom the product is currently subsidised. The PBAC considered that the cost effectiveness of Panadol</w:t>
            </w:r>
            <w:r w:rsidR="00BC009B">
              <w:rPr>
                <w:rFonts w:ascii="Arial" w:hAnsi="Arial" w:cs="Arial"/>
                <w:color w:val="000000"/>
              </w:rPr>
              <w:t>®</w:t>
            </w:r>
            <w:r w:rsidR="00BC009B" w:rsidRPr="00F52F22">
              <w:rPr>
                <w:rFonts w:ascii="Arial" w:hAnsi="Arial" w:cs="Arial"/>
                <w:color w:val="000000"/>
                <w:vertAlign w:val="superscript"/>
              </w:rPr>
              <w:t xml:space="preserve"> </w:t>
            </w:r>
            <w:r w:rsidRPr="00C57B30">
              <w:rPr>
                <w:rFonts w:ascii="Arial" w:hAnsi="Arial" w:cs="Arial"/>
                <w:color w:val="000000"/>
              </w:rPr>
              <w:t>10 would be acceptable if it was priced with a small premium and that the price of Panadol</w:t>
            </w:r>
            <w:r w:rsidR="00BC009B">
              <w:rPr>
                <w:rFonts w:ascii="Arial" w:hAnsi="Arial" w:cs="Arial"/>
                <w:color w:val="000000"/>
              </w:rPr>
              <w:t>®</w:t>
            </w:r>
            <w:r w:rsidR="00BC009B" w:rsidRPr="00F52F22">
              <w:rPr>
                <w:rFonts w:ascii="Arial" w:hAnsi="Arial" w:cs="Arial"/>
                <w:color w:val="000000"/>
                <w:vertAlign w:val="superscript"/>
              </w:rPr>
              <w:t xml:space="preserve"> </w:t>
            </w:r>
            <w:r w:rsidRPr="00C57B30">
              <w:rPr>
                <w:rFonts w:ascii="Arial" w:hAnsi="Arial" w:cs="Arial"/>
                <w:color w:val="000000"/>
              </w:rPr>
              <w:t>24 should also be negotiated to allow for proportional pricing of this pharmaceutical item.</w:t>
            </w:r>
          </w:p>
          <w:p w14:paraId="2E1FEDA5" w14:textId="77777777" w:rsidR="00646CDE" w:rsidRPr="00C57B30" w:rsidRDefault="00646CDE" w:rsidP="00646CDE">
            <w:pPr>
              <w:rPr>
                <w:rFonts w:ascii="Arial" w:hAnsi="Arial" w:cs="Arial"/>
                <w:color w:val="000000"/>
              </w:rPr>
            </w:pPr>
          </w:p>
        </w:tc>
      </w:tr>
      <w:tr w:rsidR="00646CDE" w:rsidRPr="006B5404" w14:paraId="4FAF5C84" w14:textId="77777777" w:rsidTr="00891EAA">
        <w:trPr>
          <w:cantSplit/>
          <w:trHeight w:val="430"/>
        </w:trPr>
        <w:tc>
          <w:tcPr>
            <w:tcW w:w="3681" w:type="dxa"/>
            <w:tcBorders>
              <w:top w:val="nil"/>
              <w:left w:val="single" w:sz="4" w:space="0" w:color="auto"/>
              <w:bottom w:val="single" w:sz="4" w:space="0" w:color="auto"/>
              <w:right w:val="single" w:sz="4" w:space="0" w:color="auto"/>
            </w:tcBorders>
            <w:shd w:val="clear" w:color="auto" w:fill="auto"/>
            <w:tcMar>
              <w:top w:w="28" w:type="dxa"/>
              <w:bottom w:w="28" w:type="dxa"/>
            </w:tcMar>
          </w:tcPr>
          <w:p w14:paraId="310071BF" w14:textId="12371D85" w:rsidR="00646CDE" w:rsidRPr="00A10165" w:rsidRDefault="00646CDE" w:rsidP="00646CDE">
            <w:pPr>
              <w:rPr>
                <w:rFonts w:ascii="Arial" w:hAnsi="Arial" w:cs="Arial"/>
                <w:color w:val="000000"/>
              </w:rPr>
            </w:pPr>
            <w:r w:rsidRPr="00A10165">
              <w:rPr>
                <w:rFonts w:ascii="Arial" w:hAnsi="Arial" w:cs="Arial"/>
                <w:color w:val="000000"/>
              </w:rPr>
              <w:lastRenderedPageBreak/>
              <w:t>PROTEIN FORMULA  WITH VITAMINS AND MINERALS, LOW IN POTASSIUM, PHOSPHORUS, CA</w:t>
            </w:r>
            <w:r w:rsidR="0056400F">
              <w:rPr>
                <w:rFonts w:ascii="Arial" w:hAnsi="Arial" w:cs="Arial"/>
                <w:color w:val="000000"/>
              </w:rPr>
              <w:t>LCIUM, CHLORIDE AND VITAMIN A</w:t>
            </w:r>
            <w:r w:rsidR="0056400F">
              <w:rPr>
                <w:rFonts w:ascii="Arial" w:hAnsi="Arial" w:cs="Arial"/>
                <w:color w:val="000000"/>
              </w:rPr>
              <w:br/>
            </w:r>
            <w:r w:rsidR="0056400F">
              <w:rPr>
                <w:rFonts w:ascii="Arial" w:hAnsi="Arial" w:cs="Arial"/>
                <w:color w:val="000000"/>
              </w:rPr>
              <w:br/>
              <w:t>O</w:t>
            </w:r>
            <w:r w:rsidRPr="00A10165">
              <w:rPr>
                <w:rFonts w:ascii="Arial" w:hAnsi="Arial" w:cs="Arial"/>
                <w:color w:val="000000"/>
              </w:rPr>
              <w:t>r</w:t>
            </w:r>
            <w:r>
              <w:rPr>
                <w:rFonts w:ascii="Arial" w:hAnsi="Arial" w:cs="Arial"/>
                <w:color w:val="000000"/>
              </w:rPr>
              <w:t>al liquid 125 mL, 24</w:t>
            </w:r>
            <w:r>
              <w:rPr>
                <w:rFonts w:ascii="Arial" w:hAnsi="Arial" w:cs="Arial"/>
                <w:color w:val="000000"/>
              </w:rPr>
              <w:br/>
            </w:r>
            <w:r>
              <w:rPr>
                <w:rFonts w:ascii="Arial" w:hAnsi="Arial" w:cs="Arial"/>
                <w:color w:val="000000"/>
              </w:rPr>
              <w:br/>
            </w:r>
            <w:proofErr w:type="spellStart"/>
            <w:r>
              <w:rPr>
                <w:rFonts w:ascii="Arial" w:hAnsi="Arial" w:cs="Arial"/>
                <w:color w:val="000000"/>
              </w:rPr>
              <w:t>Renaste</w:t>
            </w:r>
            <w:r w:rsidR="004F305B">
              <w:rPr>
                <w:rFonts w:ascii="Arial" w:hAnsi="Arial" w:cs="Arial"/>
                <w:color w:val="000000"/>
              </w:rPr>
              <w:t>p</w:t>
            </w:r>
            <w:proofErr w:type="spellEnd"/>
            <w:r w:rsidR="004F305B">
              <w:rPr>
                <w:rFonts w:ascii="Arial" w:hAnsi="Arial" w:cs="Arial"/>
                <w:color w:val="000000"/>
              </w:rPr>
              <w:t>®</w:t>
            </w:r>
            <w:r w:rsidRPr="00A10165">
              <w:rPr>
                <w:rFonts w:ascii="Arial" w:hAnsi="Arial" w:cs="Arial"/>
                <w:color w:val="000000"/>
              </w:rPr>
              <w:br/>
            </w:r>
            <w:r w:rsidRPr="00A10165">
              <w:rPr>
                <w:rFonts w:ascii="Arial" w:hAnsi="Arial" w:cs="Arial"/>
                <w:color w:val="000000"/>
              </w:rPr>
              <w:br/>
            </w:r>
            <w:proofErr w:type="spellStart"/>
            <w:r w:rsidRPr="00A10165">
              <w:rPr>
                <w:rFonts w:ascii="Arial" w:hAnsi="Arial" w:cs="Arial"/>
                <w:color w:val="000000"/>
              </w:rPr>
              <w:t>Vitaflo</w:t>
            </w:r>
            <w:proofErr w:type="spellEnd"/>
            <w:r w:rsidRPr="00A10165">
              <w:rPr>
                <w:rFonts w:ascii="Arial" w:hAnsi="Arial" w:cs="Arial"/>
                <w:color w:val="000000"/>
              </w:rPr>
              <w:t xml:space="preserve"> Australia Pty Ltd</w:t>
            </w:r>
            <w:r w:rsidRPr="00A10165">
              <w:rPr>
                <w:rFonts w:ascii="Arial" w:hAnsi="Arial" w:cs="Arial"/>
                <w:color w:val="000000"/>
              </w:rPr>
              <w:br/>
            </w:r>
            <w:r w:rsidRPr="00A10165">
              <w:rPr>
                <w:rFonts w:ascii="Arial" w:hAnsi="Arial" w:cs="Arial"/>
                <w:color w:val="000000"/>
              </w:rPr>
              <w:br/>
              <w:t>New listing</w:t>
            </w:r>
            <w:r w:rsidRPr="00A10165">
              <w:rPr>
                <w:rFonts w:ascii="Arial" w:hAnsi="Arial" w:cs="Arial"/>
                <w:color w:val="000000"/>
              </w:rPr>
              <w:br/>
              <w:t>(Minor Submission)</w:t>
            </w:r>
          </w:p>
          <w:p w14:paraId="18AD792B" w14:textId="77777777" w:rsidR="00646CDE" w:rsidRPr="00A10165" w:rsidRDefault="00646CDE" w:rsidP="00646CDE">
            <w:pPr>
              <w:rPr>
                <w:rFonts w:ascii="Arial" w:hAnsi="Arial" w:cs="Arial"/>
                <w:color w:val="000000"/>
              </w:rPr>
            </w:pPr>
          </w:p>
        </w:tc>
        <w:tc>
          <w:tcPr>
            <w:tcW w:w="2401" w:type="dxa"/>
            <w:tcBorders>
              <w:top w:val="nil"/>
              <w:left w:val="nil"/>
              <w:bottom w:val="single" w:sz="4" w:space="0" w:color="auto"/>
              <w:right w:val="single" w:sz="4" w:space="0" w:color="auto"/>
            </w:tcBorders>
            <w:shd w:val="clear" w:color="auto" w:fill="auto"/>
            <w:tcMar>
              <w:top w:w="28" w:type="dxa"/>
              <w:bottom w:w="28" w:type="dxa"/>
            </w:tcMar>
          </w:tcPr>
          <w:p w14:paraId="33534965" w14:textId="13C6FD45" w:rsidR="00646CDE" w:rsidRPr="00A10165" w:rsidRDefault="00646CDE" w:rsidP="00646CDE">
            <w:pPr>
              <w:rPr>
                <w:rFonts w:ascii="Arial" w:hAnsi="Arial" w:cs="Arial"/>
                <w:color w:val="000000"/>
              </w:rPr>
            </w:pPr>
            <w:r w:rsidRPr="00A10165">
              <w:rPr>
                <w:rFonts w:ascii="Arial" w:hAnsi="Arial" w:cs="Arial"/>
                <w:color w:val="000000"/>
              </w:rPr>
              <w:t>Chronic renal failure</w:t>
            </w:r>
            <w:r w:rsidR="004F305B">
              <w:rPr>
                <w:rFonts w:ascii="Arial" w:hAnsi="Arial" w:cs="Arial"/>
                <w:color w:val="000000"/>
              </w:rPr>
              <w:t xml:space="preserve"> (CRF)</w:t>
            </w:r>
          </w:p>
          <w:p w14:paraId="520E28EF" w14:textId="77777777" w:rsidR="00646CDE" w:rsidRPr="00A10165" w:rsidRDefault="00646CDE" w:rsidP="00646CDE">
            <w:pPr>
              <w:rPr>
                <w:rFonts w:ascii="Arial" w:hAnsi="Arial" w:cs="Arial"/>
                <w:color w:val="000000"/>
              </w:rPr>
            </w:pPr>
          </w:p>
        </w:tc>
        <w:tc>
          <w:tcPr>
            <w:tcW w:w="2702" w:type="dxa"/>
            <w:tcBorders>
              <w:top w:val="nil"/>
              <w:left w:val="nil"/>
              <w:bottom w:val="single" w:sz="4" w:space="0" w:color="auto"/>
              <w:right w:val="single" w:sz="4" w:space="0" w:color="auto"/>
            </w:tcBorders>
            <w:shd w:val="clear" w:color="auto" w:fill="auto"/>
            <w:tcMar>
              <w:top w:w="28" w:type="dxa"/>
              <w:bottom w:w="28" w:type="dxa"/>
            </w:tcMar>
          </w:tcPr>
          <w:p w14:paraId="3EFD67AB" w14:textId="31786149" w:rsidR="00646CDE" w:rsidRPr="00A10165" w:rsidRDefault="00646CDE" w:rsidP="00646CDE">
            <w:pPr>
              <w:rPr>
                <w:rFonts w:ascii="Arial" w:hAnsi="Arial" w:cs="Arial"/>
                <w:color w:val="000000"/>
              </w:rPr>
            </w:pPr>
            <w:r w:rsidRPr="00A10165">
              <w:rPr>
                <w:rFonts w:ascii="Arial" w:hAnsi="Arial" w:cs="Arial"/>
                <w:color w:val="000000"/>
              </w:rPr>
              <w:t xml:space="preserve">Resubmission to request the Authority Required (STREAMLINED) listing of </w:t>
            </w:r>
            <w:proofErr w:type="spellStart"/>
            <w:r w:rsidRPr="00A10165">
              <w:rPr>
                <w:rFonts w:ascii="Arial" w:hAnsi="Arial" w:cs="Arial"/>
                <w:color w:val="000000"/>
              </w:rPr>
              <w:t>Renastep</w:t>
            </w:r>
            <w:proofErr w:type="spellEnd"/>
            <w:r w:rsidR="0085463E">
              <w:rPr>
                <w:rFonts w:ascii="Arial" w:hAnsi="Arial" w:cs="Arial"/>
                <w:color w:val="000000"/>
              </w:rPr>
              <w:t>®</w:t>
            </w:r>
            <w:r w:rsidRPr="00A10165">
              <w:rPr>
                <w:rFonts w:ascii="Arial" w:hAnsi="Arial" w:cs="Arial"/>
                <w:color w:val="000000"/>
              </w:rPr>
              <w:t xml:space="preserve"> for the dietary managem</w:t>
            </w:r>
            <w:r w:rsidR="004F305B">
              <w:rPr>
                <w:rFonts w:ascii="Arial" w:hAnsi="Arial" w:cs="Arial"/>
                <w:color w:val="000000"/>
              </w:rPr>
              <w:t xml:space="preserve">ent of children aged 3-18 years with CRF. </w:t>
            </w:r>
          </w:p>
          <w:p w14:paraId="044534A7" w14:textId="77777777" w:rsidR="00646CDE" w:rsidRPr="00A10165" w:rsidRDefault="00646CDE" w:rsidP="00646CDE">
            <w:pPr>
              <w:rPr>
                <w:rFonts w:ascii="Arial" w:hAnsi="Arial" w:cs="Arial"/>
                <w:color w:val="000000"/>
              </w:rPr>
            </w:pPr>
          </w:p>
        </w:tc>
        <w:tc>
          <w:tcPr>
            <w:tcW w:w="6604" w:type="dxa"/>
            <w:tcBorders>
              <w:top w:val="single" w:sz="4" w:space="0" w:color="auto"/>
              <w:left w:val="single" w:sz="4" w:space="0" w:color="auto"/>
              <w:bottom w:val="single" w:sz="4" w:space="0" w:color="auto"/>
              <w:right w:val="single" w:sz="4" w:space="0" w:color="auto"/>
            </w:tcBorders>
          </w:tcPr>
          <w:p w14:paraId="230D1862" w14:textId="20C8F48E" w:rsidR="00646CDE" w:rsidRPr="00A10165" w:rsidRDefault="00646CDE" w:rsidP="00646CDE">
            <w:pPr>
              <w:rPr>
                <w:rFonts w:ascii="Arial" w:hAnsi="Arial" w:cs="Arial"/>
                <w:color w:val="000000"/>
              </w:rPr>
            </w:pPr>
            <w:r w:rsidRPr="00A10165">
              <w:rPr>
                <w:rFonts w:ascii="Arial" w:hAnsi="Arial" w:cs="Arial"/>
                <w:color w:val="000000"/>
              </w:rPr>
              <w:t xml:space="preserve">The PBAC recommended the listing of </w:t>
            </w:r>
            <w:proofErr w:type="spellStart"/>
            <w:r w:rsidRPr="00A10165">
              <w:rPr>
                <w:rFonts w:ascii="Arial" w:hAnsi="Arial" w:cs="Arial"/>
                <w:color w:val="000000"/>
              </w:rPr>
              <w:t>Renaste</w:t>
            </w:r>
            <w:r w:rsidR="004F305B">
              <w:rPr>
                <w:rFonts w:ascii="Arial" w:hAnsi="Arial" w:cs="Arial"/>
                <w:color w:val="000000"/>
              </w:rPr>
              <w:t>p</w:t>
            </w:r>
            <w:proofErr w:type="spellEnd"/>
            <w:r w:rsidR="004F305B">
              <w:rPr>
                <w:rFonts w:ascii="Arial" w:hAnsi="Arial" w:cs="Arial"/>
                <w:color w:val="000000"/>
              </w:rPr>
              <w:t>®</w:t>
            </w:r>
            <w:r w:rsidRPr="00A10165">
              <w:rPr>
                <w:rFonts w:ascii="Arial" w:hAnsi="Arial" w:cs="Arial"/>
                <w:color w:val="000000"/>
              </w:rPr>
              <w:t xml:space="preserve"> for the treatment of </w:t>
            </w:r>
            <w:r w:rsidR="004B349C">
              <w:rPr>
                <w:rFonts w:ascii="Arial" w:hAnsi="Arial" w:cs="Arial"/>
                <w:color w:val="000000"/>
              </w:rPr>
              <w:t>CRF</w:t>
            </w:r>
            <w:r w:rsidRPr="00A10165">
              <w:rPr>
                <w:rFonts w:ascii="Arial" w:hAnsi="Arial" w:cs="Arial"/>
                <w:color w:val="000000"/>
              </w:rPr>
              <w:t xml:space="preserve"> for</w:t>
            </w:r>
            <w:r w:rsidRPr="00A10165">
              <w:rPr>
                <w:rFonts w:ascii="Arial" w:hAnsi="Arial" w:cs="Arial"/>
                <w:b/>
                <w:bCs/>
                <w:color w:val="000000"/>
              </w:rPr>
              <w:t xml:space="preserve"> </w:t>
            </w:r>
            <w:r w:rsidRPr="00A10165">
              <w:rPr>
                <w:rFonts w:ascii="Arial" w:hAnsi="Arial" w:cs="Arial"/>
                <w:color w:val="000000"/>
              </w:rPr>
              <w:t>pat</w:t>
            </w:r>
            <w:r w:rsidR="004B349C">
              <w:rPr>
                <w:rFonts w:ascii="Arial" w:hAnsi="Arial" w:cs="Arial"/>
                <w:color w:val="000000"/>
              </w:rPr>
              <w:t>ients aged 3 or older on a cost-</w:t>
            </w:r>
            <w:r w:rsidRPr="00A10165">
              <w:rPr>
                <w:rFonts w:ascii="Arial" w:hAnsi="Arial" w:cs="Arial"/>
                <w:color w:val="000000"/>
              </w:rPr>
              <w:t>minimisation basis per cal</w:t>
            </w:r>
            <w:r w:rsidR="004B349C">
              <w:rPr>
                <w:rFonts w:ascii="Arial" w:hAnsi="Arial" w:cs="Arial"/>
                <w:color w:val="000000"/>
              </w:rPr>
              <w:t>orie of energy equivalent compared with</w:t>
            </w:r>
            <w:r w:rsidRPr="00A10165">
              <w:rPr>
                <w:rFonts w:ascii="Arial" w:hAnsi="Arial" w:cs="Arial"/>
                <w:color w:val="000000"/>
              </w:rPr>
              <w:t xml:space="preserve"> </w:t>
            </w:r>
            <w:proofErr w:type="spellStart"/>
            <w:r w:rsidRPr="00A10165">
              <w:rPr>
                <w:rFonts w:ascii="Arial" w:hAnsi="Arial" w:cs="Arial"/>
                <w:color w:val="000000"/>
              </w:rPr>
              <w:t>Kinderge</w:t>
            </w:r>
            <w:r w:rsidR="004F305B">
              <w:rPr>
                <w:rFonts w:ascii="Arial" w:hAnsi="Arial" w:cs="Arial"/>
                <w:color w:val="000000"/>
              </w:rPr>
              <w:t>n</w:t>
            </w:r>
            <w:proofErr w:type="spellEnd"/>
            <w:r w:rsidR="004F305B">
              <w:rPr>
                <w:rFonts w:ascii="Arial" w:hAnsi="Arial" w:cs="Arial"/>
                <w:color w:val="000000"/>
              </w:rPr>
              <w:t xml:space="preserve">®. </w:t>
            </w:r>
          </w:p>
          <w:p w14:paraId="6E01A1F6" w14:textId="77777777" w:rsidR="00646CDE" w:rsidRPr="00A10165" w:rsidRDefault="00646CDE" w:rsidP="00646CDE">
            <w:pPr>
              <w:rPr>
                <w:rFonts w:ascii="Arial" w:hAnsi="Arial" w:cs="Arial"/>
                <w:color w:val="000000"/>
              </w:rPr>
            </w:pPr>
          </w:p>
        </w:tc>
      </w:tr>
      <w:tr w:rsidR="00646CDE" w:rsidRPr="006B5404" w14:paraId="69A6FA20" w14:textId="77777777" w:rsidTr="00891EAA">
        <w:trPr>
          <w:cantSplit/>
          <w:trHeight w:val="430"/>
        </w:trPr>
        <w:tc>
          <w:tcPr>
            <w:tcW w:w="3681" w:type="dxa"/>
            <w:tcBorders>
              <w:top w:val="nil"/>
              <w:left w:val="single" w:sz="4" w:space="0" w:color="auto"/>
              <w:bottom w:val="single" w:sz="4" w:space="0" w:color="auto"/>
              <w:right w:val="single" w:sz="4" w:space="0" w:color="auto"/>
            </w:tcBorders>
            <w:shd w:val="clear" w:color="auto" w:fill="auto"/>
            <w:tcMar>
              <w:top w:w="28" w:type="dxa"/>
              <w:bottom w:w="28" w:type="dxa"/>
            </w:tcMar>
          </w:tcPr>
          <w:p w14:paraId="0BD56995" w14:textId="74F485B1" w:rsidR="00646CDE" w:rsidRPr="00A10165" w:rsidRDefault="00646CDE" w:rsidP="00646CDE">
            <w:pPr>
              <w:rPr>
                <w:rFonts w:ascii="Arial" w:hAnsi="Arial" w:cs="Arial"/>
                <w:color w:val="000000"/>
              </w:rPr>
            </w:pPr>
            <w:r w:rsidRPr="00A10165">
              <w:rPr>
                <w:rFonts w:ascii="Arial" w:hAnsi="Arial" w:cs="Arial"/>
                <w:color w:val="000000"/>
              </w:rPr>
              <w:t>QUADRIVALENT INFLUENZA VACCINE, SPLIT VIRION, INACTIVATED</w:t>
            </w:r>
            <w:r w:rsidRPr="00A10165">
              <w:rPr>
                <w:rFonts w:ascii="Arial" w:hAnsi="Arial" w:cs="Arial"/>
                <w:color w:val="000000"/>
              </w:rPr>
              <w:br/>
            </w:r>
            <w:r w:rsidRPr="00A10165">
              <w:rPr>
                <w:rFonts w:ascii="Arial" w:hAnsi="Arial" w:cs="Arial"/>
                <w:color w:val="000000"/>
              </w:rPr>
              <w:br/>
              <w:t>I</w:t>
            </w:r>
            <w:r>
              <w:rPr>
                <w:rFonts w:ascii="Arial" w:hAnsi="Arial" w:cs="Arial"/>
                <w:color w:val="000000"/>
              </w:rPr>
              <w:t>njection 0.5 mL</w:t>
            </w:r>
            <w:r>
              <w:rPr>
                <w:rFonts w:ascii="Arial" w:hAnsi="Arial" w:cs="Arial"/>
                <w:color w:val="000000"/>
              </w:rPr>
              <w:br/>
            </w:r>
            <w:r>
              <w:rPr>
                <w:rFonts w:ascii="Arial" w:hAnsi="Arial" w:cs="Arial"/>
                <w:color w:val="000000"/>
              </w:rPr>
              <w:br/>
            </w:r>
            <w:proofErr w:type="spellStart"/>
            <w:r>
              <w:rPr>
                <w:rFonts w:ascii="Arial" w:hAnsi="Arial" w:cs="Arial"/>
                <w:color w:val="000000"/>
              </w:rPr>
              <w:t>Fluarix</w:t>
            </w:r>
            <w:proofErr w:type="spellEnd"/>
            <w:r>
              <w:rPr>
                <w:rFonts w:ascii="Arial" w:hAnsi="Arial" w:cs="Arial"/>
                <w:color w:val="000000"/>
              </w:rPr>
              <w:t xml:space="preserve"> Tetr</w:t>
            </w:r>
            <w:r w:rsidR="004F305B">
              <w:rPr>
                <w:rFonts w:ascii="Arial" w:hAnsi="Arial" w:cs="Arial"/>
                <w:color w:val="000000"/>
              </w:rPr>
              <w:t>a®</w:t>
            </w:r>
            <w:r w:rsidRPr="00A10165">
              <w:rPr>
                <w:rFonts w:ascii="Arial" w:hAnsi="Arial" w:cs="Arial"/>
                <w:color w:val="000000"/>
              </w:rPr>
              <w:br/>
            </w:r>
            <w:r w:rsidRPr="00A10165">
              <w:rPr>
                <w:rFonts w:ascii="Arial" w:hAnsi="Arial" w:cs="Arial"/>
                <w:color w:val="000000"/>
              </w:rPr>
              <w:br/>
            </w:r>
            <w:proofErr w:type="spellStart"/>
            <w:r w:rsidRPr="00A10165">
              <w:rPr>
                <w:rFonts w:ascii="Arial" w:hAnsi="Arial" w:cs="Arial"/>
                <w:color w:val="000000"/>
              </w:rPr>
              <w:t>Glaxosmithkline</w:t>
            </w:r>
            <w:proofErr w:type="spellEnd"/>
            <w:r w:rsidRPr="00A10165">
              <w:rPr>
                <w:rFonts w:ascii="Arial" w:hAnsi="Arial" w:cs="Arial"/>
                <w:color w:val="000000"/>
              </w:rPr>
              <w:t xml:space="preserve"> Australia Pty Ltd</w:t>
            </w:r>
            <w:r w:rsidRPr="00A10165">
              <w:rPr>
                <w:rFonts w:ascii="Arial" w:hAnsi="Arial" w:cs="Arial"/>
                <w:color w:val="000000"/>
              </w:rPr>
              <w:br/>
            </w:r>
            <w:r w:rsidRPr="00A10165">
              <w:rPr>
                <w:rFonts w:ascii="Arial" w:hAnsi="Arial" w:cs="Arial"/>
                <w:color w:val="000000"/>
              </w:rPr>
              <w:br/>
              <w:t>Change to listing</w:t>
            </w:r>
            <w:r w:rsidRPr="00A10165">
              <w:rPr>
                <w:rFonts w:ascii="Arial" w:hAnsi="Arial" w:cs="Arial"/>
                <w:color w:val="000000"/>
              </w:rPr>
              <w:br/>
              <w:t>(Minor Submission)</w:t>
            </w:r>
          </w:p>
          <w:p w14:paraId="2B1C67B5" w14:textId="77777777" w:rsidR="00646CDE" w:rsidRPr="00A10165" w:rsidRDefault="00646CDE" w:rsidP="00646CDE">
            <w:pPr>
              <w:rPr>
                <w:rFonts w:ascii="Arial" w:hAnsi="Arial" w:cs="Arial"/>
                <w:color w:val="000000"/>
              </w:rPr>
            </w:pPr>
          </w:p>
        </w:tc>
        <w:tc>
          <w:tcPr>
            <w:tcW w:w="2401" w:type="dxa"/>
            <w:tcBorders>
              <w:top w:val="nil"/>
              <w:left w:val="nil"/>
              <w:bottom w:val="single" w:sz="4" w:space="0" w:color="auto"/>
              <w:right w:val="single" w:sz="4" w:space="0" w:color="auto"/>
            </w:tcBorders>
            <w:shd w:val="clear" w:color="auto" w:fill="auto"/>
            <w:tcMar>
              <w:top w:w="28" w:type="dxa"/>
              <w:bottom w:w="28" w:type="dxa"/>
            </w:tcMar>
          </w:tcPr>
          <w:p w14:paraId="2B015876" w14:textId="77777777" w:rsidR="00646CDE" w:rsidRPr="00A10165" w:rsidRDefault="00646CDE" w:rsidP="00646CDE">
            <w:pPr>
              <w:rPr>
                <w:rFonts w:ascii="Arial" w:hAnsi="Arial" w:cs="Arial"/>
                <w:color w:val="000000"/>
              </w:rPr>
            </w:pPr>
            <w:r w:rsidRPr="00A10165">
              <w:rPr>
                <w:rFonts w:ascii="Arial" w:hAnsi="Arial" w:cs="Arial"/>
                <w:color w:val="000000"/>
              </w:rPr>
              <w:t>Prevention of seasonal influenza</w:t>
            </w:r>
          </w:p>
          <w:p w14:paraId="7BC36184" w14:textId="77777777" w:rsidR="00646CDE" w:rsidRPr="00A10165" w:rsidRDefault="00646CDE" w:rsidP="00646CDE">
            <w:pPr>
              <w:rPr>
                <w:rFonts w:ascii="Arial" w:hAnsi="Arial" w:cs="Arial"/>
                <w:color w:val="000000"/>
              </w:rPr>
            </w:pPr>
          </w:p>
        </w:tc>
        <w:tc>
          <w:tcPr>
            <w:tcW w:w="2702" w:type="dxa"/>
            <w:tcBorders>
              <w:top w:val="nil"/>
              <w:left w:val="nil"/>
              <w:bottom w:val="single" w:sz="4" w:space="0" w:color="auto"/>
              <w:right w:val="single" w:sz="4" w:space="0" w:color="auto"/>
            </w:tcBorders>
            <w:shd w:val="clear" w:color="auto" w:fill="auto"/>
            <w:tcMar>
              <w:top w:w="28" w:type="dxa"/>
              <w:bottom w:w="28" w:type="dxa"/>
            </w:tcMar>
          </w:tcPr>
          <w:p w14:paraId="7B10EC5A" w14:textId="77777777" w:rsidR="004B349C" w:rsidRDefault="00646CDE" w:rsidP="00646CDE">
            <w:pPr>
              <w:rPr>
                <w:rFonts w:ascii="Arial" w:hAnsi="Arial" w:cs="Arial"/>
                <w:color w:val="000000"/>
              </w:rPr>
            </w:pPr>
            <w:r w:rsidRPr="00A10165">
              <w:rPr>
                <w:rFonts w:ascii="Arial" w:hAnsi="Arial" w:cs="Arial"/>
                <w:color w:val="000000"/>
              </w:rPr>
              <w:t xml:space="preserve">To request that </w:t>
            </w:r>
            <w:proofErr w:type="spellStart"/>
            <w:r w:rsidRPr="00A10165">
              <w:rPr>
                <w:rFonts w:ascii="Arial" w:hAnsi="Arial" w:cs="Arial"/>
                <w:color w:val="000000"/>
              </w:rPr>
              <w:t>Fluarix</w:t>
            </w:r>
            <w:proofErr w:type="spellEnd"/>
            <w:r w:rsidRPr="00A10165">
              <w:rPr>
                <w:rFonts w:ascii="Arial" w:hAnsi="Arial" w:cs="Arial"/>
                <w:color w:val="000000"/>
              </w:rPr>
              <w:t xml:space="preserve"> Tetra</w:t>
            </w:r>
            <w:r w:rsidR="004F305B">
              <w:rPr>
                <w:rFonts w:ascii="Arial" w:hAnsi="Arial" w:cs="Arial"/>
                <w:color w:val="000000"/>
              </w:rPr>
              <w:t>®</w:t>
            </w:r>
            <w:r w:rsidRPr="00A10165">
              <w:rPr>
                <w:rFonts w:ascii="Arial" w:hAnsi="Arial" w:cs="Arial"/>
                <w:color w:val="000000"/>
              </w:rPr>
              <w:t xml:space="preserve"> be included on the</w:t>
            </w:r>
          </w:p>
          <w:p w14:paraId="4FDAF5C7" w14:textId="26529112" w:rsidR="00646CDE" w:rsidRPr="00A10165" w:rsidRDefault="004B349C" w:rsidP="00646CDE">
            <w:pPr>
              <w:rPr>
                <w:rFonts w:ascii="Arial" w:hAnsi="Arial" w:cs="Arial"/>
                <w:color w:val="000000"/>
              </w:rPr>
            </w:pPr>
            <w:r>
              <w:rPr>
                <w:rFonts w:ascii="Arial" w:hAnsi="Arial" w:cs="Arial"/>
                <w:color w:val="000000"/>
              </w:rPr>
              <w:t xml:space="preserve">National Immunisation Program (NIP) </w:t>
            </w:r>
            <w:r w:rsidR="00646CDE" w:rsidRPr="00A10165">
              <w:rPr>
                <w:rFonts w:ascii="Arial" w:hAnsi="Arial" w:cs="Arial"/>
                <w:color w:val="000000"/>
              </w:rPr>
              <w:t>for infants and young children aged 6 months to 5 years of age eligible for free vaccination under the NIP for the prevention of seasonal influenza</w:t>
            </w:r>
            <w:r w:rsidR="004F305B">
              <w:rPr>
                <w:rFonts w:ascii="Arial" w:hAnsi="Arial" w:cs="Arial"/>
                <w:color w:val="000000"/>
              </w:rPr>
              <w:t>.</w:t>
            </w:r>
          </w:p>
          <w:p w14:paraId="11811232" w14:textId="40765041" w:rsidR="004B349C" w:rsidRPr="00A10165" w:rsidRDefault="004B349C" w:rsidP="004B349C">
            <w:pPr>
              <w:rPr>
                <w:rFonts w:ascii="Arial" w:hAnsi="Arial" w:cs="Arial"/>
                <w:color w:val="000000"/>
              </w:rPr>
            </w:pPr>
          </w:p>
        </w:tc>
        <w:tc>
          <w:tcPr>
            <w:tcW w:w="6604" w:type="dxa"/>
            <w:tcBorders>
              <w:top w:val="single" w:sz="4" w:space="0" w:color="auto"/>
              <w:left w:val="single" w:sz="4" w:space="0" w:color="auto"/>
              <w:bottom w:val="single" w:sz="4" w:space="0" w:color="auto"/>
              <w:right w:val="single" w:sz="4" w:space="0" w:color="auto"/>
            </w:tcBorders>
          </w:tcPr>
          <w:p w14:paraId="47F9B553" w14:textId="73AB5295" w:rsidR="00646CDE" w:rsidRDefault="00646CDE" w:rsidP="00646CDE">
            <w:pPr>
              <w:rPr>
                <w:rFonts w:ascii="Arial" w:hAnsi="Arial" w:cs="Arial"/>
                <w:color w:val="000000"/>
              </w:rPr>
            </w:pPr>
            <w:r w:rsidRPr="00A10165">
              <w:rPr>
                <w:rFonts w:ascii="Arial" w:hAnsi="Arial" w:cs="Arial"/>
                <w:color w:val="000000"/>
              </w:rPr>
              <w:t xml:space="preserve">The PBAC recommended an extension to the listing of </w:t>
            </w:r>
            <w:proofErr w:type="spellStart"/>
            <w:r w:rsidRPr="00A10165">
              <w:rPr>
                <w:rFonts w:ascii="Arial" w:hAnsi="Arial" w:cs="Arial"/>
                <w:color w:val="000000"/>
              </w:rPr>
              <w:t>Fluarix</w:t>
            </w:r>
            <w:proofErr w:type="spellEnd"/>
            <w:r w:rsidRPr="00A10165">
              <w:rPr>
                <w:rFonts w:ascii="Arial" w:hAnsi="Arial" w:cs="Arial"/>
                <w:color w:val="000000"/>
              </w:rPr>
              <w:t xml:space="preserve"> Tetr</w:t>
            </w:r>
            <w:r w:rsidR="004F305B">
              <w:rPr>
                <w:rFonts w:ascii="Arial" w:hAnsi="Arial" w:cs="Arial"/>
                <w:color w:val="000000"/>
              </w:rPr>
              <w:t>a®</w:t>
            </w:r>
            <w:r w:rsidRPr="00A10165">
              <w:rPr>
                <w:rFonts w:ascii="Arial" w:hAnsi="Arial" w:cs="Arial"/>
                <w:color w:val="000000"/>
              </w:rPr>
              <w:t>, for the prevention of seasonal influenza, to include healthy children aged 6 months to &lt;5 years who are currently eligible for influenza vaccina</w:t>
            </w:r>
            <w:r w:rsidR="004F305B">
              <w:rPr>
                <w:rFonts w:ascii="Arial" w:hAnsi="Arial" w:cs="Arial"/>
                <w:color w:val="000000"/>
              </w:rPr>
              <w:t xml:space="preserve">tion under the NIP. The PBAC recommended listing on a cost-minimisation basis compared with </w:t>
            </w:r>
            <w:r w:rsidRPr="00A10165">
              <w:rPr>
                <w:rFonts w:ascii="Arial" w:hAnsi="Arial" w:cs="Arial"/>
                <w:color w:val="000000"/>
              </w:rPr>
              <w:t>the nominated comparators (</w:t>
            </w:r>
            <w:proofErr w:type="spellStart"/>
            <w:r w:rsidRPr="00A10165">
              <w:rPr>
                <w:rFonts w:ascii="Arial" w:hAnsi="Arial" w:cs="Arial"/>
                <w:color w:val="000000"/>
              </w:rPr>
              <w:t>Vaxigrip</w:t>
            </w:r>
            <w:proofErr w:type="spellEnd"/>
            <w:r w:rsidRPr="00A10165">
              <w:rPr>
                <w:rFonts w:ascii="Arial" w:hAnsi="Arial" w:cs="Arial"/>
                <w:color w:val="000000"/>
              </w:rPr>
              <w:t xml:space="preserve"> Tetra</w:t>
            </w:r>
            <w:r w:rsidR="004F305B">
              <w:rPr>
                <w:rFonts w:ascii="Arial" w:hAnsi="Arial" w:cs="Arial"/>
                <w:color w:val="000000"/>
              </w:rPr>
              <w:t>®</w:t>
            </w:r>
            <w:r w:rsidRPr="00A10165">
              <w:rPr>
                <w:rFonts w:ascii="Arial" w:hAnsi="Arial" w:cs="Arial"/>
                <w:color w:val="000000"/>
              </w:rPr>
              <w:t xml:space="preserve"> and </w:t>
            </w:r>
            <w:proofErr w:type="spellStart"/>
            <w:r w:rsidRPr="00A10165">
              <w:rPr>
                <w:rFonts w:ascii="Arial" w:hAnsi="Arial" w:cs="Arial"/>
                <w:color w:val="000000"/>
              </w:rPr>
              <w:t>FluQuadr</w:t>
            </w:r>
            <w:r w:rsidR="004F305B">
              <w:rPr>
                <w:rFonts w:ascii="Arial" w:hAnsi="Arial" w:cs="Arial"/>
                <w:color w:val="000000"/>
              </w:rPr>
              <w:t>i</w:t>
            </w:r>
            <w:proofErr w:type="spellEnd"/>
            <w:r w:rsidR="004F305B">
              <w:rPr>
                <w:rFonts w:ascii="Arial" w:hAnsi="Arial" w:cs="Arial"/>
                <w:color w:val="000000"/>
              </w:rPr>
              <w:t xml:space="preserve">®). </w:t>
            </w:r>
          </w:p>
          <w:p w14:paraId="6211C3C0" w14:textId="409FA68C" w:rsidR="00646CDE" w:rsidRPr="00A10165" w:rsidRDefault="00646CDE" w:rsidP="00646CDE">
            <w:pPr>
              <w:rPr>
                <w:rFonts w:ascii="Arial" w:hAnsi="Arial" w:cs="Arial"/>
                <w:color w:val="000000"/>
              </w:rPr>
            </w:pPr>
            <w:r w:rsidRPr="00A10165">
              <w:rPr>
                <w:rFonts w:ascii="Arial" w:hAnsi="Arial" w:cs="Arial"/>
                <w:color w:val="000000"/>
              </w:rPr>
              <w:t xml:space="preserve"> </w:t>
            </w:r>
            <w:r w:rsidRPr="00A10165">
              <w:rPr>
                <w:rFonts w:ascii="Arial" w:hAnsi="Arial" w:cs="Arial"/>
                <w:color w:val="000000"/>
              </w:rPr>
              <w:br/>
              <w:t xml:space="preserve">Overall, the PBAC considered it was reasonable to conclude that the effectiveness of </w:t>
            </w:r>
            <w:proofErr w:type="spellStart"/>
            <w:r w:rsidRPr="00A10165">
              <w:rPr>
                <w:rFonts w:ascii="Arial" w:hAnsi="Arial" w:cs="Arial"/>
                <w:color w:val="000000"/>
              </w:rPr>
              <w:t>Fluarix</w:t>
            </w:r>
            <w:proofErr w:type="spellEnd"/>
            <w:r w:rsidRPr="00A10165">
              <w:rPr>
                <w:rFonts w:ascii="Arial" w:hAnsi="Arial" w:cs="Arial"/>
                <w:color w:val="000000"/>
              </w:rPr>
              <w:t xml:space="preserve"> Tetra</w:t>
            </w:r>
            <w:r w:rsidR="00232181">
              <w:rPr>
                <w:rFonts w:ascii="Arial" w:hAnsi="Arial" w:cs="Arial"/>
                <w:color w:val="000000"/>
              </w:rPr>
              <w:t>®</w:t>
            </w:r>
            <w:r w:rsidRPr="00A10165">
              <w:rPr>
                <w:rFonts w:ascii="Arial" w:hAnsi="Arial" w:cs="Arial"/>
                <w:color w:val="000000"/>
              </w:rPr>
              <w:t xml:space="preserve"> would be similar to that of </w:t>
            </w:r>
            <w:proofErr w:type="spellStart"/>
            <w:r w:rsidRPr="00A10165">
              <w:rPr>
                <w:rFonts w:ascii="Arial" w:hAnsi="Arial" w:cs="Arial"/>
                <w:color w:val="000000"/>
              </w:rPr>
              <w:t>Vaxigrip</w:t>
            </w:r>
            <w:proofErr w:type="spellEnd"/>
            <w:r w:rsidRPr="00A10165">
              <w:rPr>
                <w:rFonts w:ascii="Arial" w:hAnsi="Arial" w:cs="Arial"/>
                <w:color w:val="000000"/>
              </w:rPr>
              <w:t xml:space="preserve"> Tetra</w:t>
            </w:r>
            <w:r w:rsidR="00232181">
              <w:rPr>
                <w:rFonts w:ascii="Arial" w:hAnsi="Arial" w:cs="Arial"/>
                <w:color w:val="000000"/>
              </w:rPr>
              <w:t>®</w:t>
            </w:r>
            <w:r w:rsidRPr="00A10165">
              <w:rPr>
                <w:rFonts w:ascii="Arial" w:hAnsi="Arial" w:cs="Arial"/>
                <w:color w:val="000000"/>
              </w:rPr>
              <w:t xml:space="preserve"> or </w:t>
            </w:r>
            <w:proofErr w:type="spellStart"/>
            <w:r w:rsidRPr="00A10165">
              <w:rPr>
                <w:rFonts w:ascii="Arial" w:hAnsi="Arial" w:cs="Arial"/>
                <w:color w:val="000000"/>
              </w:rPr>
              <w:t>FluQuadri</w:t>
            </w:r>
            <w:proofErr w:type="spellEnd"/>
            <w:r w:rsidR="00232181">
              <w:rPr>
                <w:rFonts w:ascii="Arial" w:hAnsi="Arial" w:cs="Arial"/>
                <w:color w:val="000000"/>
              </w:rPr>
              <w:t>®</w:t>
            </w:r>
            <w:r w:rsidRPr="00A10165">
              <w:rPr>
                <w:rFonts w:ascii="Arial" w:hAnsi="Arial" w:cs="Arial"/>
                <w:color w:val="000000"/>
              </w:rPr>
              <w:t xml:space="preserve"> for the prevention of seasonal influenza in all children aged 6 months to &lt;5 years, and </w:t>
            </w:r>
            <w:r w:rsidR="000F6EC5">
              <w:rPr>
                <w:rFonts w:ascii="Arial" w:hAnsi="Arial" w:cs="Arial"/>
                <w:color w:val="000000"/>
              </w:rPr>
              <w:t xml:space="preserve">that </w:t>
            </w:r>
            <w:r w:rsidRPr="00A10165">
              <w:rPr>
                <w:rFonts w:ascii="Arial" w:hAnsi="Arial" w:cs="Arial"/>
                <w:color w:val="000000"/>
              </w:rPr>
              <w:t xml:space="preserve">there are likely no substantive differences in safety between </w:t>
            </w:r>
            <w:proofErr w:type="spellStart"/>
            <w:r w:rsidRPr="00A10165">
              <w:rPr>
                <w:rFonts w:ascii="Arial" w:hAnsi="Arial" w:cs="Arial"/>
                <w:color w:val="000000"/>
              </w:rPr>
              <w:t>Fluarix</w:t>
            </w:r>
            <w:proofErr w:type="spellEnd"/>
            <w:r w:rsidRPr="00A10165">
              <w:rPr>
                <w:rFonts w:ascii="Arial" w:hAnsi="Arial" w:cs="Arial"/>
                <w:color w:val="000000"/>
              </w:rPr>
              <w:t xml:space="preserve"> Tetra</w:t>
            </w:r>
            <w:r w:rsidR="00232181">
              <w:rPr>
                <w:rFonts w:ascii="Arial" w:hAnsi="Arial" w:cs="Arial"/>
                <w:color w:val="000000"/>
              </w:rPr>
              <w:t>®</w:t>
            </w:r>
            <w:r w:rsidRPr="00A10165">
              <w:rPr>
                <w:rFonts w:ascii="Arial" w:hAnsi="Arial" w:cs="Arial"/>
                <w:color w:val="000000"/>
              </w:rPr>
              <w:t xml:space="preserve"> and other NIP listed </w:t>
            </w:r>
            <w:proofErr w:type="spellStart"/>
            <w:r w:rsidR="000F6EC5">
              <w:rPr>
                <w:rFonts w:ascii="Arial" w:hAnsi="Arial" w:cs="Arial"/>
                <w:color w:val="000000"/>
              </w:rPr>
              <w:t>quadrivalent</w:t>
            </w:r>
            <w:proofErr w:type="spellEnd"/>
            <w:r w:rsidR="000F6EC5">
              <w:rPr>
                <w:rFonts w:ascii="Arial" w:hAnsi="Arial" w:cs="Arial"/>
                <w:color w:val="000000"/>
              </w:rPr>
              <w:t xml:space="preserve"> influenza vaccines</w:t>
            </w:r>
            <w:r w:rsidRPr="00A10165">
              <w:rPr>
                <w:rFonts w:ascii="Arial" w:hAnsi="Arial" w:cs="Arial"/>
                <w:color w:val="000000"/>
              </w:rPr>
              <w:t xml:space="preserve"> in this population. </w:t>
            </w:r>
          </w:p>
          <w:p w14:paraId="1FA3CAC7" w14:textId="77777777" w:rsidR="00646CDE" w:rsidRPr="00A10165" w:rsidRDefault="00646CDE" w:rsidP="00646CDE">
            <w:pPr>
              <w:rPr>
                <w:rFonts w:ascii="Arial" w:hAnsi="Arial" w:cs="Arial"/>
                <w:color w:val="000000"/>
              </w:rPr>
            </w:pPr>
          </w:p>
        </w:tc>
      </w:tr>
      <w:tr w:rsidR="00646CDE" w:rsidRPr="006B5404" w14:paraId="3633E018" w14:textId="77777777" w:rsidTr="00891EAA">
        <w:trPr>
          <w:cantSplit/>
          <w:trHeight w:val="430"/>
        </w:trPr>
        <w:tc>
          <w:tcPr>
            <w:tcW w:w="3681" w:type="dxa"/>
            <w:tcBorders>
              <w:top w:val="nil"/>
              <w:left w:val="single" w:sz="4" w:space="0" w:color="auto"/>
              <w:bottom w:val="single" w:sz="4" w:space="0" w:color="auto"/>
              <w:right w:val="single" w:sz="4" w:space="0" w:color="auto"/>
            </w:tcBorders>
            <w:shd w:val="clear" w:color="auto" w:fill="auto"/>
            <w:tcMar>
              <w:top w:w="28" w:type="dxa"/>
              <w:bottom w:w="28" w:type="dxa"/>
            </w:tcMar>
          </w:tcPr>
          <w:p w14:paraId="55477965" w14:textId="10509816" w:rsidR="00646CDE" w:rsidRPr="00A10165" w:rsidRDefault="00646CDE" w:rsidP="00646CDE">
            <w:pPr>
              <w:rPr>
                <w:rFonts w:ascii="Arial" w:hAnsi="Arial" w:cs="Arial"/>
                <w:color w:val="000000"/>
              </w:rPr>
            </w:pPr>
            <w:r w:rsidRPr="00A10165">
              <w:rPr>
                <w:rFonts w:ascii="Arial" w:hAnsi="Arial" w:cs="Arial"/>
                <w:color w:val="000000"/>
              </w:rPr>
              <w:lastRenderedPageBreak/>
              <w:t>RIVAR</w:t>
            </w:r>
            <w:r>
              <w:rPr>
                <w:rFonts w:ascii="Arial" w:hAnsi="Arial" w:cs="Arial"/>
                <w:color w:val="000000"/>
              </w:rPr>
              <w:t>OXABAN</w:t>
            </w:r>
            <w:r>
              <w:rPr>
                <w:rFonts w:ascii="Arial" w:hAnsi="Arial" w:cs="Arial"/>
                <w:color w:val="000000"/>
              </w:rPr>
              <w:br/>
            </w:r>
            <w:r>
              <w:rPr>
                <w:rFonts w:ascii="Arial" w:hAnsi="Arial" w:cs="Arial"/>
                <w:color w:val="000000"/>
              </w:rPr>
              <w:br/>
              <w:t>Tablet 2.5 mg</w:t>
            </w:r>
            <w:r>
              <w:rPr>
                <w:rFonts w:ascii="Arial" w:hAnsi="Arial" w:cs="Arial"/>
                <w:color w:val="000000"/>
              </w:rPr>
              <w:br/>
            </w:r>
            <w:r>
              <w:rPr>
                <w:rFonts w:ascii="Arial" w:hAnsi="Arial" w:cs="Arial"/>
                <w:color w:val="000000"/>
              </w:rPr>
              <w:br/>
            </w:r>
            <w:proofErr w:type="spellStart"/>
            <w:r>
              <w:rPr>
                <w:rFonts w:ascii="Arial" w:hAnsi="Arial" w:cs="Arial"/>
                <w:color w:val="000000"/>
              </w:rPr>
              <w:t>Xarelt</w:t>
            </w:r>
            <w:r w:rsidR="0056400F">
              <w:rPr>
                <w:rFonts w:ascii="Arial" w:hAnsi="Arial" w:cs="Arial"/>
                <w:color w:val="000000"/>
              </w:rPr>
              <w:t>o</w:t>
            </w:r>
            <w:proofErr w:type="spellEnd"/>
            <w:r w:rsidR="0056400F">
              <w:rPr>
                <w:rFonts w:ascii="Arial" w:hAnsi="Arial" w:cs="Arial"/>
                <w:color w:val="000000"/>
              </w:rPr>
              <w:t>®</w:t>
            </w:r>
            <w:r w:rsidRPr="00A10165">
              <w:rPr>
                <w:rFonts w:ascii="Arial" w:hAnsi="Arial" w:cs="Arial"/>
                <w:color w:val="000000"/>
              </w:rPr>
              <w:br/>
            </w:r>
            <w:r w:rsidRPr="00A10165">
              <w:rPr>
                <w:rFonts w:ascii="Arial" w:hAnsi="Arial" w:cs="Arial"/>
                <w:color w:val="000000"/>
              </w:rPr>
              <w:br/>
              <w:t>Bayer Australia</w:t>
            </w:r>
            <w:r w:rsidRPr="00A10165">
              <w:rPr>
                <w:rFonts w:ascii="Arial" w:hAnsi="Arial" w:cs="Arial"/>
                <w:color w:val="000000"/>
              </w:rPr>
              <w:br/>
            </w:r>
            <w:r w:rsidRPr="00A10165">
              <w:rPr>
                <w:rFonts w:ascii="Arial" w:hAnsi="Arial" w:cs="Arial"/>
                <w:color w:val="000000"/>
              </w:rPr>
              <w:br/>
              <w:t>New listing</w:t>
            </w:r>
            <w:r w:rsidRPr="00A10165">
              <w:rPr>
                <w:rFonts w:ascii="Arial" w:hAnsi="Arial" w:cs="Arial"/>
                <w:color w:val="000000"/>
              </w:rPr>
              <w:br/>
              <w:t>(Minor Submission)</w:t>
            </w:r>
          </w:p>
          <w:p w14:paraId="724FFA5A" w14:textId="77777777" w:rsidR="00646CDE" w:rsidRPr="00A10165" w:rsidRDefault="00646CDE" w:rsidP="00646CDE">
            <w:pPr>
              <w:rPr>
                <w:rFonts w:ascii="Arial" w:hAnsi="Arial" w:cs="Arial"/>
                <w:color w:val="000000"/>
              </w:rPr>
            </w:pPr>
          </w:p>
        </w:tc>
        <w:tc>
          <w:tcPr>
            <w:tcW w:w="2401" w:type="dxa"/>
            <w:tcBorders>
              <w:top w:val="nil"/>
              <w:left w:val="nil"/>
              <w:bottom w:val="single" w:sz="4" w:space="0" w:color="auto"/>
              <w:right w:val="single" w:sz="4" w:space="0" w:color="auto"/>
            </w:tcBorders>
            <w:shd w:val="clear" w:color="auto" w:fill="auto"/>
            <w:tcMar>
              <w:top w:w="28" w:type="dxa"/>
              <w:bottom w:w="28" w:type="dxa"/>
            </w:tcMar>
          </w:tcPr>
          <w:p w14:paraId="36E6AFEC" w14:textId="77777777" w:rsidR="00646CDE" w:rsidRPr="00A10165" w:rsidRDefault="00646CDE" w:rsidP="00646CDE">
            <w:pPr>
              <w:rPr>
                <w:rFonts w:ascii="Arial" w:hAnsi="Arial" w:cs="Arial"/>
                <w:color w:val="000000"/>
              </w:rPr>
            </w:pPr>
            <w:r w:rsidRPr="00A10165">
              <w:rPr>
                <w:rFonts w:ascii="Arial" w:hAnsi="Arial" w:cs="Arial"/>
                <w:color w:val="000000"/>
              </w:rPr>
              <w:t>Coronary Artery Disease (CAD) and Peripheral Artery Disease (PAD)</w:t>
            </w:r>
          </w:p>
          <w:p w14:paraId="01443EDE" w14:textId="77777777" w:rsidR="00646CDE" w:rsidRPr="00A10165" w:rsidRDefault="00646CDE" w:rsidP="00646CDE">
            <w:pPr>
              <w:rPr>
                <w:rFonts w:ascii="Arial" w:hAnsi="Arial" w:cs="Arial"/>
                <w:color w:val="000000"/>
              </w:rPr>
            </w:pPr>
          </w:p>
        </w:tc>
        <w:tc>
          <w:tcPr>
            <w:tcW w:w="2702" w:type="dxa"/>
            <w:tcBorders>
              <w:top w:val="nil"/>
              <w:left w:val="nil"/>
              <w:bottom w:val="single" w:sz="4" w:space="0" w:color="auto"/>
              <w:right w:val="single" w:sz="4" w:space="0" w:color="auto"/>
            </w:tcBorders>
            <w:shd w:val="clear" w:color="auto" w:fill="auto"/>
            <w:tcMar>
              <w:top w:w="28" w:type="dxa"/>
              <w:bottom w:w="28" w:type="dxa"/>
            </w:tcMar>
          </w:tcPr>
          <w:p w14:paraId="31527C80" w14:textId="77777777" w:rsidR="00646CDE" w:rsidRPr="00A10165" w:rsidRDefault="00646CDE" w:rsidP="00646CDE">
            <w:pPr>
              <w:rPr>
                <w:rFonts w:ascii="Arial" w:hAnsi="Arial" w:cs="Arial"/>
                <w:color w:val="000000"/>
              </w:rPr>
            </w:pPr>
            <w:r w:rsidRPr="00A10165">
              <w:rPr>
                <w:rFonts w:ascii="Arial" w:hAnsi="Arial" w:cs="Arial"/>
                <w:color w:val="000000"/>
              </w:rPr>
              <w:t>Resubmission to request an Authority Required (STREAMLINED) listing for the treatment of patients at high risk of recurrent cardiovascular events with CAD or PAD who meet certain conditions.</w:t>
            </w:r>
          </w:p>
          <w:p w14:paraId="322C7AFA" w14:textId="77777777" w:rsidR="00646CDE" w:rsidRPr="00A10165" w:rsidRDefault="00646CDE" w:rsidP="00646CDE">
            <w:pPr>
              <w:rPr>
                <w:rFonts w:ascii="Arial" w:hAnsi="Arial" w:cs="Arial"/>
                <w:color w:val="000000"/>
              </w:rPr>
            </w:pPr>
          </w:p>
        </w:tc>
        <w:tc>
          <w:tcPr>
            <w:tcW w:w="6604" w:type="dxa"/>
            <w:tcBorders>
              <w:top w:val="single" w:sz="4" w:space="0" w:color="auto"/>
              <w:left w:val="single" w:sz="4" w:space="0" w:color="auto"/>
              <w:bottom w:val="single" w:sz="4" w:space="0" w:color="auto"/>
              <w:right w:val="single" w:sz="4" w:space="0" w:color="auto"/>
            </w:tcBorders>
          </w:tcPr>
          <w:p w14:paraId="20EA9C37" w14:textId="24D629C0" w:rsidR="00646CDE" w:rsidRDefault="00646CDE" w:rsidP="00646CDE">
            <w:pPr>
              <w:rPr>
                <w:rFonts w:ascii="Arial" w:hAnsi="Arial" w:cs="Arial"/>
                <w:color w:val="000000"/>
              </w:rPr>
            </w:pPr>
            <w:r w:rsidRPr="00A10165">
              <w:rPr>
                <w:rFonts w:ascii="Arial" w:hAnsi="Arial" w:cs="Arial"/>
                <w:color w:val="000000"/>
              </w:rPr>
              <w:t xml:space="preserve">The PBAC recommended the listing of </w:t>
            </w:r>
            <w:proofErr w:type="spellStart"/>
            <w:r w:rsidRPr="00A10165">
              <w:rPr>
                <w:rFonts w:ascii="Arial" w:hAnsi="Arial" w:cs="Arial"/>
                <w:color w:val="000000"/>
              </w:rPr>
              <w:t>rivaroxaban</w:t>
            </w:r>
            <w:proofErr w:type="spellEnd"/>
            <w:r w:rsidRPr="00A10165">
              <w:rPr>
                <w:rFonts w:ascii="Arial" w:hAnsi="Arial" w:cs="Arial"/>
                <w:color w:val="000000"/>
              </w:rPr>
              <w:t xml:space="preserve"> for the treatment of patients at high risk of recurrent cardiovascular event</w:t>
            </w:r>
            <w:r w:rsidR="0056400F">
              <w:rPr>
                <w:rFonts w:ascii="Arial" w:hAnsi="Arial" w:cs="Arial"/>
                <w:color w:val="000000"/>
              </w:rPr>
              <w:t>s with CAD or PAD</w:t>
            </w:r>
            <w:r w:rsidRPr="00A10165">
              <w:rPr>
                <w:rFonts w:ascii="Arial" w:hAnsi="Arial" w:cs="Arial"/>
                <w:color w:val="000000"/>
              </w:rPr>
              <w:t xml:space="preserve"> and additional high-risk factors.</w:t>
            </w:r>
          </w:p>
          <w:p w14:paraId="11AF3286" w14:textId="77777777" w:rsidR="00646CDE" w:rsidRDefault="00646CDE" w:rsidP="00646CDE">
            <w:pPr>
              <w:rPr>
                <w:rFonts w:ascii="Arial" w:hAnsi="Arial" w:cs="Arial"/>
                <w:color w:val="000000"/>
              </w:rPr>
            </w:pPr>
            <w:r w:rsidRPr="00A10165">
              <w:rPr>
                <w:rFonts w:ascii="Arial" w:hAnsi="Arial" w:cs="Arial"/>
                <w:color w:val="000000"/>
              </w:rPr>
              <w:br/>
              <w:t xml:space="preserve">The PBAC considered that there is a moderate clinical need in this patient population, and that there are important clinical benefits associated with </w:t>
            </w:r>
            <w:proofErr w:type="spellStart"/>
            <w:r w:rsidRPr="00A10165">
              <w:rPr>
                <w:rFonts w:ascii="Arial" w:hAnsi="Arial" w:cs="Arial"/>
                <w:color w:val="000000"/>
              </w:rPr>
              <w:t>rivaroxaban</w:t>
            </w:r>
            <w:proofErr w:type="spellEnd"/>
            <w:r w:rsidRPr="00A10165">
              <w:rPr>
                <w:rFonts w:ascii="Arial" w:hAnsi="Arial" w:cs="Arial"/>
                <w:color w:val="000000"/>
              </w:rPr>
              <w:t xml:space="preserve"> therapy including a reduction in heart attacks, strokes and cardiovascular death.</w:t>
            </w:r>
          </w:p>
          <w:p w14:paraId="1F896337" w14:textId="48496398" w:rsidR="00646CDE" w:rsidRPr="00A10165" w:rsidRDefault="00646CDE" w:rsidP="00646CDE">
            <w:pPr>
              <w:rPr>
                <w:rFonts w:ascii="Arial" w:hAnsi="Arial" w:cs="Arial"/>
              </w:rPr>
            </w:pPr>
            <w:r w:rsidRPr="00A10165">
              <w:rPr>
                <w:rFonts w:ascii="Arial" w:hAnsi="Arial" w:cs="Arial"/>
                <w:color w:val="000000"/>
              </w:rPr>
              <w:t xml:space="preserve"> </w:t>
            </w:r>
            <w:r w:rsidRPr="00A10165">
              <w:rPr>
                <w:rFonts w:ascii="Arial" w:hAnsi="Arial" w:cs="Arial"/>
                <w:color w:val="000000"/>
              </w:rPr>
              <w:br/>
              <w:t xml:space="preserve">The PBAC considered that the cost-effectiveness of </w:t>
            </w:r>
            <w:proofErr w:type="spellStart"/>
            <w:r w:rsidRPr="00A10165">
              <w:rPr>
                <w:rFonts w:ascii="Arial" w:hAnsi="Arial" w:cs="Arial"/>
                <w:color w:val="000000"/>
              </w:rPr>
              <w:t>rivaroxaban</w:t>
            </w:r>
            <w:proofErr w:type="spellEnd"/>
            <w:r w:rsidRPr="00A10165">
              <w:rPr>
                <w:rFonts w:ascii="Arial" w:hAnsi="Arial" w:cs="Arial"/>
                <w:color w:val="000000"/>
              </w:rPr>
              <w:t xml:space="preserve"> would likely be acceptable at the price proposed in the minor submission, and that the R</w:t>
            </w:r>
            <w:r>
              <w:rPr>
                <w:rFonts w:ascii="Arial" w:hAnsi="Arial" w:cs="Arial"/>
                <w:color w:val="000000"/>
              </w:rPr>
              <w:t>isk Sharing Arrangement</w:t>
            </w:r>
            <w:r w:rsidRPr="00A10165">
              <w:rPr>
                <w:rFonts w:ascii="Arial" w:hAnsi="Arial" w:cs="Arial"/>
                <w:color w:val="000000"/>
              </w:rPr>
              <w:t xml:space="preserve"> proposed would appropriately mitigate the risk of excess financial impact of the listing due to uncertain patient numbers, as well as potential use outside the restriction.</w:t>
            </w:r>
          </w:p>
          <w:p w14:paraId="3250A17E" w14:textId="77777777" w:rsidR="00646CDE" w:rsidRPr="00A10165" w:rsidRDefault="00646CDE" w:rsidP="00646CDE">
            <w:pPr>
              <w:jc w:val="center"/>
              <w:rPr>
                <w:rFonts w:ascii="Arial" w:hAnsi="Arial" w:cs="Arial"/>
              </w:rPr>
            </w:pPr>
          </w:p>
        </w:tc>
      </w:tr>
      <w:tr w:rsidR="00646CDE" w:rsidRPr="006B5404" w14:paraId="01DA7F92" w14:textId="77777777" w:rsidTr="00891EAA">
        <w:trPr>
          <w:cantSplit/>
          <w:trHeight w:val="430"/>
        </w:trPr>
        <w:tc>
          <w:tcPr>
            <w:tcW w:w="3681" w:type="dxa"/>
            <w:tcBorders>
              <w:top w:val="nil"/>
              <w:left w:val="single" w:sz="4" w:space="0" w:color="auto"/>
              <w:bottom w:val="single" w:sz="4" w:space="0" w:color="auto"/>
              <w:right w:val="single" w:sz="4" w:space="0" w:color="auto"/>
            </w:tcBorders>
            <w:shd w:val="clear" w:color="auto" w:fill="auto"/>
            <w:tcMar>
              <w:top w:w="28" w:type="dxa"/>
              <w:bottom w:w="28" w:type="dxa"/>
            </w:tcMar>
          </w:tcPr>
          <w:p w14:paraId="0BBF71E2" w14:textId="07AA9786" w:rsidR="00646CDE" w:rsidRPr="00A10165" w:rsidRDefault="00646CDE" w:rsidP="00646CDE">
            <w:pPr>
              <w:rPr>
                <w:rFonts w:ascii="Arial" w:hAnsi="Arial" w:cs="Arial"/>
                <w:color w:val="000000"/>
              </w:rPr>
            </w:pPr>
            <w:r w:rsidRPr="00A10165">
              <w:rPr>
                <w:rFonts w:ascii="Arial" w:hAnsi="Arial" w:cs="Arial"/>
                <w:color w:val="000000"/>
              </w:rPr>
              <w:t>SELEXIPAG</w:t>
            </w:r>
            <w:r w:rsidRPr="00A10165">
              <w:rPr>
                <w:rFonts w:ascii="Arial" w:hAnsi="Arial" w:cs="Arial"/>
                <w:color w:val="000000"/>
              </w:rPr>
              <w:br/>
            </w:r>
            <w:r w:rsidRPr="00A10165">
              <w:rPr>
                <w:rFonts w:ascii="Arial" w:hAnsi="Arial" w:cs="Arial"/>
                <w:color w:val="000000"/>
              </w:rPr>
              <w:br/>
              <w:t>Tablet 200 microgram</w:t>
            </w:r>
            <w:r w:rsidRPr="00A10165">
              <w:rPr>
                <w:rFonts w:ascii="Arial" w:hAnsi="Arial" w:cs="Arial"/>
                <w:color w:val="000000"/>
              </w:rPr>
              <w:br/>
              <w:t>Tablet 400 microgram</w:t>
            </w:r>
            <w:r w:rsidRPr="00A10165">
              <w:rPr>
                <w:rFonts w:ascii="Arial" w:hAnsi="Arial" w:cs="Arial"/>
                <w:color w:val="000000"/>
              </w:rPr>
              <w:br/>
              <w:t>Tablet 600 microgram</w:t>
            </w:r>
            <w:r w:rsidRPr="00A10165">
              <w:rPr>
                <w:rFonts w:ascii="Arial" w:hAnsi="Arial" w:cs="Arial"/>
                <w:color w:val="000000"/>
              </w:rPr>
              <w:br/>
              <w:t>Tablet 800 microgram</w:t>
            </w:r>
            <w:r w:rsidRPr="00A10165">
              <w:rPr>
                <w:rFonts w:ascii="Arial" w:hAnsi="Arial" w:cs="Arial"/>
                <w:color w:val="000000"/>
              </w:rPr>
              <w:br/>
              <w:t>Tablet 1 mg</w:t>
            </w:r>
            <w:r w:rsidRPr="00A10165">
              <w:rPr>
                <w:rFonts w:ascii="Arial" w:hAnsi="Arial" w:cs="Arial"/>
                <w:color w:val="000000"/>
              </w:rPr>
              <w:br/>
              <w:t>Tablet 1.2 mg</w:t>
            </w:r>
            <w:r w:rsidRPr="00A10165">
              <w:rPr>
                <w:rFonts w:ascii="Arial" w:hAnsi="Arial" w:cs="Arial"/>
                <w:color w:val="000000"/>
              </w:rPr>
              <w:br/>
              <w:t>Tablet</w:t>
            </w:r>
            <w:r w:rsidR="00A52844">
              <w:rPr>
                <w:rFonts w:ascii="Arial" w:hAnsi="Arial" w:cs="Arial"/>
                <w:color w:val="000000"/>
              </w:rPr>
              <w:t xml:space="preserve"> 1.4 mg</w:t>
            </w:r>
            <w:r w:rsidR="00A52844">
              <w:rPr>
                <w:rFonts w:ascii="Arial" w:hAnsi="Arial" w:cs="Arial"/>
                <w:color w:val="000000"/>
              </w:rPr>
              <w:br/>
              <w:t>Tablet 1.6 mg</w:t>
            </w:r>
            <w:r w:rsidR="00A52844">
              <w:rPr>
                <w:rFonts w:ascii="Arial" w:hAnsi="Arial" w:cs="Arial"/>
                <w:color w:val="000000"/>
              </w:rPr>
              <w:br/>
            </w:r>
            <w:r w:rsidR="00A52844">
              <w:rPr>
                <w:rFonts w:ascii="Arial" w:hAnsi="Arial" w:cs="Arial"/>
                <w:color w:val="000000"/>
              </w:rPr>
              <w:br/>
            </w:r>
            <w:proofErr w:type="spellStart"/>
            <w:r w:rsidR="00A52844">
              <w:rPr>
                <w:rFonts w:ascii="Arial" w:hAnsi="Arial" w:cs="Arial"/>
                <w:color w:val="000000"/>
              </w:rPr>
              <w:t>Uptravi</w:t>
            </w:r>
            <w:proofErr w:type="spellEnd"/>
            <w:r w:rsidR="00A52844">
              <w:rPr>
                <w:rFonts w:ascii="Arial" w:hAnsi="Arial" w:cs="Arial"/>
                <w:color w:val="000000"/>
              </w:rPr>
              <w:t>®</w:t>
            </w:r>
            <w:r w:rsidRPr="00A10165">
              <w:rPr>
                <w:rFonts w:ascii="Arial" w:hAnsi="Arial" w:cs="Arial"/>
                <w:color w:val="000000"/>
              </w:rPr>
              <w:br/>
            </w:r>
            <w:r w:rsidRPr="00A10165">
              <w:rPr>
                <w:rFonts w:ascii="Arial" w:hAnsi="Arial" w:cs="Arial"/>
                <w:color w:val="000000"/>
              </w:rPr>
              <w:br/>
              <w:t>Janssen-</w:t>
            </w:r>
            <w:proofErr w:type="spellStart"/>
            <w:r w:rsidRPr="00A10165">
              <w:rPr>
                <w:rFonts w:ascii="Arial" w:hAnsi="Arial" w:cs="Arial"/>
                <w:color w:val="000000"/>
              </w:rPr>
              <w:t>Cilag</w:t>
            </w:r>
            <w:proofErr w:type="spellEnd"/>
            <w:r w:rsidRPr="00A10165">
              <w:rPr>
                <w:rFonts w:ascii="Arial" w:hAnsi="Arial" w:cs="Arial"/>
                <w:color w:val="000000"/>
              </w:rPr>
              <w:t xml:space="preserve"> Pty Ltd</w:t>
            </w:r>
            <w:r w:rsidRPr="00A10165">
              <w:rPr>
                <w:rFonts w:ascii="Arial" w:hAnsi="Arial" w:cs="Arial"/>
                <w:color w:val="000000"/>
              </w:rPr>
              <w:br/>
            </w:r>
            <w:r w:rsidRPr="00A10165">
              <w:rPr>
                <w:rFonts w:ascii="Arial" w:hAnsi="Arial" w:cs="Arial"/>
                <w:color w:val="000000"/>
              </w:rPr>
              <w:br/>
              <w:t>New listing</w:t>
            </w:r>
            <w:r w:rsidRPr="00A10165">
              <w:rPr>
                <w:rFonts w:ascii="Arial" w:hAnsi="Arial" w:cs="Arial"/>
                <w:color w:val="000000"/>
              </w:rPr>
              <w:br/>
              <w:t>(Major Submission)</w:t>
            </w:r>
          </w:p>
          <w:p w14:paraId="1DB2BC4E" w14:textId="77777777" w:rsidR="00646CDE" w:rsidRPr="00A10165" w:rsidRDefault="00646CDE" w:rsidP="00646CDE">
            <w:pPr>
              <w:rPr>
                <w:rFonts w:ascii="Arial" w:hAnsi="Arial" w:cs="Arial"/>
                <w:color w:val="000000"/>
              </w:rPr>
            </w:pPr>
          </w:p>
        </w:tc>
        <w:tc>
          <w:tcPr>
            <w:tcW w:w="2401" w:type="dxa"/>
            <w:tcBorders>
              <w:top w:val="nil"/>
              <w:left w:val="nil"/>
              <w:bottom w:val="single" w:sz="4" w:space="0" w:color="auto"/>
              <w:right w:val="single" w:sz="4" w:space="0" w:color="auto"/>
            </w:tcBorders>
            <w:shd w:val="clear" w:color="auto" w:fill="auto"/>
            <w:tcMar>
              <w:top w:w="28" w:type="dxa"/>
              <w:bottom w:w="28" w:type="dxa"/>
            </w:tcMar>
          </w:tcPr>
          <w:p w14:paraId="2613E27E" w14:textId="77777777" w:rsidR="00646CDE" w:rsidRPr="00A10165" w:rsidRDefault="00646CDE" w:rsidP="00646CDE">
            <w:pPr>
              <w:rPr>
                <w:rFonts w:ascii="Arial" w:hAnsi="Arial" w:cs="Arial"/>
                <w:color w:val="000000"/>
              </w:rPr>
            </w:pPr>
            <w:r w:rsidRPr="00A10165">
              <w:rPr>
                <w:rFonts w:ascii="Arial" w:hAnsi="Arial" w:cs="Arial"/>
                <w:color w:val="000000"/>
              </w:rPr>
              <w:t xml:space="preserve">Pulmonary arterial hypertension (PAH) </w:t>
            </w:r>
          </w:p>
          <w:p w14:paraId="6CEECF47" w14:textId="77777777" w:rsidR="00646CDE" w:rsidRPr="00A10165" w:rsidRDefault="00646CDE" w:rsidP="00646CDE">
            <w:pPr>
              <w:rPr>
                <w:rFonts w:ascii="Arial" w:hAnsi="Arial" w:cs="Arial"/>
                <w:color w:val="000000"/>
              </w:rPr>
            </w:pPr>
          </w:p>
        </w:tc>
        <w:tc>
          <w:tcPr>
            <w:tcW w:w="2702" w:type="dxa"/>
            <w:tcBorders>
              <w:top w:val="nil"/>
              <w:left w:val="nil"/>
              <w:bottom w:val="single" w:sz="4" w:space="0" w:color="auto"/>
              <w:right w:val="single" w:sz="4" w:space="0" w:color="auto"/>
            </w:tcBorders>
            <w:shd w:val="clear" w:color="auto" w:fill="auto"/>
            <w:tcMar>
              <w:top w:w="28" w:type="dxa"/>
              <w:bottom w:w="28" w:type="dxa"/>
            </w:tcMar>
          </w:tcPr>
          <w:p w14:paraId="00DD8FA8" w14:textId="5156469E" w:rsidR="00646CDE" w:rsidRPr="00A10165" w:rsidRDefault="00646CDE" w:rsidP="00646CDE">
            <w:pPr>
              <w:rPr>
                <w:rFonts w:ascii="Arial" w:hAnsi="Arial" w:cs="Arial"/>
                <w:color w:val="000000"/>
              </w:rPr>
            </w:pPr>
            <w:r w:rsidRPr="00A10165">
              <w:rPr>
                <w:rFonts w:ascii="Arial" w:hAnsi="Arial" w:cs="Arial"/>
                <w:color w:val="000000"/>
              </w:rPr>
              <w:t>To request a Section 100 (Highly Specialised Drugs Program - Public and Private Hospitals) Authority Required listing for PAH as a sequential add-on therapy to an endothelin receptor antagonist (ERA) and a phosphodies</w:t>
            </w:r>
            <w:r w:rsidR="00A52844">
              <w:rPr>
                <w:rFonts w:ascii="Arial" w:hAnsi="Arial" w:cs="Arial"/>
                <w:color w:val="000000"/>
              </w:rPr>
              <w:t xml:space="preserve">terase type 5 (PDE-5i). </w:t>
            </w:r>
          </w:p>
          <w:p w14:paraId="2092D9EB" w14:textId="77777777" w:rsidR="00646CDE" w:rsidRPr="00A10165" w:rsidRDefault="00646CDE" w:rsidP="00646CDE">
            <w:pPr>
              <w:rPr>
                <w:rFonts w:ascii="Arial" w:hAnsi="Arial" w:cs="Arial"/>
                <w:color w:val="000000"/>
              </w:rPr>
            </w:pPr>
          </w:p>
        </w:tc>
        <w:tc>
          <w:tcPr>
            <w:tcW w:w="6604" w:type="dxa"/>
            <w:tcBorders>
              <w:top w:val="single" w:sz="4" w:space="0" w:color="auto"/>
              <w:left w:val="single" w:sz="4" w:space="0" w:color="auto"/>
              <w:bottom w:val="single" w:sz="4" w:space="0" w:color="auto"/>
              <w:right w:val="single" w:sz="4" w:space="0" w:color="auto"/>
            </w:tcBorders>
          </w:tcPr>
          <w:p w14:paraId="5B781FA0" w14:textId="6E5AA0BC" w:rsidR="00646CDE" w:rsidRPr="00A10165" w:rsidRDefault="00646CDE" w:rsidP="00646CDE">
            <w:pPr>
              <w:rPr>
                <w:rFonts w:ascii="Arial" w:hAnsi="Arial" w:cs="Arial"/>
                <w:color w:val="000000"/>
              </w:rPr>
            </w:pPr>
            <w:r w:rsidRPr="00A10165">
              <w:rPr>
                <w:rFonts w:ascii="Arial" w:hAnsi="Arial" w:cs="Arial"/>
                <w:color w:val="000000"/>
              </w:rPr>
              <w:t xml:space="preserve">The PBAC recommended the listing of </w:t>
            </w:r>
            <w:proofErr w:type="spellStart"/>
            <w:r w:rsidRPr="00A10165">
              <w:rPr>
                <w:rFonts w:ascii="Arial" w:hAnsi="Arial" w:cs="Arial"/>
                <w:color w:val="000000"/>
              </w:rPr>
              <w:t>selexipag</w:t>
            </w:r>
            <w:proofErr w:type="spellEnd"/>
            <w:r w:rsidRPr="00A10165">
              <w:rPr>
                <w:rFonts w:ascii="Arial" w:hAnsi="Arial" w:cs="Arial"/>
                <w:color w:val="000000"/>
              </w:rPr>
              <w:t xml:space="preserve"> for the treatment patients with World Health Organisation (WHO) Functional Class</w:t>
            </w:r>
            <w:r w:rsidR="00A52844">
              <w:rPr>
                <w:rFonts w:ascii="Arial" w:hAnsi="Arial" w:cs="Arial"/>
                <w:color w:val="000000"/>
              </w:rPr>
              <w:t xml:space="preserve"> (FC)</w:t>
            </w:r>
            <w:r w:rsidRPr="00A10165">
              <w:rPr>
                <w:rFonts w:ascii="Arial" w:hAnsi="Arial" w:cs="Arial"/>
                <w:color w:val="000000"/>
              </w:rPr>
              <w:t xml:space="preserve"> III or IV PAH. The recommendation for </w:t>
            </w:r>
            <w:proofErr w:type="spellStart"/>
            <w:r w:rsidRPr="00A10165">
              <w:rPr>
                <w:rFonts w:ascii="Arial" w:hAnsi="Arial" w:cs="Arial"/>
                <w:color w:val="000000"/>
              </w:rPr>
              <w:t>selexipag</w:t>
            </w:r>
            <w:proofErr w:type="spellEnd"/>
            <w:r w:rsidRPr="00A10165">
              <w:rPr>
                <w:rFonts w:ascii="Arial" w:hAnsi="Arial" w:cs="Arial"/>
                <w:color w:val="000000"/>
              </w:rPr>
              <w:t xml:space="preserve"> is as triple therapy in combination with an ERA and a PDE-5i</w:t>
            </w:r>
            <w:r w:rsidR="00A52844">
              <w:rPr>
                <w:rFonts w:ascii="Arial" w:hAnsi="Arial" w:cs="Arial"/>
                <w:color w:val="000000"/>
              </w:rPr>
              <w:t>.</w:t>
            </w:r>
          </w:p>
          <w:p w14:paraId="0554FDEC" w14:textId="77777777" w:rsidR="00646CDE" w:rsidRDefault="00646CDE" w:rsidP="00646CDE">
            <w:pPr>
              <w:rPr>
                <w:rFonts w:ascii="Arial" w:hAnsi="Arial" w:cs="Arial"/>
                <w:color w:val="000000"/>
              </w:rPr>
            </w:pPr>
            <w:r w:rsidRPr="00A10165">
              <w:rPr>
                <w:rFonts w:ascii="Arial" w:hAnsi="Arial" w:cs="Arial"/>
                <w:color w:val="000000"/>
              </w:rPr>
              <w:br/>
              <w:t xml:space="preserve">The PBAC considered the claim that </w:t>
            </w:r>
            <w:proofErr w:type="spellStart"/>
            <w:r w:rsidRPr="00A10165">
              <w:rPr>
                <w:rFonts w:ascii="Arial" w:hAnsi="Arial" w:cs="Arial"/>
                <w:color w:val="000000"/>
              </w:rPr>
              <w:t>selexipag</w:t>
            </w:r>
            <w:proofErr w:type="spellEnd"/>
            <w:r w:rsidRPr="00A10165">
              <w:rPr>
                <w:rFonts w:ascii="Arial" w:hAnsi="Arial" w:cs="Arial"/>
                <w:color w:val="000000"/>
              </w:rPr>
              <w:t xml:space="preserve">, when used in combination with an ERA and a PDE-5i in patients with WHO FC III and IV PAH, was superior to placebo was reasonable, but that the magnitude of the benefit was uncertain. The PBAC considered that </w:t>
            </w:r>
            <w:proofErr w:type="spellStart"/>
            <w:r w:rsidRPr="00A10165">
              <w:rPr>
                <w:rFonts w:ascii="Arial" w:hAnsi="Arial" w:cs="Arial"/>
                <w:color w:val="000000"/>
              </w:rPr>
              <w:t>selexipag</w:t>
            </w:r>
            <w:proofErr w:type="spellEnd"/>
            <w:r w:rsidRPr="00A10165">
              <w:rPr>
                <w:rFonts w:ascii="Arial" w:hAnsi="Arial" w:cs="Arial"/>
                <w:color w:val="000000"/>
              </w:rPr>
              <w:t xml:space="preserve"> was inferior to placebo with regards to comparative safety. </w:t>
            </w:r>
            <w:r w:rsidRPr="00A10165">
              <w:rPr>
                <w:rFonts w:ascii="Arial" w:hAnsi="Arial" w:cs="Arial"/>
                <w:color w:val="000000"/>
              </w:rPr>
              <w:br/>
            </w:r>
          </w:p>
          <w:p w14:paraId="7BE7DF6D" w14:textId="7C2E3F04" w:rsidR="00646CDE" w:rsidRPr="00A10165" w:rsidRDefault="00646CDE" w:rsidP="00646CDE">
            <w:pPr>
              <w:rPr>
                <w:rFonts w:ascii="Arial" w:hAnsi="Arial" w:cs="Arial"/>
                <w:color w:val="000000"/>
              </w:rPr>
            </w:pPr>
            <w:r w:rsidRPr="00A10165">
              <w:rPr>
                <w:rFonts w:ascii="Arial" w:hAnsi="Arial" w:cs="Arial"/>
                <w:color w:val="000000"/>
              </w:rPr>
              <w:t xml:space="preserve">The PBAC had concerns regarding the modelled evaluation including clinical data limitations, uncertainty surrounding the magnitude of the clinical benefit and structural issues. The PBAC considered that given the model uncertainties, the inputs for the base case analysis should be conservative. With conservative </w:t>
            </w:r>
            <w:r w:rsidR="00B11B0C" w:rsidRPr="00A10165">
              <w:rPr>
                <w:rFonts w:ascii="Arial" w:hAnsi="Arial" w:cs="Arial"/>
                <w:color w:val="000000"/>
              </w:rPr>
              <w:t>inp</w:t>
            </w:r>
            <w:r w:rsidR="00B11B0C">
              <w:rPr>
                <w:rFonts w:ascii="Arial" w:hAnsi="Arial" w:cs="Arial"/>
                <w:color w:val="000000"/>
              </w:rPr>
              <w:t>uts,</w:t>
            </w:r>
            <w:r w:rsidR="00A52844">
              <w:rPr>
                <w:rFonts w:ascii="Arial" w:hAnsi="Arial" w:cs="Arial"/>
                <w:color w:val="000000"/>
              </w:rPr>
              <w:t xml:space="preserve"> the PBAC considered the incremental cost-effectiveness </w:t>
            </w:r>
            <w:r w:rsidR="00BC009B">
              <w:rPr>
                <w:rFonts w:ascii="Arial" w:hAnsi="Arial" w:cs="Arial"/>
                <w:color w:val="000000"/>
              </w:rPr>
              <w:t>ratio</w:t>
            </w:r>
            <w:r w:rsidR="00A52844">
              <w:rPr>
                <w:rFonts w:ascii="Arial" w:hAnsi="Arial" w:cs="Arial"/>
                <w:color w:val="000000"/>
              </w:rPr>
              <w:t xml:space="preserve"> was</w:t>
            </w:r>
            <w:r w:rsidRPr="00A10165">
              <w:rPr>
                <w:rFonts w:ascii="Arial" w:hAnsi="Arial" w:cs="Arial"/>
                <w:color w:val="000000"/>
              </w:rPr>
              <w:t xml:space="preserve"> unacceptably high, but considered this could be addressed through a</w:t>
            </w:r>
            <w:r w:rsidR="00B11B0C">
              <w:rPr>
                <w:rFonts w:ascii="Arial" w:hAnsi="Arial" w:cs="Arial"/>
                <w:color w:val="000000"/>
              </w:rPr>
              <w:t xml:space="preserve"> price reduction. </w:t>
            </w:r>
            <w:r w:rsidRPr="00A10165">
              <w:rPr>
                <w:rFonts w:ascii="Arial" w:hAnsi="Arial" w:cs="Arial"/>
                <w:color w:val="000000"/>
              </w:rPr>
              <w:t xml:space="preserve">The </w:t>
            </w:r>
            <w:r w:rsidR="004C6FAF">
              <w:rPr>
                <w:rFonts w:ascii="Arial" w:hAnsi="Arial" w:cs="Arial"/>
                <w:color w:val="000000"/>
              </w:rPr>
              <w:t>PBAC</w:t>
            </w:r>
            <w:r w:rsidR="004C6FAF" w:rsidRPr="00A10165">
              <w:rPr>
                <w:rFonts w:ascii="Arial" w:hAnsi="Arial" w:cs="Arial"/>
                <w:color w:val="000000"/>
              </w:rPr>
              <w:t xml:space="preserve"> </w:t>
            </w:r>
            <w:r w:rsidRPr="00A10165">
              <w:rPr>
                <w:rFonts w:ascii="Arial" w:hAnsi="Arial" w:cs="Arial"/>
                <w:color w:val="000000"/>
              </w:rPr>
              <w:t xml:space="preserve">noted that the listing of </w:t>
            </w:r>
            <w:proofErr w:type="spellStart"/>
            <w:r w:rsidRPr="00A10165">
              <w:rPr>
                <w:rFonts w:ascii="Arial" w:hAnsi="Arial" w:cs="Arial"/>
                <w:color w:val="000000"/>
              </w:rPr>
              <w:t>selexipag</w:t>
            </w:r>
            <w:proofErr w:type="spellEnd"/>
            <w:r w:rsidRPr="00A10165">
              <w:rPr>
                <w:rFonts w:ascii="Arial" w:hAnsi="Arial" w:cs="Arial"/>
                <w:color w:val="000000"/>
              </w:rPr>
              <w:t xml:space="preserve"> could not be finalised prior to the listing of ERA/PDE-5i dual therapy, which was recommended as part of the Post-market Review of PAH listings.</w:t>
            </w:r>
          </w:p>
          <w:p w14:paraId="3CBEE16A" w14:textId="77777777" w:rsidR="00646CDE" w:rsidRPr="00A10165" w:rsidRDefault="00646CDE" w:rsidP="00646CDE">
            <w:pPr>
              <w:rPr>
                <w:rFonts w:ascii="Arial" w:hAnsi="Arial" w:cs="Arial"/>
                <w:color w:val="000000"/>
              </w:rPr>
            </w:pPr>
          </w:p>
        </w:tc>
      </w:tr>
      <w:tr w:rsidR="00646CDE" w:rsidRPr="006B5404" w14:paraId="4BEF0E51" w14:textId="77777777" w:rsidTr="00891EAA">
        <w:trPr>
          <w:cantSplit/>
          <w:trHeight w:val="430"/>
        </w:trPr>
        <w:tc>
          <w:tcPr>
            <w:tcW w:w="3681"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5A455D7F" w14:textId="04DDF9D3" w:rsidR="00646CDE" w:rsidRPr="006B5404" w:rsidRDefault="00646CDE" w:rsidP="00646CDE">
            <w:pPr>
              <w:rPr>
                <w:rFonts w:ascii="Arial" w:hAnsi="Arial" w:cs="Arial"/>
              </w:rPr>
            </w:pPr>
            <w:r w:rsidRPr="006B5404">
              <w:rPr>
                <w:rFonts w:ascii="Arial" w:hAnsi="Arial" w:cs="Arial"/>
                <w:color w:val="000000"/>
              </w:rPr>
              <w:lastRenderedPageBreak/>
              <w:t xml:space="preserve">SIPONIMOD </w:t>
            </w:r>
            <w:r w:rsidRPr="006B5404">
              <w:rPr>
                <w:rFonts w:ascii="Arial" w:hAnsi="Arial" w:cs="Arial"/>
                <w:color w:val="000000"/>
              </w:rPr>
              <w:br/>
            </w:r>
            <w:r w:rsidRPr="006B5404">
              <w:rPr>
                <w:rFonts w:ascii="Arial" w:hAnsi="Arial" w:cs="Arial"/>
                <w:color w:val="000000"/>
              </w:rPr>
              <w:br/>
              <w:t>Tablet 250 m</w:t>
            </w:r>
            <w:r>
              <w:rPr>
                <w:rFonts w:ascii="Arial" w:hAnsi="Arial" w:cs="Arial"/>
                <w:color w:val="000000"/>
              </w:rPr>
              <w:t>icrograms</w:t>
            </w:r>
            <w:r>
              <w:rPr>
                <w:rFonts w:ascii="Arial" w:hAnsi="Arial" w:cs="Arial"/>
                <w:color w:val="000000"/>
              </w:rPr>
              <w:br/>
              <w:t>Tablet 2 mg</w:t>
            </w:r>
            <w:r>
              <w:rPr>
                <w:rFonts w:ascii="Arial" w:hAnsi="Arial" w:cs="Arial"/>
                <w:color w:val="000000"/>
              </w:rPr>
              <w:br/>
            </w:r>
            <w:r>
              <w:rPr>
                <w:rFonts w:ascii="Arial" w:hAnsi="Arial" w:cs="Arial"/>
                <w:color w:val="000000"/>
              </w:rPr>
              <w:br/>
            </w:r>
            <w:proofErr w:type="spellStart"/>
            <w:r>
              <w:rPr>
                <w:rFonts w:ascii="Arial" w:hAnsi="Arial" w:cs="Arial"/>
                <w:color w:val="000000"/>
              </w:rPr>
              <w:t>Mayzen</w:t>
            </w:r>
            <w:r w:rsidR="00B11B0C">
              <w:rPr>
                <w:rFonts w:ascii="Arial" w:hAnsi="Arial" w:cs="Arial"/>
                <w:color w:val="000000"/>
              </w:rPr>
              <w:t>t</w:t>
            </w:r>
            <w:proofErr w:type="spellEnd"/>
            <w:r w:rsidR="00B11B0C">
              <w:rPr>
                <w:rFonts w:ascii="Arial" w:hAnsi="Arial" w:cs="Arial"/>
                <w:color w:val="000000"/>
              </w:rPr>
              <w:t>®</w:t>
            </w:r>
            <w:r w:rsidRPr="0089219D">
              <w:rPr>
                <w:rFonts w:ascii="Arial" w:hAnsi="Arial" w:cs="Arial"/>
                <w:color w:val="000000"/>
                <w:vertAlign w:val="superscript"/>
              </w:rPr>
              <w:br/>
            </w:r>
            <w:r w:rsidRPr="006B5404">
              <w:rPr>
                <w:rFonts w:ascii="Arial" w:hAnsi="Arial" w:cs="Arial"/>
                <w:color w:val="000000"/>
              </w:rPr>
              <w:br/>
              <w:t>Novartis Pharmaceuticals Australia Pty Limited</w:t>
            </w:r>
            <w:r w:rsidRPr="006B5404">
              <w:rPr>
                <w:rFonts w:ascii="Arial" w:hAnsi="Arial" w:cs="Arial"/>
                <w:color w:val="000000"/>
              </w:rPr>
              <w:br/>
            </w:r>
            <w:r w:rsidRPr="006B5404">
              <w:rPr>
                <w:rFonts w:ascii="Arial" w:hAnsi="Arial" w:cs="Arial"/>
                <w:color w:val="000000"/>
              </w:rPr>
              <w:br/>
              <w:t>New listing</w:t>
            </w:r>
            <w:r w:rsidRPr="006B5404">
              <w:rPr>
                <w:rFonts w:ascii="Arial" w:hAnsi="Arial" w:cs="Arial"/>
                <w:color w:val="000000"/>
              </w:rPr>
              <w:br/>
              <w:t>(Major Submission)</w:t>
            </w:r>
          </w:p>
        </w:tc>
        <w:tc>
          <w:tcPr>
            <w:tcW w:w="2401"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3220C700" w14:textId="2A194663" w:rsidR="00646CDE" w:rsidRPr="006B5404" w:rsidRDefault="00646CDE" w:rsidP="00646CDE">
            <w:pPr>
              <w:rPr>
                <w:rFonts w:ascii="Arial" w:hAnsi="Arial" w:cs="Arial"/>
              </w:rPr>
            </w:pPr>
            <w:r w:rsidRPr="006B5404">
              <w:rPr>
                <w:rFonts w:ascii="Arial" w:hAnsi="Arial" w:cs="Arial"/>
                <w:color w:val="000000"/>
              </w:rPr>
              <w:t>Multiple sclerosis (MS)</w:t>
            </w:r>
          </w:p>
        </w:tc>
        <w:tc>
          <w:tcPr>
            <w:tcW w:w="2702"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2E7F1A20" w14:textId="26AE0AA0" w:rsidR="00646CDE" w:rsidRPr="006B5404" w:rsidRDefault="00646CDE" w:rsidP="00646CDE">
            <w:pPr>
              <w:rPr>
                <w:rFonts w:ascii="Arial" w:hAnsi="Arial" w:cs="Arial"/>
              </w:rPr>
            </w:pPr>
            <w:r w:rsidRPr="006B5404">
              <w:rPr>
                <w:rFonts w:ascii="Arial" w:hAnsi="Arial" w:cs="Arial"/>
                <w:color w:val="000000"/>
              </w:rPr>
              <w:t>Resubmission to request an Authority Required (STREAMLINED) listing for the treatment of patients with a history of relapsing forms of MS who meet certain conditions.</w:t>
            </w:r>
          </w:p>
        </w:tc>
        <w:tc>
          <w:tcPr>
            <w:tcW w:w="6604" w:type="dxa"/>
            <w:tcBorders>
              <w:top w:val="single" w:sz="4" w:space="0" w:color="auto"/>
              <w:left w:val="single" w:sz="4" w:space="0" w:color="auto"/>
              <w:bottom w:val="single" w:sz="4" w:space="0" w:color="auto"/>
              <w:right w:val="single" w:sz="4" w:space="0" w:color="auto"/>
            </w:tcBorders>
          </w:tcPr>
          <w:p w14:paraId="32DD99FD" w14:textId="5E0DA619" w:rsidR="00646CDE" w:rsidRPr="006B5404" w:rsidRDefault="00646CDE" w:rsidP="00646CDE">
            <w:pPr>
              <w:widowControl w:val="0"/>
              <w:rPr>
                <w:rFonts w:ascii="Arial" w:hAnsi="Arial" w:cs="Arial"/>
              </w:rPr>
            </w:pPr>
            <w:r w:rsidRPr="006B5404">
              <w:rPr>
                <w:rFonts w:ascii="Arial" w:hAnsi="Arial" w:cs="Arial"/>
              </w:rPr>
              <w:t xml:space="preserve">The PBAC recommended the listing of </w:t>
            </w:r>
            <w:proofErr w:type="spellStart"/>
            <w:r w:rsidRPr="006B5404">
              <w:rPr>
                <w:rFonts w:ascii="Arial" w:hAnsi="Arial" w:cs="Arial"/>
              </w:rPr>
              <w:t>siponimod</w:t>
            </w:r>
            <w:proofErr w:type="spellEnd"/>
            <w:r w:rsidRPr="006B5404">
              <w:rPr>
                <w:rFonts w:ascii="Arial" w:hAnsi="Arial" w:cs="Arial"/>
              </w:rPr>
              <w:t xml:space="preserve"> for patients with secondary progressive MS who are ambulant (with or without support). The</w:t>
            </w:r>
            <w:r w:rsidR="00B11B0C">
              <w:rPr>
                <w:rFonts w:ascii="Arial" w:hAnsi="Arial" w:cs="Arial"/>
              </w:rPr>
              <w:t xml:space="preserve"> PBAC recommended listing </w:t>
            </w:r>
            <w:r w:rsidRPr="006B5404">
              <w:rPr>
                <w:rFonts w:ascii="Arial" w:hAnsi="Arial" w:cs="Arial"/>
              </w:rPr>
              <w:t>on a cost</w:t>
            </w:r>
            <w:r w:rsidR="004B349C">
              <w:rPr>
                <w:rFonts w:ascii="Arial" w:hAnsi="Arial" w:cs="Arial"/>
              </w:rPr>
              <w:t>-</w:t>
            </w:r>
            <w:r w:rsidRPr="006B5404">
              <w:rPr>
                <w:rFonts w:ascii="Arial" w:hAnsi="Arial" w:cs="Arial"/>
              </w:rPr>
              <w:t xml:space="preserve">minimisation basis </w:t>
            </w:r>
            <w:r w:rsidR="00B11B0C">
              <w:rPr>
                <w:rFonts w:ascii="Arial" w:hAnsi="Arial" w:cs="Arial"/>
              </w:rPr>
              <w:t xml:space="preserve">compared with </w:t>
            </w:r>
            <w:proofErr w:type="spellStart"/>
            <w:r w:rsidR="00B11B0C">
              <w:rPr>
                <w:rFonts w:ascii="Arial" w:hAnsi="Arial" w:cs="Arial"/>
              </w:rPr>
              <w:t>fingolimod</w:t>
            </w:r>
            <w:proofErr w:type="spellEnd"/>
            <w:r w:rsidR="00B11B0C">
              <w:rPr>
                <w:rFonts w:ascii="Arial" w:hAnsi="Arial" w:cs="Arial"/>
              </w:rPr>
              <w:t xml:space="preserve">. </w:t>
            </w:r>
            <w:r w:rsidRPr="006B5404">
              <w:rPr>
                <w:rFonts w:ascii="Arial" w:hAnsi="Arial" w:cs="Arial"/>
              </w:rPr>
              <w:t xml:space="preserve">The PBAC considered that the cost-effectiveness of </w:t>
            </w:r>
            <w:proofErr w:type="spellStart"/>
            <w:r w:rsidRPr="006B5404">
              <w:rPr>
                <w:rFonts w:ascii="Arial" w:hAnsi="Arial" w:cs="Arial"/>
              </w:rPr>
              <w:t>siponimod</w:t>
            </w:r>
            <w:proofErr w:type="spellEnd"/>
            <w:r w:rsidRPr="006B5404">
              <w:rPr>
                <w:rFonts w:ascii="Arial" w:hAnsi="Arial" w:cs="Arial"/>
              </w:rPr>
              <w:t xml:space="preserve"> when used in a broader patient population than </w:t>
            </w:r>
            <w:proofErr w:type="spellStart"/>
            <w:r w:rsidRPr="006B5404">
              <w:rPr>
                <w:rFonts w:ascii="Arial" w:hAnsi="Arial" w:cs="Arial"/>
              </w:rPr>
              <w:t>fingolimod</w:t>
            </w:r>
            <w:proofErr w:type="spellEnd"/>
            <w:r w:rsidRPr="006B5404">
              <w:rPr>
                <w:rFonts w:ascii="Arial" w:hAnsi="Arial" w:cs="Arial"/>
              </w:rPr>
              <w:t xml:space="preserve"> was adequately addressed with a reduced price for this population. </w:t>
            </w:r>
          </w:p>
          <w:p w14:paraId="16D88488" w14:textId="77777777" w:rsidR="00646CDE" w:rsidRPr="006B5404" w:rsidRDefault="00646CDE" w:rsidP="00646CDE">
            <w:pPr>
              <w:widowControl w:val="0"/>
              <w:rPr>
                <w:rFonts w:ascii="Arial" w:hAnsi="Arial" w:cs="Arial"/>
              </w:rPr>
            </w:pPr>
          </w:p>
          <w:p w14:paraId="5D1A1045" w14:textId="7A6949C3" w:rsidR="00646CDE" w:rsidRPr="006B5404" w:rsidRDefault="00646CDE" w:rsidP="00646CDE">
            <w:pPr>
              <w:widowControl w:val="0"/>
              <w:rPr>
                <w:rFonts w:ascii="Arial" w:hAnsi="Arial" w:cs="Arial"/>
              </w:rPr>
            </w:pPr>
            <w:r w:rsidRPr="006B5404">
              <w:rPr>
                <w:rFonts w:ascii="Arial" w:hAnsi="Arial" w:cs="Arial"/>
              </w:rPr>
              <w:t>In making this recommendation, the PBAC noted the high clinical need for effective treatments for patients with progressive forms of relapse-onset MS and for patients with greater accumulated disability. The PBAC recommended that additional financial measures would be required to facilitate a listing.</w:t>
            </w:r>
          </w:p>
        </w:tc>
      </w:tr>
      <w:tr w:rsidR="00646CDE" w:rsidRPr="006B5404" w14:paraId="6E37D9D3" w14:textId="77777777" w:rsidTr="00891EAA">
        <w:trPr>
          <w:cantSplit/>
          <w:trHeight w:val="430"/>
        </w:trPr>
        <w:tc>
          <w:tcPr>
            <w:tcW w:w="3681" w:type="dxa"/>
            <w:tcBorders>
              <w:top w:val="nil"/>
              <w:left w:val="single" w:sz="4" w:space="0" w:color="auto"/>
              <w:bottom w:val="single" w:sz="4" w:space="0" w:color="auto"/>
              <w:right w:val="single" w:sz="4" w:space="0" w:color="auto"/>
            </w:tcBorders>
            <w:shd w:val="clear" w:color="auto" w:fill="auto"/>
            <w:tcMar>
              <w:top w:w="28" w:type="dxa"/>
              <w:bottom w:w="28" w:type="dxa"/>
            </w:tcMar>
          </w:tcPr>
          <w:p w14:paraId="500C5B4B" w14:textId="3DBD6387" w:rsidR="00646CDE" w:rsidRPr="006B5404" w:rsidRDefault="00646CDE" w:rsidP="00CA4A23">
            <w:pPr>
              <w:rPr>
                <w:rFonts w:ascii="Arial" w:hAnsi="Arial" w:cs="Arial"/>
              </w:rPr>
            </w:pPr>
            <w:r w:rsidRPr="006B5404">
              <w:rPr>
                <w:rFonts w:ascii="Arial" w:hAnsi="Arial" w:cs="Arial"/>
                <w:color w:val="000000"/>
              </w:rPr>
              <w:t>TERBUTALINE</w:t>
            </w:r>
            <w:r w:rsidRPr="006B5404">
              <w:rPr>
                <w:rFonts w:ascii="Arial" w:hAnsi="Arial" w:cs="Arial"/>
                <w:color w:val="000000"/>
              </w:rPr>
              <w:br/>
            </w:r>
            <w:r w:rsidRPr="006B5404">
              <w:rPr>
                <w:rFonts w:ascii="Arial" w:hAnsi="Arial" w:cs="Arial"/>
                <w:color w:val="000000"/>
              </w:rPr>
              <w:br/>
              <w:t xml:space="preserve">Powder for oral inhalation in breath actuated device containing terbutaline </w:t>
            </w:r>
            <w:proofErr w:type="spellStart"/>
            <w:r w:rsidRPr="006B5404">
              <w:rPr>
                <w:rFonts w:ascii="Arial" w:hAnsi="Arial" w:cs="Arial"/>
                <w:color w:val="000000"/>
              </w:rPr>
              <w:t>sulfate</w:t>
            </w:r>
            <w:proofErr w:type="spellEnd"/>
            <w:r w:rsidRPr="006B5404">
              <w:rPr>
                <w:rFonts w:ascii="Arial" w:hAnsi="Arial" w:cs="Arial"/>
                <w:color w:val="000000"/>
              </w:rPr>
              <w:t xml:space="preserve"> 500 micrograms per dose, </w:t>
            </w:r>
            <w:r>
              <w:rPr>
                <w:rFonts w:ascii="Arial" w:hAnsi="Arial" w:cs="Arial"/>
                <w:color w:val="000000"/>
              </w:rPr>
              <w:t>120</w:t>
            </w:r>
            <w:r w:rsidR="00CA4A23">
              <w:rPr>
                <w:rFonts w:ascii="Arial" w:hAnsi="Arial" w:cs="Arial"/>
                <w:color w:val="000000"/>
              </w:rPr>
              <w:t> </w:t>
            </w:r>
            <w:r>
              <w:rPr>
                <w:rFonts w:ascii="Arial" w:hAnsi="Arial" w:cs="Arial"/>
                <w:color w:val="000000"/>
              </w:rPr>
              <w:t>doses</w:t>
            </w:r>
            <w:r>
              <w:rPr>
                <w:rFonts w:ascii="Arial" w:hAnsi="Arial" w:cs="Arial"/>
                <w:color w:val="000000"/>
              </w:rPr>
              <w:br/>
            </w:r>
            <w:r>
              <w:rPr>
                <w:rFonts w:ascii="Arial" w:hAnsi="Arial" w:cs="Arial"/>
                <w:color w:val="000000"/>
              </w:rPr>
              <w:br/>
              <w:t>Bricany</w:t>
            </w:r>
            <w:r w:rsidR="005F429F">
              <w:rPr>
                <w:rFonts w:ascii="Arial" w:hAnsi="Arial" w:cs="Arial"/>
                <w:color w:val="000000"/>
              </w:rPr>
              <w:t>l</w:t>
            </w:r>
            <w:r w:rsidR="006F586C">
              <w:rPr>
                <w:rFonts w:ascii="Arial" w:hAnsi="Arial" w:cs="Arial"/>
                <w:color w:val="000000"/>
              </w:rPr>
              <w:t xml:space="preserve">® </w:t>
            </w:r>
            <w:proofErr w:type="spellStart"/>
            <w:r>
              <w:rPr>
                <w:rFonts w:ascii="Arial" w:hAnsi="Arial" w:cs="Arial"/>
                <w:color w:val="000000"/>
              </w:rPr>
              <w:t>Turbuhaler</w:t>
            </w:r>
            <w:proofErr w:type="spellEnd"/>
            <w:r w:rsidRPr="006B5404">
              <w:rPr>
                <w:rFonts w:ascii="Arial" w:hAnsi="Arial" w:cs="Arial"/>
                <w:color w:val="000000"/>
              </w:rPr>
              <w:br/>
            </w:r>
            <w:r w:rsidRPr="006B5404">
              <w:rPr>
                <w:rFonts w:ascii="Arial" w:hAnsi="Arial" w:cs="Arial"/>
                <w:color w:val="000000"/>
              </w:rPr>
              <w:br/>
              <w:t>AstraZeneca Pty Ltd</w:t>
            </w:r>
            <w:r w:rsidRPr="006B5404">
              <w:rPr>
                <w:rFonts w:ascii="Arial" w:hAnsi="Arial" w:cs="Arial"/>
                <w:color w:val="000000"/>
              </w:rPr>
              <w:br/>
            </w:r>
            <w:r w:rsidRPr="006B5404">
              <w:rPr>
                <w:rFonts w:ascii="Arial" w:hAnsi="Arial" w:cs="Arial"/>
                <w:color w:val="000000"/>
              </w:rPr>
              <w:br/>
              <w:t>New listing</w:t>
            </w:r>
            <w:r w:rsidRPr="006B5404">
              <w:rPr>
                <w:rFonts w:ascii="Arial" w:hAnsi="Arial" w:cs="Arial"/>
                <w:color w:val="000000"/>
              </w:rPr>
              <w:br/>
            </w:r>
            <w:r w:rsidRPr="00E16F30">
              <w:rPr>
                <w:rFonts w:ascii="Arial" w:hAnsi="Arial" w:cs="Arial"/>
                <w:color w:val="000000"/>
              </w:rPr>
              <w:t xml:space="preserve">(Minor Submission) </w:t>
            </w:r>
          </w:p>
        </w:tc>
        <w:tc>
          <w:tcPr>
            <w:tcW w:w="2401" w:type="dxa"/>
            <w:tcBorders>
              <w:top w:val="nil"/>
              <w:left w:val="nil"/>
              <w:bottom w:val="single" w:sz="4" w:space="0" w:color="auto"/>
              <w:right w:val="single" w:sz="4" w:space="0" w:color="auto"/>
            </w:tcBorders>
            <w:shd w:val="clear" w:color="auto" w:fill="auto"/>
            <w:tcMar>
              <w:top w:w="28" w:type="dxa"/>
              <w:bottom w:w="28" w:type="dxa"/>
            </w:tcMar>
          </w:tcPr>
          <w:p w14:paraId="05172604" w14:textId="3CD3259B" w:rsidR="00646CDE" w:rsidRPr="006B5404" w:rsidRDefault="00646CDE" w:rsidP="00646CDE">
            <w:pPr>
              <w:rPr>
                <w:rFonts w:ascii="Arial" w:hAnsi="Arial" w:cs="Arial"/>
              </w:rPr>
            </w:pPr>
            <w:r w:rsidRPr="006B5404">
              <w:rPr>
                <w:rFonts w:ascii="Arial" w:hAnsi="Arial" w:cs="Arial"/>
                <w:color w:val="000000"/>
              </w:rPr>
              <w:t>Bronchospasm</w:t>
            </w:r>
          </w:p>
        </w:tc>
        <w:tc>
          <w:tcPr>
            <w:tcW w:w="2702" w:type="dxa"/>
            <w:tcBorders>
              <w:top w:val="nil"/>
              <w:left w:val="nil"/>
              <w:bottom w:val="single" w:sz="4" w:space="0" w:color="auto"/>
              <w:right w:val="single" w:sz="4" w:space="0" w:color="auto"/>
            </w:tcBorders>
            <w:shd w:val="clear" w:color="auto" w:fill="auto"/>
            <w:tcMar>
              <w:top w:w="28" w:type="dxa"/>
              <w:bottom w:w="28" w:type="dxa"/>
            </w:tcMar>
          </w:tcPr>
          <w:p w14:paraId="641A0BCB" w14:textId="477933A8" w:rsidR="00646CDE" w:rsidRPr="006B5404" w:rsidRDefault="00646CDE" w:rsidP="00646CDE">
            <w:pPr>
              <w:rPr>
                <w:rFonts w:ascii="Arial" w:hAnsi="Arial" w:cs="Arial"/>
              </w:rPr>
            </w:pPr>
            <w:r w:rsidRPr="006B5404">
              <w:rPr>
                <w:rFonts w:ascii="Arial" w:hAnsi="Arial" w:cs="Arial"/>
                <w:color w:val="000000"/>
              </w:rPr>
              <w:t>To request the Authority Required</w:t>
            </w:r>
            <w:r>
              <w:rPr>
                <w:rFonts w:ascii="Arial" w:hAnsi="Arial" w:cs="Arial"/>
                <w:color w:val="000000"/>
              </w:rPr>
              <w:t xml:space="preserve"> (STREAMLINED) listing of a new</w:t>
            </w:r>
            <w:r w:rsidRPr="006B5404">
              <w:rPr>
                <w:rFonts w:ascii="Arial" w:hAnsi="Arial" w:cs="Arial"/>
                <w:color w:val="000000"/>
              </w:rPr>
              <w:t xml:space="preserve"> terbutaline inhaler device under the same conditions as the current inhaler presentation.</w:t>
            </w:r>
          </w:p>
        </w:tc>
        <w:tc>
          <w:tcPr>
            <w:tcW w:w="6604" w:type="dxa"/>
            <w:tcBorders>
              <w:top w:val="single" w:sz="4" w:space="0" w:color="auto"/>
              <w:left w:val="single" w:sz="4" w:space="0" w:color="auto"/>
              <w:bottom w:val="single" w:sz="4" w:space="0" w:color="auto"/>
              <w:right w:val="single" w:sz="4" w:space="0" w:color="auto"/>
            </w:tcBorders>
          </w:tcPr>
          <w:p w14:paraId="73370DF0" w14:textId="283C5D82" w:rsidR="00646CDE" w:rsidRPr="006B5404" w:rsidRDefault="00646CDE" w:rsidP="00646CDE">
            <w:pPr>
              <w:rPr>
                <w:rFonts w:ascii="Arial" w:hAnsi="Arial" w:cs="Arial"/>
                <w:color w:val="000000"/>
              </w:rPr>
            </w:pPr>
            <w:r w:rsidRPr="006B5404">
              <w:rPr>
                <w:rFonts w:ascii="Arial" w:hAnsi="Arial" w:cs="Arial"/>
                <w:color w:val="000000"/>
              </w:rPr>
              <w:t xml:space="preserve">The PBAC recommended </w:t>
            </w:r>
            <w:r w:rsidR="005F429F">
              <w:rPr>
                <w:rFonts w:ascii="Arial" w:hAnsi="Arial" w:cs="Arial"/>
                <w:color w:val="000000"/>
              </w:rPr>
              <w:t>the</w:t>
            </w:r>
            <w:r w:rsidR="00CA4A23">
              <w:rPr>
                <w:rFonts w:ascii="Arial" w:hAnsi="Arial" w:cs="Arial"/>
                <w:color w:val="000000"/>
              </w:rPr>
              <w:t xml:space="preserve"> </w:t>
            </w:r>
            <w:r w:rsidRPr="006B5404">
              <w:rPr>
                <w:rFonts w:ascii="Arial" w:hAnsi="Arial" w:cs="Arial"/>
                <w:color w:val="000000"/>
              </w:rPr>
              <w:t xml:space="preserve">listing of a new form of terbutaline, M3 </w:t>
            </w:r>
            <w:proofErr w:type="spellStart"/>
            <w:r w:rsidRPr="006B5404">
              <w:rPr>
                <w:rFonts w:ascii="Arial" w:hAnsi="Arial" w:cs="Arial"/>
                <w:color w:val="000000"/>
              </w:rPr>
              <w:t>T</w:t>
            </w:r>
            <w:r w:rsidR="00F72102">
              <w:rPr>
                <w:rFonts w:ascii="Arial" w:hAnsi="Arial" w:cs="Arial"/>
                <w:color w:val="000000"/>
              </w:rPr>
              <w:t>u</w:t>
            </w:r>
            <w:r w:rsidRPr="006B5404">
              <w:rPr>
                <w:rFonts w:ascii="Arial" w:hAnsi="Arial" w:cs="Arial"/>
                <w:color w:val="000000"/>
              </w:rPr>
              <w:t>rbuhaler</w:t>
            </w:r>
            <w:proofErr w:type="spellEnd"/>
            <w:r w:rsidRPr="006B5404">
              <w:rPr>
                <w:rFonts w:ascii="Arial" w:hAnsi="Arial" w:cs="Arial"/>
                <w:color w:val="000000"/>
              </w:rPr>
              <w:t>, under the same eligibility criteria as the currently l</w:t>
            </w:r>
            <w:r w:rsidR="00F72102">
              <w:rPr>
                <w:rFonts w:ascii="Arial" w:hAnsi="Arial" w:cs="Arial"/>
                <w:color w:val="000000"/>
              </w:rPr>
              <w:t xml:space="preserve">isted form of terbutaline, M2 </w:t>
            </w:r>
            <w:proofErr w:type="spellStart"/>
            <w:r w:rsidR="00F72102">
              <w:rPr>
                <w:rFonts w:ascii="Arial" w:hAnsi="Arial" w:cs="Arial"/>
                <w:color w:val="000000"/>
              </w:rPr>
              <w:t>Tu</w:t>
            </w:r>
            <w:r w:rsidRPr="006B5404">
              <w:rPr>
                <w:rFonts w:ascii="Arial" w:hAnsi="Arial" w:cs="Arial"/>
                <w:color w:val="000000"/>
              </w:rPr>
              <w:t>rbuhaler</w:t>
            </w:r>
            <w:proofErr w:type="spellEnd"/>
            <w:r w:rsidRPr="006B5404">
              <w:rPr>
                <w:rFonts w:ascii="Arial" w:hAnsi="Arial" w:cs="Arial"/>
                <w:color w:val="000000"/>
              </w:rPr>
              <w:t xml:space="preserve">. </w:t>
            </w:r>
          </w:p>
          <w:p w14:paraId="56434841" w14:textId="77777777" w:rsidR="00646CDE" w:rsidRPr="006B5404" w:rsidRDefault="00646CDE" w:rsidP="00646CDE">
            <w:pPr>
              <w:widowControl w:val="0"/>
              <w:rPr>
                <w:rFonts w:ascii="Arial" w:hAnsi="Arial" w:cs="Arial"/>
              </w:rPr>
            </w:pPr>
          </w:p>
        </w:tc>
      </w:tr>
      <w:tr w:rsidR="005479DE" w:rsidRPr="006B5404" w14:paraId="6DE46CC2" w14:textId="77777777" w:rsidTr="00891EAA">
        <w:trPr>
          <w:cantSplit/>
          <w:trHeight w:val="430"/>
        </w:trPr>
        <w:tc>
          <w:tcPr>
            <w:tcW w:w="3681" w:type="dxa"/>
            <w:tcBorders>
              <w:top w:val="nil"/>
              <w:left w:val="single" w:sz="4" w:space="0" w:color="auto"/>
              <w:bottom w:val="single" w:sz="4" w:space="0" w:color="auto"/>
              <w:right w:val="single" w:sz="4" w:space="0" w:color="auto"/>
            </w:tcBorders>
            <w:shd w:val="clear" w:color="auto" w:fill="auto"/>
            <w:tcMar>
              <w:top w:w="28" w:type="dxa"/>
              <w:bottom w:w="28" w:type="dxa"/>
            </w:tcMar>
          </w:tcPr>
          <w:p w14:paraId="6FAC694A" w14:textId="37DBC33E" w:rsidR="005479DE" w:rsidRPr="006B5404" w:rsidRDefault="005479DE" w:rsidP="005A44D0">
            <w:pPr>
              <w:rPr>
                <w:rFonts w:ascii="Arial" w:hAnsi="Arial" w:cs="Arial"/>
              </w:rPr>
            </w:pPr>
            <w:r w:rsidRPr="006B5404">
              <w:rPr>
                <w:rFonts w:ascii="Arial" w:hAnsi="Arial" w:cs="Arial"/>
                <w:color w:val="000000"/>
              </w:rPr>
              <w:t>TIOTROPIUM</w:t>
            </w:r>
            <w:r w:rsidRPr="006B5404">
              <w:rPr>
                <w:rFonts w:ascii="Arial" w:hAnsi="Arial" w:cs="Arial"/>
                <w:color w:val="000000"/>
              </w:rPr>
              <w:br/>
            </w:r>
            <w:r w:rsidRPr="006B5404">
              <w:rPr>
                <w:rFonts w:ascii="Arial" w:hAnsi="Arial" w:cs="Arial"/>
                <w:color w:val="000000"/>
              </w:rPr>
              <w:br/>
            </w:r>
            <w:r w:rsidR="005A44D0">
              <w:rPr>
                <w:rFonts w:ascii="Arial" w:hAnsi="Arial" w:cs="Arial"/>
                <w:color w:val="000000"/>
              </w:rPr>
              <w:t>S</w:t>
            </w:r>
            <w:r w:rsidRPr="006B5404">
              <w:rPr>
                <w:rFonts w:ascii="Arial" w:hAnsi="Arial" w:cs="Arial"/>
                <w:color w:val="000000"/>
              </w:rPr>
              <w:t>olution for oral inhalation 2.5 micrograms (as bromide monohydrate) per actuation (60 actuations)</w:t>
            </w:r>
            <w:r w:rsidRPr="006B5404">
              <w:rPr>
                <w:rFonts w:ascii="Arial" w:hAnsi="Arial" w:cs="Arial"/>
                <w:color w:val="000000"/>
              </w:rPr>
              <w:br/>
            </w:r>
            <w:r w:rsidRPr="006B5404">
              <w:rPr>
                <w:rFonts w:ascii="Arial" w:hAnsi="Arial" w:cs="Arial"/>
                <w:color w:val="000000"/>
              </w:rPr>
              <w:br/>
            </w:r>
            <w:proofErr w:type="spellStart"/>
            <w:r>
              <w:rPr>
                <w:rFonts w:ascii="Arial" w:hAnsi="Arial" w:cs="Arial"/>
                <w:color w:val="000000"/>
              </w:rPr>
              <w:t>Sprivia</w:t>
            </w:r>
            <w:proofErr w:type="spellEnd"/>
            <w:r>
              <w:rPr>
                <w:rFonts w:ascii="Arial" w:hAnsi="Arial" w:cs="Arial"/>
                <w:color w:val="000000"/>
              </w:rPr>
              <w:t xml:space="preserve">® </w:t>
            </w:r>
            <w:proofErr w:type="spellStart"/>
            <w:r>
              <w:rPr>
                <w:rFonts w:ascii="Arial" w:hAnsi="Arial" w:cs="Arial"/>
                <w:color w:val="000000"/>
              </w:rPr>
              <w:t>Respimat</w:t>
            </w:r>
            <w:proofErr w:type="spellEnd"/>
            <w:r>
              <w:rPr>
                <w:rFonts w:ascii="Arial" w:hAnsi="Arial" w:cs="Arial"/>
                <w:color w:val="000000"/>
              </w:rPr>
              <w:t>®</w:t>
            </w:r>
            <w:r w:rsidRPr="006B5404">
              <w:rPr>
                <w:rFonts w:ascii="Arial" w:hAnsi="Arial" w:cs="Arial"/>
                <w:color w:val="000000"/>
              </w:rPr>
              <w:br/>
            </w:r>
            <w:r w:rsidRPr="006B5404">
              <w:rPr>
                <w:rFonts w:ascii="Arial" w:hAnsi="Arial" w:cs="Arial"/>
                <w:color w:val="000000"/>
              </w:rPr>
              <w:br/>
            </w:r>
            <w:proofErr w:type="spellStart"/>
            <w:r w:rsidRPr="006B5404">
              <w:rPr>
                <w:rFonts w:ascii="Arial" w:hAnsi="Arial" w:cs="Arial"/>
                <w:color w:val="000000"/>
              </w:rPr>
              <w:t>Boehringer</w:t>
            </w:r>
            <w:proofErr w:type="spellEnd"/>
            <w:r w:rsidRPr="006B5404">
              <w:rPr>
                <w:rFonts w:ascii="Arial" w:hAnsi="Arial" w:cs="Arial"/>
                <w:color w:val="000000"/>
              </w:rPr>
              <w:t xml:space="preserve"> </w:t>
            </w:r>
            <w:proofErr w:type="spellStart"/>
            <w:r w:rsidRPr="006B5404">
              <w:rPr>
                <w:rFonts w:ascii="Arial" w:hAnsi="Arial" w:cs="Arial"/>
                <w:color w:val="000000"/>
              </w:rPr>
              <w:t>Ingelheim</w:t>
            </w:r>
            <w:proofErr w:type="spellEnd"/>
            <w:r w:rsidRPr="006B5404">
              <w:rPr>
                <w:rFonts w:ascii="Arial" w:hAnsi="Arial" w:cs="Arial"/>
                <w:color w:val="000000"/>
              </w:rPr>
              <w:t xml:space="preserve"> Pty Ltd</w:t>
            </w:r>
            <w:r w:rsidRPr="006B5404">
              <w:rPr>
                <w:rFonts w:ascii="Arial" w:hAnsi="Arial" w:cs="Arial"/>
                <w:color w:val="000000"/>
              </w:rPr>
              <w:br/>
            </w:r>
            <w:r w:rsidRPr="006B5404">
              <w:rPr>
                <w:rFonts w:ascii="Arial" w:hAnsi="Arial" w:cs="Arial"/>
                <w:color w:val="000000"/>
              </w:rPr>
              <w:br/>
              <w:t>Change to listing</w:t>
            </w:r>
            <w:r w:rsidRPr="006B5404">
              <w:rPr>
                <w:rFonts w:ascii="Arial" w:hAnsi="Arial" w:cs="Arial"/>
                <w:color w:val="000000"/>
              </w:rPr>
              <w:br/>
              <w:t>(Minor Submission)</w:t>
            </w:r>
          </w:p>
        </w:tc>
        <w:tc>
          <w:tcPr>
            <w:tcW w:w="2401" w:type="dxa"/>
            <w:tcBorders>
              <w:top w:val="nil"/>
              <w:left w:val="nil"/>
              <w:bottom w:val="single" w:sz="4" w:space="0" w:color="auto"/>
              <w:right w:val="single" w:sz="4" w:space="0" w:color="auto"/>
            </w:tcBorders>
            <w:shd w:val="clear" w:color="auto" w:fill="auto"/>
            <w:tcMar>
              <w:top w:w="28" w:type="dxa"/>
              <w:bottom w:w="28" w:type="dxa"/>
            </w:tcMar>
          </w:tcPr>
          <w:p w14:paraId="44501C9E" w14:textId="5989BE7A" w:rsidR="005479DE" w:rsidRPr="006B5404" w:rsidRDefault="005479DE" w:rsidP="005479DE">
            <w:pPr>
              <w:rPr>
                <w:rFonts w:ascii="Arial" w:hAnsi="Arial" w:cs="Arial"/>
              </w:rPr>
            </w:pPr>
            <w:r w:rsidRPr="006B5404">
              <w:rPr>
                <w:rFonts w:ascii="Arial" w:hAnsi="Arial" w:cs="Arial"/>
                <w:color w:val="000000"/>
              </w:rPr>
              <w:t>Chronic obstructive pulmonary disease</w:t>
            </w:r>
            <w:r w:rsidRPr="006B5404">
              <w:rPr>
                <w:rFonts w:ascii="Arial" w:hAnsi="Arial" w:cs="Arial"/>
                <w:color w:val="000000"/>
              </w:rPr>
              <w:br/>
              <w:t>Severe asthma</w:t>
            </w:r>
          </w:p>
        </w:tc>
        <w:tc>
          <w:tcPr>
            <w:tcW w:w="2702" w:type="dxa"/>
            <w:tcBorders>
              <w:top w:val="nil"/>
              <w:left w:val="nil"/>
              <w:bottom w:val="single" w:sz="4" w:space="0" w:color="auto"/>
              <w:right w:val="single" w:sz="4" w:space="0" w:color="auto"/>
            </w:tcBorders>
            <w:shd w:val="clear" w:color="auto" w:fill="auto"/>
            <w:tcMar>
              <w:top w:w="28" w:type="dxa"/>
              <w:bottom w:w="28" w:type="dxa"/>
            </w:tcMar>
          </w:tcPr>
          <w:p w14:paraId="5066A00E" w14:textId="145D2863" w:rsidR="005479DE" w:rsidRPr="006B5404" w:rsidRDefault="005479DE" w:rsidP="005479DE">
            <w:pPr>
              <w:rPr>
                <w:rFonts w:ascii="Arial" w:hAnsi="Arial" w:cs="Arial"/>
              </w:rPr>
            </w:pPr>
            <w:r w:rsidRPr="005834D7">
              <w:rPr>
                <w:rFonts w:ascii="Arial" w:hAnsi="Arial" w:cs="Arial"/>
                <w:color w:val="000000"/>
              </w:rPr>
              <w:t xml:space="preserve">To request a change to the PBS listing to </w:t>
            </w:r>
            <w:r>
              <w:rPr>
                <w:rFonts w:ascii="Arial" w:hAnsi="Arial" w:cs="Arial"/>
                <w:color w:val="000000"/>
              </w:rPr>
              <w:t>amend the device to a reusable</w:t>
            </w:r>
            <w:r w:rsidRPr="005834D7">
              <w:rPr>
                <w:rFonts w:ascii="Arial" w:hAnsi="Arial" w:cs="Arial"/>
                <w:color w:val="000000"/>
              </w:rPr>
              <w:t xml:space="preserve"> inhaler device with a refill cartridge containing </w:t>
            </w:r>
            <w:proofErr w:type="spellStart"/>
            <w:r w:rsidRPr="005834D7">
              <w:rPr>
                <w:rFonts w:ascii="Arial" w:hAnsi="Arial" w:cs="Arial"/>
                <w:color w:val="000000"/>
              </w:rPr>
              <w:t>tiotropium</w:t>
            </w:r>
            <w:proofErr w:type="spellEnd"/>
            <w:r w:rsidRPr="005834D7">
              <w:rPr>
                <w:rFonts w:ascii="Arial" w:hAnsi="Arial" w:cs="Arial"/>
                <w:color w:val="000000"/>
              </w:rPr>
              <w:t>.</w:t>
            </w:r>
          </w:p>
        </w:tc>
        <w:tc>
          <w:tcPr>
            <w:tcW w:w="6604" w:type="dxa"/>
            <w:tcBorders>
              <w:top w:val="single" w:sz="4" w:space="0" w:color="auto"/>
              <w:left w:val="single" w:sz="4" w:space="0" w:color="auto"/>
              <w:bottom w:val="single" w:sz="4" w:space="0" w:color="auto"/>
              <w:right w:val="single" w:sz="4" w:space="0" w:color="auto"/>
            </w:tcBorders>
          </w:tcPr>
          <w:p w14:paraId="54E31E2D" w14:textId="77777777" w:rsidR="005479DE" w:rsidRPr="006B5404" w:rsidRDefault="005479DE" w:rsidP="005479DE">
            <w:pPr>
              <w:rPr>
                <w:rFonts w:ascii="Arial" w:hAnsi="Arial" w:cs="Arial"/>
                <w:color w:val="000000"/>
              </w:rPr>
            </w:pPr>
            <w:r w:rsidRPr="006B5404">
              <w:rPr>
                <w:rFonts w:ascii="Arial" w:hAnsi="Arial" w:cs="Arial"/>
                <w:color w:val="000000"/>
              </w:rPr>
              <w:t>The PBAC held no objections to the planned discontinuation of the existing Spiriva</w:t>
            </w:r>
            <w:r>
              <w:rPr>
                <w:rFonts w:ascii="Arial" w:hAnsi="Arial" w:cs="Arial"/>
                <w:color w:val="000000"/>
              </w:rPr>
              <w:t>®</w:t>
            </w:r>
            <w:r w:rsidRPr="006B5404">
              <w:rPr>
                <w:rFonts w:ascii="Arial" w:hAnsi="Arial" w:cs="Arial"/>
                <w:color w:val="000000"/>
              </w:rPr>
              <w:t xml:space="preserve"> </w:t>
            </w:r>
            <w:proofErr w:type="spellStart"/>
            <w:r w:rsidRPr="006B5404">
              <w:rPr>
                <w:rFonts w:ascii="Arial" w:hAnsi="Arial" w:cs="Arial"/>
                <w:color w:val="000000"/>
              </w:rPr>
              <w:t>Respima</w:t>
            </w:r>
            <w:r>
              <w:rPr>
                <w:rFonts w:ascii="Arial" w:hAnsi="Arial" w:cs="Arial"/>
                <w:color w:val="000000"/>
              </w:rPr>
              <w:t>t</w:t>
            </w:r>
            <w:proofErr w:type="spellEnd"/>
            <w:r>
              <w:rPr>
                <w:rFonts w:ascii="Arial" w:hAnsi="Arial" w:cs="Arial"/>
                <w:color w:val="000000"/>
              </w:rPr>
              <w:t>®</w:t>
            </w:r>
            <w:r w:rsidRPr="006B5404">
              <w:rPr>
                <w:rFonts w:ascii="Arial" w:hAnsi="Arial" w:cs="Arial"/>
                <w:color w:val="000000"/>
              </w:rPr>
              <w:t xml:space="preserve"> product and its replacement with an updated product</w:t>
            </w:r>
            <w:r>
              <w:rPr>
                <w:rFonts w:ascii="Arial" w:hAnsi="Arial" w:cs="Arial"/>
                <w:color w:val="000000"/>
              </w:rPr>
              <w:t>,</w:t>
            </w:r>
            <w:r w:rsidRPr="006B5404">
              <w:rPr>
                <w:rFonts w:ascii="Arial" w:hAnsi="Arial" w:cs="Arial"/>
                <w:color w:val="000000"/>
              </w:rPr>
              <w:t xml:space="preserve"> whereby</w:t>
            </w:r>
            <w:r>
              <w:rPr>
                <w:rFonts w:ascii="Arial" w:hAnsi="Arial" w:cs="Arial"/>
                <w:color w:val="000000"/>
              </w:rPr>
              <w:t xml:space="preserve"> the inhaler device would be re</w:t>
            </w:r>
            <w:r w:rsidRPr="006B5404">
              <w:rPr>
                <w:rFonts w:ascii="Arial" w:hAnsi="Arial" w:cs="Arial"/>
                <w:color w:val="000000"/>
              </w:rPr>
              <w:t>usable (for up to 6 cartridges) and the dose counter would be located on the cartridge rather than the inhaler device. The PBAC noted that no changes to the PBS eligibility criteria for the existing three Spiriva</w:t>
            </w:r>
            <w:r>
              <w:rPr>
                <w:rFonts w:ascii="Arial" w:hAnsi="Arial" w:cs="Arial"/>
                <w:color w:val="000000"/>
              </w:rPr>
              <w:t>®</w:t>
            </w:r>
            <w:r w:rsidRPr="00F52F22">
              <w:rPr>
                <w:rFonts w:ascii="Arial" w:hAnsi="Arial" w:cs="Arial"/>
                <w:color w:val="000000"/>
                <w:vertAlign w:val="superscript"/>
              </w:rPr>
              <w:t xml:space="preserve"> </w:t>
            </w:r>
            <w:proofErr w:type="spellStart"/>
            <w:r w:rsidRPr="006B5404">
              <w:rPr>
                <w:rFonts w:ascii="Arial" w:hAnsi="Arial" w:cs="Arial"/>
                <w:color w:val="000000"/>
              </w:rPr>
              <w:t>Respimat</w:t>
            </w:r>
            <w:proofErr w:type="spellEnd"/>
            <w:r>
              <w:rPr>
                <w:rFonts w:ascii="Arial" w:hAnsi="Arial" w:cs="Arial"/>
                <w:color w:val="000000"/>
              </w:rPr>
              <w:t>®</w:t>
            </w:r>
            <w:r w:rsidRPr="00F52F22">
              <w:rPr>
                <w:rFonts w:ascii="Arial" w:hAnsi="Arial" w:cs="Arial"/>
                <w:color w:val="000000"/>
                <w:vertAlign w:val="superscript"/>
              </w:rPr>
              <w:t xml:space="preserve"> </w:t>
            </w:r>
            <w:r w:rsidRPr="006B5404">
              <w:rPr>
                <w:rFonts w:ascii="Arial" w:hAnsi="Arial" w:cs="Arial"/>
                <w:color w:val="000000"/>
              </w:rPr>
              <w:t>listing</w:t>
            </w:r>
            <w:r>
              <w:rPr>
                <w:rFonts w:ascii="Arial" w:hAnsi="Arial" w:cs="Arial"/>
                <w:color w:val="000000"/>
              </w:rPr>
              <w:t>s</w:t>
            </w:r>
            <w:r w:rsidRPr="006B5404">
              <w:rPr>
                <w:rFonts w:ascii="Arial" w:hAnsi="Arial" w:cs="Arial"/>
                <w:color w:val="000000"/>
              </w:rPr>
              <w:t xml:space="preserve"> were proposed.</w:t>
            </w:r>
          </w:p>
          <w:p w14:paraId="0C171DF1" w14:textId="77777777" w:rsidR="005479DE" w:rsidRPr="006B5404" w:rsidRDefault="005479DE" w:rsidP="005479DE">
            <w:pPr>
              <w:widowControl w:val="0"/>
              <w:rPr>
                <w:rFonts w:ascii="Arial" w:hAnsi="Arial" w:cs="Arial"/>
              </w:rPr>
            </w:pPr>
          </w:p>
        </w:tc>
      </w:tr>
      <w:tr w:rsidR="005479DE" w:rsidRPr="006B5404" w14:paraId="69591DC6" w14:textId="77777777" w:rsidTr="00891EAA">
        <w:trPr>
          <w:cantSplit/>
          <w:trHeight w:val="430"/>
        </w:trPr>
        <w:tc>
          <w:tcPr>
            <w:tcW w:w="3681" w:type="dxa"/>
            <w:tcBorders>
              <w:top w:val="nil"/>
              <w:left w:val="single" w:sz="4" w:space="0" w:color="auto"/>
              <w:bottom w:val="single" w:sz="4" w:space="0" w:color="auto"/>
              <w:right w:val="single" w:sz="4" w:space="0" w:color="auto"/>
            </w:tcBorders>
            <w:shd w:val="clear" w:color="auto" w:fill="auto"/>
            <w:tcMar>
              <w:top w:w="28" w:type="dxa"/>
              <w:bottom w:w="28" w:type="dxa"/>
            </w:tcMar>
          </w:tcPr>
          <w:p w14:paraId="6A65B208" w14:textId="1FFB0D73" w:rsidR="005479DE" w:rsidRPr="006B5404" w:rsidRDefault="005479DE" w:rsidP="005479DE">
            <w:pPr>
              <w:rPr>
                <w:rFonts w:ascii="Arial" w:hAnsi="Arial" w:cs="Arial"/>
                <w:color w:val="000000"/>
              </w:rPr>
            </w:pPr>
            <w:r w:rsidRPr="006B5404">
              <w:rPr>
                <w:rFonts w:ascii="Arial" w:hAnsi="Arial" w:cs="Arial"/>
                <w:color w:val="000000"/>
              </w:rPr>
              <w:lastRenderedPageBreak/>
              <w:t>TIOTROPIUM WITH OLODATEROL</w:t>
            </w:r>
            <w:r w:rsidRPr="006B5404">
              <w:rPr>
                <w:rFonts w:ascii="Arial" w:hAnsi="Arial" w:cs="Arial"/>
                <w:color w:val="000000"/>
              </w:rPr>
              <w:br/>
            </w:r>
            <w:r w:rsidRPr="006B5404">
              <w:rPr>
                <w:rFonts w:ascii="Arial" w:hAnsi="Arial" w:cs="Arial"/>
                <w:color w:val="000000"/>
              </w:rPr>
              <w:br/>
              <w:t xml:space="preserve">Solution for oral inhalation containing </w:t>
            </w:r>
            <w:proofErr w:type="spellStart"/>
            <w:r w:rsidRPr="006B5404">
              <w:rPr>
                <w:rFonts w:ascii="Arial" w:hAnsi="Arial" w:cs="Arial"/>
                <w:color w:val="000000"/>
              </w:rPr>
              <w:t>tiotropium</w:t>
            </w:r>
            <w:proofErr w:type="spellEnd"/>
            <w:r w:rsidRPr="006B5404">
              <w:rPr>
                <w:rFonts w:ascii="Arial" w:hAnsi="Arial" w:cs="Arial"/>
                <w:color w:val="000000"/>
              </w:rPr>
              <w:t xml:space="preserve"> 2.5 micrograms (as bromide monohydrate) with </w:t>
            </w:r>
            <w:proofErr w:type="spellStart"/>
            <w:r w:rsidRPr="006B5404">
              <w:rPr>
                <w:rFonts w:ascii="Arial" w:hAnsi="Arial" w:cs="Arial"/>
                <w:color w:val="000000"/>
              </w:rPr>
              <w:t>olodaterol</w:t>
            </w:r>
            <w:proofErr w:type="spellEnd"/>
            <w:r w:rsidRPr="006B5404">
              <w:rPr>
                <w:rFonts w:ascii="Arial" w:hAnsi="Arial" w:cs="Arial"/>
                <w:color w:val="000000"/>
              </w:rPr>
              <w:t xml:space="preserve"> 2.5</w:t>
            </w:r>
            <w:r>
              <w:rPr>
                <w:rFonts w:ascii="Arial" w:hAnsi="Arial" w:cs="Arial"/>
                <w:color w:val="000000"/>
              </w:rPr>
              <w:t> </w:t>
            </w:r>
            <w:r w:rsidRPr="006B5404">
              <w:rPr>
                <w:rFonts w:ascii="Arial" w:hAnsi="Arial" w:cs="Arial"/>
                <w:color w:val="000000"/>
              </w:rPr>
              <w:t>micrograms (as hydrochloride) per dos</w:t>
            </w:r>
            <w:r>
              <w:rPr>
                <w:rFonts w:ascii="Arial" w:hAnsi="Arial" w:cs="Arial"/>
                <w:color w:val="000000"/>
              </w:rPr>
              <w:t xml:space="preserve">e, 60 doses </w:t>
            </w:r>
            <w:r>
              <w:rPr>
                <w:rFonts w:ascii="Arial" w:hAnsi="Arial" w:cs="Arial"/>
                <w:color w:val="000000"/>
              </w:rPr>
              <w:br/>
            </w:r>
            <w:r>
              <w:rPr>
                <w:rFonts w:ascii="Arial" w:hAnsi="Arial" w:cs="Arial"/>
                <w:color w:val="000000"/>
              </w:rPr>
              <w:br/>
            </w:r>
            <w:proofErr w:type="spellStart"/>
            <w:r>
              <w:rPr>
                <w:rFonts w:ascii="Arial" w:hAnsi="Arial" w:cs="Arial"/>
                <w:color w:val="000000"/>
              </w:rPr>
              <w:t>Spiolto</w:t>
            </w:r>
            <w:proofErr w:type="spellEnd"/>
            <w:r>
              <w:rPr>
                <w:rFonts w:ascii="Arial" w:hAnsi="Arial" w:cs="Arial"/>
                <w:color w:val="000000"/>
              </w:rPr>
              <w:t xml:space="preserve">® </w:t>
            </w:r>
            <w:proofErr w:type="spellStart"/>
            <w:r>
              <w:rPr>
                <w:rFonts w:ascii="Arial" w:hAnsi="Arial" w:cs="Arial"/>
                <w:color w:val="000000"/>
              </w:rPr>
              <w:t>Respimat</w:t>
            </w:r>
            <w:proofErr w:type="spellEnd"/>
            <w:r>
              <w:rPr>
                <w:rFonts w:ascii="Arial" w:hAnsi="Arial" w:cs="Arial"/>
                <w:color w:val="000000"/>
              </w:rPr>
              <w:t>®</w:t>
            </w:r>
            <w:r w:rsidRPr="006B5404">
              <w:rPr>
                <w:rFonts w:ascii="Arial" w:hAnsi="Arial" w:cs="Arial"/>
                <w:color w:val="000000"/>
              </w:rPr>
              <w:br/>
            </w:r>
            <w:r w:rsidRPr="006B5404">
              <w:rPr>
                <w:rFonts w:ascii="Arial" w:hAnsi="Arial" w:cs="Arial"/>
                <w:color w:val="000000"/>
              </w:rPr>
              <w:br/>
            </w:r>
            <w:proofErr w:type="spellStart"/>
            <w:r w:rsidRPr="006B5404">
              <w:rPr>
                <w:rFonts w:ascii="Arial" w:hAnsi="Arial" w:cs="Arial"/>
                <w:color w:val="000000"/>
              </w:rPr>
              <w:t>Boehringer</w:t>
            </w:r>
            <w:proofErr w:type="spellEnd"/>
            <w:r w:rsidRPr="006B5404">
              <w:rPr>
                <w:rFonts w:ascii="Arial" w:hAnsi="Arial" w:cs="Arial"/>
                <w:color w:val="000000"/>
              </w:rPr>
              <w:t xml:space="preserve"> </w:t>
            </w:r>
            <w:proofErr w:type="spellStart"/>
            <w:r w:rsidRPr="006B5404">
              <w:rPr>
                <w:rFonts w:ascii="Arial" w:hAnsi="Arial" w:cs="Arial"/>
                <w:color w:val="000000"/>
              </w:rPr>
              <w:t>Ingelheim</w:t>
            </w:r>
            <w:proofErr w:type="spellEnd"/>
            <w:r w:rsidRPr="006B5404">
              <w:rPr>
                <w:rFonts w:ascii="Arial" w:hAnsi="Arial" w:cs="Arial"/>
                <w:color w:val="000000"/>
              </w:rPr>
              <w:t xml:space="preserve"> Pty Ltd</w:t>
            </w:r>
            <w:r w:rsidRPr="006B5404">
              <w:rPr>
                <w:rFonts w:ascii="Arial" w:hAnsi="Arial" w:cs="Arial"/>
                <w:color w:val="000000"/>
              </w:rPr>
              <w:br/>
            </w:r>
            <w:r w:rsidRPr="006B5404">
              <w:rPr>
                <w:rFonts w:ascii="Arial" w:hAnsi="Arial" w:cs="Arial"/>
                <w:color w:val="000000"/>
              </w:rPr>
              <w:br/>
              <w:t>Change to listing</w:t>
            </w:r>
            <w:r w:rsidRPr="006B5404">
              <w:rPr>
                <w:rFonts w:ascii="Arial" w:hAnsi="Arial" w:cs="Arial"/>
                <w:color w:val="000000"/>
              </w:rPr>
              <w:br/>
              <w:t>(Minor Submission)</w:t>
            </w:r>
          </w:p>
        </w:tc>
        <w:tc>
          <w:tcPr>
            <w:tcW w:w="2401" w:type="dxa"/>
            <w:tcBorders>
              <w:top w:val="nil"/>
              <w:left w:val="nil"/>
              <w:bottom w:val="single" w:sz="4" w:space="0" w:color="auto"/>
              <w:right w:val="single" w:sz="4" w:space="0" w:color="auto"/>
            </w:tcBorders>
            <w:shd w:val="clear" w:color="auto" w:fill="auto"/>
            <w:tcMar>
              <w:top w:w="28" w:type="dxa"/>
              <w:bottom w:w="28" w:type="dxa"/>
            </w:tcMar>
          </w:tcPr>
          <w:p w14:paraId="5A6BCB93" w14:textId="7D3FC8EB" w:rsidR="005479DE" w:rsidRPr="006B5404" w:rsidRDefault="005479DE" w:rsidP="005479DE">
            <w:pPr>
              <w:rPr>
                <w:rFonts w:ascii="Arial" w:hAnsi="Arial" w:cs="Arial"/>
                <w:color w:val="000000"/>
              </w:rPr>
            </w:pPr>
            <w:r w:rsidRPr="006B5404">
              <w:rPr>
                <w:rFonts w:ascii="Arial" w:hAnsi="Arial" w:cs="Arial"/>
                <w:color w:val="000000"/>
              </w:rPr>
              <w:t>Chronic obst</w:t>
            </w:r>
            <w:r>
              <w:rPr>
                <w:rFonts w:ascii="Arial" w:hAnsi="Arial" w:cs="Arial"/>
                <w:color w:val="000000"/>
              </w:rPr>
              <w:t xml:space="preserve">ructive pulmonary disease </w:t>
            </w:r>
          </w:p>
        </w:tc>
        <w:tc>
          <w:tcPr>
            <w:tcW w:w="2702" w:type="dxa"/>
            <w:tcBorders>
              <w:top w:val="nil"/>
              <w:left w:val="nil"/>
              <w:bottom w:val="single" w:sz="4" w:space="0" w:color="auto"/>
              <w:right w:val="single" w:sz="4" w:space="0" w:color="auto"/>
            </w:tcBorders>
            <w:shd w:val="clear" w:color="auto" w:fill="auto"/>
            <w:tcMar>
              <w:top w:w="28" w:type="dxa"/>
              <w:bottom w:w="28" w:type="dxa"/>
            </w:tcMar>
          </w:tcPr>
          <w:p w14:paraId="746DAB1A" w14:textId="130BDEE7" w:rsidR="005479DE" w:rsidRPr="005834D7" w:rsidRDefault="005479DE" w:rsidP="005479DE">
            <w:pPr>
              <w:rPr>
                <w:rFonts w:ascii="Arial" w:hAnsi="Arial" w:cs="Arial"/>
                <w:color w:val="000000"/>
              </w:rPr>
            </w:pPr>
            <w:r w:rsidRPr="006B5404">
              <w:rPr>
                <w:rFonts w:ascii="Arial" w:hAnsi="Arial" w:cs="Arial"/>
                <w:color w:val="000000"/>
              </w:rPr>
              <w:t xml:space="preserve">To request a change to the PBS listing to </w:t>
            </w:r>
            <w:r>
              <w:rPr>
                <w:rFonts w:ascii="Arial" w:hAnsi="Arial" w:cs="Arial"/>
                <w:color w:val="000000"/>
              </w:rPr>
              <w:t xml:space="preserve">amend the device to a reusable </w:t>
            </w:r>
            <w:r w:rsidRPr="006B5404">
              <w:rPr>
                <w:rFonts w:ascii="Arial" w:hAnsi="Arial" w:cs="Arial"/>
                <w:color w:val="000000"/>
              </w:rPr>
              <w:t xml:space="preserve">inhaler device with a refill cartridge containing </w:t>
            </w:r>
            <w:proofErr w:type="spellStart"/>
            <w:r w:rsidRPr="006B5404">
              <w:rPr>
                <w:rFonts w:ascii="Arial" w:hAnsi="Arial" w:cs="Arial"/>
                <w:color w:val="000000"/>
              </w:rPr>
              <w:t>tiotropium</w:t>
            </w:r>
            <w:proofErr w:type="spellEnd"/>
            <w:r w:rsidRPr="006B5404">
              <w:rPr>
                <w:rFonts w:ascii="Arial" w:hAnsi="Arial" w:cs="Arial"/>
                <w:color w:val="000000"/>
              </w:rPr>
              <w:t xml:space="preserve"> and </w:t>
            </w:r>
            <w:proofErr w:type="spellStart"/>
            <w:r w:rsidRPr="006B5404">
              <w:rPr>
                <w:rFonts w:ascii="Arial" w:hAnsi="Arial" w:cs="Arial"/>
                <w:color w:val="000000"/>
              </w:rPr>
              <w:t>olodaterol</w:t>
            </w:r>
            <w:proofErr w:type="spellEnd"/>
            <w:r w:rsidRPr="006B5404">
              <w:rPr>
                <w:rFonts w:ascii="Arial" w:hAnsi="Arial" w:cs="Arial"/>
                <w:color w:val="000000"/>
              </w:rPr>
              <w:t>.</w:t>
            </w:r>
          </w:p>
        </w:tc>
        <w:tc>
          <w:tcPr>
            <w:tcW w:w="6604" w:type="dxa"/>
            <w:tcBorders>
              <w:top w:val="single" w:sz="4" w:space="0" w:color="auto"/>
              <w:left w:val="single" w:sz="4" w:space="0" w:color="auto"/>
              <w:bottom w:val="single" w:sz="4" w:space="0" w:color="auto"/>
              <w:right w:val="single" w:sz="4" w:space="0" w:color="auto"/>
            </w:tcBorders>
          </w:tcPr>
          <w:p w14:paraId="4972FD63" w14:textId="77777777" w:rsidR="005479DE" w:rsidRPr="006B5404" w:rsidRDefault="005479DE" w:rsidP="005479DE">
            <w:pPr>
              <w:rPr>
                <w:rFonts w:ascii="Arial" w:hAnsi="Arial" w:cs="Arial"/>
                <w:color w:val="000000"/>
              </w:rPr>
            </w:pPr>
            <w:r w:rsidRPr="006B5404">
              <w:rPr>
                <w:rFonts w:ascii="Arial" w:hAnsi="Arial" w:cs="Arial"/>
                <w:color w:val="000000"/>
              </w:rPr>
              <w:t xml:space="preserve">The PBAC held no objections to the planned discontinuation of the existing </w:t>
            </w:r>
            <w:proofErr w:type="spellStart"/>
            <w:r w:rsidRPr="006B5404">
              <w:rPr>
                <w:rFonts w:ascii="Arial" w:hAnsi="Arial" w:cs="Arial"/>
                <w:color w:val="000000"/>
              </w:rPr>
              <w:t>Spiolto</w:t>
            </w:r>
            <w:proofErr w:type="spellEnd"/>
            <w:r>
              <w:rPr>
                <w:rFonts w:ascii="Arial" w:hAnsi="Arial" w:cs="Arial"/>
                <w:color w:val="000000"/>
              </w:rPr>
              <w:t>®</w:t>
            </w:r>
            <w:r w:rsidRPr="006B5404">
              <w:rPr>
                <w:rFonts w:ascii="Arial" w:hAnsi="Arial" w:cs="Arial"/>
                <w:color w:val="000000"/>
              </w:rPr>
              <w:t xml:space="preserve"> </w:t>
            </w:r>
            <w:proofErr w:type="spellStart"/>
            <w:r w:rsidRPr="006B5404">
              <w:rPr>
                <w:rFonts w:ascii="Arial" w:hAnsi="Arial" w:cs="Arial"/>
                <w:color w:val="000000"/>
              </w:rPr>
              <w:t>Respima</w:t>
            </w:r>
            <w:r>
              <w:rPr>
                <w:rFonts w:ascii="Arial" w:hAnsi="Arial" w:cs="Arial"/>
                <w:color w:val="000000"/>
              </w:rPr>
              <w:t>t</w:t>
            </w:r>
            <w:proofErr w:type="spellEnd"/>
            <w:r>
              <w:rPr>
                <w:rFonts w:ascii="Arial" w:hAnsi="Arial" w:cs="Arial"/>
                <w:color w:val="000000"/>
              </w:rPr>
              <w:t>®</w:t>
            </w:r>
            <w:r w:rsidRPr="006B5404">
              <w:rPr>
                <w:rFonts w:ascii="Arial" w:hAnsi="Arial" w:cs="Arial"/>
                <w:color w:val="000000"/>
              </w:rPr>
              <w:t xml:space="preserve"> product and its repl</w:t>
            </w:r>
            <w:r>
              <w:rPr>
                <w:rFonts w:ascii="Arial" w:hAnsi="Arial" w:cs="Arial"/>
                <w:color w:val="000000"/>
              </w:rPr>
              <w:t xml:space="preserve">acement with an updated product, </w:t>
            </w:r>
            <w:r w:rsidRPr="006B5404">
              <w:rPr>
                <w:rFonts w:ascii="Arial" w:hAnsi="Arial" w:cs="Arial"/>
                <w:color w:val="000000"/>
              </w:rPr>
              <w:t>whereby</w:t>
            </w:r>
            <w:r>
              <w:rPr>
                <w:rFonts w:ascii="Arial" w:hAnsi="Arial" w:cs="Arial"/>
                <w:color w:val="000000"/>
              </w:rPr>
              <w:t xml:space="preserve"> the inhaler device would be re</w:t>
            </w:r>
            <w:r w:rsidRPr="006B5404">
              <w:rPr>
                <w:rFonts w:ascii="Arial" w:hAnsi="Arial" w:cs="Arial"/>
                <w:color w:val="000000"/>
              </w:rPr>
              <w:t xml:space="preserve">usable (for up to 6 cartridges) and the dose counter would be located on the cartridge rather than the inhaler device. The PBAC noted that no changes to the PBS eligibility criteria for the existing </w:t>
            </w:r>
            <w:proofErr w:type="spellStart"/>
            <w:r w:rsidRPr="006B5404">
              <w:rPr>
                <w:rFonts w:ascii="Arial" w:hAnsi="Arial" w:cs="Arial"/>
                <w:color w:val="000000"/>
              </w:rPr>
              <w:t>Spiolto</w:t>
            </w:r>
            <w:proofErr w:type="spellEnd"/>
            <w:r>
              <w:rPr>
                <w:rFonts w:ascii="Arial" w:hAnsi="Arial" w:cs="Arial"/>
                <w:color w:val="000000"/>
              </w:rPr>
              <w:t>®</w:t>
            </w:r>
            <w:r w:rsidRPr="00F52F22">
              <w:rPr>
                <w:rFonts w:ascii="Arial" w:hAnsi="Arial" w:cs="Arial"/>
                <w:color w:val="000000"/>
                <w:vertAlign w:val="superscript"/>
              </w:rPr>
              <w:t xml:space="preserve"> </w:t>
            </w:r>
            <w:proofErr w:type="spellStart"/>
            <w:r w:rsidRPr="006B5404">
              <w:rPr>
                <w:rFonts w:ascii="Arial" w:hAnsi="Arial" w:cs="Arial"/>
                <w:color w:val="000000"/>
              </w:rPr>
              <w:t>Respimat</w:t>
            </w:r>
            <w:proofErr w:type="spellEnd"/>
            <w:r>
              <w:rPr>
                <w:rFonts w:ascii="Arial" w:hAnsi="Arial" w:cs="Arial"/>
                <w:color w:val="000000"/>
              </w:rPr>
              <w:t>®</w:t>
            </w:r>
            <w:r w:rsidRPr="00F52F22">
              <w:rPr>
                <w:rFonts w:ascii="Arial" w:hAnsi="Arial" w:cs="Arial"/>
                <w:color w:val="000000"/>
                <w:vertAlign w:val="superscript"/>
              </w:rPr>
              <w:t xml:space="preserve"> </w:t>
            </w:r>
            <w:r w:rsidRPr="006B5404">
              <w:rPr>
                <w:rFonts w:ascii="Arial" w:hAnsi="Arial" w:cs="Arial"/>
                <w:color w:val="000000"/>
              </w:rPr>
              <w:t xml:space="preserve">listing were proposed.  </w:t>
            </w:r>
          </w:p>
          <w:p w14:paraId="2E4A0972" w14:textId="77777777" w:rsidR="005479DE" w:rsidRPr="006B5404" w:rsidRDefault="005479DE" w:rsidP="005479DE">
            <w:pPr>
              <w:rPr>
                <w:rFonts w:ascii="Arial" w:hAnsi="Arial" w:cs="Arial"/>
                <w:color w:val="000000"/>
              </w:rPr>
            </w:pPr>
          </w:p>
        </w:tc>
      </w:tr>
      <w:tr w:rsidR="005479DE" w:rsidRPr="006B5404" w14:paraId="2763DF35" w14:textId="77777777" w:rsidTr="00891EAA">
        <w:trPr>
          <w:cantSplit/>
          <w:trHeight w:val="430"/>
        </w:trPr>
        <w:tc>
          <w:tcPr>
            <w:tcW w:w="3681" w:type="dxa"/>
            <w:tcBorders>
              <w:top w:val="nil"/>
              <w:left w:val="single" w:sz="4" w:space="0" w:color="auto"/>
              <w:bottom w:val="single" w:sz="4" w:space="0" w:color="auto"/>
              <w:right w:val="single" w:sz="4" w:space="0" w:color="auto"/>
            </w:tcBorders>
            <w:shd w:val="clear" w:color="auto" w:fill="auto"/>
            <w:tcMar>
              <w:top w:w="28" w:type="dxa"/>
              <w:bottom w:w="28" w:type="dxa"/>
            </w:tcMar>
          </w:tcPr>
          <w:p w14:paraId="7F7879BE" w14:textId="22B7A549" w:rsidR="005479DE" w:rsidRPr="006B5404" w:rsidRDefault="005479DE" w:rsidP="005479DE">
            <w:pPr>
              <w:rPr>
                <w:rFonts w:ascii="Arial" w:hAnsi="Arial" w:cs="Arial"/>
              </w:rPr>
            </w:pPr>
            <w:r w:rsidRPr="006B5404">
              <w:rPr>
                <w:rFonts w:ascii="Arial" w:hAnsi="Arial" w:cs="Arial"/>
                <w:color w:val="000000"/>
              </w:rPr>
              <w:t>TOPOTECAN</w:t>
            </w:r>
            <w:r w:rsidRPr="006B5404">
              <w:rPr>
                <w:rFonts w:ascii="Arial" w:hAnsi="Arial" w:cs="Arial"/>
                <w:color w:val="000000"/>
              </w:rPr>
              <w:br/>
            </w:r>
            <w:r w:rsidRPr="006B5404">
              <w:rPr>
                <w:rFonts w:ascii="Arial" w:hAnsi="Arial" w:cs="Arial"/>
                <w:color w:val="000000"/>
              </w:rPr>
              <w:br/>
              <w:t>Solution concentrate for I.V. infusion 4</w:t>
            </w:r>
            <w:r>
              <w:rPr>
                <w:rFonts w:ascii="Arial" w:hAnsi="Arial" w:cs="Arial"/>
                <w:color w:val="000000"/>
              </w:rPr>
              <w:t> </w:t>
            </w:r>
            <w:r w:rsidRPr="006B5404">
              <w:rPr>
                <w:rFonts w:ascii="Arial" w:hAnsi="Arial" w:cs="Arial"/>
                <w:color w:val="000000"/>
              </w:rPr>
              <w:t>mg in 4 mL (as hyd</w:t>
            </w:r>
            <w:r>
              <w:rPr>
                <w:rFonts w:ascii="Arial" w:hAnsi="Arial" w:cs="Arial"/>
                <w:color w:val="000000"/>
              </w:rPr>
              <w:t>rochloride)</w:t>
            </w:r>
            <w:r>
              <w:rPr>
                <w:rFonts w:ascii="Arial" w:hAnsi="Arial" w:cs="Arial"/>
                <w:color w:val="000000"/>
              </w:rPr>
              <w:br/>
            </w:r>
            <w:r>
              <w:rPr>
                <w:rFonts w:ascii="Arial" w:hAnsi="Arial" w:cs="Arial"/>
                <w:color w:val="000000"/>
              </w:rPr>
              <w:br/>
            </w:r>
            <w:proofErr w:type="spellStart"/>
            <w:r>
              <w:rPr>
                <w:rFonts w:ascii="Arial" w:hAnsi="Arial" w:cs="Arial"/>
                <w:color w:val="000000"/>
              </w:rPr>
              <w:t>Topotecan</w:t>
            </w:r>
            <w:proofErr w:type="spellEnd"/>
            <w:r>
              <w:rPr>
                <w:rFonts w:ascii="Arial" w:hAnsi="Arial" w:cs="Arial"/>
                <w:color w:val="000000"/>
              </w:rPr>
              <w:t xml:space="preserve"> Accord®</w:t>
            </w:r>
            <w:r w:rsidRPr="006B5404">
              <w:rPr>
                <w:rFonts w:ascii="Arial" w:hAnsi="Arial" w:cs="Arial"/>
                <w:color w:val="000000"/>
              </w:rPr>
              <w:br/>
            </w:r>
            <w:r w:rsidRPr="006B5404">
              <w:rPr>
                <w:rFonts w:ascii="Arial" w:hAnsi="Arial" w:cs="Arial"/>
                <w:color w:val="000000"/>
              </w:rPr>
              <w:br/>
            </w:r>
            <w:proofErr w:type="spellStart"/>
            <w:r w:rsidRPr="006B5404">
              <w:rPr>
                <w:rFonts w:ascii="Arial" w:hAnsi="Arial" w:cs="Arial"/>
                <w:color w:val="000000"/>
              </w:rPr>
              <w:t>Accord</w:t>
            </w:r>
            <w:proofErr w:type="spellEnd"/>
            <w:r w:rsidRPr="006B5404">
              <w:rPr>
                <w:rFonts w:ascii="Arial" w:hAnsi="Arial" w:cs="Arial"/>
                <w:color w:val="000000"/>
              </w:rPr>
              <w:t xml:space="preserve"> Healthcare</w:t>
            </w:r>
            <w:r w:rsidRPr="006B5404">
              <w:rPr>
                <w:rFonts w:ascii="Arial" w:hAnsi="Arial" w:cs="Arial"/>
                <w:color w:val="000000"/>
              </w:rPr>
              <w:br/>
            </w:r>
            <w:r w:rsidRPr="006B5404">
              <w:rPr>
                <w:rFonts w:ascii="Arial" w:hAnsi="Arial" w:cs="Arial"/>
                <w:color w:val="000000"/>
              </w:rPr>
              <w:br/>
              <w:t>New listing</w:t>
            </w:r>
            <w:r w:rsidRPr="006B5404">
              <w:rPr>
                <w:rFonts w:ascii="Arial" w:hAnsi="Arial" w:cs="Arial"/>
                <w:color w:val="000000"/>
              </w:rPr>
              <w:br/>
            </w:r>
            <w:r w:rsidRPr="00E16F30">
              <w:rPr>
                <w:rFonts w:ascii="Arial" w:hAnsi="Arial" w:cs="Arial"/>
                <w:color w:val="000000"/>
              </w:rPr>
              <w:t xml:space="preserve">(Minor Submission) </w:t>
            </w:r>
          </w:p>
        </w:tc>
        <w:tc>
          <w:tcPr>
            <w:tcW w:w="2401" w:type="dxa"/>
            <w:tcBorders>
              <w:top w:val="nil"/>
              <w:left w:val="nil"/>
              <w:bottom w:val="single" w:sz="4" w:space="0" w:color="auto"/>
              <w:right w:val="single" w:sz="4" w:space="0" w:color="auto"/>
            </w:tcBorders>
            <w:shd w:val="clear" w:color="auto" w:fill="auto"/>
            <w:tcMar>
              <w:top w:w="28" w:type="dxa"/>
              <w:bottom w:w="28" w:type="dxa"/>
            </w:tcMar>
          </w:tcPr>
          <w:p w14:paraId="4BE36F20" w14:textId="2C5270E8" w:rsidR="005479DE" w:rsidRPr="006B5404" w:rsidRDefault="005479DE" w:rsidP="005479DE">
            <w:pPr>
              <w:rPr>
                <w:rFonts w:ascii="Arial" w:hAnsi="Arial" w:cs="Arial"/>
              </w:rPr>
            </w:pPr>
            <w:r w:rsidRPr="006B5404">
              <w:rPr>
                <w:rFonts w:ascii="Arial" w:hAnsi="Arial" w:cs="Arial"/>
                <w:color w:val="000000"/>
              </w:rPr>
              <w:t>Metastatic ovarian cancer</w:t>
            </w:r>
          </w:p>
        </w:tc>
        <w:tc>
          <w:tcPr>
            <w:tcW w:w="2702" w:type="dxa"/>
            <w:tcBorders>
              <w:top w:val="nil"/>
              <w:left w:val="nil"/>
              <w:bottom w:val="single" w:sz="4" w:space="0" w:color="auto"/>
              <w:right w:val="single" w:sz="4" w:space="0" w:color="auto"/>
            </w:tcBorders>
            <w:shd w:val="clear" w:color="auto" w:fill="auto"/>
            <w:tcMar>
              <w:top w:w="28" w:type="dxa"/>
              <w:bottom w:w="28" w:type="dxa"/>
            </w:tcMar>
          </w:tcPr>
          <w:p w14:paraId="6F2AF743" w14:textId="767FDB4E" w:rsidR="005479DE" w:rsidRPr="006B5404" w:rsidRDefault="005479DE" w:rsidP="005479DE">
            <w:pPr>
              <w:rPr>
                <w:rFonts w:ascii="Arial" w:hAnsi="Arial" w:cs="Arial"/>
              </w:rPr>
            </w:pPr>
            <w:r w:rsidRPr="006B5404">
              <w:rPr>
                <w:rFonts w:ascii="Arial" w:hAnsi="Arial" w:cs="Arial"/>
                <w:color w:val="000000"/>
              </w:rPr>
              <w:t>To request a Section 100 (Efficient Funding of</w:t>
            </w:r>
            <w:r w:rsidRPr="006B5404">
              <w:rPr>
                <w:rFonts w:ascii="Arial" w:hAnsi="Arial" w:cs="Arial"/>
                <w:color w:val="000000"/>
              </w:rPr>
              <w:br/>
              <w:t>Chemotherapy</w:t>
            </w:r>
            <w:r>
              <w:rPr>
                <w:rFonts w:ascii="Arial" w:hAnsi="Arial" w:cs="Arial"/>
                <w:color w:val="000000"/>
              </w:rPr>
              <w:t xml:space="preserve"> (EFC)</w:t>
            </w:r>
            <w:r w:rsidRPr="006B5404">
              <w:rPr>
                <w:rFonts w:ascii="Arial" w:hAnsi="Arial" w:cs="Arial"/>
                <w:color w:val="000000"/>
              </w:rPr>
              <w:t xml:space="preserve"> Program), Authority </w:t>
            </w:r>
            <w:r>
              <w:rPr>
                <w:rFonts w:ascii="Arial" w:hAnsi="Arial" w:cs="Arial"/>
                <w:color w:val="000000"/>
              </w:rPr>
              <w:t xml:space="preserve">Required </w:t>
            </w:r>
            <w:r w:rsidRPr="006B5404">
              <w:rPr>
                <w:rFonts w:ascii="Arial" w:hAnsi="Arial" w:cs="Arial"/>
                <w:color w:val="000000"/>
              </w:rPr>
              <w:t xml:space="preserve">(STREAMLINED) listing </w:t>
            </w:r>
            <w:r>
              <w:rPr>
                <w:rFonts w:ascii="Arial" w:hAnsi="Arial" w:cs="Arial"/>
                <w:color w:val="000000"/>
              </w:rPr>
              <w:t xml:space="preserve">of a generic brand of </w:t>
            </w:r>
            <w:proofErr w:type="spellStart"/>
            <w:r>
              <w:rPr>
                <w:rFonts w:ascii="Arial" w:hAnsi="Arial" w:cs="Arial"/>
                <w:color w:val="000000"/>
              </w:rPr>
              <w:t>topotecan</w:t>
            </w:r>
            <w:proofErr w:type="spellEnd"/>
            <w:r>
              <w:rPr>
                <w:rFonts w:ascii="Arial" w:hAnsi="Arial" w:cs="Arial"/>
                <w:color w:val="000000"/>
              </w:rPr>
              <w:t xml:space="preserve"> </w:t>
            </w:r>
            <w:r w:rsidRPr="006B5404">
              <w:rPr>
                <w:rFonts w:ascii="Arial" w:hAnsi="Arial" w:cs="Arial"/>
                <w:color w:val="000000"/>
              </w:rPr>
              <w:t xml:space="preserve">under the same conditions as the existing brand </w:t>
            </w:r>
            <w:proofErr w:type="spellStart"/>
            <w:r w:rsidRPr="006B5404">
              <w:rPr>
                <w:rFonts w:ascii="Arial" w:hAnsi="Arial" w:cs="Arial"/>
                <w:color w:val="000000"/>
              </w:rPr>
              <w:t>Hycamti</w:t>
            </w:r>
            <w:r>
              <w:rPr>
                <w:rFonts w:ascii="Arial" w:hAnsi="Arial" w:cs="Arial"/>
                <w:color w:val="000000"/>
              </w:rPr>
              <w:t>n</w:t>
            </w:r>
            <w:proofErr w:type="spellEnd"/>
            <w:r>
              <w:rPr>
                <w:rFonts w:ascii="Arial" w:hAnsi="Arial" w:cs="Arial"/>
                <w:color w:val="000000"/>
              </w:rPr>
              <w:t>®.</w:t>
            </w:r>
          </w:p>
        </w:tc>
        <w:tc>
          <w:tcPr>
            <w:tcW w:w="6604" w:type="dxa"/>
            <w:tcBorders>
              <w:top w:val="single" w:sz="4" w:space="0" w:color="auto"/>
              <w:left w:val="single" w:sz="4" w:space="0" w:color="auto"/>
              <w:bottom w:val="single" w:sz="4" w:space="0" w:color="auto"/>
              <w:right w:val="single" w:sz="4" w:space="0" w:color="auto"/>
            </w:tcBorders>
          </w:tcPr>
          <w:p w14:paraId="5B0E9E66" w14:textId="0E42513D" w:rsidR="005479DE" w:rsidRPr="006B5404" w:rsidRDefault="005479DE" w:rsidP="005479DE">
            <w:pPr>
              <w:rPr>
                <w:rFonts w:ascii="Arial" w:hAnsi="Arial" w:cs="Arial"/>
                <w:color w:val="000000"/>
              </w:rPr>
            </w:pPr>
            <w:r w:rsidRPr="006B5404">
              <w:rPr>
                <w:rFonts w:ascii="Arial" w:hAnsi="Arial" w:cs="Arial"/>
                <w:color w:val="000000"/>
              </w:rPr>
              <w:t xml:space="preserve">The PBAC recommended the listing of a new form of </w:t>
            </w:r>
            <w:proofErr w:type="spellStart"/>
            <w:r w:rsidRPr="006B5404">
              <w:rPr>
                <w:rFonts w:ascii="Arial" w:hAnsi="Arial" w:cs="Arial"/>
                <w:color w:val="000000"/>
              </w:rPr>
              <w:t>topotecan</w:t>
            </w:r>
            <w:proofErr w:type="spellEnd"/>
            <w:r w:rsidRPr="006B5404">
              <w:rPr>
                <w:rFonts w:ascii="Arial" w:hAnsi="Arial" w:cs="Arial"/>
                <w:color w:val="000000"/>
              </w:rPr>
              <w:t xml:space="preserve">, </w:t>
            </w:r>
            <w:proofErr w:type="spellStart"/>
            <w:r w:rsidRPr="006B5404">
              <w:rPr>
                <w:rFonts w:ascii="Arial" w:hAnsi="Arial" w:cs="Arial"/>
                <w:color w:val="000000"/>
              </w:rPr>
              <w:t>Topotecan</w:t>
            </w:r>
            <w:proofErr w:type="spellEnd"/>
            <w:r w:rsidRPr="006B5404">
              <w:rPr>
                <w:rFonts w:ascii="Arial" w:hAnsi="Arial" w:cs="Arial"/>
                <w:color w:val="000000"/>
              </w:rPr>
              <w:t xml:space="preserve"> Accor</w:t>
            </w:r>
            <w:r>
              <w:rPr>
                <w:rFonts w:ascii="Arial" w:hAnsi="Arial" w:cs="Arial"/>
                <w:color w:val="000000"/>
              </w:rPr>
              <w:t>d®</w:t>
            </w:r>
            <w:r w:rsidRPr="006B5404">
              <w:rPr>
                <w:rFonts w:ascii="Arial" w:hAnsi="Arial" w:cs="Arial"/>
                <w:color w:val="000000"/>
              </w:rPr>
              <w:t>, as an unrestricted benefit, on the basis that it should be available only under special arrangements under Section 100 (E</w:t>
            </w:r>
            <w:r>
              <w:rPr>
                <w:rFonts w:ascii="Arial" w:hAnsi="Arial" w:cs="Arial"/>
                <w:color w:val="000000"/>
              </w:rPr>
              <w:t>FC</w:t>
            </w:r>
            <w:r w:rsidRPr="006B5404">
              <w:rPr>
                <w:rFonts w:ascii="Arial" w:hAnsi="Arial" w:cs="Arial"/>
                <w:color w:val="000000"/>
              </w:rPr>
              <w:t>).</w:t>
            </w:r>
          </w:p>
          <w:p w14:paraId="5E5CC0F8" w14:textId="77777777" w:rsidR="005479DE" w:rsidRPr="006B5404" w:rsidRDefault="005479DE" w:rsidP="005479DE">
            <w:pPr>
              <w:widowControl w:val="0"/>
              <w:rPr>
                <w:rFonts w:ascii="Arial" w:hAnsi="Arial" w:cs="Arial"/>
              </w:rPr>
            </w:pPr>
          </w:p>
        </w:tc>
      </w:tr>
      <w:tr w:rsidR="005479DE" w:rsidRPr="006B5404" w14:paraId="6574FF49" w14:textId="77777777" w:rsidTr="00891EAA">
        <w:trPr>
          <w:cantSplit/>
          <w:trHeight w:val="430"/>
        </w:trPr>
        <w:tc>
          <w:tcPr>
            <w:tcW w:w="3681" w:type="dxa"/>
            <w:tcBorders>
              <w:top w:val="nil"/>
              <w:left w:val="single" w:sz="4" w:space="0" w:color="auto"/>
              <w:bottom w:val="single" w:sz="4" w:space="0" w:color="auto"/>
              <w:right w:val="single" w:sz="4" w:space="0" w:color="auto"/>
            </w:tcBorders>
            <w:shd w:val="clear" w:color="auto" w:fill="auto"/>
            <w:tcMar>
              <w:top w:w="28" w:type="dxa"/>
              <w:bottom w:w="28" w:type="dxa"/>
            </w:tcMar>
          </w:tcPr>
          <w:p w14:paraId="3D76CA6C" w14:textId="6A745CD0" w:rsidR="005479DE" w:rsidRPr="006B5404" w:rsidRDefault="005479DE" w:rsidP="005479DE">
            <w:pPr>
              <w:rPr>
                <w:rFonts w:ascii="Arial" w:hAnsi="Arial" w:cs="Arial"/>
              </w:rPr>
            </w:pPr>
            <w:r w:rsidRPr="006B5404">
              <w:rPr>
                <w:rFonts w:ascii="Arial" w:hAnsi="Arial" w:cs="Arial"/>
                <w:color w:val="000000"/>
              </w:rPr>
              <w:t>TRIGLYCERIDES MEDIUM CHAIN FORM</w:t>
            </w:r>
            <w:r>
              <w:rPr>
                <w:rFonts w:ascii="Arial" w:hAnsi="Arial" w:cs="Arial"/>
                <w:color w:val="000000"/>
              </w:rPr>
              <w:t>ULA</w:t>
            </w:r>
            <w:r>
              <w:rPr>
                <w:rFonts w:ascii="Arial" w:hAnsi="Arial" w:cs="Arial"/>
                <w:color w:val="000000"/>
              </w:rPr>
              <w:br/>
            </w:r>
            <w:r>
              <w:rPr>
                <w:rFonts w:ascii="Arial" w:hAnsi="Arial" w:cs="Arial"/>
                <w:color w:val="000000"/>
              </w:rPr>
              <w:br/>
              <w:t>Oral powder 400 g</w:t>
            </w:r>
            <w:r>
              <w:rPr>
                <w:rFonts w:ascii="Arial" w:hAnsi="Arial" w:cs="Arial"/>
                <w:color w:val="000000"/>
              </w:rPr>
              <w:br/>
            </w:r>
            <w:r>
              <w:rPr>
                <w:rFonts w:ascii="Arial" w:hAnsi="Arial" w:cs="Arial"/>
                <w:color w:val="000000"/>
              </w:rPr>
              <w:br/>
            </w:r>
            <w:proofErr w:type="spellStart"/>
            <w:r>
              <w:rPr>
                <w:rFonts w:ascii="Arial" w:hAnsi="Arial" w:cs="Arial"/>
                <w:color w:val="000000"/>
              </w:rPr>
              <w:t>Monogen</w:t>
            </w:r>
            <w:proofErr w:type="spellEnd"/>
            <w:r>
              <w:rPr>
                <w:rFonts w:ascii="Arial" w:hAnsi="Arial" w:cs="Arial"/>
                <w:color w:val="000000"/>
              </w:rPr>
              <w:t>®</w:t>
            </w:r>
            <w:r w:rsidRPr="006B5404">
              <w:rPr>
                <w:rFonts w:ascii="Arial" w:hAnsi="Arial" w:cs="Arial"/>
                <w:color w:val="000000"/>
              </w:rPr>
              <w:br/>
            </w:r>
            <w:r w:rsidRPr="006B5404">
              <w:rPr>
                <w:rFonts w:ascii="Arial" w:hAnsi="Arial" w:cs="Arial"/>
                <w:color w:val="000000"/>
              </w:rPr>
              <w:br/>
              <w:t>Nutricia Australia Pty Ltd</w:t>
            </w:r>
            <w:r w:rsidRPr="006B5404">
              <w:rPr>
                <w:rFonts w:ascii="Arial" w:hAnsi="Arial" w:cs="Arial"/>
                <w:color w:val="000000"/>
              </w:rPr>
              <w:br/>
            </w:r>
            <w:r w:rsidRPr="006B5404">
              <w:rPr>
                <w:rFonts w:ascii="Arial" w:hAnsi="Arial" w:cs="Arial"/>
                <w:color w:val="000000"/>
              </w:rPr>
              <w:br/>
              <w:t>Change to listing</w:t>
            </w:r>
            <w:r w:rsidRPr="006B5404">
              <w:rPr>
                <w:rFonts w:ascii="Arial" w:hAnsi="Arial" w:cs="Arial"/>
                <w:color w:val="000000"/>
              </w:rPr>
              <w:br/>
            </w:r>
            <w:r w:rsidRPr="00E16F30">
              <w:rPr>
                <w:rFonts w:ascii="Arial" w:hAnsi="Arial" w:cs="Arial"/>
                <w:color w:val="000000"/>
              </w:rPr>
              <w:t>(Minor Submission)</w:t>
            </w:r>
          </w:p>
        </w:tc>
        <w:tc>
          <w:tcPr>
            <w:tcW w:w="2401" w:type="dxa"/>
            <w:tcBorders>
              <w:top w:val="nil"/>
              <w:left w:val="nil"/>
              <w:bottom w:val="single" w:sz="4" w:space="0" w:color="auto"/>
              <w:right w:val="single" w:sz="4" w:space="0" w:color="auto"/>
            </w:tcBorders>
            <w:shd w:val="clear" w:color="auto" w:fill="auto"/>
            <w:tcMar>
              <w:top w:w="28" w:type="dxa"/>
              <w:bottom w:w="28" w:type="dxa"/>
            </w:tcMar>
          </w:tcPr>
          <w:p w14:paraId="114066BB" w14:textId="36E0FE4A" w:rsidR="005479DE" w:rsidRPr="006B5404" w:rsidRDefault="005479DE" w:rsidP="005479DE">
            <w:pPr>
              <w:rPr>
                <w:rFonts w:ascii="Arial" w:hAnsi="Arial" w:cs="Arial"/>
              </w:rPr>
            </w:pPr>
            <w:r w:rsidRPr="006B5404">
              <w:rPr>
                <w:rFonts w:ascii="Arial" w:hAnsi="Arial" w:cs="Arial"/>
                <w:color w:val="000000"/>
              </w:rPr>
              <w:t>Dietary management of conditions requiring a source of medium chain triglycerides</w:t>
            </w:r>
          </w:p>
        </w:tc>
        <w:tc>
          <w:tcPr>
            <w:tcW w:w="2702" w:type="dxa"/>
            <w:tcBorders>
              <w:top w:val="nil"/>
              <w:left w:val="nil"/>
              <w:bottom w:val="single" w:sz="4" w:space="0" w:color="auto"/>
              <w:right w:val="single" w:sz="4" w:space="0" w:color="auto"/>
            </w:tcBorders>
            <w:shd w:val="clear" w:color="auto" w:fill="auto"/>
            <w:tcMar>
              <w:top w:w="28" w:type="dxa"/>
              <w:bottom w:w="28" w:type="dxa"/>
            </w:tcMar>
          </w:tcPr>
          <w:p w14:paraId="6EB1D113" w14:textId="2F2DFCEB" w:rsidR="005479DE" w:rsidRPr="006B5404" w:rsidRDefault="005479DE" w:rsidP="005479DE">
            <w:pPr>
              <w:rPr>
                <w:rFonts w:ascii="Arial" w:hAnsi="Arial" w:cs="Arial"/>
              </w:rPr>
            </w:pPr>
            <w:r>
              <w:rPr>
                <w:rFonts w:ascii="Arial" w:hAnsi="Arial" w:cs="Arial"/>
                <w:color w:val="000000"/>
              </w:rPr>
              <w:t xml:space="preserve">To request a formulation change of </w:t>
            </w:r>
            <w:proofErr w:type="spellStart"/>
            <w:r>
              <w:rPr>
                <w:rFonts w:ascii="Arial" w:hAnsi="Arial" w:cs="Arial"/>
                <w:color w:val="000000"/>
              </w:rPr>
              <w:t>Monogen</w:t>
            </w:r>
            <w:proofErr w:type="spellEnd"/>
            <w:r>
              <w:rPr>
                <w:rFonts w:ascii="Arial" w:hAnsi="Arial" w:cs="Arial"/>
                <w:color w:val="000000"/>
              </w:rPr>
              <w:t>® for all indications for which it is currently PBS listed</w:t>
            </w:r>
            <w:r w:rsidRPr="006B5404">
              <w:rPr>
                <w:rFonts w:ascii="Arial" w:hAnsi="Arial" w:cs="Arial"/>
                <w:color w:val="000000"/>
              </w:rPr>
              <w:t>.</w:t>
            </w:r>
          </w:p>
        </w:tc>
        <w:tc>
          <w:tcPr>
            <w:tcW w:w="6604" w:type="dxa"/>
            <w:tcBorders>
              <w:top w:val="single" w:sz="4" w:space="0" w:color="auto"/>
              <w:left w:val="single" w:sz="4" w:space="0" w:color="auto"/>
              <w:bottom w:val="single" w:sz="4" w:space="0" w:color="auto"/>
              <w:right w:val="single" w:sz="4" w:space="0" w:color="auto"/>
            </w:tcBorders>
          </w:tcPr>
          <w:p w14:paraId="4EE0A8C6" w14:textId="10AEFCA6" w:rsidR="005479DE" w:rsidRPr="006B5404" w:rsidRDefault="005479DE" w:rsidP="005479DE">
            <w:pPr>
              <w:rPr>
                <w:rFonts w:ascii="Arial" w:hAnsi="Arial" w:cs="Arial"/>
                <w:color w:val="000000"/>
              </w:rPr>
            </w:pPr>
            <w:r w:rsidRPr="006B5404">
              <w:rPr>
                <w:rFonts w:ascii="Arial" w:hAnsi="Arial" w:cs="Arial"/>
                <w:color w:val="000000"/>
              </w:rPr>
              <w:t xml:space="preserve">The PBAC recommended continuing the listing of </w:t>
            </w:r>
            <w:proofErr w:type="spellStart"/>
            <w:r w:rsidRPr="006B5404">
              <w:rPr>
                <w:rFonts w:ascii="Arial" w:hAnsi="Arial" w:cs="Arial"/>
                <w:color w:val="000000"/>
              </w:rPr>
              <w:t>Monoge</w:t>
            </w:r>
            <w:r>
              <w:rPr>
                <w:rFonts w:ascii="Arial" w:hAnsi="Arial" w:cs="Arial"/>
                <w:color w:val="000000"/>
              </w:rPr>
              <w:t>n</w:t>
            </w:r>
            <w:proofErr w:type="spellEnd"/>
            <w:r>
              <w:rPr>
                <w:rFonts w:ascii="Arial" w:hAnsi="Arial" w:cs="Arial"/>
                <w:color w:val="000000"/>
              </w:rPr>
              <w:t>®</w:t>
            </w:r>
            <w:r w:rsidRPr="006B5404">
              <w:rPr>
                <w:rFonts w:ascii="Arial" w:hAnsi="Arial" w:cs="Arial"/>
                <w:color w:val="000000"/>
              </w:rPr>
              <w:t xml:space="preserve"> on the PBS following its reformulation.</w:t>
            </w:r>
          </w:p>
          <w:p w14:paraId="36AEA822" w14:textId="77777777" w:rsidR="005479DE" w:rsidRPr="006B5404" w:rsidRDefault="005479DE" w:rsidP="005479DE">
            <w:pPr>
              <w:widowControl w:val="0"/>
              <w:rPr>
                <w:rFonts w:ascii="Arial" w:hAnsi="Arial" w:cs="Arial"/>
              </w:rPr>
            </w:pPr>
          </w:p>
        </w:tc>
      </w:tr>
      <w:tr w:rsidR="005479DE" w:rsidRPr="006B5404" w14:paraId="6BDB5601" w14:textId="77777777" w:rsidTr="00891EAA">
        <w:trPr>
          <w:cantSplit/>
          <w:trHeight w:val="430"/>
        </w:trPr>
        <w:tc>
          <w:tcPr>
            <w:tcW w:w="3681" w:type="dxa"/>
            <w:tcBorders>
              <w:top w:val="nil"/>
              <w:left w:val="single" w:sz="4" w:space="0" w:color="auto"/>
              <w:bottom w:val="single" w:sz="4" w:space="0" w:color="auto"/>
              <w:right w:val="single" w:sz="4" w:space="0" w:color="auto"/>
            </w:tcBorders>
            <w:shd w:val="clear" w:color="auto" w:fill="auto"/>
            <w:tcMar>
              <w:top w:w="28" w:type="dxa"/>
              <w:bottom w:w="28" w:type="dxa"/>
            </w:tcMar>
          </w:tcPr>
          <w:p w14:paraId="547272AD" w14:textId="79B70F65" w:rsidR="005479DE" w:rsidRPr="006B5404" w:rsidRDefault="005479DE" w:rsidP="005479DE">
            <w:pPr>
              <w:rPr>
                <w:rFonts w:ascii="Arial" w:hAnsi="Arial" w:cs="Arial"/>
              </w:rPr>
            </w:pPr>
            <w:r w:rsidRPr="006B5404">
              <w:rPr>
                <w:rFonts w:ascii="Arial" w:hAnsi="Arial" w:cs="Arial"/>
                <w:color w:val="000000"/>
              </w:rPr>
              <w:lastRenderedPageBreak/>
              <w:t>VENETOCLAX</w:t>
            </w:r>
            <w:r w:rsidRPr="006B5404">
              <w:rPr>
                <w:rFonts w:ascii="Arial" w:hAnsi="Arial" w:cs="Arial"/>
                <w:color w:val="000000"/>
              </w:rPr>
              <w:br/>
            </w:r>
            <w:r w:rsidRPr="006B5404">
              <w:rPr>
                <w:rFonts w:ascii="Arial" w:hAnsi="Arial" w:cs="Arial"/>
                <w:color w:val="000000"/>
              </w:rPr>
              <w:br/>
              <w:t>Pack containing 14 tablets venetoclax 10 mg and 7 tablets venetoclax 50 mg and 7 tablets venetoclax 100 mg and 14  tablets venetoclax 100 mg</w:t>
            </w:r>
            <w:r w:rsidRPr="006B5404">
              <w:rPr>
                <w:rFonts w:ascii="Arial" w:hAnsi="Arial" w:cs="Arial"/>
                <w:color w:val="000000"/>
              </w:rPr>
              <w:br/>
              <w:t>Tablet 1</w:t>
            </w:r>
            <w:r>
              <w:rPr>
                <w:rFonts w:ascii="Arial" w:hAnsi="Arial" w:cs="Arial"/>
                <w:color w:val="000000"/>
              </w:rPr>
              <w:t>0 mg</w:t>
            </w:r>
            <w:r>
              <w:rPr>
                <w:rFonts w:ascii="Arial" w:hAnsi="Arial" w:cs="Arial"/>
                <w:color w:val="000000"/>
              </w:rPr>
              <w:br/>
              <w:t>Tablet 50 mg</w:t>
            </w:r>
            <w:r>
              <w:rPr>
                <w:rFonts w:ascii="Arial" w:hAnsi="Arial" w:cs="Arial"/>
                <w:color w:val="000000"/>
              </w:rPr>
              <w:br/>
              <w:t>Tablet 100 mg</w:t>
            </w:r>
            <w:r w:rsidRPr="006B5404">
              <w:rPr>
                <w:rFonts w:ascii="Arial" w:hAnsi="Arial" w:cs="Arial"/>
                <w:color w:val="000000"/>
              </w:rPr>
              <w:br/>
            </w:r>
            <w:r w:rsidRPr="006B5404">
              <w:rPr>
                <w:rFonts w:ascii="Arial" w:hAnsi="Arial" w:cs="Arial"/>
                <w:color w:val="000000"/>
              </w:rPr>
              <w:br/>
              <w:t>Venclext</w:t>
            </w:r>
            <w:r>
              <w:rPr>
                <w:rFonts w:ascii="Arial" w:hAnsi="Arial" w:cs="Arial"/>
                <w:color w:val="000000"/>
              </w:rPr>
              <w:t>a®</w:t>
            </w:r>
            <w:r w:rsidRPr="006B5404">
              <w:rPr>
                <w:rFonts w:ascii="Arial" w:hAnsi="Arial" w:cs="Arial"/>
                <w:color w:val="000000"/>
              </w:rPr>
              <w:br/>
            </w:r>
            <w:r w:rsidRPr="006B5404">
              <w:rPr>
                <w:rFonts w:ascii="Arial" w:hAnsi="Arial" w:cs="Arial"/>
                <w:color w:val="000000"/>
              </w:rPr>
              <w:br/>
              <w:t>AbbVie Pty Ltd</w:t>
            </w:r>
            <w:r w:rsidRPr="006B5404">
              <w:rPr>
                <w:rFonts w:ascii="Arial" w:hAnsi="Arial" w:cs="Arial"/>
                <w:color w:val="000000"/>
              </w:rPr>
              <w:br/>
            </w:r>
            <w:r w:rsidRPr="006B5404">
              <w:rPr>
                <w:rFonts w:ascii="Arial" w:hAnsi="Arial" w:cs="Arial"/>
                <w:color w:val="000000"/>
              </w:rPr>
              <w:br/>
              <w:t>Change to listing</w:t>
            </w:r>
            <w:r w:rsidRPr="006B5404">
              <w:rPr>
                <w:rFonts w:ascii="Arial" w:hAnsi="Arial" w:cs="Arial"/>
                <w:color w:val="000000"/>
              </w:rPr>
              <w:br/>
              <w:t>(Minor Submission)</w:t>
            </w:r>
          </w:p>
        </w:tc>
        <w:tc>
          <w:tcPr>
            <w:tcW w:w="2401" w:type="dxa"/>
            <w:tcBorders>
              <w:top w:val="nil"/>
              <w:left w:val="nil"/>
              <w:bottom w:val="single" w:sz="4" w:space="0" w:color="auto"/>
              <w:right w:val="single" w:sz="4" w:space="0" w:color="auto"/>
            </w:tcBorders>
            <w:shd w:val="clear" w:color="auto" w:fill="auto"/>
            <w:tcMar>
              <w:top w:w="28" w:type="dxa"/>
              <w:bottom w:w="28" w:type="dxa"/>
            </w:tcMar>
          </w:tcPr>
          <w:p w14:paraId="45A64AE9" w14:textId="49A35B81" w:rsidR="005479DE" w:rsidRPr="006B5404" w:rsidRDefault="005479DE" w:rsidP="005479DE">
            <w:pPr>
              <w:rPr>
                <w:rFonts w:ascii="Arial" w:hAnsi="Arial" w:cs="Arial"/>
              </w:rPr>
            </w:pPr>
            <w:r w:rsidRPr="006B5404">
              <w:rPr>
                <w:rFonts w:ascii="Arial" w:hAnsi="Arial" w:cs="Arial"/>
                <w:color w:val="000000"/>
              </w:rPr>
              <w:t>Chronic lymphocytic leukaemia (CLL)</w:t>
            </w:r>
          </w:p>
        </w:tc>
        <w:tc>
          <w:tcPr>
            <w:tcW w:w="2702" w:type="dxa"/>
            <w:tcBorders>
              <w:top w:val="nil"/>
              <w:left w:val="nil"/>
              <w:bottom w:val="single" w:sz="4" w:space="0" w:color="auto"/>
              <w:right w:val="single" w:sz="4" w:space="0" w:color="auto"/>
            </w:tcBorders>
            <w:shd w:val="clear" w:color="auto" w:fill="auto"/>
            <w:tcMar>
              <w:top w:w="28" w:type="dxa"/>
              <w:bottom w:w="28" w:type="dxa"/>
            </w:tcMar>
          </w:tcPr>
          <w:p w14:paraId="1794B459" w14:textId="1AFA3AC8" w:rsidR="005479DE" w:rsidRPr="006B5404" w:rsidRDefault="005479DE" w:rsidP="005479DE">
            <w:pPr>
              <w:rPr>
                <w:rFonts w:ascii="Arial" w:hAnsi="Arial" w:cs="Arial"/>
              </w:rPr>
            </w:pPr>
            <w:r w:rsidRPr="006B5404">
              <w:rPr>
                <w:rFonts w:ascii="Arial" w:hAnsi="Arial" w:cs="Arial"/>
                <w:color w:val="000000"/>
              </w:rPr>
              <w:t>Resubmission to request an Authority Required (telephone/electronic) listing, in combination with obinutuzumab, for the first-line treatment of patients with CLL who have coexisting conditions and are unsuitable for fludarabine based chemotherapy.</w:t>
            </w:r>
          </w:p>
        </w:tc>
        <w:tc>
          <w:tcPr>
            <w:tcW w:w="6604" w:type="dxa"/>
            <w:tcBorders>
              <w:top w:val="single" w:sz="4" w:space="0" w:color="auto"/>
              <w:left w:val="single" w:sz="4" w:space="0" w:color="auto"/>
              <w:bottom w:val="single" w:sz="4" w:space="0" w:color="auto"/>
              <w:right w:val="single" w:sz="4" w:space="0" w:color="auto"/>
            </w:tcBorders>
          </w:tcPr>
          <w:p w14:paraId="20A9DB9C" w14:textId="09B5F184" w:rsidR="005479DE" w:rsidRDefault="005479DE" w:rsidP="005479DE">
            <w:pPr>
              <w:rPr>
                <w:rFonts w:ascii="Arial" w:hAnsi="Arial" w:cs="Arial"/>
                <w:color w:val="000000"/>
              </w:rPr>
            </w:pPr>
            <w:r w:rsidRPr="006B5404">
              <w:rPr>
                <w:rFonts w:ascii="Arial" w:hAnsi="Arial" w:cs="Arial"/>
                <w:color w:val="000000"/>
              </w:rPr>
              <w:t xml:space="preserve">The PBAC recommended listing of venetoclax in combination with obinutuzumab for the first-line treatment of patients with CLL who have coexisting conditions and are unsuitable for fludarabine based chemo-immunotherapy. The PBAC was satisfied that venetoclax + obinutuzumab provides, for some patients, an improvement in efficacy over current first-line CLL therapies in delaying progression. </w:t>
            </w:r>
          </w:p>
          <w:p w14:paraId="166E3B18" w14:textId="77777777" w:rsidR="005479DE" w:rsidRDefault="005479DE" w:rsidP="005479DE">
            <w:pPr>
              <w:rPr>
                <w:rFonts w:ascii="Arial" w:hAnsi="Arial" w:cs="Arial"/>
                <w:color w:val="000000"/>
              </w:rPr>
            </w:pPr>
          </w:p>
          <w:p w14:paraId="46F921B4" w14:textId="35444094" w:rsidR="005479DE" w:rsidRPr="006B5404" w:rsidRDefault="005479DE" w:rsidP="005479DE">
            <w:pPr>
              <w:rPr>
                <w:rFonts w:ascii="Arial" w:hAnsi="Arial" w:cs="Arial"/>
                <w:color w:val="000000"/>
              </w:rPr>
            </w:pPr>
            <w:r w:rsidRPr="006B5404">
              <w:rPr>
                <w:rFonts w:ascii="Arial" w:hAnsi="Arial" w:cs="Arial"/>
                <w:color w:val="000000"/>
              </w:rPr>
              <w:t>The PBAC considered the issues raised at the March 2020 meeting regarding the estimated cost-effectiveness and financial implications were adequately addressed, and recommended listing on a cost-effectiveness basis compared with chlorambucil + obinutuzumab. The PBAC advised that a Risk Sharing Arrangement would be required that ensures the cost offsets from reduced use of treatments in the existing later-line setting are realised.</w:t>
            </w:r>
          </w:p>
          <w:p w14:paraId="3ED77CCB" w14:textId="77777777" w:rsidR="005479DE" w:rsidRPr="006B5404" w:rsidRDefault="005479DE" w:rsidP="005479DE">
            <w:pPr>
              <w:widowControl w:val="0"/>
              <w:rPr>
                <w:rFonts w:ascii="Arial" w:hAnsi="Arial" w:cs="Arial"/>
              </w:rPr>
            </w:pPr>
          </w:p>
        </w:tc>
      </w:tr>
      <w:tr w:rsidR="005479DE" w:rsidRPr="006B5404" w14:paraId="0422608F" w14:textId="77777777" w:rsidTr="00891EAA">
        <w:trPr>
          <w:cantSplit/>
          <w:trHeight w:val="430"/>
        </w:trPr>
        <w:tc>
          <w:tcPr>
            <w:tcW w:w="3681" w:type="dxa"/>
            <w:tcBorders>
              <w:top w:val="nil"/>
              <w:left w:val="single" w:sz="4" w:space="0" w:color="auto"/>
              <w:bottom w:val="single" w:sz="4" w:space="0" w:color="auto"/>
              <w:right w:val="single" w:sz="4" w:space="0" w:color="auto"/>
            </w:tcBorders>
            <w:shd w:val="clear" w:color="auto" w:fill="auto"/>
            <w:tcMar>
              <w:top w:w="28" w:type="dxa"/>
              <w:bottom w:w="28" w:type="dxa"/>
            </w:tcMar>
          </w:tcPr>
          <w:p w14:paraId="587F5188" w14:textId="0647E6A3" w:rsidR="005479DE" w:rsidRPr="006B5404" w:rsidRDefault="005479DE" w:rsidP="005479DE">
            <w:pPr>
              <w:rPr>
                <w:rFonts w:ascii="Arial" w:hAnsi="Arial" w:cs="Arial"/>
              </w:rPr>
            </w:pPr>
            <w:r w:rsidRPr="006B5404">
              <w:rPr>
                <w:rFonts w:ascii="Arial" w:hAnsi="Arial" w:cs="Arial"/>
                <w:color w:val="000000"/>
              </w:rPr>
              <w:t>VITAMINS, MINERALS AND TRACE ELEMENTS WITH CARBOHYDRATE</w:t>
            </w:r>
            <w:r w:rsidRPr="006B5404">
              <w:rPr>
                <w:rFonts w:ascii="Arial" w:hAnsi="Arial" w:cs="Arial"/>
                <w:color w:val="000000"/>
              </w:rPr>
              <w:br/>
            </w:r>
            <w:r w:rsidRPr="006B5404">
              <w:rPr>
                <w:rFonts w:ascii="Arial" w:hAnsi="Arial" w:cs="Arial"/>
                <w:color w:val="000000"/>
              </w:rPr>
              <w:br/>
              <w:t>Oral p</w:t>
            </w:r>
            <w:r>
              <w:rPr>
                <w:rFonts w:ascii="Arial" w:hAnsi="Arial" w:cs="Arial"/>
                <w:color w:val="000000"/>
              </w:rPr>
              <w:t>owder 200 g</w:t>
            </w:r>
            <w:r>
              <w:rPr>
                <w:rFonts w:ascii="Arial" w:hAnsi="Arial" w:cs="Arial"/>
                <w:color w:val="000000"/>
              </w:rPr>
              <w:br/>
            </w:r>
            <w:r>
              <w:rPr>
                <w:rFonts w:ascii="Arial" w:hAnsi="Arial" w:cs="Arial"/>
                <w:color w:val="000000"/>
              </w:rPr>
              <w:br/>
              <w:t xml:space="preserve">Paediatric </w:t>
            </w:r>
            <w:proofErr w:type="spellStart"/>
            <w:r>
              <w:rPr>
                <w:rFonts w:ascii="Arial" w:hAnsi="Arial" w:cs="Arial"/>
                <w:color w:val="000000"/>
              </w:rPr>
              <w:t>Seravit</w:t>
            </w:r>
            <w:proofErr w:type="spellEnd"/>
            <w:r>
              <w:rPr>
                <w:rFonts w:ascii="Arial" w:hAnsi="Arial" w:cs="Arial"/>
                <w:color w:val="000000"/>
              </w:rPr>
              <w:t>®</w:t>
            </w:r>
            <w:r w:rsidRPr="006B5404">
              <w:rPr>
                <w:rFonts w:ascii="Arial" w:hAnsi="Arial" w:cs="Arial"/>
                <w:color w:val="000000"/>
              </w:rPr>
              <w:br/>
            </w:r>
            <w:r w:rsidRPr="006B5404">
              <w:rPr>
                <w:rFonts w:ascii="Arial" w:hAnsi="Arial" w:cs="Arial"/>
                <w:color w:val="000000"/>
              </w:rPr>
              <w:br/>
              <w:t>Nutricia Australia Pty Ltd</w:t>
            </w:r>
            <w:r w:rsidRPr="006B5404">
              <w:rPr>
                <w:rFonts w:ascii="Arial" w:hAnsi="Arial" w:cs="Arial"/>
                <w:color w:val="000000"/>
              </w:rPr>
              <w:br/>
            </w:r>
            <w:r w:rsidRPr="006B5404">
              <w:rPr>
                <w:rFonts w:ascii="Arial" w:hAnsi="Arial" w:cs="Arial"/>
                <w:color w:val="000000"/>
              </w:rPr>
              <w:br/>
              <w:t>Change to listing</w:t>
            </w:r>
            <w:r w:rsidRPr="006B5404">
              <w:rPr>
                <w:rFonts w:ascii="Arial" w:hAnsi="Arial" w:cs="Arial"/>
                <w:color w:val="000000"/>
              </w:rPr>
              <w:br/>
            </w:r>
            <w:r w:rsidRPr="00E16F30">
              <w:rPr>
                <w:rFonts w:ascii="Arial" w:hAnsi="Arial" w:cs="Arial"/>
                <w:color w:val="000000"/>
              </w:rPr>
              <w:t xml:space="preserve">(Minor Submission) </w:t>
            </w:r>
          </w:p>
        </w:tc>
        <w:tc>
          <w:tcPr>
            <w:tcW w:w="2401" w:type="dxa"/>
            <w:tcBorders>
              <w:top w:val="nil"/>
              <w:left w:val="nil"/>
              <w:bottom w:val="single" w:sz="4" w:space="0" w:color="auto"/>
              <w:right w:val="single" w:sz="4" w:space="0" w:color="auto"/>
            </w:tcBorders>
            <w:shd w:val="clear" w:color="auto" w:fill="auto"/>
            <w:tcMar>
              <w:top w:w="28" w:type="dxa"/>
              <w:bottom w:w="28" w:type="dxa"/>
            </w:tcMar>
          </w:tcPr>
          <w:p w14:paraId="2767C146" w14:textId="046EC178" w:rsidR="005479DE" w:rsidRPr="006B5404" w:rsidRDefault="005479DE" w:rsidP="005479DE">
            <w:pPr>
              <w:rPr>
                <w:rFonts w:ascii="Arial" w:hAnsi="Arial" w:cs="Arial"/>
              </w:rPr>
            </w:pPr>
            <w:r w:rsidRPr="006B5404">
              <w:rPr>
                <w:rFonts w:ascii="Arial" w:hAnsi="Arial" w:cs="Arial"/>
                <w:color w:val="000000"/>
              </w:rPr>
              <w:t>Dietary management of conditions requiring a highly restrictive therapeutic diet</w:t>
            </w:r>
          </w:p>
        </w:tc>
        <w:tc>
          <w:tcPr>
            <w:tcW w:w="2702" w:type="dxa"/>
            <w:tcBorders>
              <w:top w:val="nil"/>
              <w:left w:val="nil"/>
              <w:bottom w:val="single" w:sz="4" w:space="0" w:color="auto"/>
              <w:right w:val="single" w:sz="4" w:space="0" w:color="auto"/>
            </w:tcBorders>
            <w:shd w:val="clear" w:color="auto" w:fill="auto"/>
            <w:tcMar>
              <w:top w:w="28" w:type="dxa"/>
              <w:bottom w:w="28" w:type="dxa"/>
            </w:tcMar>
          </w:tcPr>
          <w:p w14:paraId="526E5F5D" w14:textId="58F2BA53" w:rsidR="005479DE" w:rsidRPr="006B5404" w:rsidRDefault="005479DE" w:rsidP="005479DE">
            <w:pPr>
              <w:rPr>
                <w:rFonts w:ascii="Arial" w:hAnsi="Arial" w:cs="Arial"/>
              </w:rPr>
            </w:pPr>
            <w:r>
              <w:rPr>
                <w:rFonts w:ascii="Arial" w:hAnsi="Arial" w:cs="Arial"/>
                <w:color w:val="000000"/>
              </w:rPr>
              <w:t xml:space="preserve">To request a formulation change of Paediatric </w:t>
            </w:r>
            <w:proofErr w:type="spellStart"/>
            <w:r>
              <w:rPr>
                <w:rFonts w:ascii="Arial" w:hAnsi="Arial" w:cs="Arial"/>
                <w:color w:val="000000"/>
              </w:rPr>
              <w:t>Seravit</w:t>
            </w:r>
            <w:proofErr w:type="spellEnd"/>
            <w:r>
              <w:rPr>
                <w:rFonts w:ascii="Arial" w:hAnsi="Arial" w:cs="Arial"/>
                <w:color w:val="000000"/>
              </w:rPr>
              <w:t>® for the dietary management of conditions requiring a highly restrictive therapeutic diet.</w:t>
            </w:r>
          </w:p>
        </w:tc>
        <w:tc>
          <w:tcPr>
            <w:tcW w:w="6604" w:type="dxa"/>
            <w:tcBorders>
              <w:top w:val="single" w:sz="4" w:space="0" w:color="auto"/>
              <w:left w:val="single" w:sz="4" w:space="0" w:color="auto"/>
              <w:bottom w:val="single" w:sz="4" w:space="0" w:color="auto"/>
              <w:right w:val="single" w:sz="4" w:space="0" w:color="auto"/>
            </w:tcBorders>
          </w:tcPr>
          <w:p w14:paraId="7B2B85AE" w14:textId="3A6BEBF5" w:rsidR="005479DE" w:rsidRPr="006B5404" w:rsidRDefault="005479DE" w:rsidP="005479DE">
            <w:pPr>
              <w:rPr>
                <w:rFonts w:ascii="Arial" w:hAnsi="Arial" w:cs="Arial"/>
                <w:color w:val="000000"/>
              </w:rPr>
            </w:pPr>
            <w:r w:rsidRPr="006B5404">
              <w:rPr>
                <w:rFonts w:ascii="Arial" w:hAnsi="Arial" w:cs="Arial"/>
                <w:color w:val="000000"/>
              </w:rPr>
              <w:t xml:space="preserve">The PBAC recommended continuing the listing of Paediatric </w:t>
            </w:r>
            <w:proofErr w:type="spellStart"/>
            <w:r w:rsidRPr="006B5404">
              <w:rPr>
                <w:rFonts w:ascii="Arial" w:hAnsi="Arial" w:cs="Arial"/>
                <w:color w:val="000000"/>
              </w:rPr>
              <w:t>Seravi</w:t>
            </w:r>
            <w:r>
              <w:rPr>
                <w:rFonts w:ascii="Arial" w:hAnsi="Arial" w:cs="Arial"/>
                <w:color w:val="000000"/>
              </w:rPr>
              <w:t>t</w:t>
            </w:r>
            <w:proofErr w:type="spellEnd"/>
            <w:r>
              <w:rPr>
                <w:rFonts w:ascii="Arial" w:hAnsi="Arial" w:cs="Arial"/>
                <w:color w:val="000000"/>
              </w:rPr>
              <w:t>®</w:t>
            </w:r>
            <w:r w:rsidRPr="006B5404">
              <w:rPr>
                <w:rFonts w:ascii="Arial" w:hAnsi="Arial" w:cs="Arial"/>
                <w:color w:val="000000"/>
              </w:rPr>
              <w:t xml:space="preserve"> for the dietary management of conditions requiring a highly restrictive therapeutic diet in infants and young children following its reformulation due to changes in European compositional standards. </w:t>
            </w:r>
          </w:p>
          <w:p w14:paraId="6F4D50D1" w14:textId="77777777" w:rsidR="005479DE" w:rsidRPr="006B5404" w:rsidRDefault="005479DE" w:rsidP="005479DE">
            <w:pPr>
              <w:widowControl w:val="0"/>
              <w:rPr>
                <w:rFonts w:ascii="Arial" w:hAnsi="Arial" w:cs="Arial"/>
              </w:rPr>
            </w:pPr>
          </w:p>
        </w:tc>
      </w:tr>
      <w:tr w:rsidR="005479DE" w:rsidRPr="006B5404" w14:paraId="218D3B43" w14:textId="77777777" w:rsidTr="00891EAA">
        <w:trPr>
          <w:cantSplit/>
          <w:trHeight w:val="430"/>
        </w:trPr>
        <w:tc>
          <w:tcPr>
            <w:tcW w:w="3681" w:type="dxa"/>
            <w:tcBorders>
              <w:top w:val="nil"/>
              <w:left w:val="single" w:sz="4" w:space="0" w:color="auto"/>
              <w:bottom w:val="single" w:sz="4" w:space="0" w:color="auto"/>
              <w:right w:val="single" w:sz="4" w:space="0" w:color="auto"/>
            </w:tcBorders>
            <w:shd w:val="clear" w:color="auto" w:fill="auto"/>
            <w:tcMar>
              <w:top w:w="28" w:type="dxa"/>
              <w:bottom w:w="28" w:type="dxa"/>
            </w:tcMar>
          </w:tcPr>
          <w:p w14:paraId="35DF0087" w14:textId="4120060C" w:rsidR="005479DE" w:rsidRPr="006B5404" w:rsidRDefault="005479DE" w:rsidP="005479DE">
            <w:pPr>
              <w:rPr>
                <w:rFonts w:ascii="Arial" w:hAnsi="Arial" w:cs="Arial"/>
              </w:rPr>
            </w:pPr>
            <w:r w:rsidRPr="006B5404">
              <w:rPr>
                <w:rFonts w:ascii="Arial" w:hAnsi="Arial" w:cs="Arial"/>
                <w:color w:val="000000"/>
              </w:rPr>
              <w:lastRenderedPageBreak/>
              <w:t>WHEY PROTEIN FORMULA SUPPLEMENTED WITH AMINO ACIDS, VITAMINS AND MINERALS, AND LOW IN PROTEIN, PHOSPHATE, POTASSIUM AND LACTOSE</w:t>
            </w:r>
            <w:r>
              <w:rPr>
                <w:rFonts w:ascii="Arial" w:hAnsi="Arial" w:cs="Arial"/>
                <w:color w:val="000000"/>
              </w:rPr>
              <w:br/>
            </w:r>
            <w:r>
              <w:rPr>
                <w:rFonts w:ascii="Arial" w:hAnsi="Arial" w:cs="Arial"/>
                <w:color w:val="000000"/>
              </w:rPr>
              <w:br/>
              <w:t>Oral powder 400 g</w:t>
            </w:r>
            <w:r>
              <w:rPr>
                <w:rFonts w:ascii="Arial" w:hAnsi="Arial" w:cs="Arial"/>
                <w:color w:val="000000"/>
              </w:rPr>
              <w:br/>
            </w:r>
            <w:r>
              <w:rPr>
                <w:rFonts w:ascii="Arial" w:hAnsi="Arial" w:cs="Arial"/>
                <w:color w:val="000000"/>
              </w:rPr>
              <w:br/>
            </w:r>
            <w:proofErr w:type="spellStart"/>
            <w:r>
              <w:rPr>
                <w:rFonts w:ascii="Arial" w:hAnsi="Arial" w:cs="Arial"/>
                <w:color w:val="000000"/>
              </w:rPr>
              <w:t>Kindergen</w:t>
            </w:r>
            <w:proofErr w:type="spellEnd"/>
            <w:r>
              <w:rPr>
                <w:rFonts w:ascii="Arial" w:hAnsi="Arial" w:cs="Arial"/>
                <w:color w:val="000000"/>
              </w:rPr>
              <w:t>®</w:t>
            </w:r>
            <w:r w:rsidRPr="006B5404">
              <w:rPr>
                <w:rFonts w:ascii="Arial" w:hAnsi="Arial" w:cs="Arial"/>
                <w:color w:val="000000"/>
              </w:rPr>
              <w:br/>
            </w:r>
            <w:r w:rsidRPr="006B5404">
              <w:rPr>
                <w:rFonts w:ascii="Arial" w:hAnsi="Arial" w:cs="Arial"/>
                <w:color w:val="000000"/>
              </w:rPr>
              <w:br/>
              <w:t>Nutricia Australia Pty Ltd</w:t>
            </w:r>
            <w:r w:rsidRPr="006B5404">
              <w:rPr>
                <w:rFonts w:ascii="Arial" w:hAnsi="Arial" w:cs="Arial"/>
                <w:color w:val="000000"/>
              </w:rPr>
              <w:br/>
            </w:r>
            <w:r w:rsidRPr="006B5404">
              <w:rPr>
                <w:rFonts w:ascii="Arial" w:hAnsi="Arial" w:cs="Arial"/>
                <w:color w:val="000000"/>
              </w:rPr>
              <w:br/>
              <w:t>Change to listing</w:t>
            </w:r>
            <w:r w:rsidRPr="006B5404">
              <w:rPr>
                <w:rFonts w:ascii="Arial" w:hAnsi="Arial" w:cs="Arial"/>
                <w:color w:val="000000"/>
              </w:rPr>
              <w:br/>
            </w:r>
            <w:r w:rsidRPr="00E16F30">
              <w:rPr>
                <w:rFonts w:ascii="Arial" w:hAnsi="Arial" w:cs="Arial"/>
                <w:color w:val="000000"/>
              </w:rPr>
              <w:t xml:space="preserve">(Minor Submission) </w:t>
            </w:r>
          </w:p>
        </w:tc>
        <w:tc>
          <w:tcPr>
            <w:tcW w:w="2401" w:type="dxa"/>
            <w:tcBorders>
              <w:top w:val="nil"/>
              <w:left w:val="nil"/>
              <w:bottom w:val="single" w:sz="4" w:space="0" w:color="auto"/>
              <w:right w:val="single" w:sz="4" w:space="0" w:color="auto"/>
            </w:tcBorders>
            <w:shd w:val="clear" w:color="auto" w:fill="auto"/>
            <w:tcMar>
              <w:top w:w="28" w:type="dxa"/>
              <w:bottom w:w="28" w:type="dxa"/>
            </w:tcMar>
          </w:tcPr>
          <w:p w14:paraId="472405D2" w14:textId="391B134B" w:rsidR="005479DE" w:rsidRPr="006B5404" w:rsidRDefault="005479DE" w:rsidP="005479DE">
            <w:pPr>
              <w:rPr>
                <w:rFonts w:ascii="Arial" w:hAnsi="Arial" w:cs="Arial"/>
              </w:rPr>
            </w:pPr>
            <w:r w:rsidRPr="006B5404">
              <w:rPr>
                <w:rFonts w:ascii="Arial" w:hAnsi="Arial" w:cs="Arial"/>
                <w:color w:val="000000"/>
              </w:rPr>
              <w:t>Chronic Renal Failure (CRF)</w:t>
            </w:r>
          </w:p>
        </w:tc>
        <w:tc>
          <w:tcPr>
            <w:tcW w:w="2702" w:type="dxa"/>
            <w:tcBorders>
              <w:top w:val="nil"/>
              <w:left w:val="nil"/>
              <w:bottom w:val="single" w:sz="4" w:space="0" w:color="auto"/>
              <w:right w:val="single" w:sz="4" w:space="0" w:color="auto"/>
            </w:tcBorders>
            <w:shd w:val="clear" w:color="auto" w:fill="auto"/>
            <w:tcMar>
              <w:top w:w="28" w:type="dxa"/>
              <w:bottom w:w="28" w:type="dxa"/>
            </w:tcMar>
          </w:tcPr>
          <w:p w14:paraId="4C002DC4" w14:textId="1F75E5B9" w:rsidR="005479DE" w:rsidRPr="006B5404" w:rsidRDefault="005479DE" w:rsidP="005479DE">
            <w:pPr>
              <w:rPr>
                <w:rFonts w:ascii="Arial" w:hAnsi="Arial" w:cs="Arial"/>
              </w:rPr>
            </w:pPr>
            <w:r>
              <w:rPr>
                <w:rFonts w:ascii="Arial" w:hAnsi="Arial" w:cs="Arial"/>
                <w:color w:val="000000"/>
              </w:rPr>
              <w:t xml:space="preserve">To request a formulation change of </w:t>
            </w:r>
            <w:proofErr w:type="spellStart"/>
            <w:r>
              <w:rPr>
                <w:rFonts w:ascii="Arial" w:hAnsi="Arial" w:cs="Arial"/>
                <w:color w:val="000000"/>
              </w:rPr>
              <w:t>Kindergen</w:t>
            </w:r>
            <w:proofErr w:type="spellEnd"/>
            <w:r>
              <w:rPr>
                <w:rFonts w:ascii="Arial" w:hAnsi="Arial" w:cs="Arial"/>
                <w:color w:val="000000"/>
              </w:rPr>
              <w:t>® for the dietary management of CRF.</w:t>
            </w:r>
          </w:p>
        </w:tc>
        <w:tc>
          <w:tcPr>
            <w:tcW w:w="6604" w:type="dxa"/>
            <w:tcBorders>
              <w:top w:val="single" w:sz="4" w:space="0" w:color="auto"/>
              <w:left w:val="single" w:sz="4" w:space="0" w:color="auto"/>
              <w:bottom w:val="single" w:sz="4" w:space="0" w:color="auto"/>
              <w:right w:val="single" w:sz="4" w:space="0" w:color="auto"/>
            </w:tcBorders>
          </w:tcPr>
          <w:p w14:paraId="13C9CDB3" w14:textId="5095A68B" w:rsidR="005479DE" w:rsidRPr="006B5404" w:rsidRDefault="005479DE" w:rsidP="005479DE">
            <w:pPr>
              <w:rPr>
                <w:rFonts w:ascii="Arial" w:hAnsi="Arial" w:cs="Arial"/>
                <w:color w:val="000000"/>
              </w:rPr>
            </w:pPr>
            <w:r w:rsidRPr="006B5404">
              <w:rPr>
                <w:rFonts w:ascii="Arial" w:hAnsi="Arial" w:cs="Arial"/>
                <w:color w:val="000000"/>
              </w:rPr>
              <w:t xml:space="preserve">The PBAC recommended continuing the listing of </w:t>
            </w:r>
            <w:proofErr w:type="spellStart"/>
            <w:r w:rsidRPr="006B5404">
              <w:rPr>
                <w:rFonts w:ascii="Arial" w:hAnsi="Arial" w:cs="Arial"/>
                <w:color w:val="000000"/>
              </w:rPr>
              <w:t>Kindergen</w:t>
            </w:r>
            <w:proofErr w:type="spellEnd"/>
            <w:r>
              <w:rPr>
                <w:rFonts w:ascii="Arial" w:hAnsi="Arial" w:cs="Arial"/>
                <w:color w:val="000000"/>
              </w:rPr>
              <w:t>®</w:t>
            </w:r>
            <w:r w:rsidRPr="006B5404">
              <w:rPr>
                <w:rFonts w:ascii="Arial" w:hAnsi="Arial" w:cs="Arial"/>
                <w:color w:val="000000"/>
              </w:rPr>
              <w:t xml:space="preserve"> for the dietary ma</w:t>
            </w:r>
            <w:r>
              <w:rPr>
                <w:rFonts w:ascii="Arial" w:hAnsi="Arial" w:cs="Arial"/>
                <w:color w:val="000000"/>
              </w:rPr>
              <w:t>nagement of CRF</w:t>
            </w:r>
            <w:r w:rsidRPr="006B5404">
              <w:rPr>
                <w:rFonts w:ascii="Arial" w:hAnsi="Arial" w:cs="Arial"/>
                <w:color w:val="000000"/>
              </w:rPr>
              <w:t xml:space="preserve"> in infants and young children following its reformulation due to changes in European compositional standards.</w:t>
            </w:r>
          </w:p>
          <w:p w14:paraId="3DE8A84C" w14:textId="77777777" w:rsidR="005479DE" w:rsidRPr="006B5404" w:rsidRDefault="005479DE" w:rsidP="005479DE">
            <w:pPr>
              <w:widowControl w:val="0"/>
              <w:rPr>
                <w:rFonts w:ascii="Arial" w:hAnsi="Arial" w:cs="Arial"/>
              </w:rPr>
            </w:pPr>
          </w:p>
        </w:tc>
      </w:tr>
    </w:tbl>
    <w:p w14:paraId="2D051ECE" w14:textId="77777777" w:rsidR="00E066EF" w:rsidRPr="006B5404" w:rsidRDefault="00E066EF" w:rsidP="00450BC1">
      <w:pPr>
        <w:tabs>
          <w:tab w:val="left" w:pos="5210"/>
        </w:tabs>
        <w:rPr>
          <w:rFonts w:ascii="Arial" w:hAnsi="Arial" w:cs="Arial"/>
          <w:lang w:val="en-US"/>
        </w:rPr>
      </w:pPr>
    </w:p>
    <w:sectPr w:rsidR="00E066EF" w:rsidRPr="006B5404" w:rsidSect="00CB2D1B">
      <w:headerReference w:type="default" r:id="rId8"/>
      <w:footerReference w:type="even" r:id="rId9"/>
      <w:footerReference w:type="default" r:id="rId10"/>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99CD9" w14:textId="77777777" w:rsidR="008253F7" w:rsidRDefault="008253F7">
      <w:r>
        <w:separator/>
      </w:r>
    </w:p>
  </w:endnote>
  <w:endnote w:type="continuationSeparator" w:id="0">
    <w:p w14:paraId="612C4BCD" w14:textId="77777777" w:rsidR="008253F7" w:rsidRDefault="0082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altName w:val="Times New Roman"/>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C8E15" w14:textId="77777777" w:rsidR="008253F7" w:rsidRDefault="008253F7"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436C30" w14:textId="77777777" w:rsidR="008253F7" w:rsidRDefault="008253F7"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89657" w14:textId="3588E02E" w:rsidR="008253F7" w:rsidRPr="00CE0CBC" w:rsidRDefault="008253F7" w:rsidP="00FE2A81">
    <w:pPr>
      <w:pStyle w:val="Footer"/>
      <w:framePr w:wrap="around" w:vAnchor="text" w:hAnchor="margin" w:xAlign="right" w:y="1"/>
      <w:rPr>
        <w:rStyle w:val="PageNumber"/>
        <w:rFonts w:ascii="Arial" w:hAnsi="Arial" w:cs="Arial"/>
      </w:rPr>
    </w:pPr>
    <w:r w:rsidRPr="00CE0CBC">
      <w:rPr>
        <w:rStyle w:val="PageNumber"/>
        <w:rFonts w:ascii="Arial" w:hAnsi="Arial" w:cs="Arial"/>
      </w:rPr>
      <w:fldChar w:fldCharType="begin"/>
    </w:r>
    <w:r w:rsidRPr="00CE0CBC">
      <w:rPr>
        <w:rStyle w:val="PageNumber"/>
        <w:rFonts w:ascii="Arial" w:hAnsi="Arial" w:cs="Arial"/>
      </w:rPr>
      <w:instrText xml:space="preserve">PAGE  </w:instrText>
    </w:r>
    <w:r w:rsidRPr="00CE0CBC">
      <w:rPr>
        <w:rStyle w:val="PageNumber"/>
        <w:rFonts w:ascii="Arial" w:hAnsi="Arial" w:cs="Arial"/>
      </w:rPr>
      <w:fldChar w:fldCharType="separate"/>
    </w:r>
    <w:r w:rsidR="00E35279">
      <w:rPr>
        <w:rStyle w:val="PageNumber"/>
        <w:rFonts w:ascii="Arial" w:hAnsi="Arial" w:cs="Arial"/>
        <w:noProof/>
      </w:rPr>
      <w:t>11</w:t>
    </w:r>
    <w:r w:rsidRPr="00CE0CBC">
      <w:rPr>
        <w:rStyle w:val="PageNumber"/>
        <w:rFonts w:ascii="Arial" w:hAnsi="Arial" w:cs="Arial"/>
      </w:rPr>
      <w:fldChar w:fldCharType="end"/>
    </w:r>
  </w:p>
  <w:p w14:paraId="2CEC4739" w14:textId="77777777" w:rsidR="008253F7" w:rsidRDefault="008253F7" w:rsidP="00FE2A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5C293" w14:textId="77777777" w:rsidR="008253F7" w:rsidRDefault="008253F7">
      <w:r>
        <w:separator/>
      </w:r>
    </w:p>
  </w:footnote>
  <w:footnote w:type="continuationSeparator" w:id="0">
    <w:p w14:paraId="70D533AD" w14:textId="77777777" w:rsidR="008253F7" w:rsidRDefault="00825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D9777" w14:textId="340613B0" w:rsidR="008253F7" w:rsidRDefault="008253F7" w:rsidP="007D408D">
    <w:pPr>
      <w:pStyle w:val="Header"/>
      <w:jc w:val="center"/>
      <w:rPr>
        <w:rFonts w:ascii="Arial" w:hAnsi="Arial" w:cs="Arial"/>
        <w:b/>
        <w:snapToGrid w:val="0"/>
        <w:lang w:eastAsia="en-US"/>
      </w:rPr>
    </w:pPr>
    <w:r>
      <w:rPr>
        <w:rFonts w:ascii="Arial" w:hAnsi="Arial" w:cs="Arial"/>
        <w:b/>
        <w:snapToGrid w:val="0"/>
        <w:lang w:eastAsia="en-US"/>
      </w:rPr>
      <w:t>JULY 2020 PBAC MEETING – POSITIVE RECOMMENDATIONS</w:t>
    </w:r>
  </w:p>
  <w:p w14:paraId="18489B28" w14:textId="77777777" w:rsidR="008253F7" w:rsidRDefault="008253F7" w:rsidP="007D408D">
    <w:pPr>
      <w:pStyle w:val="Header"/>
      <w:jc w:val="center"/>
      <w:rPr>
        <w:rFonts w:ascii="Arial" w:hAnsi="Arial" w:cs="Arial"/>
        <w:b/>
        <w:snapToGrid w:val="0"/>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04DB6EC1"/>
    <w:multiLevelType w:val="hybridMultilevel"/>
    <w:tmpl w:val="4762CBFE"/>
    <w:lvl w:ilvl="0" w:tplc="04090001">
      <w:start w:val="1"/>
      <w:numFmt w:val="bullet"/>
      <w:lvlText w:val=""/>
      <w:lvlJc w:val="left"/>
      <w:pPr>
        <w:ind w:left="647" w:hanging="360"/>
      </w:pPr>
      <w:rPr>
        <w:rFonts w:ascii="Symbol" w:hAnsi="Symbol" w:hint="default"/>
      </w:rPr>
    </w:lvl>
    <w:lvl w:ilvl="1" w:tplc="78746994">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178B9"/>
    <w:multiLevelType w:val="hybridMultilevel"/>
    <w:tmpl w:val="5CF0F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85221F"/>
    <w:multiLevelType w:val="hybridMultilevel"/>
    <w:tmpl w:val="8C485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93311C"/>
    <w:multiLevelType w:val="hybridMultilevel"/>
    <w:tmpl w:val="FB4054EE"/>
    <w:lvl w:ilvl="0" w:tplc="B3426A64">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485E5F"/>
    <w:multiLevelType w:val="hybridMultilevel"/>
    <w:tmpl w:val="690EBF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3D2DC2"/>
    <w:multiLevelType w:val="hybridMultilevel"/>
    <w:tmpl w:val="72189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B424D5"/>
    <w:multiLevelType w:val="multilevel"/>
    <w:tmpl w:val="3FFAD75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9A20D14"/>
    <w:multiLevelType w:val="hybridMultilevel"/>
    <w:tmpl w:val="EDD819C6"/>
    <w:lvl w:ilvl="0" w:tplc="78746994">
      <w:start w:val="3"/>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0" w15:restartNumberingAfterBreak="0">
    <w:nsid w:val="1EC649B4"/>
    <w:multiLevelType w:val="hybridMultilevel"/>
    <w:tmpl w:val="80723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314AFE"/>
    <w:multiLevelType w:val="hybridMultilevel"/>
    <w:tmpl w:val="7036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A05B88"/>
    <w:multiLevelType w:val="hybridMultilevel"/>
    <w:tmpl w:val="5DB6629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D64047"/>
    <w:multiLevelType w:val="hybridMultilevel"/>
    <w:tmpl w:val="2C8AF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7186281"/>
    <w:multiLevelType w:val="hybridMultilevel"/>
    <w:tmpl w:val="A2F89E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2F4338"/>
    <w:multiLevelType w:val="hybridMultilevel"/>
    <w:tmpl w:val="0D9EB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CF41B35"/>
    <w:multiLevelType w:val="hybridMultilevel"/>
    <w:tmpl w:val="12AA59E4"/>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2D761A"/>
    <w:multiLevelType w:val="hybridMultilevel"/>
    <w:tmpl w:val="3A36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5375EE"/>
    <w:multiLevelType w:val="hybridMultilevel"/>
    <w:tmpl w:val="D75C8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A43511"/>
    <w:multiLevelType w:val="hybridMultilevel"/>
    <w:tmpl w:val="165E9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E50A7A"/>
    <w:multiLevelType w:val="hybridMultilevel"/>
    <w:tmpl w:val="2F2E3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8E632BB"/>
    <w:multiLevelType w:val="hybridMultilevel"/>
    <w:tmpl w:val="EB129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BC5196"/>
    <w:multiLevelType w:val="multilevel"/>
    <w:tmpl w:val="BC14E302"/>
    <w:lvl w:ilvl="0">
      <w:start w:val="6"/>
      <w:numFmt w:val="decimal"/>
      <w:lvlText w:val="%1"/>
      <w:lvlJc w:val="left"/>
      <w:pPr>
        <w:ind w:left="360" w:hanging="360"/>
      </w:pPr>
      <w:rPr>
        <w:rFonts w:hint="default"/>
        <w:i w:val="0"/>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2F6CCF"/>
    <w:multiLevelType w:val="hybridMultilevel"/>
    <w:tmpl w:val="2D4AC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4E57E2"/>
    <w:multiLevelType w:val="hybridMultilevel"/>
    <w:tmpl w:val="A6F0E1A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4667BF"/>
    <w:multiLevelType w:val="multilevel"/>
    <w:tmpl w:val="1A325E7C"/>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ascii="Arial" w:hAnsi="Arial"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24D6414"/>
    <w:multiLevelType w:val="hybridMultilevel"/>
    <w:tmpl w:val="29E6B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8F82EFA"/>
    <w:multiLevelType w:val="hybridMultilevel"/>
    <w:tmpl w:val="C0228ED6"/>
    <w:lvl w:ilvl="0" w:tplc="0C090001">
      <w:start w:val="1"/>
      <w:numFmt w:val="bullet"/>
      <w:lvlText w:val=""/>
      <w:lvlJc w:val="left"/>
      <w:pPr>
        <w:ind w:left="1473" w:hanging="360"/>
      </w:pPr>
      <w:rPr>
        <w:rFonts w:ascii="Symbol" w:hAnsi="Symbol" w:hint="default"/>
      </w:rPr>
    </w:lvl>
    <w:lvl w:ilvl="1" w:tplc="0C090003" w:tentative="1">
      <w:start w:val="1"/>
      <w:numFmt w:val="bullet"/>
      <w:lvlText w:val="o"/>
      <w:lvlJc w:val="left"/>
      <w:pPr>
        <w:ind w:left="2193" w:hanging="360"/>
      </w:pPr>
      <w:rPr>
        <w:rFonts w:ascii="Courier New" w:hAnsi="Courier New" w:cs="Courier New" w:hint="default"/>
      </w:rPr>
    </w:lvl>
    <w:lvl w:ilvl="2" w:tplc="0C090005" w:tentative="1">
      <w:start w:val="1"/>
      <w:numFmt w:val="bullet"/>
      <w:lvlText w:val=""/>
      <w:lvlJc w:val="left"/>
      <w:pPr>
        <w:ind w:left="2913" w:hanging="360"/>
      </w:pPr>
      <w:rPr>
        <w:rFonts w:ascii="Wingdings" w:hAnsi="Wingdings" w:hint="default"/>
      </w:rPr>
    </w:lvl>
    <w:lvl w:ilvl="3" w:tplc="0C090001" w:tentative="1">
      <w:start w:val="1"/>
      <w:numFmt w:val="bullet"/>
      <w:lvlText w:val=""/>
      <w:lvlJc w:val="left"/>
      <w:pPr>
        <w:ind w:left="3633" w:hanging="360"/>
      </w:pPr>
      <w:rPr>
        <w:rFonts w:ascii="Symbol" w:hAnsi="Symbol" w:hint="default"/>
      </w:rPr>
    </w:lvl>
    <w:lvl w:ilvl="4" w:tplc="0C090003" w:tentative="1">
      <w:start w:val="1"/>
      <w:numFmt w:val="bullet"/>
      <w:lvlText w:val="o"/>
      <w:lvlJc w:val="left"/>
      <w:pPr>
        <w:ind w:left="4353" w:hanging="360"/>
      </w:pPr>
      <w:rPr>
        <w:rFonts w:ascii="Courier New" w:hAnsi="Courier New" w:cs="Courier New" w:hint="default"/>
      </w:rPr>
    </w:lvl>
    <w:lvl w:ilvl="5" w:tplc="0C090005" w:tentative="1">
      <w:start w:val="1"/>
      <w:numFmt w:val="bullet"/>
      <w:lvlText w:val=""/>
      <w:lvlJc w:val="left"/>
      <w:pPr>
        <w:ind w:left="5073" w:hanging="360"/>
      </w:pPr>
      <w:rPr>
        <w:rFonts w:ascii="Wingdings" w:hAnsi="Wingdings" w:hint="default"/>
      </w:rPr>
    </w:lvl>
    <w:lvl w:ilvl="6" w:tplc="0C090001" w:tentative="1">
      <w:start w:val="1"/>
      <w:numFmt w:val="bullet"/>
      <w:lvlText w:val=""/>
      <w:lvlJc w:val="left"/>
      <w:pPr>
        <w:ind w:left="5793" w:hanging="360"/>
      </w:pPr>
      <w:rPr>
        <w:rFonts w:ascii="Symbol" w:hAnsi="Symbol" w:hint="default"/>
      </w:rPr>
    </w:lvl>
    <w:lvl w:ilvl="7" w:tplc="0C090003" w:tentative="1">
      <w:start w:val="1"/>
      <w:numFmt w:val="bullet"/>
      <w:lvlText w:val="o"/>
      <w:lvlJc w:val="left"/>
      <w:pPr>
        <w:ind w:left="6513" w:hanging="360"/>
      </w:pPr>
      <w:rPr>
        <w:rFonts w:ascii="Courier New" w:hAnsi="Courier New" w:cs="Courier New" w:hint="default"/>
      </w:rPr>
    </w:lvl>
    <w:lvl w:ilvl="8" w:tplc="0C090005" w:tentative="1">
      <w:start w:val="1"/>
      <w:numFmt w:val="bullet"/>
      <w:lvlText w:val=""/>
      <w:lvlJc w:val="left"/>
      <w:pPr>
        <w:ind w:left="7233" w:hanging="360"/>
      </w:pPr>
      <w:rPr>
        <w:rFonts w:ascii="Wingdings" w:hAnsi="Wingdings" w:hint="default"/>
      </w:rPr>
    </w:lvl>
  </w:abstractNum>
  <w:abstractNum w:abstractNumId="35" w15:restartNumberingAfterBreak="0">
    <w:nsid w:val="710225F6"/>
    <w:multiLevelType w:val="hybridMultilevel"/>
    <w:tmpl w:val="26A28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4D033C"/>
    <w:multiLevelType w:val="multilevel"/>
    <w:tmpl w:val="91BEBE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32"/>
  </w:num>
  <w:num w:numId="3">
    <w:abstractNumId w:val="31"/>
  </w:num>
  <w:num w:numId="4">
    <w:abstractNumId w:val="23"/>
  </w:num>
  <w:num w:numId="5">
    <w:abstractNumId w:val="15"/>
  </w:num>
  <w:num w:numId="6">
    <w:abstractNumId w:val="6"/>
  </w:num>
  <w:num w:numId="7">
    <w:abstractNumId w:val="33"/>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36"/>
  </w:num>
  <w:num w:numId="12">
    <w:abstractNumId w:val="35"/>
  </w:num>
  <w:num w:numId="13">
    <w:abstractNumId w:val="7"/>
  </w:num>
  <w:num w:numId="14">
    <w:abstractNumId w:val="25"/>
  </w:num>
  <w:num w:numId="15">
    <w:abstractNumId w:val="10"/>
  </w:num>
  <w:num w:numId="16">
    <w:abstractNumId w:val="27"/>
  </w:num>
  <w:num w:numId="17">
    <w:abstractNumId w:val="2"/>
  </w:num>
  <w:num w:numId="18">
    <w:abstractNumId w:val="3"/>
  </w:num>
  <w:num w:numId="19">
    <w:abstractNumId w:val="11"/>
  </w:num>
  <w:num w:numId="20">
    <w:abstractNumId w:val="30"/>
  </w:num>
  <w:num w:numId="21">
    <w:abstractNumId w:val="24"/>
  </w:num>
  <w:num w:numId="22">
    <w:abstractNumId w:val="29"/>
  </w:num>
  <w:num w:numId="23">
    <w:abstractNumId w:val="1"/>
  </w:num>
  <w:num w:numId="24">
    <w:abstractNumId w:val="5"/>
  </w:num>
  <w:num w:numId="25">
    <w:abstractNumId w:val="26"/>
  </w:num>
  <w:num w:numId="26">
    <w:abstractNumId w:val="34"/>
  </w:num>
  <w:num w:numId="27">
    <w:abstractNumId w:val="13"/>
  </w:num>
  <w:num w:numId="28">
    <w:abstractNumId w:val="4"/>
  </w:num>
  <w:num w:numId="29">
    <w:abstractNumId w:val="9"/>
  </w:num>
  <w:num w:numId="30">
    <w:abstractNumId w:val="12"/>
  </w:num>
  <w:num w:numId="31">
    <w:abstractNumId w:val="20"/>
  </w:num>
  <w:num w:numId="32">
    <w:abstractNumId w:val="19"/>
  </w:num>
  <w:num w:numId="33">
    <w:abstractNumId w:val="28"/>
  </w:num>
  <w:num w:numId="34">
    <w:abstractNumId w:val="22"/>
  </w:num>
  <w:num w:numId="35">
    <w:abstractNumId w:val="17"/>
  </w:num>
  <w:num w:numId="36">
    <w:abstractNumId w:val="21"/>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32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8A"/>
    <w:rsid w:val="0000091B"/>
    <w:rsid w:val="0000099E"/>
    <w:rsid w:val="00000C2B"/>
    <w:rsid w:val="0000162D"/>
    <w:rsid w:val="000020F6"/>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7B9"/>
    <w:rsid w:val="00010886"/>
    <w:rsid w:val="00010920"/>
    <w:rsid w:val="000111DD"/>
    <w:rsid w:val="0001152D"/>
    <w:rsid w:val="000118E3"/>
    <w:rsid w:val="00011EA7"/>
    <w:rsid w:val="000120D3"/>
    <w:rsid w:val="000129ED"/>
    <w:rsid w:val="00012FB9"/>
    <w:rsid w:val="00013284"/>
    <w:rsid w:val="0001362E"/>
    <w:rsid w:val="00014746"/>
    <w:rsid w:val="00014B96"/>
    <w:rsid w:val="00014DC1"/>
    <w:rsid w:val="00014FF8"/>
    <w:rsid w:val="000155A7"/>
    <w:rsid w:val="00015748"/>
    <w:rsid w:val="00015DFE"/>
    <w:rsid w:val="00015EB4"/>
    <w:rsid w:val="00016092"/>
    <w:rsid w:val="0001617C"/>
    <w:rsid w:val="0001634D"/>
    <w:rsid w:val="00016F44"/>
    <w:rsid w:val="00017050"/>
    <w:rsid w:val="00017870"/>
    <w:rsid w:val="000179CE"/>
    <w:rsid w:val="00017CDE"/>
    <w:rsid w:val="00020A7A"/>
    <w:rsid w:val="00022361"/>
    <w:rsid w:val="000223D3"/>
    <w:rsid w:val="00022435"/>
    <w:rsid w:val="00022686"/>
    <w:rsid w:val="000228B1"/>
    <w:rsid w:val="0002300F"/>
    <w:rsid w:val="0002305C"/>
    <w:rsid w:val="00023228"/>
    <w:rsid w:val="00023817"/>
    <w:rsid w:val="0002401C"/>
    <w:rsid w:val="00024248"/>
    <w:rsid w:val="000245BC"/>
    <w:rsid w:val="0002470A"/>
    <w:rsid w:val="0002564D"/>
    <w:rsid w:val="00025967"/>
    <w:rsid w:val="00025F56"/>
    <w:rsid w:val="00026F9B"/>
    <w:rsid w:val="0002716D"/>
    <w:rsid w:val="00027346"/>
    <w:rsid w:val="00030320"/>
    <w:rsid w:val="00031946"/>
    <w:rsid w:val="000322EC"/>
    <w:rsid w:val="00032AB9"/>
    <w:rsid w:val="00033D0B"/>
    <w:rsid w:val="00034086"/>
    <w:rsid w:val="00034121"/>
    <w:rsid w:val="000350A9"/>
    <w:rsid w:val="0003511C"/>
    <w:rsid w:val="00035472"/>
    <w:rsid w:val="0003621F"/>
    <w:rsid w:val="000365B0"/>
    <w:rsid w:val="00036CF7"/>
    <w:rsid w:val="00037F52"/>
    <w:rsid w:val="0004019D"/>
    <w:rsid w:val="000407E0"/>
    <w:rsid w:val="00041467"/>
    <w:rsid w:val="0004160D"/>
    <w:rsid w:val="000417BC"/>
    <w:rsid w:val="00041F3D"/>
    <w:rsid w:val="00042593"/>
    <w:rsid w:val="00043C1D"/>
    <w:rsid w:val="00044146"/>
    <w:rsid w:val="00044BB4"/>
    <w:rsid w:val="00046725"/>
    <w:rsid w:val="000468C0"/>
    <w:rsid w:val="00046DA2"/>
    <w:rsid w:val="00050762"/>
    <w:rsid w:val="000507B9"/>
    <w:rsid w:val="00051AF5"/>
    <w:rsid w:val="00052071"/>
    <w:rsid w:val="00052580"/>
    <w:rsid w:val="00052863"/>
    <w:rsid w:val="0005440F"/>
    <w:rsid w:val="0005661F"/>
    <w:rsid w:val="00056D7D"/>
    <w:rsid w:val="00057006"/>
    <w:rsid w:val="000575B4"/>
    <w:rsid w:val="000601EA"/>
    <w:rsid w:val="000603CB"/>
    <w:rsid w:val="0006084C"/>
    <w:rsid w:val="000608FE"/>
    <w:rsid w:val="000615B0"/>
    <w:rsid w:val="00061E01"/>
    <w:rsid w:val="0006239E"/>
    <w:rsid w:val="0006295A"/>
    <w:rsid w:val="00063ACB"/>
    <w:rsid w:val="000643D0"/>
    <w:rsid w:val="000647E7"/>
    <w:rsid w:val="00065195"/>
    <w:rsid w:val="00066976"/>
    <w:rsid w:val="000672D3"/>
    <w:rsid w:val="0006744F"/>
    <w:rsid w:val="00067A06"/>
    <w:rsid w:val="00067E91"/>
    <w:rsid w:val="00070612"/>
    <w:rsid w:val="000714CE"/>
    <w:rsid w:val="00071D67"/>
    <w:rsid w:val="00072584"/>
    <w:rsid w:val="00072F02"/>
    <w:rsid w:val="00074126"/>
    <w:rsid w:val="0007567B"/>
    <w:rsid w:val="00075B7E"/>
    <w:rsid w:val="00076287"/>
    <w:rsid w:val="00076297"/>
    <w:rsid w:val="00077F45"/>
    <w:rsid w:val="00080510"/>
    <w:rsid w:val="00081153"/>
    <w:rsid w:val="000812EE"/>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55C9"/>
    <w:rsid w:val="00085F9C"/>
    <w:rsid w:val="00086013"/>
    <w:rsid w:val="0008687E"/>
    <w:rsid w:val="000868A3"/>
    <w:rsid w:val="00086D66"/>
    <w:rsid w:val="000872FA"/>
    <w:rsid w:val="00090385"/>
    <w:rsid w:val="0009086D"/>
    <w:rsid w:val="00090D21"/>
    <w:rsid w:val="00090F42"/>
    <w:rsid w:val="00091262"/>
    <w:rsid w:val="00092523"/>
    <w:rsid w:val="00093960"/>
    <w:rsid w:val="00093FB6"/>
    <w:rsid w:val="0009470A"/>
    <w:rsid w:val="0009562A"/>
    <w:rsid w:val="00095C30"/>
    <w:rsid w:val="00096B9F"/>
    <w:rsid w:val="00096E39"/>
    <w:rsid w:val="000971C3"/>
    <w:rsid w:val="000972AC"/>
    <w:rsid w:val="00097C0E"/>
    <w:rsid w:val="00097ED4"/>
    <w:rsid w:val="000A1E1C"/>
    <w:rsid w:val="000A2697"/>
    <w:rsid w:val="000A2A86"/>
    <w:rsid w:val="000A2C2D"/>
    <w:rsid w:val="000A2DE4"/>
    <w:rsid w:val="000A2FEC"/>
    <w:rsid w:val="000A31F1"/>
    <w:rsid w:val="000A418B"/>
    <w:rsid w:val="000A46FC"/>
    <w:rsid w:val="000A4955"/>
    <w:rsid w:val="000A570D"/>
    <w:rsid w:val="000A59CC"/>
    <w:rsid w:val="000A64C7"/>
    <w:rsid w:val="000A7C8A"/>
    <w:rsid w:val="000A7F23"/>
    <w:rsid w:val="000B0B19"/>
    <w:rsid w:val="000B1811"/>
    <w:rsid w:val="000B1A6E"/>
    <w:rsid w:val="000B21DD"/>
    <w:rsid w:val="000B2F97"/>
    <w:rsid w:val="000B3043"/>
    <w:rsid w:val="000B34FA"/>
    <w:rsid w:val="000B36FE"/>
    <w:rsid w:val="000B372D"/>
    <w:rsid w:val="000B38D3"/>
    <w:rsid w:val="000B5120"/>
    <w:rsid w:val="000B5B24"/>
    <w:rsid w:val="000B6487"/>
    <w:rsid w:val="000B69BA"/>
    <w:rsid w:val="000B7071"/>
    <w:rsid w:val="000B7A91"/>
    <w:rsid w:val="000B7F45"/>
    <w:rsid w:val="000C040A"/>
    <w:rsid w:val="000C0497"/>
    <w:rsid w:val="000C059E"/>
    <w:rsid w:val="000C0E21"/>
    <w:rsid w:val="000C1BA1"/>
    <w:rsid w:val="000C22B0"/>
    <w:rsid w:val="000C2786"/>
    <w:rsid w:val="000C3369"/>
    <w:rsid w:val="000C3CAA"/>
    <w:rsid w:val="000C45E3"/>
    <w:rsid w:val="000C56B4"/>
    <w:rsid w:val="000C5728"/>
    <w:rsid w:val="000C586F"/>
    <w:rsid w:val="000C5B48"/>
    <w:rsid w:val="000C61ED"/>
    <w:rsid w:val="000C661A"/>
    <w:rsid w:val="000C77A9"/>
    <w:rsid w:val="000D0D8B"/>
    <w:rsid w:val="000D14F1"/>
    <w:rsid w:val="000D157F"/>
    <w:rsid w:val="000D18D9"/>
    <w:rsid w:val="000D1C61"/>
    <w:rsid w:val="000D203D"/>
    <w:rsid w:val="000D2AFE"/>
    <w:rsid w:val="000D2D84"/>
    <w:rsid w:val="000D3190"/>
    <w:rsid w:val="000D3ECA"/>
    <w:rsid w:val="000D418F"/>
    <w:rsid w:val="000D4551"/>
    <w:rsid w:val="000D4936"/>
    <w:rsid w:val="000D5D71"/>
    <w:rsid w:val="000D5EFB"/>
    <w:rsid w:val="000D6416"/>
    <w:rsid w:val="000D650C"/>
    <w:rsid w:val="000D7927"/>
    <w:rsid w:val="000D7F3B"/>
    <w:rsid w:val="000E055E"/>
    <w:rsid w:val="000E0C55"/>
    <w:rsid w:val="000E1259"/>
    <w:rsid w:val="000E12D5"/>
    <w:rsid w:val="000E15F8"/>
    <w:rsid w:val="000E1C3A"/>
    <w:rsid w:val="000E21D8"/>
    <w:rsid w:val="000E2C73"/>
    <w:rsid w:val="000E2C8F"/>
    <w:rsid w:val="000E2EA3"/>
    <w:rsid w:val="000E4B3E"/>
    <w:rsid w:val="000E539F"/>
    <w:rsid w:val="000E6CF9"/>
    <w:rsid w:val="000E73BD"/>
    <w:rsid w:val="000F0654"/>
    <w:rsid w:val="000F069C"/>
    <w:rsid w:val="000F0B27"/>
    <w:rsid w:val="000F1D4F"/>
    <w:rsid w:val="000F2E82"/>
    <w:rsid w:val="000F3A4F"/>
    <w:rsid w:val="000F3D50"/>
    <w:rsid w:val="000F3E56"/>
    <w:rsid w:val="000F5D35"/>
    <w:rsid w:val="000F5DDE"/>
    <w:rsid w:val="000F6EC5"/>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0B"/>
    <w:rsid w:val="0011297F"/>
    <w:rsid w:val="001129E8"/>
    <w:rsid w:val="00112BA9"/>
    <w:rsid w:val="0011385A"/>
    <w:rsid w:val="00113C76"/>
    <w:rsid w:val="00114588"/>
    <w:rsid w:val="00114964"/>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6FB"/>
    <w:rsid w:val="00130231"/>
    <w:rsid w:val="001304E8"/>
    <w:rsid w:val="00130C57"/>
    <w:rsid w:val="0013141F"/>
    <w:rsid w:val="001317E4"/>
    <w:rsid w:val="00131CB1"/>
    <w:rsid w:val="00132052"/>
    <w:rsid w:val="0013270B"/>
    <w:rsid w:val="001329B7"/>
    <w:rsid w:val="00132A3A"/>
    <w:rsid w:val="00132DAB"/>
    <w:rsid w:val="00132EAD"/>
    <w:rsid w:val="00132FA5"/>
    <w:rsid w:val="001334F9"/>
    <w:rsid w:val="00133D7F"/>
    <w:rsid w:val="00134ECB"/>
    <w:rsid w:val="00134F08"/>
    <w:rsid w:val="001357A1"/>
    <w:rsid w:val="00135F8F"/>
    <w:rsid w:val="001362A6"/>
    <w:rsid w:val="00136B3F"/>
    <w:rsid w:val="00136DF8"/>
    <w:rsid w:val="0013745F"/>
    <w:rsid w:val="00137894"/>
    <w:rsid w:val="00137C49"/>
    <w:rsid w:val="00137CB8"/>
    <w:rsid w:val="00140035"/>
    <w:rsid w:val="00140465"/>
    <w:rsid w:val="00140E09"/>
    <w:rsid w:val="0014101A"/>
    <w:rsid w:val="0014142D"/>
    <w:rsid w:val="0014148A"/>
    <w:rsid w:val="00141FEB"/>
    <w:rsid w:val="00142EED"/>
    <w:rsid w:val="00143743"/>
    <w:rsid w:val="001437D5"/>
    <w:rsid w:val="00143E66"/>
    <w:rsid w:val="00145D66"/>
    <w:rsid w:val="00146F0E"/>
    <w:rsid w:val="0014776D"/>
    <w:rsid w:val="00147845"/>
    <w:rsid w:val="00147FC1"/>
    <w:rsid w:val="001500C8"/>
    <w:rsid w:val="0015080E"/>
    <w:rsid w:val="00151705"/>
    <w:rsid w:val="001518E7"/>
    <w:rsid w:val="00151C88"/>
    <w:rsid w:val="00151D35"/>
    <w:rsid w:val="00152387"/>
    <w:rsid w:val="00152A0C"/>
    <w:rsid w:val="00153424"/>
    <w:rsid w:val="0015402E"/>
    <w:rsid w:val="001546E8"/>
    <w:rsid w:val="00154828"/>
    <w:rsid w:val="00155698"/>
    <w:rsid w:val="00155BC9"/>
    <w:rsid w:val="00155C11"/>
    <w:rsid w:val="00157858"/>
    <w:rsid w:val="00157D22"/>
    <w:rsid w:val="00157F62"/>
    <w:rsid w:val="001600EB"/>
    <w:rsid w:val="00160423"/>
    <w:rsid w:val="00161568"/>
    <w:rsid w:val="00161CD7"/>
    <w:rsid w:val="0016312E"/>
    <w:rsid w:val="0016341E"/>
    <w:rsid w:val="001654A9"/>
    <w:rsid w:val="001657E7"/>
    <w:rsid w:val="00165A05"/>
    <w:rsid w:val="00165E5D"/>
    <w:rsid w:val="00166297"/>
    <w:rsid w:val="001663D5"/>
    <w:rsid w:val="00166549"/>
    <w:rsid w:val="0016683E"/>
    <w:rsid w:val="00167277"/>
    <w:rsid w:val="00167C00"/>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6927"/>
    <w:rsid w:val="001772D4"/>
    <w:rsid w:val="0017743E"/>
    <w:rsid w:val="00177845"/>
    <w:rsid w:val="001806A2"/>
    <w:rsid w:val="001810C8"/>
    <w:rsid w:val="001812AE"/>
    <w:rsid w:val="001815CB"/>
    <w:rsid w:val="00181E5E"/>
    <w:rsid w:val="00182E45"/>
    <w:rsid w:val="00182F97"/>
    <w:rsid w:val="00183DEE"/>
    <w:rsid w:val="00184373"/>
    <w:rsid w:val="00184E8A"/>
    <w:rsid w:val="0018519A"/>
    <w:rsid w:val="001904F5"/>
    <w:rsid w:val="00190B9C"/>
    <w:rsid w:val="00190D52"/>
    <w:rsid w:val="0019138B"/>
    <w:rsid w:val="001919D3"/>
    <w:rsid w:val="001925E9"/>
    <w:rsid w:val="00192900"/>
    <w:rsid w:val="001935DE"/>
    <w:rsid w:val="00193C35"/>
    <w:rsid w:val="0019441C"/>
    <w:rsid w:val="001950D9"/>
    <w:rsid w:val="00195379"/>
    <w:rsid w:val="00195E73"/>
    <w:rsid w:val="00196144"/>
    <w:rsid w:val="001971B1"/>
    <w:rsid w:val="001971EA"/>
    <w:rsid w:val="00197975"/>
    <w:rsid w:val="001A07AC"/>
    <w:rsid w:val="001A0DC8"/>
    <w:rsid w:val="001A14F5"/>
    <w:rsid w:val="001A1777"/>
    <w:rsid w:val="001A1A8A"/>
    <w:rsid w:val="001A2649"/>
    <w:rsid w:val="001A2B7C"/>
    <w:rsid w:val="001A307D"/>
    <w:rsid w:val="001A3986"/>
    <w:rsid w:val="001A3E19"/>
    <w:rsid w:val="001A4242"/>
    <w:rsid w:val="001A48FD"/>
    <w:rsid w:val="001A6DEF"/>
    <w:rsid w:val="001A7A6A"/>
    <w:rsid w:val="001B013F"/>
    <w:rsid w:val="001B049D"/>
    <w:rsid w:val="001B04E4"/>
    <w:rsid w:val="001B0553"/>
    <w:rsid w:val="001B1469"/>
    <w:rsid w:val="001B1577"/>
    <w:rsid w:val="001B16C3"/>
    <w:rsid w:val="001B1838"/>
    <w:rsid w:val="001B1C67"/>
    <w:rsid w:val="001B2234"/>
    <w:rsid w:val="001B3984"/>
    <w:rsid w:val="001B3FE9"/>
    <w:rsid w:val="001B4293"/>
    <w:rsid w:val="001B46AE"/>
    <w:rsid w:val="001B54F0"/>
    <w:rsid w:val="001B5950"/>
    <w:rsid w:val="001B6AAD"/>
    <w:rsid w:val="001B71B5"/>
    <w:rsid w:val="001B78E2"/>
    <w:rsid w:val="001B7BF2"/>
    <w:rsid w:val="001B7EED"/>
    <w:rsid w:val="001C0289"/>
    <w:rsid w:val="001C181C"/>
    <w:rsid w:val="001C2014"/>
    <w:rsid w:val="001C27AF"/>
    <w:rsid w:val="001C3403"/>
    <w:rsid w:val="001C3944"/>
    <w:rsid w:val="001C3AAA"/>
    <w:rsid w:val="001C43B3"/>
    <w:rsid w:val="001C4834"/>
    <w:rsid w:val="001C4C95"/>
    <w:rsid w:val="001C5BA6"/>
    <w:rsid w:val="001D0229"/>
    <w:rsid w:val="001D028A"/>
    <w:rsid w:val="001D0868"/>
    <w:rsid w:val="001D1636"/>
    <w:rsid w:val="001D181F"/>
    <w:rsid w:val="001D2755"/>
    <w:rsid w:val="001D2F4D"/>
    <w:rsid w:val="001D369A"/>
    <w:rsid w:val="001D388D"/>
    <w:rsid w:val="001D39E8"/>
    <w:rsid w:val="001D3DEA"/>
    <w:rsid w:val="001D4075"/>
    <w:rsid w:val="001D453C"/>
    <w:rsid w:val="001D4F81"/>
    <w:rsid w:val="001D600F"/>
    <w:rsid w:val="001D6843"/>
    <w:rsid w:val="001D755F"/>
    <w:rsid w:val="001D764B"/>
    <w:rsid w:val="001D79BC"/>
    <w:rsid w:val="001E0212"/>
    <w:rsid w:val="001E092F"/>
    <w:rsid w:val="001E0947"/>
    <w:rsid w:val="001E152C"/>
    <w:rsid w:val="001E24EA"/>
    <w:rsid w:val="001E25BD"/>
    <w:rsid w:val="001E25FF"/>
    <w:rsid w:val="001E411C"/>
    <w:rsid w:val="001E5979"/>
    <w:rsid w:val="001E5C38"/>
    <w:rsid w:val="001E776D"/>
    <w:rsid w:val="001E77D9"/>
    <w:rsid w:val="001F0D67"/>
    <w:rsid w:val="001F0F1E"/>
    <w:rsid w:val="001F1A00"/>
    <w:rsid w:val="001F1B8A"/>
    <w:rsid w:val="001F2058"/>
    <w:rsid w:val="001F23BC"/>
    <w:rsid w:val="001F29C8"/>
    <w:rsid w:val="001F3474"/>
    <w:rsid w:val="001F391D"/>
    <w:rsid w:val="001F49C4"/>
    <w:rsid w:val="001F5561"/>
    <w:rsid w:val="001F5939"/>
    <w:rsid w:val="001F5B96"/>
    <w:rsid w:val="001F60DF"/>
    <w:rsid w:val="001F67F2"/>
    <w:rsid w:val="001F6895"/>
    <w:rsid w:val="001F6A3C"/>
    <w:rsid w:val="001F6DCB"/>
    <w:rsid w:val="001F7055"/>
    <w:rsid w:val="001F716B"/>
    <w:rsid w:val="001F7B95"/>
    <w:rsid w:val="001F7E44"/>
    <w:rsid w:val="001F7FE1"/>
    <w:rsid w:val="00200FEE"/>
    <w:rsid w:val="002010D3"/>
    <w:rsid w:val="00201885"/>
    <w:rsid w:val="00202566"/>
    <w:rsid w:val="0020322B"/>
    <w:rsid w:val="002032C8"/>
    <w:rsid w:val="00203A75"/>
    <w:rsid w:val="0020409B"/>
    <w:rsid w:val="002060A5"/>
    <w:rsid w:val="002067FF"/>
    <w:rsid w:val="002070E4"/>
    <w:rsid w:val="0020721C"/>
    <w:rsid w:val="002072C3"/>
    <w:rsid w:val="0020790A"/>
    <w:rsid w:val="00207E86"/>
    <w:rsid w:val="00210594"/>
    <w:rsid w:val="002108B5"/>
    <w:rsid w:val="00210F65"/>
    <w:rsid w:val="00212939"/>
    <w:rsid w:val="00212B8B"/>
    <w:rsid w:val="0021300C"/>
    <w:rsid w:val="0021371C"/>
    <w:rsid w:val="002139E7"/>
    <w:rsid w:val="0021409F"/>
    <w:rsid w:val="0021410F"/>
    <w:rsid w:val="002144A1"/>
    <w:rsid w:val="002147A6"/>
    <w:rsid w:val="00214875"/>
    <w:rsid w:val="00214D4B"/>
    <w:rsid w:val="00215739"/>
    <w:rsid w:val="002157B5"/>
    <w:rsid w:val="00215E5C"/>
    <w:rsid w:val="00216869"/>
    <w:rsid w:val="0021720D"/>
    <w:rsid w:val="0022016A"/>
    <w:rsid w:val="00221057"/>
    <w:rsid w:val="002212CB"/>
    <w:rsid w:val="00221B4C"/>
    <w:rsid w:val="002226A9"/>
    <w:rsid w:val="0022277E"/>
    <w:rsid w:val="00223034"/>
    <w:rsid w:val="00223614"/>
    <w:rsid w:val="002238E6"/>
    <w:rsid w:val="00223F23"/>
    <w:rsid w:val="00224778"/>
    <w:rsid w:val="00225CB8"/>
    <w:rsid w:val="00226E88"/>
    <w:rsid w:val="00226F8B"/>
    <w:rsid w:val="0022715D"/>
    <w:rsid w:val="00230AF7"/>
    <w:rsid w:val="00230B76"/>
    <w:rsid w:val="00231068"/>
    <w:rsid w:val="00231F8F"/>
    <w:rsid w:val="00232181"/>
    <w:rsid w:val="00232AE5"/>
    <w:rsid w:val="00234FCD"/>
    <w:rsid w:val="00234FD9"/>
    <w:rsid w:val="00235450"/>
    <w:rsid w:val="002356F5"/>
    <w:rsid w:val="0023617F"/>
    <w:rsid w:val="00236374"/>
    <w:rsid w:val="00236F0B"/>
    <w:rsid w:val="00237E07"/>
    <w:rsid w:val="00237F8D"/>
    <w:rsid w:val="002400A1"/>
    <w:rsid w:val="00240222"/>
    <w:rsid w:val="002413C0"/>
    <w:rsid w:val="0024218B"/>
    <w:rsid w:val="002425FE"/>
    <w:rsid w:val="00242CD9"/>
    <w:rsid w:val="0024349D"/>
    <w:rsid w:val="00243967"/>
    <w:rsid w:val="002444C2"/>
    <w:rsid w:val="00244BE9"/>
    <w:rsid w:val="0024530D"/>
    <w:rsid w:val="002453CD"/>
    <w:rsid w:val="00245888"/>
    <w:rsid w:val="00245A74"/>
    <w:rsid w:val="00246A8F"/>
    <w:rsid w:val="00247154"/>
    <w:rsid w:val="0024727D"/>
    <w:rsid w:val="0024733E"/>
    <w:rsid w:val="00250912"/>
    <w:rsid w:val="00250DBA"/>
    <w:rsid w:val="00251087"/>
    <w:rsid w:val="00251294"/>
    <w:rsid w:val="00251AD5"/>
    <w:rsid w:val="002523E5"/>
    <w:rsid w:val="00253058"/>
    <w:rsid w:val="00253764"/>
    <w:rsid w:val="00254ED9"/>
    <w:rsid w:val="002550D8"/>
    <w:rsid w:val="00256078"/>
    <w:rsid w:val="00256401"/>
    <w:rsid w:val="002564FB"/>
    <w:rsid w:val="00257ED7"/>
    <w:rsid w:val="00260361"/>
    <w:rsid w:val="0026049B"/>
    <w:rsid w:val="00260AAE"/>
    <w:rsid w:val="00260EFA"/>
    <w:rsid w:val="00261377"/>
    <w:rsid w:val="00261D0C"/>
    <w:rsid w:val="00261EFF"/>
    <w:rsid w:val="00262160"/>
    <w:rsid w:val="00262814"/>
    <w:rsid w:val="002629E0"/>
    <w:rsid w:val="00262E2E"/>
    <w:rsid w:val="00263457"/>
    <w:rsid w:val="00263D59"/>
    <w:rsid w:val="00263EF4"/>
    <w:rsid w:val="00263F7F"/>
    <w:rsid w:val="002646E0"/>
    <w:rsid w:val="00264A64"/>
    <w:rsid w:val="00265FE9"/>
    <w:rsid w:val="0026773E"/>
    <w:rsid w:val="00270693"/>
    <w:rsid w:val="002723FD"/>
    <w:rsid w:val="0027256C"/>
    <w:rsid w:val="00272E01"/>
    <w:rsid w:val="00273015"/>
    <w:rsid w:val="002731A4"/>
    <w:rsid w:val="00274536"/>
    <w:rsid w:val="0027463A"/>
    <w:rsid w:val="0027487A"/>
    <w:rsid w:val="00274D0D"/>
    <w:rsid w:val="00274D8B"/>
    <w:rsid w:val="00275318"/>
    <w:rsid w:val="002766B0"/>
    <w:rsid w:val="00277572"/>
    <w:rsid w:val="00277812"/>
    <w:rsid w:val="002802A1"/>
    <w:rsid w:val="002803B8"/>
    <w:rsid w:val="002808CA"/>
    <w:rsid w:val="00280926"/>
    <w:rsid w:val="00281B0A"/>
    <w:rsid w:val="00282CDE"/>
    <w:rsid w:val="00283073"/>
    <w:rsid w:val="0028348A"/>
    <w:rsid w:val="002837E8"/>
    <w:rsid w:val="00284847"/>
    <w:rsid w:val="00284F8F"/>
    <w:rsid w:val="00285478"/>
    <w:rsid w:val="0028663C"/>
    <w:rsid w:val="002905B5"/>
    <w:rsid w:val="00293203"/>
    <w:rsid w:val="0029329A"/>
    <w:rsid w:val="00293A15"/>
    <w:rsid w:val="00294EC0"/>
    <w:rsid w:val="00295693"/>
    <w:rsid w:val="002969C0"/>
    <w:rsid w:val="002972D4"/>
    <w:rsid w:val="00297AEF"/>
    <w:rsid w:val="00297F02"/>
    <w:rsid w:val="002A0126"/>
    <w:rsid w:val="002A06E1"/>
    <w:rsid w:val="002A21E8"/>
    <w:rsid w:val="002A2B89"/>
    <w:rsid w:val="002A3220"/>
    <w:rsid w:val="002A3596"/>
    <w:rsid w:val="002A3AA9"/>
    <w:rsid w:val="002A4078"/>
    <w:rsid w:val="002A5AA2"/>
    <w:rsid w:val="002A5C85"/>
    <w:rsid w:val="002A5C87"/>
    <w:rsid w:val="002A5D50"/>
    <w:rsid w:val="002A5DE5"/>
    <w:rsid w:val="002A7542"/>
    <w:rsid w:val="002A7BE8"/>
    <w:rsid w:val="002B09C6"/>
    <w:rsid w:val="002B0F52"/>
    <w:rsid w:val="002B1071"/>
    <w:rsid w:val="002B129B"/>
    <w:rsid w:val="002B27C4"/>
    <w:rsid w:val="002B29E2"/>
    <w:rsid w:val="002B3708"/>
    <w:rsid w:val="002B5625"/>
    <w:rsid w:val="002B5F9C"/>
    <w:rsid w:val="002B6147"/>
    <w:rsid w:val="002B7C88"/>
    <w:rsid w:val="002C0062"/>
    <w:rsid w:val="002C0170"/>
    <w:rsid w:val="002C0E18"/>
    <w:rsid w:val="002C14EF"/>
    <w:rsid w:val="002C2427"/>
    <w:rsid w:val="002C2773"/>
    <w:rsid w:val="002C2A4F"/>
    <w:rsid w:val="002C3502"/>
    <w:rsid w:val="002C397B"/>
    <w:rsid w:val="002C3B93"/>
    <w:rsid w:val="002C3BA0"/>
    <w:rsid w:val="002C436C"/>
    <w:rsid w:val="002C47C4"/>
    <w:rsid w:val="002C6E41"/>
    <w:rsid w:val="002C748E"/>
    <w:rsid w:val="002D0DDF"/>
    <w:rsid w:val="002D17A5"/>
    <w:rsid w:val="002D1AC7"/>
    <w:rsid w:val="002D276E"/>
    <w:rsid w:val="002D347E"/>
    <w:rsid w:val="002D35CB"/>
    <w:rsid w:val="002D3D17"/>
    <w:rsid w:val="002D42A0"/>
    <w:rsid w:val="002D440D"/>
    <w:rsid w:val="002D4C8C"/>
    <w:rsid w:val="002D545A"/>
    <w:rsid w:val="002D59E5"/>
    <w:rsid w:val="002D5C23"/>
    <w:rsid w:val="002D5CBC"/>
    <w:rsid w:val="002D5DC3"/>
    <w:rsid w:val="002D6154"/>
    <w:rsid w:val="002D6405"/>
    <w:rsid w:val="002D6B4D"/>
    <w:rsid w:val="002D7AB4"/>
    <w:rsid w:val="002D7EF4"/>
    <w:rsid w:val="002E0A56"/>
    <w:rsid w:val="002E1388"/>
    <w:rsid w:val="002E1415"/>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1CF8"/>
    <w:rsid w:val="002F1FB6"/>
    <w:rsid w:val="002F2E36"/>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D34"/>
    <w:rsid w:val="00300EA5"/>
    <w:rsid w:val="0030160D"/>
    <w:rsid w:val="003022B8"/>
    <w:rsid w:val="003023C4"/>
    <w:rsid w:val="003026B9"/>
    <w:rsid w:val="00302C73"/>
    <w:rsid w:val="003035B2"/>
    <w:rsid w:val="00303733"/>
    <w:rsid w:val="00303A2F"/>
    <w:rsid w:val="00303C94"/>
    <w:rsid w:val="00304BF7"/>
    <w:rsid w:val="00304FE8"/>
    <w:rsid w:val="0030506D"/>
    <w:rsid w:val="00305126"/>
    <w:rsid w:val="00305FA4"/>
    <w:rsid w:val="003065D6"/>
    <w:rsid w:val="00307C42"/>
    <w:rsid w:val="0031087C"/>
    <w:rsid w:val="00310992"/>
    <w:rsid w:val="00311387"/>
    <w:rsid w:val="00311EEA"/>
    <w:rsid w:val="0031351E"/>
    <w:rsid w:val="00313537"/>
    <w:rsid w:val="003135CD"/>
    <w:rsid w:val="00313625"/>
    <w:rsid w:val="00313C59"/>
    <w:rsid w:val="00314373"/>
    <w:rsid w:val="00314425"/>
    <w:rsid w:val="003146EE"/>
    <w:rsid w:val="003153EA"/>
    <w:rsid w:val="00316745"/>
    <w:rsid w:val="00320015"/>
    <w:rsid w:val="00320263"/>
    <w:rsid w:val="0032080E"/>
    <w:rsid w:val="003209C7"/>
    <w:rsid w:val="00320AB2"/>
    <w:rsid w:val="003225D5"/>
    <w:rsid w:val="0032271E"/>
    <w:rsid w:val="003229A0"/>
    <w:rsid w:val="0032378E"/>
    <w:rsid w:val="00323C12"/>
    <w:rsid w:val="00323D04"/>
    <w:rsid w:val="003243CB"/>
    <w:rsid w:val="003245FB"/>
    <w:rsid w:val="003250E2"/>
    <w:rsid w:val="0032569E"/>
    <w:rsid w:val="003264B9"/>
    <w:rsid w:val="00326522"/>
    <w:rsid w:val="00326943"/>
    <w:rsid w:val="003270BF"/>
    <w:rsid w:val="00327A0C"/>
    <w:rsid w:val="003301A3"/>
    <w:rsid w:val="0033063D"/>
    <w:rsid w:val="00332129"/>
    <w:rsid w:val="0033322F"/>
    <w:rsid w:val="00334912"/>
    <w:rsid w:val="00336FF2"/>
    <w:rsid w:val="003376B5"/>
    <w:rsid w:val="003376DF"/>
    <w:rsid w:val="003402DF"/>
    <w:rsid w:val="00340AC2"/>
    <w:rsid w:val="00340D16"/>
    <w:rsid w:val="00340DBC"/>
    <w:rsid w:val="00340EB5"/>
    <w:rsid w:val="00340EFB"/>
    <w:rsid w:val="00341361"/>
    <w:rsid w:val="003435A3"/>
    <w:rsid w:val="00343D26"/>
    <w:rsid w:val="00343D77"/>
    <w:rsid w:val="00345308"/>
    <w:rsid w:val="003455FE"/>
    <w:rsid w:val="00345652"/>
    <w:rsid w:val="003459F0"/>
    <w:rsid w:val="00345B4F"/>
    <w:rsid w:val="00346216"/>
    <w:rsid w:val="0034672E"/>
    <w:rsid w:val="0034743F"/>
    <w:rsid w:val="0034782B"/>
    <w:rsid w:val="00347C46"/>
    <w:rsid w:val="00350DDB"/>
    <w:rsid w:val="00351A7F"/>
    <w:rsid w:val="003521B4"/>
    <w:rsid w:val="003525C0"/>
    <w:rsid w:val="00352CFB"/>
    <w:rsid w:val="00352F20"/>
    <w:rsid w:val="003530B9"/>
    <w:rsid w:val="00353798"/>
    <w:rsid w:val="003541D1"/>
    <w:rsid w:val="003548D7"/>
    <w:rsid w:val="003548F0"/>
    <w:rsid w:val="003549D1"/>
    <w:rsid w:val="00354D94"/>
    <w:rsid w:val="003550C7"/>
    <w:rsid w:val="003566E9"/>
    <w:rsid w:val="00357214"/>
    <w:rsid w:val="0035791D"/>
    <w:rsid w:val="00357DB9"/>
    <w:rsid w:val="00357FA8"/>
    <w:rsid w:val="00360CBD"/>
    <w:rsid w:val="00361072"/>
    <w:rsid w:val="00362461"/>
    <w:rsid w:val="003628AA"/>
    <w:rsid w:val="00362D37"/>
    <w:rsid w:val="00362ED3"/>
    <w:rsid w:val="00363C87"/>
    <w:rsid w:val="00363DA3"/>
    <w:rsid w:val="00364D63"/>
    <w:rsid w:val="00365105"/>
    <w:rsid w:val="0036579C"/>
    <w:rsid w:val="003657E7"/>
    <w:rsid w:val="00365B1E"/>
    <w:rsid w:val="00365E78"/>
    <w:rsid w:val="00366857"/>
    <w:rsid w:val="00370449"/>
    <w:rsid w:val="00370CFC"/>
    <w:rsid w:val="00370EE0"/>
    <w:rsid w:val="003713B0"/>
    <w:rsid w:val="00371B3D"/>
    <w:rsid w:val="0037268C"/>
    <w:rsid w:val="00372F44"/>
    <w:rsid w:val="00374783"/>
    <w:rsid w:val="003750B5"/>
    <w:rsid w:val="00375135"/>
    <w:rsid w:val="00377224"/>
    <w:rsid w:val="003777B8"/>
    <w:rsid w:val="00377BAD"/>
    <w:rsid w:val="00380821"/>
    <w:rsid w:val="00381ACB"/>
    <w:rsid w:val="00381DCB"/>
    <w:rsid w:val="00381F87"/>
    <w:rsid w:val="00383FF3"/>
    <w:rsid w:val="00384485"/>
    <w:rsid w:val="00384833"/>
    <w:rsid w:val="00384B1C"/>
    <w:rsid w:val="00384EA5"/>
    <w:rsid w:val="0038505C"/>
    <w:rsid w:val="00385BBE"/>
    <w:rsid w:val="00385D5C"/>
    <w:rsid w:val="00386843"/>
    <w:rsid w:val="00386C4E"/>
    <w:rsid w:val="00386E5D"/>
    <w:rsid w:val="00387D87"/>
    <w:rsid w:val="00387E97"/>
    <w:rsid w:val="003902C1"/>
    <w:rsid w:val="003905A8"/>
    <w:rsid w:val="00390919"/>
    <w:rsid w:val="00390A7C"/>
    <w:rsid w:val="00390A91"/>
    <w:rsid w:val="00390AFB"/>
    <w:rsid w:val="0039142B"/>
    <w:rsid w:val="00391A35"/>
    <w:rsid w:val="00391E07"/>
    <w:rsid w:val="00393110"/>
    <w:rsid w:val="00393DD4"/>
    <w:rsid w:val="003946AC"/>
    <w:rsid w:val="00394A53"/>
    <w:rsid w:val="00395338"/>
    <w:rsid w:val="00395600"/>
    <w:rsid w:val="00397572"/>
    <w:rsid w:val="003A074E"/>
    <w:rsid w:val="003A0BC7"/>
    <w:rsid w:val="003A1604"/>
    <w:rsid w:val="003A1CFF"/>
    <w:rsid w:val="003A2BB7"/>
    <w:rsid w:val="003A312D"/>
    <w:rsid w:val="003A4AB4"/>
    <w:rsid w:val="003A4C61"/>
    <w:rsid w:val="003A4D00"/>
    <w:rsid w:val="003A546F"/>
    <w:rsid w:val="003A565B"/>
    <w:rsid w:val="003A5C29"/>
    <w:rsid w:val="003A5DEB"/>
    <w:rsid w:val="003A61D4"/>
    <w:rsid w:val="003A6240"/>
    <w:rsid w:val="003A648B"/>
    <w:rsid w:val="003A6A14"/>
    <w:rsid w:val="003A72E4"/>
    <w:rsid w:val="003A7535"/>
    <w:rsid w:val="003A7616"/>
    <w:rsid w:val="003A799B"/>
    <w:rsid w:val="003A7D18"/>
    <w:rsid w:val="003A7ECD"/>
    <w:rsid w:val="003B00C2"/>
    <w:rsid w:val="003B022F"/>
    <w:rsid w:val="003B1444"/>
    <w:rsid w:val="003B1AF6"/>
    <w:rsid w:val="003B1B75"/>
    <w:rsid w:val="003B253C"/>
    <w:rsid w:val="003B2FBC"/>
    <w:rsid w:val="003B32CC"/>
    <w:rsid w:val="003B35CB"/>
    <w:rsid w:val="003B412F"/>
    <w:rsid w:val="003B4DA2"/>
    <w:rsid w:val="003B4DDF"/>
    <w:rsid w:val="003B545C"/>
    <w:rsid w:val="003B57B7"/>
    <w:rsid w:val="003B5E19"/>
    <w:rsid w:val="003B60C8"/>
    <w:rsid w:val="003B64D8"/>
    <w:rsid w:val="003B78AC"/>
    <w:rsid w:val="003C08BD"/>
    <w:rsid w:val="003C1A62"/>
    <w:rsid w:val="003C1B40"/>
    <w:rsid w:val="003C2F43"/>
    <w:rsid w:val="003C318F"/>
    <w:rsid w:val="003C32FC"/>
    <w:rsid w:val="003C4EBE"/>
    <w:rsid w:val="003C558C"/>
    <w:rsid w:val="003C55D3"/>
    <w:rsid w:val="003C66C3"/>
    <w:rsid w:val="003C6F87"/>
    <w:rsid w:val="003C75BD"/>
    <w:rsid w:val="003C7E0E"/>
    <w:rsid w:val="003D0780"/>
    <w:rsid w:val="003D0802"/>
    <w:rsid w:val="003D098A"/>
    <w:rsid w:val="003D0B7A"/>
    <w:rsid w:val="003D17E4"/>
    <w:rsid w:val="003D1A6C"/>
    <w:rsid w:val="003D1AEC"/>
    <w:rsid w:val="003D23D5"/>
    <w:rsid w:val="003D33C7"/>
    <w:rsid w:val="003D3CD1"/>
    <w:rsid w:val="003D3F38"/>
    <w:rsid w:val="003D489A"/>
    <w:rsid w:val="003D4EA6"/>
    <w:rsid w:val="003D5944"/>
    <w:rsid w:val="003D5D05"/>
    <w:rsid w:val="003D5ECA"/>
    <w:rsid w:val="003D5FB6"/>
    <w:rsid w:val="003D6CBF"/>
    <w:rsid w:val="003D70C4"/>
    <w:rsid w:val="003D72CC"/>
    <w:rsid w:val="003D783F"/>
    <w:rsid w:val="003D7D05"/>
    <w:rsid w:val="003E03C3"/>
    <w:rsid w:val="003E067B"/>
    <w:rsid w:val="003E11A4"/>
    <w:rsid w:val="003E1AD1"/>
    <w:rsid w:val="003E236D"/>
    <w:rsid w:val="003E2E8C"/>
    <w:rsid w:val="003E3009"/>
    <w:rsid w:val="003E308A"/>
    <w:rsid w:val="003E367A"/>
    <w:rsid w:val="003E37A4"/>
    <w:rsid w:val="003E4136"/>
    <w:rsid w:val="003E5C3F"/>
    <w:rsid w:val="003E6373"/>
    <w:rsid w:val="003E6895"/>
    <w:rsid w:val="003E70D1"/>
    <w:rsid w:val="003E7AFC"/>
    <w:rsid w:val="003E7C04"/>
    <w:rsid w:val="003E7FDA"/>
    <w:rsid w:val="003F01F7"/>
    <w:rsid w:val="003F0570"/>
    <w:rsid w:val="003F0D15"/>
    <w:rsid w:val="003F1283"/>
    <w:rsid w:val="003F13F6"/>
    <w:rsid w:val="003F174E"/>
    <w:rsid w:val="003F1F13"/>
    <w:rsid w:val="003F25D7"/>
    <w:rsid w:val="003F2DAF"/>
    <w:rsid w:val="003F2ED2"/>
    <w:rsid w:val="003F3509"/>
    <w:rsid w:val="003F3772"/>
    <w:rsid w:val="003F3ED2"/>
    <w:rsid w:val="003F4627"/>
    <w:rsid w:val="003F4ABA"/>
    <w:rsid w:val="003F53B6"/>
    <w:rsid w:val="003F6169"/>
    <w:rsid w:val="003F6645"/>
    <w:rsid w:val="003F72D7"/>
    <w:rsid w:val="003F77DA"/>
    <w:rsid w:val="003F7B2D"/>
    <w:rsid w:val="003F7C7A"/>
    <w:rsid w:val="003F7E67"/>
    <w:rsid w:val="003F7F69"/>
    <w:rsid w:val="00400D40"/>
    <w:rsid w:val="004014C9"/>
    <w:rsid w:val="00401DDB"/>
    <w:rsid w:val="00402B5F"/>
    <w:rsid w:val="00402C3D"/>
    <w:rsid w:val="00403EDA"/>
    <w:rsid w:val="00403F44"/>
    <w:rsid w:val="0040409C"/>
    <w:rsid w:val="00404A45"/>
    <w:rsid w:val="004058B8"/>
    <w:rsid w:val="00405B3F"/>
    <w:rsid w:val="00406113"/>
    <w:rsid w:val="004063C4"/>
    <w:rsid w:val="004072FC"/>
    <w:rsid w:val="004074CB"/>
    <w:rsid w:val="00407D7D"/>
    <w:rsid w:val="00407ED3"/>
    <w:rsid w:val="00410B00"/>
    <w:rsid w:val="00410B24"/>
    <w:rsid w:val="00410E12"/>
    <w:rsid w:val="00410E3B"/>
    <w:rsid w:val="004115C8"/>
    <w:rsid w:val="00413BE9"/>
    <w:rsid w:val="00413E03"/>
    <w:rsid w:val="004147E1"/>
    <w:rsid w:val="00414E73"/>
    <w:rsid w:val="00415367"/>
    <w:rsid w:val="004161C2"/>
    <w:rsid w:val="004170A6"/>
    <w:rsid w:val="004176BC"/>
    <w:rsid w:val="00420584"/>
    <w:rsid w:val="00421048"/>
    <w:rsid w:val="00422A93"/>
    <w:rsid w:val="00422BB1"/>
    <w:rsid w:val="00423326"/>
    <w:rsid w:val="00424D21"/>
    <w:rsid w:val="00424F3C"/>
    <w:rsid w:val="00425C24"/>
    <w:rsid w:val="004273BF"/>
    <w:rsid w:val="004311FF"/>
    <w:rsid w:val="004314B6"/>
    <w:rsid w:val="00432447"/>
    <w:rsid w:val="00432D97"/>
    <w:rsid w:val="00432F21"/>
    <w:rsid w:val="00435431"/>
    <w:rsid w:val="0043544F"/>
    <w:rsid w:val="004362C0"/>
    <w:rsid w:val="00436425"/>
    <w:rsid w:val="004364E6"/>
    <w:rsid w:val="00436B27"/>
    <w:rsid w:val="0043712E"/>
    <w:rsid w:val="00437C96"/>
    <w:rsid w:val="004400BC"/>
    <w:rsid w:val="004409CC"/>
    <w:rsid w:val="004412E8"/>
    <w:rsid w:val="00441947"/>
    <w:rsid w:val="00443331"/>
    <w:rsid w:val="00443561"/>
    <w:rsid w:val="00443591"/>
    <w:rsid w:val="0044501E"/>
    <w:rsid w:val="00445587"/>
    <w:rsid w:val="00445B35"/>
    <w:rsid w:val="00445DFA"/>
    <w:rsid w:val="004462BD"/>
    <w:rsid w:val="004462FA"/>
    <w:rsid w:val="00446828"/>
    <w:rsid w:val="0044692E"/>
    <w:rsid w:val="0044732A"/>
    <w:rsid w:val="00450BC1"/>
    <w:rsid w:val="00451103"/>
    <w:rsid w:val="00451F2C"/>
    <w:rsid w:val="0045203F"/>
    <w:rsid w:val="004520DB"/>
    <w:rsid w:val="00452550"/>
    <w:rsid w:val="004525A5"/>
    <w:rsid w:val="00453228"/>
    <w:rsid w:val="00453DB2"/>
    <w:rsid w:val="00453F45"/>
    <w:rsid w:val="00454D4D"/>
    <w:rsid w:val="00454DFB"/>
    <w:rsid w:val="00454F1D"/>
    <w:rsid w:val="00455817"/>
    <w:rsid w:val="00455AE4"/>
    <w:rsid w:val="00457034"/>
    <w:rsid w:val="00457BAA"/>
    <w:rsid w:val="00460981"/>
    <w:rsid w:val="004609DE"/>
    <w:rsid w:val="00461DC0"/>
    <w:rsid w:val="004628F0"/>
    <w:rsid w:val="00462D54"/>
    <w:rsid w:val="00462D63"/>
    <w:rsid w:val="00463886"/>
    <w:rsid w:val="004643B9"/>
    <w:rsid w:val="00464F36"/>
    <w:rsid w:val="0046568B"/>
    <w:rsid w:val="00466121"/>
    <w:rsid w:val="00466912"/>
    <w:rsid w:val="00466A77"/>
    <w:rsid w:val="0046756D"/>
    <w:rsid w:val="00467686"/>
    <w:rsid w:val="00467792"/>
    <w:rsid w:val="004679AB"/>
    <w:rsid w:val="00467DD3"/>
    <w:rsid w:val="00471665"/>
    <w:rsid w:val="0047195F"/>
    <w:rsid w:val="00471A9E"/>
    <w:rsid w:val="00471B86"/>
    <w:rsid w:val="00472227"/>
    <w:rsid w:val="00472E9C"/>
    <w:rsid w:val="004732E6"/>
    <w:rsid w:val="00474927"/>
    <w:rsid w:val="00474FBE"/>
    <w:rsid w:val="0047540F"/>
    <w:rsid w:val="00475612"/>
    <w:rsid w:val="00476EDD"/>
    <w:rsid w:val="004772FF"/>
    <w:rsid w:val="004775A6"/>
    <w:rsid w:val="00477DE8"/>
    <w:rsid w:val="0048048A"/>
    <w:rsid w:val="0048061E"/>
    <w:rsid w:val="00481705"/>
    <w:rsid w:val="00481966"/>
    <w:rsid w:val="00482254"/>
    <w:rsid w:val="004823C6"/>
    <w:rsid w:val="00482F51"/>
    <w:rsid w:val="00483166"/>
    <w:rsid w:val="0048365C"/>
    <w:rsid w:val="004837B4"/>
    <w:rsid w:val="00484915"/>
    <w:rsid w:val="004853D8"/>
    <w:rsid w:val="0048580E"/>
    <w:rsid w:val="0048589F"/>
    <w:rsid w:val="00486552"/>
    <w:rsid w:val="00486AEA"/>
    <w:rsid w:val="00486EEE"/>
    <w:rsid w:val="0048735B"/>
    <w:rsid w:val="004875E6"/>
    <w:rsid w:val="00487AD4"/>
    <w:rsid w:val="00490275"/>
    <w:rsid w:val="00490628"/>
    <w:rsid w:val="0049071D"/>
    <w:rsid w:val="0049103F"/>
    <w:rsid w:val="00491532"/>
    <w:rsid w:val="0049239D"/>
    <w:rsid w:val="0049257C"/>
    <w:rsid w:val="004925C9"/>
    <w:rsid w:val="0049295C"/>
    <w:rsid w:val="0049304B"/>
    <w:rsid w:val="00493577"/>
    <w:rsid w:val="00494307"/>
    <w:rsid w:val="00494B3B"/>
    <w:rsid w:val="0049565D"/>
    <w:rsid w:val="00495665"/>
    <w:rsid w:val="004963FE"/>
    <w:rsid w:val="004A020A"/>
    <w:rsid w:val="004A036F"/>
    <w:rsid w:val="004A04FE"/>
    <w:rsid w:val="004A0859"/>
    <w:rsid w:val="004A0C71"/>
    <w:rsid w:val="004A0CF6"/>
    <w:rsid w:val="004A18E6"/>
    <w:rsid w:val="004A18FA"/>
    <w:rsid w:val="004A1962"/>
    <w:rsid w:val="004A1B4E"/>
    <w:rsid w:val="004A1E3B"/>
    <w:rsid w:val="004A20DA"/>
    <w:rsid w:val="004A2509"/>
    <w:rsid w:val="004A294E"/>
    <w:rsid w:val="004A3331"/>
    <w:rsid w:val="004A3391"/>
    <w:rsid w:val="004A3C39"/>
    <w:rsid w:val="004A3FAE"/>
    <w:rsid w:val="004A4225"/>
    <w:rsid w:val="004A4291"/>
    <w:rsid w:val="004A4D02"/>
    <w:rsid w:val="004A4F2D"/>
    <w:rsid w:val="004A5AFA"/>
    <w:rsid w:val="004A723C"/>
    <w:rsid w:val="004B17CE"/>
    <w:rsid w:val="004B1903"/>
    <w:rsid w:val="004B1A9C"/>
    <w:rsid w:val="004B1B15"/>
    <w:rsid w:val="004B1CB3"/>
    <w:rsid w:val="004B2241"/>
    <w:rsid w:val="004B27D6"/>
    <w:rsid w:val="004B2EBB"/>
    <w:rsid w:val="004B349C"/>
    <w:rsid w:val="004B36DF"/>
    <w:rsid w:val="004B3C81"/>
    <w:rsid w:val="004B3CFA"/>
    <w:rsid w:val="004B47F4"/>
    <w:rsid w:val="004B50CC"/>
    <w:rsid w:val="004B5825"/>
    <w:rsid w:val="004B636F"/>
    <w:rsid w:val="004B6415"/>
    <w:rsid w:val="004B64FA"/>
    <w:rsid w:val="004B6AC9"/>
    <w:rsid w:val="004B7C46"/>
    <w:rsid w:val="004B7F9F"/>
    <w:rsid w:val="004C06CE"/>
    <w:rsid w:val="004C099B"/>
    <w:rsid w:val="004C0DB4"/>
    <w:rsid w:val="004C33E8"/>
    <w:rsid w:val="004C4A96"/>
    <w:rsid w:val="004C4C62"/>
    <w:rsid w:val="004C4E5F"/>
    <w:rsid w:val="004C5875"/>
    <w:rsid w:val="004C5F28"/>
    <w:rsid w:val="004C6997"/>
    <w:rsid w:val="004C6CDB"/>
    <w:rsid w:val="004C6FAF"/>
    <w:rsid w:val="004C7C36"/>
    <w:rsid w:val="004C7D16"/>
    <w:rsid w:val="004D0132"/>
    <w:rsid w:val="004D080F"/>
    <w:rsid w:val="004D185E"/>
    <w:rsid w:val="004D4B61"/>
    <w:rsid w:val="004D606D"/>
    <w:rsid w:val="004D6B20"/>
    <w:rsid w:val="004D6C2F"/>
    <w:rsid w:val="004D71FE"/>
    <w:rsid w:val="004D7A80"/>
    <w:rsid w:val="004D7CA3"/>
    <w:rsid w:val="004D7EBD"/>
    <w:rsid w:val="004E0388"/>
    <w:rsid w:val="004E0894"/>
    <w:rsid w:val="004E135A"/>
    <w:rsid w:val="004E1C50"/>
    <w:rsid w:val="004E20EE"/>
    <w:rsid w:val="004E251F"/>
    <w:rsid w:val="004E2B23"/>
    <w:rsid w:val="004E3390"/>
    <w:rsid w:val="004E416F"/>
    <w:rsid w:val="004E424D"/>
    <w:rsid w:val="004E4D96"/>
    <w:rsid w:val="004E5F45"/>
    <w:rsid w:val="004E64DC"/>
    <w:rsid w:val="004E6F86"/>
    <w:rsid w:val="004E706A"/>
    <w:rsid w:val="004F0671"/>
    <w:rsid w:val="004F0C01"/>
    <w:rsid w:val="004F126D"/>
    <w:rsid w:val="004F15F3"/>
    <w:rsid w:val="004F24B5"/>
    <w:rsid w:val="004F2B02"/>
    <w:rsid w:val="004F2D1B"/>
    <w:rsid w:val="004F2E11"/>
    <w:rsid w:val="004F305B"/>
    <w:rsid w:val="004F31BD"/>
    <w:rsid w:val="004F3B34"/>
    <w:rsid w:val="004F3E23"/>
    <w:rsid w:val="004F4767"/>
    <w:rsid w:val="004F498A"/>
    <w:rsid w:val="004F4C20"/>
    <w:rsid w:val="004F51B2"/>
    <w:rsid w:val="004F59C4"/>
    <w:rsid w:val="004F5D65"/>
    <w:rsid w:val="004F70F8"/>
    <w:rsid w:val="004F7230"/>
    <w:rsid w:val="004F77EE"/>
    <w:rsid w:val="004F7D7B"/>
    <w:rsid w:val="00501659"/>
    <w:rsid w:val="00501733"/>
    <w:rsid w:val="00501B75"/>
    <w:rsid w:val="00501C39"/>
    <w:rsid w:val="00502203"/>
    <w:rsid w:val="005027B8"/>
    <w:rsid w:val="00503D5D"/>
    <w:rsid w:val="00503F42"/>
    <w:rsid w:val="005054FD"/>
    <w:rsid w:val="00505A66"/>
    <w:rsid w:val="00506576"/>
    <w:rsid w:val="00506710"/>
    <w:rsid w:val="00506E86"/>
    <w:rsid w:val="0050702C"/>
    <w:rsid w:val="0050723E"/>
    <w:rsid w:val="00507403"/>
    <w:rsid w:val="00507430"/>
    <w:rsid w:val="00507F79"/>
    <w:rsid w:val="005101E5"/>
    <w:rsid w:val="005102AE"/>
    <w:rsid w:val="005110FB"/>
    <w:rsid w:val="00511156"/>
    <w:rsid w:val="00511D75"/>
    <w:rsid w:val="00512232"/>
    <w:rsid w:val="00513B7E"/>
    <w:rsid w:val="00514597"/>
    <w:rsid w:val="005150AB"/>
    <w:rsid w:val="005172E2"/>
    <w:rsid w:val="005175B3"/>
    <w:rsid w:val="0051769B"/>
    <w:rsid w:val="0052052F"/>
    <w:rsid w:val="00520571"/>
    <w:rsid w:val="00522C8A"/>
    <w:rsid w:val="00523AF8"/>
    <w:rsid w:val="00523F57"/>
    <w:rsid w:val="00523F8F"/>
    <w:rsid w:val="005248F8"/>
    <w:rsid w:val="00524E1E"/>
    <w:rsid w:val="005250F7"/>
    <w:rsid w:val="0052565F"/>
    <w:rsid w:val="00525C8D"/>
    <w:rsid w:val="00526E9C"/>
    <w:rsid w:val="005278F8"/>
    <w:rsid w:val="005300ED"/>
    <w:rsid w:val="00531706"/>
    <w:rsid w:val="00532121"/>
    <w:rsid w:val="00532429"/>
    <w:rsid w:val="00532850"/>
    <w:rsid w:val="005328A9"/>
    <w:rsid w:val="00532C7A"/>
    <w:rsid w:val="005332FA"/>
    <w:rsid w:val="005335ED"/>
    <w:rsid w:val="00534668"/>
    <w:rsid w:val="005346BF"/>
    <w:rsid w:val="0053472D"/>
    <w:rsid w:val="00534A62"/>
    <w:rsid w:val="00535189"/>
    <w:rsid w:val="005356B6"/>
    <w:rsid w:val="00535D75"/>
    <w:rsid w:val="00535FF9"/>
    <w:rsid w:val="0053609B"/>
    <w:rsid w:val="0053655A"/>
    <w:rsid w:val="00536C74"/>
    <w:rsid w:val="00536ECF"/>
    <w:rsid w:val="0053740F"/>
    <w:rsid w:val="00540D9E"/>
    <w:rsid w:val="0054171A"/>
    <w:rsid w:val="005420CF"/>
    <w:rsid w:val="00542C2A"/>
    <w:rsid w:val="00543122"/>
    <w:rsid w:val="0054337D"/>
    <w:rsid w:val="005438E3"/>
    <w:rsid w:val="00543CAC"/>
    <w:rsid w:val="005440E4"/>
    <w:rsid w:val="00545BEC"/>
    <w:rsid w:val="005463C9"/>
    <w:rsid w:val="005468A5"/>
    <w:rsid w:val="00546A1D"/>
    <w:rsid w:val="00546C8E"/>
    <w:rsid w:val="00546CB9"/>
    <w:rsid w:val="00546E83"/>
    <w:rsid w:val="005479DE"/>
    <w:rsid w:val="00550292"/>
    <w:rsid w:val="00551309"/>
    <w:rsid w:val="005517A4"/>
    <w:rsid w:val="00552426"/>
    <w:rsid w:val="00552F1A"/>
    <w:rsid w:val="0055363B"/>
    <w:rsid w:val="00553693"/>
    <w:rsid w:val="00553934"/>
    <w:rsid w:val="00553B71"/>
    <w:rsid w:val="00554C4D"/>
    <w:rsid w:val="00555A24"/>
    <w:rsid w:val="00556A43"/>
    <w:rsid w:val="0056087F"/>
    <w:rsid w:val="005610E6"/>
    <w:rsid w:val="0056121A"/>
    <w:rsid w:val="005614F5"/>
    <w:rsid w:val="00562195"/>
    <w:rsid w:val="00562575"/>
    <w:rsid w:val="0056261D"/>
    <w:rsid w:val="00562918"/>
    <w:rsid w:val="00563269"/>
    <w:rsid w:val="00563854"/>
    <w:rsid w:val="0056400F"/>
    <w:rsid w:val="00564643"/>
    <w:rsid w:val="00564772"/>
    <w:rsid w:val="00566518"/>
    <w:rsid w:val="005669DA"/>
    <w:rsid w:val="00567613"/>
    <w:rsid w:val="00570BB7"/>
    <w:rsid w:val="00571640"/>
    <w:rsid w:val="0057189A"/>
    <w:rsid w:val="00571902"/>
    <w:rsid w:val="0057194C"/>
    <w:rsid w:val="00571CD1"/>
    <w:rsid w:val="005720AF"/>
    <w:rsid w:val="00572283"/>
    <w:rsid w:val="0057278A"/>
    <w:rsid w:val="00572F6B"/>
    <w:rsid w:val="00573604"/>
    <w:rsid w:val="00573DE2"/>
    <w:rsid w:val="005741B7"/>
    <w:rsid w:val="00574949"/>
    <w:rsid w:val="00574AD1"/>
    <w:rsid w:val="005767F1"/>
    <w:rsid w:val="00576A92"/>
    <w:rsid w:val="00577417"/>
    <w:rsid w:val="005779BD"/>
    <w:rsid w:val="00580009"/>
    <w:rsid w:val="00580850"/>
    <w:rsid w:val="00580912"/>
    <w:rsid w:val="00580D6B"/>
    <w:rsid w:val="00580F08"/>
    <w:rsid w:val="00580F14"/>
    <w:rsid w:val="005812AE"/>
    <w:rsid w:val="005813F0"/>
    <w:rsid w:val="0058144C"/>
    <w:rsid w:val="0058159E"/>
    <w:rsid w:val="00582234"/>
    <w:rsid w:val="005824FB"/>
    <w:rsid w:val="00582686"/>
    <w:rsid w:val="005829C4"/>
    <w:rsid w:val="00582D45"/>
    <w:rsid w:val="005860BC"/>
    <w:rsid w:val="00587129"/>
    <w:rsid w:val="005879CE"/>
    <w:rsid w:val="00590B24"/>
    <w:rsid w:val="00590B6C"/>
    <w:rsid w:val="00590E74"/>
    <w:rsid w:val="00591392"/>
    <w:rsid w:val="00591429"/>
    <w:rsid w:val="005915E6"/>
    <w:rsid w:val="00591841"/>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24"/>
    <w:rsid w:val="00597DBB"/>
    <w:rsid w:val="005A063B"/>
    <w:rsid w:val="005A118A"/>
    <w:rsid w:val="005A1897"/>
    <w:rsid w:val="005A3B97"/>
    <w:rsid w:val="005A41B4"/>
    <w:rsid w:val="005A44D0"/>
    <w:rsid w:val="005A45EC"/>
    <w:rsid w:val="005A4A89"/>
    <w:rsid w:val="005A55F6"/>
    <w:rsid w:val="005A57D4"/>
    <w:rsid w:val="005A5C31"/>
    <w:rsid w:val="005A5DB4"/>
    <w:rsid w:val="005A600A"/>
    <w:rsid w:val="005A61A9"/>
    <w:rsid w:val="005A65F9"/>
    <w:rsid w:val="005A74D9"/>
    <w:rsid w:val="005A7E88"/>
    <w:rsid w:val="005B01F4"/>
    <w:rsid w:val="005B05BE"/>
    <w:rsid w:val="005B07C7"/>
    <w:rsid w:val="005B0E7B"/>
    <w:rsid w:val="005B1B4F"/>
    <w:rsid w:val="005B2564"/>
    <w:rsid w:val="005B2E53"/>
    <w:rsid w:val="005B2F26"/>
    <w:rsid w:val="005B389B"/>
    <w:rsid w:val="005B4B88"/>
    <w:rsid w:val="005B4C25"/>
    <w:rsid w:val="005B4CF6"/>
    <w:rsid w:val="005B52D8"/>
    <w:rsid w:val="005B57E9"/>
    <w:rsid w:val="005B5D24"/>
    <w:rsid w:val="005B5DAD"/>
    <w:rsid w:val="005B5E4F"/>
    <w:rsid w:val="005B659A"/>
    <w:rsid w:val="005B65CA"/>
    <w:rsid w:val="005B66EE"/>
    <w:rsid w:val="005B6D04"/>
    <w:rsid w:val="005B79C6"/>
    <w:rsid w:val="005C04C0"/>
    <w:rsid w:val="005C0912"/>
    <w:rsid w:val="005C1B46"/>
    <w:rsid w:val="005C1ECC"/>
    <w:rsid w:val="005C1F7E"/>
    <w:rsid w:val="005C2057"/>
    <w:rsid w:val="005C20A0"/>
    <w:rsid w:val="005C2EF2"/>
    <w:rsid w:val="005C3AE2"/>
    <w:rsid w:val="005C5258"/>
    <w:rsid w:val="005C57F7"/>
    <w:rsid w:val="005C5E5D"/>
    <w:rsid w:val="005C76FD"/>
    <w:rsid w:val="005C7A6D"/>
    <w:rsid w:val="005C7DC3"/>
    <w:rsid w:val="005D0DAF"/>
    <w:rsid w:val="005D0E2B"/>
    <w:rsid w:val="005D14A4"/>
    <w:rsid w:val="005D1D83"/>
    <w:rsid w:val="005D2614"/>
    <w:rsid w:val="005D2E2B"/>
    <w:rsid w:val="005D3D10"/>
    <w:rsid w:val="005D6CC2"/>
    <w:rsid w:val="005D6E2B"/>
    <w:rsid w:val="005D71BB"/>
    <w:rsid w:val="005E07F3"/>
    <w:rsid w:val="005E0823"/>
    <w:rsid w:val="005E1008"/>
    <w:rsid w:val="005E11E2"/>
    <w:rsid w:val="005E170E"/>
    <w:rsid w:val="005E1DDB"/>
    <w:rsid w:val="005E1F3F"/>
    <w:rsid w:val="005E1FF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F043C"/>
    <w:rsid w:val="005F0593"/>
    <w:rsid w:val="005F1BE8"/>
    <w:rsid w:val="005F1C1F"/>
    <w:rsid w:val="005F2ABB"/>
    <w:rsid w:val="005F3375"/>
    <w:rsid w:val="005F354A"/>
    <w:rsid w:val="005F429F"/>
    <w:rsid w:val="005F5B5B"/>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C2D"/>
    <w:rsid w:val="006101D8"/>
    <w:rsid w:val="006103A4"/>
    <w:rsid w:val="00610922"/>
    <w:rsid w:val="00611D8D"/>
    <w:rsid w:val="006122E2"/>
    <w:rsid w:val="006125AA"/>
    <w:rsid w:val="00613E9D"/>
    <w:rsid w:val="0061423C"/>
    <w:rsid w:val="0061427C"/>
    <w:rsid w:val="00615FAB"/>
    <w:rsid w:val="006169BB"/>
    <w:rsid w:val="00616F11"/>
    <w:rsid w:val="006177F0"/>
    <w:rsid w:val="00617B77"/>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4B0B"/>
    <w:rsid w:val="006253D7"/>
    <w:rsid w:val="0062558F"/>
    <w:rsid w:val="00625D3D"/>
    <w:rsid w:val="00625DB6"/>
    <w:rsid w:val="00626CAC"/>
    <w:rsid w:val="00627AD4"/>
    <w:rsid w:val="00630F33"/>
    <w:rsid w:val="006312A4"/>
    <w:rsid w:val="006312F8"/>
    <w:rsid w:val="006313C9"/>
    <w:rsid w:val="006317D2"/>
    <w:rsid w:val="00631C0F"/>
    <w:rsid w:val="00632727"/>
    <w:rsid w:val="006348ED"/>
    <w:rsid w:val="00636A18"/>
    <w:rsid w:val="00636C52"/>
    <w:rsid w:val="0063771E"/>
    <w:rsid w:val="006406A6"/>
    <w:rsid w:val="00640A5A"/>
    <w:rsid w:val="00640E6C"/>
    <w:rsid w:val="00642351"/>
    <w:rsid w:val="006424F7"/>
    <w:rsid w:val="00642C32"/>
    <w:rsid w:val="00642F1D"/>
    <w:rsid w:val="006433D0"/>
    <w:rsid w:val="00643467"/>
    <w:rsid w:val="00643A31"/>
    <w:rsid w:val="00643AAE"/>
    <w:rsid w:val="00644A9F"/>
    <w:rsid w:val="006452A2"/>
    <w:rsid w:val="00645C5F"/>
    <w:rsid w:val="00646BA0"/>
    <w:rsid w:val="00646CDE"/>
    <w:rsid w:val="00646F54"/>
    <w:rsid w:val="0065002D"/>
    <w:rsid w:val="00650254"/>
    <w:rsid w:val="006502BB"/>
    <w:rsid w:val="006515EF"/>
    <w:rsid w:val="006530E2"/>
    <w:rsid w:val="006535DE"/>
    <w:rsid w:val="0065453F"/>
    <w:rsid w:val="00654758"/>
    <w:rsid w:val="006563FC"/>
    <w:rsid w:val="00656EAE"/>
    <w:rsid w:val="00657344"/>
    <w:rsid w:val="006601A5"/>
    <w:rsid w:val="006602CF"/>
    <w:rsid w:val="00660FB0"/>
    <w:rsid w:val="00661356"/>
    <w:rsid w:val="00662399"/>
    <w:rsid w:val="006628D0"/>
    <w:rsid w:val="00664B40"/>
    <w:rsid w:val="006652FD"/>
    <w:rsid w:val="00665679"/>
    <w:rsid w:val="0066568C"/>
    <w:rsid w:val="0066590A"/>
    <w:rsid w:val="00665DB7"/>
    <w:rsid w:val="00666370"/>
    <w:rsid w:val="0066646F"/>
    <w:rsid w:val="00666775"/>
    <w:rsid w:val="00666A5B"/>
    <w:rsid w:val="0066758F"/>
    <w:rsid w:val="006707E3"/>
    <w:rsid w:val="00670EFB"/>
    <w:rsid w:val="00671380"/>
    <w:rsid w:val="006713F9"/>
    <w:rsid w:val="00672F3E"/>
    <w:rsid w:val="00673BF2"/>
    <w:rsid w:val="00673C58"/>
    <w:rsid w:val="0067494B"/>
    <w:rsid w:val="00674996"/>
    <w:rsid w:val="00674DB0"/>
    <w:rsid w:val="00675296"/>
    <w:rsid w:val="006766B8"/>
    <w:rsid w:val="00677143"/>
    <w:rsid w:val="00677EE3"/>
    <w:rsid w:val="006807E1"/>
    <w:rsid w:val="00680DE4"/>
    <w:rsid w:val="0068116A"/>
    <w:rsid w:val="006823D9"/>
    <w:rsid w:val="00683367"/>
    <w:rsid w:val="0068377A"/>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54E8"/>
    <w:rsid w:val="0069620B"/>
    <w:rsid w:val="0069659F"/>
    <w:rsid w:val="00696801"/>
    <w:rsid w:val="0069758F"/>
    <w:rsid w:val="006978DB"/>
    <w:rsid w:val="00697989"/>
    <w:rsid w:val="006979EF"/>
    <w:rsid w:val="006A049D"/>
    <w:rsid w:val="006A0623"/>
    <w:rsid w:val="006A0D8F"/>
    <w:rsid w:val="006A12AE"/>
    <w:rsid w:val="006A12E9"/>
    <w:rsid w:val="006A1BC6"/>
    <w:rsid w:val="006A217F"/>
    <w:rsid w:val="006A272F"/>
    <w:rsid w:val="006A4F56"/>
    <w:rsid w:val="006A54EF"/>
    <w:rsid w:val="006A58A2"/>
    <w:rsid w:val="006A5A39"/>
    <w:rsid w:val="006A5C7F"/>
    <w:rsid w:val="006A6263"/>
    <w:rsid w:val="006A6484"/>
    <w:rsid w:val="006A652E"/>
    <w:rsid w:val="006A7EA3"/>
    <w:rsid w:val="006B022C"/>
    <w:rsid w:val="006B07D8"/>
    <w:rsid w:val="006B0CEB"/>
    <w:rsid w:val="006B13C1"/>
    <w:rsid w:val="006B1707"/>
    <w:rsid w:val="006B1993"/>
    <w:rsid w:val="006B212D"/>
    <w:rsid w:val="006B2489"/>
    <w:rsid w:val="006B3215"/>
    <w:rsid w:val="006B3348"/>
    <w:rsid w:val="006B3448"/>
    <w:rsid w:val="006B4F5C"/>
    <w:rsid w:val="006B5062"/>
    <w:rsid w:val="006B5404"/>
    <w:rsid w:val="006B5725"/>
    <w:rsid w:val="006B59B6"/>
    <w:rsid w:val="006B6BDE"/>
    <w:rsid w:val="006B6CBE"/>
    <w:rsid w:val="006B6E47"/>
    <w:rsid w:val="006B71E4"/>
    <w:rsid w:val="006B721D"/>
    <w:rsid w:val="006C00B5"/>
    <w:rsid w:val="006C0601"/>
    <w:rsid w:val="006C1170"/>
    <w:rsid w:val="006C2506"/>
    <w:rsid w:val="006C2952"/>
    <w:rsid w:val="006C348B"/>
    <w:rsid w:val="006C34C1"/>
    <w:rsid w:val="006C374C"/>
    <w:rsid w:val="006C4E73"/>
    <w:rsid w:val="006C4EB7"/>
    <w:rsid w:val="006C5014"/>
    <w:rsid w:val="006C565B"/>
    <w:rsid w:val="006C5D35"/>
    <w:rsid w:val="006C722E"/>
    <w:rsid w:val="006C75FA"/>
    <w:rsid w:val="006C7FAC"/>
    <w:rsid w:val="006D0421"/>
    <w:rsid w:val="006D047B"/>
    <w:rsid w:val="006D11C3"/>
    <w:rsid w:val="006D1D18"/>
    <w:rsid w:val="006D2594"/>
    <w:rsid w:val="006D2BD4"/>
    <w:rsid w:val="006D407D"/>
    <w:rsid w:val="006D4750"/>
    <w:rsid w:val="006D477F"/>
    <w:rsid w:val="006D47BC"/>
    <w:rsid w:val="006D4ACA"/>
    <w:rsid w:val="006D5843"/>
    <w:rsid w:val="006D59EA"/>
    <w:rsid w:val="006D6871"/>
    <w:rsid w:val="006D6CA2"/>
    <w:rsid w:val="006D71D3"/>
    <w:rsid w:val="006E1C04"/>
    <w:rsid w:val="006E1FB4"/>
    <w:rsid w:val="006E24D7"/>
    <w:rsid w:val="006E3415"/>
    <w:rsid w:val="006E3962"/>
    <w:rsid w:val="006E464C"/>
    <w:rsid w:val="006E4970"/>
    <w:rsid w:val="006E4A6B"/>
    <w:rsid w:val="006E4CCB"/>
    <w:rsid w:val="006E4CCC"/>
    <w:rsid w:val="006E4EC5"/>
    <w:rsid w:val="006E516B"/>
    <w:rsid w:val="006E64FC"/>
    <w:rsid w:val="006E6536"/>
    <w:rsid w:val="006E69AE"/>
    <w:rsid w:val="006E78A4"/>
    <w:rsid w:val="006E7A04"/>
    <w:rsid w:val="006F065D"/>
    <w:rsid w:val="006F0C10"/>
    <w:rsid w:val="006F1C58"/>
    <w:rsid w:val="006F29B4"/>
    <w:rsid w:val="006F586C"/>
    <w:rsid w:val="006F5A8D"/>
    <w:rsid w:val="006F6DDA"/>
    <w:rsid w:val="006F7041"/>
    <w:rsid w:val="0070068B"/>
    <w:rsid w:val="00700990"/>
    <w:rsid w:val="00700CF4"/>
    <w:rsid w:val="007016BE"/>
    <w:rsid w:val="007025A3"/>
    <w:rsid w:val="00702D52"/>
    <w:rsid w:val="007030B9"/>
    <w:rsid w:val="00703181"/>
    <w:rsid w:val="007042E7"/>
    <w:rsid w:val="007044EC"/>
    <w:rsid w:val="00704571"/>
    <w:rsid w:val="007048F0"/>
    <w:rsid w:val="007048F1"/>
    <w:rsid w:val="00704D46"/>
    <w:rsid w:val="00705362"/>
    <w:rsid w:val="0070604E"/>
    <w:rsid w:val="0070718C"/>
    <w:rsid w:val="00710751"/>
    <w:rsid w:val="00711526"/>
    <w:rsid w:val="0071165C"/>
    <w:rsid w:val="00711CAD"/>
    <w:rsid w:val="0071201B"/>
    <w:rsid w:val="007147A8"/>
    <w:rsid w:val="007153F0"/>
    <w:rsid w:val="007154CF"/>
    <w:rsid w:val="007159A1"/>
    <w:rsid w:val="00716812"/>
    <w:rsid w:val="00716DC4"/>
    <w:rsid w:val="007171DB"/>
    <w:rsid w:val="00717651"/>
    <w:rsid w:val="0071796A"/>
    <w:rsid w:val="00717A8D"/>
    <w:rsid w:val="00717BF6"/>
    <w:rsid w:val="00717F9F"/>
    <w:rsid w:val="00720493"/>
    <w:rsid w:val="00720B9E"/>
    <w:rsid w:val="00721887"/>
    <w:rsid w:val="00721CC5"/>
    <w:rsid w:val="007224ED"/>
    <w:rsid w:val="00722FD8"/>
    <w:rsid w:val="00724291"/>
    <w:rsid w:val="00724D0C"/>
    <w:rsid w:val="0072590A"/>
    <w:rsid w:val="00725996"/>
    <w:rsid w:val="00726886"/>
    <w:rsid w:val="0072724E"/>
    <w:rsid w:val="00727381"/>
    <w:rsid w:val="00727924"/>
    <w:rsid w:val="00730896"/>
    <w:rsid w:val="007314BA"/>
    <w:rsid w:val="00732527"/>
    <w:rsid w:val="00732A2D"/>
    <w:rsid w:val="00732D06"/>
    <w:rsid w:val="00733E70"/>
    <w:rsid w:val="00733FFC"/>
    <w:rsid w:val="0073438B"/>
    <w:rsid w:val="007343F1"/>
    <w:rsid w:val="0073490E"/>
    <w:rsid w:val="0073536C"/>
    <w:rsid w:val="0073561B"/>
    <w:rsid w:val="007359A2"/>
    <w:rsid w:val="007360A9"/>
    <w:rsid w:val="0073699B"/>
    <w:rsid w:val="0073710F"/>
    <w:rsid w:val="00737362"/>
    <w:rsid w:val="00737753"/>
    <w:rsid w:val="007409AA"/>
    <w:rsid w:val="007411F4"/>
    <w:rsid w:val="007413BF"/>
    <w:rsid w:val="00741968"/>
    <w:rsid w:val="00741BDD"/>
    <w:rsid w:val="00743A58"/>
    <w:rsid w:val="00743D1C"/>
    <w:rsid w:val="00743D29"/>
    <w:rsid w:val="0074406C"/>
    <w:rsid w:val="00744146"/>
    <w:rsid w:val="00744B79"/>
    <w:rsid w:val="00745153"/>
    <w:rsid w:val="00745844"/>
    <w:rsid w:val="007460ED"/>
    <w:rsid w:val="0074661C"/>
    <w:rsid w:val="00746A2F"/>
    <w:rsid w:val="00746D3B"/>
    <w:rsid w:val="00746F4E"/>
    <w:rsid w:val="007472EF"/>
    <w:rsid w:val="00747669"/>
    <w:rsid w:val="00751097"/>
    <w:rsid w:val="00751E1F"/>
    <w:rsid w:val="0075296E"/>
    <w:rsid w:val="00752F33"/>
    <w:rsid w:val="0075319C"/>
    <w:rsid w:val="007531A5"/>
    <w:rsid w:val="007532E8"/>
    <w:rsid w:val="007535E3"/>
    <w:rsid w:val="00753A92"/>
    <w:rsid w:val="00753FCB"/>
    <w:rsid w:val="007542B1"/>
    <w:rsid w:val="0075475A"/>
    <w:rsid w:val="00754B28"/>
    <w:rsid w:val="007550FE"/>
    <w:rsid w:val="00755EE8"/>
    <w:rsid w:val="00756609"/>
    <w:rsid w:val="007566A7"/>
    <w:rsid w:val="00756E30"/>
    <w:rsid w:val="0075707E"/>
    <w:rsid w:val="00757941"/>
    <w:rsid w:val="0076026E"/>
    <w:rsid w:val="00760E1B"/>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0FA6"/>
    <w:rsid w:val="00781689"/>
    <w:rsid w:val="00781EF6"/>
    <w:rsid w:val="007822D6"/>
    <w:rsid w:val="00782394"/>
    <w:rsid w:val="00782848"/>
    <w:rsid w:val="007829B1"/>
    <w:rsid w:val="0078321A"/>
    <w:rsid w:val="00783873"/>
    <w:rsid w:val="007847D1"/>
    <w:rsid w:val="00784924"/>
    <w:rsid w:val="00785D82"/>
    <w:rsid w:val="0078647B"/>
    <w:rsid w:val="00786955"/>
    <w:rsid w:val="00786ED4"/>
    <w:rsid w:val="0078716F"/>
    <w:rsid w:val="007873C8"/>
    <w:rsid w:val="0078793D"/>
    <w:rsid w:val="00790F50"/>
    <w:rsid w:val="00791374"/>
    <w:rsid w:val="00792B66"/>
    <w:rsid w:val="007931C7"/>
    <w:rsid w:val="0079352C"/>
    <w:rsid w:val="00793B34"/>
    <w:rsid w:val="00793B84"/>
    <w:rsid w:val="00793D87"/>
    <w:rsid w:val="00794795"/>
    <w:rsid w:val="007949E6"/>
    <w:rsid w:val="00794CC2"/>
    <w:rsid w:val="00794D98"/>
    <w:rsid w:val="00794F29"/>
    <w:rsid w:val="00795A2A"/>
    <w:rsid w:val="007964B5"/>
    <w:rsid w:val="007972FB"/>
    <w:rsid w:val="007A02BC"/>
    <w:rsid w:val="007A099F"/>
    <w:rsid w:val="007A0ADA"/>
    <w:rsid w:val="007A0F0F"/>
    <w:rsid w:val="007A16EB"/>
    <w:rsid w:val="007A26C4"/>
    <w:rsid w:val="007A2742"/>
    <w:rsid w:val="007A2F96"/>
    <w:rsid w:val="007A33C4"/>
    <w:rsid w:val="007A49D9"/>
    <w:rsid w:val="007A5620"/>
    <w:rsid w:val="007B01E7"/>
    <w:rsid w:val="007B0438"/>
    <w:rsid w:val="007B0810"/>
    <w:rsid w:val="007B0C8E"/>
    <w:rsid w:val="007B104F"/>
    <w:rsid w:val="007B1418"/>
    <w:rsid w:val="007B150E"/>
    <w:rsid w:val="007B1C29"/>
    <w:rsid w:val="007B2177"/>
    <w:rsid w:val="007B2F13"/>
    <w:rsid w:val="007B7BB1"/>
    <w:rsid w:val="007C00D6"/>
    <w:rsid w:val="007C0B47"/>
    <w:rsid w:val="007C1229"/>
    <w:rsid w:val="007C1727"/>
    <w:rsid w:val="007C17AB"/>
    <w:rsid w:val="007C1BCB"/>
    <w:rsid w:val="007C1DFF"/>
    <w:rsid w:val="007C1E1D"/>
    <w:rsid w:val="007C2145"/>
    <w:rsid w:val="007C2349"/>
    <w:rsid w:val="007C377C"/>
    <w:rsid w:val="007C3815"/>
    <w:rsid w:val="007C3B7F"/>
    <w:rsid w:val="007C5B20"/>
    <w:rsid w:val="007C65FA"/>
    <w:rsid w:val="007C7F3A"/>
    <w:rsid w:val="007D069C"/>
    <w:rsid w:val="007D1AFD"/>
    <w:rsid w:val="007D1E73"/>
    <w:rsid w:val="007D23C4"/>
    <w:rsid w:val="007D2FC8"/>
    <w:rsid w:val="007D408D"/>
    <w:rsid w:val="007D4CD5"/>
    <w:rsid w:val="007D52A7"/>
    <w:rsid w:val="007D5A4A"/>
    <w:rsid w:val="007D619D"/>
    <w:rsid w:val="007D658F"/>
    <w:rsid w:val="007D6D6F"/>
    <w:rsid w:val="007D6E6D"/>
    <w:rsid w:val="007D6F5D"/>
    <w:rsid w:val="007D7604"/>
    <w:rsid w:val="007D7AA9"/>
    <w:rsid w:val="007E075D"/>
    <w:rsid w:val="007E1008"/>
    <w:rsid w:val="007E170B"/>
    <w:rsid w:val="007E18BA"/>
    <w:rsid w:val="007E18FA"/>
    <w:rsid w:val="007E1DF2"/>
    <w:rsid w:val="007E2888"/>
    <w:rsid w:val="007E32B5"/>
    <w:rsid w:val="007E32D4"/>
    <w:rsid w:val="007E3514"/>
    <w:rsid w:val="007E3829"/>
    <w:rsid w:val="007E402B"/>
    <w:rsid w:val="007E495E"/>
    <w:rsid w:val="007E5FF3"/>
    <w:rsid w:val="007E65FE"/>
    <w:rsid w:val="007E6782"/>
    <w:rsid w:val="007E6B64"/>
    <w:rsid w:val="007E7679"/>
    <w:rsid w:val="007E79F5"/>
    <w:rsid w:val="007E7AF0"/>
    <w:rsid w:val="007F00AB"/>
    <w:rsid w:val="007F02BF"/>
    <w:rsid w:val="007F1BC2"/>
    <w:rsid w:val="007F1CCC"/>
    <w:rsid w:val="007F25B4"/>
    <w:rsid w:val="007F2BCC"/>
    <w:rsid w:val="007F2C38"/>
    <w:rsid w:val="007F2EFF"/>
    <w:rsid w:val="007F3683"/>
    <w:rsid w:val="007F39D7"/>
    <w:rsid w:val="007F3A04"/>
    <w:rsid w:val="007F51FF"/>
    <w:rsid w:val="007F5557"/>
    <w:rsid w:val="007F5CD4"/>
    <w:rsid w:val="007F61E2"/>
    <w:rsid w:val="007F6D37"/>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8AC"/>
    <w:rsid w:val="00807997"/>
    <w:rsid w:val="00807C1B"/>
    <w:rsid w:val="00810489"/>
    <w:rsid w:val="00810B18"/>
    <w:rsid w:val="00811026"/>
    <w:rsid w:val="00811B7A"/>
    <w:rsid w:val="00811E77"/>
    <w:rsid w:val="00812638"/>
    <w:rsid w:val="00812720"/>
    <w:rsid w:val="00812ABE"/>
    <w:rsid w:val="00812AE2"/>
    <w:rsid w:val="00812CD4"/>
    <w:rsid w:val="00814892"/>
    <w:rsid w:val="00814D78"/>
    <w:rsid w:val="00815167"/>
    <w:rsid w:val="008151B0"/>
    <w:rsid w:val="00816744"/>
    <w:rsid w:val="0081696D"/>
    <w:rsid w:val="00816B36"/>
    <w:rsid w:val="00817452"/>
    <w:rsid w:val="0081758D"/>
    <w:rsid w:val="00817C39"/>
    <w:rsid w:val="00817C8A"/>
    <w:rsid w:val="0082029A"/>
    <w:rsid w:val="0082098B"/>
    <w:rsid w:val="008210E5"/>
    <w:rsid w:val="008214A8"/>
    <w:rsid w:val="00821E84"/>
    <w:rsid w:val="00822005"/>
    <w:rsid w:val="0082256B"/>
    <w:rsid w:val="008225BB"/>
    <w:rsid w:val="00822609"/>
    <w:rsid w:val="00822B0C"/>
    <w:rsid w:val="00822C45"/>
    <w:rsid w:val="00823810"/>
    <w:rsid w:val="008241E4"/>
    <w:rsid w:val="00824912"/>
    <w:rsid w:val="00824F1A"/>
    <w:rsid w:val="008253F7"/>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990"/>
    <w:rsid w:val="00834AF4"/>
    <w:rsid w:val="00834BEC"/>
    <w:rsid w:val="00834D47"/>
    <w:rsid w:val="00834DC9"/>
    <w:rsid w:val="00835389"/>
    <w:rsid w:val="00835459"/>
    <w:rsid w:val="008356D1"/>
    <w:rsid w:val="008358DA"/>
    <w:rsid w:val="00836CC0"/>
    <w:rsid w:val="008373F3"/>
    <w:rsid w:val="00840350"/>
    <w:rsid w:val="00840409"/>
    <w:rsid w:val="0084055F"/>
    <w:rsid w:val="008405C8"/>
    <w:rsid w:val="0084098C"/>
    <w:rsid w:val="008411FD"/>
    <w:rsid w:val="0084138C"/>
    <w:rsid w:val="00841542"/>
    <w:rsid w:val="008429DB"/>
    <w:rsid w:val="00842BA8"/>
    <w:rsid w:val="0084324E"/>
    <w:rsid w:val="00844B2A"/>
    <w:rsid w:val="00844E78"/>
    <w:rsid w:val="00844ED2"/>
    <w:rsid w:val="0084562E"/>
    <w:rsid w:val="008458F6"/>
    <w:rsid w:val="00845CAA"/>
    <w:rsid w:val="0084736D"/>
    <w:rsid w:val="008479BC"/>
    <w:rsid w:val="00847C79"/>
    <w:rsid w:val="00850543"/>
    <w:rsid w:val="008509B7"/>
    <w:rsid w:val="00850A19"/>
    <w:rsid w:val="0085106C"/>
    <w:rsid w:val="008514EC"/>
    <w:rsid w:val="0085158E"/>
    <w:rsid w:val="00851F31"/>
    <w:rsid w:val="0085233E"/>
    <w:rsid w:val="008524F7"/>
    <w:rsid w:val="00852A9A"/>
    <w:rsid w:val="008534FA"/>
    <w:rsid w:val="00853616"/>
    <w:rsid w:val="00853704"/>
    <w:rsid w:val="00853C23"/>
    <w:rsid w:val="0085413E"/>
    <w:rsid w:val="0085463E"/>
    <w:rsid w:val="00854674"/>
    <w:rsid w:val="00854784"/>
    <w:rsid w:val="00854C8E"/>
    <w:rsid w:val="0085729A"/>
    <w:rsid w:val="008575ED"/>
    <w:rsid w:val="00857F3D"/>
    <w:rsid w:val="008600E4"/>
    <w:rsid w:val="00860F08"/>
    <w:rsid w:val="008612F5"/>
    <w:rsid w:val="00861F9D"/>
    <w:rsid w:val="0086307F"/>
    <w:rsid w:val="00863113"/>
    <w:rsid w:val="008639AD"/>
    <w:rsid w:val="00863C1F"/>
    <w:rsid w:val="00863E8B"/>
    <w:rsid w:val="0086436B"/>
    <w:rsid w:val="00866524"/>
    <w:rsid w:val="008701F7"/>
    <w:rsid w:val="00870856"/>
    <w:rsid w:val="008708CA"/>
    <w:rsid w:val="0087157B"/>
    <w:rsid w:val="00873845"/>
    <w:rsid w:val="0087591D"/>
    <w:rsid w:val="00876522"/>
    <w:rsid w:val="00876AE3"/>
    <w:rsid w:val="008775DB"/>
    <w:rsid w:val="00877B07"/>
    <w:rsid w:val="00877B7A"/>
    <w:rsid w:val="00880A85"/>
    <w:rsid w:val="00880EFA"/>
    <w:rsid w:val="00881EBC"/>
    <w:rsid w:val="008828DF"/>
    <w:rsid w:val="00882E91"/>
    <w:rsid w:val="00882EA8"/>
    <w:rsid w:val="00883EE1"/>
    <w:rsid w:val="0088421A"/>
    <w:rsid w:val="00884CFB"/>
    <w:rsid w:val="00884ED2"/>
    <w:rsid w:val="00885317"/>
    <w:rsid w:val="0088567D"/>
    <w:rsid w:val="00885D0E"/>
    <w:rsid w:val="008863EC"/>
    <w:rsid w:val="00887227"/>
    <w:rsid w:val="008900AA"/>
    <w:rsid w:val="00890427"/>
    <w:rsid w:val="0089096B"/>
    <w:rsid w:val="008909B8"/>
    <w:rsid w:val="008919D4"/>
    <w:rsid w:val="00891CA2"/>
    <w:rsid w:val="00891EAA"/>
    <w:rsid w:val="00892157"/>
    <w:rsid w:val="0089219D"/>
    <w:rsid w:val="0089225A"/>
    <w:rsid w:val="00892AC0"/>
    <w:rsid w:val="008934FE"/>
    <w:rsid w:val="00893B5D"/>
    <w:rsid w:val="00893E2F"/>
    <w:rsid w:val="008944DB"/>
    <w:rsid w:val="0089594E"/>
    <w:rsid w:val="00895C92"/>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4DD7"/>
    <w:rsid w:val="008A56ED"/>
    <w:rsid w:val="008A5BE4"/>
    <w:rsid w:val="008A7A00"/>
    <w:rsid w:val="008A7E3B"/>
    <w:rsid w:val="008B0364"/>
    <w:rsid w:val="008B0379"/>
    <w:rsid w:val="008B05C9"/>
    <w:rsid w:val="008B0D70"/>
    <w:rsid w:val="008B0EA7"/>
    <w:rsid w:val="008B18C5"/>
    <w:rsid w:val="008B480A"/>
    <w:rsid w:val="008B4F76"/>
    <w:rsid w:val="008B58D9"/>
    <w:rsid w:val="008B64DC"/>
    <w:rsid w:val="008B68A2"/>
    <w:rsid w:val="008B6AFD"/>
    <w:rsid w:val="008B70D9"/>
    <w:rsid w:val="008C07A9"/>
    <w:rsid w:val="008C0A39"/>
    <w:rsid w:val="008C1814"/>
    <w:rsid w:val="008C3CCC"/>
    <w:rsid w:val="008C4084"/>
    <w:rsid w:val="008C4116"/>
    <w:rsid w:val="008C4162"/>
    <w:rsid w:val="008C43A5"/>
    <w:rsid w:val="008C549E"/>
    <w:rsid w:val="008C5C81"/>
    <w:rsid w:val="008C6580"/>
    <w:rsid w:val="008C67D2"/>
    <w:rsid w:val="008C7375"/>
    <w:rsid w:val="008C74DD"/>
    <w:rsid w:val="008C79F3"/>
    <w:rsid w:val="008D0267"/>
    <w:rsid w:val="008D02BA"/>
    <w:rsid w:val="008D04D0"/>
    <w:rsid w:val="008D1097"/>
    <w:rsid w:val="008D137F"/>
    <w:rsid w:val="008D1417"/>
    <w:rsid w:val="008D1F27"/>
    <w:rsid w:val="008D2F95"/>
    <w:rsid w:val="008D384C"/>
    <w:rsid w:val="008D3EF5"/>
    <w:rsid w:val="008D483E"/>
    <w:rsid w:val="008D4BD7"/>
    <w:rsid w:val="008D56F1"/>
    <w:rsid w:val="008D6375"/>
    <w:rsid w:val="008E02E0"/>
    <w:rsid w:val="008E0670"/>
    <w:rsid w:val="008E114F"/>
    <w:rsid w:val="008E1153"/>
    <w:rsid w:val="008E1495"/>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2B5"/>
    <w:rsid w:val="008F2699"/>
    <w:rsid w:val="008F2A65"/>
    <w:rsid w:val="008F3FE5"/>
    <w:rsid w:val="008F42D7"/>
    <w:rsid w:val="008F4382"/>
    <w:rsid w:val="008F4CE7"/>
    <w:rsid w:val="008F5AB4"/>
    <w:rsid w:val="008F629F"/>
    <w:rsid w:val="008F6537"/>
    <w:rsid w:val="008F77CD"/>
    <w:rsid w:val="00900590"/>
    <w:rsid w:val="00901459"/>
    <w:rsid w:val="00901C47"/>
    <w:rsid w:val="00902226"/>
    <w:rsid w:val="0090328B"/>
    <w:rsid w:val="009032E9"/>
    <w:rsid w:val="00903EFE"/>
    <w:rsid w:val="009040EB"/>
    <w:rsid w:val="0090437C"/>
    <w:rsid w:val="0090472D"/>
    <w:rsid w:val="00904DBE"/>
    <w:rsid w:val="0090518E"/>
    <w:rsid w:val="0090563D"/>
    <w:rsid w:val="00906EF4"/>
    <w:rsid w:val="00910D9D"/>
    <w:rsid w:val="00910F33"/>
    <w:rsid w:val="00911691"/>
    <w:rsid w:val="009118B0"/>
    <w:rsid w:val="009124E6"/>
    <w:rsid w:val="00913944"/>
    <w:rsid w:val="009147E0"/>
    <w:rsid w:val="00916440"/>
    <w:rsid w:val="00916748"/>
    <w:rsid w:val="00917332"/>
    <w:rsid w:val="009177FA"/>
    <w:rsid w:val="009201C7"/>
    <w:rsid w:val="009202C5"/>
    <w:rsid w:val="00920773"/>
    <w:rsid w:val="009209C5"/>
    <w:rsid w:val="00921817"/>
    <w:rsid w:val="00922327"/>
    <w:rsid w:val="0092265F"/>
    <w:rsid w:val="0092359E"/>
    <w:rsid w:val="00923EA0"/>
    <w:rsid w:val="0092474D"/>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5827"/>
    <w:rsid w:val="0093661E"/>
    <w:rsid w:val="00936789"/>
    <w:rsid w:val="00936EF5"/>
    <w:rsid w:val="00936FC8"/>
    <w:rsid w:val="009372E1"/>
    <w:rsid w:val="0093736F"/>
    <w:rsid w:val="00937FBA"/>
    <w:rsid w:val="00940E29"/>
    <w:rsid w:val="009429FD"/>
    <w:rsid w:val="0094325C"/>
    <w:rsid w:val="00945766"/>
    <w:rsid w:val="009457AC"/>
    <w:rsid w:val="0094596D"/>
    <w:rsid w:val="00945B1E"/>
    <w:rsid w:val="0094609D"/>
    <w:rsid w:val="00946484"/>
    <w:rsid w:val="00946970"/>
    <w:rsid w:val="00946B28"/>
    <w:rsid w:val="00947447"/>
    <w:rsid w:val="00947A17"/>
    <w:rsid w:val="009510F9"/>
    <w:rsid w:val="009516DD"/>
    <w:rsid w:val="00951D77"/>
    <w:rsid w:val="00951F1A"/>
    <w:rsid w:val="009523F5"/>
    <w:rsid w:val="00953586"/>
    <w:rsid w:val="00953608"/>
    <w:rsid w:val="0095377C"/>
    <w:rsid w:val="00953A0D"/>
    <w:rsid w:val="00954532"/>
    <w:rsid w:val="00954C5C"/>
    <w:rsid w:val="00954D4A"/>
    <w:rsid w:val="009552E3"/>
    <w:rsid w:val="00955A61"/>
    <w:rsid w:val="00955E1B"/>
    <w:rsid w:val="00955F37"/>
    <w:rsid w:val="0095706B"/>
    <w:rsid w:val="009570F9"/>
    <w:rsid w:val="009571B0"/>
    <w:rsid w:val="009573EB"/>
    <w:rsid w:val="00960092"/>
    <w:rsid w:val="00960671"/>
    <w:rsid w:val="0096083A"/>
    <w:rsid w:val="009610B1"/>
    <w:rsid w:val="009618CD"/>
    <w:rsid w:val="00961F2F"/>
    <w:rsid w:val="009621E4"/>
    <w:rsid w:val="00962429"/>
    <w:rsid w:val="009634D8"/>
    <w:rsid w:val="00964583"/>
    <w:rsid w:val="00964775"/>
    <w:rsid w:val="00964ACE"/>
    <w:rsid w:val="009659F8"/>
    <w:rsid w:val="009664CB"/>
    <w:rsid w:val="00966CC0"/>
    <w:rsid w:val="009671A1"/>
    <w:rsid w:val="0097179C"/>
    <w:rsid w:val="0097191C"/>
    <w:rsid w:val="0097198A"/>
    <w:rsid w:val="00972483"/>
    <w:rsid w:val="00972554"/>
    <w:rsid w:val="009734BF"/>
    <w:rsid w:val="009737F3"/>
    <w:rsid w:val="00973C3E"/>
    <w:rsid w:val="00974ACC"/>
    <w:rsid w:val="00974C49"/>
    <w:rsid w:val="00974EE4"/>
    <w:rsid w:val="009754CE"/>
    <w:rsid w:val="009756B6"/>
    <w:rsid w:val="00975EF7"/>
    <w:rsid w:val="009774BE"/>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90175"/>
    <w:rsid w:val="00990561"/>
    <w:rsid w:val="00991ED6"/>
    <w:rsid w:val="009920A0"/>
    <w:rsid w:val="00992E8A"/>
    <w:rsid w:val="00992E8D"/>
    <w:rsid w:val="009937FD"/>
    <w:rsid w:val="00994F4D"/>
    <w:rsid w:val="0099532E"/>
    <w:rsid w:val="0099582B"/>
    <w:rsid w:val="00995DAF"/>
    <w:rsid w:val="00995FC3"/>
    <w:rsid w:val="00996AA6"/>
    <w:rsid w:val="009971BF"/>
    <w:rsid w:val="00997230"/>
    <w:rsid w:val="009A0274"/>
    <w:rsid w:val="009A035E"/>
    <w:rsid w:val="009A18AB"/>
    <w:rsid w:val="009A246D"/>
    <w:rsid w:val="009A2D7C"/>
    <w:rsid w:val="009A30FE"/>
    <w:rsid w:val="009A36E0"/>
    <w:rsid w:val="009A4644"/>
    <w:rsid w:val="009A468E"/>
    <w:rsid w:val="009A480D"/>
    <w:rsid w:val="009A4908"/>
    <w:rsid w:val="009A6258"/>
    <w:rsid w:val="009A6B3A"/>
    <w:rsid w:val="009A76F7"/>
    <w:rsid w:val="009B00E1"/>
    <w:rsid w:val="009B01CF"/>
    <w:rsid w:val="009B02DB"/>
    <w:rsid w:val="009B0A50"/>
    <w:rsid w:val="009B1DA0"/>
    <w:rsid w:val="009B1F5D"/>
    <w:rsid w:val="009B2407"/>
    <w:rsid w:val="009B257C"/>
    <w:rsid w:val="009B3BEA"/>
    <w:rsid w:val="009B41BA"/>
    <w:rsid w:val="009B44F0"/>
    <w:rsid w:val="009B545D"/>
    <w:rsid w:val="009B5957"/>
    <w:rsid w:val="009B5C0B"/>
    <w:rsid w:val="009B5E3F"/>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76A3"/>
    <w:rsid w:val="009C79E5"/>
    <w:rsid w:val="009C7ACB"/>
    <w:rsid w:val="009C7B7C"/>
    <w:rsid w:val="009C7C85"/>
    <w:rsid w:val="009D03F6"/>
    <w:rsid w:val="009D04E7"/>
    <w:rsid w:val="009D3D0D"/>
    <w:rsid w:val="009D6353"/>
    <w:rsid w:val="009D6CF0"/>
    <w:rsid w:val="009D6E22"/>
    <w:rsid w:val="009D75A9"/>
    <w:rsid w:val="009E0A40"/>
    <w:rsid w:val="009E0D31"/>
    <w:rsid w:val="009E153F"/>
    <w:rsid w:val="009E1631"/>
    <w:rsid w:val="009E19AE"/>
    <w:rsid w:val="009E1E60"/>
    <w:rsid w:val="009E1F86"/>
    <w:rsid w:val="009E3112"/>
    <w:rsid w:val="009E34B7"/>
    <w:rsid w:val="009E41C9"/>
    <w:rsid w:val="009E434B"/>
    <w:rsid w:val="009E480B"/>
    <w:rsid w:val="009E5ADE"/>
    <w:rsid w:val="009E5BAE"/>
    <w:rsid w:val="009E5BF5"/>
    <w:rsid w:val="009E5D18"/>
    <w:rsid w:val="009E5F8E"/>
    <w:rsid w:val="009E6061"/>
    <w:rsid w:val="009E699D"/>
    <w:rsid w:val="009F0DC3"/>
    <w:rsid w:val="009F1904"/>
    <w:rsid w:val="009F209E"/>
    <w:rsid w:val="009F2446"/>
    <w:rsid w:val="009F2BF4"/>
    <w:rsid w:val="009F2C12"/>
    <w:rsid w:val="009F2D43"/>
    <w:rsid w:val="009F385D"/>
    <w:rsid w:val="009F4B7F"/>
    <w:rsid w:val="009F4FAA"/>
    <w:rsid w:val="009F5C78"/>
    <w:rsid w:val="009F697A"/>
    <w:rsid w:val="009F6DAC"/>
    <w:rsid w:val="009F7309"/>
    <w:rsid w:val="009F763F"/>
    <w:rsid w:val="009F7748"/>
    <w:rsid w:val="009F7802"/>
    <w:rsid w:val="009F791B"/>
    <w:rsid w:val="009F79D5"/>
    <w:rsid w:val="009F7D96"/>
    <w:rsid w:val="00A00099"/>
    <w:rsid w:val="00A007E7"/>
    <w:rsid w:val="00A0110B"/>
    <w:rsid w:val="00A02C9D"/>
    <w:rsid w:val="00A035DE"/>
    <w:rsid w:val="00A035EA"/>
    <w:rsid w:val="00A04F59"/>
    <w:rsid w:val="00A05306"/>
    <w:rsid w:val="00A05597"/>
    <w:rsid w:val="00A05B20"/>
    <w:rsid w:val="00A070DE"/>
    <w:rsid w:val="00A0718D"/>
    <w:rsid w:val="00A07468"/>
    <w:rsid w:val="00A0797A"/>
    <w:rsid w:val="00A07FED"/>
    <w:rsid w:val="00A10165"/>
    <w:rsid w:val="00A105EC"/>
    <w:rsid w:val="00A10896"/>
    <w:rsid w:val="00A10C0A"/>
    <w:rsid w:val="00A11019"/>
    <w:rsid w:val="00A114E5"/>
    <w:rsid w:val="00A115CB"/>
    <w:rsid w:val="00A116B1"/>
    <w:rsid w:val="00A11A73"/>
    <w:rsid w:val="00A11A7E"/>
    <w:rsid w:val="00A11F1D"/>
    <w:rsid w:val="00A1253F"/>
    <w:rsid w:val="00A13C50"/>
    <w:rsid w:val="00A1409E"/>
    <w:rsid w:val="00A14331"/>
    <w:rsid w:val="00A145EB"/>
    <w:rsid w:val="00A14849"/>
    <w:rsid w:val="00A14AB2"/>
    <w:rsid w:val="00A14AC9"/>
    <w:rsid w:val="00A1690D"/>
    <w:rsid w:val="00A175A7"/>
    <w:rsid w:val="00A20573"/>
    <w:rsid w:val="00A207FA"/>
    <w:rsid w:val="00A20C94"/>
    <w:rsid w:val="00A21C4C"/>
    <w:rsid w:val="00A220B7"/>
    <w:rsid w:val="00A227D6"/>
    <w:rsid w:val="00A227E7"/>
    <w:rsid w:val="00A228A6"/>
    <w:rsid w:val="00A22D55"/>
    <w:rsid w:val="00A23667"/>
    <w:rsid w:val="00A239DB"/>
    <w:rsid w:val="00A24008"/>
    <w:rsid w:val="00A24078"/>
    <w:rsid w:val="00A2475E"/>
    <w:rsid w:val="00A256C1"/>
    <w:rsid w:val="00A258E0"/>
    <w:rsid w:val="00A25FCF"/>
    <w:rsid w:val="00A269B5"/>
    <w:rsid w:val="00A26A3F"/>
    <w:rsid w:val="00A2726D"/>
    <w:rsid w:val="00A273E2"/>
    <w:rsid w:val="00A30627"/>
    <w:rsid w:val="00A30B6C"/>
    <w:rsid w:val="00A31D99"/>
    <w:rsid w:val="00A3244C"/>
    <w:rsid w:val="00A32E59"/>
    <w:rsid w:val="00A33017"/>
    <w:rsid w:val="00A33E4D"/>
    <w:rsid w:val="00A346EE"/>
    <w:rsid w:val="00A34995"/>
    <w:rsid w:val="00A34C32"/>
    <w:rsid w:val="00A34DDE"/>
    <w:rsid w:val="00A34EAB"/>
    <w:rsid w:val="00A350EA"/>
    <w:rsid w:val="00A3594F"/>
    <w:rsid w:val="00A35BCB"/>
    <w:rsid w:val="00A35D94"/>
    <w:rsid w:val="00A362F7"/>
    <w:rsid w:val="00A36940"/>
    <w:rsid w:val="00A36EBD"/>
    <w:rsid w:val="00A40439"/>
    <w:rsid w:val="00A40F98"/>
    <w:rsid w:val="00A43813"/>
    <w:rsid w:val="00A43D47"/>
    <w:rsid w:val="00A440A6"/>
    <w:rsid w:val="00A44452"/>
    <w:rsid w:val="00A4618D"/>
    <w:rsid w:val="00A464E1"/>
    <w:rsid w:val="00A46C4E"/>
    <w:rsid w:val="00A46D95"/>
    <w:rsid w:val="00A47081"/>
    <w:rsid w:val="00A47480"/>
    <w:rsid w:val="00A47E8C"/>
    <w:rsid w:val="00A51BC0"/>
    <w:rsid w:val="00A52844"/>
    <w:rsid w:val="00A5298C"/>
    <w:rsid w:val="00A52AD0"/>
    <w:rsid w:val="00A53019"/>
    <w:rsid w:val="00A53497"/>
    <w:rsid w:val="00A536CB"/>
    <w:rsid w:val="00A542F8"/>
    <w:rsid w:val="00A55A47"/>
    <w:rsid w:val="00A574BF"/>
    <w:rsid w:val="00A579F8"/>
    <w:rsid w:val="00A6000D"/>
    <w:rsid w:val="00A605E1"/>
    <w:rsid w:val="00A6204A"/>
    <w:rsid w:val="00A62093"/>
    <w:rsid w:val="00A6310C"/>
    <w:rsid w:val="00A6316B"/>
    <w:rsid w:val="00A63679"/>
    <w:rsid w:val="00A63A8F"/>
    <w:rsid w:val="00A64389"/>
    <w:rsid w:val="00A64797"/>
    <w:rsid w:val="00A64817"/>
    <w:rsid w:val="00A65E04"/>
    <w:rsid w:val="00A71CDE"/>
    <w:rsid w:val="00A7252E"/>
    <w:rsid w:val="00A72BBC"/>
    <w:rsid w:val="00A72E18"/>
    <w:rsid w:val="00A730F3"/>
    <w:rsid w:val="00A74BE6"/>
    <w:rsid w:val="00A7557C"/>
    <w:rsid w:val="00A758A4"/>
    <w:rsid w:val="00A768A2"/>
    <w:rsid w:val="00A76A55"/>
    <w:rsid w:val="00A773B4"/>
    <w:rsid w:val="00A80948"/>
    <w:rsid w:val="00A82E60"/>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1FE5"/>
    <w:rsid w:val="00A92A16"/>
    <w:rsid w:val="00A93154"/>
    <w:rsid w:val="00A93214"/>
    <w:rsid w:val="00A93552"/>
    <w:rsid w:val="00A93965"/>
    <w:rsid w:val="00A93C27"/>
    <w:rsid w:val="00A93C2B"/>
    <w:rsid w:val="00A93DC1"/>
    <w:rsid w:val="00A94BD6"/>
    <w:rsid w:val="00A94D8C"/>
    <w:rsid w:val="00A9571A"/>
    <w:rsid w:val="00A95EA8"/>
    <w:rsid w:val="00A96FC0"/>
    <w:rsid w:val="00A97BFA"/>
    <w:rsid w:val="00AA007C"/>
    <w:rsid w:val="00AA01CC"/>
    <w:rsid w:val="00AA0226"/>
    <w:rsid w:val="00AA05C3"/>
    <w:rsid w:val="00AA0B30"/>
    <w:rsid w:val="00AA25C9"/>
    <w:rsid w:val="00AA3726"/>
    <w:rsid w:val="00AA3C71"/>
    <w:rsid w:val="00AA40AA"/>
    <w:rsid w:val="00AA4F09"/>
    <w:rsid w:val="00AA5B1A"/>
    <w:rsid w:val="00AA5C2A"/>
    <w:rsid w:val="00AA7A72"/>
    <w:rsid w:val="00AA7DCE"/>
    <w:rsid w:val="00AA7F8C"/>
    <w:rsid w:val="00AA7FA5"/>
    <w:rsid w:val="00AB0725"/>
    <w:rsid w:val="00AB0FB2"/>
    <w:rsid w:val="00AB10E3"/>
    <w:rsid w:val="00AB18AB"/>
    <w:rsid w:val="00AB1FAD"/>
    <w:rsid w:val="00AB2AF8"/>
    <w:rsid w:val="00AB2D88"/>
    <w:rsid w:val="00AB37FD"/>
    <w:rsid w:val="00AB41AF"/>
    <w:rsid w:val="00AB42BB"/>
    <w:rsid w:val="00AB4B6A"/>
    <w:rsid w:val="00AB4BDD"/>
    <w:rsid w:val="00AB50C3"/>
    <w:rsid w:val="00AB5669"/>
    <w:rsid w:val="00AB57D9"/>
    <w:rsid w:val="00AB6F61"/>
    <w:rsid w:val="00AB7601"/>
    <w:rsid w:val="00AB7957"/>
    <w:rsid w:val="00AB7A15"/>
    <w:rsid w:val="00AB7D9C"/>
    <w:rsid w:val="00AC1506"/>
    <w:rsid w:val="00AC1563"/>
    <w:rsid w:val="00AC1E53"/>
    <w:rsid w:val="00AC42FA"/>
    <w:rsid w:val="00AC455C"/>
    <w:rsid w:val="00AC4D66"/>
    <w:rsid w:val="00AC5C0E"/>
    <w:rsid w:val="00AC5FCE"/>
    <w:rsid w:val="00AC615E"/>
    <w:rsid w:val="00AC62B7"/>
    <w:rsid w:val="00AC6BDA"/>
    <w:rsid w:val="00AC6E20"/>
    <w:rsid w:val="00AC7A38"/>
    <w:rsid w:val="00AD045A"/>
    <w:rsid w:val="00AD07F1"/>
    <w:rsid w:val="00AD08BD"/>
    <w:rsid w:val="00AD20E0"/>
    <w:rsid w:val="00AD2BE1"/>
    <w:rsid w:val="00AD3756"/>
    <w:rsid w:val="00AD3C49"/>
    <w:rsid w:val="00AD3D21"/>
    <w:rsid w:val="00AD4939"/>
    <w:rsid w:val="00AD4F15"/>
    <w:rsid w:val="00AD5F7E"/>
    <w:rsid w:val="00AD6390"/>
    <w:rsid w:val="00AD68F8"/>
    <w:rsid w:val="00AE0B68"/>
    <w:rsid w:val="00AE10CD"/>
    <w:rsid w:val="00AE1499"/>
    <w:rsid w:val="00AE2D0A"/>
    <w:rsid w:val="00AE3725"/>
    <w:rsid w:val="00AE4E58"/>
    <w:rsid w:val="00AE5139"/>
    <w:rsid w:val="00AE54FA"/>
    <w:rsid w:val="00AE5777"/>
    <w:rsid w:val="00AE5C8B"/>
    <w:rsid w:val="00AE653E"/>
    <w:rsid w:val="00AE65CA"/>
    <w:rsid w:val="00AE6800"/>
    <w:rsid w:val="00AE6CDA"/>
    <w:rsid w:val="00AE72FC"/>
    <w:rsid w:val="00AE751E"/>
    <w:rsid w:val="00AF16A0"/>
    <w:rsid w:val="00AF1D58"/>
    <w:rsid w:val="00AF239F"/>
    <w:rsid w:val="00AF23AA"/>
    <w:rsid w:val="00AF23C2"/>
    <w:rsid w:val="00AF3040"/>
    <w:rsid w:val="00AF39BC"/>
    <w:rsid w:val="00AF4046"/>
    <w:rsid w:val="00AF4F00"/>
    <w:rsid w:val="00AF51E5"/>
    <w:rsid w:val="00AF52E7"/>
    <w:rsid w:val="00AF5D55"/>
    <w:rsid w:val="00AF605B"/>
    <w:rsid w:val="00AF741B"/>
    <w:rsid w:val="00AF7453"/>
    <w:rsid w:val="00AF7C3D"/>
    <w:rsid w:val="00AF7E72"/>
    <w:rsid w:val="00B0115C"/>
    <w:rsid w:val="00B03A2D"/>
    <w:rsid w:val="00B0432F"/>
    <w:rsid w:val="00B043ED"/>
    <w:rsid w:val="00B046C8"/>
    <w:rsid w:val="00B054FF"/>
    <w:rsid w:val="00B05CB6"/>
    <w:rsid w:val="00B0633F"/>
    <w:rsid w:val="00B070A0"/>
    <w:rsid w:val="00B07CC0"/>
    <w:rsid w:val="00B07D53"/>
    <w:rsid w:val="00B102F5"/>
    <w:rsid w:val="00B103BE"/>
    <w:rsid w:val="00B103E9"/>
    <w:rsid w:val="00B10C24"/>
    <w:rsid w:val="00B11586"/>
    <w:rsid w:val="00B11B0C"/>
    <w:rsid w:val="00B11E6D"/>
    <w:rsid w:val="00B11FA4"/>
    <w:rsid w:val="00B12242"/>
    <w:rsid w:val="00B12F3B"/>
    <w:rsid w:val="00B1393B"/>
    <w:rsid w:val="00B140D2"/>
    <w:rsid w:val="00B14CD1"/>
    <w:rsid w:val="00B15491"/>
    <w:rsid w:val="00B1562F"/>
    <w:rsid w:val="00B159D6"/>
    <w:rsid w:val="00B16D63"/>
    <w:rsid w:val="00B17629"/>
    <w:rsid w:val="00B209D0"/>
    <w:rsid w:val="00B21D6E"/>
    <w:rsid w:val="00B22C39"/>
    <w:rsid w:val="00B22DE0"/>
    <w:rsid w:val="00B23D2D"/>
    <w:rsid w:val="00B24FEA"/>
    <w:rsid w:val="00B2540B"/>
    <w:rsid w:val="00B25B94"/>
    <w:rsid w:val="00B25FE6"/>
    <w:rsid w:val="00B26407"/>
    <w:rsid w:val="00B26CD6"/>
    <w:rsid w:val="00B27255"/>
    <w:rsid w:val="00B2749B"/>
    <w:rsid w:val="00B2763A"/>
    <w:rsid w:val="00B27A0A"/>
    <w:rsid w:val="00B30160"/>
    <w:rsid w:val="00B3068C"/>
    <w:rsid w:val="00B308B8"/>
    <w:rsid w:val="00B3155C"/>
    <w:rsid w:val="00B317DC"/>
    <w:rsid w:val="00B31E48"/>
    <w:rsid w:val="00B327F4"/>
    <w:rsid w:val="00B32E46"/>
    <w:rsid w:val="00B32F4E"/>
    <w:rsid w:val="00B3322F"/>
    <w:rsid w:val="00B334B1"/>
    <w:rsid w:val="00B33554"/>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56"/>
    <w:rsid w:val="00B42A22"/>
    <w:rsid w:val="00B45535"/>
    <w:rsid w:val="00B4553C"/>
    <w:rsid w:val="00B4572C"/>
    <w:rsid w:val="00B459C8"/>
    <w:rsid w:val="00B45BAB"/>
    <w:rsid w:val="00B46975"/>
    <w:rsid w:val="00B472EC"/>
    <w:rsid w:val="00B52046"/>
    <w:rsid w:val="00B5259A"/>
    <w:rsid w:val="00B528DA"/>
    <w:rsid w:val="00B52CB1"/>
    <w:rsid w:val="00B53C9A"/>
    <w:rsid w:val="00B53D31"/>
    <w:rsid w:val="00B553DF"/>
    <w:rsid w:val="00B5563C"/>
    <w:rsid w:val="00B57D54"/>
    <w:rsid w:val="00B60946"/>
    <w:rsid w:val="00B609C3"/>
    <w:rsid w:val="00B609D4"/>
    <w:rsid w:val="00B60FB5"/>
    <w:rsid w:val="00B62014"/>
    <w:rsid w:val="00B629C9"/>
    <w:rsid w:val="00B6342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11A"/>
    <w:rsid w:val="00B722FE"/>
    <w:rsid w:val="00B729F1"/>
    <w:rsid w:val="00B7300C"/>
    <w:rsid w:val="00B73222"/>
    <w:rsid w:val="00B74D56"/>
    <w:rsid w:val="00B759A8"/>
    <w:rsid w:val="00B75CCA"/>
    <w:rsid w:val="00B768A7"/>
    <w:rsid w:val="00B76970"/>
    <w:rsid w:val="00B7738B"/>
    <w:rsid w:val="00B77A42"/>
    <w:rsid w:val="00B77D39"/>
    <w:rsid w:val="00B77E9E"/>
    <w:rsid w:val="00B80406"/>
    <w:rsid w:val="00B80A5E"/>
    <w:rsid w:val="00B80F1F"/>
    <w:rsid w:val="00B8146F"/>
    <w:rsid w:val="00B8167D"/>
    <w:rsid w:val="00B82C49"/>
    <w:rsid w:val="00B82D90"/>
    <w:rsid w:val="00B82FB4"/>
    <w:rsid w:val="00B83B69"/>
    <w:rsid w:val="00B83DFC"/>
    <w:rsid w:val="00B86B7A"/>
    <w:rsid w:val="00B86B7E"/>
    <w:rsid w:val="00B87DD5"/>
    <w:rsid w:val="00B90F96"/>
    <w:rsid w:val="00B916C8"/>
    <w:rsid w:val="00B9219F"/>
    <w:rsid w:val="00B926CB"/>
    <w:rsid w:val="00B933B2"/>
    <w:rsid w:val="00B936CB"/>
    <w:rsid w:val="00B93CAF"/>
    <w:rsid w:val="00B941B6"/>
    <w:rsid w:val="00B94846"/>
    <w:rsid w:val="00B94A06"/>
    <w:rsid w:val="00B95288"/>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091F"/>
    <w:rsid w:val="00BB17AD"/>
    <w:rsid w:val="00BB292D"/>
    <w:rsid w:val="00BB300F"/>
    <w:rsid w:val="00BB369B"/>
    <w:rsid w:val="00BB3866"/>
    <w:rsid w:val="00BB3919"/>
    <w:rsid w:val="00BB3A56"/>
    <w:rsid w:val="00BB3E2E"/>
    <w:rsid w:val="00BB49CB"/>
    <w:rsid w:val="00BB4CAE"/>
    <w:rsid w:val="00BB6187"/>
    <w:rsid w:val="00BB67F1"/>
    <w:rsid w:val="00BB79C2"/>
    <w:rsid w:val="00BB7A85"/>
    <w:rsid w:val="00BB7F0F"/>
    <w:rsid w:val="00BC009B"/>
    <w:rsid w:val="00BC0EC7"/>
    <w:rsid w:val="00BC1722"/>
    <w:rsid w:val="00BC194A"/>
    <w:rsid w:val="00BC2214"/>
    <w:rsid w:val="00BC2825"/>
    <w:rsid w:val="00BC2E96"/>
    <w:rsid w:val="00BC365F"/>
    <w:rsid w:val="00BC406F"/>
    <w:rsid w:val="00BC458C"/>
    <w:rsid w:val="00BC4C88"/>
    <w:rsid w:val="00BC4F84"/>
    <w:rsid w:val="00BC59CA"/>
    <w:rsid w:val="00BC6970"/>
    <w:rsid w:val="00BC6D81"/>
    <w:rsid w:val="00BC6F87"/>
    <w:rsid w:val="00BC734E"/>
    <w:rsid w:val="00BC7713"/>
    <w:rsid w:val="00BC7C93"/>
    <w:rsid w:val="00BC7F2A"/>
    <w:rsid w:val="00BD0286"/>
    <w:rsid w:val="00BD1B3F"/>
    <w:rsid w:val="00BD33A9"/>
    <w:rsid w:val="00BD33BE"/>
    <w:rsid w:val="00BD3792"/>
    <w:rsid w:val="00BD3C72"/>
    <w:rsid w:val="00BD4E12"/>
    <w:rsid w:val="00BD5D4E"/>
    <w:rsid w:val="00BD7991"/>
    <w:rsid w:val="00BE0BDD"/>
    <w:rsid w:val="00BE118D"/>
    <w:rsid w:val="00BE21E3"/>
    <w:rsid w:val="00BE2CFF"/>
    <w:rsid w:val="00BE305B"/>
    <w:rsid w:val="00BE62B2"/>
    <w:rsid w:val="00BE6350"/>
    <w:rsid w:val="00BE6C24"/>
    <w:rsid w:val="00BE7287"/>
    <w:rsid w:val="00BE7C93"/>
    <w:rsid w:val="00BF0362"/>
    <w:rsid w:val="00BF0479"/>
    <w:rsid w:val="00BF0570"/>
    <w:rsid w:val="00BF0D73"/>
    <w:rsid w:val="00BF1D23"/>
    <w:rsid w:val="00BF1F82"/>
    <w:rsid w:val="00BF2520"/>
    <w:rsid w:val="00BF3470"/>
    <w:rsid w:val="00BF3B94"/>
    <w:rsid w:val="00BF3FF8"/>
    <w:rsid w:val="00BF4C53"/>
    <w:rsid w:val="00BF5294"/>
    <w:rsid w:val="00BF54DC"/>
    <w:rsid w:val="00BF5748"/>
    <w:rsid w:val="00BF576D"/>
    <w:rsid w:val="00BF6270"/>
    <w:rsid w:val="00BF67B7"/>
    <w:rsid w:val="00BF770B"/>
    <w:rsid w:val="00BF7D3A"/>
    <w:rsid w:val="00C001F5"/>
    <w:rsid w:val="00C00567"/>
    <w:rsid w:val="00C01510"/>
    <w:rsid w:val="00C01CEB"/>
    <w:rsid w:val="00C01F6E"/>
    <w:rsid w:val="00C03249"/>
    <w:rsid w:val="00C03AD7"/>
    <w:rsid w:val="00C05896"/>
    <w:rsid w:val="00C0599A"/>
    <w:rsid w:val="00C073DA"/>
    <w:rsid w:val="00C07C15"/>
    <w:rsid w:val="00C10B9B"/>
    <w:rsid w:val="00C10C30"/>
    <w:rsid w:val="00C1104C"/>
    <w:rsid w:val="00C1134C"/>
    <w:rsid w:val="00C11577"/>
    <w:rsid w:val="00C11DC5"/>
    <w:rsid w:val="00C11F13"/>
    <w:rsid w:val="00C11F39"/>
    <w:rsid w:val="00C11F55"/>
    <w:rsid w:val="00C12249"/>
    <w:rsid w:val="00C1250E"/>
    <w:rsid w:val="00C139A1"/>
    <w:rsid w:val="00C1448C"/>
    <w:rsid w:val="00C14D7A"/>
    <w:rsid w:val="00C17059"/>
    <w:rsid w:val="00C17174"/>
    <w:rsid w:val="00C171C5"/>
    <w:rsid w:val="00C17B44"/>
    <w:rsid w:val="00C17F63"/>
    <w:rsid w:val="00C2041C"/>
    <w:rsid w:val="00C20869"/>
    <w:rsid w:val="00C20DC6"/>
    <w:rsid w:val="00C2113D"/>
    <w:rsid w:val="00C215D1"/>
    <w:rsid w:val="00C218A2"/>
    <w:rsid w:val="00C21AE1"/>
    <w:rsid w:val="00C223D1"/>
    <w:rsid w:val="00C22449"/>
    <w:rsid w:val="00C2248F"/>
    <w:rsid w:val="00C227C6"/>
    <w:rsid w:val="00C230F6"/>
    <w:rsid w:val="00C23F8A"/>
    <w:rsid w:val="00C24B05"/>
    <w:rsid w:val="00C25D31"/>
    <w:rsid w:val="00C265D0"/>
    <w:rsid w:val="00C26A6C"/>
    <w:rsid w:val="00C26FE5"/>
    <w:rsid w:val="00C3022B"/>
    <w:rsid w:val="00C30723"/>
    <w:rsid w:val="00C31756"/>
    <w:rsid w:val="00C31F7F"/>
    <w:rsid w:val="00C32186"/>
    <w:rsid w:val="00C32A3B"/>
    <w:rsid w:val="00C335AE"/>
    <w:rsid w:val="00C346DA"/>
    <w:rsid w:val="00C35C70"/>
    <w:rsid w:val="00C35E26"/>
    <w:rsid w:val="00C36684"/>
    <w:rsid w:val="00C36F0A"/>
    <w:rsid w:val="00C36F4F"/>
    <w:rsid w:val="00C372CB"/>
    <w:rsid w:val="00C4067A"/>
    <w:rsid w:val="00C41480"/>
    <w:rsid w:val="00C44052"/>
    <w:rsid w:val="00C44368"/>
    <w:rsid w:val="00C46111"/>
    <w:rsid w:val="00C46822"/>
    <w:rsid w:val="00C46CE5"/>
    <w:rsid w:val="00C50260"/>
    <w:rsid w:val="00C51395"/>
    <w:rsid w:val="00C51553"/>
    <w:rsid w:val="00C518A5"/>
    <w:rsid w:val="00C51A60"/>
    <w:rsid w:val="00C52334"/>
    <w:rsid w:val="00C52C65"/>
    <w:rsid w:val="00C53110"/>
    <w:rsid w:val="00C53636"/>
    <w:rsid w:val="00C53B12"/>
    <w:rsid w:val="00C541B2"/>
    <w:rsid w:val="00C54928"/>
    <w:rsid w:val="00C54A44"/>
    <w:rsid w:val="00C54E2A"/>
    <w:rsid w:val="00C5661F"/>
    <w:rsid w:val="00C57085"/>
    <w:rsid w:val="00C575AF"/>
    <w:rsid w:val="00C576FC"/>
    <w:rsid w:val="00C57B30"/>
    <w:rsid w:val="00C60361"/>
    <w:rsid w:val="00C60738"/>
    <w:rsid w:val="00C608D7"/>
    <w:rsid w:val="00C60D9F"/>
    <w:rsid w:val="00C60EB0"/>
    <w:rsid w:val="00C617F6"/>
    <w:rsid w:val="00C620BA"/>
    <w:rsid w:val="00C62474"/>
    <w:rsid w:val="00C627C5"/>
    <w:rsid w:val="00C633F7"/>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2DD5"/>
    <w:rsid w:val="00C733A6"/>
    <w:rsid w:val="00C737B0"/>
    <w:rsid w:val="00C73D39"/>
    <w:rsid w:val="00C75B40"/>
    <w:rsid w:val="00C7675A"/>
    <w:rsid w:val="00C76E9D"/>
    <w:rsid w:val="00C816DF"/>
    <w:rsid w:val="00C820EE"/>
    <w:rsid w:val="00C84713"/>
    <w:rsid w:val="00C84758"/>
    <w:rsid w:val="00C853AB"/>
    <w:rsid w:val="00C85F72"/>
    <w:rsid w:val="00C86896"/>
    <w:rsid w:val="00C876E1"/>
    <w:rsid w:val="00C87792"/>
    <w:rsid w:val="00C908A9"/>
    <w:rsid w:val="00C908BE"/>
    <w:rsid w:val="00C91507"/>
    <w:rsid w:val="00C91B05"/>
    <w:rsid w:val="00C940C2"/>
    <w:rsid w:val="00C952E9"/>
    <w:rsid w:val="00C95AC8"/>
    <w:rsid w:val="00C9760B"/>
    <w:rsid w:val="00C976E0"/>
    <w:rsid w:val="00C9796B"/>
    <w:rsid w:val="00C97C19"/>
    <w:rsid w:val="00CA0174"/>
    <w:rsid w:val="00CA0C53"/>
    <w:rsid w:val="00CA1AE4"/>
    <w:rsid w:val="00CA1E0C"/>
    <w:rsid w:val="00CA1FA7"/>
    <w:rsid w:val="00CA20E3"/>
    <w:rsid w:val="00CA245C"/>
    <w:rsid w:val="00CA26EC"/>
    <w:rsid w:val="00CA2EC6"/>
    <w:rsid w:val="00CA423D"/>
    <w:rsid w:val="00CA4A23"/>
    <w:rsid w:val="00CA4AC4"/>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277F"/>
    <w:rsid w:val="00CB2D1B"/>
    <w:rsid w:val="00CB310A"/>
    <w:rsid w:val="00CB3318"/>
    <w:rsid w:val="00CB3628"/>
    <w:rsid w:val="00CB407C"/>
    <w:rsid w:val="00CB46B4"/>
    <w:rsid w:val="00CB4940"/>
    <w:rsid w:val="00CB5D5B"/>
    <w:rsid w:val="00CB6D0C"/>
    <w:rsid w:val="00CB6E94"/>
    <w:rsid w:val="00CB7060"/>
    <w:rsid w:val="00CB77F2"/>
    <w:rsid w:val="00CB7DD6"/>
    <w:rsid w:val="00CC0438"/>
    <w:rsid w:val="00CC0563"/>
    <w:rsid w:val="00CC140D"/>
    <w:rsid w:val="00CC2270"/>
    <w:rsid w:val="00CC3277"/>
    <w:rsid w:val="00CC385B"/>
    <w:rsid w:val="00CC4207"/>
    <w:rsid w:val="00CC4915"/>
    <w:rsid w:val="00CC5222"/>
    <w:rsid w:val="00CC5775"/>
    <w:rsid w:val="00CC57E5"/>
    <w:rsid w:val="00CC62CD"/>
    <w:rsid w:val="00CC7881"/>
    <w:rsid w:val="00CC7971"/>
    <w:rsid w:val="00CD0422"/>
    <w:rsid w:val="00CD0982"/>
    <w:rsid w:val="00CD124B"/>
    <w:rsid w:val="00CD19CF"/>
    <w:rsid w:val="00CD2987"/>
    <w:rsid w:val="00CD2A22"/>
    <w:rsid w:val="00CD2A3D"/>
    <w:rsid w:val="00CD2D13"/>
    <w:rsid w:val="00CD2EE0"/>
    <w:rsid w:val="00CD400D"/>
    <w:rsid w:val="00CD40C7"/>
    <w:rsid w:val="00CD476C"/>
    <w:rsid w:val="00CD5885"/>
    <w:rsid w:val="00CD5D11"/>
    <w:rsid w:val="00CD63D3"/>
    <w:rsid w:val="00CD6924"/>
    <w:rsid w:val="00CD7055"/>
    <w:rsid w:val="00CD7340"/>
    <w:rsid w:val="00CD73A9"/>
    <w:rsid w:val="00CE06B1"/>
    <w:rsid w:val="00CE0944"/>
    <w:rsid w:val="00CE0A76"/>
    <w:rsid w:val="00CE0CBC"/>
    <w:rsid w:val="00CE1F13"/>
    <w:rsid w:val="00CE227D"/>
    <w:rsid w:val="00CE2E56"/>
    <w:rsid w:val="00CE3120"/>
    <w:rsid w:val="00CE3C60"/>
    <w:rsid w:val="00CE42DB"/>
    <w:rsid w:val="00CE47B5"/>
    <w:rsid w:val="00CE4C6F"/>
    <w:rsid w:val="00CE52CC"/>
    <w:rsid w:val="00CE53F4"/>
    <w:rsid w:val="00CE5510"/>
    <w:rsid w:val="00CE5B5C"/>
    <w:rsid w:val="00CE5B69"/>
    <w:rsid w:val="00CE6071"/>
    <w:rsid w:val="00CE66E3"/>
    <w:rsid w:val="00CE793F"/>
    <w:rsid w:val="00CF0FA5"/>
    <w:rsid w:val="00CF15DD"/>
    <w:rsid w:val="00CF223D"/>
    <w:rsid w:val="00CF2824"/>
    <w:rsid w:val="00CF3526"/>
    <w:rsid w:val="00CF357F"/>
    <w:rsid w:val="00CF3A33"/>
    <w:rsid w:val="00CF3C7D"/>
    <w:rsid w:val="00CF45BF"/>
    <w:rsid w:val="00CF4755"/>
    <w:rsid w:val="00CF49F4"/>
    <w:rsid w:val="00CF51C1"/>
    <w:rsid w:val="00CF5B47"/>
    <w:rsid w:val="00CF5B54"/>
    <w:rsid w:val="00CF5EE3"/>
    <w:rsid w:val="00CF6C01"/>
    <w:rsid w:val="00CF7105"/>
    <w:rsid w:val="00CF7271"/>
    <w:rsid w:val="00CF7305"/>
    <w:rsid w:val="00D005E0"/>
    <w:rsid w:val="00D012FF"/>
    <w:rsid w:val="00D0157B"/>
    <w:rsid w:val="00D01CC4"/>
    <w:rsid w:val="00D01E6B"/>
    <w:rsid w:val="00D0354D"/>
    <w:rsid w:val="00D0497C"/>
    <w:rsid w:val="00D04F45"/>
    <w:rsid w:val="00D04FAA"/>
    <w:rsid w:val="00D0548B"/>
    <w:rsid w:val="00D05AEE"/>
    <w:rsid w:val="00D05D6E"/>
    <w:rsid w:val="00D06413"/>
    <w:rsid w:val="00D0648D"/>
    <w:rsid w:val="00D06EB9"/>
    <w:rsid w:val="00D1153F"/>
    <w:rsid w:val="00D11995"/>
    <w:rsid w:val="00D11BFB"/>
    <w:rsid w:val="00D11CFD"/>
    <w:rsid w:val="00D12432"/>
    <w:rsid w:val="00D133F6"/>
    <w:rsid w:val="00D13808"/>
    <w:rsid w:val="00D146FE"/>
    <w:rsid w:val="00D1581E"/>
    <w:rsid w:val="00D15D19"/>
    <w:rsid w:val="00D15D93"/>
    <w:rsid w:val="00D15DA1"/>
    <w:rsid w:val="00D15EEC"/>
    <w:rsid w:val="00D1635E"/>
    <w:rsid w:val="00D16380"/>
    <w:rsid w:val="00D163FF"/>
    <w:rsid w:val="00D166B5"/>
    <w:rsid w:val="00D16BA6"/>
    <w:rsid w:val="00D16E87"/>
    <w:rsid w:val="00D17335"/>
    <w:rsid w:val="00D17F7B"/>
    <w:rsid w:val="00D2079E"/>
    <w:rsid w:val="00D212FD"/>
    <w:rsid w:val="00D21356"/>
    <w:rsid w:val="00D2142F"/>
    <w:rsid w:val="00D216EE"/>
    <w:rsid w:val="00D21C38"/>
    <w:rsid w:val="00D220B5"/>
    <w:rsid w:val="00D233CD"/>
    <w:rsid w:val="00D23AD3"/>
    <w:rsid w:val="00D23EE2"/>
    <w:rsid w:val="00D23FC0"/>
    <w:rsid w:val="00D23FCE"/>
    <w:rsid w:val="00D24364"/>
    <w:rsid w:val="00D2469E"/>
    <w:rsid w:val="00D24C0E"/>
    <w:rsid w:val="00D2649E"/>
    <w:rsid w:val="00D27300"/>
    <w:rsid w:val="00D27875"/>
    <w:rsid w:val="00D307FD"/>
    <w:rsid w:val="00D30A3B"/>
    <w:rsid w:val="00D3129D"/>
    <w:rsid w:val="00D31E2D"/>
    <w:rsid w:val="00D321E8"/>
    <w:rsid w:val="00D328E1"/>
    <w:rsid w:val="00D32E01"/>
    <w:rsid w:val="00D33975"/>
    <w:rsid w:val="00D33A8C"/>
    <w:rsid w:val="00D33ED9"/>
    <w:rsid w:val="00D346D4"/>
    <w:rsid w:val="00D34D1F"/>
    <w:rsid w:val="00D35597"/>
    <w:rsid w:val="00D35689"/>
    <w:rsid w:val="00D36180"/>
    <w:rsid w:val="00D365FA"/>
    <w:rsid w:val="00D37093"/>
    <w:rsid w:val="00D37C81"/>
    <w:rsid w:val="00D40425"/>
    <w:rsid w:val="00D40BC3"/>
    <w:rsid w:val="00D40D6B"/>
    <w:rsid w:val="00D4129E"/>
    <w:rsid w:val="00D418A3"/>
    <w:rsid w:val="00D42946"/>
    <w:rsid w:val="00D43984"/>
    <w:rsid w:val="00D44230"/>
    <w:rsid w:val="00D4459D"/>
    <w:rsid w:val="00D45853"/>
    <w:rsid w:val="00D46BE9"/>
    <w:rsid w:val="00D46CD0"/>
    <w:rsid w:val="00D46FA2"/>
    <w:rsid w:val="00D471AD"/>
    <w:rsid w:val="00D47451"/>
    <w:rsid w:val="00D47947"/>
    <w:rsid w:val="00D50053"/>
    <w:rsid w:val="00D504FA"/>
    <w:rsid w:val="00D50F10"/>
    <w:rsid w:val="00D50F83"/>
    <w:rsid w:val="00D512D8"/>
    <w:rsid w:val="00D51610"/>
    <w:rsid w:val="00D516DF"/>
    <w:rsid w:val="00D51A99"/>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675"/>
    <w:rsid w:val="00D639C5"/>
    <w:rsid w:val="00D63DB5"/>
    <w:rsid w:val="00D64155"/>
    <w:rsid w:val="00D64BEA"/>
    <w:rsid w:val="00D65C02"/>
    <w:rsid w:val="00D661D2"/>
    <w:rsid w:val="00D66410"/>
    <w:rsid w:val="00D66648"/>
    <w:rsid w:val="00D66FDA"/>
    <w:rsid w:val="00D67292"/>
    <w:rsid w:val="00D70C38"/>
    <w:rsid w:val="00D710E5"/>
    <w:rsid w:val="00D71197"/>
    <w:rsid w:val="00D7178C"/>
    <w:rsid w:val="00D72008"/>
    <w:rsid w:val="00D72192"/>
    <w:rsid w:val="00D72D32"/>
    <w:rsid w:val="00D731D1"/>
    <w:rsid w:val="00D73AC1"/>
    <w:rsid w:val="00D73BD2"/>
    <w:rsid w:val="00D73FC4"/>
    <w:rsid w:val="00D73FE8"/>
    <w:rsid w:val="00D74538"/>
    <w:rsid w:val="00D749CB"/>
    <w:rsid w:val="00D74C9E"/>
    <w:rsid w:val="00D75818"/>
    <w:rsid w:val="00D75E77"/>
    <w:rsid w:val="00D75F19"/>
    <w:rsid w:val="00D77AD8"/>
    <w:rsid w:val="00D80973"/>
    <w:rsid w:val="00D80BD8"/>
    <w:rsid w:val="00D82A2B"/>
    <w:rsid w:val="00D8301D"/>
    <w:rsid w:val="00D8473E"/>
    <w:rsid w:val="00D86255"/>
    <w:rsid w:val="00D863D1"/>
    <w:rsid w:val="00D872B7"/>
    <w:rsid w:val="00D8763A"/>
    <w:rsid w:val="00D87DCF"/>
    <w:rsid w:val="00D87F5B"/>
    <w:rsid w:val="00D90125"/>
    <w:rsid w:val="00D9057B"/>
    <w:rsid w:val="00D9096B"/>
    <w:rsid w:val="00D90ED1"/>
    <w:rsid w:val="00D91C34"/>
    <w:rsid w:val="00D92189"/>
    <w:rsid w:val="00D925C5"/>
    <w:rsid w:val="00D9279F"/>
    <w:rsid w:val="00D940EE"/>
    <w:rsid w:val="00D94D1D"/>
    <w:rsid w:val="00D94E4C"/>
    <w:rsid w:val="00D95709"/>
    <w:rsid w:val="00D958A7"/>
    <w:rsid w:val="00D96C09"/>
    <w:rsid w:val="00D96D46"/>
    <w:rsid w:val="00D97B72"/>
    <w:rsid w:val="00D97CF6"/>
    <w:rsid w:val="00DA0AD6"/>
    <w:rsid w:val="00DA0BBE"/>
    <w:rsid w:val="00DA11AE"/>
    <w:rsid w:val="00DA16E5"/>
    <w:rsid w:val="00DA1BE9"/>
    <w:rsid w:val="00DA283D"/>
    <w:rsid w:val="00DA3E12"/>
    <w:rsid w:val="00DA4141"/>
    <w:rsid w:val="00DA417B"/>
    <w:rsid w:val="00DA45BD"/>
    <w:rsid w:val="00DA52EB"/>
    <w:rsid w:val="00DA5CD6"/>
    <w:rsid w:val="00DA6868"/>
    <w:rsid w:val="00DB0312"/>
    <w:rsid w:val="00DB09DA"/>
    <w:rsid w:val="00DB115A"/>
    <w:rsid w:val="00DB1B88"/>
    <w:rsid w:val="00DB3213"/>
    <w:rsid w:val="00DB387C"/>
    <w:rsid w:val="00DB43F8"/>
    <w:rsid w:val="00DB46DA"/>
    <w:rsid w:val="00DB5A7F"/>
    <w:rsid w:val="00DB640B"/>
    <w:rsid w:val="00DB656B"/>
    <w:rsid w:val="00DB6A23"/>
    <w:rsid w:val="00DB75BE"/>
    <w:rsid w:val="00DB7D6B"/>
    <w:rsid w:val="00DC01DD"/>
    <w:rsid w:val="00DC0423"/>
    <w:rsid w:val="00DC29D6"/>
    <w:rsid w:val="00DC430F"/>
    <w:rsid w:val="00DC43B0"/>
    <w:rsid w:val="00DC478C"/>
    <w:rsid w:val="00DC47BF"/>
    <w:rsid w:val="00DC4CEC"/>
    <w:rsid w:val="00DC5055"/>
    <w:rsid w:val="00DC5F0A"/>
    <w:rsid w:val="00DC6348"/>
    <w:rsid w:val="00DC6447"/>
    <w:rsid w:val="00DC6BC0"/>
    <w:rsid w:val="00DC6F43"/>
    <w:rsid w:val="00DC7AD9"/>
    <w:rsid w:val="00DC7D41"/>
    <w:rsid w:val="00DD0C80"/>
    <w:rsid w:val="00DD2409"/>
    <w:rsid w:val="00DD24AB"/>
    <w:rsid w:val="00DD2798"/>
    <w:rsid w:val="00DD2A6B"/>
    <w:rsid w:val="00DD3A79"/>
    <w:rsid w:val="00DD4174"/>
    <w:rsid w:val="00DD418A"/>
    <w:rsid w:val="00DD41E4"/>
    <w:rsid w:val="00DD452E"/>
    <w:rsid w:val="00DD4929"/>
    <w:rsid w:val="00DD6998"/>
    <w:rsid w:val="00DD7C1F"/>
    <w:rsid w:val="00DD7C32"/>
    <w:rsid w:val="00DE00A7"/>
    <w:rsid w:val="00DE0A7D"/>
    <w:rsid w:val="00DE0DC9"/>
    <w:rsid w:val="00DE12EF"/>
    <w:rsid w:val="00DE19AA"/>
    <w:rsid w:val="00DE367F"/>
    <w:rsid w:val="00DE3E2A"/>
    <w:rsid w:val="00DE5469"/>
    <w:rsid w:val="00DE5D83"/>
    <w:rsid w:val="00DE7DBA"/>
    <w:rsid w:val="00DE7FB5"/>
    <w:rsid w:val="00DF0953"/>
    <w:rsid w:val="00DF33E8"/>
    <w:rsid w:val="00DF354D"/>
    <w:rsid w:val="00DF3B05"/>
    <w:rsid w:val="00DF44BC"/>
    <w:rsid w:val="00DF46D2"/>
    <w:rsid w:val="00DF5209"/>
    <w:rsid w:val="00DF5300"/>
    <w:rsid w:val="00DF57C2"/>
    <w:rsid w:val="00DF61C2"/>
    <w:rsid w:val="00DF649D"/>
    <w:rsid w:val="00DF7086"/>
    <w:rsid w:val="00DF736E"/>
    <w:rsid w:val="00DF7E21"/>
    <w:rsid w:val="00E00733"/>
    <w:rsid w:val="00E00948"/>
    <w:rsid w:val="00E0097B"/>
    <w:rsid w:val="00E00C13"/>
    <w:rsid w:val="00E00C41"/>
    <w:rsid w:val="00E01D40"/>
    <w:rsid w:val="00E024F6"/>
    <w:rsid w:val="00E0287E"/>
    <w:rsid w:val="00E02D84"/>
    <w:rsid w:val="00E037FD"/>
    <w:rsid w:val="00E040B4"/>
    <w:rsid w:val="00E04271"/>
    <w:rsid w:val="00E04F16"/>
    <w:rsid w:val="00E053BA"/>
    <w:rsid w:val="00E0562D"/>
    <w:rsid w:val="00E05C05"/>
    <w:rsid w:val="00E06510"/>
    <w:rsid w:val="00E066EF"/>
    <w:rsid w:val="00E07254"/>
    <w:rsid w:val="00E072B0"/>
    <w:rsid w:val="00E07C90"/>
    <w:rsid w:val="00E111E7"/>
    <w:rsid w:val="00E111F8"/>
    <w:rsid w:val="00E11C10"/>
    <w:rsid w:val="00E12618"/>
    <w:rsid w:val="00E129DF"/>
    <w:rsid w:val="00E12B5D"/>
    <w:rsid w:val="00E13435"/>
    <w:rsid w:val="00E13F23"/>
    <w:rsid w:val="00E143D4"/>
    <w:rsid w:val="00E14773"/>
    <w:rsid w:val="00E1521D"/>
    <w:rsid w:val="00E155E5"/>
    <w:rsid w:val="00E16E19"/>
    <w:rsid w:val="00E16F30"/>
    <w:rsid w:val="00E1769F"/>
    <w:rsid w:val="00E17930"/>
    <w:rsid w:val="00E20164"/>
    <w:rsid w:val="00E21AA6"/>
    <w:rsid w:val="00E21DF6"/>
    <w:rsid w:val="00E22387"/>
    <w:rsid w:val="00E223DC"/>
    <w:rsid w:val="00E2304B"/>
    <w:rsid w:val="00E2320D"/>
    <w:rsid w:val="00E232E1"/>
    <w:rsid w:val="00E23447"/>
    <w:rsid w:val="00E2348D"/>
    <w:rsid w:val="00E23F6C"/>
    <w:rsid w:val="00E23FBF"/>
    <w:rsid w:val="00E24A35"/>
    <w:rsid w:val="00E24B61"/>
    <w:rsid w:val="00E24E2E"/>
    <w:rsid w:val="00E2523E"/>
    <w:rsid w:val="00E25549"/>
    <w:rsid w:val="00E25603"/>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5279"/>
    <w:rsid w:val="00E36F8A"/>
    <w:rsid w:val="00E374E4"/>
    <w:rsid w:val="00E37A6A"/>
    <w:rsid w:val="00E37CC3"/>
    <w:rsid w:val="00E40479"/>
    <w:rsid w:val="00E40FB5"/>
    <w:rsid w:val="00E4192C"/>
    <w:rsid w:val="00E41DF6"/>
    <w:rsid w:val="00E420CB"/>
    <w:rsid w:val="00E44877"/>
    <w:rsid w:val="00E451B6"/>
    <w:rsid w:val="00E454AD"/>
    <w:rsid w:val="00E4671A"/>
    <w:rsid w:val="00E474DE"/>
    <w:rsid w:val="00E47920"/>
    <w:rsid w:val="00E5019C"/>
    <w:rsid w:val="00E50240"/>
    <w:rsid w:val="00E51311"/>
    <w:rsid w:val="00E51652"/>
    <w:rsid w:val="00E51D11"/>
    <w:rsid w:val="00E52056"/>
    <w:rsid w:val="00E522E3"/>
    <w:rsid w:val="00E523B4"/>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B98"/>
    <w:rsid w:val="00E62F16"/>
    <w:rsid w:val="00E631E5"/>
    <w:rsid w:val="00E6329E"/>
    <w:rsid w:val="00E6390E"/>
    <w:rsid w:val="00E65018"/>
    <w:rsid w:val="00E660A7"/>
    <w:rsid w:val="00E66EAB"/>
    <w:rsid w:val="00E6703B"/>
    <w:rsid w:val="00E67339"/>
    <w:rsid w:val="00E6734C"/>
    <w:rsid w:val="00E67560"/>
    <w:rsid w:val="00E67B4D"/>
    <w:rsid w:val="00E67B50"/>
    <w:rsid w:val="00E67EF0"/>
    <w:rsid w:val="00E705EE"/>
    <w:rsid w:val="00E70B72"/>
    <w:rsid w:val="00E70FDA"/>
    <w:rsid w:val="00E722A2"/>
    <w:rsid w:val="00E729B9"/>
    <w:rsid w:val="00E742E4"/>
    <w:rsid w:val="00E7508D"/>
    <w:rsid w:val="00E752A9"/>
    <w:rsid w:val="00E75529"/>
    <w:rsid w:val="00E75D96"/>
    <w:rsid w:val="00E75DC3"/>
    <w:rsid w:val="00E75EF0"/>
    <w:rsid w:val="00E76D6E"/>
    <w:rsid w:val="00E7757E"/>
    <w:rsid w:val="00E7789E"/>
    <w:rsid w:val="00E77A75"/>
    <w:rsid w:val="00E77B23"/>
    <w:rsid w:val="00E77D56"/>
    <w:rsid w:val="00E80364"/>
    <w:rsid w:val="00E80511"/>
    <w:rsid w:val="00E8108F"/>
    <w:rsid w:val="00E81C1A"/>
    <w:rsid w:val="00E81C1F"/>
    <w:rsid w:val="00E822F5"/>
    <w:rsid w:val="00E82F79"/>
    <w:rsid w:val="00E83C04"/>
    <w:rsid w:val="00E83F2F"/>
    <w:rsid w:val="00E843F7"/>
    <w:rsid w:val="00E846F7"/>
    <w:rsid w:val="00E84FD5"/>
    <w:rsid w:val="00E8551B"/>
    <w:rsid w:val="00E878A3"/>
    <w:rsid w:val="00E900A4"/>
    <w:rsid w:val="00E9041B"/>
    <w:rsid w:val="00E91398"/>
    <w:rsid w:val="00E9159F"/>
    <w:rsid w:val="00E91748"/>
    <w:rsid w:val="00E91BF4"/>
    <w:rsid w:val="00E91E02"/>
    <w:rsid w:val="00E92398"/>
    <w:rsid w:val="00E925B8"/>
    <w:rsid w:val="00E92CBF"/>
    <w:rsid w:val="00E92E0A"/>
    <w:rsid w:val="00E937C9"/>
    <w:rsid w:val="00E9381C"/>
    <w:rsid w:val="00E93CFD"/>
    <w:rsid w:val="00E94584"/>
    <w:rsid w:val="00E95058"/>
    <w:rsid w:val="00E95C26"/>
    <w:rsid w:val="00E95CEA"/>
    <w:rsid w:val="00E967F1"/>
    <w:rsid w:val="00E97D20"/>
    <w:rsid w:val="00E97FE2"/>
    <w:rsid w:val="00E97FE6"/>
    <w:rsid w:val="00EA08E8"/>
    <w:rsid w:val="00EA1903"/>
    <w:rsid w:val="00EA1A5A"/>
    <w:rsid w:val="00EA2FC0"/>
    <w:rsid w:val="00EA3F5C"/>
    <w:rsid w:val="00EA4397"/>
    <w:rsid w:val="00EA499D"/>
    <w:rsid w:val="00EA4FFF"/>
    <w:rsid w:val="00EA54A1"/>
    <w:rsid w:val="00EA54AD"/>
    <w:rsid w:val="00EA58A0"/>
    <w:rsid w:val="00EA5AE3"/>
    <w:rsid w:val="00EA5C8C"/>
    <w:rsid w:val="00EA5ECB"/>
    <w:rsid w:val="00EA62F8"/>
    <w:rsid w:val="00EA6B56"/>
    <w:rsid w:val="00EA6D49"/>
    <w:rsid w:val="00EA7144"/>
    <w:rsid w:val="00EA7D0C"/>
    <w:rsid w:val="00EA7F0B"/>
    <w:rsid w:val="00EB0CCF"/>
    <w:rsid w:val="00EB114C"/>
    <w:rsid w:val="00EB18C0"/>
    <w:rsid w:val="00EB20F4"/>
    <w:rsid w:val="00EB2490"/>
    <w:rsid w:val="00EB3F05"/>
    <w:rsid w:val="00EB43BA"/>
    <w:rsid w:val="00EB56C4"/>
    <w:rsid w:val="00EB5955"/>
    <w:rsid w:val="00EB6662"/>
    <w:rsid w:val="00EB6E71"/>
    <w:rsid w:val="00EB7657"/>
    <w:rsid w:val="00EC05E1"/>
    <w:rsid w:val="00EC07BA"/>
    <w:rsid w:val="00EC08E4"/>
    <w:rsid w:val="00EC23D8"/>
    <w:rsid w:val="00EC3785"/>
    <w:rsid w:val="00EC3B2D"/>
    <w:rsid w:val="00EC3E5A"/>
    <w:rsid w:val="00EC458A"/>
    <w:rsid w:val="00EC51A1"/>
    <w:rsid w:val="00EC6178"/>
    <w:rsid w:val="00EC65DD"/>
    <w:rsid w:val="00EC6A56"/>
    <w:rsid w:val="00EC7166"/>
    <w:rsid w:val="00EC7E78"/>
    <w:rsid w:val="00ED06AD"/>
    <w:rsid w:val="00ED0BED"/>
    <w:rsid w:val="00ED1232"/>
    <w:rsid w:val="00ED1A7F"/>
    <w:rsid w:val="00ED22C5"/>
    <w:rsid w:val="00ED3503"/>
    <w:rsid w:val="00ED35D8"/>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73"/>
    <w:rsid w:val="00EE5C23"/>
    <w:rsid w:val="00EE67FE"/>
    <w:rsid w:val="00EE703E"/>
    <w:rsid w:val="00EE76F0"/>
    <w:rsid w:val="00EE7B1C"/>
    <w:rsid w:val="00EF02BD"/>
    <w:rsid w:val="00EF17B9"/>
    <w:rsid w:val="00EF1EB9"/>
    <w:rsid w:val="00EF20AF"/>
    <w:rsid w:val="00EF274D"/>
    <w:rsid w:val="00EF34F6"/>
    <w:rsid w:val="00EF355D"/>
    <w:rsid w:val="00EF3725"/>
    <w:rsid w:val="00EF37B5"/>
    <w:rsid w:val="00EF388A"/>
    <w:rsid w:val="00EF3D14"/>
    <w:rsid w:val="00EF3EEE"/>
    <w:rsid w:val="00EF3F88"/>
    <w:rsid w:val="00EF43A2"/>
    <w:rsid w:val="00EF75A6"/>
    <w:rsid w:val="00F0045E"/>
    <w:rsid w:val="00F00724"/>
    <w:rsid w:val="00F00774"/>
    <w:rsid w:val="00F0081B"/>
    <w:rsid w:val="00F01968"/>
    <w:rsid w:val="00F01F95"/>
    <w:rsid w:val="00F0256E"/>
    <w:rsid w:val="00F03681"/>
    <w:rsid w:val="00F03E2F"/>
    <w:rsid w:val="00F04D9B"/>
    <w:rsid w:val="00F05AB5"/>
    <w:rsid w:val="00F05BC9"/>
    <w:rsid w:val="00F0608B"/>
    <w:rsid w:val="00F0659C"/>
    <w:rsid w:val="00F06776"/>
    <w:rsid w:val="00F06CDD"/>
    <w:rsid w:val="00F06D5D"/>
    <w:rsid w:val="00F102AB"/>
    <w:rsid w:val="00F11AA5"/>
    <w:rsid w:val="00F11E55"/>
    <w:rsid w:val="00F12756"/>
    <w:rsid w:val="00F128DE"/>
    <w:rsid w:val="00F12B44"/>
    <w:rsid w:val="00F12DF4"/>
    <w:rsid w:val="00F13400"/>
    <w:rsid w:val="00F1411B"/>
    <w:rsid w:val="00F14700"/>
    <w:rsid w:val="00F14C07"/>
    <w:rsid w:val="00F14C0C"/>
    <w:rsid w:val="00F14CD6"/>
    <w:rsid w:val="00F154D7"/>
    <w:rsid w:val="00F1585C"/>
    <w:rsid w:val="00F15915"/>
    <w:rsid w:val="00F15FFE"/>
    <w:rsid w:val="00F163F8"/>
    <w:rsid w:val="00F16901"/>
    <w:rsid w:val="00F16D92"/>
    <w:rsid w:val="00F17267"/>
    <w:rsid w:val="00F2210C"/>
    <w:rsid w:val="00F229BA"/>
    <w:rsid w:val="00F231FB"/>
    <w:rsid w:val="00F243C4"/>
    <w:rsid w:val="00F243FF"/>
    <w:rsid w:val="00F25199"/>
    <w:rsid w:val="00F254D8"/>
    <w:rsid w:val="00F26955"/>
    <w:rsid w:val="00F26A46"/>
    <w:rsid w:val="00F26F86"/>
    <w:rsid w:val="00F271AB"/>
    <w:rsid w:val="00F2780A"/>
    <w:rsid w:val="00F30129"/>
    <w:rsid w:val="00F311C3"/>
    <w:rsid w:val="00F314EF"/>
    <w:rsid w:val="00F3167E"/>
    <w:rsid w:val="00F318FA"/>
    <w:rsid w:val="00F332B2"/>
    <w:rsid w:val="00F33DD2"/>
    <w:rsid w:val="00F33E94"/>
    <w:rsid w:val="00F33F0D"/>
    <w:rsid w:val="00F352BD"/>
    <w:rsid w:val="00F3589E"/>
    <w:rsid w:val="00F35DAE"/>
    <w:rsid w:val="00F36723"/>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4EC8"/>
    <w:rsid w:val="00F452E7"/>
    <w:rsid w:val="00F4670C"/>
    <w:rsid w:val="00F467C0"/>
    <w:rsid w:val="00F47C6B"/>
    <w:rsid w:val="00F503D2"/>
    <w:rsid w:val="00F505AC"/>
    <w:rsid w:val="00F50603"/>
    <w:rsid w:val="00F50C03"/>
    <w:rsid w:val="00F50F47"/>
    <w:rsid w:val="00F51899"/>
    <w:rsid w:val="00F518A5"/>
    <w:rsid w:val="00F51E43"/>
    <w:rsid w:val="00F51E44"/>
    <w:rsid w:val="00F5253A"/>
    <w:rsid w:val="00F52EA2"/>
    <w:rsid w:val="00F52F22"/>
    <w:rsid w:val="00F52F51"/>
    <w:rsid w:val="00F5325B"/>
    <w:rsid w:val="00F53AF0"/>
    <w:rsid w:val="00F55337"/>
    <w:rsid w:val="00F55F0A"/>
    <w:rsid w:val="00F56456"/>
    <w:rsid w:val="00F5652C"/>
    <w:rsid w:val="00F575D1"/>
    <w:rsid w:val="00F576ED"/>
    <w:rsid w:val="00F57C49"/>
    <w:rsid w:val="00F57D6B"/>
    <w:rsid w:val="00F60A98"/>
    <w:rsid w:val="00F618C5"/>
    <w:rsid w:val="00F619E0"/>
    <w:rsid w:val="00F622E5"/>
    <w:rsid w:val="00F626FF"/>
    <w:rsid w:val="00F627D0"/>
    <w:rsid w:val="00F6380C"/>
    <w:rsid w:val="00F63E23"/>
    <w:rsid w:val="00F65D31"/>
    <w:rsid w:val="00F666A7"/>
    <w:rsid w:val="00F66A2E"/>
    <w:rsid w:val="00F67C31"/>
    <w:rsid w:val="00F67F09"/>
    <w:rsid w:val="00F706A0"/>
    <w:rsid w:val="00F708C0"/>
    <w:rsid w:val="00F709F5"/>
    <w:rsid w:val="00F717CC"/>
    <w:rsid w:val="00F72102"/>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2079"/>
    <w:rsid w:val="00F824D5"/>
    <w:rsid w:val="00F82628"/>
    <w:rsid w:val="00F82D8E"/>
    <w:rsid w:val="00F8321D"/>
    <w:rsid w:val="00F83461"/>
    <w:rsid w:val="00F83585"/>
    <w:rsid w:val="00F83883"/>
    <w:rsid w:val="00F83ACF"/>
    <w:rsid w:val="00F8517B"/>
    <w:rsid w:val="00F853BE"/>
    <w:rsid w:val="00F87971"/>
    <w:rsid w:val="00F87B71"/>
    <w:rsid w:val="00F87EB0"/>
    <w:rsid w:val="00F9052C"/>
    <w:rsid w:val="00F907F5"/>
    <w:rsid w:val="00F9135D"/>
    <w:rsid w:val="00F91B71"/>
    <w:rsid w:val="00F91BA8"/>
    <w:rsid w:val="00F9260F"/>
    <w:rsid w:val="00F9308E"/>
    <w:rsid w:val="00F95E64"/>
    <w:rsid w:val="00F960B8"/>
    <w:rsid w:val="00F9649D"/>
    <w:rsid w:val="00F96A46"/>
    <w:rsid w:val="00F96BB8"/>
    <w:rsid w:val="00F97A19"/>
    <w:rsid w:val="00FA068B"/>
    <w:rsid w:val="00FA120A"/>
    <w:rsid w:val="00FA1B1B"/>
    <w:rsid w:val="00FA2534"/>
    <w:rsid w:val="00FA2BC2"/>
    <w:rsid w:val="00FA342F"/>
    <w:rsid w:val="00FA37EA"/>
    <w:rsid w:val="00FA381E"/>
    <w:rsid w:val="00FA52C8"/>
    <w:rsid w:val="00FA54B2"/>
    <w:rsid w:val="00FA5812"/>
    <w:rsid w:val="00FA59CD"/>
    <w:rsid w:val="00FA7990"/>
    <w:rsid w:val="00FB07FC"/>
    <w:rsid w:val="00FB1180"/>
    <w:rsid w:val="00FB174F"/>
    <w:rsid w:val="00FB1FEB"/>
    <w:rsid w:val="00FB28DA"/>
    <w:rsid w:val="00FB4250"/>
    <w:rsid w:val="00FB42B4"/>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4EBB"/>
    <w:rsid w:val="00FC54D5"/>
    <w:rsid w:val="00FC664D"/>
    <w:rsid w:val="00FC737A"/>
    <w:rsid w:val="00FC7844"/>
    <w:rsid w:val="00FD0A8B"/>
    <w:rsid w:val="00FD1512"/>
    <w:rsid w:val="00FD163B"/>
    <w:rsid w:val="00FD1AB4"/>
    <w:rsid w:val="00FD1DDF"/>
    <w:rsid w:val="00FD28E8"/>
    <w:rsid w:val="00FD3355"/>
    <w:rsid w:val="00FD3CF7"/>
    <w:rsid w:val="00FD4FCC"/>
    <w:rsid w:val="00FD522F"/>
    <w:rsid w:val="00FD5A00"/>
    <w:rsid w:val="00FD5D23"/>
    <w:rsid w:val="00FD5F89"/>
    <w:rsid w:val="00FD6570"/>
    <w:rsid w:val="00FD6EA4"/>
    <w:rsid w:val="00FD6FCC"/>
    <w:rsid w:val="00FD739A"/>
    <w:rsid w:val="00FD79A7"/>
    <w:rsid w:val="00FE04A4"/>
    <w:rsid w:val="00FE0841"/>
    <w:rsid w:val="00FE08FD"/>
    <w:rsid w:val="00FE093C"/>
    <w:rsid w:val="00FE12A5"/>
    <w:rsid w:val="00FE14F4"/>
    <w:rsid w:val="00FE1B58"/>
    <w:rsid w:val="00FE1DFA"/>
    <w:rsid w:val="00FE1EDA"/>
    <w:rsid w:val="00FE1F3B"/>
    <w:rsid w:val="00FE22CB"/>
    <w:rsid w:val="00FE2859"/>
    <w:rsid w:val="00FE2A81"/>
    <w:rsid w:val="00FE303A"/>
    <w:rsid w:val="00FE345D"/>
    <w:rsid w:val="00FE486C"/>
    <w:rsid w:val="00FE4E00"/>
    <w:rsid w:val="00FE5194"/>
    <w:rsid w:val="00FE544E"/>
    <w:rsid w:val="00FE54F6"/>
    <w:rsid w:val="00FE5A35"/>
    <w:rsid w:val="00FE64A9"/>
    <w:rsid w:val="00FE6BD7"/>
    <w:rsid w:val="00FE6C8F"/>
    <w:rsid w:val="00FF0644"/>
    <w:rsid w:val="00FF06F8"/>
    <w:rsid w:val="00FF094E"/>
    <w:rsid w:val="00FF0A66"/>
    <w:rsid w:val="00FF1632"/>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14:docId w14:val="496B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27D"/>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link w:val="ListParagraph"/>
    <w:uiPriority w:val="34"/>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 w:type="paragraph" w:customStyle="1" w:styleId="2-SectionHeading">
    <w:name w:val="2-Section Heading"/>
    <w:qFormat/>
    <w:rsid w:val="00AA01CC"/>
    <w:pPr>
      <w:keepNext/>
      <w:spacing w:before="240" w:after="120"/>
      <w:ind w:left="720" w:hanging="720"/>
      <w:outlineLvl w:val="0"/>
    </w:pPr>
    <w:rPr>
      <w:rFonts w:asciiTheme="minorHAnsi" w:hAnsiTheme="minorHAnsi" w:cs="Arial"/>
      <w:b/>
      <w:snapToGrid w:val="0"/>
      <w:sz w:val="32"/>
      <w:szCs w:val="32"/>
    </w:rPr>
  </w:style>
  <w:style w:type="paragraph" w:customStyle="1" w:styleId="3-BodyText">
    <w:name w:val="3-Body Text"/>
    <w:basedOn w:val="ListParagraph"/>
    <w:link w:val="3-BodyTextChar"/>
    <w:qFormat/>
    <w:rsid w:val="00AA01CC"/>
    <w:pPr>
      <w:spacing w:after="120"/>
      <w:ind w:hanging="720"/>
      <w:contextualSpacing w:val="0"/>
      <w:jc w:val="both"/>
    </w:pPr>
    <w:rPr>
      <w:rFonts w:asciiTheme="minorHAnsi" w:eastAsia="Times New Roman" w:hAnsiTheme="minorHAnsi" w:cs="Arial"/>
      <w:snapToGrid w:val="0"/>
    </w:rPr>
  </w:style>
  <w:style w:type="character" w:customStyle="1" w:styleId="3-BodyTextChar">
    <w:name w:val="3-Body Text Char"/>
    <w:basedOn w:val="DefaultParagraphFont"/>
    <w:link w:val="3-BodyText"/>
    <w:rsid w:val="00AA01CC"/>
    <w:rPr>
      <w:rFonts w:asciiTheme="minorHAnsi" w:hAnsiTheme="minorHAnsi" w:cs="Arial"/>
      <w:snapToGrid w:val="0"/>
      <w:sz w:val="24"/>
      <w:szCs w:val="24"/>
    </w:rPr>
  </w:style>
  <w:style w:type="paragraph" w:customStyle="1" w:styleId="3Bodytext">
    <w:name w:val="3. Body text"/>
    <w:basedOn w:val="ListParagraph"/>
    <w:link w:val="3BodytextChar"/>
    <w:qFormat/>
    <w:rsid w:val="003B1444"/>
    <w:pPr>
      <w:spacing w:after="120"/>
      <w:ind w:hanging="720"/>
      <w:contextualSpacing w:val="0"/>
    </w:pPr>
    <w:rPr>
      <w:rFonts w:asciiTheme="minorHAnsi" w:eastAsiaTheme="minorHAnsi" w:hAnsiTheme="minorHAnsi" w:cstheme="minorBidi"/>
      <w:szCs w:val="22"/>
    </w:rPr>
  </w:style>
  <w:style w:type="character" w:customStyle="1" w:styleId="3BodytextChar">
    <w:name w:val="3. Body text Char"/>
    <w:basedOn w:val="DefaultParagraphFont"/>
    <w:link w:val="3Bodytext"/>
    <w:rsid w:val="003B1444"/>
    <w:rPr>
      <w:rFonts w:asciiTheme="minorHAnsi" w:eastAsiaTheme="minorHAnsi"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1358">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513329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6752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87968848">
      <w:bodyDiv w:val="1"/>
      <w:marLeft w:val="0"/>
      <w:marRight w:val="0"/>
      <w:marTop w:val="0"/>
      <w:marBottom w:val="0"/>
      <w:divBdr>
        <w:top w:val="none" w:sz="0" w:space="0" w:color="auto"/>
        <w:left w:val="none" w:sz="0" w:space="0" w:color="auto"/>
        <w:bottom w:val="none" w:sz="0" w:space="0" w:color="auto"/>
        <w:right w:val="none" w:sz="0" w:space="0" w:color="auto"/>
      </w:divBdr>
    </w:div>
    <w:div w:id="106513899">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28136519">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0390556">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4492177">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1196956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48006253">
      <w:bodyDiv w:val="1"/>
      <w:marLeft w:val="0"/>
      <w:marRight w:val="0"/>
      <w:marTop w:val="0"/>
      <w:marBottom w:val="0"/>
      <w:divBdr>
        <w:top w:val="none" w:sz="0" w:space="0" w:color="auto"/>
        <w:left w:val="none" w:sz="0" w:space="0" w:color="auto"/>
        <w:bottom w:val="none" w:sz="0" w:space="0" w:color="auto"/>
        <w:right w:val="none" w:sz="0" w:space="0" w:color="auto"/>
      </w:divBdr>
    </w:div>
    <w:div w:id="251283274">
      <w:bodyDiv w:val="1"/>
      <w:marLeft w:val="0"/>
      <w:marRight w:val="0"/>
      <w:marTop w:val="0"/>
      <w:marBottom w:val="0"/>
      <w:divBdr>
        <w:top w:val="none" w:sz="0" w:space="0" w:color="auto"/>
        <w:left w:val="none" w:sz="0" w:space="0" w:color="auto"/>
        <w:bottom w:val="none" w:sz="0" w:space="0" w:color="auto"/>
        <w:right w:val="none" w:sz="0" w:space="0" w:color="auto"/>
      </w:divBdr>
    </w:div>
    <w:div w:id="262540116">
      <w:bodyDiv w:val="1"/>
      <w:marLeft w:val="0"/>
      <w:marRight w:val="0"/>
      <w:marTop w:val="0"/>
      <w:marBottom w:val="0"/>
      <w:divBdr>
        <w:top w:val="none" w:sz="0" w:space="0" w:color="auto"/>
        <w:left w:val="none" w:sz="0" w:space="0" w:color="auto"/>
        <w:bottom w:val="none" w:sz="0" w:space="0" w:color="auto"/>
        <w:right w:val="none" w:sz="0" w:space="0" w:color="auto"/>
      </w:divBdr>
    </w:div>
    <w:div w:id="270014411">
      <w:bodyDiv w:val="1"/>
      <w:marLeft w:val="0"/>
      <w:marRight w:val="0"/>
      <w:marTop w:val="0"/>
      <w:marBottom w:val="0"/>
      <w:divBdr>
        <w:top w:val="none" w:sz="0" w:space="0" w:color="auto"/>
        <w:left w:val="none" w:sz="0" w:space="0" w:color="auto"/>
        <w:bottom w:val="none" w:sz="0" w:space="0" w:color="auto"/>
        <w:right w:val="none" w:sz="0" w:space="0" w:color="auto"/>
      </w:divBdr>
    </w:div>
    <w:div w:id="270168697">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6620233">
      <w:bodyDiv w:val="1"/>
      <w:marLeft w:val="0"/>
      <w:marRight w:val="0"/>
      <w:marTop w:val="0"/>
      <w:marBottom w:val="0"/>
      <w:divBdr>
        <w:top w:val="none" w:sz="0" w:space="0" w:color="auto"/>
        <w:left w:val="none" w:sz="0" w:space="0" w:color="auto"/>
        <w:bottom w:val="none" w:sz="0" w:space="0" w:color="auto"/>
        <w:right w:val="none" w:sz="0" w:space="0" w:color="auto"/>
      </w:divBdr>
    </w:div>
    <w:div w:id="303043360">
      <w:bodyDiv w:val="1"/>
      <w:marLeft w:val="0"/>
      <w:marRight w:val="0"/>
      <w:marTop w:val="0"/>
      <w:marBottom w:val="0"/>
      <w:divBdr>
        <w:top w:val="none" w:sz="0" w:space="0" w:color="auto"/>
        <w:left w:val="none" w:sz="0" w:space="0" w:color="auto"/>
        <w:bottom w:val="none" w:sz="0" w:space="0" w:color="auto"/>
        <w:right w:val="none" w:sz="0" w:space="0" w:color="auto"/>
      </w:divBdr>
    </w:div>
    <w:div w:id="309945245">
      <w:bodyDiv w:val="1"/>
      <w:marLeft w:val="0"/>
      <w:marRight w:val="0"/>
      <w:marTop w:val="0"/>
      <w:marBottom w:val="0"/>
      <w:divBdr>
        <w:top w:val="none" w:sz="0" w:space="0" w:color="auto"/>
        <w:left w:val="none" w:sz="0" w:space="0" w:color="auto"/>
        <w:bottom w:val="none" w:sz="0" w:space="0" w:color="auto"/>
        <w:right w:val="none" w:sz="0" w:space="0" w:color="auto"/>
      </w:divBdr>
    </w:div>
    <w:div w:id="332994132">
      <w:bodyDiv w:val="1"/>
      <w:marLeft w:val="0"/>
      <w:marRight w:val="0"/>
      <w:marTop w:val="0"/>
      <w:marBottom w:val="0"/>
      <w:divBdr>
        <w:top w:val="none" w:sz="0" w:space="0" w:color="auto"/>
        <w:left w:val="none" w:sz="0" w:space="0" w:color="auto"/>
        <w:bottom w:val="none" w:sz="0" w:space="0" w:color="auto"/>
        <w:right w:val="none" w:sz="0" w:space="0" w:color="auto"/>
      </w:divBdr>
    </w:div>
    <w:div w:id="346449776">
      <w:bodyDiv w:val="1"/>
      <w:marLeft w:val="0"/>
      <w:marRight w:val="0"/>
      <w:marTop w:val="0"/>
      <w:marBottom w:val="0"/>
      <w:divBdr>
        <w:top w:val="none" w:sz="0" w:space="0" w:color="auto"/>
        <w:left w:val="none" w:sz="0" w:space="0" w:color="auto"/>
        <w:bottom w:val="none" w:sz="0" w:space="0" w:color="auto"/>
        <w:right w:val="none" w:sz="0" w:space="0" w:color="auto"/>
      </w:divBdr>
    </w:div>
    <w:div w:id="356782438">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92777893">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8342">
      <w:bodyDiv w:val="1"/>
      <w:marLeft w:val="0"/>
      <w:marRight w:val="0"/>
      <w:marTop w:val="0"/>
      <w:marBottom w:val="0"/>
      <w:divBdr>
        <w:top w:val="none" w:sz="0" w:space="0" w:color="auto"/>
        <w:left w:val="none" w:sz="0" w:space="0" w:color="auto"/>
        <w:bottom w:val="none" w:sz="0" w:space="0" w:color="auto"/>
        <w:right w:val="none" w:sz="0" w:space="0" w:color="auto"/>
      </w:divBdr>
    </w:div>
    <w:div w:id="445655481">
      <w:bodyDiv w:val="1"/>
      <w:marLeft w:val="0"/>
      <w:marRight w:val="0"/>
      <w:marTop w:val="0"/>
      <w:marBottom w:val="0"/>
      <w:divBdr>
        <w:top w:val="none" w:sz="0" w:space="0" w:color="auto"/>
        <w:left w:val="none" w:sz="0" w:space="0" w:color="auto"/>
        <w:bottom w:val="none" w:sz="0" w:space="0" w:color="auto"/>
        <w:right w:val="none" w:sz="0" w:space="0" w:color="auto"/>
      </w:divBdr>
    </w:div>
    <w:div w:id="447968882">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4852112">
      <w:bodyDiv w:val="1"/>
      <w:marLeft w:val="0"/>
      <w:marRight w:val="0"/>
      <w:marTop w:val="0"/>
      <w:marBottom w:val="0"/>
      <w:divBdr>
        <w:top w:val="none" w:sz="0" w:space="0" w:color="auto"/>
        <w:left w:val="none" w:sz="0" w:space="0" w:color="auto"/>
        <w:bottom w:val="none" w:sz="0" w:space="0" w:color="auto"/>
        <w:right w:val="none" w:sz="0" w:space="0" w:color="auto"/>
      </w:divBdr>
    </w:div>
    <w:div w:id="468405107">
      <w:bodyDiv w:val="1"/>
      <w:marLeft w:val="0"/>
      <w:marRight w:val="0"/>
      <w:marTop w:val="0"/>
      <w:marBottom w:val="0"/>
      <w:divBdr>
        <w:top w:val="none" w:sz="0" w:space="0" w:color="auto"/>
        <w:left w:val="none" w:sz="0" w:space="0" w:color="auto"/>
        <w:bottom w:val="none" w:sz="0" w:space="0" w:color="auto"/>
        <w:right w:val="none" w:sz="0" w:space="0" w:color="auto"/>
      </w:divBdr>
    </w:div>
    <w:div w:id="478766480">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98080300">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080486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68077793">
      <w:bodyDiv w:val="1"/>
      <w:marLeft w:val="0"/>
      <w:marRight w:val="0"/>
      <w:marTop w:val="0"/>
      <w:marBottom w:val="0"/>
      <w:divBdr>
        <w:top w:val="none" w:sz="0" w:space="0" w:color="auto"/>
        <w:left w:val="none" w:sz="0" w:space="0" w:color="auto"/>
        <w:bottom w:val="none" w:sz="0" w:space="0" w:color="auto"/>
        <w:right w:val="none" w:sz="0" w:space="0" w:color="auto"/>
      </w:divBdr>
    </w:div>
    <w:div w:id="585656708">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8976738">
      <w:bodyDiv w:val="1"/>
      <w:marLeft w:val="0"/>
      <w:marRight w:val="0"/>
      <w:marTop w:val="0"/>
      <w:marBottom w:val="0"/>
      <w:divBdr>
        <w:top w:val="none" w:sz="0" w:space="0" w:color="auto"/>
        <w:left w:val="none" w:sz="0" w:space="0" w:color="auto"/>
        <w:bottom w:val="none" w:sz="0" w:space="0" w:color="auto"/>
        <w:right w:val="none" w:sz="0" w:space="0" w:color="auto"/>
      </w:divBdr>
    </w:div>
    <w:div w:id="657346106">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99111579">
      <w:bodyDiv w:val="1"/>
      <w:marLeft w:val="0"/>
      <w:marRight w:val="0"/>
      <w:marTop w:val="0"/>
      <w:marBottom w:val="0"/>
      <w:divBdr>
        <w:top w:val="none" w:sz="0" w:space="0" w:color="auto"/>
        <w:left w:val="none" w:sz="0" w:space="0" w:color="auto"/>
        <w:bottom w:val="none" w:sz="0" w:space="0" w:color="auto"/>
        <w:right w:val="none" w:sz="0" w:space="0" w:color="auto"/>
      </w:divBdr>
      <w:divsChild>
        <w:div w:id="752702958">
          <w:marLeft w:val="0"/>
          <w:marRight w:val="0"/>
          <w:marTop w:val="240"/>
          <w:marBottom w:val="480"/>
          <w:divBdr>
            <w:top w:val="none" w:sz="0" w:space="0" w:color="auto"/>
            <w:left w:val="none" w:sz="0" w:space="0" w:color="auto"/>
            <w:bottom w:val="none" w:sz="0" w:space="0" w:color="auto"/>
            <w:right w:val="none" w:sz="0" w:space="0" w:color="auto"/>
          </w:divBdr>
          <w:divsChild>
            <w:div w:id="442503937">
              <w:marLeft w:val="0"/>
              <w:marRight w:val="0"/>
              <w:marTop w:val="0"/>
              <w:marBottom w:val="0"/>
              <w:divBdr>
                <w:top w:val="none" w:sz="0" w:space="0" w:color="auto"/>
                <w:left w:val="none" w:sz="0" w:space="0" w:color="auto"/>
                <w:bottom w:val="none" w:sz="0" w:space="0" w:color="auto"/>
                <w:right w:val="none" w:sz="0" w:space="0" w:color="auto"/>
              </w:divBdr>
              <w:divsChild>
                <w:div w:id="629673879">
                  <w:marLeft w:val="0"/>
                  <w:marRight w:val="0"/>
                  <w:marTop w:val="0"/>
                  <w:marBottom w:val="0"/>
                  <w:divBdr>
                    <w:top w:val="none" w:sz="0" w:space="0" w:color="auto"/>
                    <w:left w:val="none" w:sz="0" w:space="0" w:color="auto"/>
                    <w:bottom w:val="none" w:sz="0" w:space="0" w:color="auto"/>
                    <w:right w:val="none" w:sz="0" w:space="0" w:color="auto"/>
                  </w:divBdr>
                  <w:divsChild>
                    <w:div w:id="10709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5390465">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546543">
      <w:bodyDiv w:val="1"/>
      <w:marLeft w:val="0"/>
      <w:marRight w:val="0"/>
      <w:marTop w:val="0"/>
      <w:marBottom w:val="0"/>
      <w:divBdr>
        <w:top w:val="none" w:sz="0" w:space="0" w:color="auto"/>
        <w:left w:val="none" w:sz="0" w:space="0" w:color="auto"/>
        <w:bottom w:val="none" w:sz="0" w:space="0" w:color="auto"/>
        <w:right w:val="none" w:sz="0" w:space="0" w:color="auto"/>
      </w:divBdr>
    </w:div>
    <w:div w:id="858349223">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0244001">
      <w:bodyDiv w:val="1"/>
      <w:marLeft w:val="0"/>
      <w:marRight w:val="0"/>
      <w:marTop w:val="0"/>
      <w:marBottom w:val="0"/>
      <w:divBdr>
        <w:top w:val="none" w:sz="0" w:space="0" w:color="auto"/>
        <w:left w:val="none" w:sz="0" w:space="0" w:color="auto"/>
        <w:bottom w:val="none" w:sz="0" w:space="0" w:color="auto"/>
        <w:right w:val="none" w:sz="0" w:space="0" w:color="auto"/>
      </w:divBdr>
    </w:div>
    <w:div w:id="882054765">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12736440">
      <w:bodyDiv w:val="1"/>
      <w:marLeft w:val="0"/>
      <w:marRight w:val="0"/>
      <w:marTop w:val="0"/>
      <w:marBottom w:val="0"/>
      <w:divBdr>
        <w:top w:val="none" w:sz="0" w:space="0" w:color="auto"/>
        <w:left w:val="none" w:sz="0" w:space="0" w:color="auto"/>
        <w:bottom w:val="none" w:sz="0" w:space="0" w:color="auto"/>
        <w:right w:val="none" w:sz="0" w:space="0" w:color="auto"/>
      </w:divBdr>
    </w:div>
    <w:div w:id="924537136">
      <w:bodyDiv w:val="1"/>
      <w:marLeft w:val="0"/>
      <w:marRight w:val="0"/>
      <w:marTop w:val="0"/>
      <w:marBottom w:val="0"/>
      <w:divBdr>
        <w:top w:val="none" w:sz="0" w:space="0" w:color="auto"/>
        <w:left w:val="none" w:sz="0" w:space="0" w:color="auto"/>
        <w:bottom w:val="none" w:sz="0" w:space="0" w:color="auto"/>
        <w:right w:val="none" w:sz="0" w:space="0" w:color="auto"/>
      </w:divBdr>
    </w:div>
    <w:div w:id="926383995">
      <w:bodyDiv w:val="1"/>
      <w:marLeft w:val="0"/>
      <w:marRight w:val="0"/>
      <w:marTop w:val="0"/>
      <w:marBottom w:val="0"/>
      <w:divBdr>
        <w:top w:val="none" w:sz="0" w:space="0" w:color="auto"/>
        <w:left w:val="none" w:sz="0" w:space="0" w:color="auto"/>
        <w:bottom w:val="none" w:sz="0" w:space="0" w:color="auto"/>
        <w:right w:val="none" w:sz="0" w:space="0" w:color="auto"/>
      </w:divBdr>
    </w:div>
    <w:div w:id="928585705">
      <w:bodyDiv w:val="1"/>
      <w:marLeft w:val="0"/>
      <w:marRight w:val="0"/>
      <w:marTop w:val="0"/>
      <w:marBottom w:val="0"/>
      <w:divBdr>
        <w:top w:val="none" w:sz="0" w:space="0" w:color="auto"/>
        <w:left w:val="none" w:sz="0" w:space="0" w:color="auto"/>
        <w:bottom w:val="none" w:sz="0" w:space="0" w:color="auto"/>
        <w:right w:val="none" w:sz="0" w:space="0" w:color="auto"/>
      </w:divBdr>
    </w:div>
    <w:div w:id="93127526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7759998">
      <w:bodyDiv w:val="1"/>
      <w:marLeft w:val="0"/>
      <w:marRight w:val="0"/>
      <w:marTop w:val="0"/>
      <w:marBottom w:val="0"/>
      <w:divBdr>
        <w:top w:val="none" w:sz="0" w:space="0" w:color="auto"/>
        <w:left w:val="none" w:sz="0" w:space="0" w:color="auto"/>
        <w:bottom w:val="none" w:sz="0" w:space="0" w:color="auto"/>
        <w:right w:val="none" w:sz="0" w:space="0" w:color="auto"/>
      </w:divBdr>
    </w:div>
    <w:div w:id="968978267">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3411187">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41708424">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123329">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6708133">
      <w:bodyDiv w:val="1"/>
      <w:marLeft w:val="0"/>
      <w:marRight w:val="0"/>
      <w:marTop w:val="0"/>
      <w:marBottom w:val="0"/>
      <w:divBdr>
        <w:top w:val="none" w:sz="0" w:space="0" w:color="auto"/>
        <w:left w:val="none" w:sz="0" w:space="0" w:color="auto"/>
        <w:bottom w:val="none" w:sz="0" w:space="0" w:color="auto"/>
        <w:right w:val="none" w:sz="0" w:space="0" w:color="auto"/>
      </w:divBdr>
    </w:div>
    <w:div w:id="1079407722">
      <w:bodyDiv w:val="1"/>
      <w:marLeft w:val="0"/>
      <w:marRight w:val="0"/>
      <w:marTop w:val="0"/>
      <w:marBottom w:val="0"/>
      <w:divBdr>
        <w:top w:val="none" w:sz="0" w:space="0" w:color="auto"/>
        <w:left w:val="none" w:sz="0" w:space="0" w:color="auto"/>
        <w:bottom w:val="none" w:sz="0" w:space="0" w:color="auto"/>
        <w:right w:val="none" w:sz="0" w:space="0" w:color="auto"/>
      </w:divBdr>
    </w:div>
    <w:div w:id="1101532126">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26969957">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5025137">
      <w:bodyDiv w:val="1"/>
      <w:marLeft w:val="0"/>
      <w:marRight w:val="0"/>
      <w:marTop w:val="0"/>
      <w:marBottom w:val="0"/>
      <w:divBdr>
        <w:top w:val="none" w:sz="0" w:space="0" w:color="auto"/>
        <w:left w:val="none" w:sz="0" w:space="0" w:color="auto"/>
        <w:bottom w:val="none" w:sz="0" w:space="0" w:color="auto"/>
        <w:right w:val="none" w:sz="0" w:space="0" w:color="auto"/>
      </w:divBdr>
    </w:div>
    <w:div w:id="1206287008">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7108292">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6645172">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3466217">
      <w:bodyDiv w:val="1"/>
      <w:marLeft w:val="0"/>
      <w:marRight w:val="0"/>
      <w:marTop w:val="0"/>
      <w:marBottom w:val="0"/>
      <w:divBdr>
        <w:top w:val="none" w:sz="0" w:space="0" w:color="auto"/>
        <w:left w:val="none" w:sz="0" w:space="0" w:color="auto"/>
        <w:bottom w:val="none" w:sz="0" w:space="0" w:color="auto"/>
        <w:right w:val="none" w:sz="0" w:space="0" w:color="auto"/>
      </w:divBdr>
    </w:div>
    <w:div w:id="1240097399">
      <w:bodyDiv w:val="1"/>
      <w:marLeft w:val="0"/>
      <w:marRight w:val="0"/>
      <w:marTop w:val="0"/>
      <w:marBottom w:val="0"/>
      <w:divBdr>
        <w:top w:val="none" w:sz="0" w:space="0" w:color="auto"/>
        <w:left w:val="none" w:sz="0" w:space="0" w:color="auto"/>
        <w:bottom w:val="none" w:sz="0" w:space="0" w:color="auto"/>
        <w:right w:val="none" w:sz="0" w:space="0" w:color="auto"/>
      </w:divBdr>
    </w:div>
    <w:div w:id="1245603460">
      <w:bodyDiv w:val="1"/>
      <w:marLeft w:val="0"/>
      <w:marRight w:val="0"/>
      <w:marTop w:val="0"/>
      <w:marBottom w:val="0"/>
      <w:divBdr>
        <w:top w:val="none" w:sz="0" w:space="0" w:color="auto"/>
        <w:left w:val="none" w:sz="0" w:space="0" w:color="auto"/>
        <w:bottom w:val="none" w:sz="0" w:space="0" w:color="auto"/>
        <w:right w:val="none" w:sz="0" w:space="0" w:color="auto"/>
      </w:divBdr>
    </w:div>
    <w:div w:id="1249583144">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4211571">
      <w:bodyDiv w:val="1"/>
      <w:marLeft w:val="0"/>
      <w:marRight w:val="0"/>
      <w:marTop w:val="0"/>
      <w:marBottom w:val="0"/>
      <w:divBdr>
        <w:top w:val="none" w:sz="0" w:space="0" w:color="auto"/>
        <w:left w:val="none" w:sz="0" w:space="0" w:color="auto"/>
        <w:bottom w:val="none" w:sz="0" w:space="0" w:color="auto"/>
        <w:right w:val="none" w:sz="0" w:space="0" w:color="auto"/>
      </w:divBdr>
    </w:div>
    <w:div w:id="1298759278">
      <w:bodyDiv w:val="1"/>
      <w:marLeft w:val="0"/>
      <w:marRight w:val="0"/>
      <w:marTop w:val="0"/>
      <w:marBottom w:val="0"/>
      <w:divBdr>
        <w:top w:val="none" w:sz="0" w:space="0" w:color="auto"/>
        <w:left w:val="none" w:sz="0" w:space="0" w:color="auto"/>
        <w:bottom w:val="none" w:sz="0" w:space="0" w:color="auto"/>
        <w:right w:val="none" w:sz="0" w:space="0" w:color="auto"/>
      </w:divBdr>
    </w:div>
    <w:div w:id="1322348514">
      <w:bodyDiv w:val="1"/>
      <w:marLeft w:val="0"/>
      <w:marRight w:val="0"/>
      <w:marTop w:val="0"/>
      <w:marBottom w:val="0"/>
      <w:divBdr>
        <w:top w:val="none" w:sz="0" w:space="0" w:color="auto"/>
        <w:left w:val="none" w:sz="0" w:space="0" w:color="auto"/>
        <w:bottom w:val="none" w:sz="0" w:space="0" w:color="auto"/>
        <w:right w:val="none" w:sz="0" w:space="0" w:color="auto"/>
      </w:divBdr>
    </w:div>
    <w:div w:id="1323385372">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8973100">
      <w:bodyDiv w:val="1"/>
      <w:marLeft w:val="0"/>
      <w:marRight w:val="0"/>
      <w:marTop w:val="0"/>
      <w:marBottom w:val="0"/>
      <w:divBdr>
        <w:top w:val="none" w:sz="0" w:space="0" w:color="auto"/>
        <w:left w:val="none" w:sz="0" w:space="0" w:color="auto"/>
        <w:bottom w:val="none" w:sz="0" w:space="0" w:color="auto"/>
        <w:right w:val="none" w:sz="0" w:space="0" w:color="auto"/>
      </w:divBdr>
    </w:div>
    <w:div w:id="1380738648">
      <w:bodyDiv w:val="1"/>
      <w:marLeft w:val="0"/>
      <w:marRight w:val="0"/>
      <w:marTop w:val="0"/>
      <w:marBottom w:val="0"/>
      <w:divBdr>
        <w:top w:val="none" w:sz="0" w:space="0" w:color="auto"/>
        <w:left w:val="none" w:sz="0" w:space="0" w:color="auto"/>
        <w:bottom w:val="none" w:sz="0" w:space="0" w:color="auto"/>
        <w:right w:val="none" w:sz="0" w:space="0" w:color="auto"/>
      </w:divBdr>
    </w:div>
    <w:div w:id="138217235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6201597">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28772585">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60612829">
      <w:bodyDiv w:val="1"/>
      <w:marLeft w:val="0"/>
      <w:marRight w:val="0"/>
      <w:marTop w:val="0"/>
      <w:marBottom w:val="0"/>
      <w:divBdr>
        <w:top w:val="none" w:sz="0" w:space="0" w:color="auto"/>
        <w:left w:val="none" w:sz="0" w:space="0" w:color="auto"/>
        <w:bottom w:val="none" w:sz="0" w:space="0" w:color="auto"/>
        <w:right w:val="none" w:sz="0" w:space="0" w:color="auto"/>
      </w:divBdr>
    </w:div>
    <w:div w:id="1461920709">
      <w:bodyDiv w:val="1"/>
      <w:marLeft w:val="0"/>
      <w:marRight w:val="0"/>
      <w:marTop w:val="0"/>
      <w:marBottom w:val="0"/>
      <w:divBdr>
        <w:top w:val="none" w:sz="0" w:space="0" w:color="auto"/>
        <w:left w:val="none" w:sz="0" w:space="0" w:color="auto"/>
        <w:bottom w:val="none" w:sz="0" w:space="0" w:color="auto"/>
        <w:right w:val="none" w:sz="0" w:space="0" w:color="auto"/>
      </w:divBdr>
    </w:div>
    <w:div w:id="1478644709">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2405107">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29488833">
      <w:bodyDiv w:val="1"/>
      <w:marLeft w:val="0"/>
      <w:marRight w:val="0"/>
      <w:marTop w:val="0"/>
      <w:marBottom w:val="0"/>
      <w:divBdr>
        <w:top w:val="none" w:sz="0" w:space="0" w:color="auto"/>
        <w:left w:val="none" w:sz="0" w:space="0" w:color="auto"/>
        <w:bottom w:val="none" w:sz="0" w:space="0" w:color="auto"/>
        <w:right w:val="none" w:sz="0" w:space="0" w:color="auto"/>
      </w:divBdr>
    </w:div>
    <w:div w:id="1535313816">
      <w:bodyDiv w:val="1"/>
      <w:marLeft w:val="0"/>
      <w:marRight w:val="0"/>
      <w:marTop w:val="0"/>
      <w:marBottom w:val="0"/>
      <w:divBdr>
        <w:top w:val="none" w:sz="0" w:space="0" w:color="auto"/>
        <w:left w:val="none" w:sz="0" w:space="0" w:color="auto"/>
        <w:bottom w:val="none" w:sz="0" w:space="0" w:color="auto"/>
        <w:right w:val="none" w:sz="0" w:space="0" w:color="auto"/>
      </w:divBdr>
    </w:div>
    <w:div w:id="156618046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39336715">
      <w:bodyDiv w:val="1"/>
      <w:marLeft w:val="0"/>
      <w:marRight w:val="0"/>
      <w:marTop w:val="0"/>
      <w:marBottom w:val="0"/>
      <w:divBdr>
        <w:top w:val="none" w:sz="0" w:space="0" w:color="auto"/>
        <w:left w:val="none" w:sz="0" w:space="0" w:color="auto"/>
        <w:bottom w:val="none" w:sz="0" w:space="0" w:color="auto"/>
        <w:right w:val="none" w:sz="0" w:space="0" w:color="auto"/>
      </w:divBdr>
    </w:div>
    <w:div w:id="1642491392">
      <w:bodyDiv w:val="1"/>
      <w:marLeft w:val="0"/>
      <w:marRight w:val="0"/>
      <w:marTop w:val="0"/>
      <w:marBottom w:val="0"/>
      <w:divBdr>
        <w:top w:val="none" w:sz="0" w:space="0" w:color="auto"/>
        <w:left w:val="none" w:sz="0" w:space="0" w:color="auto"/>
        <w:bottom w:val="none" w:sz="0" w:space="0" w:color="auto"/>
        <w:right w:val="none" w:sz="0" w:space="0" w:color="auto"/>
      </w:divBdr>
    </w:div>
    <w:div w:id="1654916640">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0963778">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95838263">
      <w:bodyDiv w:val="1"/>
      <w:marLeft w:val="0"/>
      <w:marRight w:val="0"/>
      <w:marTop w:val="0"/>
      <w:marBottom w:val="0"/>
      <w:divBdr>
        <w:top w:val="none" w:sz="0" w:space="0" w:color="auto"/>
        <w:left w:val="none" w:sz="0" w:space="0" w:color="auto"/>
        <w:bottom w:val="none" w:sz="0" w:space="0" w:color="auto"/>
        <w:right w:val="none" w:sz="0" w:space="0" w:color="auto"/>
      </w:divBdr>
    </w:div>
    <w:div w:id="1711877382">
      <w:bodyDiv w:val="1"/>
      <w:marLeft w:val="0"/>
      <w:marRight w:val="0"/>
      <w:marTop w:val="0"/>
      <w:marBottom w:val="0"/>
      <w:divBdr>
        <w:top w:val="none" w:sz="0" w:space="0" w:color="auto"/>
        <w:left w:val="none" w:sz="0" w:space="0" w:color="auto"/>
        <w:bottom w:val="none" w:sz="0" w:space="0" w:color="auto"/>
        <w:right w:val="none" w:sz="0" w:space="0" w:color="auto"/>
      </w:divBdr>
    </w:div>
    <w:div w:id="1717314108">
      <w:bodyDiv w:val="1"/>
      <w:marLeft w:val="0"/>
      <w:marRight w:val="0"/>
      <w:marTop w:val="0"/>
      <w:marBottom w:val="0"/>
      <w:divBdr>
        <w:top w:val="none" w:sz="0" w:space="0" w:color="auto"/>
        <w:left w:val="none" w:sz="0" w:space="0" w:color="auto"/>
        <w:bottom w:val="none" w:sz="0" w:space="0" w:color="auto"/>
        <w:right w:val="none" w:sz="0" w:space="0" w:color="auto"/>
      </w:divBdr>
    </w:div>
    <w:div w:id="1738430314">
      <w:bodyDiv w:val="1"/>
      <w:marLeft w:val="0"/>
      <w:marRight w:val="0"/>
      <w:marTop w:val="0"/>
      <w:marBottom w:val="0"/>
      <w:divBdr>
        <w:top w:val="none" w:sz="0" w:space="0" w:color="auto"/>
        <w:left w:val="none" w:sz="0" w:space="0" w:color="auto"/>
        <w:bottom w:val="none" w:sz="0" w:space="0" w:color="auto"/>
        <w:right w:val="none" w:sz="0" w:space="0" w:color="auto"/>
      </w:divBdr>
    </w:div>
    <w:div w:id="1741252675">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8567943">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15485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7133538">
      <w:bodyDiv w:val="1"/>
      <w:marLeft w:val="0"/>
      <w:marRight w:val="0"/>
      <w:marTop w:val="0"/>
      <w:marBottom w:val="0"/>
      <w:divBdr>
        <w:top w:val="none" w:sz="0" w:space="0" w:color="auto"/>
        <w:left w:val="none" w:sz="0" w:space="0" w:color="auto"/>
        <w:bottom w:val="none" w:sz="0" w:space="0" w:color="auto"/>
        <w:right w:val="none" w:sz="0" w:space="0" w:color="auto"/>
      </w:divBdr>
    </w:div>
    <w:div w:id="1884248690">
      <w:bodyDiv w:val="1"/>
      <w:marLeft w:val="0"/>
      <w:marRight w:val="0"/>
      <w:marTop w:val="0"/>
      <w:marBottom w:val="0"/>
      <w:divBdr>
        <w:top w:val="none" w:sz="0" w:space="0" w:color="auto"/>
        <w:left w:val="none" w:sz="0" w:space="0" w:color="auto"/>
        <w:bottom w:val="none" w:sz="0" w:space="0" w:color="auto"/>
        <w:right w:val="none" w:sz="0" w:space="0" w:color="auto"/>
      </w:divBdr>
    </w:div>
    <w:div w:id="1894585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10651091">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46497890">
      <w:bodyDiv w:val="1"/>
      <w:marLeft w:val="0"/>
      <w:marRight w:val="0"/>
      <w:marTop w:val="0"/>
      <w:marBottom w:val="0"/>
      <w:divBdr>
        <w:top w:val="none" w:sz="0" w:space="0" w:color="auto"/>
        <w:left w:val="none" w:sz="0" w:space="0" w:color="auto"/>
        <w:bottom w:val="none" w:sz="0" w:space="0" w:color="auto"/>
        <w:right w:val="none" w:sz="0" w:space="0" w:color="auto"/>
      </w:divBdr>
    </w:div>
    <w:div w:id="1965884298">
      <w:bodyDiv w:val="1"/>
      <w:marLeft w:val="0"/>
      <w:marRight w:val="0"/>
      <w:marTop w:val="0"/>
      <w:marBottom w:val="0"/>
      <w:divBdr>
        <w:top w:val="none" w:sz="0" w:space="0" w:color="auto"/>
        <w:left w:val="none" w:sz="0" w:space="0" w:color="auto"/>
        <w:bottom w:val="none" w:sz="0" w:space="0" w:color="auto"/>
        <w:right w:val="none" w:sz="0" w:space="0" w:color="auto"/>
      </w:divBdr>
    </w:div>
    <w:div w:id="1977756659">
      <w:bodyDiv w:val="1"/>
      <w:marLeft w:val="0"/>
      <w:marRight w:val="0"/>
      <w:marTop w:val="0"/>
      <w:marBottom w:val="0"/>
      <w:divBdr>
        <w:top w:val="none" w:sz="0" w:space="0" w:color="auto"/>
        <w:left w:val="none" w:sz="0" w:space="0" w:color="auto"/>
        <w:bottom w:val="none" w:sz="0" w:space="0" w:color="auto"/>
        <w:right w:val="none" w:sz="0" w:space="0" w:color="auto"/>
      </w:divBdr>
    </w:div>
    <w:div w:id="1998145518">
      <w:bodyDiv w:val="1"/>
      <w:marLeft w:val="0"/>
      <w:marRight w:val="0"/>
      <w:marTop w:val="0"/>
      <w:marBottom w:val="0"/>
      <w:divBdr>
        <w:top w:val="none" w:sz="0" w:space="0" w:color="auto"/>
        <w:left w:val="none" w:sz="0" w:space="0" w:color="auto"/>
        <w:bottom w:val="none" w:sz="0" w:space="0" w:color="auto"/>
        <w:right w:val="none" w:sz="0" w:space="0" w:color="auto"/>
      </w:divBdr>
    </w:div>
    <w:div w:id="1999192504">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8706389">
      <w:bodyDiv w:val="1"/>
      <w:marLeft w:val="0"/>
      <w:marRight w:val="0"/>
      <w:marTop w:val="0"/>
      <w:marBottom w:val="0"/>
      <w:divBdr>
        <w:top w:val="none" w:sz="0" w:space="0" w:color="auto"/>
        <w:left w:val="none" w:sz="0" w:space="0" w:color="auto"/>
        <w:bottom w:val="none" w:sz="0" w:space="0" w:color="auto"/>
        <w:right w:val="none" w:sz="0" w:space="0" w:color="auto"/>
      </w:divBdr>
    </w:div>
    <w:div w:id="2034644448">
      <w:bodyDiv w:val="1"/>
      <w:marLeft w:val="0"/>
      <w:marRight w:val="0"/>
      <w:marTop w:val="0"/>
      <w:marBottom w:val="0"/>
      <w:divBdr>
        <w:top w:val="none" w:sz="0" w:space="0" w:color="auto"/>
        <w:left w:val="none" w:sz="0" w:space="0" w:color="auto"/>
        <w:bottom w:val="none" w:sz="0" w:space="0" w:color="auto"/>
        <w:right w:val="none" w:sz="0" w:space="0" w:color="auto"/>
      </w:divBdr>
    </w:div>
    <w:div w:id="2045865217">
      <w:bodyDiv w:val="1"/>
      <w:marLeft w:val="0"/>
      <w:marRight w:val="0"/>
      <w:marTop w:val="0"/>
      <w:marBottom w:val="0"/>
      <w:divBdr>
        <w:top w:val="none" w:sz="0" w:space="0" w:color="auto"/>
        <w:left w:val="none" w:sz="0" w:space="0" w:color="auto"/>
        <w:bottom w:val="none" w:sz="0" w:space="0" w:color="auto"/>
        <w:right w:val="none" w:sz="0" w:space="0" w:color="auto"/>
      </w:divBdr>
    </w:div>
    <w:div w:id="204636397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3062726">
      <w:bodyDiv w:val="1"/>
      <w:marLeft w:val="0"/>
      <w:marRight w:val="0"/>
      <w:marTop w:val="0"/>
      <w:marBottom w:val="0"/>
      <w:divBdr>
        <w:top w:val="none" w:sz="0" w:space="0" w:color="auto"/>
        <w:left w:val="none" w:sz="0" w:space="0" w:color="auto"/>
        <w:bottom w:val="none" w:sz="0" w:space="0" w:color="auto"/>
        <w:right w:val="none" w:sz="0" w:space="0" w:color="auto"/>
      </w:divBdr>
    </w:div>
    <w:div w:id="2086488274">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091584615">
      <w:bodyDiv w:val="1"/>
      <w:marLeft w:val="0"/>
      <w:marRight w:val="0"/>
      <w:marTop w:val="0"/>
      <w:marBottom w:val="0"/>
      <w:divBdr>
        <w:top w:val="none" w:sz="0" w:space="0" w:color="auto"/>
        <w:left w:val="none" w:sz="0" w:space="0" w:color="auto"/>
        <w:bottom w:val="none" w:sz="0" w:space="0" w:color="auto"/>
        <w:right w:val="none" w:sz="0" w:space="0" w:color="auto"/>
      </w:divBdr>
    </w:div>
    <w:div w:id="2098746451">
      <w:bodyDiv w:val="1"/>
      <w:marLeft w:val="0"/>
      <w:marRight w:val="0"/>
      <w:marTop w:val="0"/>
      <w:marBottom w:val="0"/>
      <w:divBdr>
        <w:top w:val="none" w:sz="0" w:space="0" w:color="auto"/>
        <w:left w:val="none" w:sz="0" w:space="0" w:color="auto"/>
        <w:bottom w:val="none" w:sz="0" w:space="0" w:color="auto"/>
        <w:right w:val="none" w:sz="0" w:space="0" w:color="auto"/>
      </w:divBdr>
    </w:div>
    <w:div w:id="2104186716">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35709625">
      <w:bodyDiv w:val="1"/>
      <w:marLeft w:val="0"/>
      <w:marRight w:val="0"/>
      <w:marTop w:val="0"/>
      <w:marBottom w:val="0"/>
      <w:divBdr>
        <w:top w:val="none" w:sz="0" w:space="0" w:color="auto"/>
        <w:left w:val="none" w:sz="0" w:space="0" w:color="auto"/>
        <w:bottom w:val="none" w:sz="0" w:space="0" w:color="auto"/>
        <w:right w:val="none" w:sz="0" w:space="0" w:color="auto"/>
      </w:divBdr>
    </w:div>
    <w:div w:id="213990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E72F7-78A4-4108-8D77-8A865AD67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5905</Words>
  <Characters>34932</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2020-08-17T06:08:00Z</dcterms:created>
  <dcterms:modified xsi:type="dcterms:W3CDTF">2020-08-25T07:49:00Z</dcterms:modified>
</cp:coreProperties>
</file>