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AB0EE" w14:textId="77777777" w:rsidR="00D7136A" w:rsidRDefault="00464DA0" w:rsidP="00267A9D">
      <w:pPr>
        <w:contextualSpacing/>
        <w:jc w:val="both"/>
        <w:rPr>
          <w:rFonts w:ascii="Arial" w:hAnsi="Arial" w:cs="Arial"/>
          <w:b/>
          <w:szCs w:val="20"/>
          <w:lang w:val="en-AU" w:eastAsia="en-AU"/>
        </w:rPr>
      </w:pPr>
      <w:r>
        <w:rPr>
          <w:rFonts w:ascii="Arial" w:hAnsi="Arial" w:cs="Arial"/>
          <w:b/>
          <w:sz w:val="28"/>
          <w:lang w:val="en-AU" w:eastAsia="en-AU"/>
        </w:rPr>
        <w:t xml:space="preserve">PBAC CONSIDERATION OF THE </w:t>
      </w:r>
      <w:r w:rsidR="00D7136A">
        <w:rPr>
          <w:rFonts w:ascii="Arial" w:hAnsi="Arial" w:cs="Arial"/>
          <w:b/>
          <w:sz w:val="28"/>
          <w:lang w:val="en-AU" w:eastAsia="en-AU"/>
        </w:rPr>
        <w:t>REPORT</w:t>
      </w:r>
      <w:r w:rsidR="00267A9D">
        <w:rPr>
          <w:rFonts w:ascii="Arial" w:hAnsi="Arial" w:cs="Arial"/>
          <w:b/>
          <w:sz w:val="28"/>
          <w:lang w:val="en-AU" w:eastAsia="en-AU"/>
        </w:rPr>
        <w:t xml:space="preserve"> OF THE DRUG </w:t>
      </w:r>
      <w:r w:rsidR="00D7136A" w:rsidRPr="00B94022">
        <w:rPr>
          <w:rFonts w:ascii="Arial" w:hAnsi="Arial" w:cs="Arial"/>
          <w:b/>
          <w:sz w:val="28"/>
          <w:lang w:val="en-AU" w:eastAsia="en-AU"/>
        </w:rPr>
        <w:t>UTILISATION SUB-COMMITTEE</w:t>
      </w:r>
    </w:p>
    <w:p w14:paraId="7F124E9C" w14:textId="77777777" w:rsidR="00D7136A" w:rsidRPr="006951BF" w:rsidRDefault="00D7136A" w:rsidP="00D7136A">
      <w:pPr>
        <w:jc w:val="both"/>
        <w:rPr>
          <w:rFonts w:ascii="Arial" w:hAnsi="Arial" w:cs="Arial"/>
          <w:b/>
          <w:sz w:val="28"/>
          <w:szCs w:val="20"/>
          <w:lang w:val="en-AU" w:eastAsia="en-AU"/>
        </w:rPr>
      </w:pPr>
    </w:p>
    <w:p w14:paraId="7C5EA0B1" w14:textId="7BDF8113" w:rsidR="00D7136A" w:rsidRPr="006951BF" w:rsidRDefault="00D7136A" w:rsidP="008866E8">
      <w:pPr>
        <w:contextualSpacing/>
        <w:jc w:val="both"/>
        <w:rPr>
          <w:rFonts w:ascii="Arial" w:hAnsi="Arial" w:cs="Arial"/>
          <w:color w:val="A6A6A6"/>
          <w:sz w:val="22"/>
          <w:lang w:val="en-AU" w:eastAsia="en-AU"/>
        </w:rPr>
      </w:pPr>
      <w:r w:rsidRPr="006951BF">
        <w:rPr>
          <w:rFonts w:ascii="Arial" w:hAnsi="Arial" w:cs="Arial"/>
          <w:sz w:val="22"/>
          <w:lang w:val="en-AU" w:eastAsia="en-AU"/>
        </w:rPr>
        <w:t xml:space="preserve">The PBAC noted utilisation reports with associated stakeholder responses from the </w:t>
      </w:r>
      <w:r w:rsidR="00082135">
        <w:rPr>
          <w:rFonts w:ascii="Arial" w:hAnsi="Arial" w:cs="Arial"/>
          <w:sz w:val="22"/>
          <w:lang w:val="en-AU" w:eastAsia="en-AU"/>
        </w:rPr>
        <w:t>October</w:t>
      </w:r>
      <w:r w:rsidR="00A31269" w:rsidRPr="006951BF">
        <w:rPr>
          <w:rFonts w:ascii="Arial" w:hAnsi="Arial" w:cs="Arial"/>
          <w:sz w:val="22"/>
          <w:lang w:val="en-AU" w:eastAsia="en-AU"/>
        </w:rPr>
        <w:t xml:space="preserve"> </w:t>
      </w:r>
      <w:r w:rsidR="00DB4B4C">
        <w:rPr>
          <w:rFonts w:ascii="Arial" w:hAnsi="Arial" w:cs="Arial"/>
          <w:sz w:val="22"/>
          <w:lang w:val="en-AU" w:eastAsia="en-AU"/>
        </w:rPr>
        <w:t xml:space="preserve">2020 </w:t>
      </w:r>
      <w:r w:rsidR="00A31269" w:rsidRPr="006951BF">
        <w:rPr>
          <w:rFonts w:ascii="Arial" w:hAnsi="Arial" w:cs="Arial"/>
          <w:sz w:val="22"/>
          <w:lang w:val="en-AU" w:eastAsia="en-AU"/>
        </w:rPr>
        <w:t xml:space="preserve">Drug Utilisation Sub-Committee (DUSC) </w:t>
      </w:r>
      <w:r w:rsidRPr="006951BF">
        <w:rPr>
          <w:rFonts w:ascii="Arial" w:hAnsi="Arial" w:cs="Arial"/>
          <w:sz w:val="22"/>
          <w:lang w:val="en-AU" w:eastAsia="en-AU"/>
        </w:rPr>
        <w:t>meeting, which were provided in Item</w:t>
      </w:r>
      <w:r w:rsidR="00A31269" w:rsidRPr="006951BF">
        <w:rPr>
          <w:rFonts w:ascii="Arial" w:hAnsi="Arial" w:cs="Arial"/>
          <w:sz w:val="22"/>
          <w:lang w:val="en-AU" w:eastAsia="en-AU"/>
        </w:rPr>
        <w:t>s 10.0</w:t>
      </w:r>
      <w:r w:rsidR="00082135">
        <w:rPr>
          <w:rFonts w:ascii="Arial" w:hAnsi="Arial" w:cs="Arial"/>
          <w:sz w:val="22"/>
          <w:lang w:val="en-AU" w:eastAsia="en-AU"/>
        </w:rPr>
        <w:t>4</w:t>
      </w:r>
      <w:r w:rsidR="00A31269" w:rsidRPr="006951BF">
        <w:rPr>
          <w:rFonts w:ascii="Arial" w:hAnsi="Arial" w:cs="Arial"/>
          <w:sz w:val="22"/>
          <w:lang w:val="en-AU" w:eastAsia="en-AU"/>
        </w:rPr>
        <w:t xml:space="preserve"> to 10.0</w:t>
      </w:r>
      <w:r w:rsidR="00E03CF9">
        <w:rPr>
          <w:rFonts w:ascii="Arial" w:hAnsi="Arial" w:cs="Arial"/>
          <w:sz w:val="22"/>
          <w:lang w:val="en-AU" w:eastAsia="en-AU"/>
        </w:rPr>
        <w:t>9</w:t>
      </w:r>
      <w:r w:rsidRPr="006951BF">
        <w:rPr>
          <w:rFonts w:ascii="Arial" w:hAnsi="Arial" w:cs="Arial"/>
          <w:sz w:val="22"/>
          <w:lang w:val="en-AU" w:eastAsia="en-AU"/>
        </w:rPr>
        <w:t xml:space="preserve"> of the PBAC Agenda. </w:t>
      </w:r>
      <w:r w:rsidR="00A31269" w:rsidRPr="006951BF">
        <w:rPr>
          <w:rFonts w:ascii="Arial" w:hAnsi="Arial" w:cs="Arial"/>
          <w:sz w:val="22"/>
          <w:lang w:val="en-AU" w:eastAsia="en-AU"/>
        </w:rPr>
        <w:t>DUSC minutes relating to these items were provided to the PBAC</w:t>
      </w:r>
      <w:r w:rsidR="00F8213A">
        <w:rPr>
          <w:rFonts w:ascii="Arial" w:hAnsi="Arial" w:cs="Arial"/>
          <w:sz w:val="22"/>
          <w:lang w:val="en-AU" w:eastAsia="en-AU"/>
        </w:rPr>
        <w:t>. The outcomes of the DUSC consideration of these items are available in</w:t>
      </w:r>
      <w:r w:rsidR="00CB6BC5">
        <w:rPr>
          <w:rFonts w:ascii="Arial" w:hAnsi="Arial" w:cs="Arial"/>
          <w:sz w:val="22"/>
          <w:lang w:val="en-AU" w:eastAsia="en-AU"/>
        </w:rPr>
        <w:t xml:space="preserve"> the </w:t>
      </w:r>
      <w:hyperlink r:id="rId8" w:history="1">
        <w:r w:rsidR="00082135">
          <w:rPr>
            <w:rStyle w:val="Hyperlink"/>
            <w:rFonts w:ascii="Arial" w:hAnsi="Arial" w:cs="Arial"/>
            <w:sz w:val="22"/>
            <w:lang w:val="en-AU" w:eastAsia="en-AU"/>
          </w:rPr>
          <w:t>October 2020 DUSC outcome statement</w:t>
        </w:r>
      </w:hyperlink>
      <w:r w:rsidR="00A31269" w:rsidRPr="006951BF">
        <w:rPr>
          <w:rFonts w:ascii="Arial" w:hAnsi="Arial" w:cs="Arial"/>
          <w:sz w:val="22"/>
          <w:lang w:val="en-AU" w:eastAsia="en-AU"/>
        </w:rPr>
        <w:t>.</w:t>
      </w:r>
    </w:p>
    <w:p w14:paraId="7A7BA54E" w14:textId="3709DBD2" w:rsidR="00082135" w:rsidRDefault="00082135" w:rsidP="001F312C">
      <w:pPr>
        <w:contextualSpacing/>
        <w:jc w:val="both"/>
        <w:rPr>
          <w:rFonts w:ascii="Arial" w:hAnsi="Arial" w:cs="Arial"/>
          <w:b/>
          <w:sz w:val="22"/>
          <w:lang w:val="en-AU" w:eastAsia="en-AU"/>
        </w:rPr>
      </w:pPr>
    </w:p>
    <w:p w14:paraId="257F36EC" w14:textId="77777777" w:rsidR="00082135" w:rsidRPr="00082135" w:rsidRDefault="00082135" w:rsidP="008530EB">
      <w:pPr>
        <w:contextualSpacing/>
        <w:jc w:val="both"/>
        <w:rPr>
          <w:rFonts w:ascii="Arial" w:hAnsi="Arial" w:cs="Arial"/>
          <w:b/>
          <w:sz w:val="22"/>
          <w:lang w:val="en-AU" w:eastAsia="en-AU"/>
        </w:rPr>
      </w:pPr>
      <w:r w:rsidRPr="00082135">
        <w:rPr>
          <w:rFonts w:ascii="Arial" w:hAnsi="Arial" w:cs="Arial"/>
          <w:b/>
          <w:sz w:val="22"/>
          <w:lang w:val="en-AU" w:eastAsia="en-AU"/>
        </w:rPr>
        <w:t>Adrenaline for allergic reaction with anaphylaxis</w:t>
      </w:r>
    </w:p>
    <w:p w14:paraId="1B925BB8" w14:textId="77777777" w:rsidR="00B13AD3" w:rsidRPr="006C76DE" w:rsidRDefault="00B13AD3" w:rsidP="008530EB">
      <w:pPr>
        <w:contextualSpacing/>
        <w:jc w:val="both"/>
        <w:rPr>
          <w:rFonts w:ascii="Arial" w:hAnsi="Arial" w:cs="Arial"/>
          <w:sz w:val="22"/>
          <w:szCs w:val="22"/>
          <w:lang w:val="en-AU" w:eastAsia="en-AU"/>
        </w:rPr>
      </w:pPr>
    </w:p>
    <w:p w14:paraId="58D57071" w14:textId="2B6729FB" w:rsidR="00B1693A" w:rsidRPr="006C76DE" w:rsidRDefault="00B13AD3" w:rsidP="008530EB">
      <w:pPr>
        <w:contextualSpacing/>
        <w:jc w:val="both"/>
        <w:rPr>
          <w:rFonts w:ascii="Arial" w:hAnsi="Arial" w:cs="Arial"/>
          <w:sz w:val="22"/>
          <w:szCs w:val="22"/>
          <w:lang w:val="en-AU" w:eastAsia="en-AU"/>
        </w:rPr>
      </w:pPr>
      <w:r w:rsidRPr="006C76DE">
        <w:rPr>
          <w:rFonts w:ascii="Arial" w:hAnsi="Arial" w:cs="Arial"/>
          <w:sz w:val="22"/>
          <w:szCs w:val="22"/>
          <w:lang w:val="en-AU" w:eastAsia="en-AU"/>
        </w:rPr>
        <w:t xml:space="preserve">This report considered </w:t>
      </w:r>
      <w:r w:rsidR="00082135" w:rsidRPr="006C76DE">
        <w:rPr>
          <w:rFonts w:ascii="Arial" w:hAnsi="Arial" w:cs="Arial"/>
          <w:sz w:val="22"/>
          <w:szCs w:val="22"/>
          <w:lang w:val="en-AU" w:eastAsia="en-AU"/>
        </w:rPr>
        <w:t>t</w:t>
      </w:r>
      <w:r w:rsidR="00082135" w:rsidRPr="006C76DE">
        <w:rPr>
          <w:rFonts w:ascii="Arial" w:hAnsi="Arial" w:cs="Arial"/>
          <w:sz w:val="22"/>
          <w:szCs w:val="22"/>
        </w:rPr>
        <w:t>he use of adrenaline for anaphylaxis.</w:t>
      </w:r>
    </w:p>
    <w:p w14:paraId="0F478DA6" w14:textId="77777777" w:rsidR="00A31269" w:rsidRPr="006951BF" w:rsidRDefault="00A31269" w:rsidP="008530EB">
      <w:pPr>
        <w:contextualSpacing/>
        <w:jc w:val="both"/>
        <w:rPr>
          <w:rFonts w:ascii="Arial" w:hAnsi="Arial" w:cs="Arial"/>
          <w:color w:val="A6A6A6"/>
          <w:sz w:val="22"/>
          <w:lang w:val="en-AU" w:eastAsia="en-AU"/>
        </w:rPr>
      </w:pPr>
    </w:p>
    <w:p w14:paraId="4711D0AD" w14:textId="7FAF2CA0" w:rsidR="00A31269" w:rsidRDefault="00A31269" w:rsidP="008530EB">
      <w:pPr>
        <w:contextualSpacing/>
        <w:jc w:val="both"/>
        <w:rPr>
          <w:rFonts w:ascii="Arial" w:hAnsi="Arial" w:cs="Arial"/>
          <w:i/>
          <w:sz w:val="22"/>
          <w:lang w:val="en-AU" w:eastAsia="en-AU"/>
        </w:rPr>
      </w:pPr>
      <w:r w:rsidRPr="006951BF">
        <w:rPr>
          <w:rFonts w:ascii="Arial" w:hAnsi="Arial" w:cs="Arial"/>
          <w:i/>
          <w:sz w:val="22"/>
          <w:lang w:val="en-AU" w:eastAsia="en-AU"/>
        </w:rPr>
        <w:t>Outcome</w:t>
      </w:r>
    </w:p>
    <w:p w14:paraId="0AA5405C" w14:textId="7CEFF5E9" w:rsidR="00082135" w:rsidRPr="006C76DE" w:rsidRDefault="00082135" w:rsidP="008530EB">
      <w:pPr>
        <w:spacing w:before="120" w:after="120"/>
        <w:jc w:val="both"/>
        <w:rPr>
          <w:rFonts w:ascii="Arial" w:hAnsi="Arial" w:cs="Arial"/>
          <w:sz w:val="22"/>
          <w:lang w:val="en-AU" w:eastAsia="en-AU"/>
        </w:rPr>
      </w:pPr>
      <w:r w:rsidRPr="006C76DE">
        <w:rPr>
          <w:rFonts w:ascii="Arial" w:hAnsi="Arial" w:cs="Arial"/>
          <w:sz w:val="22"/>
          <w:lang w:val="en-AU" w:eastAsia="en-AU"/>
        </w:rPr>
        <w:t>PBAC noted that the number of patients and prescriptions was increasing, however the cost had not increased due to price decreases.</w:t>
      </w:r>
    </w:p>
    <w:p w14:paraId="00A2B94E" w14:textId="77777777" w:rsidR="00082135" w:rsidRPr="006C76DE" w:rsidRDefault="00082135" w:rsidP="008530EB">
      <w:pPr>
        <w:spacing w:before="120" w:after="120"/>
        <w:jc w:val="both"/>
        <w:rPr>
          <w:rFonts w:ascii="Arial" w:hAnsi="Arial" w:cs="Arial"/>
          <w:sz w:val="22"/>
          <w:lang w:val="en-AU" w:eastAsia="en-AU"/>
        </w:rPr>
      </w:pPr>
      <w:r w:rsidRPr="006C76DE">
        <w:rPr>
          <w:rFonts w:ascii="Arial" w:hAnsi="Arial" w:cs="Arial"/>
          <w:sz w:val="22"/>
          <w:lang w:val="en-AU" w:eastAsia="en-AU"/>
        </w:rPr>
        <w:t xml:space="preserve">PBAC noted the included geospatial data analysis which indicated there was a variation in quantities supplied by region. </w:t>
      </w:r>
    </w:p>
    <w:p w14:paraId="3E64F3C6" w14:textId="64D08793" w:rsidR="005616CC" w:rsidRPr="006951BF" w:rsidRDefault="005616CC" w:rsidP="008530EB">
      <w:pPr>
        <w:contextualSpacing/>
        <w:jc w:val="both"/>
        <w:rPr>
          <w:rFonts w:ascii="Arial" w:hAnsi="Arial" w:cs="Arial"/>
          <w:sz w:val="22"/>
          <w:lang w:val="en-AU" w:eastAsia="en-AU"/>
        </w:rPr>
      </w:pPr>
    </w:p>
    <w:p w14:paraId="222A43DA" w14:textId="77777777" w:rsidR="00082135" w:rsidRPr="006C76DE" w:rsidRDefault="00082135" w:rsidP="008530EB">
      <w:pPr>
        <w:jc w:val="both"/>
        <w:rPr>
          <w:rFonts w:ascii="Arial" w:hAnsi="Arial" w:cs="Arial"/>
          <w:b/>
          <w:sz w:val="22"/>
          <w:lang w:val="en-AU" w:eastAsia="en-AU"/>
        </w:rPr>
      </w:pPr>
      <w:r w:rsidRPr="006C76DE">
        <w:rPr>
          <w:rFonts w:ascii="Arial" w:hAnsi="Arial" w:cs="Arial"/>
          <w:b/>
          <w:sz w:val="22"/>
          <w:lang w:val="en-AU" w:eastAsia="en-AU"/>
        </w:rPr>
        <w:t>Alectinib for non-small cell lung cancer (NSCLC)</w:t>
      </w:r>
    </w:p>
    <w:p w14:paraId="0FA65C63" w14:textId="3C1127E2" w:rsidR="00E03CF9" w:rsidRPr="006C76DE" w:rsidRDefault="00E03CF9" w:rsidP="008530EB">
      <w:pPr>
        <w:spacing w:before="120" w:after="120"/>
        <w:jc w:val="both"/>
        <w:rPr>
          <w:rFonts w:ascii="Arial" w:hAnsi="Arial" w:cs="Arial"/>
          <w:sz w:val="22"/>
          <w:lang w:val="en-AU" w:eastAsia="en-AU"/>
        </w:rPr>
      </w:pPr>
      <w:r w:rsidRPr="006C76DE">
        <w:rPr>
          <w:rFonts w:ascii="Arial" w:hAnsi="Arial" w:cs="Arial"/>
          <w:sz w:val="22"/>
          <w:lang w:val="en-AU" w:eastAsia="en-AU"/>
        </w:rPr>
        <w:t>This report considered the use of alectinib in stage 111B (locally</w:t>
      </w:r>
      <w:r w:rsidR="00E24BDE">
        <w:rPr>
          <w:rFonts w:ascii="Arial" w:hAnsi="Arial" w:cs="Arial"/>
          <w:sz w:val="22"/>
          <w:lang w:val="en-AU" w:eastAsia="en-AU"/>
        </w:rPr>
        <w:t xml:space="preserve"> advanced) or stage IV (metastatic</w:t>
      </w:r>
      <w:r w:rsidRPr="006C76DE">
        <w:rPr>
          <w:rFonts w:ascii="Arial" w:hAnsi="Arial" w:cs="Arial"/>
          <w:sz w:val="22"/>
          <w:lang w:val="en-AU" w:eastAsia="en-AU"/>
        </w:rPr>
        <w:t>) NSCLC.</w:t>
      </w:r>
    </w:p>
    <w:p w14:paraId="5D2C44EA" w14:textId="77777777" w:rsidR="00E03CF9" w:rsidRDefault="00E03CF9" w:rsidP="008530EB">
      <w:pPr>
        <w:contextualSpacing/>
        <w:jc w:val="both"/>
        <w:rPr>
          <w:rFonts w:ascii="Arial" w:hAnsi="Arial" w:cs="Arial"/>
          <w:i/>
          <w:sz w:val="22"/>
          <w:lang w:val="en-AU" w:eastAsia="en-AU"/>
        </w:rPr>
      </w:pPr>
      <w:r w:rsidRPr="006951BF">
        <w:rPr>
          <w:rFonts w:ascii="Arial" w:hAnsi="Arial" w:cs="Arial"/>
          <w:i/>
          <w:sz w:val="22"/>
          <w:lang w:val="en-AU" w:eastAsia="en-AU"/>
        </w:rPr>
        <w:t>Outcome</w:t>
      </w:r>
    </w:p>
    <w:p w14:paraId="3EFDDB6B" w14:textId="0DD5251C" w:rsidR="00E03CF9" w:rsidRPr="006C76DE" w:rsidRDefault="00E03CF9" w:rsidP="008530EB">
      <w:pPr>
        <w:spacing w:before="120" w:after="120"/>
        <w:jc w:val="both"/>
        <w:rPr>
          <w:rFonts w:ascii="Arial" w:hAnsi="Arial" w:cs="Arial"/>
          <w:sz w:val="22"/>
          <w:lang w:val="en-AU" w:eastAsia="en-AU"/>
        </w:rPr>
      </w:pPr>
      <w:r w:rsidRPr="006C76DE">
        <w:rPr>
          <w:rFonts w:ascii="Arial" w:hAnsi="Arial" w:cs="Arial"/>
          <w:sz w:val="22"/>
          <w:lang w:val="en-AU" w:eastAsia="en-AU"/>
        </w:rPr>
        <w:t>PBAC noted that the number of prescriptions and use was higher than predicted and it was dominant in the market as expected. PBAC noted that time on treatment was longer than predicted.</w:t>
      </w:r>
    </w:p>
    <w:p w14:paraId="2BD7735C" w14:textId="77777777" w:rsidR="00E03CF9" w:rsidRPr="006C76DE" w:rsidRDefault="00E03CF9" w:rsidP="008530EB">
      <w:pPr>
        <w:spacing w:before="120" w:after="120"/>
        <w:jc w:val="both"/>
        <w:rPr>
          <w:rFonts w:ascii="Arial" w:hAnsi="Arial" w:cs="Arial"/>
          <w:sz w:val="22"/>
          <w:lang w:val="en-AU" w:eastAsia="en-AU"/>
        </w:rPr>
      </w:pPr>
      <w:r w:rsidRPr="006C76DE">
        <w:rPr>
          <w:rFonts w:ascii="Arial" w:hAnsi="Arial" w:cs="Arial"/>
          <w:sz w:val="22"/>
          <w:lang w:val="en-AU" w:eastAsia="en-AU"/>
        </w:rPr>
        <w:t>PBAC noted that alectinib was generally used as a first line therapy and had replaced other therapies as predicted, including ceritinib which PBAC noted had a Boxed warning due its substantial safety concerns.</w:t>
      </w:r>
    </w:p>
    <w:p w14:paraId="6E3E756C" w14:textId="77777777" w:rsidR="008530EB" w:rsidRDefault="008530EB" w:rsidP="008530EB">
      <w:pPr>
        <w:jc w:val="both"/>
        <w:rPr>
          <w:rFonts w:ascii="Arial" w:hAnsi="Arial" w:cs="Arial"/>
          <w:b/>
          <w:sz w:val="22"/>
          <w:lang w:val="en-AU" w:eastAsia="en-AU"/>
        </w:rPr>
      </w:pPr>
    </w:p>
    <w:p w14:paraId="199284FB" w14:textId="437157B4" w:rsidR="00E03CF9" w:rsidRPr="006C76DE" w:rsidRDefault="00E03CF9" w:rsidP="008530EB">
      <w:pPr>
        <w:jc w:val="both"/>
        <w:rPr>
          <w:rFonts w:ascii="Arial" w:hAnsi="Arial" w:cs="Arial"/>
          <w:b/>
          <w:sz w:val="22"/>
          <w:lang w:val="en-AU" w:eastAsia="en-AU"/>
        </w:rPr>
      </w:pPr>
      <w:proofErr w:type="spellStart"/>
      <w:r w:rsidRPr="006C76DE">
        <w:rPr>
          <w:rFonts w:ascii="Arial" w:hAnsi="Arial" w:cs="Arial"/>
          <w:b/>
          <w:sz w:val="22"/>
          <w:lang w:val="en-AU" w:eastAsia="en-AU"/>
        </w:rPr>
        <w:t>Denosumab</w:t>
      </w:r>
      <w:proofErr w:type="spellEnd"/>
      <w:r w:rsidRPr="006C76DE">
        <w:rPr>
          <w:rFonts w:ascii="Arial" w:hAnsi="Arial" w:cs="Arial"/>
          <w:b/>
          <w:sz w:val="22"/>
          <w:lang w:val="en-AU" w:eastAsia="en-AU"/>
        </w:rPr>
        <w:t xml:space="preserve"> for osteoporosis</w:t>
      </w:r>
    </w:p>
    <w:p w14:paraId="54DD3AFA" w14:textId="7E723C70" w:rsidR="00E03CF9" w:rsidRPr="006C76DE" w:rsidRDefault="00E03CF9" w:rsidP="008530EB">
      <w:pPr>
        <w:spacing w:before="120" w:after="120"/>
        <w:jc w:val="both"/>
        <w:rPr>
          <w:rFonts w:ascii="Arial" w:hAnsi="Arial" w:cs="Arial"/>
          <w:sz w:val="22"/>
          <w:lang w:val="en-AU" w:eastAsia="en-AU"/>
        </w:rPr>
      </w:pPr>
      <w:r w:rsidRPr="006C76DE">
        <w:rPr>
          <w:rFonts w:ascii="Arial" w:hAnsi="Arial" w:cs="Arial"/>
          <w:sz w:val="22"/>
          <w:lang w:val="en-AU" w:eastAsia="en-AU"/>
        </w:rPr>
        <w:t>This report considered quality use of medicines issues in osteoporosis management in general practice with denosumab.</w:t>
      </w:r>
    </w:p>
    <w:p w14:paraId="12020E26" w14:textId="77777777" w:rsidR="00E03CF9" w:rsidRDefault="00E03CF9" w:rsidP="008530EB">
      <w:pPr>
        <w:contextualSpacing/>
        <w:jc w:val="both"/>
        <w:rPr>
          <w:rFonts w:ascii="Arial" w:hAnsi="Arial" w:cs="Arial"/>
          <w:i/>
          <w:sz w:val="22"/>
          <w:lang w:val="en-AU" w:eastAsia="en-AU"/>
        </w:rPr>
      </w:pPr>
      <w:r w:rsidRPr="006951BF">
        <w:rPr>
          <w:rFonts w:ascii="Arial" w:hAnsi="Arial" w:cs="Arial"/>
          <w:i/>
          <w:sz w:val="22"/>
          <w:lang w:val="en-AU" w:eastAsia="en-AU"/>
        </w:rPr>
        <w:t>Outcome</w:t>
      </w:r>
    </w:p>
    <w:p w14:paraId="4A332DDE" w14:textId="35EF9548" w:rsidR="00E03CF9" w:rsidRPr="006C76DE" w:rsidRDefault="00E03CF9" w:rsidP="008530EB">
      <w:pPr>
        <w:spacing w:before="120" w:after="120"/>
        <w:jc w:val="both"/>
        <w:rPr>
          <w:rFonts w:ascii="Arial" w:hAnsi="Arial" w:cs="Arial"/>
          <w:sz w:val="22"/>
          <w:lang w:val="en-AU" w:eastAsia="en-AU"/>
        </w:rPr>
      </w:pPr>
      <w:r w:rsidRPr="006C76DE">
        <w:rPr>
          <w:rFonts w:ascii="Arial" w:hAnsi="Arial" w:cs="Arial"/>
          <w:sz w:val="22"/>
          <w:lang w:val="en-AU" w:eastAsia="en-AU"/>
        </w:rPr>
        <w:t>PBAC no</w:t>
      </w:r>
      <w:r w:rsidR="00060B80">
        <w:rPr>
          <w:rFonts w:ascii="Arial" w:hAnsi="Arial" w:cs="Arial"/>
          <w:sz w:val="22"/>
          <w:lang w:val="en-AU" w:eastAsia="en-AU"/>
        </w:rPr>
        <w:t>ted that the utilisation of den</w:t>
      </w:r>
      <w:r w:rsidRPr="006C76DE">
        <w:rPr>
          <w:rFonts w:ascii="Arial" w:hAnsi="Arial" w:cs="Arial"/>
          <w:sz w:val="22"/>
          <w:lang w:val="en-AU" w:eastAsia="en-AU"/>
        </w:rPr>
        <w:t>osumab had continued to increase over less expensive therapy.</w:t>
      </w:r>
    </w:p>
    <w:p w14:paraId="287370AC" w14:textId="77777777" w:rsidR="00E03CF9" w:rsidRPr="006C76DE" w:rsidRDefault="00E03CF9" w:rsidP="008530EB">
      <w:pPr>
        <w:spacing w:before="120" w:after="120"/>
        <w:jc w:val="both"/>
        <w:rPr>
          <w:rFonts w:ascii="Arial" w:hAnsi="Arial" w:cs="Arial"/>
          <w:sz w:val="22"/>
          <w:lang w:val="en-AU" w:eastAsia="en-AU"/>
        </w:rPr>
      </w:pPr>
      <w:r w:rsidRPr="006C76DE">
        <w:rPr>
          <w:rFonts w:ascii="Arial" w:hAnsi="Arial" w:cs="Arial"/>
          <w:sz w:val="22"/>
          <w:lang w:val="en-AU" w:eastAsia="en-AU"/>
        </w:rPr>
        <w:t xml:space="preserve">PBAC noted there was a preference for the use of injectable therapy and considered that it may be more convenient for patients with swallowing difficulties than oral therapy.  </w:t>
      </w:r>
    </w:p>
    <w:p w14:paraId="6FB633D9" w14:textId="3FC50FB7" w:rsidR="00E03CF9" w:rsidRPr="006C76DE" w:rsidRDefault="00E03CF9" w:rsidP="008530EB">
      <w:pPr>
        <w:spacing w:before="120" w:after="120"/>
        <w:jc w:val="both"/>
        <w:rPr>
          <w:rFonts w:ascii="Arial" w:hAnsi="Arial" w:cs="Arial"/>
          <w:sz w:val="22"/>
          <w:lang w:val="en-AU" w:eastAsia="en-AU"/>
        </w:rPr>
      </w:pPr>
      <w:r w:rsidRPr="006C76DE">
        <w:rPr>
          <w:rFonts w:ascii="Arial" w:hAnsi="Arial" w:cs="Arial"/>
          <w:sz w:val="22"/>
          <w:lang w:val="en-AU" w:eastAsia="en-AU"/>
        </w:rPr>
        <w:t>PBAC was concerned that a large proportion of patients who discontinued denosumab treatment, did not receive a further course with other anti-resorptive agents.  PBAC considered this was an ongoing a quality use of medication issue and placed patients at an increased risk of fractures.</w:t>
      </w:r>
    </w:p>
    <w:p w14:paraId="3690F907" w14:textId="4810752D" w:rsidR="00E03CF9" w:rsidRPr="00653809" w:rsidRDefault="00E03CF9" w:rsidP="008530EB">
      <w:pPr>
        <w:jc w:val="both"/>
        <w:rPr>
          <w:rFonts w:ascii="Arial" w:hAnsi="Arial" w:cs="Arial"/>
          <w:b/>
          <w:sz w:val="22"/>
          <w:lang w:val="en-AU" w:eastAsia="en-AU"/>
        </w:rPr>
      </w:pPr>
      <w:proofErr w:type="spellStart"/>
      <w:r w:rsidRPr="00653809">
        <w:rPr>
          <w:rFonts w:ascii="Arial" w:hAnsi="Arial" w:cs="Arial"/>
          <w:b/>
          <w:sz w:val="22"/>
          <w:lang w:val="en-AU" w:eastAsia="en-AU"/>
        </w:rPr>
        <w:lastRenderedPageBreak/>
        <w:t>Eculizumab</w:t>
      </w:r>
      <w:proofErr w:type="spellEnd"/>
      <w:r w:rsidRPr="00653809">
        <w:rPr>
          <w:rFonts w:ascii="Arial" w:hAnsi="Arial" w:cs="Arial"/>
          <w:b/>
          <w:sz w:val="22"/>
          <w:lang w:val="en-AU" w:eastAsia="en-AU"/>
        </w:rPr>
        <w:t xml:space="preserve"> for atypical haemolytic uraemic syndrome (aHUS)</w:t>
      </w:r>
    </w:p>
    <w:p w14:paraId="27215EDF" w14:textId="0EB4872E" w:rsidR="00E03CF9" w:rsidRPr="006C76DE" w:rsidRDefault="00E03CF9" w:rsidP="008530EB">
      <w:pPr>
        <w:spacing w:before="120" w:after="120"/>
        <w:jc w:val="both"/>
        <w:rPr>
          <w:rFonts w:ascii="Arial" w:hAnsi="Arial" w:cs="Arial"/>
          <w:sz w:val="22"/>
          <w:lang w:val="en-AU" w:eastAsia="en-AU"/>
        </w:rPr>
      </w:pPr>
      <w:r w:rsidRPr="006C76DE">
        <w:rPr>
          <w:rFonts w:ascii="Arial" w:hAnsi="Arial" w:cs="Arial"/>
          <w:sz w:val="22"/>
          <w:lang w:val="en-AU" w:eastAsia="en-AU"/>
        </w:rPr>
        <w:t>This report considered the use of eculizumab for aHUS.</w:t>
      </w:r>
    </w:p>
    <w:p w14:paraId="57EE6815" w14:textId="77777777" w:rsidR="00E03CF9" w:rsidRDefault="00E03CF9" w:rsidP="008530EB">
      <w:pPr>
        <w:contextualSpacing/>
        <w:jc w:val="both"/>
        <w:rPr>
          <w:rFonts w:ascii="Arial" w:hAnsi="Arial" w:cs="Arial"/>
          <w:i/>
          <w:sz w:val="22"/>
          <w:lang w:val="en-AU" w:eastAsia="en-AU"/>
        </w:rPr>
      </w:pPr>
      <w:r w:rsidRPr="006951BF">
        <w:rPr>
          <w:rFonts w:ascii="Arial" w:hAnsi="Arial" w:cs="Arial"/>
          <w:i/>
          <w:sz w:val="22"/>
          <w:lang w:val="en-AU" w:eastAsia="en-AU"/>
        </w:rPr>
        <w:t>Outcome</w:t>
      </w:r>
    </w:p>
    <w:p w14:paraId="70679092" w14:textId="77777777" w:rsidR="00E03CF9" w:rsidRPr="006C76DE" w:rsidRDefault="00E03CF9" w:rsidP="008530EB">
      <w:pPr>
        <w:spacing w:before="120" w:after="120"/>
        <w:jc w:val="both"/>
        <w:rPr>
          <w:rFonts w:ascii="Arial" w:hAnsi="Arial" w:cs="Arial"/>
          <w:sz w:val="22"/>
          <w:lang w:val="en-AU" w:eastAsia="en-AU"/>
        </w:rPr>
      </w:pPr>
      <w:r w:rsidRPr="006C76DE">
        <w:rPr>
          <w:rFonts w:ascii="Arial" w:hAnsi="Arial" w:cs="Arial"/>
          <w:sz w:val="22"/>
          <w:lang w:val="en-AU" w:eastAsia="en-AU"/>
        </w:rPr>
        <w:t>PBAC noted that there have been over 300 patients treated since eculizumab was first listed.</w:t>
      </w:r>
    </w:p>
    <w:p w14:paraId="5022240E" w14:textId="77777777" w:rsidR="00E03CF9" w:rsidRPr="006C76DE" w:rsidRDefault="00E03CF9" w:rsidP="008530EB">
      <w:pPr>
        <w:spacing w:before="120" w:after="120"/>
        <w:jc w:val="both"/>
        <w:rPr>
          <w:rFonts w:ascii="Arial" w:hAnsi="Arial" w:cs="Arial"/>
          <w:sz w:val="22"/>
          <w:lang w:val="en-AU" w:eastAsia="en-AU"/>
        </w:rPr>
      </w:pPr>
      <w:r w:rsidRPr="006C76DE">
        <w:rPr>
          <w:rFonts w:ascii="Arial" w:hAnsi="Arial" w:cs="Arial"/>
          <w:sz w:val="22"/>
          <w:lang w:val="en-AU" w:eastAsia="en-AU"/>
        </w:rPr>
        <w:t>PBAC noted that around 13 percent of patients had passed away on treatment. PBAC considered that this could potentially indicate use after disease progression.</w:t>
      </w:r>
    </w:p>
    <w:p w14:paraId="08108B5C" w14:textId="72258AD4" w:rsidR="00E03CF9" w:rsidRPr="00C61C3B" w:rsidRDefault="00E03CF9" w:rsidP="008530EB">
      <w:pPr>
        <w:spacing w:before="120" w:after="120"/>
        <w:jc w:val="both"/>
        <w:rPr>
          <w:rFonts w:ascii="Arial" w:hAnsi="Arial" w:cs="Arial"/>
          <w:sz w:val="22"/>
          <w:lang w:val="en-AU" w:eastAsia="en-AU"/>
        </w:rPr>
      </w:pPr>
      <w:r w:rsidRPr="006C76DE">
        <w:rPr>
          <w:rFonts w:ascii="Arial" w:hAnsi="Arial" w:cs="Arial"/>
          <w:sz w:val="22"/>
          <w:lang w:val="en-AU" w:eastAsia="en-AU"/>
        </w:rPr>
        <w:t>PBAC noted that the number of treated patients was showing signs of stabilising as time on treatment had fallen after a restriction change and that overall growth</w:t>
      </w:r>
      <w:r w:rsidR="00C61C3B">
        <w:rPr>
          <w:rFonts w:ascii="Arial" w:hAnsi="Arial" w:cs="Arial"/>
          <w:sz w:val="22"/>
          <w:lang w:val="en-AU" w:eastAsia="en-AU"/>
        </w:rPr>
        <w:t xml:space="preserve"> appeared to be flattening off.</w:t>
      </w:r>
    </w:p>
    <w:p w14:paraId="050FBD16" w14:textId="77777777" w:rsidR="008530EB" w:rsidRDefault="008530EB" w:rsidP="008530EB">
      <w:pPr>
        <w:jc w:val="both"/>
        <w:rPr>
          <w:rFonts w:ascii="Arial" w:hAnsi="Arial" w:cs="Arial"/>
          <w:b/>
          <w:sz w:val="22"/>
          <w:lang w:val="en-AU" w:eastAsia="en-AU"/>
        </w:rPr>
      </w:pPr>
    </w:p>
    <w:p w14:paraId="3F38287B" w14:textId="2CC10CAB" w:rsidR="00E03CF9" w:rsidRPr="00653809" w:rsidRDefault="00E03CF9" w:rsidP="008530EB">
      <w:pPr>
        <w:jc w:val="both"/>
        <w:rPr>
          <w:rFonts w:ascii="Arial" w:hAnsi="Arial" w:cs="Arial"/>
          <w:b/>
          <w:sz w:val="22"/>
          <w:lang w:val="en-AU" w:eastAsia="en-AU"/>
        </w:rPr>
      </w:pPr>
      <w:proofErr w:type="spellStart"/>
      <w:r w:rsidRPr="00653809">
        <w:rPr>
          <w:rFonts w:ascii="Arial" w:hAnsi="Arial" w:cs="Arial"/>
          <w:b/>
          <w:sz w:val="22"/>
          <w:lang w:val="en-AU" w:eastAsia="en-AU"/>
        </w:rPr>
        <w:t>Ibrutinib</w:t>
      </w:r>
      <w:proofErr w:type="spellEnd"/>
      <w:r w:rsidRPr="00653809">
        <w:rPr>
          <w:rFonts w:ascii="Arial" w:hAnsi="Arial" w:cs="Arial"/>
          <w:b/>
          <w:sz w:val="22"/>
          <w:lang w:val="en-AU" w:eastAsia="en-AU"/>
        </w:rPr>
        <w:t xml:space="preserve"> for chronic lymphocytic leukaemia (CLL) and small lymphocytic lymphoma (SLL)</w:t>
      </w:r>
    </w:p>
    <w:p w14:paraId="2985D56B" w14:textId="2265314A" w:rsidR="00E03CF9" w:rsidRPr="006C76DE" w:rsidRDefault="00E03CF9" w:rsidP="008530EB">
      <w:pPr>
        <w:spacing w:before="120" w:after="120"/>
        <w:jc w:val="both"/>
        <w:rPr>
          <w:rFonts w:ascii="Arial" w:hAnsi="Arial" w:cs="Arial"/>
          <w:sz w:val="22"/>
          <w:lang w:val="en-AU" w:eastAsia="en-AU"/>
        </w:rPr>
      </w:pPr>
      <w:r w:rsidRPr="006C76DE">
        <w:rPr>
          <w:rFonts w:ascii="Arial" w:hAnsi="Arial" w:cs="Arial"/>
          <w:sz w:val="22"/>
          <w:lang w:val="en-AU" w:eastAsia="en-AU"/>
        </w:rPr>
        <w:t>This report considered the use of ibrutinib for CLL/SLL following its addition as a streamline authority.</w:t>
      </w:r>
    </w:p>
    <w:p w14:paraId="326E3C5F" w14:textId="77777777" w:rsidR="00E03CF9" w:rsidRDefault="00E03CF9" w:rsidP="008530EB">
      <w:pPr>
        <w:contextualSpacing/>
        <w:jc w:val="both"/>
        <w:rPr>
          <w:rFonts w:ascii="Arial" w:hAnsi="Arial" w:cs="Arial"/>
          <w:i/>
          <w:sz w:val="22"/>
          <w:lang w:val="en-AU" w:eastAsia="en-AU"/>
        </w:rPr>
      </w:pPr>
      <w:r w:rsidRPr="006951BF">
        <w:rPr>
          <w:rFonts w:ascii="Arial" w:hAnsi="Arial" w:cs="Arial"/>
          <w:i/>
          <w:sz w:val="22"/>
          <w:lang w:val="en-AU" w:eastAsia="en-AU"/>
        </w:rPr>
        <w:t>Outcome</w:t>
      </w:r>
    </w:p>
    <w:p w14:paraId="0FE5967E" w14:textId="77777777" w:rsidR="00E03CF9" w:rsidRPr="006C76DE" w:rsidRDefault="00E03CF9" w:rsidP="008530EB">
      <w:pPr>
        <w:spacing w:before="120" w:after="120"/>
        <w:jc w:val="both"/>
        <w:rPr>
          <w:rFonts w:ascii="Arial" w:hAnsi="Arial" w:cs="Arial"/>
          <w:sz w:val="22"/>
          <w:lang w:val="en-AU" w:eastAsia="en-AU"/>
        </w:rPr>
      </w:pPr>
      <w:r w:rsidRPr="006C76DE">
        <w:rPr>
          <w:rFonts w:ascii="Arial" w:hAnsi="Arial" w:cs="Arial"/>
          <w:sz w:val="22"/>
          <w:lang w:val="en-AU" w:eastAsia="en-AU"/>
        </w:rPr>
        <w:t xml:space="preserve">PBAC noted a steady initial increase in use and that the actual use was as predicted in year 1, but the utilisation of ibrutinib had declined after venetoclax entered the market. </w:t>
      </w:r>
    </w:p>
    <w:p w14:paraId="75CB236E" w14:textId="77777777" w:rsidR="00E03CF9" w:rsidRPr="006C76DE" w:rsidRDefault="00E03CF9" w:rsidP="008530EB">
      <w:pPr>
        <w:spacing w:before="120" w:after="120"/>
        <w:jc w:val="both"/>
        <w:rPr>
          <w:rFonts w:ascii="Arial" w:hAnsi="Arial" w:cs="Arial"/>
          <w:sz w:val="22"/>
          <w:lang w:val="en-AU" w:eastAsia="en-AU"/>
        </w:rPr>
      </w:pPr>
      <w:r w:rsidRPr="006C76DE">
        <w:rPr>
          <w:rFonts w:ascii="Arial" w:hAnsi="Arial" w:cs="Arial"/>
          <w:sz w:val="22"/>
          <w:lang w:val="en-AU" w:eastAsia="en-AU"/>
        </w:rPr>
        <w:t xml:space="preserve">PBAC noted that median time on treatment had not been reached yet, and considered this should be monitored in the future.  </w:t>
      </w:r>
    </w:p>
    <w:p w14:paraId="0D1B33FE" w14:textId="521EA54F" w:rsidR="00E03CF9" w:rsidRPr="006C76DE" w:rsidRDefault="00E03CF9" w:rsidP="008530EB">
      <w:pPr>
        <w:spacing w:before="120" w:after="120"/>
        <w:jc w:val="both"/>
        <w:rPr>
          <w:rFonts w:ascii="Arial" w:hAnsi="Arial" w:cs="Arial"/>
          <w:sz w:val="22"/>
          <w:lang w:val="en-AU" w:eastAsia="en-AU"/>
        </w:rPr>
      </w:pPr>
      <w:r w:rsidRPr="006C76DE">
        <w:rPr>
          <w:rFonts w:ascii="Arial" w:hAnsi="Arial" w:cs="Arial"/>
          <w:sz w:val="22"/>
          <w:lang w:val="en-AU" w:eastAsia="en-AU"/>
        </w:rPr>
        <w:t xml:space="preserve">PBAC noted that a small number of patients appear to be receiving combination treatment, </w:t>
      </w:r>
      <w:r w:rsidR="00AE3228" w:rsidRPr="00AE3228">
        <w:rPr>
          <w:rFonts w:ascii="Arial" w:hAnsi="Arial" w:cs="Arial"/>
          <w:sz w:val="22"/>
          <w:lang w:val="en-AU" w:eastAsia="en-AU"/>
        </w:rPr>
        <w:t>but did not consi</w:t>
      </w:r>
      <w:bookmarkStart w:id="0" w:name="_GoBack"/>
      <w:bookmarkEnd w:id="0"/>
      <w:r w:rsidR="00AE3228" w:rsidRPr="00AE3228">
        <w:rPr>
          <w:rFonts w:ascii="Arial" w:hAnsi="Arial" w:cs="Arial"/>
          <w:sz w:val="22"/>
          <w:lang w:val="en-AU" w:eastAsia="en-AU"/>
        </w:rPr>
        <w:t>der that t</w:t>
      </w:r>
      <w:r w:rsidR="00AE3228">
        <w:rPr>
          <w:rFonts w:ascii="Arial" w:hAnsi="Arial" w:cs="Arial"/>
          <w:sz w:val="22"/>
          <w:lang w:val="en-AU" w:eastAsia="en-AU"/>
        </w:rPr>
        <w:t>his was a concern at this stage</w:t>
      </w:r>
      <w:r w:rsidRPr="006C76DE">
        <w:rPr>
          <w:rFonts w:ascii="Arial" w:hAnsi="Arial" w:cs="Arial"/>
          <w:sz w:val="22"/>
          <w:lang w:val="en-AU" w:eastAsia="en-AU"/>
        </w:rPr>
        <w:t xml:space="preserve">. </w:t>
      </w:r>
    </w:p>
    <w:p w14:paraId="5021D90C" w14:textId="77777777" w:rsidR="008530EB" w:rsidRDefault="008530EB" w:rsidP="008530EB">
      <w:pPr>
        <w:jc w:val="both"/>
        <w:rPr>
          <w:rFonts w:ascii="Arial" w:hAnsi="Arial" w:cs="Arial"/>
          <w:b/>
          <w:sz w:val="22"/>
          <w:lang w:val="en-AU" w:eastAsia="en-AU"/>
        </w:rPr>
      </w:pPr>
    </w:p>
    <w:p w14:paraId="1A523128" w14:textId="712268F8" w:rsidR="00E03CF9" w:rsidRPr="00653809" w:rsidRDefault="00E03CF9" w:rsidP="008530EB">
      <w:pPr>
        <w:jc w:val="both"/>
        <w:rPr>
          <w:rFonts w:ascii="Arial" w:hAnsi="Arial" w:cs="Arial"/>
          <w:b/>
          <w:sz w:val="22"/>
          <w:lang w:val="en-AU" w:eastAsia="en-AU"/>
        </w:rPr>
      </w:pPr>
      <w:r w:rsidRPr="00653809">
        <w:rPr>
          <w:rFonts w:ascii="Arial" w:hAnsi="Arial" w:cs="Arial"/>
          <w:b/>
          <w:sz w:val="22"/>
          <w:lang w:val="en-AU" w:eastAsia="en-AU"/>
        </w:rPr>
        <w:t>Ocrelizumab for relapsing-remitting multiple sclerosis</w:t>
      </w:r>
    </w:p>
    <w:p w14:paraId="018F646F" w14:textId="149CC373" w:rsidR="00E03CF9" w:rsidRPr="006C76DE" w:rsidRDefault="00E03CF9" w:rsidP="008530EB">
      <w:pPr>
        <w:spacing w:before="120" w:after="120"/>
        <w:jc w:val="both"/>
        <w:rPr>
          <w:rFonts w:ascii="Arial" w:hAnsi="Arial" w:cs="Arial"/>
          <w:sz w:val="22"/>
          <w:lang w:val="en-AU" w:eastAsia="en-AU"/>
        </w:rPr>
      </w:pPr>
      <w:r w:rsidRPr="006C76DE">
        <w:rPr>
          <w:rFonts w:ascii="Arial" w:hAnsi="Arial" w:cs="Arial"/>
          <w:sz w:val="22"/>
          <w:lang w:val="en-AU" w:eastAsia="en-AU"/>
        </w:rPr>
        <w:t>The report considered the use of ocrelizumab for RRMS.</w:t>
      </w:r>
    </w:p>
    <w:p w14:paraId="1A4B9FB2" w14:textId="77777777" w:rsidR="00E03CF9" w:rsidRDefault="00E03CF9" w:rsidP="008530EB">
      <w:pPr>
        <w:contextualSpacing/>
        <w:jc w:val="both"/>
        <w:rPr>
          <w:rFonts w:ascii="Arial" w:hAnsi="Arial" w:cs="Arial"/>
          <w:i/>
          <w:sz w:val="22"/>
          <w:lang w:val="en-AU" w:eastAsia="en-AU"/>
        </w:rPr>
      </w:pPr>
      <w:r w:rsidRPr="006951BF">
        <w:rPr>
          <w:rFonts w:ascii="Arial" w:hAnsi="Arial" w:cs="Arial"/>
          <w:i/>
          <w:sz w:val="22"/>
          <w:lang w:val="en-AU" w:eastAsia="en-AU"/>
        </w:rPr>
        <w:t>Outcome</w:t>
      </w:r>
    </w:p>
    <w:p w14:paraId="5EBEF9C1" w14:textId="77777777" w:rsidR="00E03CF9" w:rsidRPr="006C76DE" w:rsidRDefault="00E03CF9" w:rsidP="008530EB">
      <w:pPr>
        <w:spacing w:before="120" w:after="120"/>
        <w:jc w:val="both"/>
        <w:rPr>
          <w:rFonts w:ascii="Arial" w:hAnsi="Arial" w:cs="Arial"/>
          <w:sz w:val="22"/>
          <w:lang w:val="en-AU" w:eastAsia="en-AU"/>
        </w:rPr>
      </w:pPr>
      <w:r w:rsidRPr="006C76DE">
        <w:rPr>
          <w:rFonts w:ascii="Arial" w:hAnsi="Arial" w:cs="Arial"/>
          <w:sz w:val="22"/>
          <w:lang w:val="en-AU" w:eastAsia="en-AU"/>
        </w:rPr>
        <w:t>PBAC noted that the RRMS market was dynamic and that use was within predictions but scripts per patient were less than predicted.</w:t>
      </w:r>
    </w:p>
    <w:p w14:paraId="5F804118" w14:textId="00742FEE" w:rsidR="00E03CF9" w:rsidRPr="006C76DE" w:rsidRDefault="00E03CF9" w:rsidP="008530EB">
      <w:pPr>
        <w:spacing w:before="120" w:after="120"/>
        <w:jc w:val="both"/>
        <w:rPr>
          <w:rFonts w:ascii="Arial" w:hAnsi="Arial" w:cs="Arial"/>
          <w:sz w:val="22"/>
          <w:lang w:val="en-AU" w:eastAsia="en-AU"/>
        </w:rPr>
      </w:pPr>
      <w:r w:rsidRPr="006C76DE">
        <w:rPr>
          <w:rFonts w:ascii="Arial" w:hAnsi="Arial" w:cs="Arial"/>
          <w:sz w:val="22"/>
          <w:lang w:val="en-AU" w:eastAsia="en-AU"/>
        </w:rPr>
        <w:t xml:space="preserve">PBAC noted that a change in the diagnostic criteria led to overall growth in </w:t>
      </w:r>
      <w:r w:rsidR="00C61C3B">
        <w:rPr>
          <w:rFonts w:ascii="Arial" w:hAnsi="Arial" w:cs="Arial"/>
          <w:sz w:val="22"/>
          <w:lang w:val="en-AU" w:eastAsia="en-AU"/>
        </w:rPr>
        <w:t xml:space="preserve">the </w:t>
      </w:r>
      <w:r w:rsidRPr="006C76DE">
        <w:rPr>
          <w:rFonts w:ascii="Arial" w:hAnsi="Arial" w:cs="Arial"/>
          <w:sz w:val="22"/>
          <w:lang w:val="en-AU" w:eastAsia="en-AU"/>
        </w:rPr>
        <w:t xml:space="preserve">market, and that newer agents had not grown the market compared to prior therapy growth. </w:t>
      </w:r>
    </w:p>
    <w:p w14:paraId="564E29B5" w14:textId="77777777" w:rsidR="00E03CF9" w:rsidRPr="006C76DE" w:rsidRDefault="00E03CF9" w:rsidP="008530EB">
      <w:pPr>
        <w:spacing w:before="120" w:after="120"/>
        <w:jc w:val="both"/>
        <w:rPr>
          <w:rFonts w:ascii="Arial" w:hAnsi="Arial" w:cs="Arial"/>
          <w:sz w:val="22"/>
          <w:lang w:val="en-AU" w:eastAsia="en-AU"/>
        </w:rPr>
      </w:pPr>
      <w:r w:rsidRPr="006C76DE">
        <w:rPr>
          <w:rFonts w:ascii="Arial" w:hAnsi="Arial" w:cs="Arial"/>
          <w:sz w:val="22"/>
          <w:lang w:val="en-AU" w:eastAsia="en-AU"/>
        </w:rPr>
        <w:t>PBAC noted that the number of prevalent patients were growing, however the rate of growth was flattening.</w:t>
      </w:r>
    </w:p>
    <w:p w14:paraId="0FA2E57D" w14:textId="77777777" w:rsidR="00E03CF9" w:rsidRPr="006C76DE" w:rsidRDefault="00E03CF9" w:rsidP="008530EB">
      <w:pPr>
        <w:spacing w:before="120" w:after="120"/>
        <w:jc w:val="both"/>
        <w:rPr>
          <w:rFonts w:ascii="Arial" w:hAnsi="Arial" w:cs="Arial"/>
          <w:sz w:val="22"/>
          <w:lang w:val="en-AU" w:eastAsia="en-AU"/>
        </w:rPr>
      </w:pPr>
      <w:r w:rsidRPr="006C76DE">
        <w:rPr>
          <w:rFonts w:ascii="Arial" w:hAnsi="Arial" w:cs="Arial"/>
          <w:sz w:val="22"/>
          <w:lang w:val="en-AU" w:eastAsia="en-AU"/>
        </w:rPr>
        <w:t>PBAC noted that a large proportion of patients switched to ocrelizumab from other RRMS therapy.</w:t>
      </w:r>
    </w:p>
    <w:p w14:paraId="774AB2FD" w14:textId="77777777" w:rsidR="00E03CF9" w:rsidRPr="006C76DE" w:rsidRDefault="00E03CF9" w:rsidP="008530EB">
      <w:pPr>
        <w:spacing w:before="120" w:after="120"/>
        <w:jc w:val="both"/>
        <w:rPr>
          <w:rFonts w:ascii="Arial" w:hAnsi="Arial" w:cs="Arial"/>
          <w:sz w:val="22"/>
          <w:lang w:val="en-AU" w:eastAsia="en-AU"/>
        </w:rPr>
      </w:pPr>
      <w:r w:rsidRPr="006C76DE">
        <w:rPr>
          <w:rFonts w:ascii="Arial" w:hAnsi="Arial" w:cs="Arial"/>
          <w:sz w:val="22"/>
          <w:lang w:val="en-AU" w:eastAsia="en-AU"/>
        </w:rPr>
        <w:t>PBAC noted that there had been a change in use by form, with an increase in the use of infusions and that injectables were less popular. PBAC noted that that the supply of oral forms was more dominant in rural areas, where the supply of infusions were less common.</w:t>
      </w:r>
    </w:p>
    <w:p w14:paraId="7F85932A" w14:textId="4E0918D0" w:rsidR="00E03CF9" w:rsidRPr="008530EB" w:rsidRDefault="00E03CF9" w:rsidP="008530EB">
      <w:pPr>
        <w:spacing w:before="120" w:after="120"/>
        <w:jc w:val="both"/>
        <w:rPr>
          <w:rFonts w:ascii="Arial" w:hAnsi="Arial" w:cs="Arial"/>
          <w:sz w:val="22"/>
          <w:lang w:val="en-AU" w:eastAsia="en-AU"/>
        </w:rPr>
      </w:pPr>
      <w:r w:rsidRPr="006C76DE">
        <w:rPr>
          <w:rFonts w:ascii="Arial" w:hAnsi="Arial" w:cs="Arial"/>
          <w:sz w:val="22"/>
          <w:lang w:val="en-AU" w:eastAsia="en-AU"/>
        </w:rPr>
        <w:lastRenderedPageBreak/>
        <w:t>PBAC noted the consumer input on the</w:t>
      </w:r>
      <w:r w:rsidR="006C76DE">
        <w:rPr>
          <w:rFonts w:ascii="Arial" w:hAnsi="Arial" w:cs="Arial"/>
          <w:sz w:val="22"/>
          <w:lang w:val="en-AU" w:eastAsia="en-AU"/>
        </w:rPr>
        <w:t xml:space="preserve"> </w:t>
      </w:r>
      <w:r w:rsidRPr="006C76DE">
        <w:rPr>
          <w:rFonts w:ascii="Arial" w:hAnsi="Arial" w:cs="Arial"/>
          <w:sz w:val="22"/>
          <w:lang w:val="en-AU" w:eastAsia="en-AU"/>
        </w:rPr>
        <w:t xml:space="preserve">DUSC analysis and MS Australia’s feedback that consumers prefer infusions and that some patients in the non-metro setting were required to travel to receive treatment. </w:t>
      </w:r>
    </w:p>
    <w:sectPr w:rsidR="00E03CF9" w:rsidRPr="008530EB" w:rsidSect="007A2421">
      <w:headerReference w:type="default" r:id="rId9"/>
      <w:footerReference w:type="default" r:id="rId10"/>
      <w:pgSz w:w="11906" w:h="16838"/>
      <w:pgMar w:top="1440" w:right="1800" w:bottom="1440" w:left="180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0FFAC" w14:textId="77777777" w:rsidR="006C76DE" w:rsidRDefault="006C76DE">
      <w:r>
        <w:separator/>
      </w:r>
    </w:p>
  </w:endnote>
  <w:endnote w:type="continuationSeparator" w:id="0">
    <w:p w14:paraId="1EBA2AEF" w14:textId="77777777" w:rsidR="006C76DE" w:rsidRDefault="006C7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7F5BA" w14:textId="77777777" w:rsidR="006C76DE" w:rsidRPr="004630FE" w:rsidRDefault="006C76DE">
    <w:pPr>
      <w:pStyle w:val="Footer"/>
      <w:jc w:val="center"/>
      <w:rPr>
        <w:rFonts w:ascii="Arial" w:hAnsi="Arial" w:cs="Arial"/>
        <w:sz w:val="22"/>
      </w:rPr>
    </w:pPr>
  </w:p>
  <w:p w14:paraId="0A6D77EE" w14:textId="4E901B3E" w:rsidR="006C76DE" w:rsidRPr="008530EB" w:rsidRDefault="006C76DE" w:rsidP="008530EB">
    <w:pPr>
      <w:pStyle w:val="Footer"/>
      <w:jc w:val="center"/>
      <w:rPr>
        <w:rFonts w:ascii="Arial" w:hAnsi="Arial" w:cs="Arial"/>
        <w:sz w:val="22"/>
      </w:rPr>
    </w:pPr>
    <w:r w:rsidRPr="004630FE">
      <w:rPr>
        <w:rFonts w:ascii="Arial" w:hAnsi="Arial" w:cs="Arial"/>
        <w:sz w:val="22"/>
      </w:rPr>
      <w:fldChar w:fldCharType="begin"/>
    </w:r>
    <w:r w:rsidRPr="004630FE">
      <w:rPr>
        <w:rFonts w:ascii="Arial" w:hAnsi="Arial" w:cs="Arial"/>
        <w:sz w:val="22"/>
      </w:rPr>
      <w:instrText xml:space="preserve"> PAGE   \* MERGEFORMAT </w:instrText>
    </w:r>
    <w:r w:rsidRPr="004630FE">
      <w:rPr>
        <w:rFonts w:ascii="Arial" w:hAnsi="Arial" w:cs="Arial"/>
        <w:sz w:val="22"/>
      </w:rPr>
      <w:fldChar w:fldCharType="separate"/>
    </w:r>
    <w:r w:rsidR="00AE3228">
      <w:rPr>
        <w:rFonts w:ascii="Arial" w:hAnsi="Arial" w:cs="Arial"/>
        <w:noProof/>
        <w:sz w:val="22"/>
      </w:rPr>
      <w:t>3</w:t>
    </w:r>
    <w:r w:rsidRPr="004630FE">
      <w:rPr>
        <w:rFonts w:ascii="Arial" w:hAnsi="Arial" w:cs="Arial"/>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E734C" w14:textId="77777777" w:rsidR="006C76DE" w:rsidRDefault="006C76DE">
      <w:r>
        <w:separator/>
      </w:r>
    </w:p>
  </w:footnote>
  <w:footnote w:type="continuationSeparator" w:id="0">
    <w:p w14:paraId="13C39C5A" w14:textId="77777777" w:rsidR="006C76DE" w:rsidRDefault="006C7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587D6" w14:textId="292D0339" w:rsidR="006C76DE" w:rsidRPr="00520B6E" w:rsidRDefault="006C76DE" w:rsidP="004630FE">
    <w:pPr>
      <w:tabs>
        <w:tab w:val="center" w:pos="4153"/>
        <w:tab w:val="right" w:pos="8306"/>
      </w:tabs>
      <w:jc w:val="center"/>
      <w:rPr>
        <w:rFonts w:ascii="Arial" w:hAnsi="Arial" w:cs="Arial"/>
        <w:b/>
        <w:sz w:val="20"/>
      </w:rPr>
    </w:pPr>
    <w:r>
      <w:rPr>
        <w:rFonts w:ascii="Arial" w:hAnsi="Arial" w:cs="Arial"/>
        <w:b/>
        <w:sz w:val="20"/>
      </w:rPr>
      <w:t>NOVEMBER 2020</w:t>
    </w:r>
    <w:r w:rsidRPr="00341E66">
      <w:rPr>
        <w:rFonts w:ascii="Arial" w:hAnsi="Arial" w:cs="Arial"/>
        <w:b/>
        <w:sz w:val="20"/>
      </w:rPr>
      <w:t xml:space="preserve"> </w:t>
    </w:r>
    <w:r w:rsidRPr="00520B6E">
      <w:rPr>
        <w:rFonts w:ascii="Arial" w:hAnsi="Arial" w:cs="Arial"/>
        <w:b/>
        <w:sz w:val="20"/>
      </w:rPr>
      <w:t>PBAC M</w:t>
    </w:r>
    <w:r>
      <w:rPr>
        <w:rFonts w:ascii="Arial" w:hAnsi="Arial" w:cs="Arial"/>
        <w:b/>
        <w:sz w:val="20"/>
      </w:rPr>
      <w:t>EETING – CONSIDERATION OF THE</w:t>
    </w:r>
    <w:r w:rsidRPr="00520B6E">
      <w:rPr>
        <w:rFonts w:ascii="Arial" w:hAnsi="Arial" w:cs="Arial"/>
        <w:b/>
        <w:sz w:val="20"/>
      </w:rPr>
      <w:t xml:space="preserve"> </w:t>
    </w:r>
    <w:r>
      <w:rPr>
        <w:rFonts w:ascii="Arial" w:hAnsi="Arial" w:cs="Arial"/>
        <w:b/>
        <w:sz w:val="20"/>
      </w:rPr>
      <w:t>REPORT OF THE DRUG UTILISATION SUB</w:t>
    </w:r>
    <w:r>
      <w:rPr>
        <w:rFonts w:ascii="Arial" w:hAnsi="Arial" w:cs="Arial"/>
        <w:b/>
        <w:sz w:val="20"/>
      </w:rPr>
      <w:noBreakHyphen/>
      <w:t>COMMITTEE</w:t>
    </w:r>
  </w:p>
  <w:p w14:paraId="6758E2CC" w14:textId="77777777" w:rsidR="006C76DE" w:rsidRDefault="006C76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B16DE"/>
    <w:multiLevelType w:val="multilevel"/>
    <w:tmpl w:val="51AA4F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B031B9"/>
    <w:multiLevelType w:val="multilevel"/>
    <w:tmpl w:val="6A0E1B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8DD109F"/>
    <w:multiLevelType w:val="multilevel"/>
    <w:tmpl w:val="95D6B714"/>
    <w:lvl w:ilvl="0">
      <w:start w:val="3"/>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5F050041"/>
    <w:multiLevelType w:val="multilevel"/>
    <w:tmpl w:val="5CB87B68"/>
    <w:lvl w:ilvl="0">
      <w:start w:val="1"/>
      <w:numFmt w:val="decimal"/>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60FC76BD"/>
    <w:multiLevelType w:val="hybridMultilevel"/>
    <w:tmpl w:val="F474C00E"/>
    <w:lvl w:ilvl="0" w:tplc="BF768F3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BD522C5"/>
    <w:multiLevelType w:val="multilevel"/>
    <w:tmpl w:val="4E1A9C78"/>
    <w:lvl w:ilvl="0">
      <w:start w:val="1"/>
      <w:numFmt w:val="decimal"/>
      <w:lvlText w:val="%1"/>
      <w:lvlJc w:val="left"/>
      <w:pPr>
        <w:ind w:left="1440" w:hanging="720"/>
      </w:pPr>
      <w:rPr>
        <w:rFonts w:hint="default"/>
      </w:rPr>
    </w:lvl>
    <w:lvl w:ilvl="1">
      <w:start w:val="1"/>
      <w:numFmt w:val="bullet"/>
      <w:lvlText w:val=""/>
      <w:lvlJc w:val="left"/>
      <w:pPr>
        <w:ind w:left="1440" w:hanging="720"/>
      </w:pPr>
      <w:rPr>
        <w:rFonts w:ascii="Symbol" w:hAnsi="Symbol" w:hint="default"/>
        <w:i w:val="0"/>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7F874411"/>
    <w:multiLevelType w:val="multilevel"/>
    <w:tmpl w:val="29F890DE"/>
    <w:lvl w:ilvl="0">
      <w:start w:val="1"/>
      <w:numFmt w:val="bullet"/>
      <w:lvlText w:val=""/>
      <w:lvlJc w:val="left"/>
      <w:pPr>
        <w:ind w:left="720" w:hanging="720"/>
      </w:pPr>
      <w:rPr>
        <w:rFonts w:ascii="Symbol" w:hAnsi="Symbol" w:hint="default"/>
      </w:rPr>
    </w:lvl>
    <w:lvl w:ilvl="1">
      <w:start w:val="1"/>
      <w:numFmt w:val="decimal"/>
      <w:isLg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6"/>
  </w:num>
  <w:num w:numId="2">
    <w:abstractNumId w:val="3"/>
  </w:num>
  <w:num w:numId="3">
    <w:abstractNumId w:val="1"/>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19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36A"/>
    <w:rsid w:val="0002143A"/>
    <w:rsid w:val="00034F16"/>
    <w:rsid w:val="000413ED"/>
    <w:rsid w:val="00046F5C"/>
    <w:rsid w:val="0006056A"/>
    <w:rsid w:val="00060A45"/>
    <w:rsid w:val="00060B80"/>
    <w:rsid w:val="00082135"/>
    <w:rsid w:val="00095F78"/>
    <w:rsid w:val="000A2CDC"/>
    <w:rsid w:val="000B2DD0"/>
    <w:rsid w:val="000C6902"/>
    <w:rsid w:val="0014056F"/>
    <w:rsid w:val="001416A4"/>
    <w:rsid w:val="00147670"/>
    <w:rsid w:val="00156D69"/>
    <w:rsid w:val="00176F11"/>
    <w:rsid w:val="001D0ACE"/>
    <w:rsid w:val="001D0B69"/>
    <w:rsid w:val="001D45AF"/>
    <w:rsid w:val="001E7E86"/>
    <w:rsid w:val="001F0355"/>
    <w:rsid w:val="001F312C"/>
    <w:rsid w:val="00250A1C"/>
    <w:rsid w:val="00251848"/>
    <w:rsid w:val="00265781"/>
    <w:rsid w:val="00267A9D"/>
    <w:rsid w:val="0028590B"/>
    <w:rsid w:val="002D4006"/>
    <w:rsid w:val="002F7591"/>
    <w:rsid w:val="002F775E"/>
    <w:rsid w:val="003172AB"/>
    <w:rsid w:val="00326328"/>
    <w:rsid w:val="00341E66"/>
    <w:rsid w:val="00385940"/>
    <w:rsid w:val="00397836"/>
    <w:rsid w:val="003A5A66"/>
    <w:rsid w:val="003B79EE"/>
    <w:rsid w:val="003C2B83"/>
    <w:rsid w:val="00400159"/>
    <w:rsid w:val="0040140B"/>
    <w:rsid w:val="00407FAA"/>
    <w:rsid w:val="004630FE"/>
    <w:rsid w:val="00464B70"/>
    <w:rsid w:val="00464DA0"/>
    <w:rsid w:val="004669DB"/>
    <w:rsid w:val="004A1627"/>
    <w:rsid w:val="004D4DEE"/>
    <w:rsid w:val="004E76AE"/>
    <w:rsid w:val="00507F23"/>
    <w:rsid w:val="00514593"/>
    <w:rsid w:val="005166A6"/>
    <w:rsid w:val="00553E58"/>
    <w:rsid w:val="005616CC"/>
    <w:rsid w:val="005642B3"/>
    <w:rsid w:val="00565336"/>
    <w:rsid w:val="005732A3"/>
    <w:rsid w:val="00575B2C"/>
    <w:rsid w:val="00582F85"/>
    <w:rsid w:val="005C202C"/>
    <w:rsid w:val="005D081A"/>
    <w:rsid w:val="005F2273"/>
    <w:rsid w:val="006102C6"/>
    <w:rsid w:val="006375D9"/>
    <w:rsid w:val="00641F0C"/>
    <w:rsid w:val="00647788"/>
    <w:rsid w:val="00652D57"/>
    <w:rsid w:val="00653809"/>
    <w:rsid w:val="00666863"/>
    <w:rsid w:val="00677683"/>
    <w:rsid w:val="006847AC"/>
    <w:rsid w:val="006951BF"/>
    <w:rsid w:val="006A2EB2"/>
    <w:rsid w:val="006C76DE"/>
    <w:rsid w:val="006D0A58"/>
    <w:rsid w:val="006D36DC"/>
    <w:rsid w:val="006D593A"/>
    <w:rsid w:val="006E57A3"/>
    <w:rsid w:val="0070348A"/>
    <w:rsid w:val="007178BA"/>
    <w:rsid w:val="0073297F"/>
    <w:rsid w:val="00793AF0"/>
    <w:rsid w:val="007A2421"/>
    <w:rsid w:val="007C758A"/>
    <w:rsid w:val="007F4E20"/>
    <w:rsid w:val="00801B19"/>
    <w:rsid w:val="00816A6C"/>
    <w:rsid w:val="00842ABA"/>
    <w:rsid w:val="008530EB"/>
    <w:rsid w:val="008545D1"/>
    <w:rsid w:val="008842CE"/>
    <w:rsid w:val="008866E8"/>
    <w:rsid w:val="00890D53"/>
    <w:rsid w:val="008934F5"/>
    <w:rsid w:val="008A4311"/>
    <w:rsid w:val="008A4B6F"/>
    <w:rsid w:val="008B4388"/>
    <w:rsid w:val="008D020C"/>
    <w:rsid w:val="008E354F"/>
    <w:rsid w:val="00922E47"/>
    <w:rsid w:val="00925E21"/>
    <w:rsid w:val="00933952"/>
    <w:rsid w:val="009E2E31"/>
    <w:rsid w:val="009E7E00"/>
    <w:rsid w:val="00A03E25"/>
    <w:rsid w:val="00A0539F"/>
    <w:rsid w:val="00A25973"/>
    <w:rsid w:val="00A31269"/>
    <w:rsid w:val="00A32269"/>
    <w:rsid w:val="00A47E2F"/>
    <w:rsid w:val="00A70179"/>
    <w:rsid w:val="00A74CCD"/>
    <w:rsid w:val="00A76D1B"/>
    <w:rsid w:val="00A9331B"/>
    <w:rsid w:val="00AC0FFB"/>
    <w:rsid w:val="00AD2551"/>
    <w:rsid w:val="00AD37E5"/>
    <w:rsid w:val="00AE3228"/>
    <w:rsid w:val="00AF2F79"/>
    <w:rsid w:val="00AF3B3E"/>
    <w:rsid w:val="00AF6DA0"/>
    <w:rsid w:val="00B13AD3"/>
    <w:rsid w:val="00B1693A"/>
    <w:rsid w:val="00B20C0D"/>
    <w:rsid w:val="00B26B58"/>
    <w:rsid w:val="00B445D9"/>
    <w:rsid w:val="00B50A69"/>
    <w:rsid w:val="00B532C3"/>
    <w:rsid w:val="00B94AFC"/>
    <w:rsid w:val="00B95F3B"/>
    <w:rsid w:val="00BA0860"/>
    <w:rsid w:val="00BC3BE5"/>
    <w:rsid w:val="00BD4745"/>
    <w:rsid w:val="00BE182E"/>
    <w:rsid w:val="00BE4405"/>
    <w:rsid w:val="00BF14D8"/>
    <w:rsid w:val="00C22340"/>
    <w:rsid w:val="00C22AB9"/>
    <w:rsid w:val="00C61C3B"/>
    <w:rsid w:val="00C636C2"/>
    <w:rsid w:val="00CB4FA8"/>
    <w:rsid w:val="00CB56CD"/>
    <w:rsid w:val="00CB6BC5"/>
    <w:rsid w:val="00CD04DF"/>
    <w:rsid w:val="00CD2ADF"/>
    <w:rsid w:val="00CD4158"/>
    <w:rsid w:val="00D03290"/>
    <w:rsid w:val="00D47451"/>
    <w:rsid w:val="00D7136A"/>
    <w:rsid w:val="00D72D36"/>
    <w:rsid w:val="00DA2A81"/>
    <w:rsid w:val="00DB4B4C"/>
    <w:rsid w:val="00DC7A41"/>
    <w:rsid w:val="00DE6CA5"/>
    <w:rsid w:val="00E03CF9"/>
    <w:rsid w:val="00E11B1E"/>
    <w:rsid w:val="00E16015"/>
    <w:rsid w:val="00E24412"/>
    <w:rsid w:val="00E24BDE"/>
    <w:rsid w:val="00E25A33"/>
    <w:rsid w:val="00E37984"/>
    <w:rsid w:val="00E659DB"/>
    <w:rsid w:val="00E65BFD"/>
    <w:rsid w:val="00EA43F8"/>
    <w:rsid w:val="00EB38E2"/>
    <w:rsid w:val="00ED0E5B"/>
    <w:rsid w:val="00EE68E4"/>
    <w:rsid w:val="00EF7DF2"/>
    <w:rsid w:val="00F32FEB"/>
    <w:rsid w:val="00F514E4"/>
    <w:rsid w:val="00F628C7"/>
    <w:rsid w:val="00F66E50"/>
    <w:rsid w:val="00F8213A"/>
    <w:rsid w:val="00F87883"/>
    <w:rsid w:val="00FA4D8A"/>
    <w:rsid w:val="00FB5E27"/>
    <w:rsid w:val="00FD3A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9809"/>
    <o:shapelayout v:ext="edit">
      <o:idmap v:ext="edit" data="1"/>
    </o:shapelayout>
  </w:shapeDefaults>
  <w:decimalSymbol w:val="."/>
  <w:listSeparator w:val=","/>
  <w14:docId w14:val="220B9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36A"/>
    <w:rPr>
      <w:rFonts w:eastAsia="Times New Roman"/>
      <w:sz w:val="24"/>
      <w:szCs w:val="24"/>
      <w:lang w:val="en-US" w:eastAsia="en-US"/>
    </w:rPr>
  </w:style>
  <w:style w:type="paragraph" w:styleId="Heading2">
    <w:name w:val="heading 2"/>
    <w:basedOn w:val="Normal"/>
    <w:next w:val="Normal"/>
    <w:link w:val="Heading2Char"/>
    <w:uiPriority w:val="9"/>
    <w:semiHidden/>
    <w:unhideWhenUsed/>
    <w:qFormat/>
    <w:rsid w:val="00D7136A"/>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136A"/>
    <w:pPr>
      <w:tabs>
        <w:tab w:val="center" w:pos="4513"/>
        <w:tab w:val="right" w:pos="9026"/>
      </w:tabs>
    </w:pPr>
  </w:style>
  <w:style w:type="character" w:customStyle="1" w:styleId="HeaderChar">
    <w:name w:val="Header Char"/>
    <w:link w:val="Header"/>
    <w:rsid w:val="00D7136A"/>
    <w:rPr>
      <w:rFonts w:eastAsia="Times New Roman" w:cs="Times New Roman"/>
      <w:szCs w:val="24"/>
      <w:lang w:val="en-US"/>
    </w:rPr>
  </w:style>
  <w:style w:type="paragraph" w:customStyle="1" w:styleId="DepartmentalHeading2">
    <w:name w:val="Departmental Heading 2"/>
    <w:basedOn w:val="Heading2"/>
    <w:rsid w:val="00D7136A"/>
    <w:pPr>
      <w:keepLines w:val="0"/>
      <w:spacing w:before="240" w:after="60"/>
    </w:pPr>
    <w:rPr>
      <w:rFonts w:ascii="Arial" w:hAnsi="Arial"/>
      <w:bCs w:val="0"/>
      <w:color w:val="auto"/>
      <w:sz w:val="24"/>
      <w:szCs w:val="20"/>
      <w:lang w:val="en-AU" w:eastAsia="en-AU"/>
    </w:rPr>
  </w:style>
  <w:style w:type="character" w:styleId="Hyperlink">
    <w:name w:val="Hyperlink"/>
    <w:rsid w:val="00D7136A"/>
    <w:rPr>
      <w:color w:val="0000FF"/>
      <w:u w:val="single"/>
    </w:rPr>
  </w:style>
  <w:style w:type="character" w:styleId="CommentReference">
    <w:name w:val="annotation reference"/>
    <w:rsid w:val="00D7136A"/>
    <w:rPr>
      <w:sz w:val="16"/>
      <w:szCs w:val="16"/>
    </w:rPr>
  </w:style>
  <w:style w:type="paragraph" w:styleId="CommentText">
    <w:name w:val="annotation text"/>
    <w:basedOn w:val="Normal"/>
    <w:link w:val="CommentTextChar"/>
    <w:rsid w:val="00D7136A"/>
    <w:rPr>
      <w:sz w:val="20"/>
      <w:szCs w:val="20"/>
    </w:rPr>
  </w:style>
  <w:style w:type="character" w:customStyle="1" w:styleId="CommentTextChar">
    <w:name w:val="Comment Text Char"/>
    <w:link w:val="CommentText"/>
    <w:rsid w:val="00D7136A"/>
    <w:rPr>
      <w:rFonts w:eastAsia="Times New Roman" w:cs="Times New Roman"/>
      <w:sz w:val="20"/>
      <w:szCs w:val="20"/>
      <w:lang w:val="en-US"/>
    </w:rPr>
  </w:style>
  <w:style w:type="character" w:customStyle="1" w:styleId="Heading2Char">
    <w:name w:val="Heading 2 Char"/>
    <w:link w:val="Heading2"/>
    <w:uiPriority w:val="9"/>
    <w:semiHidden/>
    <w:rsid w:val="00D7136A"/>
    <w:rPr>
      <w:rFonts w:ascii="Cambria" w:eastAsia="Times New Roman" w:hAnsi="Cambria" w:cs="Times New Roman"/>
      <w:b/>
      <w:bCs/>
      <w:color w:val="4F81BD"/>
      <w:sz w:val="26"/>
      <w:szCs w:val="26"/>
      <w:lang w:val="en-US"/>
    </w:rPr>
  </w:style>
  <w:style w:type="paragraph" w:styleId="BalloonText">
    <w:name w:val="Balloon Text"/>
    <w:basedOn w:val="Normal"/>
    <w:link w:val="BalloonTextChar"/>
    <w:semiHidden/>
    <w:unhideWhenUsed/>
    <w:rsid w:val="00D7136A"/>
    <w:rPr>
      <w:rFonts w:ascii="Tahoma" w:hAnsi="Tahoma" w:cs="Tahoma"/>
      <w:sz w:val="16"/>
      <w:szCs w:val="16"/>
    </w:rPr>
  </w:style>
  <w:style w:type="character" w:customStyle="1" w:styleId="BalloonTextChar">
    <w:name w:val="Balloon Text Char"/>
    <w:link w:val="BalloonText"/>
    <w:semiHidden/>
    <w:rsid w:val="00D7136A"/>
    <w:rPr>
      <w:rFonts w:ascii="Tahoma" w:eastAsia="Times New Roman" w:hAnsi="Tahoma" w:cs="Tahoma"/>
      <w:sz w:val="16"/>
      <w:szCs w:val="16"/>
      <w:lang w:val="en-US"/>
    </w:rPr>
  </w:style>
  <w:style w:type="paragraph" w:styleId="Footer">
    <w:name w:val="footer"/>
    <w:basedOn w:val="Normal"/>
    <w:link w:val="FooterChar"/>
    <w:uiPriority w:val="99"/>
    <w:unhideWhenUsed/>
    <w:rsid w:val="004630FE"/>
    <w:pPr>
      <w:tabs>
        <w:tab w:val="center" w:pos="4513"/>
        <w:tab w:val="right" w:pos="9026"/>
      </w:tabs>
    </w:pPr>
  </w:style>
  <w:style w:type="character" w:customStyle="1" w:styleId="FooterChar">
    <w:name w:val="Footer Char"/>
    <w:link w:val="Footer"/>
    <w:uiPriority w:val="99"/>
    <w:rsid w:val="004630FE"/>
    <w:rPr>
      <w:rFonts w:eastAsia="Times New Roman" w:cs="Times New Roman"/>
      <w:szCs w:val="24"/>
      <w:lang w:val="en-US"/>
    </w:rPr>
  </w:style>
  <w:style w:type="paragraph" w:styleId="ListParagraph">
    <w:name w:val="List Paragraph"/>
    <w:aliases w:val="BulletPoints,Numbered para"/>
    <w:basedOn w:val="Normal"/>
    <w:link w:val="ListParagraphChar"/>
    <w:uiPriority w:val="34"/>
    <w:qFormat/>
    <w:rsid w:val="00A31269"/>
    <w:pPr>
      <w:ind w:left="720" w:hanging="720"/>
      <w:contextualSpacing/>
    </w:pPr>
    <w:rPr>
      <w:rFonts w:ascii="Arial" w:hAnsi="Arial"/>
      <w:sz w:val="22"/>
      <w:lang w:val="en-AU" w:eastAsia="en-AU"/>
    </w:rPr>
  </w:style>
  <w:style w:type="paragraph" w:styleId="CommentSubject">
    <w:name w:val="annotation subject"/>
    <w:basedOn w:val="CommentText"/>
    <w:next w:val="CommentText"/>
    <w:link w:val="CommentSubjectChar"/>
    <w:uiPriority w:val="99"/>
    <w:semiHidden/>
    <w:unhideWhenUsed/>
    <w:rsid w:val="003172AB"/>
    <w:rPr>
      <w:b/>
      <w:bCs/>
    </w:rPr>
  </w:style>
  <w:style w:type="character" w:customStyle="1" w:styleId="CommentSubjectChar">
    <w:name w:val="Comment Subject Char"/>
    <w:basedOn w:val="CommentTextChar"/>
    <w:link w:val="CommentSubject"/>
    <w:uiPriority w:val="99"/>
    <w:semiHidden/>
    <w:rsid w:val="003172AB"/>
    <w:rPr>
      <w:rFonts w:eastAsia="Times New Roman" w:cs="Times New Roman"/>
      <w:b/>
      <w:bCs/>
      <w:sz w:val="20"/>
      <w:szCs w:val="20"/>
      <w:lang w:val="en-US" w:eastAsia="en-US"/>
    </w:rPr>
  </w:style>
  <w:style w:type="character" w:customStyle="1" w:styleId="ListParagraphChar">
    <w:name w:val="List Paragraph Char"/>
    <w:aliases w:val="BulletPoints Char,Numbered para Char"/>
    <w:link w:val="ListParagraph"/>
    <w:uiPriority w:val="34"/>
    <w:qFormat/>
    <w:locked/>
    <w:rsid w:val="00A70179"/>
    <w:rPr>
      <w:rFonts w:ascii="Arial" w:eastAsia="Times New Roman"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bs.gov.au/info/industry/listing/elements/dusc-meetings/d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BF439-BBA3-43E1-A53E-695598CDC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2020-12-09T01:48:00Z</dcterms:created>
  <dcterms:modified xsi:type="dcterms:W3CDTF">2020-12-15T05:07:00Z</dcterms:modified>
</cp:coreProperties>
</file>