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0904A" w14:textId="1315957F" w:rsidR="007567D2" w:rsidRPr="00153C15" w:rsidRDefault="007567D2" w:rsidP="007C685F">
      <w:pPr>
        <w:pStyle w:val="Default"/>
        <w:ind w:right="656"/>
        <w:jc w:val="both"/>
        <w:rPr>
          <w:rFonts w:ascii="Arial" w:hAnsi="Arial" w:cs="Arial"/>
          <w:sz w:val="18"/>
          <w:szCs w:val="18"/>
        </w:rPr>
      </w:pPr>
      <w:r w:rsidRPr="00153C15">
        <w:rPr>
          <w:rFonts w:ascii="Arial" w:hAnsi="Arial" w:cs="Arial"/>
          <w:sz w:val="18"/>
          <w:szCs w:val="18"/>
        </w:rPr>
        <w:t xml:space="preserve">The </w:t>
      </w:r>
      <w:r w:rsidR="009E648E" w:rsidRPr="00153C15">
        <w:rPr>
          <w:rFonts w:ascii="Arial" w:hAnsi="Arial" w:cs="Arial"/>
          <w:sz w:val="18"/>
          <w:szCs w:val="18"/>
        </w:rPr>
        <w:t>PBAC outcomes and recommendations are presented</w:t>
      </w:r>
      <w:r w:rsidRPr="00153C15">
        <w:rPr>
          <w:rFonts w:ascii="Arial" w:hAnsi="Arial" w:cs="Arial"/>
          <w:sz w:val="18"/>
          <w:szCs w:val="18"/>
        </w:rPr>
        <w:t xml:space="preserve"> in alphabetical order by drug name.</w:t>
      </w:r>
    </w:p>
    <w:p w14:paraId="498951C4" w14:textId="211A8FF8" w:rsidR="007567D2" w:rsidRPr="00153C15" w:rsidRDefault="007567D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699"/>
        <w:gridCol w:w="2693"/>
        <w:gridCol w:w="1702"/>
        <w:gridCol w:w="6605"/>
      </w:tblGrid>
      <w:tr w:rsidR="008C181F" w:rsidRPr="00687774" w14:paraId="2F780D8A" w14:textId="77777777" w:rsidTr="008C181F">
        <w:trPr>
          <w:tblHeader/>
        </w:trPr>
        <w:tc>
          <w:tcPr>
            <w:tcW w:w="874" w:type="pct"/>
            <w:tcBorders>
              <w:bottom w:val="single" w:sz="4" w:space="0" w:color="auto"/>
            </w:tcBorders>
            <w:shd w:val="clear" w:color="auto" w:fill="auto"/>
            <w:tcMar>
              <w:top w:w="28" w:type="dxa"/>
              <w:bottom w:w="28" w:type="dxa"/>
            </w:tcMar>
          </w:tcPr>
          <w:p w14:paraId="58BB41E5" w14:textId="46F847AB" w:rsidR="008C181F" w:rsidRPr="00153C15" w:rsidRDefault="008C181F" w:rsidP="00F82BC6">
            <w:pPr>
              <w:widowControl w:val="0"/>
              <w:ind w:right="-106"/>
              <w:jc w:val="center"/>
              <w:rPr>
                <w:rFonts w:ascii="Arial" w:hAnsi="Arial" w:cs="Arial"/>
                <w:b/>
                <w:sz w:val="18"/>
                <w:szCs w:val="18"/>
              </w:rPr>
            </w:pPr>
            <w:r w:rsidRPr="00153C15">
              <w:rPr>
                <w:rFonts w:ascii="Arial" w:hAnsi="Arial" w:cs="Arial"/>
                <w:b/>
                <w:sz w:val="18"/>
                <w:szCs w:val="18"/>
              </w:rPr>
              <w:t>DRUG NAME, FORM(S), STRENGTH(S), SPONSOR, TYPE OF SUBMISSION</w:t>
            </w:r>
          </w:p>
        </w:tc>
        <w:tc>
          <w:tcPr>
            <w:tcW w:w="552" w:type="pct"/>
            <w:tcBorders>
              <w:bottom w:val="single" w:sz="4" w:space="0" w:color="auto"/>
            </w:tcBorders>
            <w:shd w:val="clear" w:color="auto" w:fill="auto"/>
            <w:tcMar>
              <w:top w:w="28" w:type="dxa"/>
              <w:bottom w:w="28" w:type="dxa"/>
            </w:tcMar>
          </w:tcPr>
          <w:p w14:paraId="22DBCABB" w14:textId="77777777" w:rsidR="008C181F" w:rsidRPr="00153C15" w:rsidRDefault="008C181F" w:rsidP="002A659A">
            <w:pPr>
              <w:widowControl w:val="0"/>
              <w:jc w:val="center"/>
              <w:rPr>
                <w:rFonts w:ascii="Arial" w:hAnsi="Arial" w:cs="Arial"/>
                <w:b/>
                <w:snapToGrid w:val="0"/>
                <w:sz w:val="18"/>
                <w:szCs w:val="18"/>
                <w:lang w:eastAsia="en-US"/>
              </w:rPr>
            </w:pPr>
            <w:r w:rsidRPr="00153C15">
              <w:rPr>
                <w:rFonts w:ascii="Arial" w:hAnsi="Arial" w:cs="Arial"/>
                <w:b/>
                <w:snapToGrid w:val="0"/>
                <w:sz w:val="18"/>
                <w:szCs w:val="18"/>
                <w:lang w:eastAsia="en-US"/>
              </w:rPr>
              <w:t>DRUG TYPE AND USE</w:t>
            </w:r>
          </w:p>
          <w:p w14:paraId="64FD3362" w14:textId="77777777" w:rsidR="008C181F" w:rsidRPr="00153C15" w:rsidRDefault="008C181F" w:rsidP="002A659A">
            <w:pPr>
              <w:widowControl w:val="0"/>
              <w:jc w:val="center"/>
              <w:rPr>
                <w:rFonts w:ascii="Arial" w:hAnsi="Arial" w:cs="Arial"/>
                <w:b/>
                <w:snapToGrid w:val="0"/>
                <w:sz w:val="18"/>
                <w:szCs w:val="18"/>
                <w:lang w:eastAsia="en-US"/>
              </w:rPr>
            </w:pPr>
          </w:p>
        </w:tc>
        <w:tc>
          <w:tcPr>
            <w:tcW w:w="875" w:type="pct"/>
            <w:tcBorders>
              <w:bottom w:val="single" w:sz="4" w:space="0" w:color="auto"/>
            </w:tcBorders>
            <w:shd w:val="clear" w:color="auto" w:fill="auto"/>
            <w:tcMar>
              <w:top w:w="28" w:type="dxa"/>
              <w:bottom w:w="28" w:type="dxa"/>
            </w:tcMar>
          </w:tcPr>
          <w:p w14:paraId="60A9336E" w14:textId="77777777" w:rsidR="008C181F" w:rsidRPr="00153C15" w:rsidRDefault="008C181F" w:rsidP="002A659A">
            <w:pPr>
              <w:widowControl w:val="0"/>
              <w:jc w:val="center"/>
              <w:rPr>
                <w:rFonts w:ascii="Arial" w:hAnsi="Arial" w:cs="Arial"/>
                <w:b/>
                <w:snapToGrid w:val="0"/>
                <w:sz w:val="18"/>
                <w:szCs w:val="18"/>
                <w:lang w:eastAsia="en-US"/>
              </w:rPr>
            </w:pPr>
            <w:r w:rsidRPr="00153C15">
              <w:rPr>
                <w:rFonts w:ascii="Arial" w:hAnsi="Arial" w:cs="Arial"/>
                <w:b/>
                <w:snapToGrid w:val="0"/>
                <w:sz w:val="18"/>
                <w:szCs w:val="18"/>
                <w:lang w:eastAsia="en-US"/>
              </w:rPr>
              <w:t>LISTING REQUESTED BY SPONSOR / PURPOSE OF SUBMISSION</w:t>
            </w:r>
          </w:p>
        </w:tc>
        <w:tc>
          <w:tcPr>
            <w:tcW w:w="2699" w:type="pct"/>
            <w:gridSpan w:val="2"/>
            <w:tcBorders>
              <w:bottom w:val="single" w:sz="4" w:space="0" w:color="auto"/>
            </w:tcBorders>
            <w:shd w:val="clear" w:color="auto" w:fill="auto"/>
          </w:tcPr>
          <w:p w14:paraId="5626F454" w14:textId="6C46CA34" w:rsidR="008C181F" w:rsidRPr="00153C15" w:rsidRDefault="008C181F" w:rsidP="008C181F">
            <w:pPr>
              <w:pStyle w:val="Header"/>
              <w:jc w:val="center"/>
              <w:rPr>
                <w:rFonts w:ascii="Arial" w:hAnsi="Arial" w:cs="Arial"/>
                <w:b/>
                <w:snapToGrid w:val="0"/>
                <w:sz w:val="18"/>
                <w:szCs w:val="18"/>
                <w:lang w:eastAsia="en-US"/>
              </w:rPr>
            </w:pPr>
            <w:r w:rsidRPr="00153C15">
              <w:rPr>
                <w:rFonts w:ascii="Arial" w:hAnsi="Arial" w:cs="Arial"/>
                <w:b/>
                <w:snapToGrid w:val="0"/>
                <w:sz w:val="18"/>
                <w:szCs w:val="18"/>
                <w:lang w:eastAsia="en-US"/>
              </w:rPr>
              <w:t>PBAC OUTCOME</w:t>
            </w:r>
          </w:p>
        </w:tc>
      </w:tr>
      <w:tr w:rsidR="007151F7" w:rsidRPr="00687774" w14:paraId="45D50591" w14:textId="77777777" w:rsidTr="00A14D27">
        <w:trPr>
          <w:trHeight w:val="2204"/>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45D1B23F" w14:textId="77777777" w:rsidR="007151F7" w:rsidRPr="001F0DC4" w:rsidRDefault="007151F7" w:rsidP="001F0DC4">
            <w:pPr>
              <w:rPr>
                <w:rFonts w:ascii="Arial" w:hAnsi="Arial" w:cs="Arial"/>
                <w:color w:val="000000"/>
                <w:sz w:val="18"/>
                <w:szCs w:val="18"/>
              </w:rPr>
            </w:pPr>
            <w:r w:rsidRPr="001F0DC4">
              <w:rPr>
                <w:rFonts w:ascii="Arial" w:hAnsi="Arial" w:cs="Arial"/>
                <w:color w:val="000000"/>
                <w:sz w:val="18"/>
                <w:szCs w:val="18"/>
              </w:rPr>
              <w:t>ELEXACAFTOR/</w:t>
            </w:r>
          </w:p>
          <w:p w14:paraId="18AFF16E" w14:textId="0C5CC107" w:rsidR="007151F7" w:rsidRDefault="007151F7" w:rsidP="001F0DC4">
            <w:pPr>
              <w:rPr>
                <w:rFonts w:ascii="Arial" w:hAnsi="Arial" w:cs="Arial"/>
                <w:color w:val="000000"/>
                <w:sz w:val="18"/>
                <w:szCs w:val="18"/>
              </w:rPr>
            </w:pPr>
            <w:r w:rsidRPr="001F0DC4">
              <w:rPr>
                <w:rFonts w:ascii="Arial" w:hAnsi="Arial" w:cs="Arial"/>
                <w:color w:val="000000"/>
                <w:sz w:val="18"/>
                <w:szCs w:val="18"/>
              </w:rPr>
              <w:t>TEZACAFTOR/ IVACAFTOR</w:t>
            </w:r>
            <w:r w:rsidR="00C8588B">
              <w:rPr>
                <w:rFonts w:ascii="Arial" w:hAnsi="Arial" w:cs="Arial"/>
                <w:color w:val="000000"/>
                <w:sz w:val="18"/>
                <w:szCs w:val="18"/>
              </w:rPr>
              <w:t xml:space="preserve"> AND IVACAFTOR</w:t>
            </w:r>
          </w:p>
          <w:p w14:paraId="236436B6" w14:textId="77777777" w:rsidR="007151F7" w:rsidRPr="001F0DC4" w:rsidRDefault="007151F7" w:rsidP="001F0DC4">
            <w:pPr>
              <w:rPr>
                <w:rFonts w:ascii="Arial" w:hAnsi="Arial" w:cs="Arial"/>
                <w:color w:val="000000"/>
                <w:sz w:val="18"/>
                <w:szCs w:val="18"/>
              </w:rPr>
            </w:pPr>
          </w:p>
          <w:p w14:paraId="30CDDAEF" w14:textId="77777777" w:rsidR="007151F7" w:rsidRPr="001F0DC4" w:rsidRDefault="007151F7" w:rsidP="001F0DC4">
            <w:pPr>
              <w:rPr>
                <w:rFonts w:ascii="Arial" w:hAnsi="Arial" w:cs="Arial"/>
                <w:color w:val="000000"/>
                <w:sz w:val="18"/>
                <w:szCs w:val="18"/>
              </w:rPr>
            </w:pPr>
            <w:r w:rsidRPr="001F0DC4">
              <w:rPr>
                <w:rFonts w:ascii="Arial" w:hAnsi="Arial" w:cs="Arial"/>
                <w:color w:val="000000"/>
                <w:sz w:val="18"/>
                <w:szCs w:val="18"/>
              </w:rPr>
              <w:t>Pack containing 56 tablets of</w:t>
            </w:r>
          </w:p>
          <w:p w14:paraId="6454D1B9" w14:textId="77777777" w:rsidR="007151F7" w:rsidRPr="001F0DC4" w:rsidRDefault="007151F7" w:rsidP="001F0DC4">
            <w:pPr>
              <w:rPr>
                <w:rFonts w:ascii="Arial" w:hAnsi="Arial" w:cs="Arial"/>
                <w:color w:val="000000"/>
                <w:sz w:val="18"/>
                <w:szCs w:val="18"/>
              </w:rPr>
            </w:pPr>
            <w:r w:rsidRPr="001F0DC4">
              <w:rPr>
                <w:rFonts w:ascii="Arial" w:hAnsi="Arial" w:cs="Arial"/>
                <w:color w:val="000000"/>
                <w:sz w:val="18"/>
                <w:szCs w:val="18"/>
              </w:rPr>
              <w:t>elexacaftor 100 mg with</w:t>
            </w:r>
          </w:p>
          <w:p w14:paraId="24FE8A50" w14:textId="77777777" w:rsidR="007151F7" w:rsidRPr="001F0DC4" w:rsidRDefault="007151F7" w:rsidP="001F0DC4">
            <w:pPr>
              <w:rPr>
                <w:rFonts w:ascii="Arial" w:hAnsi="Arial" w:cs="Arial"/>
                <w:color w:val="000000"/>
                <w:sz w:val="18"/>
                <w:szCs w:val="18"/>
              </w:rPr>
            </w:pPr>
            <w:r w:rsidRPr="001F0DC4">
              <w:rPr>
                <w:rFonts w:ascii="Arial" w:hAnsi="Arial" w:cs="Arial"/>
                <w:color w:val="000000"/>
                <w:sz w:val="18"/>
                <w:szCs w:val="18"/>
              </w:rPr>
              <w:t>tezacaftor 50 mg and ivacaftor</w:t>
            </w:r>
          </w:p>
          <w:p w14:paraId="540CEC50" w14:textId="77777777" w:rsidR="007151F7" w:rsidRPr="001F0DC4" w:rsidRDefault="007151F7" w:rsidP="001F0DC4">
            <w:pPr>
              <w:rPr>
                <w:rFonts w:ascii="Arial" w:hAnsi="Arial" w:cs="Arial"/>
                <w:color w:val="000000"/>
                <w:sz w:val="18"/>
                <w:szCs w:val="18"/>
              </w:rPr>
            </w:pPr>
            <w:r w:rsidRPr="001F0DC4">
              <w:rPr>
                <w:rFonts w:ascii="Arial" w:hAnsi="Arial" w:cs="Arial"/>
                <w:color w:val="000000"/>
                <w:sz w:val="18"/>
                <w:szCs w:val="18"/>
              </w:rPr>
              <w:t>75 mg and 28 tablets of</w:t>
            </w:r>
          </w:p>
          <w:p w14:paraId="0ED29D52" w14:textId="0670DBB0" w:rsidR="007151F7" w:rsidRDefault="007151F7" w:rsidP="001F0DC4">
            <w:pPr>
              <w:rPr>
                <w:rFonts w:ascii="Arial" w:hAnsi="Arial" w:cs="Arial"/>
                <w:color w:val="000000"/>
                <w:sz w:val="18"/>
                <w:szCs w:val="18"/>
              </w:rPr>
            </w:pPr>
            <w:r w:rsidRPr="001F0DC4">
              <w:rPr>
                <w:rFonts w:ascii="Arial" w:hAnsi="Arial" w:cs="Arial"/>
                <w:color w:val="000000"/>
                <w:sz w:val="18"/>
                <w:szCs w:val="18"/>
              </w:rPr>
              <w:t>ivacaftor 150 mg</w:t>
            </w:r>
          </w:p>
          <w:p w14:paraId="32A8AF74" w14:textId="77777777" w:rsidR="007151F7" w:rsidRPr="001F0DC4" w:rsidRDefault="007151F7" w:rsidP="001F0DC4">
            <w:pPr>
              <w:rPr>
                <w:rFonts w:ascii="Arial" w:hAnsi="Arial" w:cs="Arial"/>
                <w:color w:val="000000"/>
                <w:sz w:val="18"/>
                <w:szCs w:val="18"/>
              </w:rPr>
            </w:pPr>
          </w:p>
          <w:p w14:paraId="40EA079D" w14:textId="5DE676BB" w:rsidR="007151F7" w:rsidRDefault="007151F7" w:rsidP="001F0DC4">
            <w:pPr>
              <w:rPr>
                <w:rFonts w:ascii="Arial" w:hAnsi="Arial" w:cs="Arial"/>
                <w:color w:val="000000"/>
                <w:sz w:val="18"/>
                <w:szCs w:val="18"/>
              </w:rPr>
            </w:pPr>
            <w:r w:rsidRPr="001F0DC4">
              <w:rPr>
                <w:rFonts w:ascii="Arial" w:hAnsi="Arial" w:cs="Arial"/>
                <w:color w:val="000000"/>
                <w:sz w:val="18"/>
                <w:szCs w:val="18"/>
              </w:rPr>
              <w:t>Trikafta®</w:t>
            </w:r>
          </w:p>
          <w:p w14:paraId="6D65CC4E" w14:textId="77777777" w:rsidR="007151F7" w:rsidRPr="001F0DC4" w:rsidRDefault="007151F7" w:rsidP="001F0DC4">
            <w:pPr>
              <w:rPr>
                <w:rFonts w:ascii="Arial" w:hAnsi="Arial" w:cs="Arial"/>
                <w:color w:val="000000"/>
                <w:sz w:val="18"/>
                <w:szCs w:val="18"/>
              </w:rPr>
            </w:pPr>
          </w:p>
          <w:p w14:paraId="6D32EE0B" w14:textId="77777777" w:rsidR="007151F7" w:rsidRPr="001F0DC4" w:rsidRDefault="007151F7" w:rsidP="001F0DC4">
            <w:pPr>
              <w:rPr>
                <w:rFonts w:ascii="Arial" w:hAnsi="Arial" w:cs="Arial"/>
                <w:color w:val="000000"/>
                <w:sz w:val="18"/>
                <w:szCs w:val="18"/>
              </w:rPr>
            </w:pPr>
            <w:r w:rsidRPr="001F0DC4">
              <w:rPr>
                <w:rFonts w:ascii="Arial" w:hAnsi="Arial" w:cs="Arial"/>
                <w:color w:val="000000"/>
                <w:sz w:val="18"/>
                <w:szCs w:val="18"/>
              </w:rPr>
              <w:t>Vertex Pharmaceuticals</w:t>
            </w:r>
          </w:p>
          <w:p w14:paraId="55E31E4C" w14:textId="22FE2846" w:rsidR="007151F7" w:rsidRDefault="007151F7" w:rsidP="001F0DC4">
            <w:pPr>
              <w:rPr>
                <w:rFonts w:ascii="Arial" w:hAnsi="Arial" w:cs="Arial"/>
                <w:color w:val="000000"/>
                <w:sz w:val="18"/>
                <w:szCs w:val="18"/>
              </w:rPr>
            </w:pPr>
            <w:r w:rsidRPr="001F0DC4">
              <w:rPr>
                <w:rFonts w:ascii="Arial" w:hAnsi="Arial" w:cs="Arial"/>
                <w:color w:val="000000"/>
                <w:sz w:val="18"/>
                <w:szCs w:val="18"/>
              </w:rPr>
              <w:t>(Australia) Pty Ltd</w:t>
            </w:r>
          </w:p>
          <w:p w14:paraId="0B5BC1FA" w14:textId="77777777" w:rsidR="007151F7" w:rsidRPr="001F0DC4" w:rsidRDefault="007151F7" w:rsidP="001F0DC4">
            <w:pPr>
              <w:rPr>
                <w:rFonts w:ascii="Arial" w:hAnsi="Arial" w:cs="Arial"/>
                <w:color w:val="000000"/>
                <w:sz w:val="18"/>
                <w:szCs w:val="18"/>
              </w:rPr>
            </w:pPr>
          </w:p>
          <w:p w14:paraId="050E1EA8" w14:textId="77777777" w:rsidR="007151F7" w:rsidRPr="001F0DC4" w:rsidRDefault="007151F7" w:rsidP="001F0DC4">
            <w:pPr>
              <w:rPr>
                <w:rFonts w:ascii="Arial" w:hAnsi="Arial" w:cs="Arial"/>
                <w:color w:val="000000"/>
                <w:sz w:val="18"/>
                <w:szCs w:val="18"/>
              </w:rPr>
            </w:pPr>
            <w:r w:rsidRPr="001F0DC4">
              <w:rPr>
                <w:rFonts w:ascii="Arial" w:hAnsi="Arial" w:cs="Arial"/>
                <w:color w:val="000000"/>
                <w:sz w:val="18"/>
                <w:szCs w:val="18"/>
              </w:rPr>
              <w:t>New PBS listing</w:t>
            </w:r>
          </w:p>
          <w:p w14:paraId="5159456E" w14:textId="09A039E3" w:rsidR="007151F7" w:rsidRPr="007151F7" w:rsidRDefault="007151F7" w:rsidP="001F0DC4">
            <w:pPr>
              <w:rPr>
                <w:rFonts w:ascii="Arial" w:hAnsi="Arial" w:cs="Arial"/>
                <w:color w:val="000000"/>
                <w:sz w:val="18"/>
                <w:szCs w:val="18"/>
              </w:rPr>
            </w:pPr>
            <w:r>
              <w:rPr>
                <w:rFonts w:ascii="Arial" w:hAnsi="Arial" w:cs="Arial"/>
                <w:color w:val="000000"/>
                <w:sz w:val="18"/>
                <w:szCs w:val="18"/>
              </w:rPr>
              <w:t>(Matters Outstanding</w:t>
            </w:r>
            <w:r w:rsidRPr="001F0DC4">
              <w:rPr>
                <w:rFonts w:ascii="Arial" w:hAnsi="Arial" w:cs="Arial"/>
                <w:color w:val="000000"/>
                <w:sz w:val="18"/>
                <w:szCs w:val="18"/>
              </w:rPr>
              <w:t>)</w:t>
            </w:r>
          </w:p>
        </w:tc>
        <w:tc>
          <w:tcPr>
            <w:tcW w:w="552" w:type="pct"/>
            <w:vMerge w:val="restart"/>
            <w:tcBorders>
              <w:top w:val="single" w:sz="4" w:space="0" w:color="auto"/>
              <w:left w:val="single" w:sz="4" w:space="0" w:color="auto"/>
              <w:right w:val="single" w:sz="4" w:space="0" w:color="auto"/>
            </w:tcBorders>
            <w:shd w:val="clear" w:color="auto" w:fill="auto"/>
          </w:tcPr>
          <w:p w14:paraId="68C97FAD" w14:textId="0E1E1479" w:rsidR="007151F7" w:rsidRPr="007D310A" w:rsidRDefault="007151F7" w:rsidP="00FE2D3A">
            <w:pPr>
              <w:widowControl w:val="0"/>
              <w:rPr>
                <w:rFonts w:ascii="Arial" w:hAnsi="Arial" w:cs="Arial"/>
                <w:snapToGrid w:val="0"/>
                <w:sz w:val="18"/>
                <w:szCs w:val="18"/>
                <w:lang w:eastAsia="en-US"/>
              </w:rPr>
            </w:pPr>
            <w:r>
              <w:rPr>
                <w:rFonts w:ascii="Arial" w:hAnsi="Arial" w:cs="Arial"/>
                <w:color w:val="000000"/>
                <w:sz w:val="18"/>
                <w:szCs w:val="18"/>
              </w:rPr>
              <w:t>Cystic fibrosis (CF)</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54998EBA" w14:textId="6593D07A" w:rsidR="007151F7" w:rsidRDefault="007151F7" w:rsidP="00862D65">
            <w:pPr>
              <w:rPr>
                <w:rFonts w:ascii="Arial" w:hAnsi="Arial" w:cs="Arial"/>
                <w:sz w:val="18"/>
                <w:szCs w:val="18"/>
              </w:rPr>
            </w:pPr>
            <w:r w:rsidRPr="001D4E5E">
              <w:rPr>
                <w:rFonts w:ascii="Arial" w:hAnsi="Arial" w:cs="Arial"/>
                <w:color w:val="000000"/>
                <w:sz w:val="18"/>
                <w:szCs w:val="18"/>
              </w:rPr>
              <w:t>To request a Section 100 (Highly Specialised Drugs Program) Authority Required (Written) listing for the treatment of CF in patients aged 12 years or older who have at least one F508del mutation on the cystic fibrosis transmembrane conductance regulator (CFTR) gene.</w:t>
            </w:r>
          </w:p>
          <w:p w14:paraId="1533ED36" w14:textId="557A6C4C" w:rsidR="007151F7" w:rsidRPr="00862D65" w:rsidRDefault="007151F7" w:rsidP="00862D65">
            <w:pPr>
              <w:rPr>
                <w:rFonts w:ascii="Arial" w:hAnsi="Arial" w:cs="Arial"/>
                <w:i/>
                <w:sz w:val="18"/>
                <w:szCs w:val="18"/>
              </w:rPr>
            </w:pPr>
          </w:p>
        </w:tc>
        <w:tc>
          <w:tcPr>
            <w:tcW w:w="553" w:type="pct"/>
            <w:vMerge w:val="restart"/>
            <w:tcBorders>
              <w:top w:val="single" w:sz="4" w:space="0" w:color="auto"/>
              <w:left w:val="single" w:sz="4" w:space="0" w:color="auto"/>
              <w:right w:val="single" w:sz="4" w:space="0" w:color="auto"/>
            </w:tcBorders>
            <w:shd w:val="clear" w:color="auto" w:fill="auto"/>
          </w:tcPr>
          <w:p w14:paraId="041FF089" w14:textId="2B91C032" w:rsidR="007151F7" w:rsidRPr="007D310A" w:rsidRDefault="007151F7" w:rsidP="00885D52">
            <w:pPr>
              <w:pStyle w:val="ListParagraph"/>
              <w:ind w:left="0"/>
              <w:rPr>
                <w:rFonts w:ascii="Arial" w:hAnsi="Arial" w:cs="Arial"/>
                <w:snapToGrid w:val="0"/>
                <w:sz w:val="18"/>
                <w:szCs w:val="18"/>
                <w:lang w:eastAsia="en-US"/>
              </w:rPr>
            </w:pPr>
            <w:r>
              <w:rPr>
                <w:rFonts w:ascii="Arial" w:hAnsi="Arial" w:cs="Arial"/>
                <w:color w:val="000000"/>
                <w:sz w:val="18"/>
                <w:szCs w:val="18"/>
              </w:rPr>
              <w:t xml:space="preserve">Deferred </w:t>
            </w:r>
          </w:p>
        </w:tc>
        <w:tc>
          <w:tcPr>
            <w:tcW w:w="2146" w:type="pct"/>
            <w:tcBorders>
              <w:top w:val="single" w:sz="4" w:space="0" w:color="auto"/>
              <w:bottom w:val="single" w:sz="4" w:space="0" w:color="auto"/>
            </w:tcBorders>
            <w:shd w:val="clear" w:color="auto" w:fill="auto"/>
          </w:tcPr>
          <w:p w14:paraId="585B68EC" w14:textId="64F87360" w:rsidR="007151F7" w:rsidRPr="00B25465" w:rsidRDefault="007151F7" w:rsidP="00A215C1">
            <w:pPr>
              <w:pStyle w:val="3-BodyText"/>
              <w:ind w:left="41" w:hanging="12"/>
              <w:jc w:val="left"/>
              <w:rPr>
                <w:rFonts w:ascii="Arial" w:hAnsi="Arial"/>
                <w:sz w:val="18"/>
                <w:szCs w:val="18"/>
              </w:rPr>
            </w:pPr>
            <w:r w:rsidRPr="00B25465">
              <w:rPr>
                <w:rFonts w:ascii="Arial" w:hAnsi="Arial"/>
                <w:sz w:val="18"/>
                <w:szCs w:val="18"/>
              </w:rPr>
              <w:t xml:space="preserve">The PBAC again deferred making a recommendation regarding the proposed listing of elexacaftor/tezacaftor/ivacaftor </w:t>
            </w:r>
            <w:r w:rsidR="00C8588B" w:rsidRPr="00B25465">
              <w:rPr>
                <w:rFonts w:ascii="Arial" w:hAnsi="Arial"/>
                <w:sz w:val="18"/>
                <w:szCs w:val="18"/>
              </w:rPr>
              <w:t>and ivacaftor</w:t>
            </w:r>
            <w:r w:rsidRPr="00B25465">
              <w:rPr>
                <w:rFonts w:ascii="Arial" w:hAnsi="Arial"/>
                <w:sz w:val="18"/>
                <w:szCs w:val="18"/>
              </w:rPr>
              <w:t xml:space="preserve"> for th</w:t>
            </w:r>
            <w:r w:rsidR="00C77087" w:rsidRPr="00B25465">
              <w:rPr>
                <w:rFonts w:ascii="Arial" w:hAnsi="Arial"/>
                <w:sz w:val="18"/>
                <w:szCs w:val="18"/>
              </w:rPr>
              <w:t>e treatment of CF</w:t>
            </w:r>
            <w:r w:rsidRPr="00B25465">
              <w:rPr>
                <w:rFonts w:ascii="Arial" w:hAnsi="Arial"/>
                <w:sz w:val="18"/>
                <w:szCs w:val="18"/>
              </w:rPr>
              <w:t xml:space="preserve"> patients aged 12 years and older who have at least one F508del mutation in th</w:t>
            </w:r>
            <w:r w:rsidR="00C77087" w:rsidRPr="00B25465">
              <w:rPr>
                <w:rFonts w:ascii="Arial" w:hAnsi="Arial"/>
                <w:sz w:val="18"/>
                <w:szCs w:val="18"/>
              </w:rPr>
              <w:t>e CFTR</w:t>
            </w:r>
            <w:r w:rsidRPr="00B25465">
              <w:rPr>
                <w:rFonts w:ascii="Arial" w:hAnsi="Arial"/>
                <w:sz w:val="18"/>
                <w:szCs w:val="18"/>
              </w:rPr>
              <w:t xml:space="preserve"> gene. It did so because the sponsor’s revised proposal did not adequately address the parameters outlined in the minutes of the PBAC’s March 2021 meeting. The PBAC noted the revised proposal resulted in a net cost to Government that was higher than the proposal put by the sponsor for consideration at the March 2021 meeting.</w:t>
            </w:r>
            <w:r w:rsidR="00A215C1" w:rsidRPr="00B25465">
              <w:rPr>
                <w:rFonts w:ascii="Arial" w:hAnsi="Arial"/>
                <w:sz w:val="18"/>
                <w:szCs w:val="18"/>
              </w:rPr>
              <w:br/>
            </w:r>
            <w:r w:rsidR="00A215C1" w:rsidRPr="00B25465">
              <w:rPr>
                <w:rFonts w:ascii="Arial" w:hAnsi="Arial"/>
                <w:sz w:val="18"/>
                <w:szCs w:val="18"/>
              </w:rPr>
              <w:br/>
            </w:r>
            <w:r w:rsidR="00DB7257" w:rsidRPr="00B25465">
              <w:rPr>
                <w:rFonts w:ascii="Arial" w:hAnsi="Arial"/>
                <w:sz w:val="18"/>
                <w:szCs w:val="18"/>
              </w:rPr>
              <w:t>Although the PBAC accepted to further increase the budget for this listing by 80%, the PBAC considered that the revised proposal was overall not aligned with the PBAC’s March 2021 advice as it requested significant deviations with regard to the pricing and financial estimates. Therefore, it deferred completion of its consideration to allow the sponsor to provide further information.</w:t>
            </w:r>
          </w:p>
        </w:tc>
      </w:tr>
      <w:tr w:rsidR="007151F7" w:rsidRPr="00687774" w14:paraId="4E55F30E" w14:textId="77777777" w:rsidTr="007151F7">
        <w:trPr>
          <w:trHeight w:val="1558"/>
        </w:trPr>
        <w:tc>
          <w:tcPr>
            <w:tcW w:w="874" w:type="pct"/>
            <w:vMerge/>
            <w:tcBorders>
              <w:left w:val="single" w:sz="4" w:space="0" w:color="auto"/>
              <w:bottom w:val="single" w:sz="4" w:space="0" w:color="auto"/>
              <w:right w:val="nil"/>
            </w:tcBorders>
            <w:shd w:val="clear" w:color="auto" w:fill="auto"/>
            <w:tcMar>
              <w:top w:w="28" w:type="dxa"/>
              <w:bottom w:w="28" w:type="dxa"/>
            </w:tcMar>
          </w:tcPr>
          <w:p w14:paraId="26747BEB" w14:textId="77777777" w:rsidR="007151F7" w:rsidRPr="001F0DC4" w:rsidRDefault="007151F7" w:rsidP="007151F7">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5DC29F2A" w14:textId="77777777" w:rsidR="007151F7" w:rsidRDefault="007151F7" w:rsidP="007151F7">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0E610253" w14:textId="77777777" w:rsidR="007151F7" w:rsidRPr="001D4E5E" w:rsidRDefault="007151F7" w:rsidP="007151F7">
            <w:pPr>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3AA2EB7E" w14:textId="77777777" w:rsidR="007151F7" w:rsidRDefault="007151F7" w:rsidP="007151F7">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5AB76C34" w14:textId="78D2D35E" w:rsidR="00FC7585" w:rsidRPr="00FC7585" w:rsidRDefault="007151F7" w:rsidP="00FC7585">
            <w:pPr>
              <w:rPr>
                <w:rFonts w:ascii="Arial" w:eastAsiaTheme="minorHAnsi" w:hAnsi="Arial" w:cs="Arial"/>
                <w:iCs/>
                <w:sz w:val="18"/>
                <w:szCs w:val="18"/>
                <w:lang w:val="en-US" w:eastAsia="en-US"/>
              </w:rPr>
            </w:pPr>
            <w:r w:rsidRPr="007D310A">
              <w:rPr>
                <w:rFonts w:ascii="Arial" w:hAnsi="Arial"/>
                <w:sz w:val="18"/>
                <w:szCs w:val="18"/>
                <w:u w:val="single"/>
                <w:lang w:eastAsia="en-US"/>
              </w:rPr>
              <w:t>Sponsor’s Comment:</w:t>
            </w:r>
            <w:r w:rsidR="00FC7585" w:rsidRPr="00FC7585">
              <w:rPr>
                <w:rFonts w:ascii="Arial" w:hAnsi="Arial"/>
                <w:sz w:val="18"/>
                <w:szCs w:val="18"/>
                <w:lang w:eastAsia="en-US"/>
              </w:rPr>
              <w:t xml:space="preserve"> </w:t>
            </w:r>
            <w:r w:rsidR="00FC7585" w:rsidRPr="00FC7585">
              <w:rPr>
                <w:rFonts w:ascii="Arial" w:eastAsiaTheme="minorHAnsi" w:hAnsi="Arial" w:cs="Arial"/>
                <w:iCs/>
                <w:sz w:val="18"/>
                <w:szCs w:val="18"/>
                <w:lang w:val="en-US" w:eastAsia="en-US"/>
              </w:rPr>
              <w:t>Vertex is disappointed that the PBAC has again deferred its deci</w:t>
            </w:r>
            <w:r w:rsidR="003F09E3">
              <w:rPr>
                <w:rFonts w:ascii="Arial" w:eastAsiaTheme="minorHAnsi" w:hAnsi="Arial" w:cs="Arial"/>
                <w:iCs/>
                <w:sz w:val="18"/>
                <w:szCs w:val="18"/>
                <w:lang w:val="en-US" w:eastAsia="en-US"/>
              </w:rPr>
              <w:t>sion on the funding of Trikafta</w:t>
            </w:r>
            <w:r w:rsidR="00FC7585" w:rsidRPr="00FC7585">
              <w:rPr>
                <w:rFonts w:ascii="Arial" w:eastAsiaTheme="minorHAnsi" w:hAnsi="Arial" w:cs="Arial"/>
                <w:iCs/>
                <w:sz w:val="18"/>
                <w:szCs w:val="18"/>
                <w:lang w:val="en-US" w:eastAsia="en-US"/>
              </w:rPr>
              <w:t xml:space="preserve"> (elexacaftor/tezacaftor/ivacaftor), especially given the solutions provided by Vertex to address the points raised in the previous deferral. </w:t>
            </w:r>
          </w:p>
          <w:p w14:paraId="49BEDA83" w14:textId="77777777" w:rsidR="00FC7585" w:rsidRPr="00FC7585" w:rsidRDefault="00FC7585" w:rsidP="00FC7585">
            <w:pPr>
              <w:rPr>
                <w:rFonts w:ascii="Arial" w:eastAsiaTheme="minorHAnsi" w:hAnsi="Arial" w:cs="Arial"/>
                <w:iCs/>
                <w:sz w:val="18"/>
                <w:szCs w:val="18"/>
                <w:lang w:val="en-US" w:eastAsia="en-US"/>
              </w:rPr>
            </w:pPr>
            <w:r w:rsidRPr="00FC7585">
              <w:rPr>
                <w:rFonts w:ascii="Arial" w:eastAsiaTheme="minorHAnsi" w:hAnsi="Arial" w:cs="Arial"/>
                <w:iCs/>
                <w:sz w:val="18"/>
                <w:szCs w:val="18"/>
                <w:lang w:val="en-US" w:eastAsia="en-US"/>
              </w:rPr>
              <w:t> </w:t>
            </w:r>
          </w:p>
          <w:p w14:paraId="39D1A257" w14:textId="77777777" w:rsidR="00FC7585" w:rsidRPr="00FC7585" w:rsidRDefault="00FC7585" w:rsidP="00FC7585">
            <w:pPr>
              <w:rPr>
                <w:rFonts w:ascii="Arial" w:eastAsiaTheme="minorHAnsi" w:hAnsi="Arial" w:cs="Arial"/>
                <w:iCs/>
                <w:sz w:val="18"/>
                <w:szCs w:val="18"/>
                <w:lang w:val="en-US" w:eastAsia="en-US"/>
              </w:rPr>
            </w:pPr>
            <w:r w:rsidRPr="00FC7585">
              <w:rPr>
                <w:rFonts w:ascii="Arial" w:eastAsiaTheme="minorHAnsi" w:hAnsi="Arial" w:cs="Arial"/>
                <w:iCs/>
                <w:sz w:val="18"/>
                <w:szCs w:val="18"/>
                <w:lang w:val="en-US" w:eastAsia="en-US"/>
              </w:rPr>
              <w:t xml:space="preserve">Vertex welcomes the PBAC’s reappraisal of patient numbers, particularly as the initial assessment from the PBAC was not representative of the number of eligible patients. We remain committed to continuing to work collaboratively with the PBAC to ensure all eligible patients, as identified within the Australian Cystic Fibrosis Data Registry, who could benefit from treatment, have government-funded access to Trikafta as quickly as possible.  </w:t>
            </w:r>
          </w:p>
          <w:p w14:paraId="1731033D" w14:textId="01DE7DE8" w:rsidR="007151F7" w:rsidRPr="007151F7" w:rsidRDefault="007151F7" w:rsidP="007151F7">
            <w:pPr>
              <w:pStyle w:val="3-BodyText"/>
              <w:ind w:left="41" w:hanging="12"/>
              <w:jc w:val="left"/>
              <w:rPr>
                <w:rFonts w:ascii="Arial" w:hAnsi="Arial"/>
                <w:sz w:val="18"/>
                <w:szCs w:val="18"/>
              </w:rPr>
            </w:pPr>
          </w:p>
        </w:tc>
      </w:tr>
      <w:tr w:rsidR="007151F7" w:rsidRPr="00687774" w14:paraId="76E8AB0C" w14:textId="77777777" w:rsidTr="00496BBD">
        <w:trPr>
          <w:trHeight w:val="2422"/>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64720A9E" w14:textId="77777777" w:rsidR="007151F7" w:rsidRPr="007B3F86" w:rsidRDefault="007151F7" w:rsidP="007151F7">
            <w:pPr>
              <w:rPr>
                <w:rFonts w:ascii="Arial" w:hAnsi="Arial" w:cs="Arial"/>
                <w:color w:val="000000"/>
                <w:sz w:val="18"/>
                <w:szCs w:val="18"/>
              </w:rPr>
            </w:pPr>
            <w:r>
              <w:rPr>
                <w:rFonts w:ascii="Arial" w:hAnsi="Arial" w:cs="Arial"/>
                <w:color w:val="000000"/>
                <w:sz w:val="18"/>
                <w:szCs w:val="18"/>
              </w:rPr>
              <w:lastRenderedPageBreak/>
              <w:t>ENCORAFENIB</w:t>
            </w:r>
          </w:p>
          <w:p w14:paraId="73F1E50D" w14:textId="77777777" w:rsidR="007151F7" w:rsidRPr="001F0DC4" w:rsidRDefault="007151F7" w:rsidP="007151F7">
            <w:pPr>
              <w:rPr>
                <w:rFonts w:ascii="Arial" w:hAnsi="Arial" w:cs="Arial"/>
                <w:color w:val="000000"/>
                <w:sz w:val="18"/>
                <w:szCs w:val="18"/>
              </w:rPr>
            </w:pPr>
            <w:r w:rsidRPr="007B3F86">
              <w:rPr>
                <w:rFonts w:ascii="Arial" w:hAnsi="Arial" w:cs="Arial"/>
                <w:color w:val="000000"/>
                <w:sz w:val="18"/>
                <w:szCs w:val="18"/>
              </w:rPr>
              <w:br/>
            </w:r>
            <w:r w:rsidRPr="001F0DC4">
              <w:rPr>
                <w:rFonts w:ascii="Arial" w:hAnsi="Arial" w:cs="Arial"/>
                <w:color w:val="000000"/>
                <w:sz w:val="18"/>
                <w:szCs w:val="18"/>
              </w:rPr>
              <w:t>Capsule 50 mg</w:t>
            </w:r>
          </w:p>
          <w:p w14:paraId="21ED0B80" w14:textId="07267626" w:rsidR="007151F7" w:rsidRDefault="007151F7" w:rsidP="007151F7">
            <w:pPr>
              <w:rPr>
                <w:rFonts w:ascii="Arial" w:hAnsi="Arial" w:cs="Arial"/>
                <w:color w:val="000000"/>
                <w:sz w:val="18"/>
                <w:szCs w:val="18"/>
              </w:rPr>
            </w:pPr>
            <w:r w:rsidRPr="001F0DC4">
              <w:rPr>
                <w:rFonts w:ascii="Arial" w:hAnsi="Arial" w:cs="Arial"/>
                <w:color w:val="000000"/>
                <w:sz w:val="18"/>
                <w:szCs w:val="18"/>
              </w:rPr>
              <w:t>Capsule 75 mg</w:t>
            </w:r>
          </w:p>
          <w:p w14:paraId="698F333E" w14:textId="77777777" w:rsidR="007151F7" w:rsidRPr="001F0DC4" w:rsidRDefault="007151F7" w:rsidP="007151F7">
            <w:pPr>
              <w:rPr>
                <w:rFonts w:ascii="Arial" w:hAnsi="Arial" w:cs="Arial"/>
                <w:color w:val="000000"/>
                <w:sz w:val="18"/>
                <w:szCs w:val="18"/>
              </w:rPr>
            </w:pPr>
          </w:p>
          <w:p w14:paraId="7940560F" w14:textId="77777777" w:rsidR="007151F7" w:rsidRDefault="007151F7" w:rsidP="007151F7">
            <w:pPr>
              <w:rPr>
                <w:rFonts w:ascii="Arial" w:hAnsi="Arial" w:cs="Arial"/>
                <w:color w:val="000000"/>
                <w:sz w:val="18"/>
                <w:szCs w:val="18"/>
              </w:rPr>
            </w:pPr>
            <w:r w:rsidRPr="001F0DC4">
              <w:rPr>
                <w:rFonts w:ascii="Arial" w:hAnsi="Arial" w:cs="Arial"/>
                <w:color w:val="000000"/>
                <w:sz w:val="18"/>
                <w:szCs w:val="18"/>
              </w:rPr>
              <w:t>Braftovi®</w:t>
            </w:r>
          </w:p>
          <w:p w14:paraId="772AC5AE" w14:textId="1FA52700" w:rsidR="007151F7" w:rsidRDefault="007151F7" w:rsidP="007151F7">
            <w:pPr>
              <w:rPr>
                <w:rFonts w:ascii="Arial" w:hAnsi="Arial" w:cs="Arial"/>
                <w:color w:val="000000"/>
                <w:sz w:val="18"/>
                <w:szCs w:val="18"/>
              </w:rPr>
            </w:pPr>
            <w:r w:rsidRPr="007D310A">
              <w:rPr>
                <w:rFonts w:ascii="Arial" w:hAnsi="Arial" w:cs="Arial"/>
                <w:color w:val="000000"/>
                <w:sz w:val="18"/>
                <w:szCs w:val="18"/>
              </w:rPr>
              <w:br/>
            </w:r>
            <w:r w:rsidRPr="001F0DC4">
              <w:rPr>
                <w:rFonts w:ascii="Arial" w:hAnsi="Arial" w:cs="Arial"/>
                <w:color w:val="000000"/>
                <w:sz w:val="18"/>
                <w:szCs w:val="18"/>
              </w:rPr>
              <w:t>Pierre Fabre Australia Pty Ltd</w:t>
            </w:r>
          </w:p>
          <w:p w14:paraId="1DD5DD94" w14:textId="77777777" w:rsidR="007151F7" w:rsidRPr="001F0DC4" w:rsidRDefault="007151F7" w:rsidP="007151F7">
            <w:pPr>
              <w:rPr>
                <w:rFonts w:ascii="Arial" w:hAnsi="Arial" w:cs="Arial"/>
                <w:color w:val="000000"/>
                <w:sz w:val="18"/>
                <w:szCs w:val="18"/>
              </w:rPr>
            </w:pPr>
          </w:p>
          <w:p w14:paraId="3EEE8C10" w14:textId="77777777" w:rsidR="007151F7" w:rsidRPr="001F0DC4" w:rsidRDefault="007151F7" w:rsidP="007151F7">
            <w:pPr>
              <w:rPr>
                <w:rFonts w:ascii="Arial" w:hAnsi="Arial" w:cs="Arial"/>
                <w:color w:val="000000"/>
                <w:sz w:val="18"/>
                <w:szCs w:val="18"/>
              </w:rPr>
            </w:pPr>
            <w:r w:rsidRPr="001F0DC4">
              <w:rPr>
                <w:rFonts w:ascii="Arial" w:hAnsi="Arial" w:cs="Arial"/>
                <w:color w:val="000000"/>
                <w:sz w:val="18"/>
                <w:szCs w:val="18"/>
              </w:rPr>
              <w:t>Change to PBS listing</w:t>
            </w:r>
          </w:p>
          <w:p w14:paraId="2D275FAC" w14:textId="33DCCBD3" w:rsidR="007151F7" w:rsidRDefault="007151F7" w:rsidP="007151F7">
            <w:pPr>
              <w:rPr>
                <w:rFonts w:ascii="Arial" w:hAnsi="Arial" w:cs="Arial"/>
                <w:color w:val="000000"/>
                <w:sz w:val="18"/>
                <w:szCs w:val="18"/>
              </w:rPr>
            </w:pPr>
            <w:r>
              <w:rPr>
                <w:rFonts w:ascii="Arial" w:hAnsi="Arial" w:cs="Arial"/>
                <w:color w:val="000000"/>
                <w:sz w:val="18"/>
                <w:szCs w:val="18"/>
              </w:rPr>
              <w:t>(Matters Outstanding</w:t>
            </w:r>
            <w:r w:rsidRPr="001F0DC4">
              <w:rPr>
                <w:rFonts w:ascii="Arial" w:hAnsi="Arial" w:cs="Arial"/>
                <w:color w:val="000000"/>
                <w:sz w:val="18"/>
                <w:szCs w:val="18"/>
              </w:rPr>
              <w:t>)</w:t>
            </w:r>
          </w:p>
          <w:p w14:paraId="47CE404F" w14:textId="77777777" w:rsidR="007151F7" w:rsidRDefault="007151F7" w:rsidP="007151F7">
            <w:pPr>
              <w:rPr>
                <w:rFonts w:ascii="Arial" w:hAnsi="Arial" w:cs="Arial"/>
                <w:color w:val="000000"/>
                <w:sz w:val="18"/>
                <w:szCs w:val="18"/>
              </w:rPr>
            </w:pPr>
          </w:p>
          <w:p w14:paraId="090BA755" w14:textId="77777777" w:rsidR="007151F7" w:rsidRDefault="007151F7" w:rsidP="007151F7">
            <w:pPr>
              <w:rPr>
                <w:rFonts w:ascii="Arial" w:hAnsi="Arial" w:cs="Arial"/>
                <w:color w:val="000000"/>
                <w:sz w:val="18"/>
                <w:szCs w:val="18"/>
              </w:rPr>
            </w:pPr>
          </w:p>
          <w:p w14:paraId="111E04B6" w14:textId="0100716A" w:rsidR="007151F7" w:rsidRPr="007D310A" w:rsidRDefault="007151F7" w:rsidP="007151F7">
            <w:pPr>
              <w:rPr>
                <w:rFonts w:ascii="Arial" w:hAnsi="Arial" w:cs="Arial"/>
                <w:sz w:val="18"/>
                <w:szCs w:val="18"/>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47A76593" w14:textId="439E592E" w:rsidR="007151F7" w:rsidRPr="007D310A" w:rsidRDefault="007151F7" w:rsidP="007151F7">
            <w:pPr>
              <w:widowControl w:val="0"/>
              <w:rPr>
                <w:rFonts w:ascii="Arial" w:hAnsi="Arial" w:cs="Arial"/>
                <w:snapToGrid w:val="0"/>
                <w:sz w:val="18"/>
                <w:szCs w:val="18"/>
                <w:lang w:eastAsia="en-US"/>
              </w:rPr>
            </w:pPr>
            <w:r>
              <w:rPr>
                <w:rFonts w:ascii="Arial" w:hAnsi="Arial" w:cs="Arial"/>
                <w:color w:val="000000"/>
                <w:sz w:val="18"/>
                <w:szCs w:val="18"/>
              </w:rPr>
              <w:t>Colorectal</w:t>
            </w:r>
            <w:r w:rsidRPr="007D310A">
              <w:rPr>
                <w:rFonts w:ascii="Arial" w:hAnsi="Arial" w:cs="Arial"/>
                <w:color w:val="000000"/>
                <w:sz w:val="18"/>
                <w:szCs w:val="18"/>
              </w:rPr>
              <w:t xml:space="preserve"> cancer</w:t>
            </w:r>
          </w:p>
        </w:tc>
        <w:tc>
          <w:tcPr>
            <w:tcW w:w="875"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7BF09FBA" w14:textId="7CDB1B4E" w:rsidR="007151F7" w:rsidRPr="00862D65" w:rsidRDefault="007151F7" w:rsidP="007151F7">
            <w:pPr>
              <w:rPr>
                <w:rFonts w:ascii="Arial" w:hAnsi="Arial" w:cs="Arial"/>
                <w:i/>
                <w:sz w:val="18"/>
                <w:szCs w:val="18"/>
              </w:rPr>
            </w:pPr>
            <w:r w:rsidRPr="001D4E5E">
              <w:rPr>
                <w:rFonts w:ascii="Arial" w:hAnsi="Arial" w:cs="Arial"/>
                <w:color w:val="000000"/>
                <w:sz w:val="18"/>
                <w:szCs w:val="18"/>
              </w:rPr>
              <w:t>To request an Authority Required (STREAMLINED) listing for the treatment of BRAF V600E-variant metastatic (Stage IV) colorectal cancer (mCRC).</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592C8EEA" w14:textId="0D3DCAA9" w:rsidR="007151F7" w:rsidRPr="007D310A" w:rsidRDefault="007151F7" w:rsidP="007151F7">
            <w:pPr>
              <w:pStyle w:val="ListParagraph"/>
              <w:ind w:left="0"/>
              <w:rPr>
                <w:rFonts w:ascii="Arial" w:hAnsi="Arial" w:cs="Arial"/>
                <w:snapToGrid w:val="0"/>
                <w:sz w:val="18"/>
                <w:szCs w:val="18"/>
                <w:lang w:eastAsia="en-US"/>
              </w:rPr>
            </w:pPr>
            <w:r>
              <w:rPr>
                <w:rFonts w:ascii="Arial" w:hAnsi="Arial" w:cs="Arial"/>
                <w:color w:val="000000"/>
                <w:sz w:val="18"/>
                <w:szCs w:val="18"/>
              </w:rPr>
              <w:t>Recommended</w:t>
            </w:r>
          </w:p>
        </w:tc>
        <w:tc>
          <w:tcPr>
            <w:tcW w:w="2146" w:type="pct"/>
            <w:tcBorders>
              <w:top w:val="single" w:sz="4" w:space="0" w:color="auto"/>
              <w:bottom w:val="single" w:sz="4" w:space="0" w:color="auto"/>
            </w:tcBorders>
            <w:shd w:val="clear" w:color="auto" w:fill="auto"/>
          </w:tcPr>
          <w:p w14:paraId="1D739A06" w14:textId="1606320A" w:rsidR="007151F7" w:rsidRPr="007D310A" w:rsidRDefault="007151F7" w:rsidP="007151F7">
            <w:pPr>
              <w:spacing w:after="120"/>
              <w:rPr>
                <w:rFonts w:ascii="Arial" w:hAnsi="Arial" w:cs="Arial"/>
                <w:color w:val="000000"/>
                <w:sz w:val="18"/>
                <w:szCs w:val="18"/>
              </w:rPr>
            </w:pPr>
            <w:r w:rsidRPr="008477B4">
              <w:rPr>
                <w:rFonts w:ascii="Arial" w:hAnsi="Arial" w:cs="Arial"/>
                <w:color w:val="000000"/>
                <w:sz w:val="18"/>
                <w:szCs w:val="18"/>
              </w:rPr>
              <w:t>At its March 2021 PBAC meeting, the PBAC deferred its consideration of encorafenib in combination with cetuximab for the targeted treatm</w:t>
            </w:r>
            <w:r w:rsidR="00C77087">
              <w:rPr>
                <w:rFonts w:ascii="Arial" w:hAnsi="Arial" w:cs="Arial"/>
                <w:color w:val="000000"/>
                <w:sz w:val="18"/>
                <w:szCs w:val="18"/>
              </w:rPr>
              <w:t>ent of patients with BRAF V600E-</w:t>
            </w:r>
            <w:r w:rsidRPr="008477B4">
              <w:rPr>
                <w:rFonts w:ascii="Arial" w:hAnsi="Arial" w:cs="Arial"/>
                <w:color w:val="000000"/>
                <w:sz w:val="18"/>
                <w:szCs w:val="18"/>
              </w:rPr>
              <w:t>varian</w:t>
            </w:r>
            <w:r w:rsidR="00C77087">
              <w:rPr>
                <w:rFonts w:ascii="Arial" w:hAnsi="Arial" w:cs="Arial"/>
                <w:color w:val="000000"/>
                <w:sz w:val="18"/>
                <w:szCs w:val="18"/>
              </w:rPr>
              <w:t>t mCRC</w:t>
            </w:r>
            <w:r w:rsidRPr="008477B4">
              <w:rPr>
                <w:rFonts w:ascii="Arial" w:hAnsi="Arial" w:cs="Arial"/>
                <w:color w:val="000000"/>
                <w:sz w:val="18"/>
                <w:szCs w:val="18"/>
              </w:rPr>
              <w:t xml:space="preserve"> who have received prior systemic therapy pending support from MSAC on the funding of the co-dependent BRAF V600 testing. At its 31 March – 1 April 2021 meeting, the MSAC supported an amendment to the descriptor for MBS item 73338 to include BRAF V600 testing. Following this, in May 2021, the PBAC recommended the listing of encorafenib in combination with cetuximab for the treatment of these patients. The PBAC again acknowledged the high clinical need in a patient population with poor prognosis, considered that the clinical benefit was meaningful, and the economic model was reliable for decision making. The PBAC considered that the cost-effectiveness and estimated financial impact were acceptable.</w:t>
            </w:r>
          </w:p>
        </w:tc>
      </w:tr>
      <w:tr w:rsidR="007151F7" w:rsidRPr="00687774" w14:paraId="5B51A4B6" w14:textId="77777777" w:rsidTr="00BD1A3E">
        <w:trPr>
          <w:trHeight w:val="2223"/>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3911E740" w14:textId="77777777" w:rsidR="007151F7" w:rsidRPr="001F0DC4" w:rsidRDefault="007151F7" w:rsidP="007151F7">
            <w:pPr>
              <w:rPr>
                <w:rFonts w:ascii="Arial" w:hAnsi="Arial" w:cs="Arial"/>
                <w:color w:val="000000"/>
                <w:sz w:val="18"/>
                <w:szCs w:val="18"/>
              </w:rPr>
            </w:pPr>
            <w:r w:rsidRPr="001F0DC4">
              <w:rPr>
                <w:rFonts w:ascii="Arial" w:hAnsi="Arial" w:cs="Arial"/>
                <w:color w:val="000000"/>
                <w:sz w:val="18"/>
                <w:szCs w:val="18"/>
              </w:rPr>
              <w:t>ONASEMNOGENE</w:t>
            </w:r>
          </w:p>
          <w:p w14:paraId="7EE14D2D" w14:textId="646B78D9" w:rsidR="007151F7" w:rsidRDefault="007151F7" w:rsidP="007151F7">
            <w:pPr>
              <w:rPr>
                <w:rFonts w:ascii="Arial" w:hAnsi="Arial" w:cs="Arial"/>
                <w:color w:val="000000"/>
                <w:sz w:val="18"/>
                <w:szCs w:val="18"/>
              </w:rPr>
            </w:pPr>
            <w:r w:rsidRPr="001F0DC4">
              <w:rPr>
                <w:rFonts w:ascii="Arial" w:hAnsi="Arial" w:cs="Arial"/>
                <w:color w:val="000000"/>
                <w:sz w:val="18"/>
                <w:szCs w:val="18"/>
              </w:rPr>
              <w:t>ABEPARVOVEC</w:t>
            </w:r>
          </w:p>
          <w:p w14:paraId="0A081805" w14:textId="77777777" w:rsidR="007151F7" w:rsidRPr="001F0DC4" w:rsidRDefault="007151F7" w:rsidP="007151F7">
            <w:pPr>
              <w:rPr>
                <w:rFonts w:ascii="Arial" w:hAnsi="Arial" w:cs="Arial"/>
                <w:color w:val="000000"/>
                <w:sz w:val="18"/>
                <w:szCs w:val="18"/>
              </w:rPr>
            </w:pPr>
          </w:p>
          <w:p w14:paraId="245AA9C4" w14:textId="77777777" w:rsidR="007151F7" w:rsidRPr="001F0DC4" w:rsidRDefault="007151F7" w:rsidP="007151F7">
            <w:pPr>
              <w:rPr>
                <w:rFonts w:ascii="Arial" w:hAnsi="Arial" w:cs="Arial"/>
                <w:color w:val="000000"/>
                <w:sz w:val="18"/>
                <w:szCs w:val="18"/>
              </w:rPr>
            </w:pPr>
            <w:r w:rsidRPr="001F0DC4">
              <w:rPr>
                <w:rFonts w:ascii="Arial" w:hAnsi="Arial" w:cs="Arial"/>
                <w:color w:val="000000"/>
                <w:sz w:val="18"/>
                <w:szCs w:val="18"/>
              </w:rPr>
              <w:t>Solution for injection,</w:t>
            </w:r>
          </w:p>
          <w:p w14:paraId="452F85C4" w14:textId="77777777" w:rsidR="007151F7" w:rsidRPr="001F0DC4" w:rsidRDefault="007151F7" w:rsidP="007151F7">
            <w:pPr>
              <w:rPr>
                <w:rFonts w:ascii="Arial" w:hAnsi="Arial" w:cs="Arial"/>
                <w:color w:val="000000"/>
                <w:sz w:val="18"/>
                <w:szCs w:val="18"/>
              </w:rPr>
            </w:pPr>
            <w:r w:rsidRPr="001F0DC4">
              <w:rPr>
                <w:rFonts w:ascii="Arial" w:hAnsi="Arial" w:cs="Arial"/>
                <w:color w:val="000000"/>
                <w:sz w:val="18"/>
                <w:szCs w:val="18"/>
              </w:rPr>
              <w:t>customised based on patient</w:t>
            </w:r>
          </w:p>
          <w:p w14:paraId="4B2B8792" w14:textId="75BC18FA" w:rsidR="007151F7" w:rsidRDefault="007151F7" w:rsidP="007151F7">
            <w:pPr>
              <w:rPr>
                <w:rFonts w:ascii="Arial" w:hAnsi="Arial" w:cs="Arial"/>
                <w:color w:val="000000"/>
                <w:sz w:val="18"/>
                <w:szCs w:val="18"/>
              </w:rPr>
            </w:pPr>
            <w:r w:rsidRPr="001F0DC4">
              <w:rPr>
                <w:rFonts w:ascii="Arial" w:hAnsi="Arial" w:cs="Arial"/>
                <w:color w:val="000000"/>
                <w:sz w:val="18"/>
                <w:szCs w:val="18"/>
              </w:rPr>
              <w:t>weight</w:t>
            </w:r>
          </w:p>
          <w:p w14:paraId="4C172222" w14:textId="77777777" w:rsidR="007151F7" w:rsidRPr="001F0DC4" w:rsidRDefault="007151F7" w:rsidP="007151F7">
            <w:pPr>
              <w:rPr>
                <w:rFonts w:ascii="Arial" w:hAnsi="Arial" w:cs="Arial"/>
                <w:color w:val="000000"/>
                <w:sz w:val="18"/>
                <w:szCs w:val="18"/>
              </w:rPr>
            </w:pPr>
          </w:p>
          <w:p w14:paraId="5FFCBDEF" w14:textId="1A91D9B8" w:rsidR="007151F7" w:rsidRDefault="007151F7" w:rsidP="007151F7">
            <w:pPr>
              <w:rPr>
                <w:rFonts w:ascii="Arial" w:hAnsi="Arial" w:cs="Arial"/>
                <w:color w:val="000000"/>
                <w:sz w:val="18"/>
                <w:szCs w:val="18"/>
              </w:rPr>
            </w:pPr>
            <w:r w:rsidRPr="001F0DC4">
              <w:rPr>
                <w:rFonts w:ascii="Arial" w:hAnsi="Arial" w:cs="Arial"/>
                <w:color w:val="000000"/>
                <w:sz w:val="18"/>
                <w:szCs w:val="18"/>
              </w:rPr>
              <w:t>Zolgensma®</w:t>
            </w:r>
          </w:p>
          <w:p w14:paraId="685A2AC1" w14:textId="77777777" w:rsidR="007151F7" w:rsidRPr="001F0DC4" w:rsidRDefault="007151F7" w:rsidP="007151F7">
            <w:pPr>
              <w:rPr>
                <w:rFonts w:ascii="Arial" w:hAnsi="Arial" w:cs="Arial"/>
                <w:color w:val="000000"/>
                <w:sz w:val="18"/>
                <w:szCs w:val="18"/>
              </w:rPr>
            </w:pPr>
          </w:p>
          <w:p w14:paraId="7E0F681D" w14:textId="77777777" w:rsidR="007151F7" w:rsidRPr="001F0DC4" w:rsidRDefault="007151F7" w:rsidP="007151F7">
            <w:pPr>
              <w:rPr>
                <w:rFonts w:ascii="Arial" w:hAnsi="Arial" w:cs="Arial"/>
                <w:color w:val="000000"/>
                <w:sz w:val="18"/>
                <w:szCs w:val="18"/>
              </w:rPr>
            </w:pPr>
            <w:r w:rsidRPr="001F0DC4">
              <w:rPr>
                <w:rFonts w:ascii="Arial" w:hAnsi="Arial" w:cs="Arial"/>
                <w:color w:val="000000"/>
                <w:sz w:val="18"/>
                <w:szCs w:val="18"/>
              </w:rPr>
              <w:t>Novartis Pharmaceuticals</w:t>
            </w:r>
          </w:p>
          <w:p w14:paraId="301A2F20" w14:textId="6B6C6F68" w:rsidR="007151F7" w:rsidRDefault="007151F7" w:rsidP="007151F7">
            <w:pPr>
              <w:rPr>
                <w:rFonts w:ascii="Arial" w:hAnsi="Arial" w:cs="Arial"/>
                <w:color w:val="000000"/>
                <w:sz w:val="18"/>
                <w:szCs w:val="18"/>
              </w:rPr>
            </w:pPr>
            <w:r w:rsidRPr="001F0DC4">
              <w:rPr>
                <w:rFonts w:ascii="Arial" w:hAnsi="Arial" w:cs="Arial"/>
                <w:color w:val="000000"/>
                <w:sz w:val="18"/>
                <w:szCs w:val="18"/>
              </w:rPr>
              <w:t>Australia Pty Ltd</w:t>
            </w:r>
          </w:p>
          <w:p w14:paraId="39FAE28A" w14:textId="77777777" w:rsidR="007151F7" w:rsidRPr="001F0DC4" w:rsidRDefault="007151F7" w:rsidP="007151F7">
            <w:pPr>
              <w:rPr>
                <w:rFonts w:ascii="Arial" w:hAnsi="Arial" w:cs="Arial"/>
                <w:color w:val="000000"/>
                <w:sz w:val="18"/>
                <w:szCs w:val="18"/>
              </w:rPr>
            </w:pPr>
          </w:p>
          <w:p w14:paraId="778EAB93" w14:textId="45E581B9" w:rsidR="007151F7" w:rsidRPr="001F0DC4" w:rsidRDefault="007151F7" w:rsidP="007151F7">
            <w:pPr>
              <w:rPr>
                <w:rFonts w:ascii="Arial" w:hAnsi="Arial" w:cs="Arial"/>
                <w:color w:val="000000"/>
                <w:sz w:val="18"/>
                <w:szCs w:val="18"/>
              </w:rPr>
            </w:pPr>
            <w:r w:rsidRPr="001F0DC4">
              <w:rPr>
                <w:rFonts w:ascii="Arial" w:hAnsi="Arial" w:cs="Arial"/>
                <w:color w:val="000000"/>
                <w:sz w:val="18"/>
                <w:szCs w:val="18"/>
              </w:rPr>
              <w:t xml:space="preserve">New </w:t>
            </w:r>
            <w:r w:rsidR="00E920D0">
              <w:rPr>
                <w:rFonts w:ascii="Arial" w:hAnsi="Arial" w:cs="Arial"/>
                <w:color w:val="000000"/>
                <w:sz w:val="18"/>
                <w:szCs w:val="18"/>
              </w:rPr>
              <w:t xml:space="preserve">PBS </w:t>
            </w:r>
            <w:r w:rsidRPr="001F0DC4">
              <w:rPr>
                <w:rFonts w:ascii="Arial" w:hAnsi="Arial" w:cs="Arial"/>
                <w:color w:val="000000"/>
                <w:sz w:val="18"/>
                <w:szCs w:val="18"/>
              </w:rPr>
              <w:t>listing</w:t>
            </w:r>
          </w:p>
          <w:p w14:paraId="2FBDE8BB" w14:textId="3A363074" w:rsidR="007151F7" w:rsidRPr="00DD3AA2" w:rsidRDefault="007151F7" w:rsidP="007151F7">
            <w:pPr>
              <w:rPr>
                <w:rFonts w:ascii="Arial" w:hAnsi="Arial" w:cs="Arial"/>
                <w:color w:val="000000"/>
                <w:sz w:val="18"/>
                <w:szCs w:val="18"/>
              </w:rPr>
            </w:pPr>
            <w:r>
              <w:rPr>
                <w:rFonts w:ascii="Arial" w:hAnsi="Arial" w:cs="Arial"/>
                <w:color w:val="000000"/>
                <w:sz w:val="18"/>
                <w:szCs w:val="18"/>
              </w:rPr>
              <w:t>(Matters Outstanding</w:t>
            </w:r>
            <w:r w:rsidRPr="001F0DC4">
              <w:rPr>
                <w:rFonts w:ascii="Arial" w:hAnsi="Arial" w:cs="Arial"/>
                <w:color w:val="000000"/>
                <w:sz w:val="18"/>
                <w:szCs w:val="18"/>
              </w:rPr>
              <w:t>)</w:t>
            </w:r>
          </w:p>
        </w:tc>
        <w:tc>
          <w:tcPr>
            <w:tcW w:w="552" w:type="pct"/>
            <w:vMerge w:val="restart"/>
            <w:tcBorders>
              <w:top w:val="single" w:sz="4" w:space="0" w:color="auto"/>
              <w:left w:val="single" w:sz="4" w:space="0" w:color="auto"/>
              <w:right w:val="single" w:sz="4" w:space="0" w:color="auto"/>
            </w:tcBorders>
            <w:shd w:val="clear" w:color="auto" w:fill="auto"/>
          </w:tcPr>
          <w:p w14:paraId="23960BD4" w14:textId="514E855D" w:rsidR="007151F7" w:rsidRPr="007D310A" w:rsidRDefault="007151F7" w:rsidP="007151F7">
            <w:pPr>
              <w:widowControl w:val="0"/>
              <w:rPr>
                <w:rFonts w:ascii="Arial" w:hAnsi="Arial" w:cs="Arial"/>
                <w:snapToGrid w:val="0"/>
                <w:sz w:val="18"/>
                <w:szCs w:val="18"/>
                <w:lang w:eastAsia="en-US"/>
              </w:rPr>
            </w:pPr>
            <w:r>
              <w:rPr>
                <w:rFonts w:ascii="Arial" w:hAnsi="Arial" w:cs="Arial"/>
                <w:snapToGrid w:val="0"/>
                <w:sz w:val="18"/>
                <w:szCs w:val="18"/>
                <w:lang w:eastAsia="en-US"/>
              </w:rPr>
              <w:t>Spinal muscular atrophy (SMA)</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4E5078D7" w14:textId="5C089E5C" w:rsidR="007151F7" w:rsidRPr="00862D65" w:rsidRDefault="007151F7" w:rsidP="007151F7">
            <w:pPr>
              <w:rPr>
                <w:rFonts w:ascii="Arial" w:hAnsi="Arial" w:cs="Arial"/>
                <w:i/>
                <w:sz w:val="18"/>
                <w:szCs w:val="18"/>
              </w:rPr>
            </w:pPr>
            <w:r w:rsidRPr="00266815">
              <w:rPr>
                <w:rFonts w:ascii="Arial" w:hAnsi="Arial" w:cs="Arial"/>
                <w:sz w:val="18"/>
                <w:szCs w:val="18"/>
              </w:rPr>
              <w:t>To request an Authority Required (Written)</w:t>
            </w:r>
            <w:r>
              <w:rPr>
                <w:rFonts w:ascii="Arial" w:hAnsi="Arial" w:cs="Arial"/>
                <w:sz w:val="18"/>
                <w:szCs w:val="18"/>
              </w:rPr>
              <w:t xml:space="preserve"> </w:t>
            </w:r>
            <w:r w:rsidRPr="00266815">
              <w:rPr>
                <w:rFonts w:ascii="Arial" w:hAnsi="Arial" w:cs="Arial"/>
                <w:sz w:val="18"/>
                <w:szCs w:val="18"/>
              </w:rPr>
              <w:t>listing for the treatment of paediatric p</w:t>
            </w:r>
            <w:r>
              <w:rPr>
                <w:rFonts w:ascii="Arial" w:hAnsi="Arial" w:cs="Arial"/>
                <w:sz w:val="18"/>
                <w:szCs w:val="18"/>
              </w:rPr>
              <w:t>atients</w:t>
            </w:r>
            <w:r w:rsidRPr="00266815">
              <w:rPr>
                <w:rFonts w:ascii="Arial" w:hAnsi="Arial" w:cs="Arial"/>
                <w:sz w:val="18"/>
                <w:szCs w:val="18"/>
              </w:rPr>
              <w:t xml:space="preserve"> with Type 1 SMA.</w:t>
            </w:r>
          </w:p>
        </w:tc>
        <w:tc>
          <w:tcPr>
            <w:tcW w:w="553" w:type="pct"/>
            <w:vMerge w:val="restart"/>
            <w:tcBorders>
              <w:top w:val="single" w:sz="4" w:space="0" w:color="auto"/>
              <w:left w:val="single" w:sz="4" w:space="0" w:color="auto"/>
              <w:right w:val="single" w:sz="4" w:space="0" w:color="auto"/>
            </w:tcBorders>
            <w:shd w:val="clear" w:color="auto" w:fill="auto"/>
          </w:tcPr>
          <w:p w14:paraId="0038AC1F" w14:textId="3C2EE2C5" w:rsidR="007151F7" w:rsidRPr="007D310A" w:rsidRDefault="007151F7" w:rsidP="007151F7">
            <w:pPr>
              <w:pStyle w:val="ListParagraph"/>
              <w:ind w:left="0"/>
              <w:rPr>
                <w:rFonts w:ascii="Arial" w:hAnsi="Arial" w:cs="Arial"/>
                <w:snapToGrid w:val="0"/>
                <w:sz w:val="18"/>
                <w:szCs w:val="18"/>
                <w:lang w:eastAsia="en-US"/>
              </w:rPr>
            </w:pPr>
            <w:r>
              <w:rPr>
                <w:rFonts w:ascii="Arial" w:hAnsi="Arial" w:cs="Arial"/>
                <w:color w:val="000000"/>
                <w:sz w:val="18"/>
                <w:szCs w:val="18"/>
              </w:rPr>
              <w:t xml:space="preserve">Deferred </w:t>
            </w:r>
          </w:p>
        </w:tc>
        <w:tc>
          <w:tcPr>
            <w:tcW w:w="2146" w:type="pct"/>
            <w:tcBorders>
              <w:top w:val="single" w:sz="4" w:space="0" w:color="auto"/>
              <w:bottom w:val="single" w:sz="4" w:space="0" w:color="auto"/>
            </w:tcBorders>
            <w:shd w:val="clear" w:color="auto" w:fill="auto"/>
          </w:tcPr>
          <w:p w14:paraId="192FD6D7" w14:textId="099BAABA" w:rsidR="007151F7" w:rsidRPr="00C77087" w:rsidRDefault="007151F7" w:rsidP="00C8588B">
            <w:pPr>
              <w:pStyle w:val="4Bodytextnumbered"/>
              <w:ind w:left="0" w:firstLine="0"/>
              <w:jc w:val="left"/>
              <w:rPr>
                <w:rFonts w:ascii="Arial" w:hAnsi="Arial" w:cs="Arial"/>
                <w:sz w:val="18"/>
                <w:szCs w:val="18"/>
              </w:rPr>
            </w:pPr>
            <w:r w:rsidRPr="007151F7">
              <w:rPr>
                <w:rFonts w:ascii="Arial" w:hAnsi="Arial" w:cs="Arial"/>
                <w:sz w:val="18"/>
                <w:szCs w:val="18"/>
              </w:rPr>
              <w:t>The PBAC maintained its deferral from the November 2020 meeting for PBS listing of onasemnogene abeparvovec (ON</w:t>
            </w:r>
            <w:r w:rsidR="00C77087">
              <w:rPr>
                <w:rFonts w:ascii="Arial" w:hAnsi="Arial" w:cs="Arial"/>
                <w:sz w:val="18"/>
                <w:szCs w:val="18"/>
              </w:rPr>
              <w:t>A) for SMA</w:t>
            </w:r>
            <w:r w:rsidRPr="007151F7">
              <w:rPr>
                <w:rFonts w:ascii="Arial" w:hAnsi="Arial" w:cs="Arial"/>
                <w:sz w:val="18"/>
                <w:szCs w:val="18"/>
              </w:rPr>
              <w:t xml:space="preserve"> as a number of concerns with the subsidy </w:t>
            </w:r>
            <w:r w:rsidRPr="00930231">
              <w:rPr>
                <w:rFonts w:ascii="Arial" w:hAnsi="Arial" w:cs="Arial"/>
                <w:sz w:val="18"/>
                <w:szCs w:val="18"/>
              </w:rPr>
              <w:t>proposal remained. The PBAC noted the proposed population was revised to patients aged less than 9 months</w:t>
            </w:r>
            <w:r w:rsidR="00DD3AA2" w:rsidRPr="00930231">
              <w:rPr>
                <w:rFonts w:ascii="Arial" w:hAnsi="Arial" w:cs="Arial"/>
                <w:sz w:val="18"/>
                <w:szCs w:val="18"/>
              </w:rPr>
              <w:t xml:space="preserve"> (from patients less than 2</w:t>
            </w:r>
            <w:r w:rsidR="00C8588B" w:rsidRPr="00930231">
              <w:rPr>
                <w:rFonts w:ascii="Arial" w:hAnsi="Arial" w:cs="Arial"/>
                <w:sz w:val="18"/>
                <w:szCs w:val="18"/>
              </w:rPr>
              <w:t> </w:t>
            </w:r>
            <w:r w:rsidR="00DD3AA2" w:rsidRPr="00930231">
              <w:rPr>
                <w:rFonts w:ascii="Arial" w:hAnsi="Arial" w:cs="Arial"/>
                <w:sz w:val="18"/>
                <w:szCs w:val="18"/>
              </w:rPr>
              <w:t>years of age)</w:t>
            </w:r>
            <w:r w:rsidRPr="00930231">
              <w:rPr>
                <w:rFonts w:ascii="Arial" w:hAnsi="Arial" w:cs="Arial"/>
                <w:sz w:val="18"/>
                <w:szCs w:val="18"/>
              </w:rPr>
              <w:t>, with 1-3 c</w:t>
            </w:r>
            <w:r w:rsidR="00930231">
              <w:rPr>
                <w:rFonts w:ascii="Arial" w:hAnsi="Arial" w:cs="Arial"/>
                <w:sz w:val="18"/>
                <w:szCs w:val="18"/>
              </w:rPr>
              <w:t>opies of the SMN2 gene, although</w:t>
            </w:r>
            <w:r w:rsidRPr="00930231">
              <w:rPr>
                <w:rFonts w:ascii="Arial" w:hAnsi="Arial" w:cs="Arial"/>
                <w:sz w:val="18"/>
                <w:szCs w:val="18"/>
              </w:rPr>
              <w:t xml:space="preserve"> patients with 3</w:t>
            </w:r>
            <w:r w:rsidR="00C8588B" w:rsidRPr="00930231">
              <w:rPr>
                <w:rFonts w:ascii="Arial" w:hAnsi="Arial" w:cs="Arial"/>
                <w:sz w:val="18"/>
                <w:szCs w:val="18"/>
              </w:rPr>
              <w:t> </w:t>
            </w:r>
            <w:r w:rsidRPr="00930231">
              <w:rPr>
                <w:rFonts w:ascii="Arial" w:hAnsi="Arial" w:cs="Arial"/>
                <w:sz w:val="18"/>
                <w:szCs w:val="18"/>
              </w:rPr>
              <w:t>copies of SMN2 are currently not eligible for treatment with nusinersen (NUSI). The PBAC considered the request for inclusion of patients with 3 copies of SMN2 was not adequately supported, and at the requested price ONA was unlikely to be cost-effective in these patients. The PBAC considered that the cost</w:t>
            </w:r>
            <w:r w:rsidRPr="00930231">
              <w:rPr>
                <w:rFonts w:ascii="Arial" w:hAnsi="Arial" w:cs="Arial"/>
                <w:sz w:val="18"/>
                <w:szCs w:val="18"/>
              </w:rPr>
              <w:noBreakHyphen/>
              <w:t>minimisation analysis for ONA versus NUSI</w:t>
            </w:r>
            <w:r w:rsidRPr="007151F7">
              <w:rPr>
                <w:rFonts w:ascii="Arial" w:hAnsi="Arial" w:cs="Arial"/>
                <w:sz w:val="18"/>
                <w:szCs w:val="18"/>
              </w:rPr>
              <w:t xml:space="preserve"> should be revised to take into account discounting of costs in the forward years, and an analysis versus risdiplam (as a near market comparator) should also be presented. The PBAC considered that the proposal</w:t>
            </w:r>
            <w:r w:rsidR="00C8588B">
              <w:rPr>
                <w:rFonts w:ascii="Arial" w:hAnsi="Arial" w:cs="Arial"/>
                <w:sz w:val="18"/>
                <w:szCs w:val="18"/>
              </w:rPr>
              <w:t>,</w:t>
            </w:r>
            <w:r w:rsidRPr="007151F7">
              <w:rPr>
                <w:rFonts w:ascii="Arial" w:hAnsi="Arial" w:cs="Arial"/>
                <w:sz w:val="18"/>
                <w:szCs w:val="18"/>
              </w:rPr>
              <w:t xml:space="preserve"> which was conditional on an upfront payment with no outcomes-based measures</w:t>
            </w:r>
            <w:r w:rsidR="00C8588B">
              <w:rPr>
                <w:rFonts w:ascii="Arial" w:hAnsi="Arial" w:cs="Arial"/>
                <w:sz w:val="18"/>
                <w:szCs w:val="18"/>
              </w:rPr>
              <w:t>,</w:t>
            </w:r>
            <w:r w:rsidRPr="007151F7">
              <w:rPr>
                <w:rFonts w:ascii="Arial" w:hAnsi="Arial" w:cs="Arial"/>
                <w:sz w:val="18"/>
                <w:szCs w:val="18"/>
              </w:rPr>
              <w:t xml:space="preserve"> did not adequately address the uncertainties with the clinical evidence and associated cost-effectiveness. </w:t>
            </w:r>
          </w:p>
        </w:tc>
      </w:tr>
      <w:tr w:rsidR="007151F7" w:rsidRPr="00687774" w14:paraId="05C0DB3B" w14:textId="77777777" w:rsidTr="003F09E3">
        <w:trPr>
          <w:trHeight w:val="999"/>
        </w:trPr>
        <w:tc>
          <w:tcPr>
            <w:tcW w:w="874" w:type="pct"/>
            <w:vMerge/>
            <w:tcBorders>
              <w:left w:val="single" w:sz="4" w:space="0" w:color="auto"/>
              <w:bottom w:val="single" w:sz="4" w:space="0" w:color="auto"/>
              <w:right w:val="nil"/>
            </w:tcBorders>
            <w:shd w:val="clear" w:color="auto" w:fill="auto"/>
            <w:tcMar>
              <w:top w:w="28" w:type="dxa"/>
              <w:bottom w:w="28" w:type="dxa"/>
            </w:tcMar>
          </w:tcPr>
          <w:p w14:paraId="54ACF3BA" w14:textId="77777777" w:rsidR="007151F7" w:rsidRPr="001F0DC4" w:rsidRDefault="007151F7" w:rsidP="007151F7">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0A0EF7DF" w14:textId="77777777" w:rsidR="007151F7" w:rsidRDefault="007151F7" w:rsidP="007151F7">
            <w:pPr>
              <w:widowControl w:val="0"/>
              <w:rPr>
                <w:rFonts w:ascii="Arial" w:hAnsi="Arial" w:cs="Arial"/>
                <w:snapToGrid w:val="0"/>
                <w:sz w:val="18"/>
                <w:szCs w:val="18"/>
                <w:lang w:eastAsia="en-US"/>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7B47DC8E" w14:textId="77777777" w:rsidR="007151F7" w:rsidRPr="00266815" w:rsidRDefault="007151F7" w:rsidP="007151F7">
            <w:pPr>
              <w:rPr>
                <w:rFonts w:ascii="Arial" w:hAnsi="Arial" w:cs="Arial"/>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0EE53CC8" w14:textId="77777777" w:rsidR="007151F7" w:rsidRDefault="007151F7" w:rsidP="007151F7">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0B598E9D" w14:textId="5CCF2DB7" w:rsidR="007151F7" w:rsidRPr="003F09E3" w:rsidRDefault="007151F7" w:rsidP="00790230">
            <w:pPr>
              <w:rPr>
                <w:rFonts w:ascii="Arial" w:eastAsiaTheme="minorHAnsi" w:hAnsi="Arial" w:cs="Arial"/>
                <w:sz w:val="18"/>
                <w:szCs w:val="18"/>
              </w:rPr>
            </w:pPr>
            <w:r w:rsidRPr="003F09E3">
              <w:rPr>
                <w:rFonts w:ascii="Arial" w:hAnsi="Arial" w:cs="Arial"/>
                <w:snapToGrid w:val="0"/>
                <w:sz w:val="18"/>
                <w:szCs w:val="18"/>
                <w:u w:val="single"/>
              </w:rPr>
              <w:t>Sponsor’s Comment:</w:t>
            </w:r>
            <w:r w:rsidR="003F09E3" w:rsidRPr="003F09E3">
              <w:rPr>
                <w:rFonts w:ascii="Arial" w:hAnsi="Arial" w:cs="Arial"/>
                <w:snapToGrid w:val="0"/>
                <w:sz w:val="18"/>
                <w:szCs w:val="18"/>
              </w:rPr>
              <w:t xml:space="preserve"> </w:t>
            </w:r>
            <w:r w:rsidR="003F09E3" w:rsidRPr="003F09E3">
              <w:rPr>
                <w:rFonts w:ascii="Arial" w:eastAsiaTheme="minorHAnsi" w:hAnsi="Arial" w:cs="Arial"/>
                <w:sz w:val="18"/>
                <w:szCs w:val="18"/>
              </w:rPr>
              <w:t xml:space="preserve">Novartis is disappointed at another deferral. Novartis has worked to find a resolution, meeting all requests made at the post-PBAC meeting around the comparator and offering a substantially discounted price package to balance the continued uncertainty felt by the PBAC. We remain committed to bringing Zolgensma to Australian babies with SMA and working with DOH and members of the PBAC to clarify further comparator, pricing and risk share arrangement concerns. </w:t>
            </w:r>
            <w:bookmarkStart w:id="0" w:name="_GoBack"/>
            <w:bookmarkEnd w:id="0"/>
          </w:p>
        </w:tc>
      </w:tr>
      <w:tr w:rsidR="00C77087" w:rsidRPr="00687774" w14:paraId="198504F9" w14:textId="77777777" w:rsidTr="00C77087">
        <w:trPr>
          <w:trHeight w:val="1013"/>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5B18A392" w14:textId="79E65752" w:rsidR="00C77087" w:rsidRPr="007B3F86" w:rsidRDefault="00C77087" w:rsidP="007151F7">
            <w:pPr>
              <w:rPr>
                <w:rFonts w:ascii="Arial" w:hAnsi="Arial" w:cs="Arial"/>
                <w:color w:val="000000"/>
                <w:sz w:val="18"/>
                <w:szCs w:val="18"/>
              </w:rPr>
            </w:pPr>
            <w:r>
              <w:rPr>
                <w:rFonts w:ascii="Arial" w:hAnsi="Arial" w:cs="Arial"/>
                <w:color w:val="000000"/>
                <w:sz w:val="18"/>
                <w:szCs w:val="18"/>
              </w:rPr>
              <w:lastRenderedPageBreak/>
              <w:t>TETRACOSACTIDE</w:t>
            </w:r>
          </w:p>
          <w:p w14:paraId="1B6DB18D" w14:textId="77777777" w:rsidR="00C77087" w:rsidRPr="001F0DC4" w:rsidRDefault="00C77087" w:rsidP="007151F7">
            <w:pPr>
              <w:rPr>
                <w:rFonts w:ascii="Arial" w:hAnsi="Arial" w:cs="Arial"/>
                <w:color w:val="000000"/>
                <w:sz w:val="18"/>
                <w:szCs w:val="18"/>
              </w:rPr>
            </w:pPr>
            <w:r w:rsidRPr="007B3F86">
              <w:rPr>
                <w:rFonts w:ascii="Arial" w:hAnsi="Arial" w:cs="Arial"/>
                <w:color w:val="000000"/>
                <w:sz w:val="18"/>
                <w:szCs w:val="18"/>
              </w:rPr>
              <w:br/>
            </w:r>
            <w:r w:rsidRPr="001F0DC4">
              <w:rPr>
                <w:rFonts w:ascii="Arial" w:hAnsi="Arial" w:cs="Arial"/>
                <w:color w:val="000000"/>
                <w:sz w:val="18"/>
                <w:szCs w:val="18"/>
              </w:rPr>
              <w:t>Compound depot injection</w:t>
            </w:r>
          </w:p>
          <w:p w14:paraId="5A413960" w14:textId="2130E60E" w:rsidR="00C77087" w:rsidRDefault="00C77087" w:rsidP="007151F7">
            <w:pPr>
              <w:rPr>
                <w:rFonts w:ascii="Arial" w:hAnsi="Arial" w:cs="Arial"/>
                <w:color w:val="000000"/>
                <w:sz w:val="18"/>
                <w:szCs w:val="18"/>
              </w:rPr>
            </w:pPr>
            <w:r w:rsidRPr="001F0DC4">
              <w:rPr>
                <w:rFonts w:ascii="Arial" w:hAnsi="Arial" w:cs="Arial"/>
                <w:color w:val="000000"/>
                <w:sz w:val="18"/>
                <w:szCs w:val="18"/>
              </w:rPr>
              <w:t>1 mg in 1 mL</w:t>
            </w:r>
          </w:p>
          <w:p w14:paraId="6BF65E61" w14:textId="77777777" w:rsidR="00C77087" w:rsidRPr="001F0DC4" w:rsidRDefault="00C77087" w:rsidP="007151F7">
            <w:pPr>
              <w:rPr>
                <w:rFonts w:ascii="Arial" w:hAnsi="Arial" w:cs="Arial"/>
                <w:color w:val="000000"/>
                <w:sz w:val="18"/>
                <w:szCs w:val="18"/>
              </w:rPr>
            </w:pPr>
          </w:p>
          <w:p w14:paraId="1342F8D6" w14:textId="2AF58D89" w:rsidR="00C77087" w:rsidRDefault="00C77087" w:rsidP="007151F7">
            <w:pPr>
              <w:rPr>
                <w:rFonts w:ascii="Arial" w:hAnsi="Arial" w:cs="Arial"/>
                <w:color w:val="000000"/>
                <w:sz w:val="18"/>
                <w:szCs w:val="18"/>
              </w:rPr>
            </w:pPr>
            <w:r w:rsidRPr="001F0DC4">
              <w:rPr>
                <w:rFonts w:ascii="Arial" w:hAnsi="Arial" w:cs="Arial"/>
                <w:color w:val="000000"/>
                <w:sz w:val="18"/>
                <w:szCs w:val="18"/>
              </w:rPr>
              <w:t>Synacthen®</w:t>
            </w:r>
          </w:p>
          <w:p w14:paraId="29437FC9" w14:textId="77777777" w:rsidR="00C77087" w:rsidRPr="001F0DC4" w:rsidRDefault="00C77087" w:rsidP="007151F7">
            <w:pPr>
              <w:rPr>
                <w:rFonts w:ascii="Arial" w:hAnsi="Arial" w:cs="Arial"/>
                <w:color w:val="000000"/>
                <w:sz w:val="18"/>
                <w:szCs w:val="18"/>
              </w:rPr>
            </w:pPr>
          </w:p>
          <w:p w14:paraId="0B50DEDF" w14:textId="5E2DA520" w:rsidR="00C77087" w:rsidRDefault="00C77087" w:rsidP="007151F7">
            <w:pPr>
              <w:rPr>
                <w:rFonts w:ascii="Arial" w:hAnsi="Arial" w:cs="Arial"/>
                <w:color w:val="000000"/>
                <w:sz w:val="18"/>
                <w:szCs w:val="18"/>
              </w:rPr>
            </w:pPr>
            <w:r w:rsidRPr="001F0DC4">
              <w:rPr>
                <w:rFonts w:ascii="Arial" w:hAnsi="Arial" w:cs="Arial"/>
                <w:color w:val="000000"/>
                <w:sz w:val="18"/>
                <w:szCs w:val="18"/>
              </w:rPr>
              <w:t>Clinect Pty Ltd</w:t>
            </w:r>
          </w:p>
          <w:p w14:paraId="1824A4DA" w14:textId="77777777" w:rsidR="00C77087" w:rsidRPr="001F0DC4" w:rsidRDefault="00C77087" w:rsidP="007151F7">
            <w:pPr>
              <w:rPr>
                <w:rFonts w:ascii="Arial" w:hAnsi="Arial" w:cs="Arial"/>
                <w:color w:val="000000"/>
                <w:sz w:val="18"/>
                <w:szCs w:val="18"/>
              </w:rPr>
            </w:pPr>
          </w:p>
          <w:p w14:paraId="3882BC2C" w14:textId="77777777" w:rsidR="00C77087" w:rsidRPr="001F0DC4" w:rsidRDefault="00C77087" w:rsidP="007151F7">
            <w:pPr>
              <w:rPr>
                <w:rFonts w:ascii="Arial" w:hAnsi="Arial" w:cs="Arial"/>
                <w:color w:val="000000"/>
                <w:sz w:val="18"/>
                <w:szCs w:val="18"/>
              </w:rPr>
            </w:pPr>
            <w:r w:rsidRPr="001F0DC4">
              <w:rPr>
                <w:rFonts w:ascii="Arial" w:hAnsi="Arial" w:cs="Arial"/>
                <w:color w:val="000000"/>
                <w:sz w:val="18"/>
                <w:szCs w:val="18"/>
              </w:rPr>
              <w:t>Change to PBS listing</w:t>
            </w:r>
          </w:p>
          <w:p w14:paraId="7738D57B" w14:textId="592C7DE8" w:rsidR="00C77087" w:rsidRPr="007D310A" w:rsidRDefault="00C77087" w:rsidP="007151F7">
            <w:pPr>
              <w:rPr>
                <w:rFonts w:ascii="Arial" w:hAnsi="Arial" w:cs="Arial"/>
                <w:sz w:val="18"/>
                <w:szCs w:val="18"/>
              </w:rPr>
            </w:pPr>
            <w:r>
              <w:rPr>
                <w:rFonts w:ascii="Arial" w:hAnsi="Arial" w:cs="Arial"/>
                <w:color w:val="000000"/>
                <w:sz w:val="18"/>
                <w:szCs w:val="18"/>
              </w:rPr>
              <w:t>(Matters Outstanding</w:t>
            </w:r>
            <w:r w:rsidRPr="001F0DC4">
              <w:rPr>
                <w:rFonts w:ascii="Arial" w:hAnsi="Arial" w:cs="Arial"/>
                <w:color w:val="000000"/>
                <w:sz w:val="18"/>
                <w:szCs w:val="18"/>
              </w:rPr>
              <w:t>)</w:t>
            </w:r>
          </w:p>
        </w:tc>
        <w:tc>
          <w:tcPr>
            <w:tcW w:w="552" w:type="pct"/>
            <w:vMerge w:val="restart"/>
            <w:tcBorders>
              <w:top w:val="single" w:sz="4" w:space="0" w:color="auto"/>
              <w:left w:val="single" w:sz="4" w:space="0" w:color="auto"/>
              <w:right w:val="single" w:sz="4" w:space="0" w:color="auto"/>
            </w:tcBorders>
            <w:shd w:val="clear" w:color="auto" w:fill="auto"/>
          </w:tcPr>
          <w:p w14:paraId="531B65BB" w14:textId="77777777" w:rsidR="00C77087" w:rsidRPr="001F0DC4" w:rsidRDefault="00C77087" w:rsidP="007151F7">
            <w:pPr>
              <w:widowControl w:val="0"/>
              <w:rPr>
                <w:rFonts w:ascii="Arial" w:hAnsi="Arial" w:cs="Arial"/>
                <w:color w:val="000000"/>
                <w:sz w:val="18"/>
                <w:szCs w:val="18"/>
              </w:rPr>
            </w:pPr>
            <w:r w:rsidRPr="001F0DC4">
              <w:rPr>
                <w:rFonts w:ascii="Arial" w:hAnsi="Arial" w:cs="Arial"/>
                <w:color w:val="000000"/>
                <w:sz w:val="18"/>
                <w:szCs w:val="18"/>
              </w:rPr>
              <w:t>Hypsarrhythmia</w:t>
            </w:r>
          </w:p>
          <w:p w14:paraId="5D1A9711" w14:textId="77777777" w:rsidR="00C77087" w:rsidRPr="001F0DC4" w:rsidRDefault="00C77087" w:rsidP="007151F7">
            <w:pPr>
              <w:widowControl w:val="0"/>
              <w:rPr>
                <w:rFonts w:ascii="Arial" w:hAnsi="Arial" w:cs="Arial"/>
                <w:color w:val="000000"/>
                <w:sz w:val="18"/>
                <w:szCs w:val="18"/>
              </w:rPr>
            </w:pPr>
            <w:r w:rsidRPr="001F0DC4">
              <w:rPr>
                <w:rFonts w:ascii="Arial" w:hAnsi="Arial" w:cs="Arial"/>
                <w:color w:val="000000"/>
                <w:sz w:val="18"/>
                <w:szCs w:val="18"/>
              </w:rPr>
              <w:t>and/or infantile</w:t>
            </w:r>
          </w:p>
          <w:p w14:paraId="5A62C372" w14:textId="602242BD" w:rsidR="00C77087" w:rsidRPr="007D310A" w:rsidRDefault="00C77087" w:rsidP="007151F7">
            <w:pPr>
              <w:widowControl w:val="0"/>
              <w:rPr>
                <w:rFonts w:ascii="Arial" w:hAnsi="Arial" w:cs="Arial"/>
                <w:snapToGrid w:val="0"/>
                <w:sz w:val="18"/>
                <w:szCs w:val="18"/>
                <w:lang w:eastAsia="en-US"/>
              </w:rPr>
            </w:pPr>
            <w:r w:rsidRPr="001F0DC4">
              <w:rPr>
                <w:rFonts w:ascii="Arial" w:hAnsi="Arial" w:cs="Arial"/>
                <w:color w:val="000000"/>
                <w:sz w:val="18"/>
                <w:szCs w:val="18"/>
              </w:rPr>
              <w:t>spasms</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19F0DEAF" w14:textId="0E4C81CE" w:rsidR="00C77087" w:rsidRPr="00862D65" w:rsidRDefault="00C77087" w:rsidP="007151F7">
            <w:pPr>
              <w:rPr>
                <w:rFonts w:ascii="Arial" w:hAnsi="Arial" w:cs="Arial"/>
                <w:i/>
                <w:sz w:val="18"/>
                <w:szCs w:val="18"/>
              </w:rPr>
            </w:pPr>
            <w:r w:rsidRPr="001D4E5E">
              <w:rPr>
                <w:rFonts w:ascii="Arial" w:hAnsi="Arial" w:cs="Arial"/>
                <w:color w:val="000000"/>
                <w:sz w:val="18"/>
                <w:szCs w:val="18"/>
              </w:rPr>
              <w:t>To request a change in restriction level from Restricted Benefit to Unrestricted Benefit listing.</w:t>
            </w:r>
          </w:p>
        </w:tc>
        <w:tc>
          <w:tcPr>
            <w:tcW w:w="553" w:type="pct"/>
            <w:vMerge w:val="restart"/>
            <w:tcBorders>
              <w:top w:val="single" w:sz="4" w:space="0" w:color="auto"/>
              <w:left w:val="single" w:sz="4" w:space="0" w:color="auto"/>
              <w:right w:val="single" w:sz="4" w:space="0" w:color="auto"/>
            </w:tcBorders>
            <w:shd w:val="clear" w:color="auto" w:fill="auto"/>
          </w:tcPr>
          <w:p w14:paraId="489B9320" w14:textId="1BD8107B" w:rsidR="00C77087" w:rsidRPr="007D310A" w:rsidRDefault="00C77087" w:rsidP="007151F7">
            <w:pPr>
              <w:pStyle w:val="ListParagraph"/>
              <w:ind w:left="0"/>
              <w:rPr>
                <w:rFonts w:ascii="Arial" w:hAnsi="Arial" w:cs="Arial"/>
                <w:snapToGrid w:val="0"/>
                <w:sz w:val="18"/>
                <w:szCs w:val="18"/>
                <w:lang w:eastAsia="en-US"/>
              </w:rPr>
            </w:pPr>
            <w:r>
              <w:rPr>
                <w:rFonts w:ascii="Arial" w:hAnsi="Arial" w:cs="Arial"/>
                <w:color w:val="000000"/>
                <w:sz w:val="18"/>
                <w:szCs w:val="18"/>
              </w:rPr>
              <w:t>Advice given</w:t>
            </w:r>
          </w:p>
        </w:tc>
        <w:tc>
          <w:tcPr>
            <w:tcW w:w="2146" w:type="pct"/>
            <w:tcBorders>
              <w:top w:val="single" w:sz="4" w:space="0" w:color="auto"/>
              <w:bottom w:val="single" w:sz="4" w:space="0" w:color="auto"/>
            </w:tcBorders>
            <w:shd w:val="clear" w:color="auto" w:fill="auto"/>
          </w:tcPr>
          <w:p w14:paraId="13680B45" w14:textId="47BBD403" w:rsidR="00C77087" w:rsidRPr="007D310A" w:rsidRDefault="00C77087" w:rsidP="007151F7">
            <w:pPr>
              <w:spacing w:after="120"/>
              <w:rPr>
                <w:rFonts w:ascii="Arial" w:hAnsi="Arial" w:cs="Arial"/>
                <w:color w:val="000000"/>
                <w:sz w:val="18"/>
                <w:szCs w:val="18"/>
              </w:rPr>
            </w:pPr>
            <w:r w:rsidRPr="008477B4">
              <w:rPr>
                <w:rFonts w:ascii="Arial" w:hAnsi="Arial" w:cs="Arial"/>
                <w:color w:val="000000"/>
                <w:sz w:val="18"/>
                <w:szCs w:val="18"/>
              </w:rPr>
              <w:t>The PBAC advised that the delisting of tetracosactide would result in an unmet clinical need for patients with hypsarrhythmia and/or infantile spasms. The PBAC noted that there is no clinical need for tetracosactide in the treatment of multiple sclerosis and considered that the current restriction for the treatment of hypsarrhythmia and/or infantile spasms should remain unchanged.</w:t>
            </w:r>
          </w:p>
        </w:tc>
      </w:tr>
      <w:tr w:rsidR="00C77087" w:rsidRPr="00687774" w14:paraId="296B1987" w14:textId="77777777" w:rsidTr="00C77087">
        <w:trPr>
          <w:trHeight w:val="1362"/>
        </w:trPr>
        <w:tc>
          <w:tcPr>
            <w:tcW w:w="874" w:type="pct"/>
            <w:vMerge/>
            <w:tcBorders>
              <w:left w:val="single" w:sz="4" w:space="0" w:color="auto"/>
              <w:bottom w:val="single" w:sz="4" w:space="0" w:color="auto"/>
              <w:right w:val="nil"/>
            </w:tcBorders>
            <w:shd w:val="clear" w:color="auto" w:fill="auto"/>
            <w:tcMar>
              <w:top w:w="28" w:type="dxa"/>
              <w:bottom w:w="28" w:type="dxa"/>
            </w:tcMar>
          </w:tcPr>
          <w:p w14:paraId="075DC794" w14:textId="77777777" w:rsidR="00C77087" w:rsidRDefault="00C77087" w:rsidP="007151F7">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33BE1EAE" w14:textId="77777777" w:rsidR="00C77087" w:rsidRPr="001F0DC4" w:rsidRDefault="00C77087" w:rsidP="007151F7">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1FABCF9B" w14:textId="77777777" w:rsidR="00C77087" w:rsidRPr="001D4E5E" w:rsidRDefault="00C77087" w:rsidP="007151F7">
            <w:pPr>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1D483159" w14:textId="77777777" w:rsidR="00C77087" w:rsidRDefault="00C77087" w:rsidP="007151F7">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426927D1" w14:textId="12321BF5" w:rsidR="00C77087" w:rsidRPr="002B6710" w:rsidRDefault="00C77087" w:rsidP="007151F7">
            <w:pPr>
              <w:spacing w:after="120"/>
              <w:rPr>
                <w:rFonts w:ascii="Arial" w:hAnsi="Arial" w:cs="Arial"/>
                <w:snapToGrid w:val="0"/>
                <w:sz w:val="18"/>
                <w:szCs w:val="18"/>
                <w:lang w:eastAsia="en-US"/>
              </w:rPr>
            </w:pPr>
            <w:r w:rsidRPr="007D310A">
              <w:rPr>
                <w:rFonts w:ascii="Arial" w:hAnsi="Arial" w:cs="Arial"/>
                <w:snapToGrid w:val="0"/>
                <w:sz w:val="18"/>
                <w:szCs w:val="18"/>
                <w:u w:val="single"/>
                <w:lang w:eastAsia="en-US"/>
              </w:rPr>
              <w:t>Sponsor’s Comment:</w:t>
            </w:r>
            <w:r w:rsidR="002B6710">
              <w:rPr>
                <w:rFonts w:ascii="Arial" w:hAnsi="Arial" w:cs="Arial"/>
                <w:snapToGrid w:val="0"/>
                <w:sz w:val="18"/>
                <w:szCs w:val="18"/>
                <w:lang w:eastAsia="en-US"/>
              </w:rPr>
              <w:t xml:space="preserve"> The sponsor had no comment. </w:t>
            </w:r>
          </w:p>
          <w:p w14:paraId="31929E63" w14:textId="77777777" w:rsidR="00DD3AA2" w:rsidRDefault="00DD3AA2" w:rsidP="007151F7">
            <w:pPr>
              <w:spacing w:after="120"/>
              <w:rPr>
                <w:rFonts w:ascii="Arial" w:hAnsi="Arial" w:cs="Arial"/>
                <w:snapToGrid w:val="0"/>
                <w:sz w:val="18"/>
                <w:szCs w:val="18"/>
                <w:u w:val="single"/>
                <w:lang w:eastAsia="en-US"/>
              </w:rPr>
            </w:pPr>
          </w:p>
          <w:p w14:paraId="003682E9" w14:textId="77777777" w:rsidR="00DD3AA2" w:rsidRDefault="00DD3AA2" w:rsidP="007151F7">
            <w:pPr>
              <w:spacing w:after="120"/>
              <w:rPr>
                <w:rFonts w:ascii="Arial" w:hAnsi="Arial" w:cs="Arial"/>
                <w:snapToGrid w:val="0"/>
                <w:sz w:val="18"/>
                <w:szCs w:val="18"/>
                <w:u w:val="single"/>
                <w:lang w:eastAsia="en-US"/>
              </w:rPr>
            </w:pPr>
          </w:p>
          <w:p w14:paraId="3C1EC22E" w14:textId="77777777" w:rsidR="00DD3AA2" w:rsidRDefault="00DD3AA2" w:rsidP="007151F7">
            <w:pPr>
              <w:spacing w:after="120"/>
              <w:rPr>
                <w:rFonts w:ascii="Arial" w:hAnsi="Arial" w:cs="Arial"/>
                <w:snapToGrid w:val="0"/>
                <w:sz w:val="18"/>
                <w:szCs w:val="18"/>
                <w:u w:val="single"/>
                <w:lang w:eastAsia="en-US"/>
              </w:rPr>
            </w:pPr>
          </w:p>
          <w:p w14:paraId="7599D41B" w14:textId="4D0B0DD7" w:rsidR="00DD3AA2" w:rsidRPr="008477B4" w:rsidRDefault="00DD3AA2" w:rsidP="007151F7">
            <w:pPr>
              <w:spacing w:after="120"/>
              <w:rPr>
                <w:rFonts w:ascii="Arial" w:hAnsi="Arial" w:cs="Arial"/>
                <w:color w:val="000000"/>
                <w:sz w:val="18"/>
                <w:szCs w:val="18"/>
              </w:rPr>
            </w:pPr>
          </w:p>
        </w:tc>
      </w:tr>
    </w:tbl>
    <w:p w14:paraId="3045AE4A" w14:textId="4DDE76C0" w:rsidR="00AC2F56" w:rsidRDefault="00AC2F56">
      <w:pPr>
        <w:rPr>
          <w:sz w:val="18"/>
          <w:szCs w:val="18"/>
        </w:rPr>
      </w:pPr>
      <w:r w:rsidRPr="001D4E5E">
        <w:rPr>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2047"/>
        <w:gridCol w:w="3081"/>
        <w:gridCol w:w="7011"/>
      </w:tblGrid>
      <w:tr w:rsidR="007251DE" w:rsidRPr="001D4E5E" w14:paraId="2B7DBA22" w14:textId="77777777" w:rsidTr="00496BBD">
        <w:trPr>
          <w:trHeight w:val="706"/>
        </w:trPr>
        <w:tc>
          <w:tcPr>
            <w:tcW w:w="1056"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2B38D487" w14:textId="77777777" w:rsidR="007251DE" w:rsidRPr="001D4E5E" w:rsidRDefault="007251DE" w:rsidP="00496BBD">
            <w:pPr>
              <w:jc w:val="center"/>
              <w:rPr>
                <w:rFonts w:ascii="Arial" w:hAnsi="Arial" w:cs="Arial"/>
                <w:b/>
                <w:sz w:val="18"/>
                <w:szCs w:val="18"/>
              </w:rPr>
            </w:pPr>
            <w:r w:rsidRPr="001D4E5E">
              <w:rPr>
                <w:rFonts w:ascii="Arial" w:hAnsi="Arial" w:cs="Arial"/>
                <w:b/>
                <w:sz w:val="18"/>
                <w:szCs w:val="18"/>
              </w:rPr>
              <w:lastRenderedPageBreak/>
              <w:t>DRUG NAME, FORM(S), STRENGTH(S), SPONSOR, TYPE OF SUBMISSION</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E3E0EC4" w14:textId="77777777" w:rsidR="007251DE" w:rsidRPr="001D4E5E" w:rsidRDefault="007251DE" w:rsidP="00496BBD">
            <w:pPr>
              <w:jc w:val="center"/>
              <w:rPr>
                <w:rFonts w:ascii="Arial" w:hAnsi="Arial" w:cs="Arial"/>
                <w:b/>
                <w:snapToGrid w:val="0"/>
                <w:sz w:val="18"/>
                <w:szCs w:val="18"/>
                <w:lang w:eastAsia="en-US"/>
              </w:rPr>
            </w:pPr>
            <w:r w:rsidRPr="001D4E5E">
              <w:rPr>
                <w:rFonts w:ascii="Arial" w:hAnsi="Arial" w:cs="Arial"/>
                <w:b/>
                <w:snapToGrid w:val="0"/>
                <w:sz w:val="18"/>
                <w:szCs w:val="18"/>
                <w:lang w:eastAsia="en-US"/>
              </w:rPr>
              <w:t>DRUG TYPE AND USE</w:t>
            </w:r>
          </w:p>
          <w:p w14:paraId="6DC9593B" w14:textId="77777777" w:rsidR="007251DE" w:rsidRPr="001D4E5E" w:rsidRDefault="007251DE" w:rsidP="00496BBD">
            <w:pPr>
              <w:jc w:val="center"/>
              <w:rPr>
                <w:rFonts w:ascii="Arial" w:hAnsi="Arial" w:cs="Arial"/>
                <w:b/>
                <w:snapToGrid w:val="0"/>
                <w:sz w:val="18"/>
                <w:szCs w:val="18"/>
                <w:lang w:eastAsia="en-US"/>
              </w:rPr>
            </w:pPr>
          </w:p>
        </w:tc>
        <w:tc>
          <w:tcPr>
            <w:tcW w:w="1001"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60711914" w14:textId="77777777" w:rsidR="007251DE" w:rsidRPr="001D4E5E" w:rsidRDefault="007251DE" w:rsidP="00496BBD">
            <w:pPr>
              <w:jc w:val="center"/>
              <w:rPr>
                <w:rFonts w:ascii="Arial" w:hAnsi="Arial" w:cs="Arial"/>
                <w:b/>
                <w:snapToGrid w:val="0"/>
                <w:sz w:val="18"/>
                <w:szCs w:val="18"/>
                <w:lang w:eastAsia="en-US"/>
              </w:rPr>
            </w:pPr>
            <w:r w:rsidRPr="001D4E5E">
              <w:rPr>
                <w:rFonts w:ascii="Arial" w:hAnsi="Arial" w:cs="Arial"/>
                <w:b/>
                <w:snapToGrid w:val="0"/>
                <w:sz w:val="18"/>
                <w:szCs w:val="18"/>
                <w:lang w:eastAsia="en-US"/>
              </w:rPr>
              <w:t>LISTING REQUESTED BY SPONSOR / PURPOSE OF SUBMISSION</w:t>
            </w:r>
          </w:p>
        </w:tc>
        <w:tc>
          <w:tcPr>
            <w:tcW w:w="2278" w:type="pct"/>
            <w:tcBorders>
              <w:top w:val="single" w:sz="4" w:space="0" w:color="auto"/>
              <w:left w:val="single" w:sz="4" w:space="0" w:color="auto"/>
              <w:bottom w:val="single" w:sz="4" w:space="0" w:color="auto"/>
              <w:right w:val="single" w:sz="4" w:space="0" w:color="auto"/>
            </w:tcBorders>
          </w:tcPr>
          <w:p w14:paraId="6DDBFCCA" w14:textId="13D89484" w:rsidR="007251DE" w:rsidRPr="001D4E5E" w:rsidRDefault="007251DE" w:rsidP="00496BBD">
            <w:pPr>
              <w:jc w:val="center"/>
              <w:rPr>
                <w:rFonts w:ascii="Arial" w:hAnsi="Arial" w:cs="Arial"/>
                <w:b/>
                <w:snapToGrid w:val="0"/>
                <w:sz w:val="18"/>
                <w:szCs w:val="18"/>
                <w:lang w:eastAsia="en-US"/>
              </w:rPr>
            </w:pPr>
            <w:r w:rsidRPr="001D4E5E">
              <w:rPr>
                <w:rFonts w:ascii="Arial" w:hAnsi="Arial" w:cs="Arial"/>
                <w:b/>
                <w:snapToGrid w:val="0"/>
                <w:sz w:val="18"/>
                <w:szCs w:val="18"/>
                <w:lang w:eastAsia="en-US"/>
              </w:rPr>
              <w:t xml:space="preserve">PBAC </w:t>
            </w:r>
            <w:r w:rsidR="008C181F">
              <w:rPr>
                <w:rFonts w:ascii="Arial" w:hAnsi="Arial" w:cs="Arial"/>
                <w:b/>
                <w:snapToGrid w:val="0"/>
                <w:sz w:val="18"/>
                <w:szCs w:val="18"/>
                <w:lang w:eastAsia="en-US"/>
              </w:rPr>
              <w:t>OUTCOME</w:t>
            </w:r>
          </w:p>
        </w:tc>
      </w:tr>
      <w:tr w:rsidR="00300E16" w:rsidRPr="00EF0D4E" w14:paraId="0EECAA46" w14:textId="77777777" w:rsidTr="00496BBD">
        <w:trPr>
          <w:trHeight w:val="1100"/>
        </w:trPr>
        <w:tc>
          <w:tcPr>
            <w:tcW w:w="1056"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13E79234" w14:textId="277259D7" w:rsidR="00300E16" w:rsidRPr="00087CA8" w:rsidRDefault="00C8588B" w:rsidP="00300E16">
            <w:pPr>
              <w:rPr>
                <w:rFonts w:ascii="Arial" w:hAnsi="Arial" w:cs="Arial"/>
                <w:sz w:val="18"/>
                <w:szCs w:val="18"/>
              </w:rPr>
            </w:pPr>
            <w:r>
              <w:rPr>
                <w:rFonts w:ascii="Arial" w:hAnsi="Arial" w:cs="Arial"/>
                <w:sz w:val="18"/>
                <w:szCs w:val="18"/>
              </w:rPr>
              <w:t>INFLIXIMAB</w:t>
            </w:r>
          </w:p>
          <w:p w14:paraId="38C86757" w14:textId="3E8F24A1" w:rsidR="00300E16" w:rsidRPr="00087CA8" w:rsidRDefault="00300E16" w:rsidP="00300E16">
            <w:pPr>
              <w:rPr>
                <w:rFonts w:ascii="Arial" w:hAnsi="Arial" w:cs="Arial"/>
                <w:sz w:val="18"/>
                <w:szCs w:val="18"/>
                <w:highlight w:val="yellow"/>
              </w:rPr>
            </w:pPr>
          </w:p>
          <w:p w14:paraId="3246C588" w14:textId="77777777" w:rsidR="00300E16" w:rsidRPr="00087CA8" w:rsidRDefault="00300E16" w:rsidP="00300E16">
            <w:pPr>
              <w:widowControl w:val="0"/>
              <w:rPr>
                <w:rFonts w:ascii="Arial" w:hAnsi="Arial" w:cs="Arial"/>
                <w:snapToGrid w:val="0"/>
                <w:sz w:val="18"/>
                <w:szCs w:val="18"/>
                <w:lang w:eastAsia="en-US"/>
              </w:rPr>
            </w:pPr>
            <w:r w:rsidRPr="00087CA8">
              <w:rPr>
                <w:rFonts w:ascii="Arial" w:hAnsi="Arial" w:cs="Arial"/>
                <w:snapToGrid w:val="0"/>
                <w:sz w:val="18"/>
                <w:szCs w:val="18"/>
                <w:lang w:eastAsia="en-US"/>
              </w:rPr>
              <w:t>100 mg powder for  injection</w:t>
            </w:r>
          </w:p>
          <w:p w14:paraId="5D74DE24" w14:textId="40CB43CC" w:rsidR="00300E16" w:rsidRDefault="00300E16" w:rsidP="00300E16">
            <w:pPr>
              <w:rPr>
                <w:rFonts w:ascii="Arial" w:hAnsi="Arial" w:cs="Arial"/>
                <w:sz w:val="18"/>
                <w:szCs w:val="18"/>
              </w:rPr>
            </w:pPr>
          </w:p>
          <w:p w14:paraId="331760D4" w14:textId="47F0287E" w:rsidR="00300E16" w:rsidRDefault="00300E16" w:rsidP="00300E16">
            <w:pPr>
              <w:rPr>
                <w:rFonts w:ascii="Arial" w:hAnsi="Arial" w:cs="Arial"/>
                <w:sz w:val="18"/>
                <w:szCs w:val="18"/>
              </w:rPr>
            </w:pPr>
            <w:r>
              <w:rPr>
                <w:rFonts w:ascii="Arial" w:hAnsi="Arial" w:cs="Arial"/>
                <w:sz w:val="18"/>
                <w:szCs w:val="18"/>
              </w:rPr>
              <w:t>Inflectra®</w:t>
            </w:r>
          </w:p>
          <w:p w14:paraId="23210D66" w14:textId="03F27EA9" w:rsidR="00300E16" w:rsidRDefault="00300E16" w:rsidP="00300E16">
            <w:pPr>
              <w:rPr>
                <w:rFonts w:ascii="Arial" w:hAnsi="Arial" w:cs="Arial"/>
                <w:sz w:val="18"/>
                <w:szCs w:val="18"/>
              </w:rPr>
            </w:pPr>
            <w:r>
              <w:rPr>
                <w:rFonts w:ascii="Arial" w:hAnsi="Arial" w:cs="Arial"/>
                <w:sz w:val="18"/>
                <w:szCs w:val="18"/>
              </w:rPr>
              <w:t xml:space="preserve">Pfizer Australia Pty Ltd </w:t>
            </w:r>
          </w:p>
          <w:p w14:paraId="7AA7266E" w14:textId="286D8461" w:rsidR="00300E16" w:rsidRDefault="00300E16" w:rsidP="00300E16">
            <w:pPr>
              <w:rPr>
                <w:rFonts w:ascii="Arial" w:hAnsi="Arial" w:cs="Arial"/>
                <w:sz w:val="18"/>
                <w:szCs w:val="18"/>
              </w:rPr>
            </w:pPr>
          </w:p>
          <w:p w14:paraId="25B65C04" w14:textId="6EC6354E" w:rsidR="00300E16" w:rsidRDefault="00300E16" w:rsidP="00300E16">
            <w:pPr>
              <w:rPr>
                <w:rFonts w:ascii="Arial" w:hAnsi="Arial" w:cs="Arial"/>
                <w:sz w:val="18"/>
                <w:szCs w:val="18"/>
              </w:rPr>
            </w:pPr>
            <w:r>
              <w:rPr>
                <w:rFonts w:ascii="Arial" w:hAnsi="Arial" w:cs="Arial"/>
                <w:sz w:val="18"/>
                <w:szCs w:val="18"/>
              </w:rPr>
              <w:t>Remicade®</w:t>
            </w:r>
          </w:p>
          <w:p w14:paraId="44F7E074" w14:textId="775B6E27" w:rsidR="00300E16" w:rsidRDefault="00300E16" w:rsidP="00300E16">
            <w:pPr>
              <w:rPr>
                <w:rFonts w:ascii="Arial" w:hAnsi="Arial" w:cs="Arial"/>
                <w:sz w:val="18"/>
                <w:szCs w:val="18"/>
              </w:rPr>
            </w:pPr>
            <w:r>
              <w:rPr>
                <w:rFonts w:ascii="Arial" w:hAnsi="Arial" w:cs="Arial"/>
                <w:sz w:val="18"/>
                <w:szCs w:val="18"/>
              </w:rPr>
              <w:t xml:space="preserve">Janssen-Cilag Pty Ltd </w:t>
            </w:r>
          </w:p>
          <w:p w14:paraId="44217FF5" w14:textId="77777777" w:rsidR="00300E16" w:rsidRDefault="00300E16" w:rsidP="00300E16">
            <w:pPr>
              <w:rPr>
                <w:rFonts w:ascii="Arial" w:hAnsi="Arial" w:cs="Arial"/>
                <w:sz w:val="18"/>
                <w:szCs w:val="18"/>
              </w:rPr>
            </w:pPr>
          </w:p>
          <w:p w14:paraId="14D6EAB0" w14:textId="77777777" w:rsidR="00300E16" w:rsidRDefault="00300E16" w:rsidP="00300E16">
            <w:pPr>
              <w:rPr>
                <w:rFonts w:ascii="Arial" w:hAnsi="Arial" w:cs="Arial"/>
                <w:sz w:val="18"/>
                <w:szCs w:val="18"/>
              </w:rPr>
            </w:pPr>
            <w:r>
              <w:rPr>
                <w:rFonts w:ascii="Arial" w:hAnsi="Arial" w:cs="Arial"/>
                <w:sz w:val="18"/>
                <w:szCs w:val="18"/>
              </w:rPr>
              <w:t>Renflexis®</w:t>
            </w:r>
          </w:p>
          <w:p w14:paraId="59CFE254" w14:textId="21C3C219" w:rsidR="00300E16" w:rsidRPr="00EF0D4E" w:rsidRDefault="00300E16" w:rsidP="00300E16">
            <w:pPr>
              <w:rPr>
                <w:rFonts w:ascii="Arial" w:hAnsi="Arial" w:cs="Arial"/>
                <w:sz w:val="18"/>
                <w:szCs w:val="18"/>
              </w:rPr>
            </w:pPr>
            <w:r>
              <w:rPr>
                <w:rFonts w:ascii="Arial" w:hAnsi="Arial" w:cs="Arial"/>
                <w:sz w:val="18"/>
                <w:szCs w:val="18"/>
              </w:rPr>
              <w:t xml:space="preserve">Organon Pharma Pty Ltd </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72A9D2A" w14:textId="1D391387" w:rsidR="00300E16" w:rsidRPr="00EF0D4E" w:rsidRDefault="00300E16" w:rsidP="00300E16">
            <w:pPr>
              <w:widowControl w:val="0"/>
              <w:rPr>
                <w:rFonts w:ascii="Arial" w:hAnsi="Arial" w:cs="Arial"/>
                <w:snapToGrid w:val="0"/>
                <w:sz w:val="18"/>
                <w:szCs w:val="18"/>
                <w:lang w:eastAsia="en-US"/>
              </w:rPr>
            </w:pPr>
            <w:r w:rsidRPr="00EF0D4E">
              <w:rPr>
                <w:rFonts w:ascii="Arial" w:hAnsi="Arial" w:cs="Arial"/>
                <w:sz w:val="18"/>
                <w:szCs w:val="18"/>
              </w:rPr>
              <w:t>Ulcerative colitis</w:t>
            </w:r>
          </w:p>
        </w:tc>
        <w:tc>
          <w:tcPr>
            <w:tcW w:w="1001"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62BD188A" w14:textId="77777777" w:rsidR="00300E16" w:rsidRPr="00EF0D4E" w:rsidRDefault="00300E16" w:rsidP="00300E16">
            <w:pPr>
              <w:rPr>
                <w:rFonts w:ascii="Arial" w:hAnsi="Arial" w:cs="Arial"/>
                <w:snapToGrid w:val="0"/>
                <w:sz w:val="18"/>
                <w:szCs w:val="18"/>
                <w:lang w:eastAsia="en-US"/>
              </w:rPr>
            </w:pPr>
            <w:r w:rsidRPr="00EF0D4E">
              <w:rPr>
                <w:rFonts w:ascii="Arial" w:hAnsi="Arial" w:cs="Arial"/>
                <w:snapToGrid w:val="0"/>
                <w:sz w:val="18"/>
                <w:szCs w:val="18"/>
                <w:lang w:eastAsia="en-US"/>
              </w:rPr>
              <w:t>To consider correspondence from Services Australia regarding whether patients treated under the acute severe restriction could transition to treatment under the moderate to severe restriction without having to first trial and fail other treatments.</w:t>
            </w:r>
          </w:p>
          <w:p w14:paraId="58DC1645" w14:textId="5FF8B177" w:rsidR="00300E16" w:rsidRPr="00EF0D4E" w:rsidRDefault="00300E16" w:rsidP="00300E16">
            <w:pPr>
              <w:rPr>
                <w:rFonts w:ascii="Arial" w:hAnsi="Arial" w:cs="Arial"/>
                <w:snapToGrid w:val="0"/>
                <w:sz w:val="18"/>
                <w:szCs w:val="18"/>
                <w:lang w:eastAsia="en-US"/>
              </w:rPr>
            </w:pPr>
          </w:p>
        </w:tc>
        <w:tc>
          <w:tcPr>
            <w:tcW w:w="2278" w:type="pct"/>
            <w:tcBorders>
              <w:top w:val="single" w:sz="4" w:space="0" w:color="auto"/>
              <w:left w:val="single" w:sz="4" w:space="0" w:color="auto"/>
              <w:bottom w:val="single" w:sz="4" w:space="0" w:color="auto"/>
              <w:right w:val="single" w:sz="4" w:space="0" w:color="auto"/>
            </w:tcBorders>
          </w:tcPr>
          <w:p w14:paraId="0E4F2FE2" w14:textId="087BE5F0" w:rsidR="00300E16" w:rsidRPr="00FE1191" w:rsidRDefault="00300E16" w:rsidP="00FE1191">
            <w:pPr>
              <w:pStyle w:val="4Bodytextnumbered"/>
              <w:ind w:left="22" w:hanging="22"/>
              <w:jc w:val="left"/>
              <w:rPr>
                <w:rFonts w:ascii="Arial" w:hAnsi="Arial" w:cs="Arial"/>
                <w:sz w:val="18"/>
                <w:szCs w:val="18"/>
              </w:rPr>
            </w:pPr>
            <w:r w:rsidRPr="00FE1191">
              <w:rPr>
                <w:rFonts w:ascii="Arial" w:hAnsi="Arial" w:cs="Arial"/>
                <w:sz w:val="18"/>
                <w:szCs w:val="18"/>
              </w:rPr>
              <w:t>The PBAC considered a request from treating physicians (via Services Australia) to allow patients treated with PBS-subsidised infliximab under the acute severe ulcerative colitis (ASUC) listing to subsequently transition to PBS-subsidised infliximab for the treatment of moderate to severe ulcerative colitis (MSUC) without having to demonstrate prior failure to alternative treatments</w:t>
            </w:r>
            <w:r w:rsidR="00FE1191">
              <w:rPr>
                <w:rFonts w:ascii="Arial" w:hAnsi="Arial" w:cs="Arial"/>
                <w:sz w:val="18"/>
                <w:szCs w:val="18"/>
              </w:rPr>
              <w:t>.</w:t>
            </w:r>
            <w:r w:rsidR="00FE1191">
              <w:rPr>
                <w:rFonts w:ascii="Arial" w:hAnsi="Arial" w:cs="Arial"/>
                <w:sz w:val="18"/>
                <w:szCs w:val="18"/>
              </w:rPr>
              <w:br/>
            </w:r>
            <w:r w:rsidR="00FE1191">
              <w:rPr>
                <w:rFonts w:ascii="Arial" w:hAnsi="Arial" w:cs="Arial"/>
                <w:sz w:val="18"/>
                <w:szCs w:val="18"/>
              </w:rPr>
              <w:br/>
            </w:r>
            <w:r w:rsidR="00FE1191" w:rsidRPr="00FE1191">
              <w:rPr>
                <w:rFonts w:ascii="Arial" w:hAnsi="Arial" w:cs="Arial"/>
                <w:sz w:val="18"/>
                <w:szCs w:val="18"/>
              </w:rPr>
              <w:t>The PBAC noted a ‘Review article: acute severe ulcerative colitis – evidence based consensus statements’ (J.-H Chen, et al.) from the Australian Inflammatory Bowel Disease Consensus Working Group (2016); and a ‘British Society of Gastroenterology consensus guidelines on the management of inflammatory bowel disease in adults’ in Gut (2019), and considered that although there is limited evidence of efficacy of subsequent treatment of infliximab following ASUC, infliximab is generally better tolerated than thiopurines.</w:t>
            </w:r>
            <w:r w:rsidR="00FE1191">
              <w:rPr>
                <w:rFonts w:ascii="Arial" w:hAnsi="Arial" w:cs="Arial"/>
                <w:sz w:val="18"/>
                <w:szCs w:val="18"/>
              </w:rPr>
              <w:br/>
            </w:r>
            <w:r w:rsidR="00FE1191">
              <w:rPr>
                <w:rFonts w:ascii="Arial" w:hAnsi="Arial" w:cs="Arial"/>
                <w:sz w:val="18"/>
                <w:szCs w:val="18"/>
              </w:rPr>
              <w:br/>
            </w:r>
            <w:r w:rsidR="00FE1191" w:rsidRPr="00FE1191">
              <w:rPr>
                <w:rFonts w:ascii="Arial" w:hAnsi="Arial" w:cs="Arial"/>
                <w:sz w:val="18"/>
                <w:szCs w:val="18"/>
              </w:rPr>
              <w:t>The PBAC also noted an advice from</w:t>
            </w:r>
            <w:r w:rsidR="00C8588B">
              <w:rPr>
                <w:rFonts w:ascii="Arial" w:hAnsi="Arial" w:cs="Arial"/>
                <w:sz w:val="18"/>
                <w:szCs w:val="18"/>
              </w:rPr>
              <w:t xml:space="preserve"> the Drug Utilisation Sub-Committee</w:t>
            </w:r>
            <w:r w:rsidR="00FE1191" w:rsidRPr="00FE1191">
              <w:rPr>
                <w:rFonts w:ascii="Arial" w:hAnsi="Arial" w:cs="Arial"/>
                <w:sz w:val="18"/>
                <w:szCs w:val="18"/>
              </w:rPr>
              <w:t xml:space="preserve"> </w:t>
            </w:r>
            <w:r w:rsidR="00C8588B">
              <w:rPr>
                <w:rFonts w:ascii="Arial" w:hAnsi="Arial" w:cs="Arial"/>
                <w:sz w:val="18"/>
                <w:szCs w:val="18"/>
              </w:rPr>
              <w:t>(</w:t>
            </w:r>
            <w:r w:rsidR="00FE1191" w:rsidRPr="00FE1191">
              <w:rPr>
                <w:rFonts w:ascii="Arial" w:hAnsi="Arial" w:cs="Arial"/>
                <w:sz w:val="18"/>
                <w:szCs w:val="18"/>
              </w:rPr>
              <w:t>DUSC</w:t>
            </w:r>
            <w:r w:rsidR="00C8588B">
              <w:rPr>
                <w:rFonts w:ascii="Arial" w:hAnsi="Arial" w:cs="Arial"/>
                <w:sz w:val="18"/>
                <w:szCs w:val="18"/>
              </w:rPr>
              <w:t>)</w:t>
            </w:r>
            <w:r w:rsidR="00FE1191" w:rsidRPr="00FE1191">
              <w:rPr>
                <w:rFonts w:ascii="Arial" w:hAnsi="Arial" w:cs="Arial"/>
                <w:sz w:val="18"/>
                <w:szCs w:val="18"/>
              </w:rPr>
              <w:t xml:space="preserve"> that around 15 per</w:t>
            </w:r>
            <w:r w:rsidR="00C8588B">
              <w:rPr>
                <w:rFonts w:ascii="Arial" w:hAnsi="Arial" w:cs="Arial"/>
                <w:sz w:val="18"/>
                <w:szCs w:val="18"/>
              </w:rPr>
              <w:t xml:space="preserve"> </w:t>
            </w:r>
            <w:r w:rsidR="00FE1191" w:rsidRPr="00FE1191">
              <w:rPr>
                <w:rFonts w:ascii="Arial" w:hAnsi="Arial" w:cs="Arial"/>
                <w:sz w:val="18"/>
                <w:szCs w:val="18"/>
              </w:rPr>
              <w:t>cent of patients that initiated PBS-subsidised infliximab in 2018 for ASUC went on to receive PBS-subsidised infliximab for MSUC at the time of analysis on 31 March 2021.</w:t>
            </w:r>
            <w:r w:rsidR="00FE1191">
              <w:rPr>
                <w:rFonts w:ascii="Arial" w:hAnsi="Arial" w:cs="Arial"/>
                <w:sz w:val="18"/>
                <w:szCs w:val="18"/>
              </w:rPr>
              <w:br/>
            </w:r>
            <w:r w:rsidR="00FE1191">
              <w:rPr>
                <w:rFonts w:ascii="Arial" w:hAnsi="Arial" w:cs="Arial"/>
                <w:sz w:val="18"/>
                <w:szCs w:val="18"/>
              </w:rPr>
              <w:br/>
            </w:r>
            <w:r w:rsidR="00FE1191" w:rsidRPr="00FE1191">
              <w:rPr>
                <w:rFonts w:ascii="Arial" w:hAnsi="Arial" w:cs="Arial"/>
                <w:sz w:val="18"/>
                <w:szCs w:val="18"/>
              </w:rPr>
              <w:t>The PBAC considered it is reasonable that ASUC patients who responded to PBS-subsidised infliximab for the treatment of ASUC in the 4 months prior to transition to PBS-subsidised infliximab for MSUC not having to demonstrate failure with pre-treatment with a 5-aminosalicylate oral preparation and one of azathioprine, 6-mercaptopurine or oral steroids</w:t>
            </w:r>
            <w:r w:rsidR="00FE1191">
              <w:rPr>
                <w:rFonts w:ascii="Arial" w:hAnsi="Arial" w:cs="Arial"/>
                <w:sz w:val="18"/>
                <w:szCs w:val="18"/>
              </w:rPr>
              <w:t>.</w:t>
            </w:r>
            <w:r w:rsidR="00FE1191">
              <w:rPr>
                <w:rFonts w:ascii="Arial" w:hAnsi="Arial" w:cs="Arial"/>
                <w:sz w:val="18"/>
                <w:szCs w:val="18"/>
              </w:rPr>
              <w:br/>
            </w:r>
            <w:r w:rsidR="00FE1191">
              <w:rPr>
                <w:rFonts w:ascii="Arial" w:hAnsi="Arial" w:cs="Arial"/>
                <w:sz w:val="18"/>
                <w:szCs w:val="18"/>
              </w:rPr>
              <w:br/>
            </w:r>
            <w:r w:rsidR="00FE1191" w:rsidRPr="00FE1191">
              <w:rPr>
                <w:rFonts w:ascii="Arial" w:hAnsi="Arial" w:cs="Arial"/>
                <w:sz w:val="18"/>
                <w:szCs w:val="18"/>
              </w:rPr>
              <w:t>The PBAC also considered that the eligibility of ongoing PBS-subsidised treatment with infliximab for this patient cohort requires to be assessed under the continuing restriction for the MSUC setting.</w:t>
            </w:r>
          </w:p>
        </w:tc>
      </w:tr>
      <w:tr w:rsidR="00300E16" w:rsidRPr="00EF0D4E" w14:paraId="61EB1CAA" w14:textId="77777777" w:rsidTr="00496BBD">
        <w:trPr>
          <w:trHeight w:val="1100"/>
        </w:trPr>
        <w:tc>
          <w:tcPr>
            <w:tcW w:w="1056"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2FAF5497" w14:textId="77777777" w:rsidR="00300E16" w:rsidRPr="00EF0D4E" w:rsidRDefault="00300E16" w:rsidP="00300E16">
            <w:pPr>
              <w:rPr>
                <w:rFonts w:ascii="Arial" w:hAnsi="Arial" w:cs="Arial"/>
                <w:sz w:val="18"/>
                <w:szCs w:val="18"/>
              </w:rPr>
            </w:pPr>
            <w:r w:rsidRPr="00EF0D4E">
              <w:rPr>
                <w:rFonts w:ascii="Arial" w:hAnsi="Arial" w:cs="Arial"/>
                <w:sz w:val="18"/>
                <w:szCs w:val="18"/>
              </w:rPr>
              <w:t>Systema</w:t>
            </w:r>
            <w:r>
              <w:rPr>
                <w:rFonts w:ascii="Arial" w:hAnsi="Arial" w:cs="Arial"/>
                <w:sz w:val="18"/>
                <w:szCs w:val="18"/>
              </w:rPr>
              <w:t>tic Review of treatments for Spinal Muscular Atrophy (SMA)</w:t>
            </w:r>
          </w:p>
          <w:p w14:paraId="1B459E85" w14:textId="75122C8F" w:rsidR="00300E16" w:rsidRPr="00087CA8" w:rsidRDefault="00300E16" w:rsidP="00300E16">
            <w:pPr>
              <w:rPr>
                <w:rFonts w:ascii="Arial" w:hAnsi="Arial" w:cs="Arial"/>
                <w:sz w:val="18"/>
                <w:szCs w:val="18"/>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8DF088A" w14:textId="32A40930" w:rsidR="00300E16" w:rsidRPr="00EF0D4E" w:rsidRDefault="00300E16" w:rsidP="00300E16">
            <w:pPr>
              <w:widowControl w:val="0"/>
              <w:rPr>
                <w:rFonts w:ascii="Arial" w:hAnsi="Arial" w:cs="Arial"/>
                <w:sz w:val="18"/>
                <w:szCs w:val="18"/>
              </w:rPr>
            </w:pPr>
            <w:r w:rsidRPr="00EF0D4E">
              <w:rPr>
                <w:rFonts w:ascii="Arial" w:hAnsi="Arial" w:cs="Arial"/>
                <w:snapToGrid w:val="0"/>
                <w:sz w:val="18"/>
                <w:szCs w:val="18"/>
                <w:lang w:eastAsia="en-US"/>
              </w:rPr>
              <w:t xml:space="preserve"> </w:t>
            </w:r>
            <w:r>
              <w:rPr>
                <w:rFonts w:ascii="Arial" w:hAnsi="Arial" w:cs="Arial"/>
                <w:snapToGrid w:val="0"/>
                <w:sz w:val="18"/>
                <w:szCs w:val="18"/>
                <w:lang w:eastAsia="en-US"/>
              </w:rPr>
              <w:t xml:space="preserve">SMA </w:t>
            </w:r>
          </w:p>
        </w:tc>
        <w:tc>
          <w:tcPr>
            <w:tcW w:w="1001"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7F57871F" w14:textId="5A0132AE" w:rsidR="00300E16" w:rsidRPr="00EF0D4E" w:rsidRDefault="00300E16" w:rsidP="00300E16">
            <w:pPr>
              <w:rPr>
                <w:rFonts w:ascii="Arial" w:hAnsi="Arial" w:cs="Arial"/>
                <w:snapToGrid w:val="0"/>
                <w:sz w:val="18"/>
                <w:szCs w:val="18"/>
                <w:lang w:eastAsia="en-US"/>
              </w:rPr>
            </w:pPr>
            <w:r w:rsidRPr="00EF0D4E">
              <w:rPr>
                <w:rFonts w:ascii="Arial" w:hAnsi="Arial" w:cs="Arial"/>
                <w:snapToGrid w:val="0"/>
                <w:sz w:val="18"/>
                <w:szCs w:val="18"/>
                <w:lang w:eastAsia="en-US"/>
              </w:rPr>
              <w:t>To request that the PBAC consider the Review and any comments from relevant Sponsors.</w:t>
            </w:r>
          </w:p>
        </w:tc>
        <w:tc>
          <w:tcPr>
            <w:tcW w:w="2278" w:type="pct"/>
            <w:tcBorders>
              <w:top w:val="single" w:sz="4" w:space="0" w:color="auto"/>
              <w:left w:val="single" w:sz="4" w:space="0" w:color="auto"/>
              <w:bottom w:val="single" w:sz="4" w:space="0" w:color="auto"/>
              <w:right w:val="single" w:sz="4" w:space="0" w:color="auto"/>
            </w:tcBorders>
          </w:tcPr>
          <w:p w14:paraId="5BE7AD2A" w14:textId="16D8A527" w:rsidR="00300E16" w:rsidRPr="00017889" w:rsidRDefault="00017889" w:rsidP="00C8588B">
            <w:pPr>
              <w:pStyle w:val="4Bodytextnumbered"/>
              <w:ind w:left="15" w:hanging="15"/>
              <w:jc w:val="left"/>
              <w:rPr>
                <w:rFonts w:ascii="Arial" w:hAnsi="Arial" w:cs="Arial"/>
                <w:sz w:val="18"/>
                <w:szCs w:val="18"/>
              </w:rPr>
            </w:pPr>
            <w:r w:rsidRPr="00017889">
              <w:rPr>
                <w:rFonts w:ascii="Arial" w:hAnsi="Arial" w:cs="Arial"/>
                <w:sz w:val="18"/>
                <w:szCs w:val="18"/>
              </w:rPr>
              <w:t xml:space="preserve">The PBAC considered </w:t>
            </w:r>
            <w:r w:rsidR="00C8588B">
              <w:rPr>
                <w:rFonts w:ascii="Arial" w:hAnsi="Arial" w:cs="Arial"/>
                <w:sz w:val="18"/>
                <w:szCs w:val="18"/>
              </w:rPr>
              <w:t>a</w:t>
            </w:r>
            <w:r w:rsidR="00C8588B" w:rsidRPr="00017889">
              <w:rPr>
                <w:rFonts w:ascii="Arial" w:hAnsi="Arial" w:cs="Arial"/>
                <w:sz w:val="18"/>
                <w:szCs w:val="18"/>
              </w:rPr>
              <w:t xml:space="preserve"> </w:t>
            </w:r>
            <w:r w:rsidRPr="00017889">
              <w:rPr>
                <w:rFonts w:ascii="Arial" w:hAnsi="Arial" w:cs="Arial"/>
                <w:sz w:val="18"/>
                <w:szCs w:val="18"/>
              </w:rPr>
              <w:t>systematic literature review on current and emerging treatments for SMA and the stakeholder comments received. The PBAC noted the review focused on the SMA treatments of nusinersen, branaplam, risdiplam and onasemnogene abeparvovec, and provided a summary of published data for these treatments as of January 2021. The PBAC acknowledged that Biogen was the only sponsor company thus far to consider a “whole of disease approach” to SMA</w:t>
            </w:r>
            <w:r>
              <w:rPr>
                <w:rFonts w:ascii="Arial" w:hAnsi="Arial" w:cs="Arial"/>
                <w:sz w:val="18"/>
                <w:szCs w:val="18"/>
              </w:rPr>
              <w:t xml:space="preserve"> treatment.</w:t>
            </w:r>
            <w:r>
              <w:rPr>
                <w:rFonts w:ascii="Arial" w:hAnsi="Arial" w:cs="Arial"/>
                <w:sz w:val="18"/>
                <w:szCs w:val="18"/>
              </w:rPr>
              <w:br/>
            </w:r>
            <w:r>
              <w:rPr>
                <w:rFonts w:ascii="Arial" w:hAnsi="Arial" w:cs="Arial"/>
                <w:sz w:val="18"/>
                <w:szCs w:val="18"/>
              </w:rPr>
              <w:br/>
            </w:r>
            <w:r w:rsidRPr="00017889">
              <w:rPr>
                <w:rFonts w:ascii="Arial" w:hAnsi="Arial" w:cs="Arial"/>
                <w:sz w:val="18"/>
                <w:szCs w:val="18"/>
              </w:rPr>
              <w:t xml:space="preserve">The PBAC noted that since the review was restricted to publically available information, the committee had considered the majority of the included clinical </w:t>
            </w:r>
            <w:r w:rsidRPr="00017889">
              <w:rPr>
                <w:rFonts w:ascii="Arial" w:hAnsi="Arial" w:cs="Arial"/>
                <w:sz w:val="18"/>
                <w:szCs w:val="18"/>
              </w:rPr>
              <w:lastRenderedPageBreak/>
              <w:t>evidence as part of its previous considerations of nusinersen, risdiplam and onasemnogene abeparvovec. The PBAC considered there were limitations with the review in terms of types of publications included, noting non peer reviewed publications (for e.g. abstracts and company press releases) were included while reviews and indirect comparisons were excluded. While the PBAC noted indirect comparisons and reviews were excluded due to potential methodological issues with these types of analyses, it considered that an assessment of findings from these analyses and their limitations may have been informative.</w:t>
            </w:r>
            <w:r>
              <w:rPr>
                <w:rFonts w:ascii="Arial" w:hAnsi="Arial" w:cs="Arial"/>
                <w:sz w:val="18"/>
                <w:szCs w:val="18"/>
              </w:rPr>
              <w:br/>
            </w:r>
            <w:r>
              <w:rPr>
                <w:rFonts w:ascii="Arial" w:hAnsi="Arial" w:cs="Arial"/>
                <w:sz w:val="18"/>
                <w:szCs w:val="18"/>
              </w:rPr>
              <w:br/>
            </w:r>
            <w:r w:rsidRPr="00017889">
              <w:rPr>
                <w:rFonts w:ascii="Arial" w:hAnsi="Arial" w:cs="Arial"/>
                <w:sz w:val="18"/>
                <w:szCs w:val="18"/>
              </w:rPr>
              <w:t>Overall, the PBAC considered that the findings from the review contributed little to the Committee’s existing knowledge around SMA treatments, though the PBAC considered that the information provided about emerging longer term data for nusinersen and onasemnogene abeparvovec in paediat</w:t>
            </w:r>
            <w:r>
              <w:rPr>
                <w:rFonts w:ascii="Arial" w:hAnsi="Arial" w:cs="Arial"/>
                <w:sz w:val="18"/>
                <w:szCs w:val="18"/>
              </w:rPr>
              <w:t>ric patients was informative.</w:t>
            </w:r>
            <w:r>
              <w:rPr>
                <w:rFonts w:ascii="Arial" w:hAnsi="Arial" w:cs="Arial"/>
                <w:sz w:val="18"/>
                <w:szCs w:val="18"/>
              </w:rPr>
              <w:br/>
            </w:r>
            <w:r>
              <w:rPr>
                <w:rFonts w:ascii="Arial" w:hAnsi="Arial" w:cs="Arial"/>
                <w:sz w:val="18"/>
                <w:szCs w:val="18"/>
              </w:rPr>
              <w:br/>
            </w:r>
            <w:r w:rsidRPr="00017889">
              <w:rPr>
                <w:rFonts w:ascii="Arial" w:hAnsi="Arial" w:cs="Arial"/>
                <w:sz w:val="18"/>
                <w:szCs w:val="18"/>
              </w:rPr>
              <w:t>The PBAC noted that the clinical management of SMA was changing, increasingly based around SMN2 copy number(s) rather than just a focus on age of symptom onset or SMA type classification. The PBAC noted that this was a result of the changing SMA diagnostic and testing landscape. The PBAC considered that this may have implications for existing and future listings for SMA treatments, for which consideration may need to be given regarding consistency with current clinical practice.</w:t>
            </w:r>
          </w:p>
        </w:tc>
      </w:tr>
    </w:tbl>
    <w:p w14:paraId="1734A149" w14:textId="77777777" w:rsidR="00017889" w:rsidRDefault="00017889" w:rsidP="00EF3B9C">
      <w:pPr>
        <w:rPr>
          <w:rFonts w:ascii="Arial" w:hAnsi="Arial" w:cs="Arial"/>
          <w:b/>
          <w:sz w:val="18"/>
          <w:szCs w:val="18"/>
          <w:lang w:val="en-US"/>
        </w:rPr>
      </w:pPr>
    </w:p>
    <w:p w14:paraId="2866DA16" w14:textId="77777777" w:rsidR="00017889" w:rsidRDefault="00017889">
      <w:pPr>
        <w:rPr>
          <w:rFonts w:ascii="Arial" w:hAnsi="Arial" w:cs="Arial"/>
          <w:b/>
          <w:sz w:val="18"/>
          <w:szCs w:val="18"/>
          <w:lang w:val="en-US"/>
        </w:rPr>
      </w:pPr>
      <w:r>
        <w:rPr>
          <w:rFonts w:ascii="Arial" w:hAnsi="Arial" w:cs="Arial"/>
          <w:b/>
          <w:sz w:val="18"/>
          <w:szCs w:val="18"/>
          <w:lang w:val="en-US"/>
        </w:rPr>
        <w:br w:type="page"/>
      </w:r>
    </w:p>
    <w:p w14:paraId="6CE3C41E" w14:textId="591C293C" w:rsidR="00640C80" w:rsidRPr="001D4E5E" w:rsidRDefault="005A0A21" w:rsidP="00EF3B9C">
      <w:pPr>
        <w:rPr>
          <w:rFonts w:ascii="Arial" w:hAnsi="Arial" w:cs="Arial"/>
          <w:b/>
          <w:sz w:val="18"/>
          <w:szCs w:val="18"/>
          <w:lang w:val="en-US"/>
        </w:rPr>
      </w:pPr>
      <w:r w:rsidRPr="001D4E5E">
        <w:rPr>
          <w:rFonts w:ascii="Arial" w:hAnsi="Arial" w:cs="Arial"/>
          <w:b/>
          <w:sz w:val="18"/>
          <w:szCs w:val="18"/>
          <w:lang w:val="en-US"/>
        </w:rPr>
        <w:lastRenderedPageBreak/>
        <w:t>Resubmission pathways</w:t>
      </w:r>
    </w:p>
    <w:p w14:paraId="025CE011" w14:textId="77777777" w:rsidR="005A0A21" w:rsidRPr="001D4E5E" w:rsidRDefault="005A0A21" w:rsidP="00640C80">
      <w:pPr>
        <w:tabs>
          <w:tab w:val="left" w:pos="5210"/>
        </w:tabs>
        <w:rPr>
          <w:rFonts w:asciiTheme="minorHAnsi" w:hAnsiTheme="minorHAnsi" w:cstheme="minorHAnsi"/>
          <w:b/>
          <w:sz w:val="18"/>
          <w:szCs w:val="18"/>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687774" w14:paraId="1B32CA1F" w14:textId="77777777" w:rsidTr="004A3371">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1D4E5E" w:rsidRDefault="004A3371">
            <w:pPr>
              <w:rPr>
                <w:rFonts w:ascii="Arial" w:hAnsi="Arial" w:cs="Arial"/>
                <w:sz w:val="18"/>
                <w:szCs w:val="18"/>
              </w:rPr>
            </w:pPr>
            <w:r w:rsidRPr="001D4E5E">
              <w:rPr>
                <w:rFonts w:ascii="Arial" w:hAnsi="Arial" w:cs="Arial"/>
                <w:color w:val="333333"/>
                <w:sz w:val="18"/>
                <w:szCs w:val="18"/>
              </w:rPr>
              <w:t xml:space="preserve">*There are four different resubmission pathways available to applicants following a ‘not recommended’ PBAC outcome. Resubmission pathways are not available for submissions that receive a positive recommendation from the PBAC. </w:t>
            </w:r>
            <w:r w:rsidRPr="001D4E5E">
              <w:rPr>
                <w:rFonts w:ascii="Arial" w:hAnsi="Arial" w:cs="Arial"/>
                <w:sz w:val="18"/>
                <w:szCs w:val="18"/>
              </w:rPr>
              <w:t>The resubmission pathways are classified into the following categories:</w:t>
            </w:r>
          </w:p>
        </w:tc>
      </w:tr>
      <w:tr w:rsidR="004A3371" w:rsidRPr="00687774" w14:paraId="5A78A628"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1D4E5E" w:rsidRDefault="004A3371">
            <w:pPr>
              <w:spacing w:after="160" w:line="252" w:lineRule="auto"/>
              <w:contextualSpacing/>
              <w:rPr>
                <w:rFonts w:ascii="Arial" w:hAnsi="Arial" w:cs="Arial"/>
                <w:b/>
                <w:bCs/>
                <w:sz w:val="18"/>
                <w:szCs w:val="18"/>
              </w:rPr>
            </w:pPr>
            <w:r w:rsidRPr="001D4E5E">
              <w:rPr>
                <w:rFonts w:ascii="Arial" w:hAnsi="Arial" w:cs="Arial"/>
                <w:b/>
                <w:bCs/>
                <w:sz w:val="18"/>
                <w:szCs w:val="18"/>
              </w:rPr>
              <w:t>Standard re-entry</w:t>
            </w:r>
          </w:p>
          <w:p w14:paraId="14CD87B9" w14:textId="77777777" w:rsidR="004A3371" w:rsidRPr="001D4E5E" w:rsidRDefault="004A3371">
            <w:pPr>
              <w:spacing w:line="252" w:lineRule="auto"/>
              <w:rPr>
                <w:rFonts w:ascii="Arial" w:hAnsi="Arial" w:cs="Arial"/>
                <w:b/>
                <w:bCs/>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The Standard Re-entry Pathway is the default pathway for resubmissions and also applies where: </w:t>
            </w:r>
          </w:p>
          <w:p w14:paraId="430AF034" w14:textId="77777777"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chooses not to accept the PBAC nominated resubmission pathway; or </w:t>
            </w:r>
          </w:p>
          <w:p w14:paraId="15ADDEB3" w14:textId="3C3608FE"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1D4E5E" w:rsidRDefault="004A3371" w:rsidP="00F1210C">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decides to lodge later than the allowable timelines for the other pathways. </w:t>
            </w:r>
          </w:p>
        </w:tc>
      </w:tr>
      <w:tr w:rsidR="004A3371" w:rsidRPr="00687774" w14:paraId="46BDFCAF"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1D4E5E" w:rsidRDefault="004A3371">
            <w:pPr>
              <w:spacing w:after="160" w:line="252" w:lineRule="auto"/>
              <w:contextualSpacing/>
              <w:rPr>
                <w:rFonts w:ascii="Arial" w:hAnsi="Arial" w:cs="Arial"/>
                <w:b/>
                <w:bCs/>
                <w:sz w:val="18"/>
                <w:szCs w:val="18"/>
                <w:lang w:eastAsia="en-US"/>
              </w:rPr>
            </w:pPr>
            <w:r w:rsidRPr="001D4E5E">
              <w:rPr>
                <w:rFonts w:ascii="Arial" w:hAnsi="Arial" w:cs="Arial"/>
                <w:b/>
                <w:bCs/>
                <w:sz w:val="18"/>
                <w:szCs w:val="18"/>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77777777" w:rsidR="004A3371" w:rsidRPr="001D4E5E" w:rsidRDefault="004A3371">
            <w:pPr>
              <w:spacing w:after="160" w:line="252" w:lineRule="auto"/>
              <w:contextualSpacing/>
              <w:rPr>
                <w:rFonts w:ascii="Arial" w:hAnsi="Arial" w:cs="Arial"/>
                <w:color w:val="000000"/>
                <w:sz w:val="18"/>
                <w:szCs w:val="18"/>
              </w:rPr>
            </w:pPr>
            <w:r w:rsidRPr="001D4E5E">
              <w:rPr>
                <w:rFonts w:ascii="Arial" w:hAnsi="Arial" w:cs="Arial"/>
                <w:sz w:val="18"/>
                <w:szCs w:val="18"/>
              </w:rPr>
              <w:t>An Early Re-entry Pathway may be nominated by the PBAC where the PBAC considers that the remaining issues could be easily resolved and the medicine or vaccine does not represent HATV for the proposed population. Applicants who accept this pathway are eligible for PBAC consideration at the immediate next meeting.</w:t>
            </w:r>
          </w:p>
        </w:tc>
      </w:tr>
      <w:tr w:rsidR="004A3371" w:rsidRPr="00687774" w14:paraId="1A2475F2"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1D4E5E" w:rsidRDefault="004A3371">
            <w:pPr>
              <w:spacing w:line="252" w:lineRule="auto"/>
              <w:rPr>
                <w:rFonts w:ascii="Arial" w:hAnsi="Arial" w:cs="Arial"/>
                <w:b/>
                <w:bCs/>
                <w:sz w:val="18"/>
                <w:szCs w:val="18"/>
                <w:lang w:eastAsia="en-US"/>
              </w:rPr>
            </w:pPr>
            <w:r w:rsidRPr="001D4E5E">
              <w:rPr>
                <w:rFonts w:ascii="Arial" w:hAnsi="Arial" w:cs="Arial"/>
                <w:b/>
                <w:bCs/>
                <w:sz w:val="18"/>
                <w:szCs w:val="18"/>
              </w:rPr>
              <w:t>Early resolution pathway</w:t>
            </w:r>
          </w:p>
          <w:p w14:paraId="157D2C85" w14:textId="77777777" w:rsidR="004A3371" w:rsidRPr="001D4E5E" w:rsidRDefault="004A3371">
            <w:pPr>
              <w:rPr>
                <w:rFonts w:ascii="Arial" w:hAnsi="Arial" w:cs="Arial"/>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For medicines or vaccines deemed by the PBAC to represent High Added Therapeutic Value (HATV) AND where the PBAC considers that the remaining issues could be easily resolved, including when: </w:t>
            </w:r>
          </w:p>
          <w:p w14:paraId="6EC882B7" w14:textId="77777777" w:rsidR="004A3371" w:rsidRPr="001D4E5E" w:rsidRDefault="004A3371" w:rsidP="004A3371">
            <w:pPr>
              <w:pStyle w:val="ListParagraph"/>
              <w:numPr>
                <w:ilvl w:val="0"/>
                <w:numId w:val="47"/>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new clinical study data requiring evaluation is not considered necessary by the PBAC to support new clinical claims to be made in the resubmission; and </w:t>
            </w:r>
          </w:p>
          <w:p w14:paraId="1D4B869E" w14:textId="77777777" w:rsidR="004A3371" w:rsidRPr="001D4E5E" w:rsidRDefault="004A3371" w:rsidP="004A3371">
            <w:pPr>
              <w:pStyle w:val="ListParagraph"/>
              <w:numPr>
                <w:ilvl w:val="0"/>
                <w:numId w:val="47"/>
              </w:numPr>
              <w:autoSpaceDE w:val="0"/>
              <w:autoSpaceDN w:val="0"/>
              <w:spacing w:after="120"/>
              <w:contextualSpacing w:val="0"/>
              <w:rPr>
                <w:rFonts w:ascii="Arial" w:hAnsi="Arial" w:cs="Arial"/>
                <w:color w:val="000000"/>
                <w:sz w:val="18"/>
                <w:szCs w:val="18"/>
              </w:rPr>
            </w:pPr>
            <w:r w:rsidRPr="001D4E5E">
              <w:rPr>
                <w:rFonts w:ascii="Arial" w:hAnsi="Arial" w:cs="Arial"/>
                <w:color w:val="000000"/>
                <w:sz w:val="18"/>
                <w:szCs w:val="18"/>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1D4E5E" w:rsidRDefault="004A3371">
            <w:pPr>
              <w:pStyle w:val="NormalWeb"/>
              <w:spacing w:before="0" w:beforeAutospacing="0" w:after="0" w:afterAutospacing="0"/>
              <w:rPr>
                <w:rFonts w:ascii="Arial" w:hAnsi="Arial" w:cs="Arial"/>
                <w:sz w:val="18"/>
                <w:szCs w:val="18"/>
              </w:rPr>
            </w:pPr>
            <w:r w:rsidRPr="001D4E5E">
              <w:rPr>
                <w:rFonts w:ascii="Arial" w:hAnsi="Arial" w:cs="Arial"/>
                <w:sz w:val="18"/>
                <w:szCs w:val="18"/>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687774" w14:paraId="1CF59836"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1D4E5E" w:rsidRDefault="004A3371">
            <w:pPr>
              <w:rPr>
                <w:rFonts w:ascii="Arial" w:hAnsi="Arial" w:cs="Arial"/>
                <w:sz w:val="18"/>
                <w:szCs w:val="18"/>
              </w:rPr>
            </w:pPr>
            <w:r w:rsidRPr="001D4E5E">
              <w:rPr>
                <w:rFonts w:ascii="Arial" w:hAnsi="Arial" w:cs="Arial"/>
                <w:b/>
                <w:bCs/>
                <w:sz w:val="18"/>
                <w:szCs w:val="18"/>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1D4E5E" w:rsidRDefault="004A3371">
            <w:pPr>
              <w:autoSpaceDE w:val="0"/>
              <w:autoSpaceDN w:val="0"/>
              <w:rPr>
                <w:rFonts w:ascii="Arial" w:hAnsi="Arial" w:cs="Arial"/>
                <w:b/>
                <w:bCs/>
                <w:sz w:val="18"/>
                <w:szCs w:val="18"/>
                <w:highlight w:val="green"/>
              </w:rPr>
            </w:pPr>
            <w:r w:rsidRPr="001D4E5E">
              <w:rPr>
                <w:rFonts w:ascii="Arial" w:hAnsi="Arial" w:cs="Arial"/>
                <w:color w:val="000000"/>
                <w:sz w:val="18"/>
                <w:szCs w:val="18"/>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C843216" w:rsidR="00AD3477" w:rsidRPr="001D4E5E" w:rsidRDefault="00AD3477" w:rsidP="004A3371">
      <w:pPr>
        <w:tabs>
          <w:tab w:val="left" w:pos="5210"/>
        </w:tabs>
        <w:rPr>
          <w:rFonts w:asciiTheme="minorHAnsi" w:hAnsiTheme="minorHAnsi" w:cstheme="minorHAnsi"/>
          <w:sz w:val="18"/>
          <w:szCs w:val="18"/>
          <w:lang w:val="en-US"/>
        </w:rPr>
      </w:pPr>
    </w:p>
    <w:sectPr w:rsidR="00AD3477" w:rsidRPr="001D4E5E" w:rsidSect="00257615">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910F" w14:textId="77777777" w:rsidR="00762FCA" w:rsidRDefault="00762FCA">
      <w:r>
        <w:separator/>
      </w:r>
    </w:p>
  </w:endnote>
  <w:endnote w:type="continuationSeparator" w:id="0">
    <w:p w14:paraId="0B94B43F" w14:textId="77777777" w:rsidR="00762FCA" w:rsidRDefault="0076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7BCB" w14:textId="77777777" w:rsidR="00762FCA" w:rsidRDefault="00762FC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762FCA" w:rsidRDefault="00762FCA"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180A" w14:textId="34C5F7A6" w:rsidR="00762FCA" w:rsidRPr="00287C89" w:rsidRDefault="00762FCA"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790230">
      <w:rPr>
        <w:rStyle w:val="PageNumber"/>
        <w:rFonts w:ascii="Arial" w:hAnsi="Arial" w:cs="Arial"/>
        <w:noProof/>
      </w:rPr>
      <w:t>2</w:t>
    </w:r>
    <w:r w:rsidRPr="00287C89">
      <w:rPr>
        <w:rStyle w:val="PageNumber"/>
        <w:rFonts w:ascii="Arial" w:hAnsi="Arial" w:cs="Arial"/>
      </w:rPr>
      <w:fldChar w:fldCharType="end"/>
    </w:r>
  </w:p>
  <w:p w14:paraId="5DEC0542" w14:textId="77777777" w:rsidR="00762FCA" w:rsidRDefault="00762FCA" w:rsidP="00FE2A81">
    <w:pPr>
      <w:pStyle w:val="Footer"/>
      <w:ind w:right="360"/>
    </w:pPr>
  </w:p>
  <w:p w14:paraId="429295B6" w14:textId="77777777" w:rsidR="00762FCA" w:rsidRDefault="00762FCA"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1AF80" w14:textId="77777777" w:rsidR="00762FCA" w:rsidRDefault="00762FCA">
      <w:r>
        <w:separator/>
      </w:r>
    </w:p>
  </w:footnote>
  <w:footnote w:type="continuationSeparator" w:id="0">
    <w:p w14:paraId="7F846E8F" w14:textId="77777777" w:rsidR="00762FCA" w:rsidRDefault="0076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6D89" w14:textId="77777777" w:rsidR="00762FCA" w:rsidRPr="00571206" w:rsidRDefault="00762FCA" w:rsidP="00571206">
    <w:pPr>
      <w:autoSpaceDE w:val="0"/>
      <w:autoSpaceDN w:val="0"/>
      <w:adjustRightInd w:val="0"/>
      <w:rPr>
        <w:rFonts w:ascii="Arial" w:hAnsi="Arial" w:cs="Arial"/>
        <w:color w:val="000000"/>
        <w:sz w:val="24"/>
        <w:szCs w:val="24"/>
      </w:rPr>
    </w:pPr>
  </w:p>
  <w:p w14:paraId="117035EF" w14:textId="1E14CCFB" w:rsidR="00762FCA" w:rsidRDefault="00762FCA"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4CB8A6F9" w:rsidR="00762FCA" w:rsidRDefault="00762FCA" w:rsidP="00571206">
    <w:pPr>
      <w:pStyle w:val="Header"/>
      <w:jc w:val="center"/>
      <w:rPr>
        <w:rFonts w:ascii="Arial" w:hAnsi="Arial" w:cs="Arial"/>
        <w:b/>
      </w:rPr>
    </w:pPr>
    <w:r>
      <w:rPr>
        <w:rFonts w:ascii="Arial" w:hAnsi="Arial" w:cs="Arial"/>
        <w:b/>
      </w:rPr>
      <w:t>MA</w:t>
    </w:r>
    <w:r w:rsidR="008146C1">
      <w:rPr>
        <w:rFonts w:ascii="Arial" w:hAnsi="Arial" w:cs="Arial"/>
        <w:b/>
      </w:rPr>
      <w:t>Y</w:t>
    </w:r>
    <w:r>
      <w:rPr>
        <w:rFonts w:ascii="Arial" w:hAnsi="Arial" w:cs="Arial"/>
        <w:b/>
      </w:rPr>
      <w:t xml:space="preserve"> 2021 PBAC </w:t>
    </w:r>
    <w:r w:rsidR="008146C1">
      <w:rPr>
        <w:rFonts w:ascii="Arial" w:hAnsi="Arial" w:cs="Arial"/>
        <w:b/>
      </w:rPr>
      <w:t xml:space="preserve">INTRACYCLE </w:t>
    </w:r>
    <w:r>
      <w:rPr>
        <w:rFonts w:ascii="Arial" w:hAnsi="Arial" w:cs="Arial"/>
        <w:b/>
      </w:rPr>
      <w:t>MEETING</w:t>
    </w:r>
  </w:p>
  <w:p w14:paraId="0E28AC1B" w14:textId="77777777" w:rsidR="00762FCA" w:rsidRPr="0071356F" w:rsidRDefault="00762FCA"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410BE4"/>
    <w:multiLevelType w:val="hybridMultilevel"/>
    <w:tmpl w:val="F6D83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3"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5"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7" w15:restartNumberingAfterBreak="0">
    <w:nsid w:val="535B1360"/>
    <w:multiLevelType w:val="hybridMultilevel"/>
    <w:tmpl w:val="718C8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94066C"/>
    <w:multiLevelType w:val="hybridMultilevel"/>
    <w:tmpl w:val="9A80C8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2" w15:restartNumberingAfterBreak="0">
    <w:nsid w:val="5D3B7667"/>
    <w:multiLevelType w:val="hybridMultilevel"/>
    <w:tmpl w:val="8326B8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A428E5"/>
    <w:multiLevelType w:val="hybridMultilevel"/>
    <w:tmpl w:val="1F8CA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0"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35"/>
  </w:num>
  <w:num w:numId="4">
    <w:abstractNumId w:val="25"/>
  </w:num>
  <w:num w:numId="5">
    <w:abstractNumId w:val="13"/>
  </w:num>
  <w:num w:numId="6">
    <w:abstractNumId w:val="6"/>
  </w:num>
  <w:num w:numId="7">
    <w:abstractNumId w:val="3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1"/>
  </w:num>
  <w:num w:numId="11">
    <w:abstractNumId w:val="29"/>
  </w:num>
  <w:num w:numId="12">
    <w:abstractNumId w:val="31"/>
  </w:num>
  <w:num w:numId="13">
    <w:abstractNumId w:val="8"/>
  </w:num>
  <w:num w:numId="14">
    <w:abstractNumId w:val="30"/>
  </w:num>
  <w:num w:numId="15">
    <w:abstractNumId w:val="33"/>
  </w:num>
  <w:num w:numId="16">
    <w:abstractNumId w:val="26"/>
  </w:num>
  <w:num w:numId="17">
    <w:abstractNumId w:val="45"/>
  </w:num>
  <w:num w:numId="18">
    <w:abstractNumId w:val="47"/>
  </w:num>
  <w:num w:numId="19">
    <w:abstractNumId w:val="5"/>
  </w:num>
  <w:num w:numId="20">
    <w:abstractNumId w:val="14"/>
  </w:num>
  <w:num w:numId="21">
    <w:abstractNumId w:val="16"/>
  </w:num>
  <w:num w:numId="22">
    <w:abstractNumId w:val="43"/>
  </w:num>
  <w:num w:numId="23">
    <w:abstractNumId w:val="4"/>
  </w:num>
  <w:num w:numId="24">
    <w:abstractNumId w:val="19"/>
  </w:num>
  <w:num w:numId="25">
    <w:abstractNumId w:val="11"/>
  </w:num>
  <w:num w:numId="26">
    <w:abstractNumId w:val="9"/>
  </w:num>
  <w:num w:numId="27">
    <w:abstractNumId w:val="21"/>
  </w:num>
  <w:num w:numId="28">
    <w:abstractNumId w:val="23"/>
  </w:num>
  <w:num w:numId="29">
    <w:abstractNumId w:val="20"/>
  </w:num>
  <w:num w:numId="30">
    <w:abstractNumId w:val="46"/>
  </w:num>
  <w:num w:numId="31">
    <w:abstractNumId w:val="17"/>
  </w:num>
  <w:num w:numId="32">
    <w:abstractNumId w:val="39"/>
  </w:num>
  <w:num w:numId="33">
    <w:abstractNumId w:val="44"/>
  </w:num>
  <w:num w:numId="34">
    <w:abstractNumId w:val="42"/>
  </w:num>
  <w:num w:numId="35">
    <w:abstractNumId w:val="3"/>
  </w:num>
  <w:num w:numId="36">
    <w:abstractNumId w:val="40"/>
  </w:num>
  <w:num w:numId="37">
    <w:abstractNumId w:val="2"/>
  </w:num>
  <w:num w:numId="38">
    <w:abstractNumId w:val="18"/>
  </w:num>
  <w:num w:numId="39">
    <w:abstractNumId w:val="1"/>
  </w:num>
  <w:num w:numId="40">
    <w:abstractNumId w:val="27"/>
  </w:num>
  <w:num w:numId="41">
    <w:abstractNumId w:val="7"/>
  </w:num>
  <w:num w:numId="42">
    <w:abstractNumId w:val="32"/>
  </w:num>
  <w:num w:numId="43">
    <w:abstractNumId w:val="28"/>
  </w:num>
  <w:num w:numId="44">
    <w:abstractNumId w:val="38"/>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B1"/>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889"/>
    <w:rsid w:val="000179CE"/>
    <w:rsid w:val="00017CDE"/>
    <w:rsid w:val="00022361"/>
    <w:rsid w:val="000223D3"/>
    <w:rsid w:val="00022435"/>
    <w:rsid w:val="00022686"/>
    <w:rsid w:val="000228B1"/>
    <w:rsid w:val="00022BDB"/>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27A22"/>
    <w:rsid w:val="00030320"/>
    <w:rsid w:val="00030A49"/>
    <w:rsid w:val="00031946"/>
    <w:rsid w:val="000322EC"/>
    <w:rsid w:val="00032AB9"/>
    <w:rsid w:val="00033D0B"/>
    <w:rsid w:val="00034086"/>
    <w:rsid w:val="00034121"/>
    <w:rsid w:val="000350A9"/>
    <w:rsid w:val="00035472"/>
    <w:rsid w:val="000365B0"/>
    <w:rsid w:val="00036CF7"/>
    <w:rsid w:val="00037175"/>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50B"/>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CA8"/>
    <w:rsid w:val="00090385"/>
    <w:rsid w:val="00090D21"/>
    <w:rsid w:val="00090F42"/>
    <w:rsid w:val="00091262"/>
    <w:rsid w:val="00091269"/>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04"/>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A94"/>
    <w:rsid w:val="000C1BA1"/>
    <w:rsid w:val="000C219D"/>
    <w:rsid w:val="000C22B0"/>
    <w:rsid w:val="000C2786"/>
    <w:rsid w:val="000C2E72"/>
    <w:rsid w:val="000C2FFA"/>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156"/>
    <w:rsid w:val="000E1259"/>
    <w:rsid w:val="000E12D5"/>
    <w:rsid w:val="000E15F8"/>
    <w:rsid w:val="000E1E84"/>
    <w:rsid w:val="000E21D8"/>
    <w:rsid w:val="000E2360"/>
    <w:rsid w:val="000E2C73"/>
    <w:rsid w:val="000E2C8F"/>
    <w:rsid w:val="000E2EA3"/>
    <w:rsid w:val="000E31F7"/>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7038"/>
    <w:rsid w:val="00107219"/>
    <w:rsid w:val="001074AC"/>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5A6"/>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059"/>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C15"/>
    <w:rsid w:val="00153EE1"/>
    <w:rsid w:val="0015402E"/>
    <w:rsid w:val="001546E8"/>
    <w:rsid w:val="00154828"/>
    <w:rsid w:val="00155698"/>
    <w:rsid w:val="00155BC9"/>
    <w:rsid w:val="00155C11"/>
    <w:rsid w:val="00157D22"/>
    <w:rsid w:val="00157F62"/>
    <w:rsid w:val="001600EB"/>
    <w:rsid w:val="00160423"/>
    <w:rsid w:val="00161C25"/>
    <w:rsid w:val="00161CD7"/>
    <w:rsid w:val="0016312E"/>
    <w:rsid w:val="00163182"/>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5DCE"/>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4E5E"/>
    <w:rsid w:val="001D600F"/>
    <w:rsid w:val="001D6843"/>
    <w:rsid w:val="001D79BC"/>
    <w:rsid w:val="001E092F"/>
    <w:rsid w:val="001E0947"/>
    <w:rsid w:val="001E152C"/>
    <w:rsid w:val="001E17F9"/>
    <w:rsid w:val="001E24EA"/>
    <w:rsid w:val="001E25FF"/>
    <w:rsid w:val="001E35D6"/>
    <w:rsid w:val="001E411C"/>
    <w:rsid w:val="001E5979"/>
    <w:rsid w:val="001E5C38"/>
    <w:rsid w:val="001E70C9"/>
    <w:rsid w:val="001E776D"/>
    <w:rsid w:val="001E77D9"/>
    <w:rsid w:val="001E79E9"/>
    <w:rsid w:val="001F0D67"/>
    <w:rsid w:val="001F0DC4"/>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7E3"/>
    <w:rsid w:val="00201885"/>
    <w:rsid w:val="002028FF"/>
    <w:rsid w:val="0020322B"/>
    <w:rsid w:val="002032C8"/>
    <w:rsid w:val="00203A75"/>
    <w:rsid w:val="0020409B"/>
    <w:rsid w:val="00205C7C"/>
    <w:rsid w:val="002060A5"/>
    <w:rsid w:val="002068F5"/>
    <w:rsid w:val="002070E4"/>
    <w:rsid w:val="0020721C"/>
    <w:rsid w:val="002072C3"/>
    <w:rsid w:val="00207813"/>
    <w:rsid w:val="0020790A"/>
    <w:rsid w:val="00207E86"/>
    <w:rsid w:val="00210594"/>
    <w:rsid w:val="00210F65"/>
    <w:rsid w:val="002114F0"/>
    <w:rsid w:val="00212939"/>
    <w:rsid w:val="00212B8B"/>
    <w:rsid w:val="0021371C"/>
    <w:rsid w:val="002139E7"/>
    <w:rsid w:val="002144A1"/>
    <w:rsid w:val="002147A6"/>
    <w:rsid w:val="00214D4B"/>
    <w:rsid w:val="00214DAE"/>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DBA"/>
    <w:rsid w:val="00234FCD"/>
    <w:rsid w:val="00234FD9"/>
    <w:rsid w:val="00236374"/>
    <w:rsid w:val="00236F49"/>
    <w:rsid w:val="00237E07"/>
    <w:rsid w:val="00237F8D"/>
    <w:rsid w:val="002400A1"/>
    <w:rsid w:val="00240222"/>
    <w:rsid w:val="002411C9"/>
    <w:rsid w:val="0024218B"/>
    <w:rsid w:val="002425FE"/>
    <w:rsid w:val="00242CD9"/>
    <w:rsid w:val="0024349D"/>
    <w:rsid w:val="00243967"/>
    <w:rsid w:val="0024424C"/>
    <w:rsid w:val="002444C2"/>
    <w:rsid w:val="00244BE9"/>
    <w:rsid w:val="0024530D"/>
    <w:rsid w:val="00245A74"/>
    <w:rsid w:val="00246A8F"/>
    <w:rsid w:val="0024727D"/>
    <w:rsid w:val="00247783"/>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6815"/>
    <w:rsid w:val="0026773E"/>
    <w:rsid w:val="00267F1F"/>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922"/>
    <w:rsid w:val="00281B0A"/>
    <w:rsid w:val="00282CDE"/>
    <w:rsid w:val="00283073"/>
    <w:rsid w:val="0028348A"/>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7BE"/>
    <w:rsid w:val="002A3AA9"/>
    <w:rsid w:val="002A5657"/>
    <w:rsid w:val="002A58F4"/>
    <w:rsid w:val="002A5AA2"/>
    <w:rsid w:val="002A5C85"/>
    <w:rsid w:val="002A5C87"/>
    <w:rsid w:val="002A5D50"/>
    <w:rsid w:val="002A5DE5"/>
    <w:rsid w:val="002A6503"/>
    <w:rsid w:val="002A659A"/>
    <w:rsid w:val="002A7542"/>
    <w:rsid w:val="002A7BE8"/>
    <w:rsid w:val="002B09C6"/>
    <w:rsid w:val="002B0F52"/>
    <w:rsid w:val="002B1071"/>
    <w:rsid w:val="002B129B"/>
    <w:rsid w:val="002B29E2"/>
    <w:rsid w:val="002B3708"/>
    <w:rsid w:val="002B4D46"/>
    <w:rsid w:val="002B5625"/>
    <w:rsid w:val="002B5F9C"/>
    <w:rsid w:val="002B6147"/>
    <w:rsid w:val="002B6710"/>
    <w:rsid w:val="002C0170"/>
    <w:rsid w:val="002C0E18"/>
    <w:rsid w:val="002C2427"/>
    <w:rsid w:val="002C2773"/>
    <w:rsid w:val="002C2A4F"/>
    <w:rsid w:val="002C3502"/>
    <w:rsid w:val="002C397B"/>
    <w:rsid w:val="002C3BA0"/>
    <w:rsid w:val="002C436C"/>
    <w:rsid w:val="002C47C4"/>
    <w:rsid w:val="002C6E41"/>
    <w:rsid w:val="002C748E"/>
    <w:rsid w:val="002C7D3C"/>
    <w:rsid w:val="002D04DB"/>
    <w:rsid w:val="002D0DDF"/>
    <w:rsid w:val="002D17A5"/>
    <w:rsid w:val="002D1AC7"/>
    <w:rsid w:val="002D347E"/>
    <w:rsid w:val="002D3D17"/>
    <w:rsid w:val="002D42A0"/>
    <w:rsid w:val="002D440D"/>
    <w:rsid w:val="002D4C8C"/>
    <w:rsid w:val="002D4EF6"/>
    <w:rsid w:val="002D545A"/>
    <w:rsid w:val="002D550B"/>
    <w:rsid w:val="002D59E5"/>
    <w:rsid w:val="002D5C23"/>
    <w:rsid w:val="002D5CBC"/>
    <w:rsid w:val="002D5DC3"/>
    <w:rsid w:val="002D6B4D"/>
    <w:rsid w:val="002E0FD6"/>
    <w:rsid w:val="002E11D6"/>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3470"/>
    <w:rsid w:val="002F4CA2"/>
    <w:rsid w:val="002F51B3"/>
    <w:rsid w:val="002F527B"/>
    <w:rsid w:val="002F5306"/>
    <w:rsid w:val="002F5570"/>
    <w:rsid w:val="002F5792"/>
    <w:rsid w:val="002F5C9A"/>
    <w:rsid w:val="002F6254"/>
    <w:rsid w:val="002F6432"/>
    <w:rsid w:val="002F64A0"/>
    <w:rsid w:val="002F69EB"/>
    <w:rsid w:val="002F6D11"/>
    <w:rsid w:val="002F6FC4"/>
    <w:rsid w:val="002F7255"/>
    <w:rsid w:val="002F7D6F"/>
    <w:rsid w:val="00300450"/>
    <w:rsid w:val="003005AA"/>
    <w:rsid w:val="00300E16"/>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10015"/>
    <w:rsid w:val="00310992"/>
    <w:rsid w:val="00311387"/>
    <w:rsid w:val="00311EEA"/>
    <w:rsid w:val="0031351E"/>
    <w:rsid w:val="00313537"/>
    <w:rsid w:val="003135CD"/>
    <w:rsid w:val="003138AC"/>
    <w:rsid w:val="00313C59"/>
    <w:rsid w:val="00314373"/>
    <w:rsid w:val="00314425"/>
    <w:rsid w:val="003146EE"/>
    <w:rsid w:val="003153EA"/>
    <w:rsid w:val="00316745"/>
    <w:rsid w:val="00316D1E"/>
    <w:rsid w:val="00320015"/>
    <w:rsid w:val="00320263"/>
    <w:rsid w:val="003209C7"/>
    <w:rsid w:val="00320AB2"/>
    <w:rsid w:val="003219EA"/>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51"/>
    <w:rsid w:val="00362461"/>
    <w:rsid w:val="003628AA"/>
    <w:rsid w:val="00362D37"/>
    <w:rsid w:val="00363DA3"/>
    <w:rsid w:val="00364D63"/>
    <w:rsid w:val="00365105"/>
    <w:rsid w:val="0036579C"/>
    <w:rsid w:val="003657E7"/>
    <w:rsid w:val="00365E78"/>
    <w:rsid w:val="00366857"/>
    <w:rsid w:val="00370449"/>
    <w:rsid w:val="003708DD"/>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21D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340"/>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A3B"/>
    <w:rsid w:val="003B1AF6"/>
    <w:rsid w:val="003B1B75"/>
    <w:rsid w:val="003B2FBC"/>
    <w:rsid w:val="003B32CC"/>
    <w:rsid w:val="003B35CB"/>
    <w:rsid w:val="003B4DA2"/>
    <w:rsid w:val="003B4DDF"/>
    <w:rsid w:val="003B4E68"/>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9E3"/>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576"/>
    <w:rsid w:val="004058B8"/>
    <w:rsid w:val="00405B3F"/>
    <w:rsid w:val="00406113"/>
    <w:rsid w:val="004063C4"/>
    <w:rsid w:val="004072FC"/>
    <w:rsid w:val="004074CB"/>
    <w:rsid w:val="00407D7D"/>
    <w:rsid w:val="00407EDD"/>
    <w:rsid w:val="00410247"/>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3964"/>
    <w:rsid w:val="004349D9"/>
    <w:rsid w:val="0043544F"/>
    <w:rsid w:val="004362C0"/>
    <w:rsid w:val="00436425"/>
    <w:rsid w:val="004364E6"/>
    <w:rsid w:val="00436B27"/>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471"/>
    <w:rsid w:val="00454D4D"/>
    <w:rsid w:val="00454F1D"/>
    <w:rsid w:val="00455817"/>
    <w:rsid w:val="00455982"/>
    <w:rsid w:val="00455AE4"/>
    <w:rsid w:val="00457034"/>
    <w:rsid w:val="00457BAA"/>
    <w:rsid w:val="00460981"/>
    <w:rsid w:val="004609DE"/>
    <w:rsid w:val="00461DC0"/>
    <w:rsid w:val="00462787"/>
    <w:rsid w:val="004628F0"/>
    <w:rsid w:val="00462D54"/>
    <w:rsid w:val="00462D63"/>
    <w:rsid w:val="00463886"/>
    <w:rsid w:val="00464E03"/>
    <w:rsid w:val="00464F36"/>
    <w:rsid w:val="0046568B"/>
    <w:rsid w:val="00466121"/>
    <w:rsid w:val="00466912"/>
    <w:rsid w:val="004670C3"/>
    <w:rsid w:val="00467686"/>
    <w:rsid w:val="00467792"/>
    <w:rsid w:val="004679AB"/>
    <w:rsid w:val="00471665"/>
    <w:rsid w:val="0047195F"/>
    <w:rsid w:val="00471A9E"/>
    <w:rsid w:val="00471B86"/>
    <w:rsid w:val="00472227"/>
    <w:rsid w:val="00472E9C"/>
    <w:rsid w:val="004732E6"/>
    <w:rsid w:val="00474927"/>
    <w:rsid w:val="00474FBE"/>
    <w:rsid w:val="0047540F"/>
    <w:rsid w:val="00476F8F"/>
    <w:rsid w:val="004772FF"/>
    <w:rsid w:val="00480310"/>
    <w:rsid w:val="0048048A"/>
    <w:rsid w:val="00481705"/>
    <w:rsid w:val="00481966"/>
    <w:rsid w:val="00482044"/>
    <w:rsid w:val="00482254"/>
    <w:rsid w:val="004823C6"/>
    <w:rsid w:val="00482F51"/>
    <w:rsid w:val="00483166"/>
    <w:rsid w:val="0048365C"/>
    <w:rsid w:val="004837B4"/>
    <w:rsid w:val="00484915"/>
    <w:rsid w:val="00484EEF"/>
    <w:rsid w:val="004853D8"/>
    <w:rsid w:val="0048589F"/>
    <w:rsid w:val="00486552"/>
    <w:rsid w:val="00486AEA"/>
    <w:rsid w:val="00486EEE"/>
    <w:rsid w:val="0048735B"/>
    <w:rsid w:val="004875E6"/>
    <w:rsid w:val="00487AD4"/>
    <w:rsid w:val="00490275"/>
    <w:rsid w:val="00490628"/>
    <w:rsid w:val="0049071D"/>
    <w:rsid w:val="0049103F"/>
    <w:rsid w:val="00491532"/>
    <w:rsid w:val="00491F80"/>
    <w:rsid w:val="0049239D"/>
    <w:rsid w:val="004925C9"/>
    <w:rsid w:val="00493577"/>
    <w:rsid w:val="004942A0"/>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71"/>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758A"/>
    <w:rsid w:val="004B7F9F"/>
    <w:rsid w:val="004C06CE"/>
    <w:rsid w:val="004C099B"/>
    <w:rsid w:val="004C0BAC"/>
    <w:rsid w:val="004C0DB4"/>
    <w:rsid w:val="004C10A2"/>
    <w:rsid w:val="004C13F1"/>
    <w:rsid w:val="004C16F5"/>
    <w:rsid w:val="004C33E8"/>
    <w:rsid w:val="004C4A96"/>
    <w:rsid w:val="004C4E5F"/>
    <w:rsid w:val="004C5875"/>
    <w:rsid w:val="004C5F28"/>
    <w:rsid w:val="004C6997"/>
    <w:rsid w:val="004C6CDB"/>
    <w:rsid w:val="004C723F"/>
    <w:rsid w:val="004C7C36"/>
    <w:rsid w:val="004C7D16"/>
    <w:rsid w:val="004D0132"/>
    <w:rsid w:val="004D080F"/>
    <w:rsid w:val="004D138E"/>
    <w:rsid w:val="004D185E"/>
    <w:rsid w:val="004D2556"/>
    <w:rsid w:val="004D29F9"/>
    <w:rsid w:val="004D4B61"/>
    <w:rsid w:val="004D606D"/>
    <w:rsid w:val="004D6B20"/>
    <w:rsid w:val="004D6C2F"/>
    <w:rsid w:val="004D71FE"/>
    <w:rsid w:val="004D72CE"/>
    <w:rsid w:val="004D7A80"/>
    <w:rsid w:val="004D7CA3"/>
    <w:rsid w:val="004E0388"/>
    <w:rsid w:val="004E04C7"/>
    <w:rsid w:val="004E0894"/>
    <w:rsid w:val="004E135A"/>
    <w:rsid w:val="004E1C50"/>
    <w:rsid w:val="004E20EE"/>
    <w:rsid w:val="004E23BB"/>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78C"/>
    <w:rsid w:val="004F3B34"/>
    <w:rsid w:val="004F3E23"/>
    <w:rsid w:val="004F4767"/>
    <w:rsid w:val="004F498A"/>
    <w:rsid w:val="004F51B2"/>
    <w:rsid w:val="004F59C4"/>
    <w:rsid w:val="004F5D65"/>
    <w:rsid w:val="004F70F8"/>
    <w:rsid w:val="004F7230"/>
    <w:rsid w:val="004F7D65"/>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2DD"/>
    <w:rsid w:val="00507403"/>
    <w:rsid w:val="00507430"/>
    <w:rsid w:val="005101E5"/>
    <w:rsid w:val="00511D75"/>
    <w:rsid w:val="00511FF2"/>
    <w:rsid w:val="00512232"/>
    <w:rsid w:val="00512599"/>
    <w:rsid w:val="00513B7E"/>
    <w:rsid w:val="00514597"/>
    <w:rsid w:val="005150AB"/>
    <w:rsid w:val="0051520F"/>
    <w:rsid w:val="005159F9"/>
    <w:rsid w:val="0051769B"/>
    <w:rsid w:val="0052052F"/>
    <w:rsid w:val="00520571"/>
    <w:rsid w:val="00522C8A"/>
    <w:rsid w:val="00523AF8"/>
    <w:rsid w:val="00523F57"/>
    <w:rsid w:val="00523F8F"/>
    <w:rsid w:val="005248F8"/>
    <w:rsid w:val="00524E1E"/>
    <w:rsid w:val="0052565F"/>
    <w:rsid w:val="0052654A"/>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169"/>
    <w:rsid w:val="00564643"/>
    <w:rsid w:val="00564772"/>
    <w:rsid w:val="00564D9A"/>
    <w:rsid w:val="00566518"/>
    <w:rsid w:val="005669DA"/>
    <w:rsid w:val="00567613"/>
    <w:rsid w:val="00571206"/>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2FA1"/>
    <w:rsid w:val="005843DF"/>
    <w:rsid w:val="005860BC"/>
    <w:rsid w:val="00587129"/>
    <w:rsid w:val="0058725A"/>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440"/>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07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3D9"/>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250"/>
    <w:rsid w:val="00611D8D"/>
    <w:rsid w:val="006122E2"/>
    <w:rsid w:val="006125AA"/>
    <w:rsid w:val="00613E9D"/>
    <w:rsid w:val="0061423C"/>
    <w:rsid w:val="0061427C"/>
    <w:rsid w:val="00615DED"/>
    <w:rsid w:val="00615FAB"/>
    <w:rsid w:val="006169BB"/>
    <w:rsid w:val="00616F11"/>
    <w:rsid w:val="006177F0"/>
    <w:rsid w:val="0062005F"/>
    <w:rsid w:val="00620165"/>
    <w:rsid w:val="006201DC"/>
    <w:rsid w:val="00620985"/>
    <w:rsid w:val="00620BD5"/>
    <w:rsid w:val="00621B17"/>
    <w:rsid w:val="00622289"/>
    <w:rsid w:val="00622543"/>
    <w:rsid w:val="0062261D"/>
    <w:rsid w:val="00622643"/>
    <w:rsid w:val="00623312"/>
    <w:rsid w:val="0062351E"/>
    <w:rsid w:val="00623E92"/>
    <w:rsid w:val="00623E93"/>
    <w:rsid w:val="00624322"/>
    <w:rsid w:val="00624406"/>
    <w:rsid w:val="006248E3"/>
    <w:rsid w:val="00625D3D"/>
    <w:rsid w:val="00625DB6"/>
    <w:rsid w:val="00626280"/>
    <w:rsid w:val="00626CAC"/>
    <w:rsid w:val="00627AD4"/>
    <w:rsid w:val="00630F33"/>
    <w:rsid w:val="006312A4"/>
    <w:rsid w:val="006312F8"/>
    <w:rsid w:val="006313C9"/>
    <w:rsid w:val="006317D2"/>
    <w:rsid w:val="00631C0F"/>
    <w:rsid w:val="006337EA"/>
    <w:rsid w:val="006348ED"/>
    <w:rsid w:val="006355E6"/>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2434"/>
    <w:rsid w:val="00683367"/>
    <w:rsid w:val="00683B8F"/>
    <w:rsid w:val="006841B1"/>
    <w:rsid w:val="0068436A"/>
    <w:rsid w:val="0068523F"/>
    <w:rsid w:val="006855A0"/>
    <w:rsid w:val="006861C4"/>
    <w:rsid w:val="00686C23"/>
    <w:rsid w:val="00687033"/>
    <w:rsid w:val="00687774"/>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0A3"/>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470"/>
    <w:rsid w:val="006C75FA"/>
    <w:rsid w:val="006C7FAC"/>
    <w:rsid w:val="006D002D"/>
    <w:rsid w:val="006D0421"/>
    <w:rsid w:val="006D047B"/>
    <w:rsid w:val="006D1D18"/>
    <w:rsid w:val="006D2594"/>
    <w:rsid w:val="006D2BD4"/>
    <w:rsid w:val="006D3530"/>
    <w:rsid w:val="006D3BF4"/>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33D"/>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20C"/>
    <w:rsid w:val="0071356F"/>
    <w:rsid w:val="00714166"/>
    <w:rsid w:val="007151F7"/>
    <w:rsid w:val="007153F0"/>
    <w:rsid w:val="007154CF"/>
    <w:rsid w:val="007159A1"/>
    <w:rsid w:val="00716812"/>
    <w:rsid w:val="007171DB"/>
    <w:rsid w:val="00717651"/>
    <w:rsid w:val="0071796A"/>
    <w:rsid w:val="00717A8D"/>
    <w:rsid w:val="00717BF6"/>
    <w:rsid w:val="00717C21"/>
    <w:rsid w:val="00717F9F"/>
    <w:rsid w:val="00720493"/>
    <w:rsid w:val="00720B9E"/>
    <w:rsid w:val="00721887"/>
    <w:rsid w:val="00721CC5"/>
    <w:rsid w:val="007224ED"/>
    <w:rsid w:val="00722FD8"/>
    <w:rsid w:val="0072366C"/>
    <w:rsid w:val="00724291"/>
    <w:rsid w:val="00724D0C"/>
    <w:rsid w:val="007251DE"/>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E1F"/>
    <w:rsid w:val="0075296E"/>
    <w:rsid w:val="00752F33"/>
    <w:rsid w:val="0075319C"/>
    <w:rsid w:val="007531A5"/>
    <w:rsid w:val="007535E3"/>
    <w:rsid w:val="00753FCB"/>
    <w:rsid w:val="007542B1"/>
    <w:rsid w:val="007550FE"/>
    <w:rsid w:val="00755EE8"/>
    <w:rsid w:val="00756609"/>
    <w:rsid w:val="007566A7"/>
    <w:rsid w:val="007567D2"/>
    <w:rsid w:val="00756E30"/>
    <w:rsid w:val="0075707E"/>
    <w:rsid w:val="00757941"/>
    <w:rsid w:val="00762FCA"/>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4C1"/>
    <w:rsid w:val="00783873"/>
    <w:rsid w:val="007847D1"/>
    <w:rsid w:val="00784924"/>
    <w:rsid w:val="00785B0C"/>
    <w:rsid w:val="00785D82"/>
    <w:rsid w:val="0078647B"/>
    <w:rsid w:val="00786ED4"/>
    <w:rsid w:val="0078716F"/>
    <w:rsid w:val="007873C8"/>
    <w:rsid w:val="0078793D"/>
    <w:rsid w:val="00790230"/>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3F86"/>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C685F"/>
    <w:rsid w:val="007D069C"/>
    <w:rsid w:val="007D1AFD"/>
    <w:rsid w:val="007D1E73"/>
    <w:rsid w:val="007D23C4"/>
    <w:rsid w:val="007D2FC8"/>
    <w:rsid w:val="007D310A"/>
    <w:rsid w:val="007D408D"/>
    <w:rsid w:val="007D4CD5"/>
    <w:rsid w:val="007D52A7"/>
    <w:rsid w:val="007D619D"/>
    <w:rsid w:val="007D658F"/>
    <w:rsid w:val="007D6B04"/>
    <w:rsid w:val="007D6D6F"/>
    <w:rsid w:val="007D6E6D"/>
    <w:rsid w:val="007D6F5D"/>
    <w:rsid w:val="007D7604"/>
    <w:rsid w:val="007D7729"/>
    <w:rsid w:val="007D7AA9"/>
    <w:rsid w:val="007E075D"/>
    <w:rsid w:val="007E0D86"/>
    <w:rsid w:val="007E170B"/>
    <w:rsid w:val="007E18BA"/>
    <w:rsid w:val="007E18FA"/>
    <w:rsid w:val="007E1DF2"/>
    <w:rsid w:val="007E2888"/>
    <w:rsid w:val="007E2BA4"/>
    <w:rsid w:val="007E32D4"/>
    <w:rsid w:val="007E3514"/>
    <w:rsid w:val="007E3829"/>
    <w:rsid w:val="007E402B"/>
    <w:rsid w:val="007E495E"/>
    <w:rsid w:val="007E5FF3"/>
    <w:rsid w:val="007E65FE"/>
    <w:rsid w:val="007E6782"/>
    <w:rsid w:val="007E6B64"/>
    <w:rsid w:val="007E6F9A"/>
    <w:rsid w:val="007E7679"/>
    <w:rsid w:val="007E79F5"/>
    <w:rsid w:val="007E7AF0"/>
    <w:rsid w:val="007F012C"/>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06F"/>
    <w:rsid w:val="00812638"/>
    <w:rsid w:val="00812720"/>
    <w:rsid w:val="00812AE2"/>
    <w:rsid w:val="00812CD4"/>
    <w:rsid w:val="008146C1"/>
    <w:rsid w:val="00814892"/>
    <w:rsid w:val="00814D78"/>
    <w:rsid w:val="00815167"/>
    <w:rsid w:val="008151B0"/>
    <w:rsid w:val="00816744"/>
    <w:rsid w:val="0081696D"/>
    <w:rsid w:val="00816B36"/>
    <w:rsid w:val="00817452"/>
    <w:rsid w:val="0081758D"/>
    <w:rsid w:val="00817C39"/>
    <w:rsid w:val="00817C8A"/>
    <w:rsid w:val="0082098B"/>
    <w:rsid w:val="00821601"/>
    <w:rsid w:val="00821E84"/>
    <w:rsid w:val="00822005"/>
    <w:rsid w:val="0082256B"/>
    <w:rsid w:val="00822609"/>
    <w:rsid w:val="00822B0C"/>
    <w:rsid w:val="00822C45"/>
    <w:rsid w:val="008241E4"/>
    <w:rsid w:val="00824394"/>
    <w:rsid w:val="00824912"/>
    <w:rsid w:val="00824F1A"/>
    <w:rsid w:val="00825B07"/>
    <w:rsid w:val="008265E8"/>
    <w:rsid w:val="00826634"/>
    <w:rsid w:val="00826C0C"/>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70E8"/>
    <w:rsid w:val="0084736D"/>
    <w:rsid w:val="008477B4"/>
    <w:rsid w:val="008479BC"/>
    <w:rsid w:val="00847C79"/>
    <w:rsid w:val="00850A19"/>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6542"/>
    <w:rsid w:val="0085729A"/>
    <w:rsid w:val="008575ED"/>
    <w:rsid w:val="00857F3D"/>
    <w:rsid w:val="00860F08"/>
    <w:rsid w:val="008612F5"/>
    <w:rsid w:val="00861F9D"/>
    <w:rsid w:val="00862D65"/>
    <w:rsid w:val="0086307F"/>
    <w:rsid w:val="008639AD"/>
    <w:rsid w:val="00863C1F"/>
    <w:rsid w:val="00866BCC"/>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5D52"/>
    <w:rsid w:val="008863EC"/>
    <w:rsid w:val="00886995"/>
    <w:rsid w:val="00887227"/>
    <w:rsid w:val="008900AA"/>
    <w:rsid w:val="00890427"/>
    <w:rsid w:val="008905B4"/>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A21"/>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181F"/>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D7D36"/>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25"/>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231"/>
    <w:rsid w:val="00930743"/>
    <w:rsid w:val="00931282"/>
    <w:rsid w:val="00931457"/>
    <w:rsid w:val="009315B3"/>
    <w:rsid w:val="0093167B"/>
    <w:rsid w:val="0093175E"/>
    <w:rsid w:val="00932333"/>
    <w:rsid w:val="00932567"/>
    <w:rsid w:val="009326C6"/>
    <w:rsid w:val="00933665"/>
    <w:rsid w:val="00933695"/>
    <w:rsid w:val="00933CF4"/>
    <w:rsid w:val="00933F52"/>
    <w:rsid w:val="00934513"/>
    <w:rsid w:val="0093661E"/>
    <w:rsid w:val="00936789"/>
    <w:rsid w:val="00936EF5"/>
    <w:rsid w:val="009372E1"/>
    <w:rsid w:val="00937FBA"/>
    <w:rsid w:val="009417AC"/>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3644"/>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765"/>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8A4"/>
    <w:rsid w:val="009A4908"/>
    <w:rsid w:val="009A4A3E"/>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70"/>
    <w:rsid w:val="009C3AE8"/>
    <w:rsid w:val="009C4087"/>
    <w:rsid w:val="009C4959"/>
    <w:rsid w:val="009C4CFF"/>
    <w:rsid w:val="009C5961"/>
    <w:rsid w:val="009C76A3"/>
    <w:rsid w:val="009C79E5"/>
    <w:rsid w:val="009C7ACB"/>
    <w:rsid w:val="009C7C85"/>
    <w:rsid w:val="009D03F6"/>
    <w:rsid w:val="009D1578"/>
    <w:rsid w:val="009D6353"/>
    <w:rsid w:val="009D6CF0"/>
    <w:rsid w:val="009D6E22"/>
    <w:rsid w:val="009D75A9"/>
    <w:rsid w:val="009D7906"/>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48E"/>
    <w:rsid w:val="009E65CA"/>
    <w:rsid w:val="009E699D"/>
    <w:rsid w:val="009F1904"/>
    <w:rsid w:val="009F209E"/>
    <w:rsid w:val="009F2446"/>
    <w:rsid w:val="009F2450"/>
    <w:rsid w:val="009F2BF4"/>
    <w:rsid w:val="009F2C12"/>
    <w:rsid w:val="009F2F47"/>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1E64"/>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87D"/>
    <w:rsid w:val="00A20573"/>
    <w:rsid w:val="00A207FA"/>
    <w:rsid w:val="00A20C94"/>
    <w:rsid w:val="00A215C1"/>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0FC"/>
    <w:rsid w:val="00A2726D"/>
    <w:rsid w:val="00A30627"/>
    <w:rsid w:val="00A30B6C"/>
    <w:rsid w:val="00A31D99"/>
    <w:rsid w:val="00A3244C"/>
    <w:rsid w:val="00A32555"/>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99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0C15"/>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676"/>
    <w:rsid w:val="00AA3726"/>
    <w:rsid w:val="00AA40AA"/>
    <w:rsid w:val="00AA4F09"/>
    <w:rsid w:val="00AA67F0"/>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7D9"/>
    <w:rsid w:val="00AB6F61"/>
    <w:rsid w:val="00AB7601"/>
    <w:rsid w:val="00AB7957"/>
    <w:rsid w:val="00AB7A15"/>
    <w:rsid w:val="00AC0BD8"/>
    <w:rsid w:val="00AC1E53"/>
    <w:rsid w:val="00AC2F56"/>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477"/>
    <w:rsid w:val="00AD3C49"/>
    <w:rsid w:val="00AD3D21"/>
    <w:rsid w:val="00AD68F8"/>
    <w:rsid w:val="00AD692B"/>
    <w:rsid w:val="00AE0B68"/>
    <w:rsid w:val="00AE0CA2"/>
    <w:rsid w:val="00AE10CD"/>
    <w:rsid w:val="00AE1499"/>
    <w:rsid w:val="00AE2D0A"/>
    <w:rsid w:val="00AE3725"/>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75D"/>
    <w:rsid w:val="00AF5D55"/>
    <w:rsid w:val="00AF605B"/>
    <w:rsid w:val="00AF741B"/>
    <w:rsid w:val="00AF7453"/>
    <w:rsid w:val="00AF7C3D"/>
    <w:rsid w:val="00AF7E72"/>
    <w:rsid w:val="00B00C97"/>
    <w:rsid w:val="00B0115C"/>
    <w:rsid w:val="00B01F83"/>
    <w:rsid w:val="00B0338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0D"/>
    <w:rsid w:val="00B16D63"/>
    <w:rsid w:val="00B17629"/>
    <w:rsid w:val="00B21D6E"/>
    <w:rsid w:val="00B22C39"/>
    <w:rsid w:val="00B22DE0"/>
    <w:rsid w:val="00B23D2D"/>
    <w:rsid w:val="00B24380"/>
    <w:rsid w:val="00B24FEA"/>
    <w:rsid w:val="00B2540B"/>
    <w:rsid w:val="00B25465"/>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097F"/>
    <w:rsid w:val="00B410B3"/>
    <w:rsid w:val="00B4190C"/>
    <w:rsid w:val="00B41956"/>
    <w:rsid w:val="00B42A22"/>
    <w:rsid w:val="00B43539"/>
    <w:rsid w:val="00B45535"/>
    <w:rsid w:val="00B4553C"/>
    <w:rsid w:val="00B4572C"/>
    <w:rsid w:val="00B459C8"/>
    <w:rsid w:val="00B45BAB"/>
    <w:rsid w:val="00B46975"/>
    <w:rsid w:val="00B472EC"/>
    <w:rsid w:val="00B52046"/>
    <w:rsid w:val="00B5259A"/>
    <w:rsid w:val="00B52CB1"/>
    <w:rsid w:val="00B53B6D"/>
    <w:rsid w:val="00B53C9A"/>
    <w:rsid w:val="00B53D31"/>
    <w:rsid w:val="00B54F0D"/>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38"/>
    <w:rsid w:val="00B65CBD"/>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5E21"/>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3A31"/>
    <w:rsid w:val="00BC406F"/>
    <w:rsid w:val="00BC4C88"/>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6F8"/>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D73"/>
    <w:rsid w:val="00BF1A87"/>
    <w:rsid w:val="00BF1D23"/>
    <w:rsid w:val="00BF1F82"/>
    <w:rsid w:val="00BF2520"/>
    <w:rsid w:val="00BF3470"/>
    <w:rsid w:val="00BF3B94"/>
    <w:rsid w:val="00BF3FF8"/>
    <w:rsid w:val="00BF4C53"/>
    <w:rsid w:val="00BF54DC"/>
    <w:rsid w:val="00BF5748"/>
    <w:rsid w:val="00BF6270"/>
    <w:rsid w:val="00BF67B7"/>
    <w:rsid w:val="00BF770B"/>
    <w:rsid w:val="00BF7802"/>
    <w:rsid w:val="00C01510"/>
    <w:rsid w:val="00C01CEB"/>
    <w:rsid w:val="00C01F6E"/>
    <w:rsid w:val="00C03249"/>
    <w:rsid w:val="00C04BAE"/>
    <w:rsid w:val="00C05896"/>
    <w:rsid w:val="00C0599A"/>
    <w:rsid w:val="00C06C42"/>
    <w:rsid w:val="00C06EB2"/>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686"/>
    <w:rsid w:val="00C23F8A"/>
    <w:rsid w:val="00C24B05"/>
    <w:rsid w:val="00C25052"/>
    <w:rsid w:val="00C25D31"/>
    <w:rsid w:val="00C262C1"/>
    <w:rsid w:val="00C265D0"/>
    <w:rsid w:val="00C26FE5"/>
    <w:rsid w:val="00C3022B"/>
    <w:rsid w:val="00C30723"/>
    <w:rsid w:val="00C31756"/>
    <w:rsid w:val="00C31F7F"/>
    <w:rsid w:val="00C32186"/>
    <w:rsid w:val="00C335AE"/>
    <w:rsid w:val="00C3427B"/>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0E4"/>
    <w:rsid w:val="00C52334"/>
    <w:rsid w:val="00C52C65"/>
    <w:rsid w:val="00C53110"/>
    <w:rsid w:val="00C53B12"/>
    <w:rsid w:val="00C5406E"/>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77087"/>
    <w:rsid w:val="00C816DF"/>
    <w:rsid w:val="00C820EE"/>
    <w:rsid w:val="00C82CD4"/>
    <w:rsid w:val="00C84713"/>
    <w:rsid w:val="00C84758"/>
    <w:rsid w:val="00C853AB"/>
    <w:rsid w:val="00C8588B"/>
    <w:rsid w:val="00C85F72"/>
    <w:rsid w:val="00C86896"/>
    <w:rsid w:val="00C876E1"/>
    <w:rsid w:val="00C90162"/>
    <w:rsid w:val="00C908A9"/>
    <w:rsid w:val="00C908BE"/>
    <w:rsid w:val="00C91507"/>
    <w:rsid w:val="00C940C2"/>
    <w:rsid w:val="00C952E9"/>
    <w:rsid w:val="00C95AC8"/>
    <w:rsid w:val="00C95E95"/>
    <w:rsid w:val="00C9639C"/>
    <w:rsid w:val="00C9760B"/>
    <w:rsid w:val="00C976E0"/>
    <w:rsid w:val="00C9796B"/>
    <w:rsid w:val="00C97C19"/>
    <w:rsid w:val="00CA0174"/>
    <w:rsid w:val="00CA018B"/>
    <w:rsid w:val="00CA05EE"/>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28B"/>
    <w:rsid w:val="00CB3318"/>
    <w:rsid w:val="00CB3628"/>
    <w:rsid w:val="00CB407C"/>
    <w:rsid w:val="00CB46B4"/>
    <w:rsid w:val="00CB4940"/>
    <w:rsid w:val="00CB5D5B"/>
    <w:rsid w:val="00CB6E94"/>
    <w:rsid w:val="00CB7060"/>
    <w:rsid w:val="00CB763C"/>
    <w:rsid w:val="00CB77F2"/>
    <w:rsid w:val="00CB7DD6"/>
    <w:rsid w:val="00CC0438"/>
    <w:rsid w:val="00CC0563"/>
    <w:rsid w:val="00CC140D"/>
    <w:rsid w:val="00CC1E56"/>
    <w:rsid w:val="00CC2270"/>
    <w:rsid w:val="00CC3277"/>
    <w:rsid w:val="00CC385B"/>
    <w:rsid w:val="00CC4207"/>
    <w:rsid w:val="00CC5222"/>
    <w:rsid w:val="00CC5775"/>
    <w:rsid w:val="00CC62CD"/>
    <w:rsid w:val="00CC6C6A"/>
    <w:rsid w:val="00CC7881"/>
    <w:rsid w:val="00CC7971"/>
    <w:rsid w:val="00CD0422"/>
    <w:rsid w:val="00CD083E"/>
    <w:rsid w:val="00CD0982"/>
    <w:rsid w:val="00CD124B"/>
    <w:rsid w:val="00CD19CF"/>
    <w:rsid w:val="00CD2987"/>
    <w:rsid w:val="00CD2A22"/>
    <w:rsid w:val="00CD2A3D"/>
    <w:rsid w:val="00CD2EE0"/>
    <w:rsid w:val="00CD3DD5"/>
    <w:rsid w:val="00CD400D"/>
    <w:rsid w:val="00CD40C7"/>
    <w:rsid w:val="00CD5885"/>
    <w:rsid w:val="00CD5D11"/>
    <w:rsid w:val="00CD63D3"/>
    <w:rsid w:val="00CD6924"/>
    <w:rsid w:val="00CD7055"/>
    <w:rsid w:val="00CD7340"/>
    <w:rsid w:val="00CD73E8"/>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15DD"/>
    <w:rsid w:val="00CF223D"/>
    <w:rsid w:val="00CF2703"/>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2AD9"/>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69BC"/>
    <w:rsid w:val="00D37093"/>
    <w:rsid w:val="00D40425"/>
    <w:rsid w:val="00D40BC3"/>
    <w:rsid w:val="00D40D6B"/>
    <w:rsid w:val="00D4129E"/>
    <w:rsid w:val="00D418A3"/>
    <w:rsid w:val="00D41AB6"/>
    <w:rsid w:val="00D42946"/>
    <w:rsid w:val="00D43984"/>
    <w:rsid w:val="00D4459D"/>
    <w:rsid w:val="00D45A14"/>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9A1"/>
    <w:rsid w:val="00D64BEA"/>
    <w:rsid w:val="00D65C02"/>
    <w:rsid w:val="00D65CC7"/>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67AE"/>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000"/>
    <w:rsid w:val="00DA52EB"/>
    <w:rsid w:val="00DA5CD6"/>
    <w:rsid w:val="00DA6868"/>
    <w:rsid w:val="00DA7044"/>
    <w:rsid w:val="00DB0312"/>
    <w:rsid w:val="00DB115A"/>
    <w:rsid w:val="00DB31DB"/>
    <w:rsid w:val="00DB3213"/>
    <w:rsid w:val="00DB387C"/>
    <w:rsid w:val="00DB42F5"/>
    <w:rsid w:val="00DB43F8"/>
    <w:rsid w:val="00DB46DA"/>
    <w:rsid w:val="00DB5A7F"/>
    <w:rsid w:val="00DB640B"/>
    <w:rsid w:val="00DB656B"/>
    <w:rsid w:val="00DB6A23"/>
    <w:rsid w:val="00DB7257"/>
    <w:rsid w:val="00DB75BE"/>
    <w:rsid w:val="00DB7D6B"/>
    <w:rsid w:val="00DC00C2"/>
    <w:rsid w:val="00DC01DD"/>
    <w:rsid w:val="00DC29D6"/>
    <w:rsid w:val="00DC2DA2"/>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3AA2"/>
    <w:rsid w:val="00DD4174"/>
    <w:rsid w:val="00DD418A"/>
    <w:rsid w:val="00DD452E"/>
    <w:rsid w:val="00DD4929"/>
    <w:rsid w:val="00DD6998"/>
    <w:rsid w:val="00DD7C32"/>
    <w:rsid w:val="00DE00A7"/>
    <w:rsid w:val="00DE0A7D"/>
    <w:rsid w:val="00DE0DC9"/>
    <w:rsid w:val="00DE12EF"/>
    <w:rsid w:val="00DE19AA"/>
    <w:rsid w:val="00DE1BFE"/>
    <w:rsid w:val="00DE367F"/>
    <w:rsid w:val="00DE3E2A"/>
    <w:rsid w:val="00DE4973"/>
    <w:rsid w:val="00DE5469"/>
    <w:rsid w:val="00DE5D83"/>
    <w:rsid w:val="00DE704F"/>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510"/>
    <w:rsid w:val="00E072B0"/>
    <w:rsid w:val="00E07C90"/>
    <w:rsid w:val="00E111E7"/>
    <w:rsid w:val="00E111F8"/>
    <w:rsid w:val="00E12041"/>
    <w:rsid w:val="00E12618"/>
    <w:rsid w:val="00E129DF"/>
    <w:rsid w:val="00E12B5D"/>
    <w:rsid w:val="00E12C2E"/>
    <w:rsid w:val="00E13435"/>
    <w:rsid w:val="00E13F23"/>
    <w:rsid w:val="00E143D4"/>
    <w:rsid w:val="00E14773"/>
    <w:rsid w:val="00E1521D"/>
    <w:rsid w:val="00E154D2"/>
    <w:rsid w:val="00E155E5"/>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34B8"/>
    <w:rsid w:val="00E33C3F"/>
    <w:rsid w:val="00E3511E"/>
    <w:rsid w:val="00E36F8A"/>
    <w:rsid w:val="00E37394"/>
    <w:rsid w:val="00E37A6A"/>
    <w:rsid w:val="00E37CC3"/>
    <w:rsid w:val="00E40479"/>
    <w:rsid w:val="00E40FB5"/>
    <w:rsid w:val="00E41884"/>
    <w:rsid w:val="00E4192C"/>
    <w:rsid w:val="00E41DF6"/>
    <w:rsid w:val="00E420CB"/>
    <w:rsid w:val="00E42BB9"/>
    <w:rsid w:val="00E42FB9"/>
    <w:rsid w:val="00E43346"/>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603AF"/>
    <w:rsid w:val="00E604FA"/>
    <w:rsid w:val="00E60FAB"/>
    <w:rsid w:val="00E6133F"/>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132D"/>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0D0"/>
    <w:rsid w:val="00E92398"/>
    <w:rsid w:val="00E92CBF"/>
    <w:rsid w:val="00E92E0A"/>
    <w:rsid w:val="00E92F38"/>
    <w:rsid w:val="00E9381C"/>
    <w:rsid w:val="00E93CFD"/>
    <w:rsid w:val="00E94584"/>
    <w:rsid w:val="00E95C26"/>
    <w:rsid w:val="00E95CEA"/>
    <w:rsid w:val="00E967F1"/>
    <w:rsid w:val="00E97FE2"/>
    <w:rsid w:val="00EA08E8"/>
    <w:rsid w:val="00EA0F7E"/>
    <w:rsid w:val="00EA1903"/>
    <w:rsid w:val="00EA19A5"/>
    <w:rsid w:val="00EA1A5A"/>
    <w:rsid w:val="00EA258D"/>
    <w:rsid w:val="00EA2FC0"/>
    <w:rsid w:val="00EA3F5C"/>
    <w:rsid w:val="00EA4397"/>
    <w:rsid w:val="00EA4816"/>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ACC"/>
    <w:rsid w:val="00EE5C23"/>
    <w:rsid w:val="00EE67FE"/>
    <w:rsid w:val="00EE6BDD"/>
    <w:rsid w:val="00EE703E"/>
    <w:rsid w:val="00EE76F0"/>
    <w:rsid w:val="00EE7B1C"/>
    <w:rsid w:val="00EF02BD"/>
    <w:rsid w:val="00EF0D4E"/>
    <w:rsid w:val="00EF17B9"/>
    <w:rsid w:val="00EF1EB9"/>
    <w:rsid w:val="00EF274D"/>
    <w:rsid w:val="00EF2A0D"/>
    <w:rsid w:val="00EF3436"/>
    <w:rsid w:val="00EF34F6"/>
    <w:rsid w:val="00EF355D"/>
    <w:rsid w:val="00EF3725"/>
    <w:rsid w:val="00EF37B5"/>
    <w:rsid w:val="00EF388A"/>
    <w:rsid w:val="00EF3B9C"/>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AA5"/>
    <w:rsid w:val="00F11E55"/>
    <w:rsid w:val="00F1210C"/>
    <w:rsid w:val="00F128DE"/>
    <w:rsid w:val="00F12DF4"/>
    <w:rsid w:val="00F13400"/>
    <w:rsid w:val="00F1411B"/>
    <w:rsid w:val="00F149A9"/>
    <w:rsid w:val="00F14C07"/>
    <w:rsid w:val="00F14C0C"/>
    <w:rsid w:val="00F14CD6"/>
    <w:rsid w:val="00F154D7"/>
    <w:rsid w:val="00F1585C"/>
    <w:rsid w:val="00F15FFE"/>
    <w:rsid w:val="00F16901"/>
    <w:rsid w:val="00F16FA4"/>
    <w:rsid w:val="00F17267"/>
    <w:rsid w:val="00F21448"/>
    <w:rsid w:val="00F2210C"/>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02C"/>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4675"/>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77BCA"/>
    <w:rsid w:val="00F805CA"/>
    <w:rsid w:val="00F807A4"/>
    <w:rsid w:val="00F809ED"/>
    <w:rsid w:val="00F80DD8"/>
    <w:rsid w:val="00F81914"/>
    <w:rsid w:val="00F81B7D"/>
    <w:rsid w:val="00F824D5"/>
    <w:rsid w:val="00F82628"/>
    <w:rsid w:val="00F82BC6"/>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7C4"/>
    <w:rsid w:val="00F96A46"/>
    <w:rsid w:val="00F96BB8"/>
    <w:rsid w:val="00F97647"/>
    <w:rsid w:val="00F97A19"/>
    <w:rsid w:val="00FA068B"/>
    <w:rsid w:val="00FA1B1B"/>
    <w:rsid w:val="00FA2534"/>
    <w:rsid w:val="00FA2BC2"/>
    <w:rsid w:val="00FA37EA"/>
    <w:rsid w:val="00FA381E"/>
    <w:rsid w:val="00FA3DE3"/>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585"/>
    <w:rsid w:val="00FC7844"/>
    <w:rsid w:val="00FD0A8B"/>
    <w:rsid w:val="00FD1512"/>
    <w:rsid w:val="00FD1AB4"/>
    <w:rsid w:val="00FD1DDF"/>
    <w:rsid w:val="00FD28E8"/>
    <w:rsid w:val="00FD3330"/>
    <w:rsid w:val="00FD3355"/>
    <w:rsid w:val="00FD3CF7"/>
    <w:rsid w:val="00FD472A"/>
    <w:rsid w:val="00FD4FCC"/>
    <w:rsid w:val="00FD522F"/>
    <w:rsid w:val="00FD5A00"/>
    <w:rsid w:val="00FD5F89"/>
    <w:rsid w:val="00FD6570"/>
    <w:rsid w:val="00FD6EA4"/>
    <w:rsid w:val="00FD6FCC"/>
    <w:rsid w:val="00FD79A7"/>
    <w:rsid w:val="00FD7DB9"/>
    <w:rsid w:val="00FE0841"/>
    <w:rsid w:val="00FE08FD"/>
    <w:rsid w:val="00FE1191"/>
    <w:rsid w:val="00FE12A5"/>
    <w:rsid w:val="00FE1B58"/>
    <w:rsid w:val="00FE1DFA"/>
    <w:rsid w:val="00FE1EDA"/>
    <w:rsid w:val="00FE1F3B"/>
    <w:rsid w:val="00FE22CB"/>
    <w:rsid w:val="00FE2859"/>
    <w:rsid w:val="00FE2A81"/>
    <w:rsid w:val="00FE2D3A"/>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CEA"/>
    <w:rsid w:val="00FF3F18"/>
    <w:rsid w:val="00FF4169"/>
    <w:rsid w:val="00FF4B56"/>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377360"/>
  </w:style>
  <w:style w:type="paragraph" w:styleId="Revision">
    <w:name w:val="Revision"/>
    <w:hidden/>
    <w:uiPriority w:val="99"/>
    <w:semiHidden/>
    <w:rsid w:val="00DA7044"/>
  </w:style>
  <w:style w:type="paragraph" w:styleId="ListNumber">
    <w:name w:val="List Number"/>
    <w:basedOn w:val="Normal"/>
    <w:uiPriority w:val="99"/>
    <w:qFormat/>
    <w:rsid w:val="00266815"/>
    <w:pPr>
      <w:numPr>
        <w:numId w:val="48"/>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266815"/>
    <w:pPr>
      <w:numPr>
        <w:ilvl w:val="1"/>
        <w:numId w:val="48"/>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266815"/>
    <w:pPr>
      <w:numPr>
        <w:ilvl w:val="2"/>
        <w:numId w:val="48"/>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266815"/>
    <w:pPr>
      <w:numPr>
        <w:ilvl w:val="3"/>
        <w:numId w:val="48"/>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266815"/>
    <w:pPr>
      <w:numPr>
        <w:ilvl w:val="4"/>
        <w:numId w:val="48"/>
      </w:numPr>
      <w:spacing w:after="200" w:line="276" w:lineRule="auto"/>
    </w:pPr>
    <w:rPr>
      <w:rFonts w:ascii="Arial" w:eastAsia="Calibri" w:hAnsi="Arial"/>
      <w:sz w:val="22"/>
      <w:szCs w:val="22"/>
      <w:lang w:eastAsia="en-US"/>
    </w:rPr>
  </w:style>
  <w:style w:type="paragraph" w:customStyle="1" w:styleId="2Sections">
    <w:name w:val="2. Sections"/>
    <w:qFormat/>
    <w:rsid w:val="00862D65"/>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862D65"/>
    <w:pPr>
      <w:spacing w:after="120"/>
      <w:ind w:hanging="720"/>
      <w:contextualSpacing w:val="0"/>
      <w:jc w:val="both"/>
    </w:pPr>
    <w:rPr>
      <w:rFonts w:asciiTheme="minorHAnsi" w:eastAsiaTheme="minorHAnsi" w:hAnsiTheme="minorHAnsi" w:cstheme="minorBidi"/>
      <w:szCs w:val="22"/>
      <w:lang w:eastAsia="en-US"/>
    </w:rPr>
  </w:style>
  <w:style w:type="paragraph" w:customStyle="1" w:styleId="2-SectionHeading">
    <w:name w:val="2-Section Heading"/>
    <w:qFormat/>
    <w:rsid w:val="007151F7"/>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7151F7"/>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uiPriority w:val="99"/>
    <w:rsid w:val="007151F7"/>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6275273">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8901787">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29583437">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395738179">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3033977">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4736171">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48224290">
      <w:bodyDiv w:val="1"/>
      <w:marLeft w:val="0"/>
      <w:marRight w:val="0"/>
      <w:marTop w:val="0"/>
      <w:marBottom w:val="0"/>
      <w:divBdr>
        <w:top w:val="none" w:sz="0" w:space="0" w:color="auto"/>
        <w:left w:val="none" w:sz="0" w:space="0" w:color="auto"/>
        <w:bottom w:val="none" w:sz="0" w:space="0" w:color="auto"/>
        <w:right w:val="none" w:sz="0" w:space="0" w:color="auto"/>
      </w:divBdr>
    </w:div>
    <w:div w:id="549925925">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3318875">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533445">
      <w:bodyDiv w:val="1"/>
      <w:marLeft w:val="0"/>
      <w:marRight w:val="0"/>
      <w:marTop w:val="0"/>
      <w:marBottom w:val="0"/>
      <w:divBdr>
        <w:top w:val="none" w:sz="0" w:space="0" w:color="auto"/>
        <w:left w:val="none" w:sz="0" w:space="0" w:color="auto"/>
        <w:bottom w:val="none" w:sz="0" w:space="0" w:color="auto"/>
        <w:right w:val="none" w:sz="0" w:space="0" w:color="auto"/>
      </w:divBdr>
    </w:div>
    <w:div w:id="996034318">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8171047">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668223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728451">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175419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2648509">
      <w:bodyDiv w:val="1"/>
      <w:marLeft w:val="0"/>
      <w:marRight w:val="0"/>
      <w:marTop w:val="0"/>
      <w:marBottom w:val="0"/>
      <w:divBdr>
        <w:top w:val="none" w:sz="0" w:space="0" w:color="auto"/>
        <w:left w:val="none" w:sz="0" w:space="0" w:color="auto"/>
        <w:bottom w:val="none" w:sz="0" w:space="0" w:color="auto"/>
        <w:right w:val="none" w:sz="0" w:space="0" w:color="auto"/>
      </w:divBdr>
    </w:div>
    <w:div w:id="1476026204">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233098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226045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6616949">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153400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82CA-BCAA-4E10-8E51-7BF83C21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2021-06-17T02:13:00Z</dcterms:created>
  <dcterms:modified xsi:type="dcterms:W3CDTF">2021-06-17T22:29:00Z</dcterms:modified>
</cp:coreProperties>
</file>