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AB0EE" w14:textId="77777777" w:rsidR="00D7136A" w:rsidRDefault="00464DA0" w:rsidP="00267A9D">
      <w:pPr>
        <w:contextualSpacing/>
        <w:jc w:val="both"/>
        <w:rPr>
          <w:rFonts w:ascii="Arial" w:hAnsi="Arial" w:cs="Arial"/>
          <w:b/>
          <w:szCs w:val="20"/>
          <w:lang w:val="en-AU" w:eastAsia="en-AU"/>
        </w:rPr>
      </w:pPr>
      <w:r>
        <w:rPr>
          <w:rFonts w:ascii="Arial" w:hAnsi="Arial" w:cs="Arial"/>
          <w:b/>
          <w:sz w:val="28"/>
          <w:lang w:val="en-AU" w:eastAsia="en-AU"/>
        </w:rPr>
        <w:t xml:space="preserve">PBAC CONSIDERATION OF THE </w:t>
      </w:r>
      <w:r w:rsidR="00D7136A">
        <w:rPr>
          <w:rFonts w:ascii="Arial" w:hAnsi="Arial" w:cs="Arial"/>
          <w:b/>
          <w:sz w:val="28"/>
          <w:lang w:val="en-AU" w:eastAsia="en-AU"/>
        </w:rPr>
        <w:t>REPORT</w:t>
      </w:r>
      <w:r w:rsidR="00267A9D">
        <w:rPr>
          <w:rFonts w:ascii="Arial" w:hAnsi="Arial" w:cs="Arial"/>
          <w:b/>
          <w:sz w:val="28"/>
          <w:lang w:val="en-AU" w:eastAsia="en-AU"/>
        </w:rPr>
        <w:t xml:space="preserve"> OF THE DRUG </w:t>
      </w:r>
      <w:r w:rsidR="00D7136A" w:rsidRPr="00B94022">
        <w:rPr>
          <w:rFonts w:ascii="Arial" w:hAnsi="Arial" w:cs="Arial"/>
          <w:b/>
          <w:sz w:val="28"/>
          <w:lang w:val="en-AU" w:eastAsia="en-AU"/>
        </w:rPr>
        <w:t>UTILISATION SUB-COMMITTEE</w:t>
      </w:r>
    </w:p>
    <w:p w14:paraId="7F124E9C" w14:textId="77777777" w:rsidR="00D7136A" w:rsidRPr="006951BF" w:rsidRDefault="00D7136A" w:rsidP="00D7136A">
      <w:pPr>
        <w:jc w:val="both"/>
        <w:rPr>
          <w:rFonts w:ascii="Arial" w:hAnsi="Arial" w:cs="Arial"/>
          <w:b/>
          <w:sz w:val="28"/>
          <w:szCs w:val="20"/>
          <w:lang w:val="en-AU" w:eastAsia="en-AU"/>
        </w:rPr>
      </w:pPr>
    </w:p>
    <w:p w14:paraId="7C5EA0B1" w14:textId="78F57F86" w:rsidR="00D7136A" w:rsidRPr="006951BF" w:rsidRDefault="00D7136A" w:rsidP="00BD0BA3">
      <w:pPr>
        <w:contextualSpacing/>
        <w:rPr>
          <w:rFonts w:ascii="Arial" w:hAnsi="Arial" w:cs="Arial"/>
          <w:color w:val="A6A6A6"/>
          <w:sz w:val="22"/>
          <w:lang w:val="en-AU" w:eastAsia="en-AU"/>
        </w:rPr>
      </w:pPr>
      <w:r w:rsidRPr="006951BF">
        <w:rPr>
          <w:rFonts w:ascii="Arial" w:hAnsi="Arial" w:cs="Arial"/>
          <w:sz w:val="22"/>
          <w:lang w:val="en-AU" w:eastAsia="en-AU"/>
        </w:rPr>
        <w:t xml:space="preserve">The PBAC noted utilisation reports with associated stakeholder responses from the </w:t>
      </w:r>
      <w:r w:rsidR="00614F10">
        <w:rPr>
          <w:rFonts w:ascii="Arial" w:hAnsi="Arial" w:cs="Arial"/>
          <w:sz w:val="22"/>
          <w:lang w:val="en-AU" w:eastAsia="en-AU"/>
        </w:rPr>
        <w:t>June</w:t>
      </w:r>
      <w:r w:rsidR="00BD0BA3">
        <w:rPr>
          <w:rFonts w:ascii="Arial" w:hAnsi="Arial" w:cs="Arial"/>
          <w:sz w:val="22"/>
          <w:lang w:val="en-AU" w:eastAsia="en-AU"/>
        </w:rPr>
        <w:t xml:space="preserve"> </w:t>
      </w:r>
      <w:r w:rsidR="00DB4B4C">
        <w:rPr>
          <w:rFonts w:ascii="Arial" w:hAnsi="Arial" w:cs="Arial"/>
          <w:sz w:val="22"/>
          <w:lang w:val="en-AU" w:eastAsia="en-AU"/>
        </w:rPr>
        <w:t>202</w:t>
      </w:r>
      <w:r w:rsidR="00BD0BA3">
        <w:rPr>
          <w:rFonts w:ascii="Arial" w:hAnsi="Arial" w:cs="Arial"/>
          <w:sz w:val="22"/>
          <w:lang w:val="en-AU" w:eastAsia="en-AU"/>
        </w:rPr>
        <w:t>1</w:t>
      </w:r>
      <w:r w:rsidR="00DB4B4C">
        <w:rPr>
          <w:rFonts w:ascii="Arial" w:hAnsi="Arial" w:cs="Arial"/>
          <w:sz w:val="22"/>
          <w:lang w:val="en-AU" w:eastAsia="en-AU"/>
        </w:rPr>
        <w:t xml:space="preserve"> </w:t>
      </w:r>
      <w:r w:rsidR="00A31269" w:rsidRPr="006951BF">
        <w:rPr>
          <w:rFonts w:ascii="Arial" w:hAnsi="Arial" w:cs="Arial"/>
          <w:sz w:val="22"/>
          <w:lang w:val="en-AU" w:eastAsia="en-AU"/>
        </w:rPr>
        <w:t xml:space="preserve">Drug Utilisation Sub-Committee (DUSC) </w:t>
      </w:r>
      <w:r w:rsidRPr="006951BF">
        <w:rPr>
          <w:rFonts w:ascii="Arial" w:hAnsi="Arial" w:cs="Arial"/>
          <w:sz w:val="22"/>
          <w:lang w:val="en-AU" w:eastAsia="en-AU"/>
        </w:rPr>
        <w:t>meeting, which were provided in Item</w:t>
      </w:r>
      <w:r w:rsidR="00A31269" w:rsidRPr="006951BF">
        <w:rPr>
          <w:rFonts w:ascii="Arial" w:hAnsi="Arial" w:cs="Arial"/>
          <w:sz w:val="22"/>
          <w:lang w:val="en-AU" w:eastAsia="en-AU"/>
        </w:rPr>
        <w:t>s 10.0</w:t>
      </w:r>
      <w:r w:rsidR="00AF6DA0">
        <w:rPr>
          <w:rFonts w:ascii="Arial" w:hAnsi="Arial" w:cs="Arial"/>
          <w:sz w:val="22"/>
          <w:lang w:val="en-AU" w:eastAsia="en-AU"/>
        </w:rPr>
        <w:t>5</w:t>
      </w:r>
      <w:r w:rsidR="00614F10">
        <w:rPr>
          <w:rFonts w:ascii="Arial" w:hAnsi="Arial" w:cs="Arial"/>
          <w:sz w:val="22"/>
          <w:lang w:val="en-AU" w:eastAsia="en-AU"/>
        </w:rPr>
        <w:t>, 10.06</w:t>
      </w:r>
      <w:r w:rsidR="00A31269" w:rsidRPr="006951BF">
        <w:rPr>
          <w:rFonts w:ascii="Arial" w:hAnsi="Arial" w:cs="Arial"/>
          <w:sz w:val="22"/>
          <w:lang w:val="en-AU" w:eastAsia="en-AU"/>
        </w:rPr>
        <w:t xml:space="preserve"> </w:t>
      </w:r>
      <w:r w:rsidR="00BD0BA3">
        <w:rPr>
          <w:rFonts w:ascii="Arial" w:hAnsi="Arial" w:cs="Arial"/>
          <w:sz w:val="22"/>
          <w:lang w:val="en-AU" w:eastAsia="en-AU"/>
        </w:rPr>
        <w:t xml:space="preserve">and </w:t>
      </w:r>
      <w:r w:rsidR="00A31269" w:rsidRPr="006951BF">
        <w:rPr>
          <w:rFonts w:ascii="Arial" w:hAnsi="Arial" w:cs="Arial"/>
          <w:sz w:val="22"/>
          <w:lang w:val="en-AU" w:eastAsia="en-AU"/>
        </w:rPr>
        <w:t>10.0</w:t>
      </w:r>
      <w:r w:rsidR="00614F10">
        <w:rPr>
          <w:rFonts w:ascii="Arial" w:hAnsi="Arial" w:cs="Arial"/>
          <w:sz w:val="22"/>
          <w:lang w:val="en-AU" w:eastAsia="en-AU"/>
        </w:rPr>
        <w:t>7</w:t>
      </w:r>
      <w:r w:rsidR="00683251">
        <w:rPr>
          <w:rFonts w:ascii="Arial" w:hAnsi="Arial" w:cs="Arial"/>
          <w:sz w:val="22"/>
          <w:lang w:val="en-AU" w:eastAsia="en-AU"/>
        </w:rPr>
        <w:t xml:space="preserve"> </w:t>
      </w:r>
      <w:r w:rsidRPr="006951BF">
        <w:rPr>
          <w:rFonts w:ascii="Arial" w:hAnsi="Arial" w:cs="Arial"/>
          <w:sz w:val="22"/>
          <w:lang w:val="en-AU" w:eastAsia="en-AU"/>
        </w:rPr>
        <w:t xml:space="preserve">of the PBAC Agenda. </w:t>
      </w:r>
      <w:r w:rsidR="00A31269" w:rsidRPr="006951BF">
        <w:rPr>
          <w:rFonts w:ascii="Arial" w:hAnsi="Arial" w:cs="Arial"/>
          <w:sz w:val="22"/>
          <w:lang w:val="en-AU" w:eastAsia="en-AU"/>
        </w:rPr>
        <w:t>DUSC minutes relating to these items were provided to the PBAC</w:t>
      </w:r>
      <w:r w:rsidR="00F8213A">
        <w:rPr>
          <w:rFonts w:ascii="Arial" w:hAnsi="Arial" w:cs="Arial"/>
          <w:sz w:val="22"/>
          <w:lang w:val="en-AU" w:eastAsia="en-AU"/>
        </w:rPr>
        <w:t>. The outcomes of the DUSC consideration of these items are available in</w:t>
      </w:r>
      <w:r w:rsidR="00CB6BC5">
        <w:rPr>
          <w:rFonts w:ascii="Arial" w:hAnsi="Arial" w:cs="Arial"/>
          <w:sz w:val="22"/>
          <w:lang w:val="en-AU" w:eastAsia="en-AU"/>
        </w:rPr>
        <w:t xml:space="preserve"> the</w:t>
      </w:r>
      <w:r w:rsidR="00BD0BA3">
        <w:rPr>
          <w:rFonts w:ascii="Arial" w:hAnsi="Arial" w:cs="Arial"/>
          <w:sz w:val="22"/>
          <w:lang w:val="en-AU" w:eastAsia="en-AU"/>
        </w:rPr>
        <w:t xml:space="preserve"> </w:t>
      </w:r>
      <w:hyperlink r:id="rId8" w:history="1">
        <w:r w:rsidR="00614F10">
          <w:rPr>
            <w:rStyle w:val="Hyperlink"/>
            <w:rFonts w:ascii="Arial" w:hAnsi="Arial" w:cs="Arial"/>
            <w:sz w:val="22"/>
            <w:lang w:val="en-AU" w:eastAsia="en-AU"/>
          </w:rPr>
          <w:t>June</w:t>
        </w:r>
        <w:r w:rsidR="00BD0BA3" w:rsidRPr="00BD0BA3">
          <w:rPr>
            <w:rStyle w:val="Hyperlink"/>
            <w:rFonts w:ascii="Arial" w:hAnsi="Arial" w:cs="Arial"/>
            <w:sz w:val="22"/>
            <w:lang w:val="en-AU" w:eastAsia="en-AU"/>
          </w:rPr>
          <w:t xml:space="preserve"> 2021 DUSC outcome statement</w:t>
        </w:r>
      </w:hyperlink>
      <w:r w:rsidR="00BD0BA3">
        <w:rPr>
          <w:rFonts w:ascii="Arial" w:hAnsi="Arial" w:cs="Arial"/>
          <w:sz w:val="22"/>
          <w:lang w:val="en-AU" w:eastAsia="en-AU"/>
        </w:rPr>
        <w:t>.</w:t>
      </w:r>
    </w:p>
    <w:p w14:paraId="2BEF9007" w14:textId="56217C85" w:rsidR="005616CC" w:rsidRDefault="005616CC" w:rsidP="008866E8">
      <w:pPr>
        <w:contextualSpacing/>
        <w:jc w:val="both"/>
        <w:rPr>
          <w:rFonts w:ascii="Arial" w:hAnsi="Arial" w:cs="Arial"/>
          <w:b/>
          <w:sz w:val="22"/>
          <w:lang w:val="en-AU" w:eastAsia="en-AU"/>
        </w:rPr>
      </w:pPr>
    </w:p>
    <w:p w14:paraId="5DB2DFD8" w14:textId="77777777" w:rsidR="001E1951" w:rsidRPr="006951BF" w:rsidRDefault="001E1951" w:rsidP="008866E8">
      <w:pPr>
        <w:contextualSpacing/>
        <w:jc w:val="both"/>
        <w:rPr>
          <w:rFonts w:ascii="Arial" w:hAnsi="Arial" w:cs="Arial"/>
          <w:b/>
          <w:sz w:val="22"/>
          <w:lang w:val="en-AU" w:eastAsia="en-AU"/>
        </w:rPr>
      </w:pPr>
    </w:p>
    <w:p w14:paraId="536A5C33" w14:textId="66DF8EEF" w:rsidR="00614F10" w:rsidRDefault="00614F10" w:rsidP="00362AC3">
      <w:pPr>
        <w:spacing w:after="120"/>
        <w:rPr>
          <w:rFonts w:ascii="Arial" w:hAnsi="Arial" w:cs="Arial"/>
          <w:b/>
          <w:sz w:val="22"/>
          <w:lang w:val="en-AU" w:eastAsia="en-AU"/>
        </w:rPr>
      </w:pPr>
      <w:r>
        <w:rPr>
          <w:rFonts w:ascii="Arial" w:hAnsi="Arial" w:cs="Arial"/>
          <w:b/>
          <w:sz w:val="22"/>
          <w:lang w:val="en-AU" w:eastAsia="en-AU"/>
        </w:rPr>
        <w:t>Evolocumab for heterozygous familial hypercholesterolaemia</w:t>
      </w:r>
    </w:p>
    <w:p w14:paraId="4711D0AD" w14:textId="77777777" w:rsidR="00A31269" w:rsidRPr="00362AC3" w:rsidRDefault="00A31269" w:rsidP="00362AC3">
      <w:pPr>
        <w:spacing w:after="120"/>
        <w:rPr>
          <w:rFonts w:ascii="Arial" w:hAnsi="Arial" w:cs="Arial"/>
          <w:i/>
          <w:sz w:val="22"/>
          <w:szCs w:val="22"/>
        </w:rPr>
      </w:pPr>
      <w:r w:rsidRPr="00362AC3">
        <w:rPr>
          <w:rFonts w:ascii="Arial" w:hAnsi="Arial" w:cs="Arial"/>
          <w:i/>
          <w:sz w:val="22"/>
          <w:szCs w:val="22"/>
        </w:rPr>
        <w:t>Outcome</w:t>
      </w:r>
    </w:p>
    <w:p w14:paraId="2F2C668D" w14:textId="77777777" w:rsidR="00614F10" w:rsidRPr="00614F10" w:rsidRDefault="00614F10" w:rsidP="00614F10">
      <w:pPr>
        <w:spacing w:before="120" w:after="120"/>
        <w:rPr>
          <w:rFonts w:ascii="Arial" w:hAnsi="Arial" w:cs="Arial"/>
          <w:sz w:val="22"/>
          <w:szCs w:val="22"/>
        </w:rPr>
      </w:pPr>
      <w:r w:rsidRPr="00614F10">
        <w:rPr>
          <w:rFonts w:ascii="Arial" w:hAnsi="Arial" w:cs="Arial"/>
          <w:sz w:val="22"/>
          <w:szCs w:val="22"/>
        </w:rPr>
        <w:t xml:space="preserve">PBAC noted that the listing for heterozygous hypercholesterolaemia did not substantively increase the overall number of initiating or treated patients with familial or non-familial hypercholesterolaemia. PBAC noted the clear increase in the number of supplied prescriptions following the listing of non-familial hypercholesterolaemia on 1 May 2020. </w:t>
      </w:r>
    </w:p>
    <w:p w14:paraId="5566EE29" w14:textId="0001DDF8" w:rsidR="00614F10" w:rsidRPr="00614F10" w:rsidRDefault="00614F10" w:rsidP="00614F10">
      <w:pPr>
        <w:spacing w:before="120" w:after="120"/>
        <w:rPr>
          <w:rFonts w:ascii="Arial" w:hAnsi="Arial" w:cs="Arial"/>
          <w:sz w:val="22"/>
          <w:szCs w:val="22"/>
        </w:rPr>
      </w:pPr>
      <w:r w:rsidRPr="00614F10">
        <w:rPr>
          <w:rFonts w:ascii="Arial" w:hAnsi="Arial" w:cs="Arial"/>
          <w:sz w:val="22"/>
          <w:szCs w:val="22"/>
        </w:rPr>
        <w:t>PBAC noted that the majority of patients are receiving the 420 mg dose as three single 140 mg pens rather than the 420 mg cartridge</w:t>
      </w:r>
      <w:r w:rsidR="001E1951">
        <w:rPr>
          <w:rFonts w:ascii="Arial" w:hAnsi="Arial" w:cs="Arial"/>
          <w:sz w:val="22"/>
          <w:szCs w:val="22"/>
        </w:rPr>
        <w:t>.</w:t>
      </w:r>
    </w:p>
    <w:p w14:paraId="68CB8AE9" w14:textId="62AD1EED" w:rsidR="00614F10" w:rsidRDefault="00614F10" w:rsidP="00614F10">
      <w:pPr>
        <w:spacing w:before="120" w:after="120"/>
        <w:rPr>
          <w:rFonts w:ascii="Arial" w:hAnsi="Arial" w:cs="Arial"/>
          <w:sz w:val="22"/>
          <w:szCs w:val="22"/>
        </w:rPr>
      </w:pPr>
      <w:r w:rsidRPr="00614F10">
        <w:rPr>
          <w:rFonts w:ascii="Arial" w:hAnsi="Arial" w:cs="Arial"/>
          <w:sz w:val="22"/>
          <w:szCs w:val="22"/>
        </w:rPr>
        <w:t>PBAC commented that the use of evolocumab to treat homozygous hypercholesterolaemia was underestimated, but some of the apparent overuse for homozygous hypercholesterolaemia and underuse for heterozygous hypercholesterolaemia may be due to an inaccurate assignment of the relevant streamlined authority codes. PBAC also noted that the clinical criteria for the Dutch Lipid Clinic Network Score may result in some patients who are heterozygous being classified as homozygous.</w:t>
      </w:r>
    </w:p>
    <w:p w14:paraId="26884DE8" w14:textId="77777777" w:rsidR="001E1951" w:rsidRDefault="001E1951" w:rsidP="00614F10">
      <w:pPr>
        <w:spacing w:before="120" w:after="120"/>
        <w:rPr>
          <w:rFonts w:ascii="Arial" w:hAnsi="Arial" w:cs="Arial"/>
          <w:sz w:val="22"/>
          <w:szCs w:val="22"/>
        </w:rPr>
      </w:pPr>
    </w:p>
    <w:p w14:paraId="02BBAA8F" w14:textId="5B2A185D" w:rsidR="00614F10" w:rsidRPr="00614F10" w:rsidRDefault="00614F10" w:rsidP="00614F10">
      <w:pPr>
        <w:spacing w:before="120" w:after="120"/>
        <w:rPr>
          <w:rFonts w:ascii="Arial" w:hAnsi="Arial" w:cs="Arial"/>
          <w:b/>
          <w:sz w:val="22"/>
          <w:lang w:val="en-AU" w:eastAsia="en-AU"/>
        </w:rPr>
      </w:pPr>
      <w:r w:rsidRPr="00614F10">
        <w:rPr>
          <w:rFonts w:ascii="Arial" w:hAnsi="Arial" w:cs="Arial"/>
          <w:b/>
          <w:sz w:val="22"/>
          <w:lang w:val="en-AU" w:eastAsia="en-AU"/>
        </w:rPr>
        <w:t>Guanfacine for attention deficit hyperactivity disorder</w:t>
      </w:r>
      <w:r w:rsidR="00683251">
        <w:rPr>
          <w:rFonts w:ascii="Arial" w:hAnsi="Arial" w:cs="Arial"/>
          <w:b/>
          <w:sz w:val="22"/>
          <w:lang w:val="en-AU" w:eastAsia="en-AU"/>
        </w:rPr>
        <w:t xml:space="preserve"> (ADHD)</w:t>
      </w:r>
    </w:p>
    <w:p w14:paraId="553B50ED" w14:textId="77777777" w:rsidR="00614F10" w:rsidRPr="00362AC3" w:rsidRDefault="00614F10" w:rsidP="00614F10">
      <w:pPr>
        <w:spacing w:after="120"/>
        <w:rPr>
          <w:rFonts w:ascii="Arial" w:hAnsi="Arial" w:cs="Arial"/>
          <w:i/>
          <w:sz w:val="22"/>
          <w:szCs w:val="22"/>
        </w:rPr>
      </w:pPr>
      <w:r w:rsidRPr="00362AC3">
        <w:rPr>
          <w:rFonts w:ascii="Arial" w:hAnsi="Arial" w:cs="Arial"/>
          <w:i/>
          <w:sz w:val="22"/>
          <w:szCs w:val="22"/>
        </w:rPr>
        <w:t>Outcome</w:t>
      </w:r>
    </w:p>
    <w:p w14:paraId="6306D1F8" w14:textId="77777777" w:rsidR="00614F10" w:rsidRPr="00614F10" w:rsidRDefault="00614F10" w:rsidP="00614F10">
      <w:pPr>
        <w:spacing w:before="120" w:after="120"/>
        <w:rPr>
          <w:rFonts w:ascii="Arial" w:hAnsi="Arial" w:cs="Arial"/>
          <w:sz w:val="22"/>
          <w:szCs w:val="22"/>
        </w:rPr>
      </w:pPr>
      <w:r w:rsidRPr="00614F10">
        <w:rPr>
          <w:rFonts w:ascii="Arial" w:hAnsi="Arial" w:cs="Arial"/>
          <w:sz w:val="22"/>
          <w:szCs w:val="22"/>
        </w:rPr>
        <w:t>PBAC considered that clonidine was likely being prescribed for patients 18 years and under as a medication for ADHD. PBAC considered that clonidine may be used as a sedative in children and adolescents due to the side effects of psychostimulant medications used to treat ADHD. PBAC noted that clonidine use was greater than expected and considered that clonidine may be initiated by general practitioners, possibly due to access issues to psychiatrists and paediatricians.</w:t>
      </w:r>
    </w:p>
    <w:p w14:paraId="17B1FE59" w14:textId="77777777" w:rsidR="00614F10" w:rsidRPr="00614F10" w:rsidRDefault="00614F10" w:rsidP="00614F10">
      <w:pPr>
        <w:spacing w:before="120" w:after="120"/>
        <w:rPr>
          <w:rFonts w:ascii="Arial" w:hAnsi="Arial" w:cs="Arial"/>
          <w:sz w:val="22"/>
          <w:szCs w:val="22"/>
        </w:rPr>
      </w:pPr>
      <w:r w:rsidRPr="00614F10">
        <w:rPr>
          <w:rFonts w:ascii="Arial" w:hAnsi="Arial" w:cs="Arial"/>
          <w:sz w:val="22"/>
          <w:szCs w:val="22"/>
        </w:rPr>
        <w:t xml:space="preserve">PBAC noted that the prevalence of ADHD medications did not appear saturated and considered that patients are beginning therapy and not stopping. </w:t>
      </w:r>
    </w:p>
    <w:p w14:paraId="22775B59" w14:textId="77777777" w:rsidR="00614F10" w:rsidRPr="00614F10" w:rsidRDefault="00614F10" w:rsidP="00614F10">
      <w:pPr>
        <w:spacing w:before="120" w:after="120"/>
        <w:rPr>
          <w:rFonts w:ascii="Arial" w:hAnsi="Arial" w:cs="Arial"/>
          <w:sz w:val="22"/>
          <w:szCs w:val="22"/>
        </w:rPr>
      </w:pPr>
      <w:r w:rsidRPr="00614F10">
        <w:rPr>
          <w:rFonts w:ascii="Arial" w:hAnsi="Arial" w:cs="Arial"/>
          <w:sz w:val="22"/>
          <w:szCs w:val="22"/>
        </w:rPr>
        <w:t>PBAC noted that guanfacine appeared to have grown the market. PBAC considered that guanfacine was being used similarly to clonidine i.e. as add-on therapy, rather than being supplied as monotherapy. PBAC noted that paediatricians and psychiatrists had continued to prescribe clonidine at similar rates after the introduction of guanfacine.</w:t>
      </w:r>
    </w:p>
    <w:p w14:paraId="329F2F3A" w14:textId="77777777" w:rsidR="001E1951" w:rsidRDefault="001E1951" w:rsidP="001F312C">
      <w:pPr>
        <w:spacing w:after="120"/>
        <w:rPr>
          <w:rFonts w:ascii="Arial" w:hAnsi="Arial" w:cs="Arial"/>
          <w:b/>
          <w:sz w:val="22"/>
          <w:lang w:val="en-AU" w:eastAsia="en-AU"/>
        </w:rPr>
      </w:pPr>
    </w:p>
    <w:p w14:paraId="03FC874F" w14:textId="32424008" w:rsidR="001F312C" w:rsidRPr="00683251" w:rsidRDefault="00683251" w:rsidP="001F312C">
      <w:pPr>
        <w:spacing w:after="120"/>
        <w:rPr>
          <w:rFonts w:ascii="Arial" w:hAnsi="Arial" w:cs="Arial"/>
          <w:b/>
          <w:sz w:val="22"/>
          <w:lang w:val="en-AU" w:eastAsia="en-AU"/>
        </w:rPr>
      </w:pPr>
      <w:r w:rsidRPr="00683251">
        <w:rPr>
          <w:rFonts w:ascii="Arial" w:hAnsi="Arial" w:cs="Arial"/>
          <w:b/>
          <w:sz w:val="22"/>
          <w:lang w:val="en-AU" w:eastAsia="en-AU"/>
        </w:rPr>
        <w:lastRenderedPageBreak/>
        <w:t>Utilisation of somatropin</w:t>
      </w:r>
    </w:p>
    <w:p w14:paraId="1780D3F3" w14:textId="14A9E645" w:rsidR="00683251" w:rsidRPr="00AC2CB7" w:rsidRDefault="00683251" w:rsidP="001F312C">
      <w:pPr>
        <w:spacing w:after="120"/>
        <w:rPr>
          <w:rFonts w:ascii="Arial" w:hAnsi="Arial" w:cs="Arial"/>
          <w:i/>
          <w:sz w:val="22"/>
          <w:szCs w:val="22"/>
        </w:rPr>
      </w:pPr>
      <w:r w:rsidRPr="00362AC3">
        <w:rPr>
          <w:rFonts w:ascii="Arial" w:hAnsi="Arial" w:cs="Arial"/>
          <w:i/>
          <w:sz w:val="22"/>
          <w:szCs w:val="22"/>
        </w:rPr>
        <w:t>Outcome</w:t>
      </w:r>
    </w:p>
    <w:p w14:paraId="03C730E7" w14:textId="77777777" w:rsidR="00683251" w:rsidRPr="00683251" w:rsidRDefault="00683251" w:rsidP="00683251">
      <w:pPr>
        <w:spacing w:before="120" w:after="120"/>
        <w:rPr>
          <w:rFonts w:ascii="Arial" w:hAnsi="Arial" w:cs="Arial"/>
          <w:sz w:val="22"/>
          <w:szCs w:val="22"/>
        </w:rPr>
      </w:pPr>
      <w:r w:rsidRPr="00683251">
        <w:rPr>
          <w:rFonts w:ascii="Arial" w:hAnsi="Arial" w:cs="Arial"/>
          <w:sz w:val="22"/>
          <w:szCs w:val="22"/>
        </w:rPr>
        <w:t xml:space="preserve">PBAC noted that between 2016 and 2020 the number of treated patients increased from 2,011 to 3,178. PBAC noted the changes to listing in 2019 and 2020 which involved broadening the eligibility criteria for paediatric patients and amendments to the adult listing in relation to continued access for patients when they reach adulthood. PBAC considered the increased utilisation reflected the changes made to the listing with the addition of new clinical subgroups. </w:t>
      </w:r>
    </w:p>
    <w:p w14:paraId="59579825" w14:textId="3D418A50" w:rsidR="00683251" w:rsidRPr="00683251" w:rsidRDefault="00683251" w:rsidP="00683251">
      <w:pPr>
        <w:spacing w:before="120" w:after="120"/>
        <w:rPr>
          <w:rFonts w:ascii="Arial" w:hAnsi="Arial" w:cs="Arial"/>
          <w:sz w:val="22"/>
          <w:szCs w:val="22"/>
        </w:rPr>
      </w:pPr>
      <w:r w:rsidRPr="00683251">
        <w:rPr>
          <w:rFonts w:ascii="Arial" w:hAnsi="Arial" w:cs="Arial"/>
          <w:sz w:val="22"/>
          <w:szCs w:val="22"/>
        </w:rPr>
        <w:t>PBAC noted the requirement for prescribers to use the Quality of Life Assessment of Growth Hormone Deficiency in Adults (QoL-AGHDA) questionnaire for adults with severe growth hormone deficiency was removed from the somatropin restrictions in September 2019</w:t>
      </w:r>
      <w:r>
        <w:rPr>
          <w:rFonts w:ascii="Arial" w:hAnsi="Arial" w:cs="Arial"/>
          <w:sz w:val="22"/>
          <w:szCs w:val="22"/>
        </w:rPr>
        <w:t xml:space="preserve">. </w:t>
      </w:r>
      <w:r w:rsidRPr="00683251">
        <w:rPr>
          <w:rFonts w:ascii="Arial" w:hAnsi="Arial" w:cs="Arial"/>
          <w:sz w:val="22"/>
          <w:szCs w:val="22"/>
        </w:rPr>
        <w:t>PBAC considered adult patients receiving somatropin treatment would likely be appropriately indicated for treatment and noted endocrinologist input which did not raise concern of use in adults outside of expectations.</w:t>
      </w:r>
    </w:p>
    <w:p w14:paraId="709D0950" w14:textId="77777777" w:rsidR="001D0ACE" w:rsidRPr="006D0A58" w:rsidRDefault="001D0ACE" w:rsidP="00EF7DF2">
      <w:pPr>
        <w:spacing w:before="120" w:after="120"/>
        <w:jc w:val="both"/>
        <w:rPr>
          <w:rFonts w:ascii="Arial" w:hAnsi="Arial" w:cs="Arial"/>
          <w:sz w:val="22"/>
          <w:szCs w:val="22"/>
        </w:rPr>
      </w:pPr>
    </w:p>
    <w:sectPr w:rsidR="001D0ACE" w:rsidRPr="006D0A58" w:rsidSect="007A242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0FFAC" w14:textId="77777777" w:rsidR="001F312C" w:rsidRDefault="001F312C">
      <w:r>
        <w:separator/>
      </w:r>
    </w:p>
  </w:endnote>
  <w:endnote w:type="continuationSeparator" w:id="0">
    <w:p w14:paraId="1EBA2AEF" w14:textId="77777777" w:rsidR="001F312C" w:rsidRDefault="001F3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6D465" w14:textId="77777777" w:rsidR="00614F10" w:rsidRDefault="0061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7F5BA" w14:textId="77777777" w:rsidR="001F312C" w:rsidRPr="004630FE" w:rsidRDefault="001F312C">
    <w:pPr>
      <w:pStyle w:val="Footer"/>
      <w:jc w:val="center"/>
      <w:rPr>
        <w:rFonts w:ascii="Arial" w:hAnsi="Arial" w:cs="Arial"/>
        <w:sz w:val="22"/>
      </w:rPr>
    </w:pPr>
  </w:p>
  <w:p w14:paraId="2DAABEFB" w14:textId="0E7918E6" w:rsidR="001F312C" w:rsidRPr="004630FE" w:rsidRDefault="001F312C">
    <w:pPr>
      <w:pStyle w:val="Footer"/>
      <w:jc w:val="center"/>
      <w:rPr>
        <w:rFonts w:ascii="Arial" w:hAnsi="Arial" w:cs="Arial"/>
        <w:sz w:val="22"/>
      </w:rPr>
    </w:pPr>
    <w:r w:rsidRPr="004630FE">
      <w:rPr>
        <w:rFonts w:ascii="Arial" w:hAnsi="Arial" w:cs="Arial"/>
        <w:sz w:val="22"/>
      </w:rPr>
      <w:fldChar w:fldCharType="begin"/>
    </w:r>
    <w:r w:rsidRPr="004630FE">
      <w:rPr>
        <w:rFonts w:ascii="Arial" w:hAnsi="Arial" w:cs="Arial"/>
        <w:sz w:val="22"/>
      </w:rPr>
      <w:instrText xml:space="preserve"> PAGE   \* MERGEFORMAT </w:instrText>
    </w:r>
    <w:r w:rsidRPr="004630FE">
      <w:rPr>
        <w:rFonts w:ascii="Arial" w:hAnsi="Arial" w:cs="Arial"/>
        <w:sz w:val="22"/>
      </w:rPr>
      <w:fldChar w:fldCharType="separate"/>
    </w:r>
    <w:r w:rsidR="00BB5497">
      <w:rPr>
        <w:rFonts w:ascii="Arial" w:hAnsi="Arial" w:cs="Arial"/>
        <w:noProof/>
        <w:sz w:val="22"/>
      </w:rPr>
      <w:t>1</w:t>
    </w:r>
    <w:r w:rsidRPr="004630FE">
      <w:rPr>
        <w:rFonts w:ascii="Arial" w:hAnsi="Arial" w:cs="Arial"/>
        <w:noProof/>
        <w:sz w:val="22"/>
      </w:rPr>
      <w:fldChar w:fldCharType="end"/>
    </w:r>
  </w:p>
  <w:p w14:paraId="0A6D77EE" w14:textId="77777777" w:rsidR="001F312C" w:rsidRDefault="001F31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10DA" w14:textId="77777777" w:rsidR="00614F10" w:rsidRDefault="00614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E734C" w14:textId="77777777" w:rsidR="001F312C" w:rsidRDefault="001F312C">
      <w:r>
        <w:separator/>
      </w:r>
    </w:p>
  </w:footnote>
  <w:footnote w:type="continuationSeparator" w:id="0">
    <w:p w14:paraId="13C39C5A" w14:textId="77777777" w:rsidR="001F312C" w:rsidRDefault="001F3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DFF8B" w14:textId="77777777" w:rsidR="00614F10" w:rsidRDefault="00614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587D6" w14:textId="53FF14D0" w:rsidR="001F312C" w:rsidRPr="00520B6E" w:rsidRDefault="00614F10" w:rsidP="004630FE">
    <w:pPr>
      <w:tabs>
        <w:tab w:val="center" w:pos="4153"/>
        <w:tab w:val="right" w:pos="8306"/>
      </w:tabs>
      <w:jc w:val="center"/>
      <w:rPr>
        <w:rFonts w:ascii="Arial" w:hAnsi="Arial" w:cs="Arial"/>
        <w:b/>
        <w:sz w:val="20"/>
      </w:rPr>
    </w:pPr>
    <w:r>
      <w:rPr>
        <w:rFonts w:ascii="Arial" w:hAnsi="Arial" w:cs="Arial"/>
        <w:b/>
        <w:sz w:val="20"/>
      </w:rPr>
      <w:t>JULY</w:t>
    </w:r>
    <w:r w:rsidR="00BD0BA3">
      <w:rPr>
        <w:rFonts w:ascii="Arial" w:hAnsi="Arial" w:cs="Arial"/>
        <w:b/>
        <w:sz w:val="20"/>
      </w:rPr>
      <w:t xml:space="preserve"> </w:t>
    </w:r>
    <w:r w:rsidR="001F312C">
      <w:rPr>
        <w:rFonts w:ascii="Arial" w:hAnsi="Arial" w:cs="Arial"/>
        <w:b/>
        <w:sz w:val="20"/>
      </w:rPr>
      <w:t>202</w:t>
    </w:r>
    <w:r w:rsidR="00BD0BA3">
      <w:rPr>
        <w:rFonts w:ascii="Arial" w:hAnsi="Arial" w:cs="Arial"/>
        <w:b/>
        <w:sz w:val="20"/>
      </w:rPr>
      <w:t>1</w:t>
    </w:r>
    <w:r w:rsidR="001F312C" w:rsidRPr="00341E66">
      <w:rPr>
        <w:rFonts w:ascii="Arial" w:hAnsi="Arial" w:cs="Arial"/>
        <w:b/>
        <w:sz w:val="20"/>
      </w:rPr>
      <w:t xml:space="preserve"> </w:t>
    </w:r>
    <w:r w:rsidR="001F312C" w:rsidRPr="00520B6E">
      <w:rPr>
        <w:rFonts w:ascii="Arial" w:hAnsi="Arial" w:cs="Arial"/>
        <w:b/>
        <w:sz w:val="20"/>
      </w:rPr>
      <w:t>PBAC M</w:t>
    </w:r>
    <w:r w:rsidR="001F312C">
      <w:rPr>
        <w:rFonts w:ascii="Arial" w:hAnsi="Arial" w:cs="Arial"/>
        <w:b/>
        <w:sz w:val="20"/>
      </w:rPr>
      <w:t>EETING – CONSIDERATION OF THE</w:t>
    </w:r>
    <w:r w:rsidR="001F312C" w:rsidRPr="00520B6E">
      <w:rPr>
        <w:rFonts w:ascii="Arial" w:hAnsi="Arial" w:cs="Arial"/>
        <w:b/>
        <w:sz w:val="20"/>
      </w:rPr>
      <w:t xml:space="preserve"> </w:t>
    </w:r>
    <w:r w:rsidR="001F312C">
      <w:rPr>
        <w:rFonts w:ascii="Arial" w:hAnsi="Arial" w:cs="Arial"/>
        <w:b/>
        <w:sz w:val="20"/>
      </w:rPr>
      <w:t>REPORT OF THE DRUG UTILISATION SUB</w:t>
    </w:r>
    <w:r w:rsidR="001F312C">
      <w:rPr>
        <w:rFonts w:ascii="Arial" w:hAnsi="Arial" w:cs="Arial"/>
        <w:b/>
        <w:sz w:val="20"/>
      </w:rPr>
      <w:noBreakHyphen/>
      <w:t>COMMITTEE</w:t>
    </w:r>
  </w:p>
  <w:p w14:paraId="6758E2CC" w14:textId="77777777" w:rsidR="001F312C" w:rsidRDefault="001F31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365D5" w14:textId="77777777" w:rsidR="00614F10" w:rsidRDefault="00614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B16DE"/>
    <w:multiLevelType w:val="multilevel"/>
    <w:tmpl w:val="51AA4F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B031B9"/>
    <w:multiLevelType w:val="multilevel"/>
    <w:tmpl w:val="6A0E1B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F4C1A3A"/>
    <w:multiLevelType w:val="hybridMultilevel"/>
    <w:tmpl w:val="C1B245C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15:restartNumberingAfterBreak="0">
    <w:nsid w:val="48DD109F"/>
    <w:multiLevelType w:val="multilevel"/>
    <w:tmpl w:val="95D6B714"/>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5F050041"/>
    <w:multiLevelType w:val="multilevel"/>
    <w:tmpl w:val="5CB87B68"/>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60FC76BD"/>
    <w:multiLevelType w:val="hybridMultilevel"/>
    <w:tmpl w:val="F474C00E"/>
    <w:lvl w:ilvl="0" w:tplc="BF768F3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D522C5"/>
    <w:multiLevelType w:val="multilevel"/>
    <w:tmpl w:val="4E1A9C78"/>
    <w:lvl w:ilvl="0">
      <w:start w:val="1"/>
      <w:numFmt w:val="decimal"/>
      <w:lvlText w:val="%1"/>
      <w:lvlJc w:val="left"/>
      <w:pPr>
        <w:ind w:left="1440" w:hanging="720"/>
      </w:pPr>
      <w:rPr>
        <w:rFonts w:hint="default"/>
      </w:rPr>
    </w:lvl>
    <w:lvl w:ilvl="1">
      <w:start w:val="1"/>
      <w:numFmt w:val="bullet"/>
      <w:lvlText w:val=""/>
      <w:lvlJc w:val="left"/>
      <w:pPr>
        <w:ind w:left="1440" w:hanging="720"/>
      </w:pPr>
      <w:rPr>
        <w:rFonts w:ascii="Symbol" w:hAnsi="Symbol" w:hint="default"/>
        <w:i w:val="0"/>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7F874411"/>
    <w:multiLevelType w:val="multilevel"/>
    <w:tmpl w:val="29F890DE"/>
    <w:lvl w:ilvl="0">
      <w:start w:val="1"/>
      <w:numFmt w:val="bullet"/>
      <w:lvlText w:val=""/>
      <w:lvlJc w:val="left"/>
      <w:pPr>
        <w:ind w:left="720" w:hanging="72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4"/>
  </w:num>
  <w:num w:numId="3">
    <w:abstractNumId w:val="1"/>
  </w:num>
  <w:num w:numId="4">
    <w:abstractNumId w:val="5"/>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6A"/>
    <w:rsid w:val="0002143A"/>
    <w:rsid w:val="00034F16"/>
    <w:rsid w:val="000413ED"/>
    <w:rsid w:val="00046F5C"/>
    <w:rsid w:val="0006056A"/>
    <w:rsid w:val="00060A45"/>
    <w:rsid w:val="00095F78"/>
    <w:rsid w:val="000A2CDC"/>
    <w:rsid w:val="000B2DD0"/>
    <w:rsid w:val="000C6902"/>
    <w:rsid w:val="0014056F"/>
    <w:rsid w:val="001416A4"/>
    <w:rsid w:val="00156D69"/>
    <w:rsid w:val="00176F11"/>
    <w:rsid w:val="001B5725"/>
    <w:rsid w:val="001D0ACE"/>
    <w:rsid w:val="001D0B69"/>
    <w:rsid w:val="001D45AF"/>
    <w:rsid w:val="001E1951"/>
    <w:rsid w:val="001E7E86"/>
    <w:rsid w:val="001F0355"/>
    <w:rsid w:val="001F312C"/>
    <w:rsid w:val="00250A1C"/>
    <w:rsid w:val="00251848"/>
    <w:rsid w:val="00265781"/>
    <w:rsid w:val="00267A9D"/>
    <w:rsid w:val="0028590B"/>
    <w:rsid w:val="002D4006"/>
    <w:rsid w:val="002E7273"/>
    <w:rsid w:val="002F7591"/>
    <w:rsid w:val="002F775E"/>
    <w:rsid w:val="00301E55"/>
    <w:rsid w:val="003172AB"/>
    <w:rsid w:val="00326328"/>
    <w:rsid w:val="00341E66"/>
    <w:rsid w:val="00362AC3"/>
    <w:rsid w:val="00385940"/>
    <w:rsid w:val="00397836"/>
    <w:rsid w:val="003B79EE"/>
    <w:rsid w:val="003C2B83"/>
    <w:rsid w:val="00400159"/>
    <w:rsid w:val="0040140B"/>
    <w:rsid w:val="00407FAA"/>
    <w:rsid w:val="004630FE"/>
    <w:rsid w:val="00464B70"/>
    <w:rsid w:val="00464DA0"/>
    <w:rsid w:val="004669DB"/>
    <w:rsid w:val="004A1627"/>
    <w:rsid w:val="004D4DEE"/>
    <w:rsid w:val="004E76AE"/>
    <w:rsid w:val="00507F23"/>
    <w:rsid w:val="00514593"/>
    <w:rsid w:val="005166A6"/>
    <w:rsid w:val="00553E58"/>
    <w:rsid w:val="005616CC"/>
    <w:rsid w:val="005642B3"/>
    <w:rsid w:val="00565336"/>
    <w:rsid w:val="005732A3"/>
    <w:rsid w:val="00575B2C"/>
    <w:rsid w:val="00582F85"/>
    <w:rsid w:val="005C202C"/>
    <w:rsid w:val="005D081A"/>
    <w:rsid w:val="005F2273"/>
    <w:rsid w:val="006102C6"/>
    <w:rsid w:val="00614F10"/>
    <w:rsid w:val="00641F0C"/>
    <w:rsid w:val="00647788"/>
    <w:rsid w:val="00652D57"/>
    <w:rsid w:val="00666863"/>
    <w:rsid w:val="00677683"/>
    <w:rsid w:val="00683251"/>
    <w:rsid w:val="006847AC"/>
    <w:rsid w:val="006951BF"/>
    <w:rsid w:val="006A2EB2"/>
    <w:rsid w:val="006A5F26"/>
    <w:rsid w:val="006D0A58"/>
    <w:rsid w:val="006D36DC"/>
    <w:rsid w:val="006D4F54"/>
    <w:rsid w:val="006D593A"/>
    <w:rsid w:val="006E57A3"/>
    <w:rsid w:val="0070348A"/>
    <w:rsid w:val="007178BA"/>
    <w:rsid w:val="0073297F"/>
    <w:rsid w:val="00793AF0"/>
    <w:rsid w:val="007A2421"/>
    <w:rsid w:val="007C758A"/>
    <w:rsid w:val="007F4E20"/>
    <w:rsid w:val="00801B19"/>
    <w:rsid w:val="00816A6C"/>
    <w:rsid w:val="008545D1"/>
    <w:rsid w:val="008842CE"/>
    <w:rsid w:val="008866E8"/>
    <w:rsid w:val="00890D53"/>
    <w:rsid w:val="008934F5"/>
    <w:rsid w:val="008A4311"/>
    <w:rsid w:val="008A4B6F"/>
    <w:rsid w:val="008B4388"/>
    <w:rsid w:val="008D020C"/>
    <w:rsid w:val="008E354F"/>
    <w:rsid w:val="009203A6"/>
    <w:rsid w:val="00922E47"/>
    <w:rsid w:val="00925E21"/>
    <w:rsid w:val="00933952"/>
    <w:rsid w:val="00997EA7"/>
    <w:rsid w:val="009E7E00"/>
    <w:rsid w:val="00A03E25"/>
    <w:rsid w:val="00A0539F"/>
    <w:rsid w:val="00A25973"/>
    <w:rsid w:val="00A31269"/>
    <w:rsid w:val="00A32269"/>
    <w:rsid w:val="00A47E2F"/>
    <w:rsid w:val="00A70179"/>
    <w:rsid w:val="00A74CCD"/>
    <w:rsid w:val="00A76D1B"/>
    <w:rsid w:val="00A9331B"/>
    <w:rsid w:val="00AA5E4E"/>
    <w:rsid w:val="00AC0FFB"/>
    <w:rsid w:val="00AC2CB7"/>
    <w:rsid w:val="00AC4352"/>
    <w:rsid w:val="00AD2551"/>
    <w:rsid w:val="00AD37E5"/>
    <w:rsid w:val="00AF2F79"/>
    <w:rsid w:val="00AF3B3E"/>
    <w:rsid w:val="00AF6DA0"/>
    <w:rsid w:val="00B13AD3"/>
    <w:rsid w:val="00B1693A"/>
    <w:rsid w:val="00B20C0D"/>
    <w:rsid w:val="00B26B58"/>
    <w:rsid w:val="00B445D9"/>
    <w:rsid w:val="00B50A69"/>
    <w:rsid w:val="00B532C3"/>
    <w:rsid w:val="00B94AFC"/>
    <w:rsid w:val="00B95F3B"/>
    <w:rsid w:val="00BA0860"/>
    <w:rsid w:val="00BB5497"/>
    <w:rsid w:val="00BC3BE5"/>
    <w:rsid w:val="00BD0BA3"/>
    <w:rsid w:val="00BD4745"/>
    <w:rsid w:val="00BE182E"/>
    <w:rsid w:val="00BE4405"/>
    <w:rsid w:val="00C22340"/>
    <w:rsid w:val="00C22AB9"/>
    <w:rsid w:val="00C636C2"/>
    <w:rsid w:val="00CB56CD"/>
    <w:rsid w:val="00CB6BC5"/>
    <w:rsid w:val="00CD04DF"/>
    <w:rsid w:val="00CD2ADF"/>
    <w:rsid w:val="00CD4158"/>
    <w:rsid w:val="00D03290"/>
    <w:rsid w:val="00D068D4"/>
    <w:rsid w:val="00D47451"/>
    <w:rsid w:val="00D51F57"/>
    <w:rsid w:val="00D7136A"/>
    <w:rsid w:val="00D72D36"/>
    <w:rsid w:val="00DA25F6"/>
    <w:rsid w:val="00DA2A81"/>
    <w:rsid w:val="00DB4B4C"/>
    <w:rsid w:val="00DC7A41"/>
    <w:rsid w:val="00DE6CA5"/>
    <w:rsid w:val="00E11B1E"/>
    <w:rsid w:val="00E16015"/>
    <w:rsid w:val="00E24412"/>
    <w:rsid w:val="00E25A33"/>
    <w:rsid w:val="00E37984"/>
    <w:rsid w:val="00E659DB"/>
    <w:rsid w:val="00E65BFD"/>
    <w:rsid w:val="00EA43F8"/>
    <w:rsid w:val="00EB38E2"/>
    <w:rsid w:val="00ED0E5B"/>
    <w:rsid w:val="00EE523C"/>
    <w:rsid w:val="00EE68E4"/>
    <w:rsid w:val="00EF7DF2"/>
    <w:rsid w:val="00F32FEB"/>
    <w:rsid w:val="00F514E4"/>
    <w:rsid w:val="00F628C7"/>
    <w:rsid w:val="00F66E50"/>
    <w:rsid w:val="00F8213A"/>
    <w:rsid w:val="00F87883"/>
    <w:rsid w:val="00FA4D8A"/>
    <w:rsid w:val="00FB5E27"/>
    <w:rsid w:val="00FD0680"/>
    <w:rsid w:val="00FD3A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14:docId w14:val="220B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36A"/>
    <w:rPr>
      <w:rFonts w:eastAsia="Times New Roman"/>
      <w:sz w:val="24"/>
      <w:szCs w:val="24"/>
      <w:lang w:val="en-US" w:eastAsia="en-US"/>
    </w:rPr>
  </w:style>
  <w:style w:type="paragraph" w:styleId="Heading2">
    <w:name w:val="heading 2"/>
    <w:basedOn w:val="Normal"/>
    <w:next w:val="Normal"/>
    <w:link w:val="Heading2Char"/>
    <w:uiPriority w:val="9"/>
    <w:semiHidden/>
    <w:unhideWhenUsed/>
    <w:qFormat/>
    <w:rsid w:val="00D7136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36A"/>
    <w:pPr>
      <w:tabs>
        <w:tab w:val="center" w:pos="4513"/>
        <w:tab w:val="right" w:pos="9026"/>
      </w:tabs>
    </w:pPr>
  </w:style>
  <w:style w:type="character" w:customStyle="1" w:styleId="HeaderChar">
    <w:name w:val="Header Char"/>
    <w:link w:val="Header"/>
    <w:rsid w:val="00D7136A"/>
    <w:rPr>
      <w:rFonts w:eastAsia="Times New Roman" w:cs="Times New Roman"/>
      <w:szCs w:val="24"/>
      <w:lang w:val="en-US"/>
    </w:rPr>
  </w:style>
  <w:style w:type="paragraph" w:customStyle="1" w:styleId="DepartmentalHeading2">
    <w:name w:val="Departmental Heading 2"/>
    <w:basedOn w:val="Heading2"/>
    <w:rsid w:val="00D7136A"/>
    <w:pPr>
      <w:keepLines w:val="0"/>
      <w:spacing w:before="240" w:after="60"/>
    </w:pPr>
    <w:rPr>
      <w:rFonts w:ascii="Arial" w:hAnsi="Arial"/>
      <w:bCs w:val="0"/>
      <w:color w:val="auto"/>
      <w:sz w:val="24"/>
      <w:szCs w:val="20"/>
      <w:lang w:val="en-AU" w:eastAsia="en-AU"/>
    </w:rPr>
  </w:style>
  <w:style w:type="character" w:styleId="Hyperlink">
    <w:name w:val="Hyperlink"/>
    <w:rsid w:val="00D7136A"/>
    <w:rPr>
      <w:color w:val="0000FF"/>
      <w:u w:val="single"/>
    </w:rPr>
  </w:style>
  <w:style w:type="character" w:styleId="CommentReference">
    <w:name w:val="annotation reference"/>
    <w:rsid w:val="00D7136A"/>
    <w:rPr>
      <w:sz w:val="16"/>
      <w:szCs w:val="16"/>
    </w:rPr>
  </w:style>
  <w:style w:type="paragraph" w:styleId="CommentText">
    <w:name w:val="annotation text"/>
    <w:basedOn w:val="Normal"/>
    <w:link w:val="CommentTextChar"/>
    <w:rsid w:val="00D7136A"/>
    <w:rPr>
      <w:sz w:val="20"/>
      <w:szCs w:val="20"/>
    </w:rPr>
  </w:style>
  <w:style w:type="character" w:customStyle="1" w:styleId="CommentTextChar">
    <w:name w:val="Comment Text Char"/>
    <w:link w:val="CommentText"/>
    <w:rsid w:val="00D7136A"/>
    <w:rPr>
      <w:rFonts w:eastAsia="Times New Roman" w:cs="Times New Roman"/>
      <w:sz w:val="20"/>
      <w:szCs w:val="20"/>
      <w:lang w:val="en-US"/>
    </w:rPr>
  </w:style>
  <w:style w:type="character" w:customStyle="1" w:styleId="Heading2Char">
    <w:name w:val="Heading 2 Char"/>
    <w:link w:val="Heading2"/>
    <w:uiPriority w:val="9"/>
    <w:semiHidden/>
    <w:rsid w:val="00D7136A"/>
    <w:rPr>
      <w:rFonts w:ascii="Cambria" w:eastAsia="Times New Roman" w:hAnsi="Cambria" w:cs="Times New Roman"/>
      <w:b/>
      <w:bCs/>
      <w:color w:val="4F81BD"/>
      <w:sz w:val="26"/>
      <w:szCs w:val="26"/>
      <w:lang w:val="en-US"/>
    </w:rPr>
  </w:style>
  <w:style w:type="paragraph" w:styleId="BalloonText">
    <w:name w:val="Balloon Text"/>
    <w:basedOn w:val="Normal"/>
    <w:link w:val="BalloonTextChar"/>
    <w:semiHidden/>
    <w:unhideWhenUsed/>
    <w:rsid w:val="00D7136A"/>
    <w:rPr>
      <w:rFonts w:ascii="Tahoma" w:hAnsi="Tahoma" w:cs="Tahoma"/>
      <w:sz w:val="16"/>
      <w:szCs w:val="16"/>
    </w:rPr>
  </w:style>
  <w:style w:type="character" w:customStyle="1" w:styleId="BalloonTextChar">
    <w:name w:val="Balloon Text Char"/>
    <w:link w:val="BalloonText"/>
    <w:semiHidden/>
    <w:rsid w:val="00D7136A"/>
    <w:rPr>
      <w:rFonts w:ascii="Tahoma" w:eastAsia="Times New Roman" w:hAnsi="Tahoma" w:cs="Tahoma"/>
      <w:sz w:val="16"/>
      <w:szCs w:val="16"/>
      <w:lang w:val="en-US"/>
    </w:rPr>
  </w:style>
  <w:style w:type="paragraph" w:styleId="Footer">
    <w:name w:val="footer"/>
    <w:basedOn w:val="Normal"/>
    <w:link w:val="FooterChar"/>
    <w:uiPriority w:val="99"/>
    <w:unhideWhenUsed/>
    <w:rsid w:val="004630FE"/>
    <w:pPr>
      <w:tabs>
        <w:tab w:val="center" w:pos="4513"/>
        <w:tab w:val="right" w:pos="9026"/>
      </w:tabs>
    </w:pPr>
  </w:style>
  <w:style w:type="character" w:customStyle="1" w:styleId="FooterChar">
    <w:name w:val="Footer Char"/>
    <w:link w:val="Footer"/>
    <w:uiPriority w:val="99"/>
    <w:rsid w:val="004630FE"/>
    <w:rPr>
      <w:rFonts w:eastAsia="Times New Roman" w:cs="Times New Roman"/>
      <w:szCs w:val="24"/>
      <w:lang w:val="en-US"/>
    </w:rPr>
  </w:style>
  <w:style w:type="paragraph" w:styleId="ListParagraph">
    <w:name w:val="List Paragraph"/>
    <w:aliases w:val="BulletPoints,Bullet point,List Paragraph1,List Paragraph11,Recommendation,Numbered para,#List Paragraph,L,Bullet Level 1,Bullet Point,Bulletr List Paragraph,Content descriptions,FooterText,List Bullet 1,List Paragraph2,List Paragraph21,列"/>
    <w:basedOn w:val="Normal"/>
    <w:link w:val="ListParagraphChar"/>
    <w:uiPriority w:val="72"/>
    <w:qFormat/>
    <w:rsid w:val="00A31269"/>
    <w:pPr>
      <w:ind w:left="720" w:hanging="720"/>
      <w:contextualSpacing/>
    </w:pPr>
    <w:rPr>
      <w:rFonts w:ascii="Arial" w:hAnsi="Arial"/>
      <w:sz w:val="22"/>
      <w:lang w:val="en-AU" w:eastAsia="en-AU"/>
    </w:rPr>
  </w:style>
  <w:style w:type="paragraph" w:styleId="CommentSubject">
    <w:name w:val="annotation subject"/>
    <w:basedOn w:val="CommentText"/>
    <w:next w:val="CommentText"/>
    <w:link w:val="CommentSubjectChar"/>
    <w:uiPriority w:val="99"/>
    <w:semiHidden/>
    <w:unhideWhenUsed/>
    <w:rsid w:val="003172AB"/>
    <w:rPr>
      <w:b/>
      <w:bCs/>
    </w:rPr>
  </w:style>
  <w:style w:type="character" w:customStyle="1" w:styleId="CommentSubjectChar">
    <w:name w:val="Comment Subject Char"/>
    <w:basedOn w:val="CommentTextChar"/>
    <w:link w:val="CommentSubject"/>
    <w:uiPriority w:val="99"/>
    <w:semiHidden/>
    <w:rsid w:val="003172AB"/>
    <w:rPr>
      <w:rFonts w:eastAsia="Times New Roman" w:cs="Times New Roman"/>
      <w:b/>
      <w:bCs/>
      <w:sz w:val="20"/>
      <w:szCs w:val="20"/>
      <w:lang w:val="en-US" w:eastAsia="en-US"/>
    </w:rPr>
  </w:style>
  <w:style w:type="character" w:customStyle="1" w:styleId="ListParagraphChar">
    <w:name w:val="List Paragraph Char"/>
    <w:aliases w:val="BulletPoints Char,Bullet point Char,List Paragraph1 Char,List Paragraph11 Char,Recommendation Char,Numbered para Char,#List Paragraph Char,L Char,Bullet Level 1 Char,Bullet Point Char,Bulletr List Paragraph Char,FooterText Char"/>
    <w:link w:val="ListParagraph"/>
    <w:uiPriority w:val="72"/>
    <w:qFormat/>
    <w:locked/>
    <w:rsid w:val="00A70179"/>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827934">
      <w:bodyDiv w:val="1"/>
      <w:marLeft w:val="0"/>
      <w:marRight w:val="0"/>
      <w:marTop w:val="0"/>
      <w:marBottom w:val="0"/>
      <w:divBdr>
        <w:top w:val="none" w:sz="0" w:space="0" w:color="auto"/>
        <w:left w:val="none" w:sz="0" w:space="0" w:color="auto"/>
        <w:bottom w:val="none" w:sz="0" w:space="0" w:color="auto"/>
        <w:right w:val="none" w:sz="0" w:space="0" w:color="auto"/>
      </w:divBdr>
    </w:div>
    <w:div w:id="1120999041">
      <w:bodyDiv w:val="1"/>
      <w:marLeft w:val="0"/>
      <w:marRight w:val="0"/>
      <w:marTop w:val="0"/>
      <w:marBottom w:val="0"/>
      <w:divBdr>
        <w:top w:val="none" w:sz="0" w:space="0" w:color="auto"/>
        <w:left w:val="none" w:sz="0" w:space="0" w:color="auto"/>
        <w:bottom w:val="none" w:sz="0" w:space="0" w:color="auto"/>
        <w:right w:val="none" w:sz="0" w:space="0" w:color="auto"/>
      </w:divBdr>
    </w:div>
    <w:div w:id="1321426486">
      <w:bodyDiv w:val="1"/>
      <w:marLeft w:val="0"/>
      <w:marRight w:val="0"/>
      <w:marTop w:val="0"/>
      <w:marBottom w:val="0"/>
      <w:divBdr>
        <w:top w:val="none" w:sz="0" w:space="0" w:color="auto"/>
        <w:left w:val="none" w:sz="0" w:space="0" w:color="auto"/>
        <w:bottom w:val="none" w:sz="0" w:space="0" w:color="auto"/>
        <w:right w:val="none" w:sz="0" w:space="0" w:color="auto"/>
      </w:divBdr>
    </w:div>
    <w:div w:id="1786655798">
      <w:bodyDiv w:val="1"/>
      <w:marLeft w:val="0"/>
      <w:marRight w:val="0"/>
      <w:marTop w:val="0"/>
      <w:marBottom w:val="0"/>
      <w:divBdr>
        <w:top w:val="none" w:sz="0" w:space="0" w:color="auto"/>
        <w:left w:val="none" w:sz="0" w:space="0" w:color="auto"/>
        <w:bottom w:val="none" w:sz="0" w:space="0" w:color="auto"/>
        <w:right w:val="none" w:sz="0" w:space="0" w:color="auto"/>
      </w:divBdr>
    </w:div>
    <w:div w:id="209716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elements/dusc-meetings/do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7D925-C7DF-4953-8F4E-2D0B9533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2021-08-13T04:22:00Z</dcterms:created>
  <dcterms:modified xsi:type="dcterms:W3CDTF">2021-08-13T04:37:00Z</dcterms:modified>
</cp:coreProperties>
</file>