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0904A" w14:textId="1315957F" w:rsidR="007567D2" w:rsidRPr="00153C15" w:rsidRDefault="007567D2" w:rsidP="007C685F">
      <w:pPr>
        <w:pStyle w:val="Default"/>
        <w:ind w:right="656"/>
        <w:jc w:val="both"/>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498951C4" w14:textId="211A8FF8" w:rsidR="007567D2" w:rsidRPr="00153C15" w:rsidRDefault="007567D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3114"/>
        <w:gridCol w:w="1559"/>
        <w:gridCol w:w="2552"/>
        <w:gridCol w:w="1558"/>
        <w:gridCol w:w="6605"/>
      </w:tblGrid>
      <w:tr w:rsidR="00F374F7" w:rsidRPr="00687774" w14:paraId="2F780D8A" w14:textId="77777777" w:rsidTr="002E1AD3">
        <w:trPr>
          <w:tblHeader/>
        </w:trPr>
        <w:tc>
          <w:tcPr>
            <w:tcW w:w="3114" w:type="dxa"/>
            <w:shd w:val="clear" w:color="auto" w:fill="auto"/>
            <w:tcMar>
              <w:top w:w="28" w:type="dxa"/>
              <w:bottom w:w="28" w:type="dxa"/>
            </w:tcMar>
          </w:tcPr>
          <w:p w14:paraId="58BB41E5" w14:textId="46F847AB" w:rsidR="00F374F7" w:rsidRPr="00F3265E" w:rsidRDefault="00F374F7" w:rsidP="00F3265E">
            <w:pPr>
              <w:keepLines/>
              <w:widowControl w:val="0"/>
              <w:spacing w:after="120"/>
              <w:ind w:right="-106"/>
              <w:jc w:val="center"/>
              <w:rPr>
                <w:rFonts w:ascii="Arial" w:hAnsi="Arial" w:cs="Arial"/>
                <w:b/>
                <w:sz w:val="18"/>
                <w:szCs w:val="18"/>
              </w:rPr>
            </w:pPr>
            <w:r w:rsidRPr="00F3265E">
              <w:rPr>
                <w:rFonts w:ascii="Arial" w:hAnsi="Arial" w:cs="Arial"/>
                <w:b/>
                <w:sz w:val="18"/>
                <w:szCs w:val="18"/>
              </w:rPr>
              <w:t>DRUG NAME, FORM(S), STRENGTH(S), SPONSOR, TYPE OF SUBMISSION</w:t>
            </w:r>
          </w:p>
        </w:tc>
        <w:tc>
          <w:tcPr>
            <w:tcW w:w="1559" w:type="dxa"/>
            <w:shd w:val="clear" w:color="auto" w:fill="auto"/>
            <w:tcMar>
              <w:top w:w="28" w:type="dxa"/>
              <w:bottom w:w="28" w:type="dxa"/>
            </w:tcMar>
          </w:tcPr>
          <w:p w14:paraId="22DBCABB" w14:textId="77777777" w:rsidR="00F374F7" w:rsidRPr="00F3265E" w:rsidRDefault="00F374F7" w:rsidP="00F3265E">
            <w:pPr>
              <w:keepLines/>
              <w:widowControl w:val="0"/>
              <w:spacing w:after="120"/>
              <w:jc w:val="center"/>
              <w:rPr>
                <w:rFonts w:ascii="Arial" w:hAnsi="Arial" w:cs="Arial"/>
                <w:b/>
                <w:snapToGrid w:val="0"/>
                <w:sz w:val="18"/>
                <w:szCs w:val="18"/>
                <w:lang w:eastAsia="en-US"/>
              </w:rPr>
            </w:pPr>
            <w:r w:rsidRPr="00F3265E">
              <w:rPr>
                <w:rFonts w:ascii="Arial" w:hAnsi="Arial" w:cs="Arial"/>
                <w:b/>
                <w:snapToGrid w:val="0"/>
                <w:sz w:val="18"/>
                <w:szCs w:val="18"/>
                <w:lang w:eastAsia="en-US"/>
              </w:rPr>
              <w:t>DRUG TYPE AND USE</w:t>
            </w:r>
          </w:p>
          <w:p w14:paraId="64FD3362" w14:textId="77777777" w:rsidR="00F374F7" w:rsidRPr="00F3265E" w:rsidRDefault="00F374F7" w:rsidP="00F3265E">
            <w:pPr>
              <w:keepLines/>
              <w:widowControl w:val="0"/>
              <w:spacing w:after="120"/>
              <w:jc w:val="center"/>
              <w:rPr>
                <w:rFonts w:ascii="Arial" w:hAnsi="Arial" w:cs="Arial"/>
                <w:b/>
                <w:snapToGrid w:val="0"/>
                <w:sz w:val="18"/>
                <w:szCs w:val="18"/>
                <w:lang w:eastAsia="en-US"/>
              </w:rPr>
            </w:pPr>
          </w:p>
        </w:tc>
        <w:tc>
          <w:tcPr>
            <w:tcW w:w="2552" w:type="dxa"/>
            <w:shd w:val="clear" w:color="auto" w:fill="auto"/>
            <w:tcMar>
              <w:top w:w="28" w:type="dxa"/>
              <w:bottom w:w="28" w:type="dxa"/>
            </w:tcMar>
          </w:tcPr>
          <w:p w14:paraId="60A9336E" w14:textId="77777777" w:rsidR="00F374F7" w:rsidRPr="00F3265E" w:rsidRDefault="00F374F7" w:rsidP="00F3265E">
            <w:pPr>
              <w:keepLines/>
              <w:widowControl w:val="0"/>
              <w:spacing w:after="120"/>
              <w:jc w:val="center"/>
              <w:rPr>
                <w:rFonts w:ascii="Arial" w:hAnsi="Arial" w:cs="Arial"/>
                <w:b/>
                <w:snapToGrid w:val="0"/>
                <w:sz w:val="18"/>
                <w:szCs w:val="18"/>
                <w:lang w:eastAsia="en-US"/>
              </w:rPr>
            </w:pPr>
            <w:r w:rsidRPr="00F3265E">
              <w:rPr>
                <w:rFonts w:ascii="Arial" w:hAnsi="Arial" w:cs="Arial"/>
                <w:b/>
                <w:snapToGrid w:val="0"/>
                <w:sz w:val="18"/>
                <w:szCs w:val="18"/>
                <w:lang w:eastAsia="en-US"/>
              </w:rPr>
              <w:t>LISTING REQUESTED BY SPONSOR / PURPOSE OF SUBMISSION</w:t>
            </w:r>
          </w:p>
        </w:tc>
        <w:tc>
          <w:tcPr>
            <w:tcW w:w="8163" w:type="dxa"/>
            <w:gridSpan w:val="2"/>
            <w:shd w:val="clear" w:color="auto" w:fill="auto"/>
          </w:tcPr>
          <w:p w14:paraId="5BEF59E0" w14:textId="77777777" w:rsidR="00F374F7" w:rsidRPr="00F3265E" w:rsidRDefault="00F374F7" w:rsidP="00F3265E">
            <w:pPr>
              <w:pStyle w:val="Header"/>
              <w:keepLines/>
              <w:spacing w:after="120"/>
              <w:jc w:val="center"/>
              <w:rPr>
                <w:rFonts w:ascii="Arial" w:hAnsi="Arial" w:cs="Arial"/>
                <w:b/>
                <w:snapToGrid w:val="0"/>
                <w:sz w:val="18"/>
                <w:szCs w:val="18"/>
                <w:lang w:eastAsia="en-US"/>
              </w:rPr>
            </w:pPr>
            <w:r w:rsidRPr="00F3265E">
              <w:rPr>
                <w:rFonts w:ascii="Arial" w:hAnsi="Arial" w:cs="Arial"/>
                <w:b/>
                <w:snapToGrid w:val="0"/>
                <w:sz w:val="18"/>
                <w:szCs w:val="18"/>
                <w:lang w:eastAsia="en-US"/>
              </w:rPr>
              <w:t>PBAC OUTCOME</w:t>
            </w:r>
          </w:p>
          <w:p w14:paraId="5626F454" w14:textId="542D2F29" w:rsidR="00F374F7" w:rsidRPr="00F3265E" w:rsidRDefault="00F374F7" w:rsidP="00F3265E">
            <w:pPr>
              <w:pStyle w:val="Header"/>
              <w:keepLines/>
              <w:spacing w:after="120"/>
              <w:jc w:val="center"/>
              <w:rPr>
                <w:rFonts w:ascii="Arial" w:hAnsi="Arial" w:cs="Arial"/>
                <w:b/>
                <w:snapToGrid w:val="0"/>
                <w:sz w:val="18"/>
                <w:szCs w:val="18"/>
                <w:lang w:eastAsia="en-US"/>
              </w:rPr>
            </w:pPr>
          </w:p>
        </w:tc>
      </w:tr>
      <w:tr w:rsidR="000F6F0D" w:rsidRPr="00CC0C66" w14:paraId="21B35F26" w14:textId="77777777" w:rsidTr="002E1AD3">
        <w:trPr>
          <w:trHeight w:val="30"/>
        </w:trPr>
        <w:tc>
          <w:tcPr>
            <w:tcW w:w="3114" w:type="dxa"/>
            <w:shd w:val="clear" w:color="auto" w:fill="auto"/>
            <w:tcMar>
              <w:top w:w="28" w:type="dxa"/>
              <w:bottom w:w="28" w:type="dxa"/>
            </w:tcMar>
            <w:vAlign w:val="center"/>
          </w:tcPr>
          <w:p w14:paraId="603F7E1F" w14:textId="6B017C0E" w:rsidR="00973612" w:rsidRPr="00CC0C66" w:rsidRDefault="000F6F0D" w:rsidP="00F3265E">
            <w:pPr>
              <w:keepLines/>
              <w:spacing w:after="120"/>
              <w:rPr>
                <w:rFonts w:ascii="Arial" w:hAnsi="Arial" w:cs="Arial"/>
                <w:color w:val="000000"/>
                <w:sz w:val="18"/>
                <w:szCs w:val="18"/>
              </w:rPr>
            </w:pPr>
            <w:r w:rsidRPr="00CC0C66">
              <w:rPr>
                <w:rFonts w:ascii="Arial" w:hAnsi="Arial" w:cs="Arial"/>
                <w:color w:val="000000"/>
                <w:sz w:val="18"/>
                <w:szCs w:val="18"/>
              </w:rPr>
              <w:t xml:space="preserve">ACALABRUTINIB </w:t>
            </w:r>
            <w:r w:rsidRPr="00CC0C66">
              <w:rPr>
                <w:rFonts w:ascii="Arial" w:hAnsi="Arial" w:cs="Arial"/>
                <w:color w:val="000000"/>
                <w:sz w:val="18"/>
                <w:szCs w:val="18"/>
              </w:rPr>
              <w:br/>
            </w:r>
            <w:r w:rsidRPr="00CC0C66">
              <w:rPr>
                <w:rFonts w:ascii="Arial" w:hAnsi="Arial" w:cs="Arial"/>
                <w:color w:val="000000"/>
                <w:sz w:val="18"/>
                <w:szCs w:val="18"/>
              </w:rPr>
              <w:br/>
              <w:t>Capsule 100 mg</w:t>
            </w:r>
            <w:r w:rsidRPr="00CC0C66">
              <w:rPr>
                <w:rFonts w:ascii="Arial" w:hAnsi="Arial" w:cs="Arial"/>
                <w:color w:val="000000"/>
                <w:sz w:val="18"/>
                <w:szCs w:val="18"/>
              </w:rPr>
              <w:br/>
            </w:r>
            <w:r w:rsidRPr="00CC0C66">
              <w:rPr>
                <w:rFonts w:ascii="Arial" w:hAnsi="Arial" w:cs="Arial"/>
                <w:color w:val="000000"/>
                <w:sz w:val="18"/>
                <w:szCs w:val="18"/>
              </w:rPr>
              <w:br/>
              <w:t>Calquence®</w:t>
            </w:r>
            <w:r w:rsidRPr="00CC0C66">
              <w:rPr>
                <w:rFonts w:ascii="Arial" w:hAnsi="Arial" w:cs="Arial"/>
                <w:color w:val="000000"/>
                <w:sz w:val="18"/>
                <w:szCs w:val="18"/>
              </w:rPr>
              <w:br/>
            </w:r>
            <w:r w:rsidRPr="00CC0C66">
              <w:rPr>
                <w:rFonts w:ascii="Arial" w:hAnsi="Arial" w:cs="Arial"/>
                <w:color w:val="000000"/>
                <w:sz w:val="18"/>
                <w:szCs w:val="18"/>
              </w:rPr>
              <w:br/>
              <w:t>Astrazeneca Pty Ltd</w:t>
            </w:r>
          </w:p>
          <w:p w14:paraId="69858D31" w14:textId="4F468A96" w:rsidR="000F6F0D" w:rsidRPr="00CC0C66" w:rsidRDefault="00973612" w:rsidP="00F3265E">
            <w:pPr>
              <w:keepLines/>
              <w:spacing w:after="120"/>
              <w:rPr>
                <w:rFonts w:ascii="Arial" w:hAnsi="Arial" w:cs="Arial"/>
                <w:sz w:val="18"/>
                <w:szCs w:val="18"/>
              </w:rPr>
            </w:pPr>
            <w:r w:rsidRPr="00CC0C66">
              <w:rPr>
                <w:rFonts w:ascii="Arial" w:hAnsi="Arial" w:cs="Arial"/>
                <w:color w:val="000000"/>
                <w:sz w:val="18"/>
                <w:szCs w:val="18"/>
              </w:rPr>
              <w:t>Category 1 submission</w:t>
            </w:r>
            <w:r w:rsidR="000F6F0D" w:rsidRPr="00CC0C66">
              <w:rPr>
                <w:rFonts w:ascii="Arial" w:hAnsi="Arial" w:cs="Arial"/>
                <w:color w:val="000000"/>
                <w:sz w:val="18"/>
                <w:szCs w:val="18"/>
              </w:rPr>
              <w:br/>
            </w:r>
            <w:r w:rsidRPr="00CC0C66">
              <w:rPr>
                <w:rFonts w:ascii="Arial" w:hAnsi="Arial" w:cs="Arial"/>
                <w:color w:val="000000"/>
                <w:sz w:val="18"/>
                <w:szCs w:val="18"/>
              </w:rPr>
              <w:t>(</w:t>
            </w:r>
            <w:r w:rsidR="000F6F0D" w:rsidRPr="00CC0C66">
              <w:rPr>
                <w:rFonts w:ascii="Arial" w:hAnsi="Arial" w:cs="Arial"/>
                <w:color w:val="000000"/>
                <w:sz w:val="18"/>
                <w:szCs w:val="18"/>
              </w:rPr>
              <w:t>Change to listing</w:t>
            </w:r>
            <w:r w:rsidRPr="00CC0C66">
              <w:rPr>
                <w:rFonts w:ascii="Arial" w:hAnsi="Arial" w:cs="Arial"/>
                <w:color w:val="000000"/>
                <w:sz w:val="18"/>
                <w:szCs w:val="18"/>
              </w:rPr>
              <w:t>)</w:t>
            </w:r>
          </w:p>
        </w:tc>
        <w:tc>
          <w:tcPr>
            <w:tcW w:w="1559" w:type="dxa"/>
            <w:shd w:val="clear" w:color="auto" w:fill="auto"/>
            <w:vAlign w:val="center"/>
          </w:tcPr>
          <w:p w14:paraId="438672A8" w14:textId="798D91EA" w:rsidR="000F6F0D" w:rsidRPr="00CC0C66" w:rsidRDefault="000F6F0D"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Relapsed and/or refractory mantle cell lymphoma (R/R MCL)</w:t>
            </w:r>
          </w:p>
        </w:tc>
        <w:tc>
          <w:tcPr>
            <w:tcW w:w="2552" w:type="dxa"/>
            <w:shd w:val="clear" w:color="auto" w:fill="auto"/>
            <w:tcMar>
              <w:top w:w="28" w:type="dxa"/>
              <w:bottom w:w="28" w:type="dxa"/>
            </w:tcMar>
            <w:vAlign w:val="center"/>
          </w:tcPr>
          <w:p w14:paraId="17E9796A" w14:textId="42224555"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General Schedule, Authority Required (online/telephone) listing for the treatment of patients with R/R MCL who have received at least one prior therapy or who have developed an intolerance to another Bruton’s tyrosine kinase (BTK).</w:t>
            </w:r>
          </w:p>
        </w:tc>
        <w:tc>
          <w:tcPr>
            <w:tcW w:w="1558" w:type="dxa"/>
            <w:shd w:val="clear" w:color="auto" w:fill="auto"/>
            <w:vAlign w:val="center"/>
          </w:tcPr>
          <w:p w14:paraId="72E39DF0" w14:textId="213B0C19"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480A98F4" w14:textId="2A406C81" w:rsidR="001B2C7D" w:rsidRDefault="000F6F0D" w:rsidP="00F3265E">
            <w:pPr>
              <w:pStyle w:val="ListParagraph"/>
              <w:keepLines/>
              <w:spacing w:after="120"/>
              <w:ind w:left="0"/>
              <w:rPr>
                <w:rFonts w:ascii="Arial" w:hAnsi="Arial" w:cs="Arial"/>
                <w:color w:val="000000"/>
                <w:sz w:val="18"/>
                <w:szCs w:val="18"/>
              </w:rPr>
            </w:pPr>
            <w:r w:rsidRPr="00CC0C66">
              <w:rPr>
                <w:rFonts w:ascii="Arial" w:hAnsi="Arial" w:cs="Arial"/>
                <w:color w:val="000000"/>
                <w:sz w:val="18"/>
                <w:szCs w:val="18"/>
              </w:rPr>
              <w:t>The PBAC recommended the listing of acalabrutinib for the treatment of patients with R/R</w:t>
            </w:r>
            <w:r w:rsidR="001B2C7D">
              <w:rPr>
                <w:rFonts w:ascii="Arial" w:hAnsi="Arial" w:cs="Arial"/>
                <w:color w:val="000000"/>
                <w:sz w:val="18"/>
                <w:szCs w:val="18"/>
              </w:rPr>
              <w:t xml:space="preserve"> </w:t>
            </w:r>
            <w:r w:rsidRPr="00CC0C66">
              <w:rPr>
                <w:rFonts w:ascii="Arial" w:hAnsi="Arial" w:cs="Arial"/>
                <w:color w:val="000000"/>
                <w:sz w:val="18"/>
                <w:szCs w:val="18"/>
              </w:rPr>
              <w:t xml:space="preserve">MCL who have received at least one prior therapy and have a WHO performance status of 0 or 1. The PBAC considered that acalabrutinib should be available to BTK inhibitor-naïve patients or patients who have developed an intolerance to another BTK inhibitor necessitating permanent treatment withdrawal. </w:t>
            </w:r>
          </w:p>
          <w:p w14:paraId="43405333" w14:textId="77777777" w:rsidR="001B2C7D" w:rsidRDefault="001B2C7D" w:rsidP="00F3265E">
            <w:pPr>
              <w:pStyle w:val="ListParagraph"/>
              <w:keepLines/>
              <w:spacing w:after="120"/>
              <w:ind w:left="0"/>
              <w:rPr>
                <w:rFonts w:ascii="Arial" w:hAnsi="Arial" w:cs="Arial"/>
                <w:color w:val="000000"/>
                <w:sz w:val="18"/>
                <w:szCs w:val="18"/>
              </w:rPr>
            </w:pPr>
          </w:p>
          <w:p w14:paraId="212EF680" w14:textId="262A63B8"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noted that the comparison between acalabrutinib and ibrutinib using single arm data was uncertain but was satisfied the efficacy and safety analyses were consistent with non-inferiority. The PBAC considered the cost effectiveness of acalabrutinib would be acceptable if it was cost minimised against ibrutinib.</w:t>
            </w:r>
          </w:p>
        </w:tc>
      </w:tr>
      <w:tr w:rsidR="000F6F0D" w:rsidRPr="00CC0C66" w14:paraId="0B22D8EA" w14:textId="77777777" w:rsidTr="002E1AD3">
        <w:trPr>
          <w:trHeight w:val="3223"/>
        </w:trPr>
        <w:tc>
          <w:tcPr>
            <w:tcW w:w="3114" w:type="dxa"/>
            <w:shd w:val="clear" w:color="auto" w:fill="auto"/>
            <w:tcMar>
              <w:top w:w="28" w:type="dxa"/>
              <w:bottom w:w="28" w:type="dxa"/>
            </w:tcMar>
            <w:vAlign w:val="center"/>
          </w:tcPr>
          <w:p w14:paraId="2E8C2ACB" w14:textId="15C95D05" w:rsidR="00973612" w:rsidRPr="00CC0C66" w:rsidRDefault="000F6F0D" w:rsidP="00F3265E">
            <w:pPr>
              <w:keepLines/>
              <w:spacing w:after="120"/>
              <w:rPr>
                <w:rFonts w:ascii="Arial" w:hAnsi="Arial" w:cs="Arial"/>
                <w:color w:val="000000"/>
                <w:sz w:val="18"/>
                <w:szCs w:val="18"/>
              </w:rPr>
            </w:pPr>
            <w:r w:rsidRPr="00CC0C66">
              <w:rPr>
                <w:rFonts w:ascii="Arial" w:hAnsi="Arial" w:cs="Arial"/>
                <w:color w:val="000000"/>
                <w:sz w:val="18"/>
                <w:szCs w:val="18"/>
              </w:rPr>
              <w:t>ADALIMUMAB</w:t>
            </w:r>
            <w:r w:rsidRPr="00CC0C66">
              <w:rPr>
                <w:rFonts w:ascii="Arial" w:hAnsi="Arial" w:cs="Arial"/>
                <w:color w:val="000000"/>
                <w:sz w:val="18"/>
                <w:szCs w:val="18"/>
              </w:rPr>
              <w:br/>
            </w:r>
            <w:r w:rsidRPr="00CC0C66">
              <w:rPr>
                <w:rFonts w:ascii="Arial" w:hAnsi="Arial" w:cs="Arial"/>
                <w:color w:val="000000"/>
                <w:sz w:val="18"/>
                <w:szCs w:val="18"/>
              </w:rPr>
              <w:br/>
              <w:t>Injection 20 mg in 0.4 mL pre</w:t>
            </w:r>
            <w:r w:rsidRPr="00CC0C66">
              <w:rPr>
                <w:rFonts w:ascii="Arial" w:hAnsi="Arial" w:cs="Arial"/>
                <w:color w:val="000000"/>
                <w:sz w:val="18"/>
                <w:szCs w:val="18"/>
              </w:rPr>
              <w:noBreakHyphen/>
              <w:t xml:space="preserve">filled syringe </w:t>
            </w:r>
            <w:r w:rsidRPr="00CC0C66">
              <w:rPr>
                <w:rFonts w:ascii="Arial" w:hAnsi="Arial" w:cs="Arial"/>
                <w:color w:val="000000"/>
                <w:sz w:val="18"/>
                <w:szCs w:val="18"/>
              </w:rPr>
              <w:br/>
              <w:t>Injection 40 mg in 0.8 mL pre</w:t>
            </w:r>
            <w:r w:rsidRPr="00CC0C66">
              <w:rPr>
                <w:rFonts w:ascii="Arial" w:hAnsi="Arial" w:cs="Arial"/>
                <w:color w:val="000000"/>
                <w:sz w:val="18"/>
                <w:szCs w:val="18"/>
              </w:rPr>
              <w:noBreakHyphen/>
              <w:t>filled syringe</w:t>
            </w:r>
            <w:r w:rsidRPr="00CC0C66">
              <w:rPr>
                <w:rFonts w:ascii="Arial" w:hAnsi="Arial" w:cs="Arial"/>
                <w:color w:val="000000"/>
                <w:sz w:val="18"/>
                <w:szCs w:val="18"/>
              </w:rPr>
              <w:br/>
              <w:t>Injection 40 mg in 0.8 mL pre</w:t>
            </w:r>
            <w:r w:rsidRPr="00CC0C66">
              <w:rPr>
                <w:rFonts w:ascii="Arial" w:hAnsi="Arial" w:cs="Arial"/>
                <w:color w:val="000000"/>
                <w:sz w:val="18"/>
                <w:szCs w:val="18"/>
              </w:rPr>
              <w:noBreakHyphen/>
              <w:t>filled pen</w:t>
            </w:r>
            <w:r w:rsidRPr="00CC0C66">
              <w:rPr>
                <w:rFonts w:ascii="Arial" w:hAnsi="Arial" w:cs="Arial"/>
                <w:color w:val="000000"/>
                <w:sz w:val="18"/>
                <w:szCs w:val="18"/>
              </w:rPr>
              <w:br/>
            </w:r>
            <w:r w:rsidRPr="00CC0C66">
              <w:rPr>
                <w:rFonts w:ascii="Arial" w:hAnsi="Arial" w:cs="Arial"/>
                <w:color w:val="000000"/>
                <w:sz w:val="18"/>
                <w:szCs w:val="18"/>
              </w:rPr>
              <w:br/>
              <w:t>Abrilada®</w:t>
            </w:r>
            <w:r w:rsidRPr="00CC0C66">
              <w:rPr>
                <w:rFonts w:ascii="Arial" w:hAnsi="Arial" w:cs="Arial"/>
                <w:color w:val="000000"/>
                <w:sz w:val="18"/>
                <w:szCs w:val="18"/>
              </w:rPr>
              <w:br/>
            </w:r>
            <w:r w:rsidRPr="00CC0C66">
              <w:rPr>
                <w:rFonts w:ascii="Arial" w:hAnsi="Arial" w:cs="Arial"/>
                <w:color w:val="000000"/>
                <w:sz w:val="18"/>
                <w:szCs w:val="18"/>
              </w:rPr>
              <w:br/>
              <w:t>Pfizer Australia Pty Ltd</w:t>
            </w:r>
          </w:p>
          <w:p w14:paraId="46A68F83" w14:textId="6EC2498A" w:rsidR="000F6F0D" w:rsidRPr="00CC0C66" w:rsidRDefault="00973612" w:rsidP="00F3265E">
            <w:pPr>
              <w:keepLines/>
              <w:spacing w:after="120"/>
              <w:rPr>
                <w:rFonts w:ascii="Arial" w:hAnsi="Arial" w:cs="Arial"/>
                <w:sz w:val="18"/>
                <w:szCs w:val="18"/>
              </w:rPr>
            </w:pPr>
            <w:r w:rsidRPr="00CC0C66">
              <w:rPr>
                <w:rFonts w:ascii="Arial" w:hAnsi="Arial" w:cs="Arial"/>
                <w:color w:val="000000"/>
                <w:sz w:val="18"/>
                <w:szCs w:val="18"/>
              </w:rPr>
              <w:t>Category 3 submission</w:t>
            </w:r>
            <w:r w:rsidR="000F6F0D" w:rsidRPr="00CC0C66">
              <w:rPr>
                <w:rFonts w:ascii="Arial" w:hAnsi="Arial" w:cs="Arial"/>
                <w:color w:val="000000"/>
                <w:sz w:val="18"/>
                <w:szCs w:val="18"/>
              </w:rPr>
              <w:br/>
            </w:r>
            <w:r w:rsidRPr="00CC0C66">
              <w:rPr>
                <w:rFonts w:ascii="Arial" w:hAnsi="Arial" w:cs="Arial"/>
                <w:color w:val="000000"/>
                <w:sz w:val="18"/>
                <w:szCs w:val="18"/>
              </w:rPr>
              <w:t>(</w:t>
            </w:r>
            <w:r w:rsidR="000F6F0D" w:rsidRPr="00CC0C66">
              <w:rPr>
                <w:rFonts w:ascii="Arial" w:hAnsi="Arial" w:cs="Arial"/>
                <w:color w:val="000000"/>
                <w:sz w:val="18"/>
                <w:szCs w:val="18"/>
              </w:rPr>
              <w:t>Change to listing</w:t>
            </w:r>
            <w:r w:rsidRPr="00CC0C66">
              <w:rPr>
                <w:rFonts w:ascii="Arial" w:hAnsi="Arial" w:cs="Arial"/>
                <w:color w:val="000000"/>
                <w:sz w:val="18"/>
                <w:szCs w:val="18"/>
              </w:rPr>
              <w:t>)</w:t>
            </w:r>
          </w:p>
        </w:tc>
        <w:tc>
          <w:tcPr>
            <w:tcW w:w="1559" w:type="dxa"/>
            <w:shd w:val="clear" w:color="auto" w:fill="auto"/>
            <w:vAlign w:val="center"/>
          </w:tcPr>
          <w:p w14:paraId="7EDC6C7A" w14:textId="0C4874EB" w:rsidR="000F6F0D" w:rsidRPr="00CC0C66" w:rsidRDefault="000F6F0D"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Crohn disease;</w:t>
            </w:r>
            <w:r w:rsidRPr="00CC0C66">
              <w:rPr>
                <w:rFonts w:ascii="Arial" w:hAnsi="Arial" w:cs="Arial"/>
                <w:color w:val="000000"/>
                <w:sz w:val="18"/>
                <w:szCs w:val="18"/>
              </w:rPr>
              <w:br/>
              <w:t>Ulcerative colitis;</w:t>
            </w:r>
            <w:r w:rsidRPr="00CC0C66">
              <w:rPr>
                <w:rFonts w:ascii="Arial" w:hAnsi="Arial" w:cs="Arial"/>
                <w:color w:val="000000"/>
                <w:sz w:val="18"/>
                <w:szCs w:val="18"/>
              </w:rPr>
              <w:br/>
              <w:t>Juvenile idiopathic arthritis;</w:t>
            </w:r>
            <w:r w:rsidRPr="00CC0C66">
              <w:rPr>
                <w:rFonts w:ascii="Arial" w:hAnsi="Arial" w:cs="Arial"/>
                <w:color w:val="000000"/>
                <w:sz w:val="18"/>
                <w:szCs w:val="18"/>
              </w:rPr>
              <w:br/>
              <w:t>Rheumatoid arthritis;</w:t>
            </w:r>
            <w:r w:rsidRPr="00CC0C66">
              <w:rPr>
                <w:rFonts w:ascii="Arial" w:hAnsi="Arial" w:cs="Arial"/>
                <w:color w:val="000000"/>
                <w:sz w:val="18"/>
                <w:szCs w:val="18"/>
              </w:rPr>
              <w:br/>
              <w:t>Psoriatic arthritis;</w:t>
            </w:r>
            <w:r w:rsidRPr="00CC0C66">
              <w:rPr>
                <w:rFonts w:ascii="Arial" w:hAnsi="Arial" w:cs="Arial"/>
                <w:color w:val="000000"/>
                <w:sz w:val="18"/>
                <w:szCs w:val="18"/>
              </w:rPr>
              <w:br/>
              <w:t>Ankylosing spondylitis;</w:t>
            </w:r>
            <w:r w:rsidRPr="00CC0C66">
              <w:rPr>
                <w:rFonts w:ascii="Arial" w:hAnsi="Arial" w:cs="Arial"/>
                <w:color w:val="000000"/>
                <w:sz w:val="18"/>
                <w:szCs w:val="18"/>
              </w:rPr>
              <w:br/>
              <w:t>Plaque psoriasis;</w:t>
            </w:r>
            <w:r w:rsidRPr="00CC0C66">
              <w:rPr>
                <w:rFonts w:ascii="Arial" w:hAnsi="Arial" w:cs="Arial"/>
                <w:color w:val="000000"/>
                <w:sz w:val="18"/>
                <w:szCs w:val="18"/>
              </w:rPr>
              <w:br/>
              <w:t>Hidradenitis suppurativa</w:t>
            </w:r>
          </w:p>
        </w:tc>
        <w:tc>
          <w:tcPr>
            <w:tcW w:w="2552" w:type="dxa"/>
            <w:shd w:val="clear" w:color="auto" w:fill="auto"/>
            <w:tcMar>
              <w:top w:w="28" w:type="dxa"/>
              <w:bottom w:w="28" w:type="dxa"/>
            </w:tcMar>
            <w:vAlign w:val="center"/>
          </w:tcPr>
          <w:p w14:paraId="693A86FE" w14:textId="4770C5A6"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both General Schedule and Section 100 (Highly Specialised Drug Program) listing of adalimumab biosimilar under the same conditions as its reference biologic.</w:t>
            </w:r>
          </w:p>
        </w:tc>
        <w:tc>
          <w:tcPr>
            <w:tcW w:w="1558" w:type="dxa"/>
            <w:shd w:val="clear" w:color="auto" w:fill="auto"/>
            <w:vAlign w:val="center"/>
          </w:tcPr>
          <w:p w14:paraId="0559B616" w14:textId="55CA9DBE"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5DAB2E7A" w14:textId="296576BD" w:rsidR="008B6B42" w:rsidRPr="00CC0C66" w:rsidRDefault="000F6F0D" w:rsidP="00F3265E">
            <w:pPr>
              <w:pStyle w:val="ListParagraph"/>
              <w:keepLines/>
              <w:spacing w:after="120"/>
              <w:ind w:left="0"/>
              <w:rPr>
                <w:rFonts w:ascii="Arial" w:hAnsi="Arial" w:cs="Arial"/>
                <w:color w:val="000000"/>
                <w:sz w:val="18"/>
                <w:szCs w:val="18"/>
              </w:rPr>
            </w:pPr>
            <w:r w:rsidRPr="00CC0C66">
              <w:rPr>
                <w:rFonts w:ascii="Arial" w:hAnsi="Arial" w:cs="Arial"/>
                <w:color w:val="000000"/>
                <w:sz w:val="18"/>
                <w:szCs w:val="18"/>
              </w:rPr>
              <w:t>The PBAC recommended the Authority Required listing of adalimumab (Abrilada) in the form of 20 mg in 0.4 mL pre-filled syringe (PFS), 40 mg in 0.8</w:t>
            </w:r>
            <w:r w:rsidR="004C2E64" w:rsidRPr="00323C80">
              <w:rPr>
                <w:rFonts w:ascii="Arial" w:hAnsi="Arial" w:cs="Arial"/>
                <w:color w:val="000000"/>
                <w:sz w:val="18"/>
                <w:szCs w:val="18"/>
              </w:rPr>
              <w:t> </w:t>
            </w:r>
            <w:r w:rsidRPr="00CC0C66">
              <w:rPr>
                <w:rFonts w:ascii="Arial" w:hAnsi="Arial" w:cs="Arial"/>
                <w:color w:val="000000"/>
                <w:sz w:val="18"/>
                <w:szCs w:val="18"/>
              </w:rPr>
              <w:t xml:space="preserve">mL PFS and 40 mg in 0.8 mL pre-filled pen (PFP), for the same indications as the reference brand Humira, on the basis of cost-minimisation to Humira for the requested indications. The PBAC advised that, under Section 101(4AACD) of the </w:t>
            </w:r>
            <w:r w:rsidRPr="00323C80">
              <w:rPr>
                <w:rFonts w:ascii="Arial" w:hAnsi="Arial" w:cs="Arial"/>
                <w:color w:val="000000"/>
                <w:sz w:val="18"/>
                <w:szCs w:val="18"/>
              </w:rPr>
              <w:t>National Health Act 1953</w:t>
            </w:r>
            <w:r w:rsidRPr="00CC0C66">
              <w:rPr>
                <w:rFonts w:ascii="Arial" w:hAnsi="Arial" w:cs="Arial"/>
                <w:color w:val="000000"/>
                <w:sz w:val="18"/>
                <w:szCs w:val="18"/>
              </w:rPr>
              <w:t xml:space="preserve">, in the Schedule of Pharmaceutical Benefits, Abrilada, Amgevita, Hadlima, Hyrimoz, Humira and Idacio PFS should be treated as equivalent to each other; and Abrilada, Amgevita, Hadlima, Hyrimoz, Humira and Idacio PFP should be treated as equivalent to each other for the purpose of substitution, for respective PBS-listed indications (i.e. ‘a’ flagged in Schedule with a NOTE stating PBS of one form and PBS of another form are equivalent for the purpose of substitution). </w:t>
            </w:r>
            <w:r w:rsidRPr="00CC0C66">
              <w:rPr>
                <w:rFonts w:ascii="Arial" w:hAnsi="Arial" w:cs="Arial"/>
                <w:color w:val="000000"/>
                <w:sz w:val="18"/>
                <w:szCs w:val="18"/>
              </w:rPr>
              <w:br/>
            </w:r>
            <w:r w:rsidRPr="00CC0C66">
              <w:rPr>
                <w:rFonts w:ascii="Arial" w:hAnsi="Arial" w:cs="Arial"/>
                <w:color w:val="000000"/>
                <w:sz w:val="18"/>
                <w:szCs w:val="18"/>
              </w:rPr>
              <w:br/>
              <w:t>The PBAC advised that the biosimilar uptake drivers should be applied to Abrilada, consistent with previous recommendations regarding the application of the drivers to other biosimilar brands of adalimumab</w:t>
            </w:r>
          </w:p>
        </w:tc>
      </w:tr>
      <w:tr w:rsidR="000F6F0D" w:rsidRPr="00CC0C66" w14:paraId="25A29D93" w14:textId="77777777" w:rsidTr="00721962">
        <w:trPr>
          <w:trHeight w:val="2746"/>
        </w:trPr>
        <w:tc>
          <w:tcPr>
            <w:tcW w:w="3114" w:type="dxa"/>
            <w:shd w:val="clear" w:color="auto" w:fill="auto"/>
            <w:tcMar>
              <w:top w:w="28" w:type="dxa"/>
              <w:bottom w:w="28" w:type="dxa"/>
            </w:tcMar>
            <w:vAlign w:val="center"/>
          </w:tcPr>
          <w:p w14:paraId="3982E633" w14:textId="5D5E3CA0" w:rsidR="00973612" w:rsidRPr="00CC0C66" w:rsidRDefault="000F6F0D"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AMINO ACID FORMULA WITH VITAMINS AND MINERALS WITHOUT METHIONINE</w:t>
            </w:r>
            <w:r w:rsidRPr="00CC0C66">
              <w:rPr>
                <w:rFonts w:ascii="Arial" w:hAnsi="Arial" w:cs="Arial"/>
                <w:color w:val="000000"/>
                <w:sz w:val="18"/>
                <w:szCs w:val="18"/>
              </w:rPr>
              <w:br/>
            </w:r>
            <w:r w:rsidRPr="00CC0C66">
              <w:rPr>
                <w:rFonts w:ascii="Arial" w:hAnsi="Arial" w:cs="Arial"/>
                <w:color w:val="000000"/>
                <w:sz w:val="18"/>
                <w:szCs w:val="18"/>
              </w:rPr>
              <w:br/>
              <w:t>Sachets containing oral powder 25</w:t>
            </w:r>
            <w:r w:rsidR="004C2E64">
              <w:rPr>
                <w:rFonts w:ascii="Arial" w:hAnsi="Arial" w:cs="Arial"/>
                <w:color w:val="000000"/>
                <w:sz w:val="18"/>
                <w:szCs w:val="18"/>
              </w:rPr>
              <w:t> </w:t>
            </w:r>
            <w:r w:rsidRPr="00CC0C66">
              <w:rPr>
                <w:rFonts w:ascii="Arial" w:hAnsi="Arial" w:cs="Arial"/>
                <w:color w:val="000000"/>
                <w:sz w:val="18"/>
                <w:szCs w:val="18"/>
              </w:rPr>
              <w:t>g, 30</w:t>
            </w:r>
            <w:r w:rsidRPr="00CC0C66">
              <w:rPr>
                <w:rFonts w:ascii="Arial" w:hAnsi="Arial" w:cs="Arial"/>
                <w:color w:val="000000"/>
                <w:sz w:val="18"/>
                <w:szCs w:val="18"/>
              </w:rPr>
              <w:br/>
            </w:r>
            <w:r w:rsidRPr="00CC0C66">
              <w:rPr>
                <w:rFonts w:ascii="Arial" w:hAnsi="Arial" w:cs="Arial"/>
                <w:color w:val="000000"/>
                <w:sz w:val="18"/>
                <w:szCs w:val="18"/>
              </w:rPr>
              <w:br/>
              <w:t>HCU express 15</w:t>
            </w:r>
            <w:r w:rsidR="00176E59" w:rsidRPr="00CC0C66">
              <w:rPr>
                <w:rFonts w:ascii="Arial" w:hAnsi="Arial" w:cs="Arial"/>
                <w:color w:val="000000"/>
                <w:sz w:val="18"/>
                <w:szCs w:val="18"/>
              </w:rPr>
              <w:t>®</w:t>
            </w:r>
            <w:r w:rsidRPr="00CC0C66">
              <w:rPr>
                <w:rFonts w:ascii="Arial" w:hAnsi="Arial" w:cs="Arial"/>
                <w:color w:val="000000"/>
                <w:sz w:val="18"/>
                <w:szCs w:val="18"/>
              </w:rPr>
              <w:br/>
            </w:r>
            <w:r w:rsidRPr="00CC0C66">
              <w:rPr>
                <w:rFonts w:ascii="Arial" w:hAnsi="Arial" w:cs="Arial"/>
                <w:color w:val="000000"/>
                <w:sz w:val="18"/>
                <w:szCs w:val="18"/>
              </w:rPr>
              <w:br/>
              <w:t>Vitaflo Australia Pty Ltd</w:t>
            </w:r>
          </w:p>
          <w:p w14:paraId="3908EB4E" w14:textId="07DE8272" w:rsidR="000F6F0D" w:rsidRPr="00CC0C66" w:rsidRDefault="00400BA3" w:rsidP="00F3265E">
            <w:pPr>
              <w:keepLines/>
              <w:spacing w:after="120"/>
              <w:rPr>
                <w:rFonts w:ascii="Arial" w:hAnsi="Arial" w:cs="Arial"/>
                <w:sz w:val="18"/>
                <w:szCs w:val="18"/>
              </w:rPr>
            </w:pPr>
            <w:r w:rsidRPr="00CC0C66">
              <w:rPr>
                <w:rFonts w:ascii="Arial" w:hAnsi="Arial" w:cs="Arial"/>
                <w:color w:val="000000"/>
                <w:sz w:val="18"/>
                <w:szCs w:val="18"/>
              </w:rPr>
              <w:t>Committee Secretariat s</w:t>
            </w:r>
            <w:r w:rsidR="00973612" w:rsidRPr="00CC0C66">
              <w:rPr>
                <w:rFonts w:ascii="Arial" w:hAnsi="Arial" w:cs="Arial"/>
                <w:color w:val="000000"/>
                <w:sz w:val="18"/>
                <w:szCs w:val="18"/>
              </w:rPr>
              <w:t xml:space="preserve">ubmission </w:t>
            </w:r>
            <w:r w:rsidR="000F6F0D" w:rsidRPr="00CC0C66">
              <w:rPr>
                <w:rFonts w:ascii="Arial" w:hAnsi="Arial" w:cs="Arial"/>
                <w:color w:val="000000"/>
                <w:sz w:val="18"/>
                <w:szCs w:val="18"/>
              </w:rPr>
              <w:br/>
            </w:r>
            <w:r w:rsidR="00973612" w:rsidRPr="00CC0C66">
              <w:rPr>
                <w:rFonts w:ascii="Arial" w:hAnsi="Arial" w:cs="Arial"/>
                <w:color w:val="000000"/>
                <w:sz w:val="18"/>
                <w:szCs w:val="18"/>
              </w:rPr>
              <w:t>(</w:t>
            </w:r>
            <w:r w:rsidR="000F6F0D" w:rsidRPr="00CC0C66">
              <w:rPr>
                <w:rFonts w:ascii="Arial" w:hAnsi="Arial" w:cs="Arial"/>
                <w:color w:val="000000"/>
                <w:sz w:val="18"/>
                <w:szCs w:val="18"/>
              </w:rPr>
              <w:t>Change to listing</w:t>
            </w:r>
            <w:r w:rsidR="00973612" w:rsidRPr="00CC0C66">
              <w:rPr>
                <w:rFonts w:ascii="Arial" w:hAnsi="Arial" w:cs="Arial"/>
                <w:color w:val="000000"/>
                <w:sz w:val="18"/>
                <w:szCs w:val="18"/>
              </w:rPr>
              <w:t>)</w:t>
            </w:r>
          </w:p>
        </w:tc>
        <w:tc>
          <w:tcPr>
            <w:tcW w:w="1559" w:type="dxa"/>
            <w:shd w:val="clear" w:color="auto" w:fill="auto"/>
            <w:vAlign w:val="center"/>
          </w:tcPr>
          <w:p w14:paraId="2637D1A6" w14:textId="45872922" w:rsidR="000F6F0D" w:rsidRPr="00CC0C66" w:rsidRDefault="000F6F0D"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Pyridoxine non-responsive homocystinuria</w:t>
            </w:r>
          </w:p>
        </w:tc>
        <w:tc>
          <w:tcPr>
            <w:tcW w:w="2552" w:type="dxa"/>
            <w:shd w:val="clear" w:color="auto" w:fill="auto"/>
            <w:tcMar>
              <w:top w:w="28" w:type="dxa"/>
              <w:bottom w:w="28" w:type="dxa"/>
            </w:tcMar>
            <w:vAlign w:val="center"/>
          </w:tcPr>
          <w:p w14:paraId="46729DA1" w14:textId="0F5CC1D5"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HCU Express 15 with new formulation continue to be listed on the PBS under existing conditions.</w:t>
            </w:r>
          </w:p>
        </w:tc>
        <w:tc>
          <w:tcPr>
            <w:tcW w:w="1558" w:type="dxa"/>
            <w:shd w:val="clear" w:color="auto" w:fill="auto"/>
            <w:vAlign w:val="center"/>
          </w:tcPr>
          <w:p w14:paraId="3615F88A" w14:textId="029B2CA4"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03EC91D0" w14:textId="254F7967"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continuing the Restricted Benefits listings of HCU Express 15 with new formulation. The PBAC considered the new formulation was safe and would continue to meet the Australian adequate intake levels and recommended dietary intake values of patients eligible for PBS subsidised use.</w:t>
            </w:r>
          </w:p>
        </w:tc>
      </w:tr>
      <w:tr w:rsidR="000F6F0D" w:rsidRPr="00CC0C66" w14:paraId="2ED8D9B8" w14:textId="77777777" w:rsidTr="002E1AD3">
        <w:trPr>
          <w:trHeight w:val="148"/>
        </w:trPr>
        <w:tc>
          <w:tcPr>
            <w:tcW w:w="3114" w:type="dxa"/>
            <w:shd w:val="clear" w:color="auto" w:fill="auto"/>
            <w:tcMar>
              <w:top w:w="28" w:type="dxa"/>
              <w:bottom w:w="28" w:type="dxa"/>
            </w:tcMar>
            <w:vAlign w:val="center"/>
          </w:tcPr>
          <w:p w14:paraId="1714E158" w14:textId="0FE5FF7F" w:rsidR="00973612" w:rsidRPr="00CC0C66" w:rsidRDefault="000F6F0D" w:rsidP="00F3265E">
            <w:pPr>
              <w:keepLines/>
              <w:spacing w:after="120"/>
              <w:rPr>
                <w:rFonts w:ascii="Arial" w:hAnsi="Arial" w:cs="Arial"/>
                <w:color w:val="000000"/>
                <w:sz w:val="18"/>
                <w:szCs w:val="18"/>
              </w:rPr>
            </w:pPr>
            <w:r w:rsidRPr="00CC0C66">
              <w:rPr>
                <w:rFonts w:ascii="Arial" w:hAnsi="Arial" w:cs="Arial"/>
                <w:color w:val="000000"/>
                <w:sz w:val="18"/>
                <w:szCs w:val="18"/>
              </w:rPr>
              <w:t>AMINO ACID FORMULA WITH VITAMINS AND MINERALS WITHOUT PHENYLALANINE</w:t>
            </w:r>
            <w:r w:rsidRPr="00CC0C66">
              <w:rPr>
                <w:rFonts w:ascii="Arial" w:hAnsi="Arial" w:cs="Arial"/>
                <w:color w:val="000000"/>
                <w:sz w:val="18"/>
                <w:szCs w:val="18"/>
              </w:rPr>
              <w:br/>
            </w:r>
            <w:r w:rsidRPr="00CC0C66">
              <w:rPr>
                <w:rFonts w:ascii="Arial" w:hAnsi="Arial" w:cs="Arial"/>
                <w:color w:val="000000"/>
                <w:sz w:val="18"/>
                <w:szCs w:val="18"/>
              </w:rPr>
              <w:br/>
              <w:t>Sachets containing oral powder 34</w:t>
            </w:r>
            <w:r w:rsidR="004C2E64">
              <w:rPr>
                <w:rFonts w:ascii="Arial" w:hAnsi="Arial" w:cs="Arial"/>
                <w:color w:val="000000"/>
                <w:sz w:val="18"/>
                <w:szCs w:val="18"/>
              </w:rPr>
              <w:t> </w:t>
            </w:r>
            <w:r w:rsidRPr="00CC0C66">
              <w:rPr>
                <w:rFonts w:ascii="Arial" w:hAnsi="Arial" w:cs="Arial"/>
                <w:color w:val="000000"/>
                <w:sz w:val="18"/>
                <w:szCs w:val="18"/>
              </w:rPr>
              <w:t>g, 30</w:t>
            </w:r>
            <w:r w:rsidRPr="00CC0C66">
              <w:rPr>
                <w:rFonts w:ascii="Arial" w:hAnsi="Arial" w:cs="Arial"/>
                <w:color w:val="000000"/>
                <w:sz w:val="18"/>
                <w:szCs w:val="18"/>
              </w:rPr>
              <w:br/>
            </w:r>
            <w:r w:rsidRPr="00CC0C66">
              <w:rPr>
                <w:rFonts w:ascii="Arial" w:hAnsi="Arial" w:cs="Arial"/>
                <w:color w:val="000000"/>
                <w:sz w:val="18"/>
                <w:szCs w:val="18"/>
              </w:rPr>
              <w:br/>
              <w:t>PKU express 20</w:t>
            </w:r>
            <w:r w:rsidR="00176E59" w:rsidRPr="00CC0C66">
              <w:rPr>
                <w:rFonts w:ascii="Arial" w:hAnsi="Arial" w:cs="Arial"/>
                <w:color w:val="000000"/>
                <w:sz w:val="18"/>
                <w:szCs w:val="18"/>
              </w:rPr>
              <w:t>®</w:t>
            </w:r>
            <w:r w:rsidRPr="00CC0C66">
              <w:rPr>
                <w:rFonts w:ascii="Arial" w:hAnsi="Arial" w:cs="Arial"/>
                <w:color w:val="000000"/>
                <w:sz w:val="18"/>
                <w:szCs w:val="18"/>
              </w:rPr>
              <w:br/>
            </w:r>
            <w:r w:rsidRPr="00CC0C66">
              <w:rPr>
                <w:rFonts w:ascii="Arial" w:hAnsi="Arial" w:cs="Arial"/>
                <w:color w:val="000000"/>
                <w:sz w:val="18"/>
                <w:szCs w:val="18"/>
              </w:rPr>
              <w:br/>
              <w:t>Vitaflo Australia Pty Ltd</w:t>
            </w:r>
          </w:p>
          <w:p w14:paraId="79E997CA" w14:textId="37359426" w:rsidR="008B6B42" w:rsidRPr="008B6B42" w:rsidRDefault="00400BA3" w:rsidP="00F3265E">
            <w:pPr>
              <w:keepLines/>
              <w:spacing w:after="120"/>
              <w:rPr>
                <w:rFonts w:ascii="Arial" w:hAnsi="Arial" w:cs="Arial"/>
                <w:color w:val="000000"/>
                <w:sz w:val="18"/>
                <w:szCs w:val="18"/>
              </w:rPr>
            </w:pPr>
            <w:r w:rsidRPr="00CC0C66">
              <w:rPr>
                <w:rFonts w:ascii="Arial" w:hAnsi="Arial" w:cs="Arial"/>
                <w:color w:val="000000"/>
                <w:sz w:val="18"/>
                <w:szCs w:val="18"/>
              </w:rPr>
              <w:t>Committee S</w:t>
            </w:r>
            <w:r w:rsidR="00973612" w:rsidRPr="00CC0C66">
              <w:rPr>
                <w:rFonts w:ascii="Arial" w:hAnsi="Arial" w:cs="Arial"/>
                <w:color w:val="000000"/>
                <w:sz w:val="18"/>
                <w:szCs w:val="18"/>
              </w:rPr>
              <w:t xml:space="preserve">ecretariat submission </w:t>
            </w:r>
            <w:r w:rsidR="00973612" w:rsidRPr="00CC0C66">
              <w:rPr>
                <w:rFonts w:ascii="Arial" w:hAnsi="Arial" w:cs="Arial"/>
                <w:color w:val="000000"/>
                <w:sz w:val="18"/>
                <w:szCs w:val="18"/>
              </w:rPr>
              <w:br/>
              <w:t>(Change to listing)</w:t>
            </w:r>
          </w:p>
        </w:tc>
        <w:tc>
          <w:tcPr>
            <w:tcW w:w="1559" w:type="dxa"/>
            <w:shd w:val="clear" w:color="auto" w:fill="auto"/>
            <w:vAlign w:val="center"/>
          </w:tcPr>
          <w:p w14:paraId="1171248F" w14:textId="535D40EF" w:rsidR="000F6F0D" w:rsidRPr="00CC0C66" w:rsidRDefault="000F6F0D"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Phenylketonuria</w:t>
            </w:r>
          </w:p>
        </w:tc>
        <w:tc>
          <w:tcPr>
            <w:tcW w:w="2552" w:type="dxa"/>
            <w:shd w:val="clear" w:color="auto" w:fill="auto"/>
            <w:tcMar>
              <w:top w:w="28" w:type="dxa"/>
              <w:bottom w:w="28" w:type="dxa"/>
            </w:tcMar>
            <w:vAlign w:val="center"/>
          </w:tcPr>
          <w:p w14:paraId="3C94454F" w14:textId="4278C291"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PKU Express 20 with new formulation continue to be listed on the PBS under existing conditions.</w:t>
            </w:r>
          </w:p>
        </w:tc>
        <w:tc>
          <w:tcPr>
            <w:tcW w:w="1558" w:type="dxa"/>
            <w:shd w:val="clear" w:color="auto" w:fill="auto"/>
            <w:vAlign w:val="center"/>
          </w:tcPr>
          <w:p w14:paraId="1F33CCDB" w14:textId="220C24EB"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2146A947" w14:textId="2E7EF1F4"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continuing the Restricted Benefits listings of PKU Express 20 with new formulation. The PBAC considered the new formulation was safe and would continue to meet the Australian adequate intake levels and recommended dietary intake values of patients eligible for PBS subsidised use.</w:t>
            </w:r>
          </w:p>
        </w:tc>
      </w:tr>
      <w:tr w:rsidR="000F6F0D" w:rsidRPr="00CC0C66" w14:paraId="5318F6E8" w14:textId="77777777" w:rsidTr="00A159CA">
        <w:trPr>
          <w:trHeight w:val="2841"/>
        </w:trPr>
        <w:tc>
          <w:tcPr>
            <w:tcW w:w="3114" w:type="dxa"/>
            <w:shd w:val="clear" w:color="auto" w:fill="auto"/>
            <w:tcMar>
              <w:top w:w="28" w:type="dxa"/>
              <w:bottom w:w="28" w:type="dxa"/>
            </w:tcMar>
            <w:vAlign w:val="center"/>
          </w:tcPr>
          <w:p w14:paraId="38FED23F" w14:textId="77777777" w:rsidR="00346BB9" w:rsidRDefault="000F6F0D" w:rsidP="00323C80">
            <w:pPr>
              <w:keepLines/>
              <w:rPr>
                <w:rFonts w:ascii="Arial" w:hAnsi="Arial" w:cs="Arial"/>
                <w:color w:val="000000"/>
                <w:sz w:val="18"/>
                <w:szCs w:val="18"/>
              </w:rPr>
            </w:pPr>
            <w:r w:rsidRPr="00CC0C66">
              <w:rPr>
                <w:rFonts w:ascii="Arial" w:hAnsi="Arial" w:cs="Arial"/>
                <w:color w:val="000000"/>
                <w:sz w:val="18"/>
                <w:szCs w:val="18"/>
              </w:rPr>
              <w:lastRenderedPageBreak/>
              <w:t>AMINO ACID FORMULA WITH VITAMINS AND MINERALS WITHOUT PHENYLALANINE</w:t>
            </w:r>
            <w:r w:rsidRPr="00CC0C66">
              <w:rPr>
                <w:rFonts w:ascii="Arial" w:hAnsi="Arial" w:cs="Arial"/>
                <w:color w:val="000000"/>
                <w:sz w:val="18"/>
                <w:szCs w:val="18"/>
              </w:rPr>
              <w:br/>
            </w:r>
            <w:r w:rsidRPr="00CC0C66">
              <w:rPr>
                <w:rFonts w:ascii="Arial" w:hAnsi="Arial" w:cs="Arial"/>
                <w:color w:val="000000"/>
                <w:sz w:val="18"/>
                <w:szCs w:val="18"/>
              </w:rPr>
              <w:br/>
              <w:t>Sachets containing oral powder 25</w:t>
            </w:r>
            <w:r w:rsidR="004C2E64">
              <w:rPr>
                <w:rFonts w:ascii="Arial" w:hAnsi="Arial" w:cs="Arial"/>
                <w:color w:val="000000"/>
                <w:sz w:val="18"/>
                <w:szCs w:val="18"/>
              </w:rPr>
              <w:t> </w:t>
            </w:r>
            <w:r w:rsidRPr="00CC0C66">
              <w:rPr>
                <w:rFonts w:ascii="Arial" w:hAnsi="Arial" w:cs="Arial"/>
                <w:color w:val="000000"/>
                <w:sz w:val="18"/>
                <w:szCs w:val="18"/>
              </w:rPr>
              <w:t>g, 30</w:t>
            </w:r>
            <w:r w:rsidRPr="00CC0C66">
              <w:rPr>
                <w:rFonts w:ascii="Arial" w:hAnsi="Arial" w:cs="Arial"/>
                <w:color w:val="000000"/>
                <w:sz w:val="18"/>
                <w:szCs w:val="18"/>
              </w:rPr>
              <w:br/>
            </w:r>
            <w:r w:rsidRPr="00CC0C66">
              <w:rPr>
                <w:rFonts w:ascii="Arial" w:hAnsi="Arial" w:cs="Arial"/>
                <w:color w:val="000000"/>
                <w:sz w:val="18"/>
                <w:szCs w:val="18"/>
              </w:rPr>
              <w:br/>
              <w:t>PKU express 15</w:t>
            </w:r>
            <w:r w:rsidR="00176E59" w:rsidRPr="00CC0C66">
              <w:rPr>
                <w:rFonts w:ascii="Arial" w:hAnsi="Arial" w:cs="Arial"/>
                <w:color w:val="000000"/>
                <w:sz w:val="18"/>
                <w:szCs w:val="18"/>
              </w:rPr>
              <w:t>®</w:t>
            </w:r>
            <w:r w:rsidRPr="00CC0C66">
              <w:rPr>
                <w:rFonts w:ascii="Arial" w:hAnsi="Arial" w:cs="Arial"/>
                <w:color w:val="000000"/>
                <w:sz w:val="18"/>
                <w:szCs w:val="18"/>
              </w:rPr>
              <w:br/>
            </w:r>
            <w:r w:rsidRPr="00CC0C66">
              <w:rPr>
                <w:rFonts w:ascii="Arial" w:hAnsi="Arial" w:cs="Arial"/>
                <w:color w:val="000000"/>
                <w:sz w:val="18"/>
                <w:szCs w:val="18"/>
              </w:rPr>
              <w:br/>
              <w:t>Vitaflo Australia Pty Ltd</w:t>
            </w:r>
            <w:r w:rsidRPr="00CC0C66">
              <w:rPr>
                <w:rFonts w:ascii="Arial" w:hAnsi="Arial" w:cs="Arial"/>
                <w:color w:val="000000"/>
                <w:sz w:val="18"/>
                <w:szCs w:val="18"/>
              </w:rPr>
              <w:br/>
            </w:r>
          </w:p>
          <w:p w14:paraId="3904A9E9" w14:textId="6E7927F5" w:rsidR="000F6F0D" w:rsidRPr="00CC0C66" w:rsidRDefault="00400BA3" w:rsidP="00323C80">
            <w:pPr>
              <w:keepLines/>
              <w:rPr>
                <w:rFonts w:ascii="Arial" w:hAnsi="Arial" w:cs="Arial"/>
                <w:sz w:val="18"/>
                <w:szCs w:val="18"/>
              </w:rPr>
            </w:pPr>
            <w:r w:rsidRPr="00CC0C66">
              <w:rPr>
                <w:rFonts w:ascii="Arial" w:hAnsi="Arial" w:cs="Arial"/>
                <w:color w:val="000000"/>
                <w:sz w:val="18"/>
                <w:szCs w:val="18"/>
              </w:rPr>
              <w:t>Committee S</w:t>
            </w:r>
            <w:r w:rsidR="00973612" w:rsidRPr="00CC0C66">
              <w:rPr>
                <w:rFonts w:ascii="Arial" w:hAnsi="Arial" w:cs="Arial"/>
                <w:color w:val="000000"/>
                <w:sz w:val="18"/>
                <w:szCs w:val="18"/>
              </w:rPr>
              <w:t xml:space="preserve">ecretariat submission </w:t>
            </w:r>
            <w:r w:rsidR="00973612" w:rsidRPr="00CC0C66">
              <w:rPr>
                <w:rFonts w:ascii="Arial" w:hAnsi="Arial" w:cs="Arial"/>
                <w:color w:val="000000"/>
                <w:sz w:val="18"/>
                <w:szCs w:val="18"/>
              </w:rPr>
              <w:br/>
              <w:t>(Change to listing)</w:t>
            </w:r>
          </w:p>
        </w:tc>
        <w:tc>
          <w:tcPr>
            <w:tcW w:w="1559" w:type="dxa"/>
            <w:shd w:val="clear" w:color="auto" w:fill="auto"/>
            <w:vAlign w:val="center"/>
          </w:tcPr>
          <w:p w14:paraId="02F728D0" w14:textId="2562A0E5" w:rsidR="000F6F0D" w:rsidRPr="00CC0C66" w:rsidRDefault="000F6F0D"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Phenylketonuria</w:t>
            </w:r>
          </w:p>
        </w:tc>
        <w:tc>
          <w:tcPr>
            <w:tcW w:w="2552" w:type="dxa"/>
            <w:shd w:val="clear" w:color="auto" w:fill="auto"/>
            <w:tcMar>
              <w:top w:w="28" w:type="dxa"/>
              <w:bottom w:w="28" w:type="dxa"/>
            </w:tcMar>
            <w:vAlign w:val="center"/>
          </w:tcPr>
          <w:p w14:paraId="5EE56CE2" w14:textId="0222FD20"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PKU Express 15 with new formulation continue to be listed on the PBS under existing conditions.</w:t>
            </w:r>
          </w:p>
        </w:tc>
        <w:tc>
          <w:tcPr>
            <w:tcW w:w="1558" w:type="dxa"/>
            <w:shd w:val="clear" w:color="auto" w:fill="auto"/>
            <w:vAlign w:val="center"/>
          </w:tcPr>
          <w:p w14:paraId="228EF239" w14:textId="00AC4E85"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60EF3033" w14:textId="4C4B78DB"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continuing the Restricted Benefits listings of PKU Express 15 with new formulation. The PBAC considered the new formulation was safe and would continue to meet the Australian adequate intake levels and recommended dietary intake values of patients eligible for PBS subsidised use.</w:t>
            </w:r>
          </w:p>
        </w:tc>
      </w:tr>
      <w:tr w:rsidR="000F6F0D" w:rsidRPr="00CC0C66" w14:paraId="1572D961" w14:textId="77777777" w:rsidTr="002E1AD3">
        <w:trPr>
          <w:trHeight w:val="2700"/>
        </w:trPr>
        <w:tc>
          <w:tcPr>
            <w:tcW w:w="3114" w:type="dxa"/>
            <w:shd w:val="clear" w:color="auto" w:fill="auto"/>
            <w:tcMar>
              <w:top w:w="28" w:type="dxa"/>
              <w:bottom w:w="28" w:type="dxa"/>
            </w:tcMar>
            <w:vAlign w:val="center"/>
          </w:tcPr>
          <w:p w14:paraId="2A8B3975" w14:textId="0EA96A74" w:rsidR="00995E94" w:rsidRPr="00CC0C66" w:rsidRDefault="000F6F0D" w:rsidP="00C5261F">
            <w:pPr>
              <w:keepLines/>
              <w:rPr>
                <w:rFonts w:ascii="Arial" w:hAnsi="Arial" w:cs="Arial"/>
                <w:color w:val="000000"/>
                <w:sz w:val="18"/>
                <w:szCs w:val="18"/>
              </w:rPr>
            </w:pPr>
            <w:r w:rsidRPr="00CC0C66">
              <w:rPr>
                <w:rFonts w:ascii="Arial" w:hAnsi="Arial" w:cs="Arial"/>
                <w:color w:val="000000"/>
                <w:sz w:val="18"/>
                <w:szCs w:val="18"/>
              </w:rPr>
              <w:t>AMINO ACID FORMULA WITH VITAMINS AND MINERALS WITHOUT PHENYLALANINE AND TYROSINE</w:t>
            </w:r>
            <w:r w:rsidRPr="00CC0C66">
              <w:rPr>
                <w:rFonts w:ascii="Arial" w:hAnsi="Arial" w:cs="Arial"/>
                <w:color w:val="000000"/>
                <w:sz w:val="18"/>
                <w:szCs w:val="18"/>
              </w:rPr>
              <w:br/>
            </w:r>
            <w:r w:rsidRPr="00CC0C66">
              <w:rPr>
                <w:rFonts w:ascii="Arial" w:hAnsi="Arial" w:cs="Arial"/>
                <w:color w:val="000000"/>
                <w:sz w:val="18"/>
                <w:szCs w:val="18"/>
              </w:rPr>
              <w:br/>
              <w:t>Sachets containing oral powder 25</w:t>
            </w:r>
            <w:r w:rsidR="004C2E64">
              <w:rPr>
                <w:rFonts w:ascii="Arial" w:hAnsi="Arial" w:cs="Arial"/>
                <w:color w:val="000000"/>
                <w:sz w:val="18"/>
                <w:szCs w:val="18"/>
              </w:rPr>
              <w:t> </w:t>
            </w:r>
            <w:r w:rsidRPr="00CC0C66">
              <w:rPr>
                <w:rFonts w:ascii="Arial" w:hAnsi="Arial" w:cs="Arial"/>
                <w:color w:val="000000"/>
                <w:sz w:val="18"/>
                <w:szCs w:val="18"/>
              </w:rPr>
              <w:t>g, 30</w:t>
            </w:r>
            <w:r w:rsidRPr="00CC0C66">
              <w:rPr>
                <w:rFonts w:ascii="Arial" w:hAnsi="Arial" w:cs="Arial"/>
                <w:color w:val="000000"/>
                <w:sz w:val="18"/>
                <w:szCs w:val="18"/>
              </w:rPr>
              <w:br/>
            </w:r>
            <w:r w:rsidRPr="00CC0C66">
              <w:rPr>
                <w:rFonts w:ascii="Arial" w:hAnsi="Arial" w:cs="Arial"/>
                <w:color w:val="000000"/>
                <w:sz w:val="18"/>
                <w:szCs w:val="18"/>
              </w:rPr>
              <w:br/>
              <w:t>TYR express 15</w:t>
            </w:r>
            <w:r w:rsidR="00176E59" w:rsidRPr="00CC0C66">
              <w:rPr>
                <w:rFonts w:ascii="Arial" w:hAnsi="Arial" w:cs="Arial"/>
                <w:color w:val="000000"/>
                <w:sz w:val="18"/>
                <w:szCs w:val="18"/>
              </w:rPr>
              <w:t>®</w:t>
            </w:r>
            <w:r w:rsidRPr="00CC0C66">
              <w:rPr>
                <w:rFonts w:ascii="Arial" w:hAnsi="Arial" w:cs="Arial"/>
                <w:color w:val="000000"/>
                <w:sz w:val="18"/>
                <w:szCs w:val="18"/>
              </w:rPr>
              <w:br/>
            </w:r>
            <w:r w:rsidRPr="00CC0C66">
              <w:rPr>
                <w:rFonts w:ascii="Arial" w:hAnsi="Arial" w:cs="Arial"/>
                <w:color w:val="000000"/>
                <w:sz w:val="18"/>
                <w:szCs w:val="18"/>
              </w:rPr>
              <w:br/>
              <w:t>Vitaflo Australia Pty Ltd</w:t>
            </w:r>
          </w:p>
          <w:p w14:paraId="2B097181" w14:textId="464957D2" w:rsidR="008B6B42" w:rsidRPr="00CC0C66" w:rsidRDefault="000F6F0D" w:rsidP="00C5261F">
            <w:pPr>
              <w:keepLines/>
              <w:spacing w:after="120"/>
              <w:rPr>
                <w:rFonts w:ascii="Arial" w:hAnsi="Arial" w:cs="Arial"/>
                <w:sz w:val="18"/>
                <w:szCs w:val="18"/>
              </w:rPr>
            </w:pPr>
            <w:r w:rsidRPr="00CC0C66">
              <w:rPr>
                <w:rFonts w:ascii="Arial" w:hAnsi="Arial" w:cs="Arial"/>
                <w:color w:val="000000"/>
                <w:sz w:val="18"/>
                <w:szCs w:val="18"/>
              </w:rPr>
              <w:br/>
            </w:r>
            <w:r w:rsidR="00400BA3" w:rsidRPr="00CC0C66">
              <w:rPr>
                <w:rFonts w:ascii="Arial" w:hAnsi="Arial" w:cs="Arial"/>
                <w:color w:val="000000"/>
                <w:sz w:val="18"/>
                <w:szCs w:val="18"/>
              </w:rPr>
              <w:t>Committee S</w:t>
            </w:r>
            <w:r w:rsidR="00973612" w:rsidRPr="00CC0C66">
              <w:rPr>
                <w:rFonts w:ascii="Arial" w:hAnsi="Arial" w:cs="Arial"/>
                <w:color w:val="000000"/>
                <w:sz w:val="18"/>
                <w:szCs w:val="18"/>
              </w:rPr>
              <w:t xml:space="preserve">ecretariat submission </w:t>
            </w:r>
            <w:r w:rsidR="00973612" w:rsidRPr="00CC0C66">
              <w:rPr>
                <w:rFonts w:ascii="Arial" w:hAnsi="Arial" w:cs="Arial"/>
                <w:color w:val="000000"/>
                <w:sz w:val="18"/>
                <w:szCs w:val="18"/>
              </w:rPr>
              <w:br/>
              <w:t>(Change to listing)</w:t>
            </w:r>
          </w:p>
        </w:tc>
        <w:tc>
          <w:tcPr>
            <w:tcW w:w="1559" w:type="dxa"/>
            <w:shd w:val="clear" w:color="auto" w:fill="auto"/>
            <w:vAlign w:val="center"/>
          </w:tcPr>
          <w:p w14:paraId="24542C6B" w14:textId="049298F2" w:rsidR="000F6F0D" w:rsidRPr="00CC0C66" w:rsidRDefault="000F6F0D"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Tyrosinaemia</w:t>
            </w:r>
          </w:p>
        </w:tc>
        <w:tc>
          <w:tcPr>
            <w:tcW w:w="2552" w:type="dxa"/>
            <w:shd w:val="clear" w:color="auto" w:fill="auto"/>
            <w:tcMar>
              <w:top w:w="28" w:type="dxa"/>
              <w:bottom w:w="28" w:type="dxa"/>
            </w:tcMar>
            <w:vAlign w:val="center"/>
          </w:tcPr>
          <w:p w14:paraId="4C38D472" w14:textId="7B848E1D"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TYR Express 15 with new formulation continue to be listed on the PBS under existing conditions.</w:t>
            </w:r>
          </w:p>
        </w:tc>
        <w:tc>
          <w:tcPr>
            <w:tcW w:w="1558" w:type="dxa"/>
            <w:shd w:val="clear" w:color="auto" w:fill="auto"/>
            <w:vAlign w:val="center"/>
          </w:tcPr>
          <w:p w14:paraId="3B3AEF82" w14:textId="6633DE0F"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5F031CC0" w14:textId="4F30063B"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continuing the Restricted Benefits listings of PKU Express 15 with new formulation. The PBAC considered the new formulation was safe and would continue to meet the Australian adequate intake levels and recommended dietary intake values of patients eligible for PBS subsidised use.</w:t>
            </w:r>
          </w:p>
        </w:tc>
      </w:tr>
      <w:tr w:rsidR="000F6F0D" w:rsidRPr="00CC0C66" w14:paraId="16697F86" w14:textId="77777777" w:rsidTr="002E1AD3">
        <w:trPr>
          <w:trHeight w:val="2818"/>
        </w:trPr>
        <w:tc>
          <w:tcPr>
            <w:tcW w:w="3114" w:type="dxa"/>
            <w:shd w:val="clear" w:color="auto" w:fill="auto"/>
            <w:tcMar>
              <w:top w:w="28" w:type="dxa"/>
              <w:bottom w:w="28" w:type="dxa"/>
            </w:tcMar>
            <w:vAlign w:val="center"/>
          </w:tcPr>
          <w:p w14:paraId="04F91131" w14:textId="580183BA" w:rsidR="00995E94" w:rsidRPr="00CC0C66" w:rsidRDefault="000F6F0D" w:rsidP="00C5261F">
            <w:pPr>
              <w:keepLines/>
              <w:rPr>
                <w:rFonts w:ascii="Arial" w:hAnsi="Arial" w:cs="Arial"/>
                <w:color w:val="000000"/>
                <w:sz w:val="18"/>
                <w:szCs w:val="18"/>
              </w:rPr>
            </w:pPr>
            <w:r w:rsidRPr="00CC0C66">
              <w:rPr>
                <w:rFonts w:ascii="Arial" w:hAnsi="Arial" w:cs="Arial"/>
                <w:color w:val="000000"/>
                <w:sz w:val="18"/>
                <w:szCs w:val="18"/>
              </w:rPr>
              <w:lastRenderedPageBreak/>
              <w:t xml:space="preserve">AMINO ACID FORMULA WITH VITAMINS AND MINERALS WITHOUT VALINE, LEUCINE AND ISOLEUCINE </w:t>
            </w:r>
            <w:r w:rsidRPr="00CC0C66">
              <w:rPr>
                <w:rFonts w:ascii="Arial" w:hAnsi="Arial" w:cs="Arial"/>
                <w:color w:val="000000"/>
                <w:sz w:val="18"/>
                <w:szCs w:val="18"/>
              </w:rPr>
              <w:br/>
            </w:r>
            <w:r w:rsidRPr="00CC0C66">
              <w:rPr>
                <w:rFonts w:ascii="Arial" w:hAnsi="Arial" w:cs="Arial"/>
                <w:color w:val="000000"/>
                <w:sz w:val="18"/>
                <w:szCs w:val="18"/>
              </w:rPr>
              <w:br/>
              <w:t>Sachets containing oral powder 25</w:t>
            </w:r>
            <w:r w:rsidR="004C2E64">
              <w:rPr>
                <w:rFonts w:ascii="Arial" w:hAnsi="Arial" w:cs="Arial"/>
                <w:color w:val="000000"/>
                <w:sz w:val="18"/>
                <w:szCs w:val="18"/>
              </w:rPr>
              <w:t> </w:t>
            </w:r>
            <w:r w:rsidRPr="00CC0C66">
              <w:rPr>
                <w:rFonts w:ascii="Arial" w:hAnsi="Arial" w:cs="Arial"/>
                <w:color w:val="000000"/>
                <w:sz w:val="18"/>
                <w:szCs w:val="18"/>
              </w:rPr>
              <w:t>g, 30</w:t>
            </w:r>
            <w:r w:rsidRPr="00CC0C66">
              <w:rPr>
                <w:rFonts w:ascii="Arial" w:hAnsi="Arial" w:cs="Arial"/>
                <w:color w:val="000000"/>
                <w:sz w:val="18"/>
                <w:szCs w:val="18"/>
              </w:rPr>
              <w:br/>
            </w:r>
            <w:r w:rsidRPr="00CC0C66">
              <w:rPr>
                <w:rFonts w:ascii="Arial" w:hAnsi="Arial" w:cs="Arial"/>
                <w:color w:val="000000"/>
                <w:sz w:val="18"/>
                <w:szCs w:val="18"/>
              </w:rPr>
              <w:br/>
              <w:t xml:space="preserve">MSUD </w:t>
            </w:r>
            <w:r w:rsidR="004C2E64">
              <w:rPr>
                <w:rFonts w:ascii="Arial" w:hAnsi="Arial" w:cs="Arial"/>
                <w:color w:val="000000"/>
                <w:sz w:val="18"/>
                <w:szCs w:val="18"/>
              </w:rPr>
              <w:t>E</w:t>
            </w:r>
            <w:r w:rsidRPr="00CC0C66">
              <w:rPr>
                <w:rFonts w:ascii="Arial" w:hAnsi="Arial" w:cs="Arial"/>
                <w:color w:val="000000"/>
                <w:sz w:val="18"/>
                <w:szCs w:val="18"/>
              </w:rPr>
              <w:t>xpress 15</w:t>
            </w:r>
            <w:r w:rsidR="00176E59" w:rsidRPr="00CC0C66">
              <w:rPr>
                <w:rFonts w:ascii="Arial" w:hAnsi="Arial" w:cs="Arial"/>
                <w:color w:val="000000"/>
                <w:sz w:val="18"/>
                <w:szCs w:val="18"/>
              </w:rPr>
              <w:t>®</w:t>
            </w:r>
            <w:r w:rsidRPr="00CC0C66">
              <w:rPr>
                <w:rFonts w:ascii="Arial" w:hAnsi="Arial" w:cs="Arial"/>
                <w:color w:val="000000"/>
                <w:sz w:val="18"/>
                <w:szCs w:val="18"/>
              </w:rPr>
              <w:br/>
            </w:r>
            <w:r w:rsidRPr="00CC0C66">
              <w:rPr>
                <w:rFonts w:ascii="Arial" w:hAnsi="Arial" w:cs="Arial"/>
                <w:color w:val="000000"/>
                <w:sz w:val="18"/>
                <w:szCs w:val="18"/>
              </w:rPr>
              <w:br/>
              <w:t>Vitaflo Australia Pty Ltd</w:t>
            </w:r>
          </w:p>
          <w:p w14:paraId="190665F3" w14:textId="63B34061" w:rsidR="008B6B42" w:rsidRPr="00CC0C66" w:rsidRDefault="000F6F0D" w:rsidP="00C5261F">
            <w:pPr>
              <w:keepLines/>
              <w:spacing w:after="120"/>
              <w:rPr>
                <w:rFonts w:ascii="Arial" w:hAnsi="Arial" w:cs="Arial"/>
                <w:sz w:val="18"/>
                <w:szCs w:val="18"/>
              </w:rPr>
            </w:pPr>
            <w:r w:rsidRPr="00CC0C66">
              <w:rPr>
                <w:rFonts w:ascii="Arial" w:hAnsi="Arial" w:cs="Arial"/>
                <w:color w:val="000000"/>
                <w:sz w:val="18"/>
                <w:szCs w:val="18"/>
              </w:rPr>
              <w:br/>
            </w:r>
            <w:r w:rsidR="00400BA3" w:rsidRPr="00CC0C66">
              <w:rPr>
                <w:rFonts w:ascii="Arial" w:hAnsi="Arial" w:cs="Arial"/>
                <w:color w:val="000000"/>
                <w:sz w:val="18"/>
                <w:szCs w:val="18"/>
              </w:rPr>
              <w:t>Committee S</w:t>
            </w:r>
            <w:r w:rsidR="00973612" w:rsidRPr="00CC0C66">
              <w:rPr>
                <w:rFonts w:ascii="Arial" w:hAnsi="Arial" w:cs="Arial"/>
                <w:color w:val="000000"/>
                <w:sz w:val="18"/>
                <w:szCs w:val="18"/>
              </w:rPr>
              <w:t xml:space="preserve">ecretariat submission </w:t>
            </w:r>
            <w:r w:rsidR="00973612" w:rsidRPr="00CC0C66">
              <w:rPr>
                <w:rFonts w:ascii="Arial" w:hAnsi="Arial" w:cs="Arial"/>
                <w:color w:val="000000"/>
                <w:sz w:val="18"/>
                <w:szCs w:val="18"/>
              </w:rPr>
              <w:br/>
              <w:t>(Change to listing)</w:t>
            </w:r>
          </w:p>
        </w:tc>
        <w:tc>
          <w:tcPr>
            <w:tcW w:w="1559" w:type="dxa"/>
            <w:shd w:val="clear" w:color="auto" w:fill="auto"/>
            <w:vAlign w:val="center"/>
          </w:tcPr>
          <w:p w14:paraId="2581DB31" w14:textId="254F6E38" w:rsidR="000F6F0D" w:rsidRPr="00CC0C66" w:rsidRDefault="000F6F0D"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Maple syrup urine disease</w:t>
            </w:r>
          </w:p>
        </w:tc>
        <w:tc>
          <w:tcPr>
            <w:tcW w:w="2552" w:type="dxa"/>
            <w:shd w:val="clear" w:color="auto" w:fill="auto"/>
            <w:tcMar>
              <w:top w:w="28" w:type="dxa"/>
              <w:bottom w:w="28" w:type="dxa"/>
            </w:tcMar>
            <w:vAlign w:val="center"/>
          </w:tcPr>
          <w:p w14:paraId="01C2BE52" w14:textId="15237F58"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MSUD Express 15 with new formulation continue to be listed on the PBS under existing conditions.</w:t>
            </w:r>
          </w:p>
        </w:tc>
        <w:tc>
          <w:tcPr>
            <w:tcW w:w="1558" w:type="dxa"/>
            <w:shd w:val="clear" w:color="auto" w:fill="auto"/>
            <w:vAlign w:val="center"/>
          </w:tcPr>
          <w:p w14:paraId="270C0943" w14:textId="5368385A"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13CC0F09" w14:textId="6EB9B80E" w:rsidR="000F6F0D" w:rsidRPr="00CC0C66" w:rsidRDefault="000F6F0D"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The PBAC recommended continuing the Restricted Benefits listings of TYR </w:t>
            </w:r>
            <w:r w:rsidR="004C2E64">
              <w:rPr>
                <w:rFonts w:ascii="Arial" w:hAnsi="Arial" w:cs="Arial"/>
                <w:color w:val="000000"/>
                <w:sz w:val="18"/>
                <w:szCs w:val="18"/>
              </w:rPr>
              <w:t>E</w:t>
            </w:r>
            <w:r w:rsidRPr="00CC0C66">
              <w:rPr>
                <w:rFonts w:ascii="Arial" w:hAnsi="Arial" w:cs="Arial"/>
                <w:color w:val="000000"/>
                <w:sz w:val="18"/>
                <w:szCs w:val="18"/>
              </w:rPr>
              <w:t>xpress 15 with new formulation. The PBAC considered the new formulation was safe and would continue to meet the Australian adequate intake levels and recommended dietary intake values of patients eligible for PBS subsidised use.</w:t>
            </w:r>
          </w:p>
        </w:tc>
      </w:tr>
      <w:tr w:rsidR="001E777A" w:rsidRPr="00CC0C66" w14:paraId="054AB8A7" w14:textId="77777777" w:rsidTr="002E1AD3">
        <w:trPr>
          <w:trHeight w:val="34"/>
        </w:trPr>
        <w:tc>
          <w:tcPr>
            <w:tcW w:w="3114" w:type="dxa"/>
            <w:vMerge w:val="restart"/>
            <w:shd w:val="clear" w:color="auto" w:fill="auto"/>
            <w:tcMar>
              <w:top w:w="28" w:type="dxa"/>
              <w:bottom w:w="28" w:type="dxa"/>
            </w:tcMar>
            <w:vAlign w:val="center"/>
          </w:tcPr>
          <w:p w14:paraId="0A3FDF5F" w14:textId="259E3596" w:rsidR="00973612" w:rsidRPr="00CC0C66" w:rsidRDefault="001E777A" w:rsidP="00F3265E">
            <w:pPr>
              <w:keepLines/>
              <w:spacing w:after="120"/>
              <w:rPr>
                <w:rFonts w:ascii="Arial" w:hAnsi="Arial" w:cs="Arial"/>
                <w:color w:val="000000"/>
                <w:sz w:val="18"/>
                <w:szCs w:val="18"/>
              </w:rPr>
            </w:pPr>
            <w:r w:rsidRPr="00CC0C66">
              <w:rPr>
                <w:rFonts w:ascii="Arial" w:hAnsi="Arial" w:cs="Arial"/>
                <w:color w:val="000000"/>
                <w:sz w:val="18"/>
                <w:szCs w:val="18"/>
              </w:rPr>
              <w:t>BARICITINIB</w:t>
            </w:r>
            <w:r w:rsidRPr="00CC0C66">
              <w:rPr>
                <w:rFonts w:ascii="Arial" w:hAnsi="Arial" w:cs="Arial"/>
                <w:color w:val="000000"/>
                <w:sz w:val="18"/>
                <w:szCs w:val="18"/>
              </w:rPr>
              <w:br/>
            </w:r>
            <w:r w:rsidRPr="00CC0C66">
              <w:rPr>
                <w:rFonts w:ascii="Arial" w:hAnsi="Arial" w:cs="Arial"/>
                <w:color w:val="000000"/>
                <w:sz w:val="18"/>
                <w:szCs w:val="18"/>
              </w:rPr>
              <w:br/>
              <w:t>Tablet 2 mg</w:t>
            </w:r>
            <w:r w:rsidRPr="00CC0C66">
              <w:rPr>
                <w:rFonts w:ascii="Arial" w:hAnsi="Arial" w:cs="Arial"/>
                <w:color w:val="000000"/>
                <w:sz w:val="18"/>
                <w:szCs w:val="18"/>
              </w:rPr>
              <w:br/>
              <w:t>Tablet 4 mg</w:t>
            </w:r>
            <w:r w:rsidRPr="00CC0C66">
              <w:rPr>
                <w:rFonts w:ascii="Arial" w:hAnsi="Arial" w:cs="Arial"/>
                <w:color w:val="000000"/>
                <w:sz w:val="18"/>
                <w:szCs w:val="18"/>
              </w:rPr>
              <w:br/>
            </w:r>
            <w:r w:rsidRPr="00CC0C66">
              <w:rPr>
                <w:rFonts w:ascii="Arial" w:hAnsi="Arial" w:cs="Arial"/>
                <w:color w:val="000000"/>
                <w:sz w:val="18"/>
                <w:szCs w:val="18"/>
              </w:rPr>
              <w:br/>
              <w:t>Olumiant®</w:t>
            </w:r>
            <w:r w:rsidRPr="00CC0C66">
              <w:rPr>
                <w:rFonts w:ascii="Arial" w:hAnsi="Arial" w:cs="Arial"/>
                <w:color w:val="000000"/>
                <w:sz w:val="18"/>
                <w:szCs w:val="18"/>
              </w:rPr>
              <w:br/>
            </w:r>
            <w:r w:rsidRPr="00CC0C66">
              <w:rPr>
                <w:rFonts w:ascii="Arial" w:hAnsi="Arial" w:cs="Arial"/>
                <w:color w:val="000000"/>
                <w:sz w:val="18"/>
                <w:szCs w:val="18"/>
              </w:rPr>
              <w:br/>
              <w:t>Eli Lilly Australia Pty Ltd</w:t>
            </w:r>
          </w:p>
          <w:p w14:paraId="34948D09" w14:textId="1614A9B7" w:rsidR="001E777A" w:rsidRPr="00CC0C66" w:rsidRDefault="00973612" w:rsidP="00F3265E">
            <w:pPr>
              <w:keepLines/>
              <w:spacing w:after="120"/>
              <w:rPr>
                <w:rFonts w:ascii="Arial" w:hAnsi="Arial" w:cs="Arial"/>
                <w:sz w:val="18"/>
                <w:szCs w:val="18"/>
              </w:rPr>
            </w:pPr>
            <w:r w:rsidRPr="00CC0C66">
              <w:rPr>
                <w:rFonts w:ascii="Arial" w:hAnsi="Arial" w:cs="Arial"/>
                <w:color w:val="000000"/>
                <w:sz w:val="18"/>
                <w:szCs w:val="18"/>
              </w:rPr>
              <w:t>Category 2 submission</w:t>
            </w:r>
            <w:r w:rsidR="001E777A" w:rsidRPr="00CC0C66">
              <w:rPr>
                <w:rFonts w:ascii="Arial" w:hAnsi="Arial" w:cs="Arial"/>
                <w:color w:val="000000"/>
                <w:sz w:val="18"/>
                <w:szCs w:val="18"/>
              </w:rPr>
              <w:br/>
            </w:r>
            <w:r w:rsidRPr="00CC0C66">
              <w:rPr>
                <w:rFonts w:ascii="Arial" w:hAnsi="Arial" w:cs="Arial"/>
                <w:color w:val="000000"/>
                <w:sz w:val="18"/>
                <w:szCs w:val="18"/>
              </w:rPr>
              <w:t>(</w:t>
            </w:r>
            <w:r w:rsidR="001E777A" w:rsidRPr="00CC0C66">
              <w:rPr>
                <w:rFonts w:ascii="Arial" w:hAnsi="Arial" w:cs="Arial"/>
                <w:color w:val="000000"/>
                <w:sz w:val="18"/>
                <w:szCs w:val="18"/>
              </w:rPr>
              <w:t>Change to listing</w:t>
            </w:r>
            <w:r w:rsidRPr="00CC0C66">
              <w:rPr>
                <w:rFonts w:ascii="Arial" w:hAnsi="Arial" w:cs="Arial"/>
                <w:color w:val="000000"/>
                <w:sz w:val="18"/>
                <w:szCs w:val="18"/>
              </w:rPr>
              <w:t>)</w:t>
            </w:r>
          </w:p>
        </w:tc>
        <w:tc>
          <w:tcPr>
            <w:tcW w:w="1559" w:type="dxa"/>
            <w:vMerge w:val="restart"/>
            <w:shd w:val="clear" w:color="auto" w:fill="auto"/>
            <w:vAlign w:val="center"/>
          </w:tcPr>
          <w:p w14:paraId="41F36331" w14:textId="783BC1C9" w:rsidR="001E777A" w:rsidRPr="00CC0C66" w:rsidRDefault="001E777A"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Severe atopic dermatitis</w:t>
            </w:r>
            <w:r w:rsidR="001B2C7D">
              <w:rPr>
                <w:rFonts w:ascii="Arial" w:hAnsi="Arial" w:cs="Arial"/>
                <w:color w:val="000000"/>
                <w:sz w:val="18"/>
                <w:szCs w:val="18"/>
              </w:rPr>
              <w:t xml:space="preserve"> (AD)</w:t>
            </w:r>
          </w:p>
        </w:tc>
        <w:tc>
          <w:tcPr>
            <w:tcW w:w="2552" w:type="dxa"/>
            <w:vMerge w:val="restart"/>
            <w:shd w:val="clear" w:color="auto" w:fill="auto"/>
            <w:tcMar>
              <w:top w:w="28" w:type="dxa"/>
              <w:bottom w:w="28" w:type="dxa"/>
            </w:tcMar>
            <w:vAlign w:val="center"/>
          </w:tcPr>
          <w:p w14:paraId="31312F3C" w14:textId="7C2E8381"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To request a General Schedule, Authority Required (written) listing for the treatment of patients with severe </w:t>
            </w:r>
            <w:r w:rsidR="004C2E64">
              <w:rPr>
                <w:rFonts w:ascii="Arial" w:hAnsi="Arial" w:cs="Arial"/>
                <w:color w:val="000000"/>
                <w:sz w:val="18"/>
                <w:szCs w:val="18"/>
              </w:rPr>
              <w:t>AD</w:t>
            </w:r>
            <w:r w:rsidRPr="00CC0C66">
              <w:rPr>
                <w:rFonts w:ascii="Arial" w:hAnsi="Arial" w:cs="Arial"/>
                <w:color w:val="000000"/>
                <w:sz w:val="18"/>
                <w:szCs w:val="18"/>
              </w:rPr>
              <w:t>.</w:t>
            </w:r>
          </w:p>
        </w:tc>
        <w:tc>
          <w:tcPr>
            <w:tcW w:w="1558" w:type="dxa"/>
            <w:vMerge w:val="restart"/>
            <w:shd w:val="clear" w:color="auto" w:fill="auto"/>
            <w:vAlign w:val="center"/>
          </w:tcPr>
          <w:p w14:paraId="46EDE1DF" w14:textId="09B2D3BE"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Not Recommended</w:t>
            </w:r>
          </w:p>
        </w:tc>
        <w:tc>
          <w:tcPr>
            <w:tcW w:w="6605" w:type="dxa"/>
            <w:shd w:val="clear" w:color="auto" w:fill="auto"/>
          </w:tcPr>
          <w:p w14:paraId="2EFEF005" w14:textId="3E69BB59" w:rsidR="00CC0C66" w:rsidRPr="00CC0C66" w:rsidRDefault="00CC0C66" w:rsidP="00F3265E">
            <w:pPr>
              <w:pStyle w:val="ListParagraph"/>
              <w:keepLines/>
              <w:spacing w:after="120"/>
              <w:ind w:left="0"/>
              <w:rPr>
                <w:rFonts w:ascii="Arial" w:hAnsi="Arial" w:cs="Arial"/>
                <w:snapToGrid w:val="0"/>
                <w:sz w:val="18"/>
                <w:szCs w:val="18"/>
                <w:lang w:eastAsia="en-US"/>
              </w:rPr>
            </w:pPr>
            <w:r w:rsidRPr="00CC0C66">
              <w:rPr>
                <w:rFonts w:ascii="Arial" w:hAnsi="Arial" w:cs="Arial"/>
                <w:snapToGrid w:val="0"/>
                <w:sz w:val="18"/>
                <w:szCs w:val="18"/>
                <w:lang w:eastAsia="en-US"/>
              </w:rPr>
              <w:t xml:space="preserve">The PBAC did not recommend the listing of baricitinib for the treatment of adults with severe AD. Whilst the PBAC accepted that the claim of inferior efficacy of </w:t>
            </w:r>
            <w:r w:rsidR="004C2E64" w:rsidRPr="00CC0C66">
              <w:rPr>
                <w:rFonts w:ascii="Arial" w:hAnsi="Arial" w:cs="Arial"/>
                <w:snapToGrid w:val="0"/>
                <w:sz w:val="18"/>
                <w:szCs w:val="18"/>
                <w:lang w:eastAsia="en-US"/>
              </w:rPr>
              <w:t>baricitinib</w:t>
            </w:r>
            <w:r w:rsidRPr="00CC0C66">
              <w:rPr>
                <w:rFonts w:ascii="Arial" w:hAnsi="Arial" w:cs="Arial"/>
                <w:snapToGrid w:val="0"/>
                <w:sz w:val="18"/>
                <w:szCs w:val="18"/>
                <w:lang w:eastAsia="en-US"/>
              </w:rPr>
              <w:t xml:space="preserve"> compared to dupilumab was reasonable, the magnitude of difference in response was uncertain. The PBAC also considered that the safety profile for </w:t>
            </w:r>
            <w:r w:rsidR="004C2E64" w:rsidRPr="00CC0C66">
              <w:rPr>
                <w:rFonts w:ascii="Arial" w:hAnsi="Arial" w:cs="Arial"/>
                <w:snapToGrid w:val="0"/>
                <w:sz w:val="18"/>
                <w:szCs w:val="18"/>
                <w:lang w:eastAsia="en-US"/>
              </w:rPr>
              <w:t>baricitinib</w:t>
            </w:r>
            <w:r w:rsidRPr="00CC0C66">
              <w:rPr>
                <w:rFonts w:ascii="Arial" w:hAnsi="Arial" w:cs="Arial"/>
                <w:snapToGrid w:val="0"/>
                <w:sz w:val="18"/>
                <w:szCs w:val="18"/>
                <w:lang w:eastAsia="en-US"/>
              </w:rPr>
              <w:t xml:space="preserve"> is inferior to </w:t>
            </w:r>
            <w:r w:rsidR="004C2E64" w:rsidRPr="00CC0C66">
              <w:rPr>
                <w:rFonts w:ascii="Arial" w:hAnsi="Arial" w:cs="Arial"/>
                <w:snapToGrid w:val="0"/>
                <w:sz w:val="18"/>
                <w:szCs w:val="18"/>
                <w:lang w:eastAsia="en-US"/>
              </w:rPr>
              <w:t xml:space="preserve">dupilumab </w:t>
            </w:r>
            <w:r w:rsidRPr="00CC0C66">
              <w:rPr>
                <w:rFonts w:ascii="Arial" w:hAnsi="Arial" w:cs="Arial"/>
                <w:snapToGrid w:val="0"/>
                <w:sz w:val="18"/>
                <w:szCs w:val="18"/>
                <w:lang w:eastAsia="en-US"/>
              </w:rPr>
              <w:t xml:space="preserve">and noted concerns remain regarding the long-term safety of </w:t>
            </w:r>
            <w:r w:rsidR="004C2E64" w:rsidRPr="00CC0C66">
              <w:rPr>
                <w:rFonts w:ascii="Arial" w:hAnsi="Arial" w:cs="Arial"/>
                <w:snapToGrid w:val="0"/>
                <w:sz w:val="18"/>
                <w:szCs w:val="18"/>
                <w:lang w:eastAsia="en-US"/>
              </w:rPr>
              <w:t>baricitinib</w:t>
            </w:r>
            <w:r w:rsidRPr="00CC0C66">
              <w:rPr>
                <w:rFonts w:ascii="Arial" w:hAnsi="Arial" w:cs="Arial"/>
                <w:snapToGrid w:val="0"/>
                <w:sz w:val="18"/>
                <w:szCs w:val="18"/>
                <w:lang w:eastAsia="en-US"/>
              </w:rPr>
              <w:t xml:space="preserve">. As such the PBAC considered that the clinical place of </w:t>
            </w:r>
            <w:r w:rsidR="004C2E64" w:rsidRPr="00CC0C66">
              <w:rPr>
                <w:rFonts w:ascii="Arial" w:hAnsi="Arial" w:cs="Arial"/>
                <w:snapToGrid w:val="0"/>
                <w:sz w:val="18"/>
                <w:szCs w:val="18"/>
                <w:lang w:eastAsia="en-US"/>
              </w:rPr>
              <w:t>baricitinib</w:t>
            </w:r>
            <w:r w:rsidR="004C2E64" w:rsidRPr="00CC0C66" w:rsidDel="004C2E64">
              <w:rPr>
                <w:rFonts w:ascii="Arial" w:hAnsi="Arial" w:cs="Arial"/>
                <w:snapToGrid w:val="0"/>
                <w:sz w:val="18"/>
                <w:szCs w:val="18"/>
                <w:lang w:eastAsia="en-US"/>
              </w:rPr>
              <w:t xml:space="preserve"> </w:t>
            </w:r>
            <w:r w:rsidRPr="00CC0C66">
              <w:rPr>
                <w:rFonts w:ascii="Arial" w:hAnsi="Arial" w:cs="Arial"/>
                <w:snapToGrid w:val="0"/>
                <w:sz w:val="18"/>
                <w:szCs w:val="18"/>
                <w:lang w:eastAsia="en-US"/>
              </w:rPr>
              <w:t xml:space="preserve">was unclear. Given the uncertainty in the clinical data and because the cost comparison presented in the submission did not capture the full cost and consequences of listing </w:t>
            </w:r>
            <w:r w:rsidR="004C2E64" w:rsidRPr="00CC0C66">
              <w:rPr>
                <w:rFonts w:ascii="Arial" w:hAnsi="Arial" w:cs="Arial"/>
                <w:snapToGrid w:val="0"/>
                <w:sz w:val="18"/>
                <w:szCs w:val="18"/>
                <w:lang w:eastAsia="en-US"/>
              </w:rPr>
              <w:t>baricitinib</w:t>
            </w:r>
            <w:r w:rsidRPr="00CC0C66">
              <w:rPr>
                <w:rFonts w:ascii="Arial" w:hAnsi="Arial" w:cs="Arial"/>
                <w:snapToGrid w:val="0"/>
                <w:sz w:val="18"/>
                <w:szCs w:val="18"/>
                <w:lang w:eastAsia="en-US"/>
              </w:rPr>
              <w:t xml:space="preserve"> on the PBS, the PBAC considered that the economic analysis was not reliable for decision-making.</w:t>
            </w:r>
          </w:p>
        </w:tc>
      </w:tr>
      <w:tr w:rsidR="001E777A" w:rsidRPr="00CC0C66" w14:paraId="7C40DC37" w14:textId="77777777" w:rsidTr="002E1AD3">
        <w:trPr>
          <w:trHeight w:val="724"/>
        </w:trPr>
        <w:tc>
          <w:tcPr>
            <w:tcW w:w="3114" w:type="dxa"/>
            <w:vMerge/>
            <w:shd w:val="clear" w:color="auto" w:fill="auto"/>
            <w:tcMar>
              <w:top w:w="28" w:type="dxa"/>
              <w:bottom w:w="28" w:type="dxa"/>
            </w:tcMar>
            <w:vAlign w:val="center"/>
          </w:tcPr>
          <w:p w14:paraId="7E3E3513" w14:textId="77777777" w:rsidR="001E777A" w:rsidRPr="00CC0C66" w:rsidRDefault="001E777A" w:rsidP="00F3265E">
            <w:pPr>
              <w:keepLines/>
              <w:spacing w:after="120"/>
              <w:rPr>
                <w:rFonts w:ascii="Arial" w:hAnsi="Arial" w:cs="Arial"/>
                <w:color w:val="000000"/>
                <w:sz w:val="18"/>
                <w:szCs w:val="18"/>
              </w:rPr>
            </w:pPr>
          </w:p>
        </w:tc>
        <w:tc>
          <w:tcPr>
            <w:tcW w:w="1559" w:type="dxa"/>
            <w:vMerge/>
            <w:shd w:val="clear" w:color="auto" w:fill="auto"/>
            <w:vAlign w:val="center"/>
          </w:tcPr>
          <w:p w14:paraId="3387061A" w14:textId="77777777" w:rsidR="001E777A" w:rsidRPr="00CC0C66" w:rsidRDefault="001E777A"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5E01D202" w14:textId="77777777" w:rsidR="001E777A" w:rsidRPr="00CC0C66" w:rsidRDefault="001E777A"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06E28A45" w14:textId="77777777" w:rsidR="001E777A" w:rsidRPr="00CC0C66" w:rsidRDefault="001E777A" w:rsidP="00F3265E">
            <w:pPr>
              <w:pStyle w:val="ListParagraph"/>
              <w:keepLines/>
              <w:spacing w:after="120"/>
              <w:ind w:left="0"/>
              <w:rPr>
                <w:rFonts w:ascii="Arial" w:hAnsi="Arial" w:cs="Arial"/>
                <w:color w:val="000000"/>
                <w:sz w:val="18"/>
                <w:szCs w:val="18"/>
              </w:rPr>
            </w:pPr>
          </w:p>
        </w:tc>
        <w:tc>
          <w:tcPr>
            <w:tcW w:w="6605" w:type="dxa"/>
            <w:shd w:val="clear" w:color="auto" w:fill="auto"/>
          </w:tcPr>
          <w:p w14:paraId="3BDF2FFD" w14:textId="517E1DB6" w:rsidR="00323C80" w:rsidRPr="00323C80" w:rsidRDefault="001E777A"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Sponsor’s Comment</w:t>
            </w:r>
            <w:r w:rsidR="00323C80">
              <w:rPr>
                <w:rFonts w:ascii="Arial" w:hAnsi="Arial" w:cs="Arial"/>
                <w:snapToGrid w:val="0"/>
                <w:sz w:val="18"/>
                <w:szCs w:val="18"/>
                <w:lang w:eastAsia="en-US"/>
              </w:rPr>
              <w:t xml:space="preserve">: </w:t>
            </w:r>
            <w:r w:rsidR="00323C80" w:rsidRPr="00323C80">
              <w:rPr>
                <w:rFonts w:ascii="Arial" w:hAnsi="Arial" w:cs="Arial"/>
                <w:snapToGrid w:val="0"/>
                <w:sz w:val="18"/>
                <w:szCs w:val="18"/>
                <w:lang w:eastAsia="en-US"/>
              </w:rPr>
              <w:t>Lilly is disappointed Olumiant was not recommended for patients with severe atopic dermatitis. We will work to address unresolved differences in the interpretation of the data for this medicine which is already used widely and with consistent, long-term safety in Australia and many jurisdictions across the world, including in atopic dermatitis.</w:t>
            </w:r>
          </w:p>
        </w:tc>
      </w:tr>
      <w:tr w:rsidR="001E777A" w:rsidRPr="00CC0C66" w14:paraId="5D7E9A7A" w14:textId="77777777" w:rsidTr="00A159CA">
        <w:trPr>
          <w:trHeight w:val="2274"/>
        </w:trPr>
        <w:tc>
          <w:tcPr>
            <w:tcW w:w="3114" w:type="dxa"/>
            <w:shd w:val="clear" w:color="auto" w:fill="auto"/>
            <w:tcMar>
              <w:top w:w="28" w:type="dxa"/>
              <w:bottom w:w="28" w:type="dxa"/>
            </w:tcMar>
            <w:vAlign w:val="center"/>
          </w:tcPr>
          <w:p w14:paraId="2219934B" w14:textId="2A172DDB" w:rsidR="00C5261F" w:rsidRDefault="001E777A" w:rsidP="00C5261F">
            <w:pPr>
              <w:keepLines/>
              <w:rPr>
                <w:rFonts w:ascii="Arial" w:hAnsi="Arial" w:cs="Arial"/>
                <w:color w:val="000000"/>
                <w:sz w:val="18"/>
                <w:szCs w:val="18"/>
              </w:rPr>
            </w:pPr>
            <w:r w:rsidRPr="00CC0C66">
              <w:rPr>
                <w:rFonts w:ascii="Arial" w:hAnsi="Arial" w:cs="Arial"/>
                <w:color w:val="000000"/>
                <w:sz w:val="18"/>
                <w:szCs w:val="18"/>
              </w:rPr>
              <w:lastRenderedPageBreak/>
              <w:t>BORTEZOMIB</w:t>
            </w:r>
            <w:r w:rsidRPr="00CC0C66">
              <w:rPr>
                <w:rFonts w:ascii="Arial" w:hAnsi="Arial" w:cs="Arial"/>
                <w:color w:val="000000"/>
                <w:sz w:val="18"/>
                <w:szCs w:val="18"/>
              </w:rPr>
              <w:br/>
            </w:r>
            <w:r w:rsidRPr="00CC0C66">
              <w:rPr>
                <w:rFonts w:ascii="Arial" w:hAnsi="Arial" w:cs="Arial"/>
                <w:color w:val="000000"/>
                <w:sz w:val="18"/>
                <w:szCs w:val="18"/>
              </w:rPr>
              <w:br/>
              <w:t>Powder for injection 2.5 mg</w:t>
            </w:r>
            <w:r w:rsidRPr="00CC0C66">
              <w:rPr>
                <w:rFonts w:ascii="Arial" w:hAnsi="Arial" w:cs="Arial"/>
                <w:color w:val="000000"/>
                <w:sz w:val="18"/>
                <w:szCs w:val="18"/>
              </w:rPr>
              <w:br/>
            </w:r>
            <w:r w:rsidRPr="00CC0C66">
              <w:rPr>
                <w:rFonts w:ascii="Arial" w:hAnsi="Arial" w:cs="Arial"/>
                <w:color w:val="000000"/>
                <w:sz w:val="18"/>
                <w:szCs w:val="18"/>
              </w:rPr>
              <w:br/>
              <w:t>Bortezomib Juno</w:t>
            </w:r>
            <w:r w:rsidR="00176E59" w:rsidRPr="00CC0C66">
              <w:rPr>
                <w:rFonts w:ascii="Arial" w:hAnsi="Arial" w:cs="Arial"/>
                <w:color w:val="000000"/>
                <w:sz w:val="18"/>
                <w:szCs w:val="18"/>
              </w:rPr>
              <w:t>®</w:t>
            </w:r>
            <w:r w:rsidRPr="00CC0C66">
              <w:rPr>
                <w:rFonts w:ascii="Arial" w:hAnsi="Arial" w:cs="Arial"/>
                <w:color w:val="000000"/>
                <w:sz w:val="18"/>
                <w:szCs w:val="18"/>
              </w:rPr>
              <w:br/>
            </w:r>
            <w:r w:rsidRPr="00CC0C66">
              <w:rPr>
                <w:rFonts w:ascii="Arial" w:hAnsi="Arial" w:cs="Arial"/>
                <w:color w:val="000000"/>
                <w:sz w:val="18"/>
                <w:szCs w:val="18"/>
              </w:rPr>
              <w:br/>
              <w:t>Juno Pharmaceuticals Pty Ltd</w:t>
            </w:r>
          </w:p>
          <w:p w14:paraId="627CC5D4" w14:textId="712B383E" w:rsidR="001E777A" w:rsidRPr="00C5261F" w:rsidRDefault="001E777A" w:rsidP="00C5261F">
            <w:pPr>
              <w:keepLines/>
              <w:rPr>
                <w:rFonts w:ascii="Arial" w:hAnsi="Arial" w:cs="Arial"/>
                <w:color w:val="000000"/>
                <w:sz w:val="18"/>
                <w:szCs w:val="18"/>
              </w:rPr>
            </w:pPr>
            <w:r w:rsidRPr="00CC0C66">
              <w:rPr>
                <w:rFonts w:ascii="Arial" w:hAnsi="Arial" w:cs="Arial"/>
                <w:color w:val="000000"/>
                <w:sz w:val="18"/>
                <w:szCs w:val="18"/>
              </w:rPr>
              <w:br/>
            </w:r>
            <w:r w:rsidR="00400BA3" w:rsidRPr="00CC0C66">
              <w:rPr>
                <w:rFonts w:ascii="Arial" w:hAnsi="Arial" w:cs="Arial"/>
                <w:color w:val="000000"/>
                <w:sz w:val="18"/>
                <w:szCs w:val="18"/>
              </w:rPr>
              <w:t>Committee S</w:t>
            </w:r>
            <w:r w:rsidR="00973612" w:rsidRPr="00CC0C66">
              <w:rPr>
                <w:rFonts w:ascii="Arial" w:hAnsi="Arial" w:cs="Arial"/>
                <w:color w:val="000000"/>
                <w:sz w:val="18"/>
                <w:szCs w:val="18"/>
              </w:rPr>
              <w:t xml:space="preserve">ecretariat submission </w:t>
            </w:r>
            <w:r w:rsidR="00973612" w:rsidRPr="00CC0C66">
              <w:rPr>
                <w:rFonts w:ascii="Arial" w:hAnsi="Arial" w:cs="Arial"/>
                <w:color w:val="000000"/>
                <w:sz w:val="18"/>
                <w:szCs w:val="18"/>
              </w:rPr>
              <w:br/>
              <w:t>(Change to listing)</w:t>
            </w:r>
          </w:p>
        </w:tc>
        <w:tc>
          <w:tcPr>
            <w:tcW w:w="1559" w:type="dxa"/>
            <w:shd w:val="clear" w:color="auto" w:fill="auto"/>
            <w:vAlign w:val="center"/>
          </w:tcPr>
          <w:p w14:paraId="67BE38C5" w14:textId="5ED7609C" w:rsidR="001E777A" w:rsidRPr="00CC0C66" w:rsidRDefault="001E777A"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Multiple Myeloma</w:t>
            </w:r>
          </w:p>
        </w:tc>
        <w:tc>
          <w:tcPr>
            <w:tcW w:w="2552" w:type="dxa"/>
            <w:shd w:val="clear" w:color="auto" w:fill="auto"/>
            <w:tcMar>
              <w:top w:w="28" w:type="dxa"/>
              <w:bottom w:w="28" w:type="dxa"/>
            </w:tcMar>
            <w:vAlign w:val="center"/>
          </w:tcPr>
          <w:p w14:paraId="0794C6D8" w14:textId="3342D507"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Section 100 (Efficient Funding of Chemotherapy Program) listing of a new bortezomib brand with an additional strength under the same conditions as the currently listed brand.</w:t>
            </w:r>
          </w:p>
        </w:tc>
        <w:tc>
          <w:tcPr>
            <w:tcW w:w="1558" w:type="dxa"/>
            <w:shd w:val="clear" w:color="auto" w:fill="auto"/>
            <w:vAlign w:val="center"/>
          </w:tcPr>
          <w:p w14:paraId="719D07CF" w14:textId="27438BC9"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30418B02" w14:textId="07A23138"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the listing of a new vial size of 2.5 mg of bortezomib as a Section 100 Efficient Funding of Chemotherapy program benefit under the existing circumstances of use applying to bortezomib powder for injection 1 mg, 3 mg and 3.5 mg.</w:t>
            </w:r>
          </w:p>
        </w:tc>
      </w:tr>
      <w:tr w:rsidR="001E777A" w:rsidRPr="00CC0C66" w14:paraId="639E48E7" w14:textId="77777777" w:rsidTr="002E1AD3">
        <w:trPr>
          <w:trHeight w:val="2983"/>
        </w:trPr>
        <w:tc>
          <w:tcPr>
            <w:tcW w:w="3114" w:type="dxa"/>
            <w:shd w:val="clear" w:color="auto" w:fill="auto"/>
            <w:tcMar>
              <w:top w:w="28" w:type="dxa"/>
              <w:bottom w:w="28" w:type="dxa"/>
            </w:tcMar>
            <w:vAlign w:val="center"/>
          </w:tcPr>
          <w:p w14:paraId="598BD7A7" w14:textId="77A5A051" w:rsidR="00973612" w:rsidRPr="00CC0C66" w:rsidRDefault="001E777A" w:rsidP="00C5261F">
            <w:pPr>
              <w:keepLines/>
              <w:rPr>
                <w:rFonts w:ascii="Arial" w:hAnsi="Arial" w:cs="Arial"/>
                <w:color w:val="000000"/>
                <w:sz w:val="18"/>
                <w:szCs w:val="18"/>
              </w:rPr>
            </w:pPr>
            <w:r w:rsidRPr="00CC0C66">
              <w:rPr>
                <w:rFonts w:ascii="Arial" w:hAnsi="Arial" w:cs="Arial"/>
                <w:color w:val="000000"/>
                <w:sz w:val="18"/>
                <w:szCs w:val="18"/>
              </w:rPr>
              <w:t>BORTEZOMIB</w:t>
            </w:r>
            <w:r w:rsidRPr="00CC0C66">
              <w:rPr>
                <w:rFonts w:ascii="Arial" w:hAnsi="Arial" w:cs="Arial"/>
                <w:color w:val="000000"/>
                <w:sz w:val="18"/>
                <w:szCs w:val="18"/>
              </w:rPr>
              <w:br/>
            </w:r>
            <w:r w:rsidRPr="00CC0C66">
              <w:rPr>
                <w:rFonts w:ascii="Arial" w:hAnsi="Arial" w:cs="Arial"/>
                <w:color w:val="000000"/>
                <w:sz w:val="18"/>
                <w:szCs w:val="18"/>
              </w:rPr>
              <w:br/>
              <w:t>Powder for injection 1 mg</w:t>
            </w:r>
            <w:r w:rsidRPr="00CC0C66">
              <w:rPr>
                <w:rFonts w:ascii="Arial" w:hAnsi="Arial" w:cs="Arial"/>
                <w:color w:val="000000"/>
                <w:sz w:val="18"/>
                <w:szCs w:val="18"/>
              </w:rPr>
              <w:br/>
              <w:t>Powder for injection 2.5 mg</w:t>
            </w:r>
            <w:r w:rsidRPr="00CC0C66">
              <w:rPr>
                <w:rFonts w:ascii="Arial" w:hAnsi="Arial" w:cs="Arial"/>
                <w:color w:val="000000"/>
                <w:sz w:val="18"/>
                <w:szCs w:val="18"/>
              </w:rPr>
              <w:br/>
              <w:t>Powder for injection 3 mg</w:t>
            </w:r>
            <w:r w:rsidRPr="00CC0C66">
              <w:rPr>
                <w:rFonts w:ascii="Arial" w:hAnsi="Arial" w:cs="Arial"/>
                <w:color w:val="000000"/>
                <w:sz w:val="18"/>
                <w:szCs w:val="18"/>
              </w:rPr>
              <w:br/>
              <w:t>Powder for injection 3.5 mg</w:t>
            </w:r>
            <w:r w:rsidRPr="00CC0C66">
              <w:rPr>
                <w:rFonts w:ascii="Arial" w:hAnsi="Arial" w:cs="Arial"/>
                <w:color w:val="000000"/>
                <w:sz w:val="18"/>
                <w:szCs w:val="18"/>
              </w:rPr>
              <w:br/>
            </w:r>
            <w:r w:rsidRPr="00CC0C66">
              <w:rPr>
                <w:rFonts w:ascii="Arial" w:hAnsi="Arial" w:cs="Arial"/>
                <w:color w:val="000000"/>
                <w:sz w:val="18"/>
                <w:szCs w:val="18"/>
              </w:rPr>
              <w:br/>
              <w:t>DBL Bortezomib</w:t>
            </w:r>
            <w:r w:rsidR="00176E59" w:rsidRPr="00CC0C66">
              <w:rPr>
                <w:rFonts w:ascii="Arial" w:hAnsi="Arial" w:cs="Arial"/>
                <w:color w:val="000000"/>
                <w:sz w:val="18"/>
                <w:szCs w:val="18"/>
              </w:rPr>
              <w:t>®</w:t>
            </w:r>
            <w:r w:rsidRPr="00CC0C66">
              <w:rPr>
                <w:rFonts w:ascii="Arial" w:hAnsi="Arial" w:cs="Arial"/>
                <w:color w:val="000000"/>
                <w:sz w:val="18"/>
                <w:szCs w:val="18"/>
              </w:rPr>
              <w:br/>
            </w:r>
            <w:r w:rsidRPr="00CC0C66">
              <w:rPr>
                <w:rFonts w:ascii="Arial" w:hAnsi="Arial" w:cs="Arial"/>
                <w:color w:val="000000"/>
                <w:sz w:val="18"/>
                <w:szCs w:val="18"/>
              </w:rPr>
              <w:br/>
              <w:t>Pfizer Australia Pty Ltd</w:t>
            </w:r>
          </w:p>
          <w:p w14:paraId="54ECCE73" w14:textId="58A10821" w:rsidR="001E777A" w:rsidRPr="00CC0C66" w:rsidRDefault="001E777A" w:rsidP="00C5261F">
            <w:pPr>
              <w:keepLines/>
              <w:rPr>
                <w:rFonts w:ascii="Arial" w:hAnsi="Arial" w:cs="Arial"/>
                <w:sz w:val="18"/>
                <w:szCs w:val="18"/>
              </w:rPr>
            </w:pPr>
            <w:r w:rsidRPr="00CC0C66">
              <w:rPr>
                <w:rFonts w:ascii="Arial" w:hAnsi="Arial" w:cs="Arial"/>
                <w:color w:val="000000"/>
                <w:sz w:val="18"/>
                <w:szCs w:val="18"/>
              </w:rPr>
              <w:br/>
            </w:r>
            <w:r w:rsidR="00400BA3" w:rsidRPr="00CC0C66">
              <w:rPr>
                <w:rFonts w:ascii="Arial" w:hAnsi="Arial" w:cs="Arial"/>
                <w:color w:val="000000"/>
                <w:sz w:val="18"/>
                <w:szCs w:val="18"/>
              </w:rPr>
              <w:t>Committee S</w:t>
            </w:r>
            <w:r w:rsidR="00973612" w:rsidRPr="00CC0C66">
              <w:rPr>
                <w:rFonts w:ascii="Arial" w:hAnsi="Arial" w:cs="Arial"/>
                <w:color w:val="000000"/>
                <w:sz w:val="18"/>
                <w:szCs w:val="18"/>
              </w:rPr>
              <w:t xml:space="preserve">ecretariat submission </w:t>
            </w:r>
            <w:r w:rsidR="00973612" w:rsidRPr="00CC0C66">
              <w:rPr>
                <w:rFonts w:ascii="Arial" w:hAnsi="Arial" w:cs="Arial"/>
                <w:color w:val="000000"/>
                <w:sz w:val="18"/>
                <w:szCs w:val="18"/>
              </w:rPr>
              <w:br/>
              <w:t>(Change to listing)</w:t>
            </w:r>
          </w:p>
        </w:tc>
        <w:tc>
          <w:tcPr>
            <w:tcW w:w="1559" w:type="dxa"/>
            <w:shd w:val="clear" w:color="auto" w:fill="auto"/>
            <w:vAlign w:val="center"/>
          </w:tcPr>
          <w:p w14:paraId="1BB8EC12" w14:textId="7446DE13" w:rsidR="001E777A" w:rsidRPr="00CC0C66" w:rsidRDefault="001E777A"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Multiple Myeloma</w:t>
            </w:r>
          </w:p>
        </w:tc>
        <w:tc>
          <w:tcPr>
            <w:tcW w:w="2552" w:type="dxa"/>
            <w:shd w:val="clear" w:color="auto" w:fill="auto"/>
            <w:tcMar>
              <w:top w:w="28" w:type="dxa"/>
              <w:bottom w:w="28" w:type="dxa"/>
            </w:tcMar>
            <w:vAlign w:val="center"/>
          </w:tcPr>
          <w:p w14:paraId="20451D4C" w14:textId="37D372EE"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Section 100 (Efficient Funding of Chemotherapy Program) listing of a new bortezomib brand with an additional strength under the same conditions as the currently listed brand.</w:t>
            </w:r>
          </w:p>
        </w:tc>
        <w:tc>
          <w:tcPr>
            <w:tcW w:w="1558" w:type="dxa"/>
            <w:shd w:val="clear" w:color="auto" w:fill="auto"/>
            <w:vAlign w:val="center"/>
          </w:tcPr>
          <w:p w14:paraId="1681AD46" w14:textId="045D5062"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07E126E8" w14:textId="5DC26999"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the listing of a new vial size of bortezomib 2.5 mg (DBL Bortezomib) under Section 100 (Efficient Funding of Chemotherapy) for the treatment of patients with multiple myeloma under the same circumstances as currently listed forms of bortezomib.</w:t>
            </w:r>
          </w:p>
        </w:tc>
      </w:tr>
      <w:tr w:rsidR="001E777A" w:rsidRPr="00CC0C66" w14:paraId="0DCD4386" w14:textId="77777777" w:rsidTr="00721962">
        <w:trPr>
          <w:trHeight w:val="6290"/>
        </w:trPr>
        <w:tc>
          <w:tcPr>
            <w:tcW w:w="3114" w:type="dxa"/>
            <w:shd w:val="clear" w:color="auto" w:fill="auto"/>
            <w:tcMar>
              <w:top w:w="28" w:type="dxa"/>
              <w:bottom w:w="28" w:type="dxa"/>
            </w:tcMar>
            <w:vAlign w:val="center"/>
          </w:tcPr>
          <w:p w14:paraId="15D5040D" w14:textId="5BAE4EFA" w:rsidR="00973612" w:rsidRPr="00CC0C66" w:rsidRDefault="001E777A"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BUDESONIDE + GLYCOPYRRONIUM + FORMOTEROL</w:t>
            </w:r>
            <w:r w:rsidRPr="00CC0C66">
              <w:rPr>
                <w:rFonts w:ascii="Arial" w:hAnsi="Arial" w:cs="Arial"/>
                <w:color w:val="000000"/>
                <w:sz w:val="18"/>
                <w:szCs w:val="18"/>
              </w:rPr>
              <w:br/>
            </w:r>
            <w:r w:rsidRPr="00CC0C66">
              <w:rPr>
                <w:rFonts w:ascii="Arial" w:hAnsi="Arial" w:cs="Arial"/>
                <w:color w:val="000000"/>
                <w:sz w:val="18"/>
                <w:szCs w:val="18"/>
              </w:rPr>
              <w:br/>
              <w:t>Pressurised inhalation containing budesonide 160 micrograms with glycopyrronium 7.2 micrograms (as bromide) and formoterol fumarate dihydrate 5 micrograms per dose, 120 doses</w:t>
            </w:r>
            <w:r w:rsidRPr="00CC0C66">
              <w:rPr>
                <w:rFonts w:ascii="Arial" w:hAnsi="Arial" w:cs="Arial"/>
                <w:color w:val="000000"/>
                <w:sz w:val="18"/>
                <w:szCs w:val="18"/>
              </w:rPr>
              <w:br/>
            </w:r>
            <w:r w:rsidRPr="00CC0C66">
              <w:rPr>
                <w:rFonts w:ascii="Arial" w:hAnsi="Arial" w:cs="Arial"/>
                <w:color w:val="000000"/>
                <w:sz w:val="18"/>
                <w:szCs w:val="18"/>
              </w:rPr>
              <w:br/>
              <w:t>Breztri Aerosphere</w:t>
            </w:r>
            <w:r w:rsidR="00176E59" w:rsidRPr="00CC0C66">
              <w:rPr>
                <w:rFonts w:ascii="Arial" w:hAnsi="Arial" w:cs="Arial"/>
                <w:color w:val="000000"/>
                <w:sz w:val="18"/>
                <w:szCs w:val="18"/>
              </w:rPr>
              <w:t>®</w:t>
            </w:r>
            <w:r w:rsidRPr="00CC0C66">
              <w:rPr>
                <w:rFonts w:ascii="Arial" w:hAnsi="Arial" w:cs="Arial"/>
                <w:color w:val="000000"/>
                <w:sz w:val="18"/>
                <w:szCs w:val="18"/>
              </w:rPr>
              <w:br/>
            </w:r>
            <w:r w:rsidRPr="00CC0C66">
              <w:rPr>
                <w:rFonts w:ascii="Arial" w:hAnsi="Arial" w:cs="Arial"/>
                <w:color w:val="000000"/>
                <w:sz w:val="18"/>
                <w:szCs w:val="18"/>
              </w:rPr>
              <w:br/>
              <w:t>Astrazeneca Pty Ltd</w:t>
            </w:r>
          </w:p>
          <w:p w14:paraId="183C97D6" w14:textId="0EFD9AE7" w:rsidR="001E777A" w:rsidRPr="00CC0C66" w:rsidRDefault="00973612" w:rsidP="00F3265E">
            <w:pPr>
              <w:keepLines/>
              <w:spacing w:after="120"/>
              <w:rPr>
                <w:rFonts w:ascii="Arial" w:hAnsi="Arial" w:cs="Arial"/>
                <w:sz w:val="18"/>
                <w:szCs w:val="18"/>
              </w:rPr>
            </w:pPr>
            <w:r w:rsidRPr="00CC0C66">
              <w:rPr>
                <w:rFonts w:ascii="Arial" w:hAnsi="Arial" w:cs="Arial"/>
                <w:color w:val="000000"/>
                <w:sz w:val="18"/>
                <w:szCs w:val="18"/>
              </w:rPr>
              <w:t>Category 2 submission</w:t>
            </w:r>
            <w:r w:rsidR="001E777A" w:rsidRPr="00CC0C66">
              <w:rPr>
                <w:rFonts w:ascii="Arial" w:hAnsi="Arial" w:cs="Arial"/>
                <w:color w:val="000000"/>
                <w:sz w:val="18"/>
                <w:szCs w:val="18"/>
              </w:rPr>
              <w:br/>
            </w:r>
            <w:r w:rsidRPr="00CC0C66">
              <w:rPr>
                <w:rFonts w:ascii="Arial" w:hAnsi="Arial" w:cs="Arial"/>
                <w:color w:val="000000"/>
                <w:sz w:val="18"/>
                <w:szCs w:val="18"/>
              </w:rPr>
              <w:t>(</w:t>
            </w:r>
            <w:r w:rsidR="001E777A" w:rsidRPr="00CC0C66">
              <w:rPr>
                <w:rFonts w:ascii="Arial" w:hAnsi="Arial" w:cs="Arial"/>
                <w:color w:val="000000"/>
                <w:sz w:val="18"/>
                <w:szCs w:val="18"/>
              </w:rPr>
              <w:t>New listing</w:t>
            </w:r>
            <w:r w:rsidRPr="00CC0C66">
              <w:rPr>
                <w:rFonts w:ascii="Arial" w:hAnsi="Arial" w:cs="Arial"/>
                <w:color w:val="000000"/>
                <w:sz w:val="18"/>
                <w:szCs w:val="18"/>
              </w:rPr>
              <w:t>)</w:t>
            </w:r>
          </w:p>
        </w:tc>
        <w:tc>
          <w:tcPr>
            <w:tcW w:w="1559" w:type="dxa"/>
            <w:shd w:val="clear" w:color="auto" w:fill="auto"/>
            <w:vAlign w:val="center"/>
          </w:tcPr>
          <w:p w14:paraId="6799AAC8" w14:textId="13A886BA" w:rsidR="001E777A" w:rsidRPr="00CC0C66" w:rsidRDefault="001E777A"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Moderate to severe chronic obstructive pulmonary disease (COPD)</w:t>
            </w:r>
          </w:p>
        </w:tc>
        <w:tc>
          <w:tcPr>
            <w:tcW w:w="2552" w:type="dxa"/>
            <w:shd w:val="clear" w:color="auto" w:fill="auto"/>
            <w:tcMar>
              <w:top w:w="28" w:type="dxa"/>
              <w:bottom w:w="28" w:type="dxa"/>
            </w:tcMar>
            <w:vAlign w:val="center"/>
          </w:tcPr>
          <w:p w14:paraId="0D39A3C9" w14:textId="5296CE33"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General Schedule, Authority Required (STREAMLINED) listing for the treatment of moderate to severe COPD.</w:t>
            </w:r>
          </w:p>
        </w:tc>
        <w:tc>
          <w:tcPr>
            <w:tcW w:w="1558" w:type="dxa"/>
            <w:shd w:val="clear" w:color="auto" w:fill="auto"/>
            <w:vAlign w:val="center"/>
          </w:tcPr>
          <w:p w14:paraId="774D036C" w14:textId="72E5454A"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60894948" w14:textId="4CB3AD2C" w:rsidR="002E1AD3"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The PBAC recommended the Authority Required (STREAMLINED) listing of the fixed dose combination (FDC) of budesonide (BUD) with glycopyrronium (GLY) and formoterol (FOR), for maintenance treatment of moderate to severe COPD that is not adequately treated by a combination of an inhaled corticosteroid (ICS) with long-acting beta2-agonist (LABA) or LABA with a long-acting muscarinic antagonist (LAMA). </w:t>
            </w:r>
            <w:r w:rsidRPr="00CC0C66">
              <w:rPr>
                <w:rFonts w:ascii="Arial" w:hAnsi="Arial" w:cs="Arial"/>
                <w:color w:val="000000"/>
                <w:sz w:val="18"/>
                <w:szCs w:val="18"/>
              </w:rPr>
              <w:br/>
            </w:r>
            <w:r w:rsidRPr="00CC0C66">
              <w:rPr>
                <w:rFonts w:ascii="Arial" w:hAnsi="Arial" w:cs="Arial"/>
                <w:color w:val="000000"/>
                <w:sz w:val="18"/>
                <w:szCs w:val="18"/>
              </w:rPr>
              <w:br/>
              <w:t xml:space="preserve">The PBAC considered that the claim of non-inferior effectiveness and safety to the FDC of fluticasone furoate (FF), umeclidinium (UMEC) and vilanterol (VIL), was reasonable. However, the PBAC considered for the purposes of satisfying Section 101(3B) of the </w:t>
            </w:r>
            <w:r w:rsidRPr="00A159CA">
              <w:rPr>
                <w:rFonts w:ascii="Arial" w:hAnsi="Arial" w:cs="Arial"/>
                <w:i/>
                <w:color w:val="000000"/>
                <w:sz w:val="18"/>
                <w:szCs w:val="18"/>
              </w:rPr>
              <w:t>National Health Act 1953</w:t>
            </w:r>
            <w:r w:rsidRPr="00CC0C66">
              <w:rPr>
                <w:rFonts w:ascii="Arial" w:hAnsi="Arial" w:cs="Arial"/>
                <w:color w:val="000000"/>
                <w:sz w:val="18"/>
                <w:szCs w:val="18"/>
              </w:rPr>
              <w:t>, FF/UMEC/VIL, BEC/GLY/FOR as well as any triple combination therapy via concomitant use of a LAMA, LABA and ICS are relevant alternative therapies. The PBAC’s recommendation was therefore, among other matters, based on its assessment that the cost of BUD/GLY/FOR should be no greater than the lowest price combination of the PBS listed components of the triple therapy that are available for COPD.</w:t>
            </w:r>
            <w:r w:rsidRPr="00CC0C66">
              <w:rPr>
                <w:rFonts w:ascii="Arial" w:hAnsi="Arial" w:cs="Arial"/>
                <w:color w:val="000000"/>
                <w:sz w:val="18"/>
                <w:szCs w:val="18"/>
              </w:rPr>
              <w:br/>
            </w:r>
            <w:r w:rsidRPr="00CC0C66">
              <w:rPr>
                <w:rFonts w:ascii="Arial" w:hAnsi="Arial" w:cs="Arial"/>
                <w:color w:val="000000"/>
                <w:sz w:val="18"/>
                <w:szCs w:val="18"/>
              </w:rPr>
              <w:br/>
              <w:t>The PBAC accepted the following equi-effective doses as the basis for the cost-minimisation analysis: BUD/GLY/FOR (160/7.2/4.8 mcg) two inhalations twice daily = FF/UMEC/VI (100/62.5/25 mcg) one inhalation once daily = BEC/GLY/FOR 100mcg/6mcg/10mcg two inhalations twice daily.</w:t>
            </w:r>
          </w:p>
        </w:tc>
      </w:tr>
      <w:tr w:rsidR="001E777A" w:rsidRPr="00CC0C66" w14:paraId="72C9F9A3" w14:textId="77777777" w:rsidTr="002E1AD3">
        <w:trPr>
          <w:trHeight w:val="1402"/>
        </w:trPr>
        <w:tc>
          <w:tcPr>
            <w:tcW w:w="3114" w:type="dxa"/>
            <w:vMerge w:val="restart"/>
            <w:shd w:val="clear" w:color="auto" w:fill="auto"/>
            <w:tcMar>
              <w:top w:w="28" w:type="dxa"/>
              <w:bottom w:w="28" w:type="dxa"/>
            </w:tcMar>
            <w:vAlign w:val="center"/>
          </w:tcPr>
          <w:p w14:paraId="6E5D6FDD" w14:textId="1F046A1E" w:rsidR="00973612" w:rsidRPr="00CC0C66" w:rsidRDefault="001E777A"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DAPAGLIFLOZIN</w:t>
            </w:r>
            <w:r w:rsidRPr="00CC0C66">
              <w:rPr>
                <w:rFonts w:ascii="Arial" w:hAnsi="Arial" w:cs="Arial"/>
                <w:color w:val="000000"/>
                <w:sz w:val="18"/>
                <w:szCs w:val="18"/>
              </w:rPr>
              <w:br/>
            </w:r>
            <w:r w:rsidRPr="00CC0C66">
              <w:rPr>
                <w:rFonts w:ascii="Arial" w:hAnsi="Arial" w:cs="Arial"/>
                <w:color w:val="000000"/>
                <w:sz w:val="18"/>
                <w:szCs w:val="18"/>
              </w:rPr>
              <w:br/>
              <w:t>Tablet 10 mg</w:t>
            </w:r>
            <w:r w:rsidRPr="00CC0C66">
              <w:rPr>
                <w:rFonts w:ascii="Arial" w:hAnsi="Arial" w:cs="Arial"/>
                <w:color w:val="000000"/>
                <w:sz w:val="18"/>
                <w:szCs w:val="18"/>
              </w:rPr>
              <w:br/>
            </w:r>
            <w:r w:rsidRPr="00CC0C66">
              <w:rPr>
                <w:rFonts w:ascii="Arial" w:hAnsi="Arial" w:cs="Arial"/>
                <w:color w:val="000000"/>
                <w:sz w:val="18"/>
                <w:szCs w:val="18"/>
              </w:rPr>
              <w:br/>
              <w:t>Forxiga®</w:t>
            </w:r>
            <w:r w:rsidRPr="00CC0C66">
              <w:rPr>
                <w:rFonts w:ascii="Arial" w:hAnsi="Arial" w:cs="Arial"/>
                <w:color w:val="000000"/>
                <w:sz w:val="18"/>
                <w:szCs w:val="18"/>
              </w:rPr>
              <w:br/>
            </w:r>
            <w:r w:rsidRPr="00CC0C66">
              <w:rPr>
                <w:rFonts w:ascii="Arial" w:hAnsi="Arial" w:cs="Arial"/>
                <w:color w:val="000000"/>
                <w:sz w:val="18"/>
                <w:szCs w:val="18"/>
              </w:rPr>
              <w:br/>
              <w:t>AstraZeneca Pty Ltd</w:t>
            </w:r>
          </w:p>
          <w:p w14:paraId="2DD1B32B" w14:textId="153DB409" w:rsidR="001E777A" w:rsidRPr="00CC0C66" w:rsidRDefault="00973612" w:rsidP="00F3265E">
            <w:pPr>
              <w:keepLines/>
              <w:spacing w:after="120"/>
              <w:rPr>
                <w:rFonts w:ascii="Arial" w:hAnsi="Arial" w:cs="Arial"/>
                <w:sz w:val="18"/>
                <w:szCs w:val="18"/>
              </w:rPr>
            </w:pPr>
            <w:r w:rsidRPr="00CC0C66">
              <w:rPr>
                <w:rFonts w:ascii="Arial" w:hAnsi="Arial" w:cs="Arial"/>
                <w:color w:val="000000"/>
                <w:sz w:val="18"/>
                <w:szCs w:val="18"/>
              </w:rPr>
              <w:t>Category 1 submission</w:t>
            </w:r>
            <w:r w:rsidR="001E777A" w:rsidRPr="00CC0C66">
              <w:rPr>
                <w:rFonts w:ascii="Arial" w:hAnsi="Arial" w:cs="Arial"/>
                <w:color w:val="000000"/>
                <w:sz w:val="18"/>
                <w:szCs w:val="18"/>
              </w:rPr>
              <w:br/>
            </w:r>
            <w:r w:rsidRPr="00CC0C66">
              <w:rPr>
                <w:rFonts w:ascii="Arial" w:hAnsi="Arial" w:cs="Arial"/>
                <w:color w:val="000000"/>
                <w:sz w:val="18"/>
                <w:szCs w:val="18"/>
              </w:rPr>
              <w:t>(</w:t>
            </w:r>
            <w:r w:rsidR="001E777A" w:rsidRPr="00CC0C66">
              <w:rPr>
                <w:rFonts w:ascii="Arial" w:hAnsi="Arial" w:cs="Arial"/>
                <w:color w:val="000000"/>
                <w:sz w:val="18"/>
                <w:szCs w:val="18"/>
              </w:rPr>
              <w:t>Change to listing</w:t>
            </w:r>
            <w:r w:rsidRPr="00CC0C66">
              <w:rPr>
                <w:rFonts w:ascii="Arial" w:hAnsi="Arial" w:cs="Arial"/>
                <w:color w:val="000000"/>
                <w:sz w:val="18"/>
                <w:szCs w:val="18"/>
              </w:rPr>
              <w:t>)</w:t>
            </w:r>
          </w:p>
        </w:tc>
        <w:tc>
          <w:tcPr>
            <w:tcW w:w="1559" w:type="dxa"/>
            <w:vMerge w:val="restart"/>
            <w:shd w:val="clear" w:color="auto" w:fill="auto"/>
            <w:vAlign w:val="center"/>
          </w:tcPr>
          <w:p w14:paraId="60D34186" w14:textId="39F35186" w:rsidR="001E777A" w:rsidRPr="00CC0C66" w:rsidRDefault="001E777A"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Chronic kidney disease</w:t>
            </w:r>
            <w:r w:rsidR="001B2C7D">
              <w:rPr>
                <w:rFonts w:ascii="Arial" w:hAnsi="Arial" w:cs="Arial"/>
                <w:color w:val="000000"/>
                <w:sz w:val="18"/>
                <w:szCs w:val="18"/>
              </w:rPr>
              <w:t xml:space="preserve"> (CKD)</w:t>
            </w:r>
          </w:p>
        </w:tc>
        <w:tc>
          <w:tcPr>
            <w:tcW w:w="2552" w:type="dxa"/>
            <w:vMerge w:val="restart"/>
            <w:shd w:val="clear" w:color="auto" w:fill="auto"/>
            <w:tcMar>
              <w:top w:w="28" w:type="dxa"/>
              <w:bottom w:w="28" w:type="dxa"/>
            </w:tcMar>
            <w:vAlign w:val="center"/>
          </w:tcPr>
          <w:p w14:paraId="2385A7C5" w14:textId="240758E9"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To request a General Schedule, Authority Required (STREAMLINED) listing for the treatment of </w:t>
            </w:r>
            <w:r w:rsidR="00C929E1">
              <w:rPr>
                <w:rFonts w:ascii="Arial" w:hAnsi="Arial" w:cs="Arial"/>
                <w:color w:val="000000"/>
                <w:sz w:val="18"/>
                <w:szCs w:val="18"/>
              </w:rPr>
              <w:t>CKD</w:t>
            </w:r>
            <w:r w:rsidRPr="00CC0C66">
              <w:rPr>
                <w:rFonts w:ascii="Arial" w:hAnsi="Arial" w:cs="Arial"/>
                <w:color w:val="000000"/>
                <w:sz w:val="18"/>
                <w:szCs w:val="18"/>
              </w:rPr>
              <w:t>.</w:t>
            </w:r>
          </w:p>
        </w:tc>
        <w:tc>
          <w:tcPr>
            <w:tcW w:w="1558" w:type="dxa"/>
            <w:vMerge w:val="restart"/>
            <w:shd w:val="clear" w:color="auto" w:fill="auto"/>
            <w:vAlign w:val="center"/>
          </w:tcPr>
          <w:p w14:paraId="5981EE3B" w14:textId="141EE184"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Deferred</w:t>
            </w:r>
          </w:p>
        </w:tc>
        <w:tc>
          <w:tcPr>
            <w:tcW w:w="6605" w:type="dxa"/>
            <w:shd w:val="clear" w:color="auto" w:fill="auto"/>
          </w:tcPr>
          <w:p w14:paraId="1F03C6D8" w14:textId="38BA6FD8" w:rsidR="001B2C7D" w:rsidRDefault="002E1AD3" w:rsidP="00F3265E">
            <w:pPr>
              <w:pStyle w:val="ListParagraph"/>
              <w:keepLines/>
              <w:spacing w:after="120"/>
              <w:ind w:left="0"/>
              <w:rPr>
                <w:rFonts w:ascii="Arial" w:hAnsi="Arial" w:cs="Arial"/>
                <w:snapToGrid w:val="0"/>
                <w:sz w:val="18"/>
                <w:szCs w:val="18"/>
                <w:lang w:eastAsia="en-US"/>
              </w:rPr>
            </w:pPr>
            <w:r w:rsidRPr="002E1AD3">
              <w:rPr>
                <w:rFonts w:ascii="Arial" w:hAnsi="Arial" w:cs="Arial"/>
                <w:snapToGrid w:val="0"/>
                <w:sz w:val="18"/>
                <w:szCs w:val="18"/>
                <w:lang w:eastAsia="en-US"/>
              </w:rPr>
              <w:t>The PBAC deferred making a recommendation for dapagliflozin for the treatment of patients with CKD. The PBAC is satisfied that dapagliflozin added to standard care provides, for some patients, a significant improvement in efficacy over standard care alone. The PBAC considered that the listing would be cost effective at the price proposed in the pre-PBAC response and it was therefore of a mind to recommend a General Schedule Authority Required (</w:t>
            </w:r>
            <w:r w:rsidR="00C929E1" w:rsidRPr="002E1AD3">
              <w:rPr>
                <w:rFonts w:ascii="Arial" w:hAnsi="Arial" w:cs="Arial"/>
                <w:snapToGrid w:val="0"/>
                <w:sz w:val="18"/>
                <w:szCs w:val="18"/>
                <w:lang w:eastAsia="en-US"/>
              </w:rPr>
              <w:t>STREAMLINED</w:t>
            </w:r>
            <w:r w:rsidRPr="002E1AD3">
              <w:rPr>
                <w:rFonts w:ascii="Arial" w:hAnsi="Arial" w:cs="Arial"/>
                <w:snapToGrid w:val="0"/>
                <w:sz w:val="18"/>
                <w:szCs w:val="18"/>
                <w:lang w:eastAsia="en-US"/>
              </w:rPr>
              <w:t xml:space="preserve">) listing. However, the PBAC remained concerned about the uncertainty of the estimated financial impact, particularly in the context of a high R/PBS impact. </w:t>
            </w:r>
          </w:p>
          <w:p w14:paraId="1DDFE425" w14:textId="77777777" w:rsidR="001B2C7D" w:rsidRDefault="001B2C7D" w:rsidP="00F3265E">
            <w:pPr>
              <w:pStyle w:val="ListParagraph"/>
              <w:keepLines/>
              <w:spacing w:after="120"/>
              <w:ind w:left="0"/>
              <w:rPr>
                <w:rFonts w:ascii="Arial" w:hAnsi="Arial" w:cs="Arial"/>
                <w:snapToGrid w:val="0"/>
                <w:sz w:val="18"/>
                <w:szCs w:val="18"/>
                <w:lang w:eastAsia="en-US"/>
              </w:rPr>
            </w:pPr>
          </w:p>
          <w:p w14:paraId="689D3A14" w14:textId="32569D1E" w:rsidR="002E1AD3" w:rsidRPr="00CC0C66" w:rsidRDefault="002E1AD3" w:rsidP="00F3265E">
            <w:pPr>
              <w:pStyle w:val="ListParagraph"/>
              <w:keepLines/>
              <w:spacing w:after="120"/>
              <w:ind w:left="0"/>
              <w:rPr>
                <w:rFonts w:ascii="Arial" w:hAnsi="Arial" w:cs="Arial"/>
                <w:snapToGrid w:val="0"/>
                <w:sz w:val="18"/>
                <w:szCs w:val="18"/>
                <w:lang w:eastAsia="en-US"/>
              </w:rPr>
            </w:pPr>
            <w:r w:rsidRPr="002E1AD3">
              <w:rPr>
                <w:rFonts w:ascii="Arial" w:hAnsi="Arial" w:cs="Arial"/>
                <w:snapToGrid w:val="0"/>
                <w:sz w:val="18"/>
                <w:szCs w:val="18"/>
                <w:lang w:eastAsia="en-US"/>
              </w:rPr>
              <w:t xml:space="preserve">The PBAC noted that the proposed population was broader than the DAPA-CKD trial population, and considered that the PBS listing would need to be restricted to those in whom clinical effectiveness had been established and for whom there was no alternative therapy available. The PBAC also noted that although the resubmission had presented additional information to estimate the overall net impact of listing for both CKD and heart failure with reduced ejection fraction (HFrEF) (see agenda item 7.01, July 2021 PBAC meeting), it had not provided estimates for total dapagliflozin PBS utilisation including type 2 diabetes mellitus. The PBAC considered that these estimates were necessary to inform its advice to the Australian Government about an appropriate </w:t>
            </w:r>
            <w:r w:rsidR="00616B50">
              <w:rPr>
                <w:rFonts w:ascii="Arial" w:hAnsi="Arial" w:cs="Arial"/>
                <w:snapToGrid w:val="0"/>
                <w:sz w:val="18"/>
                <w:szCs w:val="18"/>
                <w:lang w:eastAsia="en-US"/>
              </w:rPr>
              <w:t>r</w:t>
            </w:r>
            <w:r w:rsidRPr="002E1AD3">
              <w:rPr>
                <w:rFonts w:ascii="Arial" w:hAnsi="Arial" w:cs="Arial"/>
                <w:snapToGrid w:val="0"/>
                <w:sz w:val="18"/>
                <w:szCs w:val="18"/>
                <w:lang w:eastAsia="en-US"/>
              </w:rPr>
              <w:t xml:space="preserve">isk </w:t>
            </w:r>
            <w:r w:rsidR="00616B50">
              <w:rPr>
                <w:rFonts w:ascii="Arial" w:hAnsi="Arial" w:cs="Arial"/>
                <w:snapToGrid w:val="0"/>
                <w:sz w:val="18"/>
                <w:szCs w:val="18"/>
                <w:lang w:eastAsia="en-US"/>
              </w:rPr>
              <w:t>s</w:t>
            </w:r>
            <w:r w:rsidRPr="002E1AD3">
              <w:rPr>
                <w:rFonts w:ascii="Arial" w:hAnsi="Arial" w:cs="Arial"/>
                <w:snapToGrid w:val="0"/>
                <w:sz w:val="18"/>
                <w:szCs w:val="18"/>
                <w:lang w:eastAsia="en-US"/>
              </w:rPr>
              <w:t xml:space="preserve">haring </w:t>
            </w:r>
            <w:r w:rsidR="00616B50">
              <w:rPr>
                <w:rFonts w:ascii="Arial" w:hAnsi="Arial" w:cs="Arial"/>
                <w:snapToGrid w:val="0"/>
                <w:sz w:val="18"/>
                <w:szCs w:val="18"/>
                <w:lang w:eastAsia="en-US"/>
              </w:rPr>
              <w:t>a</w:t>
            </w:r>
            <w:r w:rsidRPr="002E1AD3">
              <w:rPr>
                <w:rFonts w:ascii="Arial" w:hAnsi="Arial" w:cs="Arial"/>
                <w:snapToGrid w:val="0"/>
                <w:sz w:val="18"/>
                <w:szCs w:val="18"/>
                <w:lang w:eastAsia="en-US"/>
              </w:rPr>
              <w:t xml:space="preserve">rrangement to ensure that the subsidy of dapagliflozin is restricted to the populations in whom PBAC has considered it cost effective. The PBAC therefore requested that the </w:t>
            </w:r>
            <w:r w:rsidR="00C929E1">
              <w:rPr>
                <w:rFonts w:ascii="Arial" w:hAnsi="Arial" w:cs="Arial"/>
                <w:snapToGrid w:val="0"/>
                <w:sz w:val="18"/>
                <w:szCs w:val="18"/>
                <w:lang w:eastAsia="en-US"/>
              </w:rPr>
              <w:t>D</w:t>
            </w:r>
            <w:r w:rsidRPr="002E1AD3">
              <w:rPr>
                <w:rFonts w:ascii="Arial" w:hAnsi="Arial" w:cs="Arial"/>
                <w:snapToGrid w:val="0"/>
                <w:sz w:val="18"/>
                <w:szCs w:val="18"/>
                <w:lang w:eastAsia="en-US"/>
              </w:rPr>
              <w:t>epartment obtain these estimates from the sponsor before it reconsiders this submission for CKD (and the resubmission for HFrEF).</w:t>
            </w:r>
          </w:p>
        </w:tc>
      </w:tr>
      <w:tr w:rsidR="001E777A" w:rsidRPr="00CC0C66" w14:paraId="6FE61C78" w14:textId="77777777" w:rsidTr="002E1AD3">
        <w:trPr>
          <w:trHeight w:val="928"/>
        </w:trPr>
        <w:tc>
          <w:tcPr>
            <w:tcW w:w="3114" w:type="dxa"/>
            <w:vMerge/>
            <w:shd w:val="clear" w:color="auto" w:fill="auto"/>
            <w:tcMar>
              <w:top w:w="28" w:type="dxa"/>
              <w:bottom w:w="28" w:type="dxa"/>
            </w:tcMar>
            <w:vAlign w:val="center"/>
          </w:tcPr>
          <w:p w14:paraId="2C92C115" w14:textId="77777777" w:rsidR="001E777A" w:rsidRPr="00CC0C66" w:rsidRDefault="001E777A" w:rsidP="00F3265E">
            <w:pPr>
              <w:keepLines/>
              <w:spacing w:after="120"/>
              <w:rPr>
                <w:rFonts w:ascii="Arial" w:hAnsi="Arial" w:cs="Arial"/>
                <w:color w:val="000000"/>
                <w:sz w:val="18"/>
                <w:szCs w:val="18"/>
              </w:rPr>
            </w:pPr>
          </w:p>
        </w:tc>
        <w:tc>
          <w:tcPr>
            <w:tcW w:w="1559" w:type="dxa"/>
            <w:vMerge/>
            <w:shd w:val="clear" w:color="auto" w:fill="auto"/>
            <w:vAlign w:val="center"/>
          </w:tcPr>
          <w:p w14:paraId="150602D8" w14:textId="77777777" w:rsidR="001E777A" w:rsidRPr="00CC0C66" w:rsidRDefault="001E777A"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22A7E57F" w14:textId="77777777" w:rsidR="001E777A" w:rsidRPr="00CC0C66" w:rsidRDefault="001E777A"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1E1C087D" w14:textId="77777777" w:rsidR="001E777A" w:rsidRPr="00CC0C66" w:rsidRDefault="001E777A" w:rsidP="00F3265E">
            <w:pPr>
              <w:pStyle w:val="ListParagraph"/>
              <w:keepLines/>
              <w:spacing w:after="120"/>
              <w:ind w:left="0"/>
              <w:rPr>
                <w:rFonts w:ascii="Arial" w:hAnsi="Arial" w:cs="Arial"/>
                <w:color w:val="000000"/>
                <w:sz w:val="18"/>
                <w:szCs w:val="18"/>
              </w:rPr>
            </w:pPr>
          </w:p>
        </w:tc>
        <w:tc>
          <w:tcPr>
            <w:tcW w:w="6605" w:type="dxa"/>
            <w:shd w:val="clear" w:color="auto" w:fill="auto"/>
          </w:tcPr>
          <w:p w14:paraId="347E6499" w14:textId="0B533A2F"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u w:val="single"/>
              </w:rPr>
              <w:t>Sponsor’s Comment</w:t>
            </w:r>
            <w:r w:rsidR="000E5563">
              <w:rPr>
                <w:rFonts w:ascii="Arial" w:hAnsi="Arial" w:cs="Arial"/>
                <w:color w:val="000000"/>
                <w:sz w:val="18"/>
                <w:szCs w:val="18"/>
              </w:rPr>
              <w:t xml:space="preserve">: </w:t>
            </w:r>
            <w:r w:rsidR="000E5563" w:rsidRPr="00EF1350">
              <w:rPr>
                <w:rFonts w:ascii="Arial" w:hAnsi="Arial" w:cs="Arial"/>
                <w:color w:val="000000"/>
                <w:sz w:val="18"/>
                <w:szCs w:val="18"/>
              </w:rPr>
              <w:t>The sponsor had no comment.</w:t>
            </w:r>
          </w:p>
        </w:tc>
      </w:tr>
      <w:tr w:rsidR="001E777A" w:rsidRPr="00CC0C66" w14:paraId="24FC9AEA" w14:textId="77777777" w:rsidTr="002E1AD3">
        <w:trPr>
          <w:trHeight w:val="1574"/>
        </w:trPr>
        <w:tc>
          <w:tcPr>
            <w:tcW w:w="3114" w:type="dxa"/>
            <w:vMerge w:val="restart"/>
            <w:shd w:val="clear" w:color="auto" w:fill="auto"/>
            <w:tcMar>
              <w:top w:w="28" w:type="dxa"/>
              <w:bottom w:w="28" w:type="dxa"/>
            </w:tcMar>
            <w:vAlign w:val="center"/>
          </w:tcPr>
          <w:p w14:paraId="63CA45FC" w14:textId="7B1B583E" w:rsidR="00973612" w:rsidRPr="00CC0C66" w:rsidRDefault="001E777A"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DAPAGLIFLOZIN</w:t>
            </w:r>
            <w:r w:rsidRPr="00CC0C66">
              <w:rPr>
                <w:rFonts w:ascii="Arial" w:hAnsi="Arial" w:cs="Arial"/>
                <w:color w:val="000000"/>
                <w:sz w:val="18"/>
                <w:szCs w:val="18"/>
              </w:rPr>
              <w:br/>
            </w:r>
            <w:r w:rsidRPr="00CC0C66">
              <w:rPr>
                <w:rFonts w:ascii="Arial" w:hAnsi="Arial" w:cs="Arial"/>
                <w:color w:val="000000"/>
                <w:sz w:val="18"/>
                <w:szCs w:val="18"/>
              </w:rPr>
              <w:br/>
              <w:t>Tablet 10 mg</w:t>
            </w:r>
            <w:r w:rsidRPr="00CC0C66">
              <w:rPr>
                <w:rFonts w:ascii="Arial" w:hAnsi="Arial" w:cs="Arial"/>
                <w:color w:val="000000"/>
                <w:sz w:val="18"/>
                <w:szCs w:val="18"/>
              </w:rPr>
              <w:br/>
            </w:r>
            <w:r w:rsidRPr="00CC0C66">
              <w:rPr>
                <w:rFonts w:ascii="Arial" w:hAnsi="Arial" w:cs="Arial"/>
                <w:color w:val="000000"/>
                <w:sz w:val="18"/>
                <w:szCs w:val="18"/>
              </w:rPr>
              <w:br/>
              <w:t>Forxiga®</w:t>
            </w:r>
            <w:r w:rsidRPr="00CC0C66">
              <w:rPr>
                <w:rFonts w:ascii="Arial" w:hAnsi="Arial" w:cs="Arial"/>
                <w:color w:val="000000"/>
                <w:sz w:val="18"/>
                <w:szCs w:val="18"/>
              </w:rPr>
              <w:br/>
            </w:r>
            <w:r w:rsidRPr="00CC0C66">
              <w:rPr>
                <w:rFonts w:ascii="Arial" w:hAnsi="Arial" w:cs="Arial"/>
                <w:color w:val="000000"/>
                <w:sz w:val="18"/>
                <w:szCs w:val="18"/>
              </w:rPr>
              <w:br/>
              <w:t>AstraZeneca Pty Ltd</w:t>
            </w:r>
          </w:p>
          <w:p w14:paraId="11C106AB" w14:textId="3011DD18" w:rsidR="001E777A" w:rsidRPr="00CC0C66" w:rsidRDefault="00400BA3" w:rsidP="00F3265E">
            <w:pPr>
              <w:keepLines/>
              <w:spacing w:after="120"/>
              <w:rPr>
                <w:rFonts w:ascii="Arial" w:hAnsi="Arial" w:cs="Arial"/>
                <w:sz w:val="18"/>
                <w:szCs w:val="18"/>
              </w:rPr>
            </w:pPr>
            <w:r w:rsidRPr="00CC0C66">
              <w:rPr>
                <w:rFonts w:ascii="Arial" w:hAnsi="Arial" w:cs="Arial"/>
                <w:color w:val="000000"/>
                <w:sz w:val="18"/>
                <w:szCs w:val="18"/>
              </w:rPr>
              <w:t>Standard R</w:t>
            </w:r>
            <w:r w:rsidR="00973612" w:rsidRPr="00CC0C66">
              <w:rPr>
                <w:rFonts w:ascii="Arial" w:hAnsi="Arial" w:cs="Arial"/>
                <w:color w:val="000000"/>
                <w:sz w:val="18"/>
                <w:szCs w:val="18"/>
              </w:rPr>
              <w:t>e-entry resubmission</w:t>
            </w:r>
            <w:r w:rsidR="001E777A" w:rsidRPr="00CC0C66">
              <w:rPr>
                <w:rFonts w:ascii="Arial" w:hAnsi="Arial" w:cs="Arial"/>
                <w:color w:val="000000"/>
                <w:sz w:val="18"/>
                <w:szCs w:val="18"/>
              </w:rPr>
              <w:br/>
            </w:r>
            <w:r w:rsidR="00973612" w:rsidRPr="00CC0C66">
              <w:rPr>
                <w:rFonts w:ascii="Arial" w:hAnsi="Arial" w:cs="Arial"/>
                <w:color w:val="000000"/>
                <w:sz w:val="18"/>
                <w:szCs w:val="18"/>
              </w:rPr>
              <w:t>(</w:t>
            </w:r>
            <w:r w:rsidR="001E777A" w:rsidRPr="00CC0C66">
              <w:rPr>
                <w:rFonts w:ascii="Arial" w:hAnsi="Arial" w:cs="Arial"/>
                <w:color w:val="000000"/>
                <w:sz w:val="18"/>
                <w:szCs w:val="18"/>
              </w:rPr>
              <w:t>Change to listing</w:t>
            </w:r>
            <w:r w:rsidR="00973612" w:rsidRPr="00CC0C66">
              <w:rPr>
                <w:rFonts w:ascii="Arial" w:hAnsi="Arial" w:cs="Arial"/>
                <w:color w:val="000000"/>
                <w:sz w:val="18"/>
                <w:szCs w:val="18"/>
              </w:rPr>
              <w:t>)</w:t>
            </w:r>
          </w:p>
        </w:tc>
        <w:tc>
          <w:tcPr>
            <w:tcW w:w="1559" w:type="dxa"/>
            <w:vMerge w:val="restart"/>
            <w:shd w:val="clear" w:color="auto" w:fill="auto"/>
            <w:vAlign w:val="center"/>
          </w:tcPr>
          <w:p w14:paraId="35297922" w14:textId="77A7EA17" w:rsidR="001E777A" w:rsidRPr="00CC0C66" w:rsidRDefault="001E777A"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Heart failure</w:t>
            </w:r>
          </w:p>
        </w:tc>
        <w:tc>
          <w:tcPr>
            <w:tcW w:w="2552" w:type="dxa"/>
            <w:vMerge w:val="restart"/>
            <w:shd w:val="clear" w:color="auto" w:fill="auto"/>
            <w:tcMar>
              <w:top w:w="28" w:type="dxa"/>
              <w:bottom w:w="28" w:type="dxa"/>
            </w:tcMar>
            <w:vAlign w:val="center"/>
          </w:tcPr>
          <w:p w14:paraId="1318CADF" w14:textId="605012E7"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Resubmission to request a General Schedule, Authority Required (STREAMLINED) listing for the treatment of heart failure with reduced ejection fraction.</w:t>
            </w:r>
          </w:p>
        </w:tc>
        <w:tc>
          <w:tcPr>
            <w:tcW w:w="1558" w:type="dxa"/>
            <w:vMerge w:val="restart"/>
            <w:shd w:val="clear" w:color="auto" w:fill="auto"/>
            <w:vAlign w:val="center"/>
          </w:tcPr>
          <w:p w14:paraId="392B855C" w14:textId="7AF1FEC2"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Deferred</w:t>
            </w:r>
          </w:p>
        </w:tc>
        <w:tc>
          <w:tcPr>
            <w:tcW w:w="6605" w:type="dxa"/>
            <w:shd w:val="clear" w:color="auto" w:fill="auto"/>
          </w:tcPr>
          <w:p w14:paraId="457F9983" w14:textId="77777777" w:rsidR="001B2C7D" w:rsidRDefault="002C7BFF" w:rsidP="00F3265E">
            <w:pPr>
              <w:pStyle w:val="ListParagraph"/>
              <w:keepLines/>
              <w:spacing w:after="120"/>
              <w:ind w:left="0"/>
              <w:rPr>
                <w:rFonts w:ascii="Arial" w:hAnsi="Arial" w:cs="Arial"/>
                <w:snapToGrid w:val="0"/>
                <w:sz w:val="18"/>
                <w:szCs w:val="18"/>
                <w:lang w:eastAsia="en-US"/>
              </w:rPr>
            </w:pPr>
            <w:r w:rsidRPr="002C7BFF">
              <w:rPr>
                <w:rFonts w:ascii="Arial" w:hAnsi="Arial" w:cs="Arial"/>
                <w:snapToGrid w:val="0"/>
                <w:sz w:val="18"/>
                <w:szCs w:val="18"/>
                <w:lang w:eastAsia="en-US"/>
              </w:rPr>
              <w:t xml:space="preserve">The PBAC deferred making a recommendation for dapagliflozin for the treatment of patients with chronic heart failure with reduced ejection fraction (HFrEF). The PBAC is satisfied that dapagliflozin added to standard care provides, for some patients, a significant improvement in efficacy over standard care alone. The PBAC considered that the listing would be cost effective at the price proposed in the pre-PBAC response, and it was therefore of a mind to recommend a General Schedule Authority Required (Streamlined) listing. However, the PBAC remained concerned about the risk of use outside the proposed PBS restriction (and noted similar concerns for the chronic kidney disease (CKD) listing, which it was also inclined to recommend) (see agenda item 6.03, July 2021 PBAC meeting). </w:t>
            </w:r>
          </w:p>
          <w:p w14:paraId="674E6942" w14:textId="77777777" w:rsidR="001B2C7D" w:rsidRDefault="001B2C7D" w:rsidP="00F3265E">
            <w:pPr>
              <w:pStyle w:val="ListParagraph"/>
              <w:keepLines/>
              <w:spacing w:after="120"/>
              <w:ind w:left="0"/>
              <w:rPr>
                <w:rFonts w:ascii="Arial" w:hAnsi="Arial" w:cs="Arial"/>
                <w:snapToGrid w:val="0"/>
                <w:sz w:val="18"/>
                <w:szCs w:val="18"/>
                <w:lang w:eastAsia="en-US"/>
              </w:rPr>
            </w:pPr>
          </w:p>
          <w:p w14:paraId="55A7E4AD" w14:textId="15D5D47F" w:rsidR="002E1AD3" w:rsidRPr="00CC0C66" w:rsidRDefault="002C7BFF" w:rsidP="00F3265E">
            <w:pPr>
              <w:pStyle w:val="ListParagraph"/>
              <w:keepLines/>
              <w:spacing w:after="120"/>
              <w:ind w:left="0"/>
              <w:rPr>
                <w:rFonts w:ascii="Arial" w:hAnsi="Arial" w:cs="Arial"/>
                <w:snapToGrid w:val="0"/>
                <w:sz w:val="18"/>
                <w:szCs w:val="18"/>
                <w:lang w:eastAsia="en-US"/>
              </w:rPr>
            </w:pPr>
            <w:r w:rsidRPr="002C7BFF">
              <w:rPr>
                <w:rFonts w:ascii="Arial" w:hAnsi="Arial" w:cs="Arial"/>
                <w:snapToGrid w:val="0"/>
                <w:sz w:val="18"/>
                <w:szCs w:val="18"/>
                <w:lang w:eastAsia="en-US"/>
              </w:rPr>
              <w:t xml:space="preserve">The PBAC noted that although the resubmission had presented additional information to estimate the overall net impact of listing for both HFrEF and CKD, it had not provided estimates for total dapagliflozin PBS utilisation including type 2 diabetes mellitus. The PBAC considered that these estimates were necessary to inform its advice to the Australian Government about an appropriate </w:t>
            </w:r>
            <w:r w:rsidR="00616B50">
              <w:rPr>
                <w:rFonts w:ascii="Arial" w:hAnsi="Arial" w:cs="Arial"/>
                <w:snapToGrid w:val="0"/>
                <w:sz w:val="18"/>
                <w:szCs w:val="18"/>
                <w:lang w:eastAsia="en-US"/>
              </w:rPr>
              <w:t>risk sharing a</w:t>
            </w:r>
            <w:r w:rsidR="00C929E1" w:rsidRPr="002E1AD3">
              <w:rPr>
                <w:rFonts w:ascii="Arial" w:hAnsi="Arial" w:cs="Arial"/>
                <w:snapToGrid w:val="0"/>
                <w:sz w:val="18"/>
                <w:szCs w:val="18"/>
                <w:lang w:eastAsia="en-US"/>
              </w:rPr>
              <w:t xml:space="preserve">rrangement </w:t>
            </w:r>
            <w:r w:rsidRPr="002C7BFF">
              <w:rPr>
                <w:rFonts w:ascii="Arial" w:hAnsi="Arial" w:cs="Arial"/>
                <w:snapToGrid w:val="0"/>
                <w:sz w:val="18"/>
                <w:szCs w:val="18"/>
                <w:lang w:eastAsia="en-US"/>
              </w:rPr>
              <w:t xml:space="preserve">to ensure that the subsidy of dapagliflozin is restricted to the populations in whom PBAC has considered it cost effective. The PBAC therefore requested that the </w:t>
            </w:r>
            <w:r w:rsidR="00C929E1">
              <w:rPr>
                <w:rFonts w:ascii="Arial" w:hAnsi="Arial" w:cs="Arial"/>
                <w:snapToGrid w:val="0"/>
                <w:sz w:val="18"/>
                <w:szCs w:val="18"/>
                <w:lang w:eastAsia="en-US"/>
              </w:rPr>
              <w:t>D</w:t>
            </w:r>
            <w:r w:rsidRPr="002C7BFF">
              <w:rPr>
                <w:rFonts w:ascii="Arial" w:hAnsi="Arial" w:cs="Arial"/>
                <w:snapToGrid w:val="0"/>
                <w:sz w:val="18"/>
                <w:szCs w:val="18"/>
                <w:lang w:eastAsia="en-US"/>
              </w:rPr>
              <w:t>epartment obtain these estimates from the sponsor before it reconsiders this resubmission for HFrEF (and the submission for CKD).</w:t>
            </w:r>
          </w:p>
        </w:tc>
      </w:tr>
      <w:tr w:rsidR="001E777A" w:rsidRPr="00CC0C66" w14:paraId="1451386B" w14:textId="77777777" w:rsidTr="00721962">
        <w:trPr>
          <w:trHeight w:val="574"/>
        </w:trPr>
        <w:tc>
          <w:tcPr>
            <w:tcW w:w="3114" w:type="dxa"/>
            <w:vMerge/>
            <w:shd w:val="clear" w:color="auto" w:fill="auto"/>
            <w:tcMar>
              <w:top w:w="28" w:type="dxa"/>
              <w:bottom w:w="28" w:type="dxa"/>
            </w:tcMar>
            <w:vAlign w:val="center"/>
          </w:tcPr>
          <w:p w14:paraId="3ED27664" w14:textId="77777777" w:rsidR="001E777A" w:rsidRPr="00CC0C66" w:rsidRDefault="001E777A" w:rsidP="00F3265E">
            <w:pPr>
              <w:keepLines/>
              <w:spacing w:after="120"/>
              <w:rPr>
                <w:rFonts w:ascii="Arial" w:hAnsi="Arial" w:cs="Arial"/>
                <w:color w:val="000000"/>
                <w:sz w:val="18"/>
                <w:szCs w:val="18"/>
              </w:rPr>
            </w:pPr>
          </w:p>
        </w:tc>
        <w:tc>
          <w:tcPr>
            <w:tcW w:w="1559" w:type="dxa"/>
            <w:vMerge/>
            <w:shd w:val="clear" w:color="auto" w:fill="auto"/>
            <w:vAlign w:val="center"/>
          </w:tcPr>
          <w:p w14:paraId="2B14AAF4" w14:textId="77777777" w:rsidR="001E777A" w:rsidRPr="00CC0C66" w:rsidRDefault="001E777A"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52EF1733" w14:textId="77777777" w:rsidR="001E777A" w:rsidRPr="00CC0C66" w:rsidRDefault="001E777A"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3959E116" w14:textId="77777777" w:rsidR="001E777A" w:rsidRPr="00CC0C66" w:rsidRDefault="001E777A" w:rsidP="00F3265E">
            <w:pPr>
              <w:pStyle w:val="ListParagraph"/>
              <w:keepLines/>
              <w:spacing w:after="120"/>
              <w:ind w:left="0"/>
              <w:rPr>
                <w:rFonts w:ascii="Arial" w:hAnsi="Arial" w:cs="Arial"/>
                <w:color w:val="000000"/>
                <w:sz w:val="18"/>
                <w:szCs w:val="18"/>
              </w:rPr>
            </w:pPr>
          </w:p>
        </w:tc>
        <w:tc>
          <w:tcPr>
            <w:tcW w:w="6605" w:type="dxa"/>
            <w:shd w:val="clear" w:color="auto" w:fill="auto"/>
          </w:tcPr>
          <w:p w14:paraId="481CCF80" w14:textId="0D8712BF"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u w:val="single"/>
              </w:rPr>
              <w:t>Sponsor’s Comment</w:t>
            </w:r>
            <w:r w:rsidR="000E5563">
              <w:rPr>
                <w:rFonts w:ascii="Arial" w:hAnsi="Arial" w:cs="Arial"/>
                <w:color w:val="000000"/>
                <w:sz w:val="18"/>
                <w:szCs w:val="18"/>
              </w:rPr>
              <w:t xml:space="preserve">: </w:t>
            </w:r>
            <w:r w:rsidR="000E5563" w:rsidRPr="00EF1350">
              <w:rPr>
                <w:rFonts w:ascii="Arial" w:hAnsi="Arial" w:cs="Arial"/>
                <w:color w:val="000000"/>
                <w:sz w:val="18"/>
                <w:szCs w:val="18"/>
              </w:rPr>
              <w:t>The sponsor had no comment.</w:t>
            </w:r>
          </w:p>
        </w:tc>
      </w:tr>
      <w:tr w:rsidR="001E777A" w:rsidRPr="00CC0C66" w14:paraId="79B90C38" w14:textId="77777777" w:rsidTr="002E1AD3">
        <w:trPr>
          <w:trHeight w:val="2416"/>
        </w:trPr>
        <w:tc>
          <w:tcPr>
            <w:tcW w:w="3114" w:type="dxa"/>
            <w:shd w:val="clear" w:color="auto" w:fill="auto"/>
            <w:tcMar>
              <w:top w:w="28" w:type="dxa"/>
              <w:bottom w:w="28" w:type="dxa"/>
            </w:tcMar>
            <w:vAlign w:val="center"/>
          </w:tcPr>
          <w:p w14:paraId="5FF3B48D" w14:textId="72EF1FB7" w:rsidR="00973612" w:rsidRPr="00CC0C66" w:rsidRDefault="001E777A" w:rsidP="00F3265E">
            <w:pPr>
              <w:keepLines/>
              <w:spacing w:after="120"/>
              <w:rPr>
                <w:rFonts w:ascii="Arial" w:hAnsi="Arial" w:cs="Arial"/>
                <w:color w:val="000000"/>
                <w:sz w:val="18"/>
                <w:szCs w:val="18"/>
              </w:rPr>
            </w:pPr>
            <w:r w:rsidRPr="00CC0C66">
              <w:rPr>
                <w:rFonts w:ascii="Arial" w:hAnsi="Arial" w:cs="Arial"/>
                <w:color w:val="000000"/>
                <w:sz w:val="18"/>
                <w:szCs w:val="18"/>
              </w:rPr>
              <w:t>DARATUMUMAB</w:t>
            </w:r>
            <w:r w:rsidRPr="00CC0C66">
              <w:rPr>
                <w:rFonts w:ascii="Arial" w:hAnsi="Arial" w:cs="Arial"/>
                <w:color w:val="000000"/>
                <w:sz w:val="18"/>
                <w:szCs w:val="18"/>
              </w:rPr>
              <w:br/>
            </w:r>
            <w:r w:rsidRPr="00CC0C66">
              <w:rPr>
                <w:rFonts w:ascii="Arial" w:hAnsi="Arial" w:cs="Arial"/>
                <w:color w:val="000000"/>
                <w:sz w:val="18"/>
                <w:szCs w:val="18"/>
              </w:rPr>
              <w:br/>
              <w:t xml:space="preserve">Solution for subcutaneous injection </w:t>
            </w:r>
            <w:r w:rsidRPr="00CC0C66">
              <w:rPr>
                <w:rFonts w:ascii="Arial" w:hAnsi="Arial" w:cs="Arial"/>
                <w:color w:val="000000"/>
                <w:sz w:val="18"/>
                <w:szCs w:val="18"/>
              </w:rPr>
              <w:br/>
              <w:t>1,800 mg in 15 mL vial</w:t>
            </w:r>
            <w:r w:rsidRPr="00CC0C66">
              <w:rPr>
                <w:rFonts w:ascii="Arial" w:hAnsi="Arial" w:cs="Arial"/>
                <w:color w:val="000000"/>
                <w:sz w:val="18"/>
                <w:szCs w:val="18"/>
              </w:rPr>
              <w:br/>
            </w:r>
            <w:r w:rsidRPr="00CC0C66">
              <w:rPr>
                <w:rFonts w:ascii="Arial" w:hAnsi="Arial" w:cs="Arial"/>
                <w:color w:val="000000"/>
                <w:sz w:val="18"/>
                <w:szCs w:val="18"/>
              </w:rPr>
              <w:br/>
              <w:t>Darzalex®</w:t>
            </w:r>
            <w:r w:rsidRPr="00CC0C66">
              <w:rPr>
                <w:rFonts w:ascii="Arial" w:hAnsi="Arial" w:cs="Arial"/>
                <w:color w:val="000000"/>
                <w:sz w:val="18"/>
                <w:szCs w:val="18"/>
              </w:rPr>
              <w:br/>
            </w:r>
            <w:r w:rsidRPr="00CC0C66">
              <w:rPr>
                <w:rFonts w:ascii="Arial" w:hAnsi="Arial" w:cs="Arial"/>
                <w:color w:val="000000"/>
                <w:sz w:val="18"/>
                <w:szCs w:val="18"/>
              </w:rPr>
              <w:br/>
              <w:t>Janssen-Cilag Pty Ltd</w:t>
            </w:r>
          </w:p>
          <w:p w14:paraId="42178CD5" w14:textId="37E9FB6E" w:rsidR="001E777A" w:rsidRPr="00CC0C66" w:rsidRDefault="00973612" w:rsidP="00F3265E">
            <w:pPr>
              <w:keepLines/>
              <w:spacing w:after="120"/>
              <w:rPr>
                <w:rFonts w:ascii="Arial" w:hAnsi="Arial" w:cs="Arial"/>
                <w:sz w:val="18"/>
                <w:szCs w:val="18"/>
              </w:rPr>
            </w:pPr>
            <w:r w:rsidRPr="00CC0C66">
              <w:rPr>
                <w:rFonts w:ascii="Arial" w:hAnsi="Arial" w:cs="Arial"/>
                <w:color w:val="000000"/>
                <w:sz w:val="18"/>
                <w:szCs w:val="18"/>
              </w:rPr>
              <w:t>Category 2 submission</w:t>
            </w:r>
            <w:r w:rsidR="001E777A" w:rsidRPr="00CC0C66">
              <w:rPr>
                <w:rFonts w:ascii="Arial" w:hAnsi="Arial" w:cs="Arial"/>
                <w:color w:val="000000"/>
                <w:sz w:val="18"/>
                <w:szCs w:val="18"/>
              </w:rPr>
              <w:br/>
            </w:r>
            <w:r w:rsidR="00C929E1">
              <w:rPr>
                <w:rFonts w:ascii="Arial" w:hAnsi="Arial" w:cs="Arial"/>
                <w:color w:val="000000"/>
                <w:sz w:val="18"/>
                <w:szCs w:val="18"/>
              </w:rPr>
              <w:t>(</w:t>
            </w:r>
            <w:r w:rsidR="001E777A" w:rsidRPr="00CC0C66">
              <w:rPr>
                <w:rFonts w:ascii="Arial" w:hAnsi="Arial" w:cs="Arial"/>
                <w:color w:val="000000"/>
                <w:sz w:val="18"/>
                <w:szCs w:val="18"/>
              </w:rPr>
              <w:t>Change to listing</w:t>
            </w:r>
            <w:r w:rsidR="00C929E1">
              <w:rPr>
                <w:rFonts w:ascii="Arial" w:hAnsi="Arial" w:cs="Arial"/>
                <w:color w:val="000000"/>
                <w:sz w:val="18"/>
                <w:szCs w:val="18"/>
              </w:rPr>
              <w:t>)</w:t>
            </w:r>
          </w:p>
        </w:tc>
        <w:tc>
          <w:tcPr>
            <w:tcW w:w="1559" w:type="dxa"/>
            <w:shd w:val="clear" w:color="auto" w:fill="auto"/>
            <w:vAlign w:val="center"/>
          </w:tcPr>
          <w:p w14:paraId="1C82A9E9" w14:textId="132C39C2" w:rsidR="001E777A" w:rsidRPr="00CC0C66" w:rsidRDefault="001E777A"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Relapsed and/or refractory multiple myeloma (RRMM)</w:t>
            </w:r>
          </w:p>
        </w:tc>
        <w:tc>
          <w:tcPr>
            <w:tcW w:w="2552" w:type="dxa"/>
            <w:shd w:val="clear" w:color="auto" w:fill="auto"/>
            <w:tcMar>
              <w:top w:w="28" w:type="dxa"/>
              <w:bottom w:w="28" w:type="dxa"/>
            </w:tcMar>
            <w:vAlign w:val="center"/>
          </w:tcPr>
          <w:p w14:paraId="5BBD2403" w14:textId="67AEB135"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Section 100 (Highly Specialised Drugs Program), Authority Required (online/telephone) listing of a new 1,800 mg subcutaneous flat dosing regimen in addition to the current 16 mg/kg intravenous weight-based dosing regimen for the treatment of RRMM.</w:t>
            </w:r>
          </w:p>
        </w:tc>
        <w:tc>
          <w:tcPr>
            <w:tcW w:w="1558" w:type="dxa"/>
            <w:shd w:val="clear" w:color="auto" w:fill="auto"/>
            <w:vAlign w:val="center"/>
          </w:tcPr>
          <w:p w14:paraId="021B752A" w14:textId="616C0EED"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726A7936" w14:textId="79F1C73B"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the dual General Schedule and Section 100 (Efficient Funding of Chemotherapy – Related Benefits), Authority Required listings of a flat 1,800 mg subcutaneously (SC) delivered form of daratumumab for all indications for which the intravenous (IV) form of daratumumab is currently listed. The PBAC advised the listing of the SC form should be on a cost minimisation basis with the IV formulation of daratumumab.</w:t>
            </w:r>
          </w:p>
        </w:tc>
      </w:tr>
      <w:tr w:rsidR="001E777A" w:rsidRPr="00CC0C66" w14:paraId="323BECE2" w14:textId="77777777" w:rsidTr="002E1AD3">
        <w:trPr>
          <w:trHeight w:val="2440"/>
        </w:trPr>
        <w:tc>
          <w:tcPr>
            <w:tcW w:w="3114" w:type="dxa"/>
            <w:shd w:val="clear" w:color="auto" w:fill="auto"/>
            <w:tcMar>
              <w:top w:w="28" w:type="dxa"/>
              <w:bottom w:w="28" w:type="dxa"/>
            </w:tcMar>
            <w:vAlign w:val="center"/>
          </w:tcPr>
          <w:p w14:paraId="63BCC309" w14:textId="0568E9DE" w:rsidR="00973612" w:rsidRPr="00CC0C66" w:rsidRDefault="001E777A"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DAROLUTAMIDE</w:t>
            </w:r>
            <w:r w:rsidRPr="00CC0C66">
              <w:rPr>
                <w:rFonts w:ascii="Arial" w:hAnsi="Arial" w:cs="Arial"/>
                <w:color w:val="000000"/>
                <w:sz w:val="18"/>
                <w:szCs w:val="18"/>
              </w:rPr>
              <w:br/>
            </w:r>
            <w:r w:rsidRPr="00CC0C66">
              <w:rPr>
                <w:rFonts w:ascii="Arial" w:hAnsi="Arial" w:cs="Arial"/>
                <w:color w:val="000000"/>
                <w:sz w:val="18"/>
                <w:szCs w:val="18"/>
              </w:rPr>
              <w:br/>
              <w:t>Tablet 300 mg</w:t>
            </w:r>
            <w:r w:rsidRPr="00CC0C66">
              <w:rPr>
                <w:rFonts w:ascii="Arial" w:hAnsi="Arial" w:cs="Arial"/>
                <w:color w:val="000000"/>
                <w:sz w:val="18"/>
                <w:szCs w:val="18"/>
              </w:rPr>
              <w:br/>
            </w:r>
            <w:r w:rsidRPr="00CC0C66">
              <w:rPr>
                <w:rFonts w:ascii="Arial" w:hAnsi="Arial" w:cs="Arial"/>
                <w:color w:val="000000"/>
                <w:sz w:val="18"/>
                <w:szCs w:val="18"/>
              </w:rPr>
              <w:br/>
              <w:t>Nubeqa®</w:t>
            </w:r>
            <w:r w:rsidRPr="00CC0C66">
              <w:rPr>
                <w:rFonts w:ascii="Arial" w:hAnsi="Arial" w:cs="Arial"/>
                <w:color w:val="000000"/>
                <w:sz w:val="18"/>
                <w:szCs w:val="18"/>
              </w:rPr>
              <w:br/>
            </w:r>
            <w:r w:rsidRPr="00CC0C66">
              <w:rPr>
                <w:rFonts w:ascii="Arial" w:hAnsi="Arial" w:cs="Arial"/>
                <w:color w:val="000000"/>
                <w:sz w:val="18"/>
                <w:szCs w:val="18"/>
              </w:rPr>
              <w:br/>
              <w:t>Bayer Australia Limited</w:t>
            </w:r>
          </w:p>
          <w:p w14:paraId="0BF9E2E9" w14:textId="77E722B1" w:rsidR="001E777A" w:rsidRPr="00CC0C66" w:rsidRDefault="00400BA3" w:rsidP="00F3265E">
            <w:pPr>
              <w:keepLines/>
              <w:spacing w:after="120"/>
              <w:rPr>
                <w:rFonts w:ascii="Arial" w:hAnsi="Arial" w:cs="Arial"/>
                <w:sz w:val="18"/>
                <w:szCs w:val="18"/>
              </w:rPr>
            </w:pPr>
            <w:r w:rsidRPr="00CC0C66">
              <w:rPr>
                <w:rFonts w:ascii="Arial" w:hAnsi="Arial" w:cs="Arial"/>
                <w:color w:val="000000"/>
                <w:sz w:val="18"/>
                <w:szCs w:val="18"/>
              </w:rPr>
              <w:t>Early R</w:t>
            </w:r>
            <w:r w:rsidR="00973612" w:rsidRPr="00CC0C66">
              <w:rPr>
                <w:rFonts w:ascii="Arial" w:hAnsi="Arial" w:cs="Arial"/>
                <w:color w:val="000000"/>
                <w:sz w:val="18"/>
                <w:szCs w:val="18"/>
              </w:rPr>
              <w:t>e-entry resubmission</w:t>
            </w:r>
            <w:r w:rsidR="001E777A" w:rsidRPr="00CC0C66">
              <w:rPr>
                <w:rFonts w:ascii="Arial" w:hAnsi="Arial" w:cs="Arial"/>
                <w:color w:val="000000"/>
                <w:sz w:val="18"/>
                <w:szCs w:val="18"/>
              </w:rPr>
              <w:br/>
            </w:r>
            <w:r w:rsidR="00973612" w:rsidRPr="00CC0C66">
              <w:rPr>
                <w:rFonts w:ascii="Arial" w:hAnsi="Arial" w:cs="Arial"/>
                <w:color w:val="000000"/>
                <w:sz w:val="18"/>
                <w:szCs w:val="18"/>
              </w:rPr>
              <w:t>(</w:t>
            </w:r>
            <w:r w:rsidR="001E777A" w:rsidRPr="00CC0C66">
              <w:rPr>
                <w:rFonts w:ascii="Arial" w:hAnsi="Arial" w:cs="Arial"/>
                <w:color w:val="000000"/>
                <w:sz w:val="18"/>
                <w:szCs w:val="18"/>
              </w:rPr>
              <w:t>New listing</w:t>
            </w:r>
            <w:r w:rsidR="00973612" w:rsidRPr="00CC0C66">
              <w:rPr>
                <w:rFonts w:ascii="Arial" w:hAnsi="Arial" w:cs="Arial"/>
                <w:color w:val="000000"/>
                <w:sz w:val="18"/>
                <w:szCs w:val="18"/>
              </w:rPr>
              <w:t>)</w:t>
            </w:r>
          </w:p>
        </w:tc>
        <w:tc>
          <w:tcPr>
            <w:tcW w:w="1559" w:type="dxa"/>
            <w:shd w:val="clear" w:color="auto" w:fill="auto"/>
            <w:vAlign w:val="center"/>
          </w:tcPr>
          <w:p w14:paraId="0C82C310" w14:textId="2E1A2F78" w:rsidR="001E777A" w:rsidRPr="00CC0C66" w:rsidRDefault="001E777A"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Castration resistant carcinoma of the prostate</w:t>
            </w:r>
          </w:p>
        </w:tc>
        <w:tc>
          <w:tcPr>
            <w:tcW w:w="2552" w:type="dxa"/>
            <w:shd w:val="clear" w:color="auto" w:fill="auto"/>
            <w:tcMar>
              <w:top w:w="28" w:type="dxa"/>
              <w:bottom w:w="28" w:type="dxa"/>
            </w:tcMar>
            <w:vAlign w:val="center"/>
          </w:tcPr>
          <w:p w14:paraId="0F81FC0E" w14:textId="4745C9CD"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Resubmission to request an Authority Required (</w:t>
            </w:r>
            <w:r w:rsidR="00163694">
              <w:rPr>
                <w:rFonts w:ascii="Arial" w:hAnsi="Arial" w:cs="Arial"/>
                <w:color w:val="000000"/>
                <w:sz w:val="18"/>
                <w:szCs w:val="18"/>
              </w:rPr>
              <w:t>t</w:t>
            </w:r>
            <w:r w:rsidRPr="00CC0C66">
              <w:rPr>
                <w:rFonts w:ascii="Arial" w:hAnsi="Arial" w:cs="Arial"/>
                <w:color w:val="000000"/>
                <w:sz w:val="18"/>
                <w:szCs w:val="18"/>
              </w:rPr>
              <w:t>elephone) listing for the treatment of castration resistant carcinoma of the prostate.</w:t>
            </w:r>
          </w:p>
        </w:tc>
        <w:tc>
          <w:tcPr>
            <w:tcW w:w="1558" w:type="dxa"/>
            <w:shd w:val="clear" w:color="auto" w:fill="auto"/>
            <w:vAlign w:val="center"/>
          </w:tcPr>
          <w:p w14:paraId="08AF6441" w14:textId="0B4A17C4"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4BA5C9CF" w14:textId="5B5BAA1E"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the listing of darolutamide for the treatment of patients with non-metastatic castration resistant prostate cancer (m0CRPC). The PBAC was satisfied that darolutamide provides, for some patients, a moderate overall survival benefit compared to standard of care (SOC). The PBAC considered that at the updated proposed price, the revised economic model resulted in an incremental cost effectiveness ratio of darolutamide versus SOC in the m0CRPC setting which was cost-effective. The PBAC also considered that the revised estimated utilisation and financial impact estimates for the m0CRPC population were reasonable.</w:t>
            </w:r>
          </w:p>
        </w:tc>
      </w:tr>
      <w:tr w:rsidR="00FE6F0F" w:rsidRPr="00CC0C66" w14:paraId="4C4095B8" w14:textId="77777777" w:rsidTr="002E1AD3">
        <w:trPr>
          <w:trHeight w:val="2440"/>
        </w:trPr>
        <w:tc>
          <w:tcPr>
            <w:tcW w:w="3114" w:type="dxa"/>
            <w:shd w:val="clear" w:color="auto" w:fill="auto"/>
            <w:tcMar>
              <w:top w:w="28" w:type="dxa"/>
              <w:bottom w:w="28" w:type="dxa"/>
            </w:tcMar>
            <w:vAlign w:val="center"/>
          </w:tcPr>
          <w:p w14:paraId="6DC2554A" w14:textId="77777777" w:rsidR="00FE6F0F" w:rsidRPr="00CC0C66" w:rsidRDefault="00FE6F0F" w:rsidP="00FE6F0F">
            <w:pPr>
              <w:keepLines/>
              <w:spacing w:after="120"/>
              <w:rPr>
                <w:rFonts w:ascii="Arial" w:hAnsi="Arial" w:cs="Arial"/>
                <w:color w:val="000000"/>
                <w:sz w:val="18"/>
                <w:szCs w:val="18"/>
              </w:rPr>
            </w:pPr>
            <w:r w:rsidRPr="00CC0C66">
              <w:rPr>
                <w:rFonts w:ascii="Arial" w:hAnsi="Arial" w:cs="Arial"/>
                <w:color w:val="000000"/>
                <w:sz w:val="18"/>
                <w:szCs w:val="18"/>
              </w:rPr>
              <w:t>DECITABINE WITH CEDAZURIDINE</w:t>
            </w:r>
            <w:r w:rsidRPr="00CC0C66">
              <w:rPr>
                <w:rFonts w:ascii="Arial" w:hAnsi="Arial" w:cs="Arial"/>
                <w:color w:val="000000"/>
                <w:sz w:val="18"/>
                <w:szCs w:val="18"/>
              </w:rPr>
              <w:br/>
            </w:r>
            <w:r w:rsidRPr="00CC0C66">
              <w:rPr>
                <w:rFonts w:ascii="Arial" w:hAnsi="Arial" w:cs="Arial"/>
                <w:color w:val="000000"/>
                <w:sz w:val="18"/>
                <w:szCs w:val="18"/>
              </w:rPr>
              <w:br/>
              <w:t>Tablet containing decitabine 35 mg + cedazuridine 100 mg</w:t>
            </w:r>
            <w:r w:rsidRPr="00CC0C66">
              <w:rPr>
                <w:rFonts w:ascii="Arial" w:hAnsi="Arial" w:cs="Arial"/>
                <w:color w:val="000000"/>
                <w:sz w:val="18"/>
                <w:szCs w:val="18"/>
              </w:rPr>
              <w:br/>
            </w:r>
            <w:r w:rsidRPr="00CC0C66">
              <w:rPr>
                <w:rFonts w:ascii="Arial" w:hAnsi="Arial" w:cs="Arial"/>
                <w:color w:val="000000"/>
                <w:sz w:val="18"/>
                <w:szCs w:val="18"/>
              </w:rPr>
              <w:br/>
              <w:t>Inqovi®</w:t>
            </w:r>
            <w:r w:rsidRPr="00CC0C66">
              <w:rPr>
                <w:rFonts w:ascii="Arial" w:hAnsi="Arial" w:cs="Arial"/>
                <w:color w:val="000000"/>
                <w:sz w:val="18"/>
                <w:szCs w:val="18"/>
              </w:rPr>
              <w:br/>
            </w:r>
            <w:r w:rsidRPr="00CC0C66">
              <w:rPr>
                <w:rFonts w:ascii="Arial" w:hAnsi="Arial" w:cs="Arial"/>
                <w:color w:val="000000"/>
                <w:sz w:val="18"/>
                <w:szCs w:val="18"/>
              </w:rPr>
              <w:br/>
              <w:t>Otsuka Australia Pharmaceutical Pty. Ltd</w:t>
            </w:r>
          </w:p>
          <w:p w14:paraId="2AEEB684" w14:textId="534EDBB0" w:rsidR="00FE6F0F" w:rsidRPr="00CC0C66" w:rsidRDefault="00FE6F0F" w:rsidP="00FE6F0F">
            <w:pPr>
              <w:keepLines/>
              <w:spacing w:after="120"/>
              <w:rPr>
                <w:rFonts w:ascii="Arial" w:hAnsi="Arial" w:cs="Arial"/>
                <w:color w:val="000000"/>
                <w:sz w:val="18"/>
                <w:szCs w:val="18"/>
              </w:rPr>
            </w:pPr>
            <w:r w:rsidRPr="00CC0C66">
              <w:rPr>
                <w:rFonts w:ascii="Arial" w:hAnsi="Arial" w:cs="Arial"/>
                <w:color w:val="000000"/>
                <w:sz w:val="18"/>
                <w:szCs w:val="18"/>
              </w:rPr>
              <w:t>Early Re-entry resubmission</w:t>
            </w:r>
            <w:r w:rsidRPr="00CC0C66">
              <w:rPr>
                <w:rFonts w:ascii="Arial" w:hAnsi="Arial" w:cs="Arial"/>
                <w:color w:val="000000"/>
                <w:sz w:val="18"/>
                <w:szCs w:val="18"/>
              </w:rPr>
              <w:br/>
              <w:t>(New listing)</w:t>
            </w:r>
          </w:p>
        </w:tc>
        <w:tc>
          <w:tcPr>
            <w:tcW w:w="1559" w:type="dxa"/>
            <w:shd w:val="clear" w:color="auto" w:fill="auto"/>
            <w:vAlign w:val="center"/>
          </w:tcPr>
          <w:p w14:paraId="22DCAA24" w14:textId="134EC6AE" w:rsidR="00FE6F0F" w:rsidRPr="00CC0C66" w:rsidRDefault="00FE6F0F" w:rsidP="00FE6F0F">
            <w:pPr>
              <w:keepLines/>
              <w:widowControl w:val="0"/>
              <w:spacing w:after="120"/>
              <w:rPr>
                <w:rFonts w:ascii="Arial" w:hAnsi="Arial" w:cs="Arial"/>
                <w:color w:val="000000"/>
                <w:sz w:val="18"/>
                <w:szCs w:val="18"/>
              </w:rPr>
            </w:pPr>
            <w:r w:rsidRPr="00CC0C66">
              <w:rPr>
                <w:rFonts w:ascii="Arial" w:hAnsi="Arial" w:cs="Arial"/>
                <w:color w:val="000000"/>
                <w:sz w:val="18"/>
                <w:szCs w:val="18"/>
              </w:rPr>
              <w:t>High risk myelodysplastic syndromes (MDS) and chronic myelomonocytic leukaemia (CMML)</w:t>
            </w:r>
          </w:p>
        </w:tc>
        <w:tc>
          <w:tcPr>
            <w:tcW w:w="2552" w:type="dxa"/>
            <w:shd w:val="clear" w:color="auto" w:fill="auto"/>
            <w:tcMar>
              <w:top w:w="28" w:type="dxa"/>
              <w:bottom w:w="28" w:type="dxa"/>
            </w:tcMar>
            <w:vAlign w:val="center"/>
          </w:tcPr>
          <w:p w14:paraId="0677F42F" w14:textId="5028CF96" w:rsidR="00FE6F0F" w:rsidRPr="00CC0C66" w:rsidRDefault="00FE6F0F" w:rsidP="00FE6F0F">
            <w:pPr>
              <w:pStyle w:val="ListParagraph"/>
              <w:keepLines/>
              <w:spacing w:after="120"/>
              <w:ind w:left="0"/>
              <w:rPr>
                <w:rFonts w:ascii="Arial" w:hAnsi="Arial" w:cs="Arial"/>
                <w:color w:val="000000"/>
                <w:sz w:val="18"/>
                <w:szCs w:val="18"/>
              </w:rPr>
            </w:pPr>
            <w:r w:rsidRPr="00CC0C66">
              <w:rPr>
                <w:rFonts w:ascii="Arial" w:hAnsi="Arial" w:cs="Arial"/>
                <w:color w:val="000000"/>
                <w:sz w:val="18"/>
                <w:szCs w:val="18"/>
              </w:rPr>
              <w:t>Resubmission to request an Authority Required (non-immediate/delayed) - In Writing only/Electronic listing for the treatment of high-risk MDS and CMML.</w:t>
            </w:r>
          </w:p>
        </w:tc>
        <w:tc>
          <w:tcPr>
            <w:tcW w:w="1558" w:type="dxa"/>
            <w:shd w:val="clear" w:color="auto" w:fill="auto"/>
            <w:vAlign w:val="center"/>
          </w:tcPr>
          <w:p w14:paraId="42DF5F07" w14:textId="48B0872E" w:rsidR="00FE6F0F" w:rsidRPr="00CC0C66" w:rsidRDefault="00FE6F0F" w:rsidP="00FE6F0F">
            <w:pPr>
              <w:pStyle w:val="ListParagraph"/>
              <w:keepLines/>
              <w:spacing w:after="120"/>
              <w:ind w:left="0"/>
              <w:rPr>
                <w:rFonts w:ascii="Arial" w:hAnsi="Arial" w:cs="Arial"/>
                <w:color w:val="000000"/>
                <w:sz w:val="18"/>
                <w:szCs w:val="18"/>
              </w:rPr>
            </w:pPr>
            <w:r w:rsidRPr="00CC0C66">
              <w:rPr>
                <w:rFonts w:ascii="Arial" w:hAnsi="Arial" w:cs="Arial"/>
                <w:color w:val="000000"/>
                <w:sz w:val="18"/>
                <w:szCs w:val="18"/>
              </w:rPr>
              <w:t>Recommended</w:t>
            </w:r>
          </w:p>
        </w:tc>
        <w:tc>
          <w:tcPr>
            <w:tcW w:w="6605" w:type="dxa"/>
            <w:shd w:val="clear" w:color="auto" w:fill="auto"/>
            <w:vAlign w:val="center"/>
          </w:tcPr>
          <w:p w14:paraId="0E4D72FA" w14:textId="373ED9CF" w:rsidR="00FE6F0F" w:rsidRPr="00CC0C66" w:rsidRDefault="00FE6F0F" w:rsidP="00FE6F0F">
            <w:pPr>
              <w:pStyle w:val="ListParagraph"/>
              <w:keepLines/>
              <w:spacing w:after="120"/>
              <w:ind w:left="0"/>
              <w:rPr>
                <w:rFonts w:ascii="Arial" w:hAnsi="Arial" w:cs="Arial"/>
                <w:color w:val="000000"/>
                <w:sz w:val="18"/>
                <w:szCs w:val="18"/>
              </w:rPr>
            </w:pPr>
            <w:r w:rsidRPr="00CC0C66">
              <w:rPr>
                <w:rFonts w:ascii="Arial" w:hAnsi="Arial" w:cs="Arial"/>
                <w:color w:val="000000"/>
                <w:sz w:val="18"/>
                <w:szCs w:val="18"/>
              </w:rPr>
              <w:t>The PBAC recommended the listing of decitabine+cedazuridine for the treatment of patients with MDS classified as intermediate-2 or high-risk according to the International Prognostic Scoring System (IPSS) and patients with CMML. The PBAC’s recommendation for listing was based on, among other matters, its assessment, that the cost-effectiveness of decitabine+cedazuridine would be acceptable if it were cost-minimised against azacitidine. The PBAC considered that the more conservative cost-minimisation analysis presented in the resubmission largely addressed the uncertainty around the claim of non-inferiority versus azacitidine. Further, the PBAC considered that the risk sharing arrangement proposed by the sponsor would address its previous concerns around use in a broader patient population compared with azacitidine.</w:t>
            </w:r>
          </w:p>
        </w:tc>
      </w:tr>
      <w:tr w:rsidR="001E777A" w:rsidRPr="00CC0C66" w14:paraId="4E5D591B" w14:textId="77777777" w:rsidTr="002E1AD3">
        <w:trPr>
          <w:trHeight w:val="574"/>
        </w:trPr>
        <w:tc>
          <w:tcPr>
            <w:tcW w:w="3114" w:type="dxa"/>
            <w:shd w:val="clear" w:color="auto" w:fill="auto"/>
            <w:tcMar>
              <w:top w:w="28" w:type="dxa"/>
              <w:bottom w:w="28" w:type="dxa"/>
            </w:tcMar>
            <w:vAlign w:val="center"/>
          </w:tcPr>
          <w:p w14:paraId="0B803647" w14:textId="484402E1" w:rsidR="00973612" w:rsidRPr="00CC0C66" w:rsidRDefault="001E777A"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ELEXACAFTOR/</w:t>
            </w:r>
            <w:r w:rsidRPr="00CC0C66">
              <w:rPr>
                <w:rFonts w:ascii="Arial" w:hAnsi="Arial" w:cs="Arial"/>
                <w:color w:val="000000"/>
                <w:sz w:val="18"/>
                <w:szCs w:val="18"/>
              </w:rPr>
              <w:br/>
              <w:t>TEZACAFTOR/ IVACAFTOR AND IVACAFTOR</w:t>
            </w:r>
            <w:r w:rsidRPr="00CC0C66">
              <w:rPr>
                <w:rFonts w:ascii="Arial" w:hAnsi="Arial" w:cs="Arial"/>
                <w:color w:val="000000"/>
                <w:sz w:val="18"/>
                <w:szCs w:val="18"/>
              </w:rPr>
              <w:br/>
            </w:r>
            <w:r w:rsidRPr="00CC0C66">
              <w:rPr>
                <w:rFonts w:ascii="Arial" w:hAnsi="Arial" w:cs="Arial"/>
                <w:color w:val="000000"/>
                <w:sz w:val="18"/>
                <w:szCs w:val="18"/>
              </w:rPr>
              <w:br/>
              <w:t>Pack containing 56 tablets of</w:t>
            </w:r>
            <w:r w:rsidRPr="00CC0C66">
              <w:rPr>
                <w:rFonts w:ascii="Arial" w:hAnsi="Arial" w:cs="Arial"/>
                <w:color w:val="000000"/>
                <w:sz w:val="18"/>
                <w:szCs w:val="18"/>
              </w:rPr>
              <w:br/>
              <w:t>elexacaftor 100 mg with</w:t>
            </w:r>
            <w:r w:rsidRPr="00CC0C66">
              <w:rPr>
                <w:rFonts w:ascii="Arial" w:hAnsi="Arial" w:cs="Arial"/>
                <w:color w:val="000000"/>
                <w:sz w:val="18"/>
                <w:szCs w:val="18"/>
              </w:rPr>
              <w:br/>
              <w:t>tezacaftor 50 mg and ivacaftor</w:t>
            </w:r>
            <w:r w:rsidRPr="00CC0C66">
              <w:rPr>
                <w:rFonts w:ascii="Arial" w:hAnsi="Arial" w:cs="Arial"/>
                <w:color w:val="000000"/>
                <w:sz w:val="18"/>
                <w:szCs w:val="18"/>
              </w:rPr>
              <w:br/>
              <w:t>75 mg and 28 tablets of</w:t>
            </w:r>
            <w:r w:rsidRPr="00CC0C66">
              <w:rPr>
                <w:rFonts w:ascii="Arial" w:hAnsi="Arial" w:cs="Arial"/>
                <w:color w:val="000000"/>
                <w:sz w:val="18"/>
                <w:szCs w:val="18"/>
              </w:rPr>
              <w:br/>
              <w:t>ivacaftor 150 mg</w:t>
            </w:r>
            <w:r w:rsidRPr="00CC0C66">
              <w:rPr>
                <w:rFonts w:ascii="Arial" w:hAnsi="Arial" w:cs="Arial"/>
                <w:color w:val="000000"/>
                <w:sz w:val="18"/>
                <w:szCs w:val="18"/>
              </w:rPr>
              <w:br/>
            </w:r>
            <w:r w:rsidRPr="00CC0C66">
              <w:rPr>
                <w:rFonts w:ascii="Arial" w:hAnsi="Arial" w:cs="Arial"/>
                <w:color w:val="000000"/>
                <w:sz w:val="18"/>
                <w:szCs w:val="18"/>
              </w:rPr>
              <w:br/>
              <w:t>Trikafta®</w:t>
            </w:r>
            <w:r w:rsidRPr="00CC0C66">
              <w:rPr>
                <w:rFonts w:ascii="Arial" w:hAnsi="Arial" w:cs="Arial"/>
                <w:color w:val="000000"/>
                <w:sz w:val="18"/>
                <w:szCs w:val="18"/>
              </w:rPr>
              <w:br/>
            </w:r>
            <w:r w:rsidRPr="00CC0C66">
              <w:rPr>
                <w:rFonts w:ascii="Arial" w:hAnsi="Arial" w:cs="Arial"/>
                <w:color w:val="000000"/>
                <w:sz w:val="18"/>
                <w:szCs w:val="18"/>
              </w:rPr>
              <w:br/>
              <w:t>Vertex Pharmaceuticals</w:t>
            </w:r>
            <w:r w:rsidRPr="00CC0C66">
              <w:rPr>
                <w:rFonts w:ascii="Arial" w:hAnsi="Arial" w:cs="Arial"/>
                <w:color w:val="000000"/>
                <w:sz w:val="18"/>
                <w:szCs w:val="18"/>
              </w:rPr>
              <w:br/>
              <w:t>(Australia) Pty Ltd</w:t>
            </w:r>
          </w:p>
          <w:p w14:paraId="425660C1" w14:textId="0D890452" w:rsidR="00A75A61" w:rsidRPr="00CC0C66" w:rsidRDefault="00400BA3" w:rsidP="00F3265E">
            <w:pPr>
              <w:keepLines/>
              <w:spacing w:after="120"/>
              <w:rPr>
                <w:rFonts w:ascii="Arial" w:hAnsi="Arial" w:cs="Arial"/>
                <w:color w:val="000000"/>
                <w:sz w:val="18"/>
                <w:szCs w:val="18"/>
              </w:rPr>
            </w:pPr>
            <w:r w:rsidRPr="00CC0C66">
              <w:rPr>
                <w:rFonts w:ascii="Arial" w:hAnsi="Arial" w:cs="Arial"/>
                <w:color w:val="000000"/>
                <w:sz w:val="18"/>
                <w:szCs w:val="18"/>
              </w:rPr>
              <w:t>Other Business</w:t>
            </w:r>
            <w:r w:rsidR="001E777A" w:rsidRPr="00CC0C66">
              <w:rPr>
                <w:rFonts w:ascii="Arial" w:hAnsi="Arial" w:cs="Arial"/>
                <w:color w:val="000000"/>
                <w:sz w:val="18"/>
                <w:szCs w:val="18"/>
              </w:rPr>
              <w:br/>
            </w:r>
            <w:r w:rsidR="00973612" w:rsidRPr="00CC0C66">
              <w:rPr>
                <w:rFonts w:ascii="Arial" w:hAnsi="Arial" w:cs="Arial"/>
                <w:color w:val="000000"/>
                <w:sz w:val="18"/>
                <w:szCs w:val="18"/>
              </w:rPr>
              <w:t>(</w:t>
            </w:r>
            <w:r w:rsidRPr="00CC0C66">
              <w:rPr>
                <w:rFonts w:ascii="Arial" w:hAnsi="Arial" w:cs="Arial"/>
                <w:color w:val="000000"/>
                <w:sz w:val="18"/>
                <w:szCs w:val="18"/>
              </w:rPr>
              <w:t>New</w:t>
            </w:r>
            <w:r w:rsidR="001E777A" w:rsidRPr="00CC0C66">
              <w:rPr>
                <w:rFonts w:ascii="Arial" w:hAnsi="Arial" w:cs="Arial"/>
                <w:color w:val="000000"/>
                <w:sz w:val="18"/>
                <w:szCs w:val="18"/>
              </w:rPr>
              <w:t xml:space="preserve"> listing</w:t>
            </w:r>
            <w:r w:rsidR="00973612" w:rsidRPr="00CC0C66">
              <w:rPr>
                <w:rFonts w:ascii="Arial" w:hAnsi="Arial" w:cs="Arial"/>
                <w:color w:val="000000"/>
                <w:sz w:val="18"/>
                <w:szCs w:val="18"/>
              </w:rPr>
              <w:t>)</w:t>
            </w:r>
            <w:r w:rsidR="00A75A61" w:rsidRPr="00CC0C66">
              <w:rPr>
                <w:rFonts w:ascii="Arial" w:hAnsi="Arial" w:cs="Arial"/>
                <w:color w:val="000000"/>
                <w:sz w:val="18"/>
                <w:szCs w:val="18"/>
              </w:rPr>
              <w:t xml:space="preserve"> </w:t>
            </w:r>
          </w:p>
        </w:tc>
        <w:tc>
          <w:tcPr>
            <w:tcW w:w="1559" w:type="dxa"/>
            <w:shd w:val="clear" w:color="auto" w:fill="auto"/>
            <w:vAlign w:val="center"/>
          </w:tcPr>
          <w:p w14:paraId="06CAB2FE" w14:textId="69003BD1" w:rsidR="001E777A" w:rsidRPr="00CC0C66" w:rsidRDefault="001E777A"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Cystic fibrosis (CF)</w:t>
            </w:r>
          </w:p>
        </w:tc>
        <w:tc>
          <w:tcPr>
            <w:tcW w:w="2552" w:type="dxa"/>
            <w:shd w:val="clear" w:color="auto" w:fill="auto"/>
            <w:tcMar>
              <w:top w:w="28" w:type="dxa"/>
              <w:bottom w:w="28" w:type="dxa"/>
            </w:tcMar>
            <w:vAlign w:val="center"/>
          </w:tcPr>
          <w:p w14:paraId="29417CD0" w14:textId="2B1B79F4"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Section 100 (Highly Specialised Drugs Program) Authority Required (Written) listing for the treatment of CF in patients aged 12 years or older who have at least one F508del mutation on the cystic fibrosis transmembrane conductance regulator (CFTR) gene.</w:t>
            </w:r>
          </w:p>
        </w:tc>
        <w:tc>
          <w:tcPr>
            <w:tcW w:w="1558" w:type="dxa"/>
            <w:shd w:val="clear" w:color="auto" w:fill="auto"/>
            <w:vAlign w:val="center"/>
          </w:tcPr>
          <w:p w14:paraId="505DF66D" w14:textId="432E3D3E"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sz w:val="18"/>
                <w:szCs w:val="18"/>
              </w:rPr>
              <w:t>Recomme</w:t>
            </w:r>
            <w:r w:rsidR="00A75A61" w:rsidRPr="00CC0C66">
              <w:rPr>
                <w:rFonts w:ascii="Arial" w:hAnsi="Arial" w:cs="Arial"/>
                <w:sz w:val="18"/>
                <w:szCs w:val="18"/>
              </w:rPr>
              <w:t>nded</w:t>
            </w:r>
          </w:p>
        </w:tc>
        <w:tc>
          <w:tcPr>
            <w:tcW w:w="6605" w:type="dxa"/>
            <w:shd w:val="clear" w:color="auto" w:fill="auto"/>
            <w:vAlign w:val="center"/>
          </w:tcPr>
          <w:p w14:paraId="3B657CF9" w14:textId="798D1A34" w:rsidR="00A159CA" w:rsidRDefault="001E777A" w:rsidP="00F3265E">
            <w:pPr>
              <w:pStyle w:val="ListParagraph"/>
              <w:keepLines/>
              <w:spacing w:after="120"/>
              <w:ind w:left="0"/>
              <w:rPr>
                <w:rFonts w:ascii="Arial" w:hAnsi="Arial" w:cs="Arial"/>
                <w:color w:val="000000"/>
                <w:sz w:val="18"/>
                <w:szCs w:val="18"/>
              </w:rPr>
            </w:pPr>
            <w:r w:rsidRPr="00CC0C66">
              <w:rPr>
                <w:rFonts w:ascii="Arial" w:hAnsi="Arial" w:cs="Arial"/>
                <w:color w:val="000000"/>
                <w:sz w:val="18"/>
                <w:szCs w:val="18"/>
              </w:rPr>
              <w:t xml:space="preserve">The PBAC recommended the listing of elexacaftor/tezacaftor/ivacaftor (ELX/TEZ/IVA) for the treatment of CF patients aged 12 years and older who have one F508del mutation and one minimal function mutation in the CFTR gene (F/MF population). In making its recommendation, the PBAC noted that the sponsor had not provided a formal proposal for the PBAC’s reconsideration following its May 2021 advice, and it therefore could not make a recommendation at this time for listing for the broader population of CF patients aged 12 years and older who have at least one F508del mutation in the CFTR gene, while the parameters it had previously outlined had not been addressed by the sponsor. </w:t>
            </w:r>
            <w:r w:rsidR="00A159CA" w:rsidRPr="00A159CA">
              <w:rPr>
                <w:rFonts w:ascii="Arial" w:hAnsi="Arial" w:cs="Arial"/>
                <w:color w:val="000000"/>
                <w:sz w:val="18"/>
                <w:szCs w:val="18"/>
              </w:rPr>
              <w:t>The PBAC nominated the Early Re-entry res</w:t>
            </w:r>
            <w:r w:rsidR="00C05362">
              <w:rPr>
                <w:rFonts w:ascii="Arial" w:hAnsi="Arial" w:cs="Arial"/>
                <w:color w:val="000000"/>
                <w:sz w:val="18"/>
                <w:szCs w:val="18"/>
              </w:rPr>
              <w:t xml:space="preserve">ubmission pathway* for this </w:t>
            </w:r>
            <w:r w:rsidR="0030617A">
              <w:rPr>
                <w:rFonts w:ascii="Arial" w:hAnsi="Arial" w:cs="Arial"/>
                <w:color w:val="000000"/>
                <w:sz w:val="18"/>
                <w:szCs w:val="18"/>
              </w:rPr>
              <w:t>item</w:t>
            </w:r>
            <w:r w:rsidR="00A159CA">
              <w:rPr>
                <w:rFonts w:ascii="Arial" w:hAnsi="Arial" w:cs="Arial"/>
                <w:color w:val="000000"/>
                <w:sz w:val="18"/>
                <w:szCs w:val="18"/>
              </w:rPr>
              <w:t xml:space="preserve">. </w:t>
            </w:r>
          </w:p>
          <w:p w14:paraId="7093BBDC" w14:textId="77777777" w:rsidR="00A159CA" w:rsidRDefault="00A159CA" w:rsidP="00F3265E">
            <w:pPr>
              <w:pStyle w:val="ListParagraph"/>
              <w:keepLines/>
              <w:spacing w:after="120"/>
              <w:ind w:left="0"/>
              <w:rPr>
                <w:rFonts w:ascii="Arial" w:hAnsi="Arial" w:cs="Arial"/>
                <w:color w:val="000000"/>
                <w:sz w:val="18"/>
                <w:szCs w:val="18"/>
              </w:rPr>
            </w:pPr>
          </w:p>
          <w:p w14:paraId="3FC39CA6" w14:textId="078E13A1" w:rsidR="001E777A" w:rsidRPr="00CC0C66" w:rsidRDefault="001E777A" w:rsidP="00F3265E">
            <w:pPr>
              <w:pStyle w:val="ListParagraph"/>
              <w:keepLines/>
              <w:spacing w:after="120"/>
              <w:ind w:left="0"/>
              <w:rPr>
                <w:rFonts w:ascii="Arial" w:hAnsi="Arial" w:cs="Arial"/>
                <w:color w:val="000000"/>
                <w:sz w:val="18"/>
                <w:szCs w:val="18"/>
              </w:rPr>
            </w:pPr>
            <w:r w:rsidRPr="00CC0C66">
              <w:rPr>
                <w:rFonts w:ascii="Arial" w:hAnsi="Arial" w:cs="Arial"/>
                <w:color w:val="000000"/>
                <w:sz w:val="18"/>
                <w:szCs w:val="18"/>
              </w:rPr>
              <w:t>However, in order to facilitate access to ELX/TEZ/IVA for a patient population that does not currently have access to treatment, the PBAC decided to recommend listing in the F/MF population, where the PBAC advice to date in relation to the cost-effectiveness and patient estimates was most closely aligned with that request.</w:t>
            </w:r>
          </w:p>
        </w:tc>
      </w:tr>
      <w:tr w:rsidR="001E777A" w:rsidRPr="00CC0C66" w14:paraId="41E700A5" w14:textId="77777777" w:rsidTr="002E1AD3">
        <w:trPr>
          <w:trHeight w:val="3223"/>
        </w:trPr>
        <w:tc>
          <w:tcPr>
            <w:tcW w:w="3114" w:type="dxa"/>
            <w:shd w:val="clear" w:color="auto" w:fill="auto"/>
            <w:tcMar>
              <w:top w:w="28" w:type="dxa"/>
              <w:bottom w:w="28" w:type="dxa"/>
            </w:tcMar>
            <w:vAlign w:val="center"/>
          </w:tcPr>
          <w:p w14:paraId="4FC8C58C" w14:textId="2FC6F2A2" w:rsidR="00400BA3" w:rsidRPr="00CC0C66" w:rsidRDefault="001E777A" w:rsidP="00F3265E">
            <w:pPr>
              <w:keepLines/>
              <w:spacing w:after="120"/>
              <w:rPr>
                <w:rFonts w:ascii="Arial" w:hAnsi="Arial" w:cs="Arial"/>
                <w:color w:val="000000"/>
                <w:sz w:val="18"/>
                <w:szCs w:val="18"/>
              </w:rPr>
            </w:pPr>
            <w:r w:rsidRPr="00CC0C66">
              <w:rPr>
                <w:rFonts w:ascii="Arial" w:hAnsi="Arial" w:cs="Arial"/>
                <w:color w:val="000000"/>
                <w:sz w:val="18"/>
                <w:szCs w:val="18"/>
              </w:rPr>
              <w:t>ELOTUZUMAB</w:t>
            </w:r>
            <w:r w:rsidRPr="00CC0C66">
              <w:rPr>
                <w:rFonts w:ascii="Arial" w:hAnsi="Arial" w:cs="Arial"/>
                <w:color w:val="000000"/>
                <w:sz w:val="18"/>
                <w:szCs w:val="18"/>
              </w:rPr>
              <w:br/>
            </w:r>
            <w:r w:rsidRPr="00CC0C66">
              <w:rPr>
                <w:rFonts w:ascii="Arial" w:hAnsi="Arial" w:cs="Arial"/>
                <w:color w:val="000000"/>
                <w:sz w:val="18"/>
                <w:szCs w:val="18"/>
              </w:rPr>
              <w:br/>
              <w:t>Powder for I.V. infusion 300 mg</w:t>
            </w:r>
            <w:r w:rsidRPr="00CC0C66">
              <w:rPr>
                <w:rFonts w:ascii="Arial" w:hAnsi="Arial" w:cs="Arial"/>
                <w:color w:val="000000"/>
                <w:sz w:val="18"/>
                <w:szCs w:val="18"/>
              </w:rPr>
              <w:br/>
              <w:t>Powder for I.V. infusion 400 mg</w:t>
            </w:r>
            <w:r w:rsidRPr="00CC0C66">
              <w:rPr>
                <w:rFonts w:ascii="Arial" w:hAnsi="Arial" w:cs="Arial"/>
                <w:color w:val="000000"/>
                <w:sz w:val="18"/>
                <w:szCs w:val="18"/>
              </w:rPr>
              <w:br/>
            </w:r>
            <w:r w:rsidRPr="00CC0C66">
              <w:rPr>
                <w:rFonts w:ascii="Arial" w:hAnsi="Arial" w:cs="Arial"/>
                <w:color w:val="000000"/>
                <w:sz w:val="18"/>
                <w:szCs w:val="18"/>
              </w:rPr>
              <w:br/>
              <w:t>Empliciti®</w:t>
            </w:r>
            <w:r w:rsidRPr="00CC0C66">
              <w:rPr>
                <w:rFonts w:ascii="Arial" w:hAnsi="Arial" w:cs="Arial"/>
                <w:color w:val="000000"/>
                <w:sz w:val="18"/>
                <w:szCs w:val="18"/>
              </w:rPr>
              <w:br/>
            </w:r>
            <w:r w:rsidRPr="00CC0C66">
              <w:rPr>
                <w:rFonts w:ascii="Arial" w:hAnsi="Arial" w:cs="Arial"/>
                <w:color w:val="000000"/>
                <w:sz w:val="18"/>
                <w:szCs w:val="18"/>
              </w:rPr>
              <w:br/>
              <w:t>Bristol-Myers Squibb Austr</w:t>
            </w:r>
            <w:r w:rsidR="00C5261F">
              <w:rPr>
                <w:rFonts w:ascii="Arial" w:hAnsi="Arial" w:cs="Arial"/>
                <w:color w:val="000000"/>
                <w:sz w:val="18"/>
                <w:szCs w:val="18"/>
              </w:rPr>
              <w:t>alia Pty Ltd</w:t>
            </w:r>
          </w:p>
          <w:p w14:paraId="2945B9BC" w14:textId="465FCF6E" w:rsidR="00400BA3" w:rsidRPr="00CC0C66" w:rsidRDefault="00400BA3" w:rsidP="00C5261F">
            <w:pPr>
              <w:keepLines/>
              <w:rPr>
                <w:rFonts w:ascii="Arial" w:hAnsi="Arial" w:cs="Arial"/>
                <w:color w:val="000000"/>
                <w:sz w:val="18"/>
                <w:szCs w:val="18"/>
              </w:rPr>
            </w:pPr>
            <w:r w:rsidRPr="00CC0C66">
              <w:rPr>
                <w:rFonts w:ascii="Arial" w:hAnsi="Arial" w:cs="Arial"/>
                <w:color w:val="000000"/>
                <w:sz w:val="18"/>
                <w:szCs w:val="18"/>
              </w:rPr>
              <w:t>Category 3 submission</w:t>
            </w:r>
          </w:p>
          <w:p w14:paraId="32462B75" w14:textId="24F1914C" w:rsidR="001E777A" w:rsidRPr="00CC0C66" w:rsidRDefault="00400BA3" w:rsidP="00C5261F">
            <w:pPr>
              <w:keepLines/>
              <w:rPr>
                <w:rFonts w:ascii="Arial" w:hAnsi="Arial" w:cs="Arial"/>
                <w:sz w:val="18"/>
                <w:szCs w:val="18"/>
              </w:rPr>
            </w:pPr>
            <w:r w:rsidRPr="00CC0C66">
              <w:rPr>
                <w:rFonts w:ascii="Arial" w:hAnsi="Arial" w:cs="Arial"/>
                <w:color w:val="000000"/>
                <w:sz w:val="18"/>
                <w:szCs w:val="18"/>
              </w:rPr>
              <w:t>(</w:t>
            </w:r>
            <w:r w:rsidR="001E777A" w:rsidRPr="00CC0C66">
              <w:rPr>
                <w:rFonts w:ascii="Arial" w:hAnsi="Arial" w:cs="Arial"/>
                <w:color w:val="000000"/>
                <w:sz w:val="18"/>
                <w:szCs w:val="18"/>
              </w:rPr>
              <w:t>New listing</w:t>
            </w:r>
            <w:r w:rsidRPr="00CC0C66">
              <w:rPr>
                <w:rFonts w:ascii="Arial" w:hAnsi="Arial" w:cs="Arial"/>
                <w:color w:val="000000"/>
                <w:sz w:val="18"/>
                <w:szCs w:val="18"/>
              </w:rPr>
              <w:t>)</w:t>
            </w:r>
          </w:p>
        </w:tc>
        <w:tc>
          <w:tcPr>
            <w:tcW w:w="1559" w:type="dxa"/>
            <w:shd w:val="clear" w:color="auto" w:fill="auto"/>
            <w:vAlign w:val="center"/>
          </w:tcPr>
          <w:p w14:paraId="48FE07DD" w14:textId="7537F72D" w:rsidR="001E777A" w:rsidRPr="00CC0C66" w:rsidRDefault="001E777A"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Relapsed and/or refractory multiple myeloma (RRMM)</w:t>
            </w:r>
          </w:p>
        </w:tc>
        <w:tc>
          <w:tcPr>
            <w:tcW w:w="2552" w:type="dxa"/>
            <w:shd w:val="clear" w:color="auto" w:fill="auto"/>
            <w:tcMar>
              <w:top w:w="28" w:type="dxa"/>
              <w:bottom w:w="28" w:type="dxa"/>
            </w:tcMar>
            <w:vAlign w:val="center"/>
          </w:tcPr>
          <w:p w14:paraId="54807363" w14:textId="20A03212"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Resubmission to request a Section 100 (Efficient Funding of Chemotherapy), Authority Required (online</w:t>
            </w:r>
            <w:r w:rsidR="00163694">
              <w:rPr>
                <w:rFonts w:ascii="Arial" w:hAnsi="Arial" w:cs="Arial"/>
                <w:color w:val="000000"/>
                <w:sz w:val="18"/>
                <w:szCs w:val="18"/>
              </w:rPr>
              <w:t>/telephone</w:t>
            </w:r>
            <w:r w:rsidRPr="00CC0C66">
              <w:rPr>
                <w:rFonts w:ascii="Arial" w:hAnsi="Arial" w:cs="Arial"/>
                <w:color w:val="000000"/>
                <w:sz w:val="18"/>
                <w:szCs w:val="18"/>
              </w:rPr>
              <w:t>) listing, in combination with lenalidomide and dexamethasone, for the treatment of RRMM.</w:t>
            </w:r>
          </w:p>
        </w:tc>
        <w:tc>
          <w:tcPr>
            <w:tcW w:w="1558" w:type="dxa"/>
            <w:shd w:val="clear" w:color="auto" w:fill="auto"/>
            <w:vAlign w:val="center"/>
          </w:tcPr>
          <w:p w14:paraId="5ED78F74" w14:textId="4D333872" w:rsidR="001E777A" w:rsidRPr="00CC0C66" w:rsidRDefault="00A75A61"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0EA743F7" w14:textId="695B1C8C" w:rsidR="001E777A" w:rsidRPr="00CC0C66" w:rsidRDefault="001E777A"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elotuzumab as a Section 100 (Efficient Funding of Chemotherapy) Authority Required listing for multiple myeloma that has progressed after at least one prior therapy, when administered in combination with lenalidomide and dexamethasone (ELd). Listing of ELd was recommended on a cost minimisation bas</w:t>
            </w:r>
            <w:r w:rsidR="00616B50">
              <w:rPr>
                <w:rFonts w:ascii="Arial" w:hAnsi="Arial" w:cs="Arial"/>
                <w:color w:val="000000"/>
                <w:sz w:val="18"/>
                <w:szCs w:val="18"/>
              </w:rPr>
              <w:t>i</w:t>
            </w:r>
            <w:r w:rsidRPr="00CC0C66">
              <w:rPr>
                <w:rFonts w:ascii="Arial" w:hAnsi="Arial" w:cs="Arial"/>
                <w:color w:val="000000"/>
                <w:sz w:val="18"/>
                <w:szCs w:val="18"/>
              </w:rPr>
              <w:t>s against carfilzomib plus dexamethasone (Cd). Although no new clinical evidence was presented in the resubmission, the PBAC considered that a claim of non-inferior efficacy may be reasonable, noting the uncertainty with the indirect treatment comparison reflected in the available clinical evidence and that a statistically significant gain in overall survival was demonstrated for ELd over lenalidomide plus dexamethasone (Ld), the magnitude of which was similar to that observed for Cd over bortezomib plus dexamethasone (Bd). The PBAC considered the revisions to the cost minimisation analysis, including the revised equi-effective doses, to be reasonable.</w:t>
            </w:r>
          </w:p>
        </w:tc>
      </w:tr>
      <w:tr w:rsidR="0057501B" w:rsidRPr="00CC0C66" w14:paraId="62D4BF97" w14:textId="77777777" w:rsidTr="0057501B">
        <w:trPr>
          <w:trHeight w:val="1494"/>
        </w:trPr>
        <w:tc>
          <w:tcPr>
            <w:tcW w:w="3114" w:type="dxa"/>
            <w:vMerge w:val="restart"/>
            <w:shd w:val="clear" w:color="auto" w:fill="auto"/>
            <w:tcMar>
              <w:top w:w="28" w:type="dxa"/>
              <w:bottom w:w="28" w:type="dxa"/>
            </w:tcMar>
            <w:vAlign w:val="center"/>
          </w:tcPr>
          <w:p w14:paraId="2B471498" w14:textId="77777777" w:rsidR="0057501B" w:rsidRPr="00CC0C66" w:rsidRDefault="0057501B"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ENZALUTAMIDE</w:t>
            </w:r>
            <w:r w:rsidRPr="00CC0C66">
              <w:rPr>
                <w:rFonts w:ascii="Arial" w:hAnsi="Arial" w:cs="Arial"/>
                <w:color w:val="000000"/>
                <w:sz w:val="18"/>
                <w:szCs w:val="18"/>
              </w:rPr>
              <w:br/>
            </w:r>
            <w:r w:rsidRPr="00CC0C66">
              <w:rPr>
                <w:rFonts w:ascii="Arial" w:hAnsi="Arial" w:cs="Arial"/>
                <w:color w:val="000000"/>
                <w:sz w:val="18"/>
                <w:szCs w:val="18"/>
              </w:rPr>
              <w:br/>
              <w:t>Capsule 40 mg</w:t>
            </w:r>
            <w:r w:rsidRPr="00CC0C66">
              <w:rPr>
                <w:rFonts w:ascii="Arial" w:hAnsi="Arial" w:cs="Arial"/>
                <w:color w:val="000000"/>
                <w:sz w:val="18"/>
                <w:szCs w:val="18"/>
              </w:rPr>
              <w:br/>
            </w:r>
            <w:r w:rsidRPr="00CC0C66">
              <w:rPr>
                <w:rFonts w:ascii="Arial" w:hAnsi="Arial" w:cs="Arial"/>
                <w:color w:val="000000"/>
                <w:sz w:val="18"/>
                <w:szCs w:val="18"/>
              </w:rPr>
              <w:br/>
              <w:t>Xtandi®</w:t>
            </w:r>
            <w:r w:rsidRPr="00CC0C66">
              <w:rPr>
                <w:rFonts w:ascii="Arial" w:hAnsi="Arial" w:cs="Arial"/>
                <w:color w:val="000000"/>
                <w:sz w:val="18"/>
                <w:szCs w:val="18"/>
              </w:rPr>
              <w:br/>
            </w:r>
            <w:r w:rsidRPr="00CC0C66">
              <w:rPr>
                <w:rFonts w:ascii="Arial" w:hAnsi="Arial" w:cs="Arial"/>
                <w:color w:val="000000"/>
                <w:sz w:val="18"/>
                <w:szCs w:val="18"/>
              </w:rPr>
              <w:br/>
              <w:t>Astellas Pharma Australia Pty Ltd</w:t>
            </w:r>
            <w:r w:rsidRPr="00CC0C66">
              <w:rPr>
                <w:rFonts w:ascii="Arial" w:hAnsi="Arial" w:cs="Arial"/>
                <w:color w:val="000000"/>
                <w:sz w:val="18"/>
                <w:szCs w:val="18"/>
              </w:rPr>
              <w:br/>
            </w:r>
            <w:r w:rsidRPr="00CC0C66">
              <w:rPr>
                <w:rFonts w:ascii="Arial" w:hAnsi="Arial" w:cs="Arial"/>
                <w:color w:val="000000"/>
                <w:sz w:val="18"/>
                <w:szCs w:val="18"/>
              </w:rPr>
              <w:br/>
              <w:t>ABIRATERONE</w:t>
            </w:r>
            <w:r w:rsidRPr="00CC0C66">
              <w:rPr>
                <w:rFonts w:ascii="Arial" w:hAnsi="Arial" w:cs="Arial"/>
                <w:color w:val="000000"/>
                <w:sz w:val="18"/>
                <w:szCs w:val="18"/>
              </w:rPr>
              <w:br/>
            </w:r>
            <w:r w:rsidRPr="00CC0C66">
              <w:rPr>
                <w:rFonts w:ascii="Arial" w:hAnsi="Arial" w:cs="Arial"/>
                <w:color w:val="000000"/>
                <w:sz w:val="18"/>
                <w:szCs w:val="18"/>
              </w:rPr>
              <w:br/>
              <w:t>Tablet 250 mg</w:t>
            </w:r>
            <w:r w:rsidRPr="00CC0C66">
              <w:rPr>
                <w:rFonts w:ascii="Arial" w:hAnsi="Arial" w:cs="Arial"/>
                <w:color w:val="000000"/>
                <w:sz w:val="18"/>
                <w:szCs w:val="18"/>
              </w:rPr>
              <w:br/>
              <w:t>Tablet 500 mg</w:t>
            </w:r>
            <w:r w:rsidRPr="00CC0C66">
              <w:rPr>
                <w:rFonts w:ascii="Arial" w:hAnsi="Arial" w:cs="Arial"/>
                <w:color w:val="000000"/>
                <w:sz w:val="18"/>
                <w:szCs w:val="18"/>
              </w:rPr>
              <w:br/>
            </w:r>
            <w:r w:rsidRPr="00CC0C66">
              <w:rPr>
                <w:rFonts w:ascii="Arial" w:hAnsi="Arial" w:cs="Arial"/>
                <w:color w:val="000000"/>
                <w:sz w:val="18"/>
                <w:szCs w:val="18"/>
              </w:rPr>
              <w:br/>
              <w:t>Zytiga®</w:t>
            </w:r>
            <w:r w:rsidRPr="00CC0C66">
              <w:rPr>
                <w:rFonts w:ascii="Arial" w:hAnsi="Arial" w:cs="Arial"/>
                <w:color w:val="000000"/>
                <w:sz w:val="18"/>
                <w:szCs w:val="18"/>
              </w:rPr>
              <w:br/>
            </w:r>
            <w:r w:rsidRPr="00CC0C66">
              <w:rPr>
                <w:rFonts w:ascii="Arial" w:hAnsi="Arial" w:cs="Arial"/>
                <w:color w:val="000000"/>
                <w:sz w:val="18"/>
                <w:szCs w:val="18"/>
              </w:rPr>
              <w:br/>
              <w:t>Janssen-Cilag Pty Ltd</w:t>
            </w:r>
          </w:p>
          <w:p w14:paraId="2ACDCD5C" w14:textId="60EDE19C" w:rsidR="0057501B" w:rsidRPr="00CC0C66" w:rsidRDefault="0057501B" w:rsidP="00F3265E">
            <w:pPr>
              <w:keepLines/>
              <w:spacing w:after="120"/>
              <w:rPr>
                <w:rFonts w:ascii="Arial" w:hAnsi="Arial" w:cs="Arial"/>
                <w:color w:val="000000"/>
                <w:sz w:val="18"/>
                <w:szCs w:val="18"/>
              </w:rPr>
            </w:pPr>
            <w:r w:rsidRPr="00CC0C66">
              <w:rPr>
                <w:rFonts w:ascii="Arial" w:hAnsi="Arial" w:cs="Arial"/>
                <w:color w:val="000000"/>
                <w:sz w:val="18"/>
                <w:szCs w:val="18"/>
              </w:rPr>
              <w:t>Other Business</w:t>
            </w:r>
            <w:r w:rsidRPr="00CC0C66">
              <w:rPr>
                <w:rFonts w:ascii="Arial" w:hAnsi="Arial" w:cs="Arial"/>
                <w:color w:val="000000"/>
                <w:sz w:val="18"/>
                <w:szCs w:val="18"/>
              </w:rPr>
              <w:br/>
              <w:t>(Change to listing)</w:t>
            </w:r>
          </w:p>
        </w:tc>
        <w:tc>
          <w:tcPr>
            <w:tcW w:w="1559" w:type="dxa"/>
            <w:vMerge w:val="restart"/>
            <w:shd w:val="clear" w:color="auto" w:fill="auto"/>
            <w:vAlign w:val="center"/>
          </w:tcPr>
          <w:p w14:paraId="344C1392" w14:textId="20F50813" w:rsidR="0057501B" w:rsidRPr="00CC0C66" w:rsidRDefault="0057501B" w:rsidP="00F3265E">
            <w:pPr>
              <w:keepLines/>
              <w:widowControl w:val="0"/>
              <w:spacing w:after="120"/>
              <w:rPr>
                <w:rFonts w:ascii="Arial" w:hAnsi="Arial" w:cs="Arial"/>
                <w:color w:val="000000"/>
                <w:sz w:val="18"/>
                <w:szCs w:val="18"/>
              </w:rPr>
            </w:pPr>
            <w:r w:rsidRPr="00CC0C66">
              <w:rPr>
                <w:rFonts w:ascii="Arial" w:hAnsi="Arial" w:cs="Arial"/>
                <w:color w:val="000000"/>
                <w:sz w:val="18"/>
                <w:szCs w:val="18"/>
              </w:rPr>
              <w:t>Castration resistant carcinoma of the prostate</w:t>
            </w:r>
          </w:p>
        </w:tc>
        <w:tc>
          <w:tcPr>
            <w:tcW w:w="2552" w:type="dxa"/>
            <w:vMerge w:val="restart"/>
            <w:shd w:val="clear" w:color="auto" w:fill="auto"/>
            <w:tcMar>
              <w:top w:w="28" w:type="dxa"/>
              <w:bottom w:w="28" w:type="dxa"/>
            </w:tcMar>
            <w:vAlign w:val="center"/>
          </w:tcPr>
          <w:p w14:paraId="65979703" w14:textId="734371AE" w:rsidR="0057501B" w:rsidRPr="00CC0C66" w:rsidRDefault="0057501B" w:rsidP="00F3265E">
            <w:pPr>
              <w:pStyle w:val="ListParagraph"/>
              <w:keepLines/>
              <w:spacing w:after="120"/>
              <w:ind w:left="0"/>
              <w:rPr>
                <w:rFonts w:ascii="Arial" w:hAnsi="Arial" w:cs="Arial"/>
                <w:color w:val="000000"/>
                <w:sz w:val="18"/>
                <w:szCs w:val="18"/>
              </w:rPr>
            </w:pPr>
            <w:r w:rsidRPr="00CC0C66">
              <w:rPr>
                <w:rFonts w:ascii="Arial" w:hAnsi="Arial" w:cs="Arial"/>
                <w:color w:val="000000"/>
                <w:sz w:val="18"/>
                <w:szCs w:val="18"/>
              </w:rPr>
              <w:t>Request by the PBAC to consider changing the PBS indication for these items from metastatic castration resistant carcinoma of the prostate to castration resistant carcinoma of the prostate.</w:t>
            </w:r>
          </w:p>
        </w:tc>
        <w:tc>
          <w:tcPr>
            <w:tcW w:w="1558" w:type="dxa"/>
            <w:vMerge w:val="restart"/>
            <w:shd w:val="clear" w:color="auto" w:fill="auto"/>
            <w:vAlign w:val="center"/>
          </w:tcPr>
          <w:p w14:paraId="0389392B" w14:textId="6F6C0415" w:rsidR="0057501B" w:rsidRPr="00CC0C66" w:rsidRDefault="0057501B" w:rsidP="00F3265E">
            <w:pPr>
              <w:pStyle w:val="ListParagraph"/>
              <w:keepLines/>
              <w:spacing w:after="120"/>
              <w:ind w:left="0"/>
              <w:rPr>
                <w:rFonts w:ascii="Arial" w:hAnsi="Arial" w:cs="Arial"/>
                <w:color w:val="000000"/>
                <w:sz w:val="18"/>
                <w:szCs w:val="18"/>
              </w:rPr>
            </w:pPr>
            <w:r>
              <w:rPr>
                <w:rFonts w:ascii="Arial" w:hAnsi="Arial" w:cs="Arial"/>
                <w:sz w:val="18"/>
                <w:szCs w:val="18"/>
              </w:rPr>
              <w:t>Not recommended</w:t>
            </w:r>
          </w:p>
        </w:tc>
        <w:tc>
          <w:tcPr>
            <w:tcW w:w="6605" w:type="dxa"/>
            <w:shd w:val="clear" w:color="auto" w:fill="auto"/>
          </w:tcPr>
          <w:p w14:paraId="4262C963" w14:textId="5A2EA61E" w:rsidR="0057501B" w:rsidRPr="00CC0C66" w:rsidRDefault="0057501B" w:rsidP="00F3265E">
            <w:pPr>
              <w:pStyle w:val="ListParagraph"/>
              <w:keepLines/>
              <w:spacing w:after="120"/>
              <w:ind w:left="0"/>
              <w:rPr>
                <w:rFonts w:ascii="Arial" w:hAnsi="Arial" w:cs="Arial"/>
                <w:color w:val="000000"/>
                <w:sz w:val="18"/>
                <w:szCs w:val="18"/>
              </w:rPr>
            </w:pPr>
            <w:r w:rsidRPr="00CC0C66">
              <w:rPr>
                <w:rFonts w:ascii="Arial" w:hAnsi="Arial" w:cs="Arial"/>
                <w:color w:val="000000"/>
                <w:sz w:val="18"/>
                <w:szCs w:val="18"/>
              </w:rPr>
              <w:t>The PBAC did not recommend amending the existing abiraterone and enzalutamide restrictions for castration resistant prostate cancer to remove the criteria that the disease be metastatic. The PBAC noted the concerns raised by the sponsor of abiraterone regarding the potential for use earlier in the treatment algorithm than intended, and that neither sponsor provided an estimate of the financial implications for revising the listings.</w:t>
            </w:r>
          </w:p>
        </w:tc>
      </w:tr>
      <w:tr w:rsidR="0057501B" w:rsidRPr="00CC0C66" w14:paraId="73862AB5" w14:textId="77777777" w:rsidTr="00FE6F0F">
        <w:trPr>
          <w:trHeight w:val="2507"/>
        </w:trPr>
        <w:tc>
          <w:tcPr>
            <w:tcW w:w="3114" w:type="dxa"/>
            <w:vMerge/>
            <w:shd w:val="clear" w:color="auto" w:fill="auto"/>
            <w:tcMar>
              <w:top w:w="28" w:type="dxa"/>
              <w:bottom w:w="28" w:type="dxa"/>
            </w:tcMar>
            <w:vAlign w:val="center"/>
          </w:tcPr>
          <w:p w14:paraId="1950E671" w14:textId="77777777" w:rsidR="0057501B" w:rsidRPr="00CC0C66" w:rsidRDefault="0057501B" w:rsidP="00F3265E">
            <w:pPr>
              <w:keepLines/>
              <w:spacing w:after="120"/>
              <w:rPr>
                <w:rFonts w:ascii="Arial" w:hAnsi="Arial" w:cs="Arial"/>
                <w:color w:val="000000"/>
                <w:sz w:val="18"/>
                <w:szCs w:val="18"/>
              </w:rPr>
            </w:pPr>
          </w:p>
        </w:tc>
        <w:tc>
          <w:tcPr>
            <w:tcW w:w="1559" w:type="dxa"/>
            <w:vMerge/>
            <w:shd w:val="clear" w:color="auto" w:fill="auto"/>
            <w:vAlign w:val="center"/>
          </w:tcPr>
          <w:p w14:paraId="4FA545CE" w14:textId="77777777" w:rsidR="0057501B" w:rsidRPr="00CC0C66" w:rsidRDefault="0057501B"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1273D7FD" w14:textId="77777777" w:rsidR="0057501B" w:rsidRPr="00CC0C66" w:rsidRDefault="0057501B"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0131CAD3" w14:textId="77777777" w:rsidR="0057501B" w:rsidRPr="00CC0C66" w:rsidDel="0057501B" w:rsidRDefault="0057501B" w:rsidP="00F3265E">
            <w:pPr>
              <w:pStyle w:val="ListParagraph"/>
              <w:keepLines/>
              <w:spacing w:after="120"/>
              <w:ind w:left="0"/>
              <w:rPr>
                <w:rFonts w:ascii="Arial" w:hAnsi="Arial" w:cs="Arial"/>
                <w:sz w:val="18"/>
                <w:szCs w:val="18"/>
              </w:rPr>
            </w:pPr>
          </w:p>
        </w:tc>
        <w:tc>
          <w:tcPr>
            <w:tcW w:w="6605" w:type="dxa"/>
            <w:shd w:val="clear" w:color="auto" w:fill="auto"/>
          </w:tcPr>
          <w:p w14:paraId="3052510F" w14:textId="77777777" w:rsidR="00710630" w:rsidRDefault="0057501B" w:rsidP="00D230C1">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u w:val="single"/>
              </w:rPr>
              <w:t>Sponsor’s Comment</w:t>
            </w:r>
            <w:r>
              <w:rPr>
                <w:rFonts w:ascii="Arial" w:hAnsi="Arial" w:cs="Arial"/>
                <w:snapToGrid w:val="0"/>
                <w:sz w:val="18"/>
                <w:szCs w:val="18"/>
                <w:lang w:eastAsia="en-US"/>
              </w:rPr>
              <w:t>:</w:t>
            </w:r>
            <w:r w:rsidRPr="0040144A">
              <w:rPr>
                <w:rFonts w:ascii="Arial" w:hAnsi="Arial" w:cs="Arial"/>
                <w:snapToGrid w:val="0"/>
                <w:sz w:val="18"/>
                <w:szCs w:val="18"/>
                <w:lang w:eastAsia="en-US"/>
              </w:rPr>
              <w:t xml:space="preserve"> </w:t>
            </w:r>
          </w:p>
          <w:p w14:paraId="63CAB0A7" w14:textId="77777777" w:rsidR="00710630" w:rsidRDefault="00710630" w:rsidP="00D230C1">
            <w:pPr>
              <w:pStyle w:val="ListParagraph"/>
              <w:keepLines/>
              <w:spacing w:after="120"/>
              <w:ind w:left="0"/>
              <w:rPr>
                <w:rFonts w:ascii="Arial" w:hAnsi="Arial" w:cs="Arial"/>
                <w:snapToGrid w:val="0"/>
                <w:sz w:val="18"/>
                <w:szCs w:val="18"/>
                <w:lang w:eastAsia="en-US"/>
              </w:rPr>
            </w:pPr>
          </w:p>
          <w:p w14:paraId="649533F2" w14:textId="61F3C4AA" w:rsidR="00710630" w:rsidRDefault="00710630" w:rsidP="00D230C1">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Janssen-Cilag Pty Ltd</w:t>
            </w:r>
            <w:r>
              <w:rPr>
                <w:rFonts w:ascii="Arial" w:hAnsi="Arial" w:cs="Arial"/>
                <w:color w:val="000000"/>
                <w:sz w:val="18"/>
                <w:szCs w:val="18"/>
              </w:rPr>
              <w:t>:</w:t>
            </w:r>
            <w:r w:rsidRPr="0040144A">
              <w:rPr>
                <w:rFonts w:ascii="Arial" w:hAnsi="Arial" w:cs="Arial"/>
                <w:snapToGrid w:val="0"/>
                <w:sz w:val="18"/>
                <w:szCs w:val="18"/>
                <w:lang w:eastAsia="en-US"/>
              </w:rPr>
              <w:t xml:space="preserve"> </w:t>
            </w:r>
            <w:r w:rsidR="0057501B" w:rsidRPr="0040144A">
              <w:rPr>
                <w:rFonts w:ascii="Arial" w:hAnsi="Arial" w:cs="Arial"/>
                <w:snapToGrid w:val="0"/>
                <w:sz w:val="18"/>
                <w:szCs w:val="18"/>
                <w:lang w:eastAsia="en-US"/>
              </w:rPr>
              <w:t xml:space="preserve">Janssen is supportive of this outcome as it </w:t>
            </w:r>
            <w:r w:rsidR="00392721">
              <w:rPr>
                <w:rFonts w:ascii="Arial" w:hAnsi="Arial" w:cs="Arial"/>
                <w:snapToGrid w:val="0"/>
                <w:sz w:val="18"/>
                <w:szCs w:val="18"/>
                <w:lang w:eastAsia="en-US"/>
              </w:rPr>
              <w:t xml:space="preserve">is </w:t>
            </w:r>
            <w:r w:rsidR="0057501B" w:rsidRPr="0040144A">
              <w:rPr>
                <w:rFonts w:ascii="Arial" w:hAnsi="Arial" w:cs="Arial"/>
                <w:snapToGrid w:val="0"/>
                <w:sz w:val="18"/>
                <w:szCs w:val="18"/>
                <w:lang w:eastAsia="en-US"/>
              </w:rPr>
              <w:t>consistent with the clinical evidence available for abiraterone and will continue to ensure its appropriate use.</w:t>
            </w:r>
            <w:r w:rsidR="00D230C1">
              <w:rPr>
                <w:rFonts w:ascii="Arial" w:hAnsi="Arial" w:cs="Arial"/>
                <w:snapToGrid w:val="0"/>
                <w:sz w:val="18"/>
                <w:szCs w:val="18"/>
                <w:lang w:eastAsia="en-US"/>
              </w:rPr>
              <w:t xml:space="preserve"> </w:t>
            </w:r>
          </w:p>
          <w:p w14:paraId="3CF1F82A" w14:textId="77777777" w:rsidR="00710630" w:rsidRDefault="00710630" w:rsidP="00D230C1">
            <w:pPr>
              <w:pStyle w:val="ListParagraph"/>
              <w:keepLines/>
              <w:spacing w:after="120"/>
              <w:ind w:left="0"/>
              <w:rPr>
                <w:rFonts w:ascii="Arial" w:hAnsi="Arial" w:cs="Arial"/>
                <w:snapToGrid w:val="0"/>
                <w:sz w:val="18"/>
                <w:szCs w:val="18"/>
                <w:lang w:eastAsia="en-US"/>
              </w:rPr>
            </w:pPr>
          </w:p>
          <w:p w14:paraId="6E3E9FD2" w14:textId="078ABD5D" w:rsidR="00271BEB" w:rsidRPr="00D230C1" w:rsidRDefault="00710630" w:rsidP="00D230C1">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Astellas Pharma Australia Pty Ltd</w:t>
            </w:r>
            <w:r>
              <w:rPr>
                <w:rFonts w:ascii="Arial" w:hAnsi="Arial" w:cs="Arial"/>
                <w:color w:val="000000"/>
                <w:sz w:val="18"/>
                <w:szCs w:val="18"/>
              </w:rPr>
              <w:t xml:space="preserve">: </w:t>
            </w:r>
            <w:r w:rsidRPr="00710630">
              <w:rPr>
                <w:rFonts w:ascii="Arial" w:hAnsi="Arial" w:cs="Arial"/>
                <w:color w:val="000000"/>
                <w:sz w:val="18"/>
                <w:szCs w:val="18"/>
              </w:rPr>
              <w:t>The sponsor had no comment.</w:t>
            </w:r>
          </w:p>
        </w:tc>
      </w:tr>
      <w:tr w:rsidR="007F48F6" w:rsidRPr="00CC0C66" w14:paraId="46B80C22" w14:textId="77777777" w:rsidTr="002E1AD3">
        <w:trPr>
          <w:trHeight w:val="1684"/>
        </w:trPr>
        <w:tc>
          <w:tcPr>
            <w:tcW w:w="3114" w:type="dxa"/>
            <w:vMerge w:val="restart"/>
            <w:shd w:val="clear" w:color="auto" w:fill="auto"/>
            <w:tcMar>
              <w:top w:w="28" w:type="dxa"/>
              <w:bottom w:w="28" w:type="dxa"/>
            </w:tcMar>
            <w:vAlign w:val="center"/>
          </w:tcPr>
          <w:p w14:paraId="118B6E55" w14:textId="219CE20B"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ESKETAMINE</w:t>
            </w:r>
            <w:r w:rsidRPr="00CC0C66">
              <w:rPr>
                <w:rFonts w:ascii="Arial" w:hAnsi="Arial" w:cs="Arial"/>
                <w:color w:val="000000"/>
                <w:sz w:val="18"/>
                <w:szCs w:val="18"/>
              </w:rPr>
              <w:br/>
            </w:r>
            <w:r w:rsidRPr="00CC0C66">
              <w:rPr>
                <w:rFonts w:ascii="Arial" w:hAnsi="Arial" w:cs="Arial"/>
                <w:color w:val="000000"/>
                <w:sz w:val="18"/>
                <w:szCs w:val="18"/>
              </w:rPr>
              <w:br/>
              <w:t>Nasal spray solution 28 mg</w:t>
            </w:r>
            <w:r w:rsidRPr="00CC0C66">
              <w:rPr>
                <w:rFonts w:ascii="Arial" w:hAnsi="Arial" w:cs="Arial"/>
                <w:color w:val="000000"/>
                <w:sz w:val="18"/>
                <w:szCs w:val="18"/>
              </w:rPr>
              <w:br/>
            </w:r>
            <w:r w:rsidRPr="00CC0C66">
              <w:rPr>
                <w:rFonts w:ascii="Arial" w:hAnsi="Arial" w:cs="Arial"/>
                <w:color w:val="000000"/>
                <w:sz w:val="18"/>
                <w:szCs w:val="18"/>
              </w:rPr>
              <w:br/>
              <w:t>S</w:t>
            </w:r>
            <w:r w:rsidR="00C5261F">
              <w:rPr>
                <w:rFonts w:ascii="Arial" w:hAnsi="Arial" w:cs="Arial"/>
                <w:color w:val="000000"/>
                <w:sz w:val="18"/>
                <w:szCs w:val="18"/>
              </w:rPr>
              <w:t>pravato®</w:t>
            </w:r>
            <w:r w:rsidR="00C5261F">
              <w:rPr>
                <w:rFonts w:ascii="Arial" w:hAnsi="Arial" w:cs="Arial"/>
                <w:color w:val="000000"/>
                <w:sz w:val="18"/>
                <w:szCs w:val="18"/>
              </w:rPr>
              <w:br/>
            </w:r>
            <w:r w:rsidR="00C5261F">
              <w:rPr>
                <w:rFonts w:ascii="Arial" w:hAnsi="Arial" w:cs="Arial"/>
                <w:color w:val="000000"/>
                <w:sz w:val="18"/>
                <w:szCs w:val="18"/>
              </w:rPr>
              <w:br/>
              <w:t>Janssen-Cilag Pty Ltd</w:t>
            </w:r>
          </w:p>
          <w:p w14:paraId="60378B2D" w14:textId="54DC3666" w:rsidR="007F48F6" w:rsidRPr="00CC0C66" w:rsidRDefault="007F48F6" w:rsidP="00C5261F">
            <w:pPr>
              <w:keepLines/>
              <w:rPr>
                <w:rFonts w:ascii="Arial" w:hAnsi="Arial" w:cs="Arial"/>
                <w:color w:val="000000"/>
                <w:sz w:val="18"/>
                <w:szCs w:val="18"/>
              </w:rPr>
            </w:pPr>
            <w:r w:rsidRPr="00CC0C66">
              <w:rPr>
                <w:rFonts w:ascii="Arial" w:hAnsi="Arial" w:cs="Arial"/>
                <w:color w:val="000000"/>
                <w:sz w:val="18"/>
                <w:szCs w:val="18"/>
              </w:rPr>
              <w:t>Category 1 submission</w:t>
            </w:r>
          </w:p>
          <w:p w14:paraId="09346C57" w14:textId="5622052D" w:rsidR="007F48F6" w:rsidRPr="00CC0C66" w:rsidRDefault="007F48F6" w:rsidP="00C5261F">
            <w:pPr>
              <w:keepLines/>
              <w:rPr>
                <w:rFonts w:ascii="Arial" w:hAnsi="Arial" w:cs="Arial"/>
                <w:sz w:val="18"/>
                <w:szCs w:val="18"/>
              </w:rPr>
            </w:pPr>
            <w:r w:rsidRPr="00CC0C66">
              <w:rPr>
                <w:rFonts w:ascii="Arial" w:hAnsi="Arial" w:cs="Arial"/>
                <w:color w:val="000000"/>
                <w:sz w:val="18"/>
                <w:szCs w:val="18"/>
              </w:rPr>
              <w:t>(New listing)</w:t>
            </w:r>
          </w:p>
        </w:tc>
        <w:tc>
          <w:tcPr>
            <w:tcW w:w="1559" w:type="dxa"/>
            <w:vMerge w:val="restart"/>
            <w:shd w:val="clear" w:color="auto" w:fill="auto"/>
            <w:vAlign w:val="center"/>
          </w:tcPr>
          <w:p w14:paraId="3B2D037F" w14:textId="7EB4A112"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Treatment resistant depression</w:t>
            </w:r>
          </w:p>
        </w:tc>
        <w:tc>
          <w:tcPr>
            <w:tcW w:w="2552" w:type="dxa"/>
            <w:vMerge w:val="restart"/>
            <w:shd w:val="clear" w:color="auto" w:fill="auto"/>
            <w:tcMar>
              <w:top w:w="28" w:type="dxa"/>
              <w:bottom w:w="28" w:type="dxa"/>
            </w:tcMar>
            <w:vAlign w:val="center"/>
          </w:tcPr>
          <w:p w14:paraId="48EBFA53" w14:textId="3BA78A5F"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Section 100 (Highly Specialised Drugs Program), Authority Required (telephone) listing for the treatment of treatment resistant depression, in combination with a newly initiated oral antidepressant.</w:t>
            </w:r>
          </w:p>
        </w:tc>
        <w:tc>
          <w:tcPr>
            <w:tcW w:w="1558" w:type="dxa"/>
            <w:vMerge w:val="restart"/>
            <w:shd w:val="clear" w:color="auto" w:fill="auto"/>
            <w:vAlign w:val="center"/>
          </w:tcPr>
          <w:p w14:paraId="1FEF1E2B" w14:textId="25743A9A"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Not Recommended</w:t>
            </w:r>
          </w:p>
        </w:tc>
        <w:tc>
          <w:tcPr>
            <w:tcW w:w="6605" w:type="dxa"/>
            <w:shd w:val="clear" w:color="auto" w:fill="auto"/>
          </w:tcPr>
          <w:p w14:paraId="33650D32" w14:textId="2B03EEB2" w:rsidR="007F48F6" w:rsidRPr="00CC0C66" w:rsidRDefault="007F48F6" w:rsidP="00F3265E">
            <w:pPr>
              <w:pStyle w:val="ListParagraph"/>
              <w:keepLines/>
              <w:spacing w:after="120"/>
              <w:ind w:left="0"/>
              <w:rPr>
                <w:rFonts w:ascii="Arial" w:hAnsi="Arial" w:cs="Arial"/>
                <w:snapToGrid w:val="0"/>
                <w:sz w:val="18"/>
                <w:szCs w:val="18"/>
                <w:lang w:eastAsia="en-US"/>
              </w:rPr>
            </w:pPr>
            <w:r w:rsidRPr="002E1AD3">
              <w:rPr>
                <w:rFonts w:ascii="Arial" w:hAnsi="Arial" w:cs="Arial"/>
                <w:snapToGrid w:val="0"/>
                <w:sz w:val="18"/>
                <w:szCs w:val="18"/>
                <w:lang w:eastAsia="en-US"/>
              </w:rPr>
              <w:t>The PBAC did not recommend the Section 100 listing of esketamine for the treatment of treatment-resistant depression (TRD), defined as patients who have not responded adequately to at least two different antidepressants of adequate dose and duration to treat the current moderate to severe depressive episode, as the role of esketamine nasal spray in clinical practice was unclear. The PBAC considered this reflected (i) the uncertainty regarding the clinical significance of observed benefit in the clinical trials, (ii) the optimal dose and duration of treatment for each individual patient being unclear, (iii) the lack of long-term safety together with the potential for tolerance and dependence, and (iv) it being unclear how esketamine would be appropriately integrated into clinical practice given the administration and monitoring requirements. Based on these concerns the PBAC considered esketamine should be reserved for patients in whom alternative therapies beyond two different antidepressants have been considered. The PBAC acknowledged there is a moderate to high clinical need for new treatment options for TRD but noted there are other interventions which are well-established in practice that should be considered before esketamine. The PBAC considered the economic model and financial estimates required substantial revision.</w:t>
            </w:r>
          </w:p>
        </w:tc>
      </w:tr>
      <w:tr w:rsidR="007F48F6" w:rsidRPr="00CC0C66" w14:paraId="0A378193" w14:textId="77777777" w:rsidTr="00A159CA">
        <w:trPr>
          <w:trHeight w:val="1282"/>
        </w:trPr>
        <w:tc>
          <w:tcPr>
            <w:tcW w:w="3114" w:type="dxa"/>
            <w:vMerge/>
            <w:shd w:val="clear" w:color="auto" w:fill="auto"/>
            <w:tcMar>
              <w:top w:w="28" w:type="dxa"/>
              <w:bottom w:w="28" w:type="dxa"/>
            </w:tcMar>
            <w:vAlign w:val="center"/>
          </w:tcPr>
          <w:p w14:paraId="205FB2DF"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125DDA53"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358D564E"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0A34B200"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229D5E4D" w14:textId="0104A92D" w:rsidR="007C378F" w:rsidRPr="00721962" w:rsidRDefault="007F48F6"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Sponsor’s Comment</w:t>
            </w:r>
            <w:r w:rsidR="007C378F">
              <w:rPr>
                <w:rFonts w:ascii="Arial" w:hAnsi="Arial" w:cs="Arial"/>
                <w:snapToGrid w:val="0"/>
                <w:sz w:val="18"/>
                <w:szCs w:val="18"/>
                <w:lang w:eastAsia="en-US"/>
              </w:rPr>
              <w:t xml:space="preserve">: </w:t>
            </w:r>
            <w:r w:rsidR="007C378F" w:rsidRPr="007C378F">
              <w:rPr>
                <w:rFonts w:ascii="Arial" w:hAnsi="Arial" w:cs="Arial"/>
                <w:snapToGrid w:val="0"/>
                <w:sz w:val="18"/>
                <w:szCs w:val="18"/>
                <w:lang w:eastAsia="en-US"/>
              </w:rPr>
              <w:t>Janssen is pleased the PBAC agree that there is an unmet clinical need for Australians living with depression. Esketamine nasal spray is a novel therapy providing patients with clinically meaningful improvement in symptoms in a disease where there has been little innovation for a long period of time. Janssen is committed to working collaboratively with the PBAC, Department of Health and clinical and patient communities to ensure this novel therapy is made available to patients on the PBS as soon as possible.</w:t>
            </w:r>
          </w:p>
        </w:tc>
      </w:tr>
      <w:tr w:rsidR="007F48F6" w:rsidRPr="00CC0C66" w14:paraId="3266E16A" w14:textId="77777777" w:rsidTr="002E1AD3">
        <w:trPr>
          <w:trHeight w:val="2865"/>
        </w:trPr>
        <w:tc>
          <w:tcPr>
            <w:tcW w:w="3114" w:type="dxa"/>
            <w:shd w:val="clear" w:color="auto" w:fill="auto"/>
            <w:tcMar>
              <w:top w:w="28" w:type="dxa"/>
              <w:bottom w:w="28" w:type="dxa"/>
            </w:tcMar>
            <w:vAlign w:val="center"/>
          </w:tcPr>
          <w:p w14:paraId="3622A882" w14:textId="3ABE3005"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ETANERCEPT</w:t>
            </w:r>
            <w:r w:rsidRPr="00CC0C66">
              <w:rPr>
                <w:rFonts w:ascii="Arial" w:hAnsi="Arial" w:cs="Arial"/>
                <w:color w:val="000000"/>
                <w:sz w:val="18"/>
                <w:szCs w:val="18"/>
              </w:rPr>
              <w:br/>
            </w:r>
            <w:r w:rsidRPr="00CC0C66">
              <w:rPr>
                <w:rFonts w:ascii="Arial" w:hAnsi="Arial" w:cs="Arial"/>
                <w:color w:val="000000"/>
                <w:sz w:val="18"/>
                <w:szCs w:val="18"/>
              </w:rPr>
              <w:br/>
              <w:t>Injection 50 mg in 1 mL single use dose-dispenser cartridge, 4</w:t>
            </w:r>
            <w:r w:rsidRPr="00CC0C66">
              <w:rPr>
                <w:rFonts w:ascii="Arial" w:hAnsi="Arial" w:cs="Arial"/>
                <w:color w:val="000000"/>
                <w:sz w:val="18"/>
                <w:szCs w:val="18"/>
              </w:rPr>
              <w:br/>
            </w:r>
            <w:r w:rsidRPr="00CC0C66">
              <w:rPr>
                <w:rFonts w:ascii="Arial" w:hAnsi="Arial" w:cs="Arial"/>
                <w:color w:val="000000"/>
                <w:sz w:val="18"/>
                <w:szCs w:val="18"/>
              </w:rPr>
              <w:br/>
              <w:t>En</w:t>
            </w:r>
            <w:r w:rsidR="00C5261F">
              <w:rPr>
                <w:rFonts w:ascii="Arial" w:hAnsi="Arial" w:cs="Arial"/>
                <w:color w:val="000000"/>
                <w:sz w:val="18"/>
                <w:szCs w:val="18"/>
              </w:rPr>
              <w:t>brel®</w:t>
            </w:r>
            <w:r w:rsidR="00C5261F">
              <w:rPr>
                <w:rFonts w:ascii="Arial" w:hAnsi="Arial" w:cs="Arial"/>
                <w:color w:val="000000"/>
                <w:sz w:val="18"/>
                <w:szCs w:val="18"/>
              </w:rPr>
              <w:br/>
            </w:r>
            <w:r w:rsidR="00C5261F">
              <w:rPr>
                <w:rFonts w:ascii="Arial" w:hAnsi="Arial" w:cs="Arial"/>
                <w:color w:val="000000"/>
                <w:sz w:val="18"/>
                <w:szCs w:val="18"/>
              </w:rPr>
              <w:br/>
              <w:t>Pfizer Australia Pty Ltd</w:t>
            </w:r>
          </w:p>
          <w:p w14:paraId="2184DFEC" w14:textId="276A6345" w:rsidR="007F48F6" w:rsidRPr="00CC0C66" w:rsidRDefault="007F48F6" w:rsidP="00C5261F">
            <w:pPr>
              <w:keepLines/>
              <w:rPr>
                <w:rFonts w:ascii="Arial" w:hAnsi="Arial" w:cs="Arial"/>
                <w:color w:val="000000"/>
                <w:sz w:val="18"/>
                <w:szCs w:val="18"/>
              </w:rPr>
            </w:pPr>
            <w:r w:rsidRPr="00CC0C66">
              <w:rPr>
                <w:rFonts w:ascii="Arial" w:hAnsi="Arial" w:cs="Arial"/>
                <w:color w:val="000000"/>
                <w:sz w:val="18"/>
                <w:szCs w:val="18"/>
              </w:rPr>
              <w:t>Category 4 submission</w:t>
            </w:r>
          </w:p>
          <w:p w14:paraId="0D9A7A91" w14:textId="42FE5FD6" w:rsidR="007F48F6" w:rsidRPr="00CC0C66" w:rsidRDefault="007F48F6" w:rsidP="00C5261F">
            <w:pPr>
              <w:keepLines/>
              <w:rPr>
                <w:rFonts w:ascii="Arial" w:hAnsi="Arial" w:cs="Arial"/>
                <w:sz w:val="18"/>
                <w:szCs w:val="18"/>
              </w:rPr>
            </w:pPr>
            <w:r w:rsidRPr="00CC0C66">
              <w:rPr>
                <w:rFonts w:ascii="Arial" w:hAnsi="Arial" w:cs="Arial"/>
                <w:color w:val="000000"/>
                <w:sz w:val="18"/>
                <w:szCs w:val="18"/>
              </w:rPr>
              <w:t>(Change to listing)</w:t>
            </w:r>
          </w:p>
        </w:tc>
        <w:tc>
          <w:tcPr>
            <w:tcW w:w="1559" w:type="dxa"/>
            <w:shd w:val="clear" w:color="auto" w:fill="auto"/>
            <w:vAlign w:val="center"/>
          </w:tcPr>
          <w:p w14:paraId="7A5CC65F" w14:textId="74C47968"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Rheumatoid arthritis;</w:t>
            </w:r>
            <w:r w:rsidRPr="00CC0C66">
              <w:rPr>
                <w:rFonts w:ascii="Arial" w:hAnsi="Arial" w:cs="Arial"/>
                <w:color w:val="000000"/>
                <w:sz w:val="18"/>
                <w:szCs w:val="18"/>
              </w:rPr>
              <w:br/>
              <w:t>Plaque psoriasis;</w:t>
            </w:r>
            <w:r w:rsidRPr="00CC0C66">
              <w:rPr>
                <w:rFonts w:ascii="Arial" w:hAnsi="Arial" w:cs="Arial"/>
                <w:color w:val="000000"/>
                <w:sz w:val="18"/>
                <w:szCs w:val="18"/>
              </w:rPr>
              <w:br/>
              <w:t>Ankylosing spondylitis;</w:t>
            </w:r>
            <w:r w:rsidRPr="00CC0C66">
              <w:rPr>
                <w:rFonts w:ascii="Arial" w:hAnsi="Arial" w:cs="Arial"/>
                <w:color w:val="000000"/>
                <w:sz w:val="18"/>
                <w:szCs w:val="18"/>
              </w:rPr>
              <w:br/>
              <w:t>Psoriatic arthritis;</w:t>
            </w:r>
            <w:r w:rsidRPr="00CC0C66">
              <w:rPr>
                <w:rFonts w:ascii="Arial" w:hAnsi="Arial" w:cs="Arial"/>
                <w:color w:val="000000"/>
                <w:sz w:val="18"/>
                <w:szCs w:val="18"/>
              </w:rPr>
              <w:br/>
              <w:t>Juvenile idiopathic arthritis;</w:t>
            </w:r>
            <w:r w:rsidRPr="00CC0C66">
              <w:rPr>
                <w:rFonts w:ascii="Arial" w:hAnsi="Arial" w:cs="Arial"/>
                <w:color w:val="000000"/>
                <w:sz w:val="18"/>
                <w:szCs w:val="18"/>
              </w:rPr>
              <w:br/>
              <w:t>Paediatric plaque psoriasis</w:t>
            </w:r>
          </w:p>
        </w:tc>
        <w:tc>
          <w:tcPr>
            <w:tcW w:w="2552" w:type="dxa"/>
            <w:shd w:val="clear" w:color="auto" w:fill="auto"/>
            <w:tcMar>
              <w:top w:w="28" w:type="dxa"/>
              <w:bottom w:w="28" w:type="dxa"/>
            </w:tcMar>
            <w:vAlign w:val="center"/>
          </w:tcPr>
          <w:p w14:paraId="5433161C" w14:textId="3353ADDA"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both General Schedule and Section 100 (Highly Specialised Drugs Program) listings of etanercept in dose dispenser cartridges under the same conditions as the currently listed pre-filled syringes.</w:t>
            </w:r>
          </w:p>
        </w:tc>
        <w:tc>
          <w:tcPr>
            <w:tcW w:w="1558" w:type="dxa"/>
            <w:shd w:val="clear" w:color="auto" w:fill="auto"/>
            <w:vAlign w:val="center"/>
          </w:tcPr>
          <w:p w14:paraId="46E403B8" w14:textId="34ED5B67"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346F71A0" w14:textId="3BCCC896" w:rsidR="009956D4" w:rsidRPr="009956D4" w:rsidRDefault="007F48F6" w:rsidP="009956D4">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The PBAC recommended the listing of etanercept injection 50 mg in 1 mL single use dose-dispenser cartridges, 4 (etanercept DDC) on the basis that it should be made available for the same indications under both General Schedule and Section 100 (Highly Specialised Drugs Program) as the currently listed etanercept injection 50 mg in 1 mL single use pre-filled syringes, 4 (etanercept PFS). The PBAC’s recommendation for listing was based on, among other matters, its assessment that the cost-effectiveness of etanercept DDC would be acceptable if it were cost-minimised to etanercept PFS. </w:t>
            </w:r>
            <w:r w:rsidRPr="00CC0C66">
              <w:rPr>
                <w:rFonts w:ascii="Arial" w:hAnsi="Arial" w:cs="Arial"/>
                <w:color w:val="000000"/>
                <w:sz w:val="18"/>
                <w:szCs w:val="18"/>
              </w:rPr>
              <w:br/>
            </w:r>
            <w:r w:rsidRPr="00CC0C66">
              <w:rPr>
                <w:rFonts w:ascii="Arial" w:hAnsi="Arial" w:cs="Arial"/>
                <w:color w:val="000000"/>
                <w:sz w:val="18"/>
                <w:szCs w:val="18"/>
              </w:rPr>
              <w:br/>
              <w:t xml:space="preserve">The PBAC advised the equi-effective doses of etanercept DDC and etanercept PFS are: 50 milligrams of etanercept DDC = 50 milligrams of etanercept PFS. </w:t>
            </w:r>
            <w:r w:rsidRPr="00CC0C66">
              <w:rPr>
                <w:rFonts w:ascii="Arial" w:hAnsi="Arial" w:cs="Arial"/>
                <w:color w:val="000000"/>
                <w:sz w:val="18"/>
                <w:szCs w:val="18"/>
              </w:rPr>
              <w:br/>
            </w:r>
            <w:r w:rsidRPr="00CC0C66">
              <w:rPr>
                <w:rFonts w:ascii="Arial" w:hAnsi="Arial" w:cs="Arial"/>
                <w:color w:val="000000"/>
                <w:sz w:val="18"/>
                <w:szCs w:val="18"/>
              </w:rPr>
              <w:br/>
            </w:r>
            <w:r w:rsidR="009956D4" w:rsidRPr="009956D4">
              <w:rPr>
                <w:rFonts w:ascii="Arial" w:hAnsi="Arial" w:cs="Arial"/>
                <w:sz w:val="18"/>
                <w:szCs w:val="18"/>
              </w:rPr>
              <w:t xml:space="preserve">The PBAC advised that under Section 101(4AACD) of the </w:t>
            </w:r>
            <w:r w:rsidR="009956D4" w:rsidRPr="009956D4">
              <w:rPr>
                <w:rFonts w:ascii="Arial" w:hAnsi="Arial" w:cs="Arial"/>
                <w:i/>
                <w:sz w:val="18"/>
                <w:szCs w:val="18"/>
              </w:rPr>
              <w:t>National Health Act 1953</w:t>
            </w:r>
            <w:r w:rsidR="009956D4" w:rsidRPr="009956D4">
              <w:rPr>
                <w:rFonts w:ascii="Arial" w:hAnsi="Arial" w:cs="Arial"/>
                <w:sz w:val="18"/>
                <w:szCs w:val="18"/>
              </w:rPr>
              <w:t xml:space="preserve">, in the Schedule of Pharmaceutical Benefits, the same strengths of etanercept DDC, etanercept PFS and etanercept auto-injector should be considered equivalent at the pharmacy level (i.e. ‘a’-flagged in the Schedule) for the purpose of substitution. </w:t>
            </w:r>
            <w:r w:rsidR="009956D4" w:rsidRPr="009956D4">
              <w:rPr>
                <w:rFonts w:ascii="Arial" w:hAnsi="Arial" w:cs="Arial"/>
                <w:bCs/>
                <w:snapToGrid w:val="0"/>
                <w:sz w:val="18"/>
                <w:szCs w:val="18"/>
              </w:rPr>
              <w:t xml:space="preserve">The PBAC was satisfied that the differences in administration techniques of the DDC, PFS and auto-injector would be appropriately managed </w:t>
            </w:r>
            <w:r w:rsidR="009956D4">
              <w:rPr>
                <w:rFonts w:ascii="Arial" w:hAnsi="Arial" w:cs="Arial"/>
                <w:bCs/>
                <w:snapToGrid w:val="0"/>
                <w:sz w:val="18"/>
                <w:szCs w:val="18"/>
              </w:rPr>
              <w:t>in clinical practice.</w:t>
            </w:r>
          </w:p>
        </w:tc>
      </w:tr>
      <w:tr w:rsidR="007F48F6" w:rsidRPr="00CC0C66" w14:paraId="30C4CB20" w14:textId="77777777" w:rsidTr="002E1AD3">
        <w:trPr>
          <w:trHeight w:val="3223"/>
        </w:trPr>
        <w:tc>
          <w:tcPr>
            <w:tcW w:w="3114" w:type="dxa"/>
            <w:shd w:val="clear" w:color="auto" w:fill="auto"/>
            <w:tcMar>
              <w:top w:w="28" w:type="dxa"/>
              <w:bottom w:w="28" w:type="dxa"/>
            </w:tcMar>
            <w:vAlign w:val="center"/>
          </w:tcPr>
          <w:p w14:paraId="022279AB" w14:textId="435B93F5"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FOLLITROPIN ALFA</w:t>
            </w:r>
            <w:r w:rsidRPr="00CC0C66">
              <w:rPr>
                <w:rFonts w:ascii="Arial" w:hAnsi="Arial" w:cs="Arial"/>
                <w:color w:val="000000"/>
                <w:sz w:val="18"/>
                <w:szCs w:val="18"/>
              </w:rPr>
              <w:br/>
            </w:r>
            <w:r w:rsidRPr="00CC0C66">
              <w:rPr>
                <w:rFonts w:ascii="Arial" w:hAnsi="Arial" w:cs="Arial"/>
                <w:color w:val="000000"/>
                <w:sz w:val="18"/>
                <w:szCs w:val="18"/>
              </w:rPr>
              <w:br/>
              <w:t>Injection 300 I.U. in 0.5 mL multi-dose cartridge</w:t>
            </w:r>
            <w:r w:rsidRPr="00CC0C66">
              <w:rPr>
                <w:rFonts w:ascii="Arial" w:hAnsi="Arial" w:cs="Arial"/>
                <w:color w:val="000000"/>
                <w:sz w:val="18"/>
                <w:szCs w:val="18"/>
              </w:rPr>
              <w:br/>
              <w:t>Injection 450 I.U. in 0.75 mL multi-dose cartridge</w:t>
            </w:r>
            <w:r w:rsidRPr="00CC0C66">
              <w:rPr>
                <w:rFonts w:ascii="Arial" w:hAnsi="Arial" w:cs="Arial"/>
                <w:color w:val="000000"/>
                <w:sz w:val="18"/>
                <w:szCs w:val="18"/>
              </w:rPr>
              <w:br/>
              <w:t>Injection 900 I.U. in 1.5 mL multi-dose cartridge</w:t>
            </w:r>
            <w:r w:rsidRPr="00CC0C66">
              <w:rPr>
                <w:rFonts w:ascii="Arial" w:hAnsi="Arial" w:cs="Arial"/>
                <w:color w:val="000000"/>
                <w:sz w:val="18"/>
                <w:szCs w:val="18"/>
              </w:rPr>
              <w:br/>
            </w:r>
            <w:r w:rsidRPr="00CC0C66">
              <w:rPr>
                <w:rFonts w:ascii="Arial" w:hAnsi="Arial" w:cs="Arial"/>
                <w:color w:val="000000"/>
                <w:sz w:val="18"/>
                <w:szCs w:val="18"/>
              </w:rPr>
              <w:br/>
              <w:t>Ovale</w:t>
            </w:r>
            <w:r w:rsidR="00C5261F">
              <w:rPr>
                <w:rFonts w:ascii="Arial" w:hAnsi="Arial" w:cs="Arial"/>
                <w:color w:val="000000"/>
                <w:sz w:val="18"/>
                <w:szCs w:val="18"/>
              </w:rPr>
              <w:t>ap®</w:t>
            </w:r>
            <w:r w:rsidR="00C5261F">
              <w:rPr>
                <w:rFonts w:ascii="Arial" w:hAnsi="Arial" w:cs="Arial"/>
                <w:color w:val="000000"/>
                <w:sz w:val="18"/>
                <w:szCs w:val="18"/>
              </w:rPr>
              <w:br/>
            </w:r>
            <w:r w:rsidR="00C5261F">
              <w:rPr>
                <w:rFonts w:ascii="Arial" w:hAnsi="Arial" w:cs="Arial"/>
                <w:color w:val="000000"/>
                <w:sz w:val="18"/>
                <w:szCs w:val="18"/>
              </w:rPr>
              <w:br/>
              <w:t>Theramex Australia Pty Ltd</w:t>
            </w:r>
          </w:p>
          <w:p w14:paraId="18D2425E" w14:textId="14EB0EE5" w:rsidR="007F48F6" w:rsidRPr="00CC0C66" w:rsidRDefault="007F48F6" w:rsidP="00C5261F">
            <w:pPr>
              <w:keepLines/>
              <w:rPr>
                <w:rFonts w:ascii="Arial" w:hAnsi="Arial" w:cs="Arial"/>
                <w:color w:val="000000"/>
                <w:sz w:val="18"/>
                <w:szCs w:val="18"/>
              </w:rPr>
            </w:pPr>
            <w:r w:rsidRPr="00CC0C66">
              <w:rPr>
                <w:rFonts w:ascii="Arial" w:hAnsi="Arial" w:cs="Arial"/>
                <w:color w:val="000000"/>
                <w:sz w:val="18"/>
                <w:szCs w:val="18"/>
              </w:rPr>
              <w:t>Category 3 submission</w:t>
            </w:r>
          </w:p>
          <w:p w14:paraId="22B62303" w14:textId="633FB3C3" w:rsidR="007F48F6" w:rsidRPr="00CC0C66" w:rsidRDefault="007F48F6" w:rsidP="00C5261F">
            <w:pPr>
              <w:keepLines/>
              <w:rPr>
                <w:rFonts w:ascii="Arial" w:hAnsi="Arial" w:cs="Arial"/>
                <w:sz w:val="18"/>
                <w:szCs w:val="18"/>
              </w:rPr>
            </w:pPr>
            <w:r w:rsidRPr="00CC0C66">
              <w:rPr>
                <w:rFonts w:ascii="Arial" w:hAnsi="Arial" w:cs="Arial"/>
                <w:color w:val="000000"/>
                <w:sz w:val="18"/>
                <w:szCs w:val="18"/>
              </w:rPr>
              <w:t>(Change to listing)</w:t>
            </w:r>
          </w:p>
        </w:tc>
        <w:tc>
          <w:tcPr>
            <w:tcW w:w="1559" w:type="dxa"/>
            <w:shd w:val="clear" w:color="auto" w:fill="auto"/>
            <w:vAlign w:val="center"/>
          </w:tcPr>
          <w:p w14:paraId="4069F146" w14:textId="36822289"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Assisted Reproductive Technology;</w:t>
            </w:r>
            <w:r w:rsidRPr="00CC0C66">
              <w:rPr>
                <w:rFonts w:ascii="Arial" w:hAnsi="Arial" w:cs="Arial"/>
                <w:color w:val="000000"/>
                <w:sz w:val="18"/>
                <w:szCs w:val="18"/>
              </w:rPr>
              <w:br/>
              <w:t xml:space="preserve">Anovulatory infertility; </w:t>
            </w:r>
            <w:r w:rsidRPr="00CC0C66">
              <w:rPr>
                <w:rFonts w:ascii="Arial" w:hAnsi="Arial" w:cs="Arial"/>
                <w:color w:val="000000"/>
                <w:sz w:val="18"/>
                <w:szCs w:val="18"/>
              </w:rPr>
              <w:br/>
              <w:t>Infertility</w:t>
            </w:r>
          </w:p>
        </w:tc>
        <w:tc>
          <w:tcPr>
            <w:tcW w:w="2552" w:type="dxa"/>
            <w:shd w:val="clear" w:color="auto" w:fill="auto"/>
            <w:tcMar>
              <w:top w:w="28" w:type="dxa"/>
              <w:bottom w:w="28" w:type="dxa"/>
            </w:tcMar>
            <w:vAlign w:val="center"/>
          </w:tcPr>
          <w:p w14:paraId="3B59D356" w14:textId="27250A87"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both General Schedule and Section 100 (IVF Program) listings of a biosimilar under the same conditions as its reference biologic.</w:t>
            </w:r>
          </w:p>
        </w:tc>
        <w:tc>
          <w:tcPr>
            <w:tcW w:w="1558" w:type="dxa"/>
            <w:shd w:val="clear" w:color="auto" w:fill="auto"/>
            <w:vAlign w:val="center"/>
          </w:tcPr>
          <w:p w14:paraId="000D59F8" w14:textId="34E45917"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1B413CC3" w14:textId="676B8740"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The PBAC recommended the listing of follitropin alfa (Ovaleap) as a biosimilar brand of Gonal-f, on a cost-minimisation basis to Gonal-f, where the equi-effective doses are 1.0 I.U. follitropin alfa (Ovaleap) and 1.0 I.U. follitropin alfa (Gonal-f). The PBAC advised under Section 101(4AACD) of the </w:t>
            </w:r>
            <w:r w:rsidRPr="00A159CA">
              <w:rPr>
                <w:rFonts w:ascii="Arial" w:hAnsi="Arial" w:cs="Arial"/>
                <w:i/>
                <w:color w:val="000000"/>
                <w:sz w:val="18"/>
                <w:szCs w:val="18"/>
              </w:rPr>
              <w:t>National Health Act 1953</w:t>
            </w:r>
            <w:r w:rsidRPr="00CC0C66">
              <w:rPr>
                <w:rFonts w:ascii="Arial" w:hAnsi="Arial" w:cs="Arial"/>
                <w:color w:val="000000"/>
                <w:sz w:val="18"/>
                <w:szCs w:val="18"/>
              </w:rPr>
              <w:t>, that Gonal-f and Ovaleap brands of follitropin alfa should be treated as equivalent in the Schedule of Pharmaceutical Benefits (‘a’ flagged) for the purposes of substitution.</w:t>
            </w:r>
          </w:p>
        </w:tc>
      </w:tr>
      <w:tr w:rsidR="007F48F6" w:rsidRPr="00CC0C66" w14:paraId="4588F4CD" w14:textId="77777777" w:rsidTr="002E1AD3">
        <w:trPr>
          <w:trHeight w:val="2842"/>
        </w:trPr>
        <w:tc>
          <w:tcPr>
            <w:tcW w:w="3114" w:type="dxa"/>
            <w:shd w:val="clear" w:color="auto" w:fill="auto"/>
            <w:tcMar>
              <w:top w:w="28" w:type="dxa"/>
              <w:bottom w:w="28" w:type="dxa"/>
            </w:tcMar>
            <w:vAlign w:val="center"/>
          </w:tcPr>
          <w:p w14:paraId="333A5F45" w14:textId="1DE3F532"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HIGH FAT FORMULA WITH VITAMINS, MINERALS AND TRACE ELEMENTS AND LOW IN PROTEIN AND CARBOHYDRATE</w:t>
            </w:r>
            <w:r w:rsidRPr="00CC0C66">
              <w:rPr>
                <w:rFonts w:ascii="Arial" w:hAnsi="Arial" w:cs="Arial"/>
                <w:color w:val="000000"/>
                <w:sz w:val="18"/>
                <w:szCs w:val="18"/>
              </w:rPr>
              <w:br/>
            </w:r>
            <w:r w:rsidRPr="00CC0C66">
              <w:rPr>
                <w:rFonts w:ascii="Arial" w:hAnsi="Arial" w:cs="Arial"/>
                <w:color w:val="000000"/>
                <w:sz w:val="18"/>
                <w:szCs w:val="18"/>
              </w:rPr>
              <w:br/>
              <w:t>Oral liquid 250 mL, 30</w:t>
            </w:r>
            <w:r w:rsidRPr="00CC0C66">
              <w:rPr>
                <w:rFonts w:ascii="Arial" w:hAnsi="Arial" w:cs="Arial"/>
                <w:color w:val="000000"/>
                <w:sz w:val="18"/>
                <w:szCs w:val="18"/>
              </w:rPr>
              <w:br/>
            </w:r>
            <w:r w:rsidRPr="00CC0C66">
              <w:rPr>
                <w:rFonts w:ascii="Arial" w:hAnsi="Arial" w:cs="Arial"/>
                <w:color w:val="000000"/>
                <w:sz w:val="18"/>
                <w:szCs w:val="18"/>
              </w:rPr>
              <w:br/>
              <w:t>KetoVie® Pep</w:t>
            </w:r>
            <w:r w:rsidR="00C5261F">
              <w:rPr>
                <w:rFonts w:ascii="Arial" w:hAnsi="Arial" w:cs="Arial"/>
                <w:color w:val="000000"/>
                <w:sz w:val="18"/>
                <w:szCs w:val="18"/>
              </w:rPr>
              <w:t>tide 4:1</w:t>
            </w:r>
            <w:r w:rsidR="00C5261F">
              <w:rPr>
                <w:rFonts w:ascii="Arial" w:hAnsi="Arial" w:cs="Arial"/>
                <w:color w:val="000000"/>
                <w:sz w:val="18"/>
                <w:szCs w:val="18"/>
              </w:rPr>
              <w:br/>
            </w:r>
            <w:r w:rsidR="00C5261F">
              <w:rPr>
                <w:rFonts w:ascii="Arial" w:hAnsi="Arial" w:cs="Arial"/>
                <w:color w:val="000000"/>
                <w:sz w:val="18"/>
                <w:szCs w:val="18"/>
              </w:rPr>
              <w:br/>
              <w:t>Cortex Health Pty Ltd</w:t>
            </w:r>
          </w:p>
          <w:p w14:paraId="598B3CE4" w14:textId="3C5551BC" w:rsidR="007F48F6" w:rsidRPr="00CC0C66" w:rsidRDefault="007F48F6" w:rsidP="00C5261F">
            <w:pPr>
              <w:keepLines/>
              <w:rPr>
                <w:rFonts w:ascii="Arial" w:hAnsi="Arial" w:cs="Arial"/>
                <w:color w:val="000000"/>
                <w:sz w:val="18"/>
                <w:szCs w:val="18"/>
              </w:rPr>
            </w:pPr>
            <w:r w:rsidRPr="00CC0C66">
              <w:rPr>
                <w:rFonts w:ascii="Arial" w:hAnsi="Arial" w:cs="Arial"/>
                <w:color w:val="000000"/>
                <w:sz w:val="18"/>
                <w:szCs w:val="18"/>
              </w:rPr>
              <w:t>Category 3 submission</w:t>
            </w:r>
          </w:p>
          <w:p w14:paraId="7C4B6725" w14:textId="499A27E8" w:rsidR="007F48F6" w:rsidRPr="00CC0C66" w:rsidRDefault="007F48F6" w:rsidP="00C5261F">
            <w:pPr>
              <w:keepLines/>
              <w:rPr>
                <w:rFonts w:ascii="Arial" w:hAnsi="Arial" w:cs="Arial"/>
                <w:sz w:val="18"/>
                <w:szCs w:val="18"/>
              </w:rPr>
            </w:pPr>
            <w:r w:rsidRPr="00CC0C66">
              <w:rPr>
                <w:rFonts w:ascii="Arial" w:hAnsi="Arial" w:cs="Arial"/>
                <w:color w:val="000000"/>
                <w:sz w:val="18"/>
                <w:szCs w:val="18"/>
              </w:rPr>
              <w:t>(Change to listing)</w:t>
            </w:r>
          </w:p>
        </w:tc>
        <w:tc>
          <w:tcPr>
            <w:tcW w:w="1559" w:type="dxa"/>
            <w:shd w:val="clear" w:color="auto" w:fill="auto"/>
            <w:vAlign w:val="center"/>
          </w:tcPr>
          <w:p w14:paraId="73C10374" w14:textId="3FFABFAA"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Ketogenic diet</w:t>
            </w:r>
          </w:p>
        </w:tc>
        <w:tc>
          <w:tcPr>
            <w:tcW w:w="2552" w:type="dxa"/>
            <w:shd w:val="clear" w:color="auto" w:fill="auto"/>
            <w:tcMar>
              <w:top w:w="28" w:type="dxa"/>
              <w:bottom w:w="28" w:type="dxa"/>
            </w:tcMar>
            <w:vAlign w:val="center"/>
          </w:tcPr>
          <w:p w14:paraId="4EAE73A6" w14:textId="01C6B9F8"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present additional data to progress the November 2020 recommended listing for KetoVie Peptide 4:1.</w:t>
            </w:r>
          </w:p>
        </w:tc>
        <w:tc>
          <w:tcPr>
            <w:tcW w:w="1558" w:type="dxa"/>
            <w:shd w:val="clear" w:color="auto" w:fill="auto"/>
            <w:vAlign w:val="center"/>
          </w:tcPr>
          <w:p w14:paraId="1597808C" w14:textId="799BA99F"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702B3B25" w14:textId="4A2058BD"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the General Schedule, Authority Required (online</w:t>
            </w:r>
            <w:r w:rsidR="00807692">
              <w:rPr>
                <w:rFonts w:ascii="Arial" w:hAnsi="Arial" w:cs="Arial"/>
                <w:color w:val="000000"/>
                <w:sz w:val="18"/>
                <w:szCs w:val="18"/>
              </w:rPr>
              <w:t>/telephone</w:t>
            </w:r>
            <w:r w:rsidRPr="00CC0C66">
              <w:rPr>
                <w:rFonts w:ascii="Arial" w:hAnsi="Arial" w:cs="Arial"/>
                <w:color w:val="000000"/>
                <w:sz w:val="18"/>
                <w:szCs w:val="18"/>
              </w:rPr>
              <w:t xml:space="preserve">) listing of high fat formula with vitamins, minerals and trace elements and low in protein and carbohydrate (KetoVie Peptide 4:1) for ketogenic diet. </w:t>
            </w:r>
          </w:p>
        </w:tc>
      </w:tr>
      <w:tr w:rsidR="007F48F6" w:rsidRPr="00CC0C66" w14:paraId="580BCB67" w14:textId="77777777" w:rsidTr="002E1AD3">
        <w:trPr>
          <w:trHeight w:val="2842"/>
        </w:trPr>
        <w:tc>
          <w:tcPr>
            <w:tcW w:w="3114" w:type="dxa"/>
            <w:shd w:val="clear" w:color="auto" w:fill="auto"/>
            <w:tcMar>
              <w:top w:w="28" w:type="dxa"/>
              <w:bottom w:w="28" w:type="dxa"/>
            </w:tcMar>
            <w:vAlign w:val="center"/>
          </w:tcPr>
          <w:p w14:paraId="59E8D2BF" w14:textId="60C21E05"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HYDROCORTISONE</w:t>
            </w:r>
            <w:r w:rsidRPr="00CC0C66">
              <w:rPr>
                <w:rFonts w:ascii="Arial" w:hAnsi="Arial" w:cs="Arial"/>
                <w:color w:val="000000"/>
                <w:sz w:val="18"/>
                <w:szCs w:val="18"/>
              </w:rPr>
              <w:br/>
            </w:r>
            <w:r w:rsidRPr="00CC0C66">
              <w:rPr>
                <w:rFonts w:ascii="Arial" w:hAnsi="Arial" w:cs="Arial"/>
                <w:color w:val="000000"/>
                <w:sz w:val="18"/>
                <w:szCs w:val="18"/>
              </w:rPr>
              <w:br/>
              <w:t>Capsule containing granules 0.5 mg</w:t>
            </w:r>
            <w:r w:rsidRPr="00CC0C66">
              <w:rPr>
                <w:rFonts w:ascii="Arial" w:hAnsi="Arial" w:cs="Arial"/>
                <w:color w:val="000000"/>
                <w:sz w:val="18"/>
                <w:szCs w:val="18"/>
              </w:rPr>
              <w:br/>
              <w:t>Capsule containing granules 1 mg</w:t>
            </w:r>
            <w:r w:rsidRPr="00CC0C66">
              <w:rPr>
                <w:rFonts w:ascii="Arial" w:hAnsi="Arial" w:cs="Arial"/>
                <w:color w:val="000000"/>
                <w:sz w:val="18"/>
                <w:szCs w:val="18"/>
              </w:rPr>
              <w:br/>
              <w:t>Capsule containing granules 2 mg</w:t>
            </w:r>
            <w:r w:rsidRPr="00CC0C66">
              <w:rPr>
                <w:rFonts w:ascii="Arial" w:hAnsi="Arial" w:cs="Arial"/>
                <w:color w:val="000000"/>
                <w:sz w:val="18"/>
                <w:szCs w:val="18"/>
              </w:rPr>
              <w:br/>
              <w:t>Capsule containing granules 5 mg</w:t>
            </w:r>
            <w:r w:rsidRPr="00CC0C66">
              <w:rPr>
                <w:rFonts w:ascii="Arial" w:hAnsi="Arial" w:cs="Arial"/>
                <w:color w:val="000000"/>
                <w:sz w:val="18"/>
                <w:szCs w:val="18"/>
              </w:rPr>
              <w:br/>
            </w:r>
            <w:r w:rsidRPr="00CC0C66">
              <w:rPr>
                <w:rFonts w:ascii="Arial" w:hAnsi="Arial" w:cs="Arial"/>
                <w:color w:val="000000"/>
                <w:sz w:val="18"/>
                <w:szCs w:val="18"/>
              </w:rPr>
              <w:br/>
              <w:t>Alk</w:t>
            </w:r>
            <w:r w:rsidR="00C5261F">
              <w:rPr>
                <w:rFonts w:ascii="Arial" w:hAnsi="Arial" w:cs="Arial"/>
                <w:color w:val="000000"/>
                <w:sz w:val="18"/>
                <w:szCs w:val="18"/>
              </w:rPr>
              <w:t>indi®</w:t>
            </w:r>
            <w:r w:rsidR="00C5261F">
              <w:rPr>
                <w:rFonts w:ascii="Arial" w:hAnsi="Arial" w:cs="Arial"/>
                <w:color w:val="000000"/>
                <w:sz w:val="18"/>
                <w:szCs w:val="18"/>
              </w:rPr>
              <w:br/>
            </w:r>
            <w:r w:rsidR="00C5261F">
              <w:rPr>
                <w:rFonts w:ascii="Arial" w:hAnsi="Arial" w:cs="Arial"/>
                <w:color w:val="000000"/>
                <w:sz w:val="18"/>
                <w:szCs w:val="18"/>
              </w:rPr>
              <w:br/>
              <w:t>Chiesi Australia Pty Ltd</w:t>
            </w:r>
          </w:p>
          <w:p w14:paraId="67869F50" w14:textId="2DFE7585" w:rsidR="007F48F6" w:rsidRPr="00CC0C66" w:rsidRDefault="007F48F6" w:rsidP="00C5261F">
            <w:pPr>
              <w:keepLines/>
              <w:rPr>
                <w:rFonts w:ascii="Arial" w:hAnsi="Arial" w:cs="Arial"/>
                <w:color w:val="000000"/>
                <w:sz w:val="18"/>
                <w:szCs w:val="18"/>
              </w:rPr>
            </w:pPr>
            <w:r w:rsidRPr="00CC0C66">
              <w:rPr>
                <w:rFonts w:ascii="Arial" w:hAnsi="Arial" w:cs="Arial"/>
                <w:color w:val="000000"/>
                <w:sz w:val="18"/>
                <w:szCs w:val="18"/>
              </w:rPr>
              <w:t>Category 3 submission</w:t>
            </w:r>
            <w:r w:rsidR="00C5261F">
              <w:rPr>
                <w:rFonts w:ascii="Arial" w:hAnsi="Arial" w:cs="Arial"/>
                <w:color w:val="000000"/>
                <w:sz w:val="18"/>
                <w:szCs w:val="18"/>
              </w:rPr>
              <w:t xml:space="preserve"> </w:t>
            </w:r>
          </w:p>
          <w:p w14:paraId="161B6475" w14:textId="22420FC4" w:rsidR="007F48F6" w:rsidRPr="00CC0C66" w:rsidRDefault="007F48F6" w:rsidP="00C5261F">
            <w:pPr>
              <w:keepLines/>
              <w:rPr>
                <w:rFonts w:ascii="Arial" w:hAnsi="Arial" w:cs="Arial"/>
                <w:sz w:val="18"/>
                <w:szCs w:val="18"/>
              </w:rPr>
            </w:pPr>
            <w:r w:rsidRPr="00CC0C66">
              <w:rPr>
                <w:rFonts w:ascii="Arial" w:hAnsi="Arial" w:cs="Arial"/>
                <w:color w:val="000000"/>
                <w:sz w:val="18"/>
                <w:szCs w:val="18"/>
              </w:rPr>
              <w:t>(Change to listing)</w:t>
            </w:r>
          </w:p>
        </w:tc>
        <w:tc>
          <w:tcPr>
            <w:tcW w:w="1559" w:type="dxa"/>
            <w:shd w:val="clear" w:color="auto" w:fill="auto"/>
            <w:vAlign w:val="center"/>
          </w:tcPr>
          <w:p w14:paraId="33E98F88" w14:textId="47279847"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Adrenal Insufficiency</w:t>
            </w:r>
          </w:p>
        </w:tc>
        <w:tc>
          <w:tcPr>
            <w:tcW w:w="2552" w:type="dxa"/>
            <w:shd w:val="clear" w:color="auto" w:fill="auto"/>
            <w:tcMar>
              <w:top w:w="28" w:type="dxa"/>
              <w:bottom w:w="28" w:type="dxa"/>
            </w:tcMar>
            <w:vAlign w:val="center"/>
          </w:tcPr>
          <w:p w14:paraId="223422A2" w14:textId="6FFA1FFD"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an Authority Required (STREAMLINED) listing for replacement therapy of adrenal insufficiency for patients aged six or younger.</w:t>
            </w:r>
          </w:p>
        </w:tc>
        <w:tc>
          <w:tcPr>
            <w:tcW w:w="1558" w:type="dxa"/>
            <w:shd w:val="clear" w:color="auto" w:fill="auto"/>
            <w:vAlign w:val="center"/>
          </w:tcPr>
          <w:p w14:paraId="45216C9B" w14:textId="1695F5D5"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2E50424A" w14:textId="3CE2ADB4"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the Authority Required (STREAMLINED) listing of Alkindi for replacement therapy of adrenal insufficiency in patients aged 6 years of age or under. The PBAC considered that Alkindi would facilitate accurate dosing in paediatric patients and may be easier to administer to paediatric patients than hydrocortisone tablets, which need to be crushed prior to administration. The PBAC considered that the magnitude of the price requested by the sponsor was not adequately justified however, considered that Alkindi would be adequately cost-effective if listed with a modest price advantage compared to the existing 4 mg tablets.</w:t>
            </w:r>
          </w:p>
        </w:tc>
      </w:tr>
      <w:tr w:rsidR="007F48F6" w:rsidRPr="00CC0C66" w14:paraId="4706AEEC" w14:textId="77777777" w:rsidTr="002E1AD3">
        <w:trPr>
          <w:trHeight w:val="2275"/>
        </w:trPr>
        <w:tc>
          <w:tcPr>
            <w:tcW w:w="3114" w:type="dxa"/>
            <w:shd w:val="clear" w:color="auto" w:fill="auto"/>
            <w:tcMar>
              <w:top w:w="28" w:type="dxa"/>
              <w:bottom w:w="28" w:type="dxa"/>
            </w:tcMar>
            <w:vAlign w:val="center"/>
          </w:tcPr>
          <w:p w14:paraId="7A12457C" w14:textId="36E7C0B6"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HYPROMELLOSE</w:t>
            </w:r>
            <w:r w:rsidRPr="00CC0C66">
              <w:rPr>
                <w:rFonts w:ascii="Arial" w:hAnsi="Arial" w:cs="Arial"/>
                <w:color w:val="000000"/>
                <w:sz w:val="18"/>
                <w:szCs w:val="18"/>
              </w:rPr>
              <w:br/>
            </w:r>
            <w:r w:rsidRPr="00CC0C66">
              <w:rPr>
                <w:rFonts w:ascii="Arial" w:hAnsi="Arial" w:cs="Arial"/>
                <w:color w:val="000000"/>
                <w:sz w:val="18"/>
                <w:szCs w:val="18"/>
              </w:rPr>
              <w:br/>
              <w:t>Eye drops 3 mg per mL, 10 mL</w:t>
            </w:r>
            <w:r w:rsidRPr="00CC0C66">
              <w:rPr>
                <w:rFonts w:ascii="Arial" w:hAnsi="Arial" w:cs="Arial"/>
                <w:color w:val="000000"/>
                <w:sz w:val="18"/>
                <w:szCs w:val="18"/>
              </w:rPr>
              <w:br/>
            </w:r>
            <w:r w:rsidRPr="00CC0C66">
              <w:rPr>
                <w:rFonts w:ascii="Arial" w:hAnsi="Arial" w:cs="Arial"/>
                <w:color w:val="000000"/>
                <w:sz w:val="18"/>
                <w:szCs w:val="18"/>
              </w:rPr>
              <w:br/>
              <w:t>Revive Tears®</w:t>
            </w:r>
            <w:r w:rsidRPr="00CC0C66">
              <w:rPr>
                <w:rFonts w:ascii="Arial" w:hAnsi="Arial" w:cs="Arial"/>
                <w:color w:val="000000"/>
                <w:sz w:val="18"/>
                <w:szCs w:val="18"/>
              </w:rPr>
              <w:br/>
            </w:r>
            <w:r w:rsidRPr="00CC0C66">
              <w:rPr>
                <w:rFonts w:ascii="Arial" w:hAnsi="Arial" w:cs="Arial"/>
                <w:color w:val="000000"/>
                <w:sz w:val="18"/>
                <w:szCs w:val="18"/>
              </w:rPr>
              <w:br/>
              <w:t>Petrus Pharmaceuticals Pty Ltd</w:t>
            </w:r>
          </w:p>
          <w:p w14:paraId="01BF4424" w14:textId="5228DE5A"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Committee Secretariat submission</w:t>
            </w:r>
            <w:r w:rsidRPr="00CC0C66">
              <w:rPr>
                <w:rFonts w:ascii="Arial" w:hAnsi="Arial" w:cs="Arial"/>
                <w:color w:val="000000"/>
                <w:sz w:val="18"/>
                <w:szCs w:val="18"/>
              </w:rPr>
              <w:br/>
              <w:t>(Change to listing)</w:t>
            </w:r>
          </w:p>
        </w:tc>
        <w:tc>
          <w:tcPr>
            <w:tcW w:w="1559" w:type="dxa"/>
            <w:shd w:val="clear" w:color="auto" w:fill="auto"/>
            <w:vAlign w:val="center"/>
          </w:tcPr>
          <w:p w14:paraId="21A5CE34" w14:textId="735A22E8"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Severe dry eye syndrome, including Sjogren's syndrome</w:t>
            </w:r>
          </w:p>
        </w:tc>
        <w:tc>
          <w:tcPr>
            <w:tcW w:w="2552" w:type="dxa"/>
            <w:shd w:val="clear" w:color="auto" w:fill="auto"/>
            <w:tcMar>
              <w:top w:w="28" w:type="dxa"/>
              <w:bottom w:w="28" w:type="dxa"/>
            </w:tcMar>
            <w:vAlign w:val="center"/>
          </w:tcPr>
          <w:p w14:paraId="70E4726A" w14:textId="0B510551"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Restricted benefit listing of a new brand under the same conditions as the currently listed hypromellose eye drops; and to seek advice on therapeutic bioequivalence.</w:t>
            </w:r>
          </w:p>
        </w:tc>
        <w:tc>
          <w:tcPr>
            <w:tcW w:w="1558" w:type="dxa"/>
            <w:shd w:val="clear" w:color="auto" w:fill="auto"/>
            <w:vAlign w:val="center"/>
          </w:tcPr>
          <w:p w14:paraId="07062EF8" w14:textId="1DB0A306"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13448749" w14:textId="147872DB"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The PBAC recommended the listing of a new generic brand of hypromellose 3 mg per mL eye drops (Revive Tears), under the same circumstances as the existing PBS-listed brands, Genteal and In a Wink Moisturising, for the treatment of severe dry eye syndrome (including Sjogren’s syndrome). The PBAC advised, under Section 101 (4AACD) of the </w:t>
            </w:r>
            <w:r w:rsidRPr="00A159CA">
              <w:rPr>
                <w:rFonts w:ascii="Arial" w:hAnsi="Arial" w:cs="Arial"/>
                <w:i/>
                <w:color w:val="000000"/>
                <w:sz w:val="18"/>
                <w:szCs w:val="18"/>
              </w:rPr>
              <w:t>National Health Act 1953</w:t>
            </w:r>
            <w:r w:rsidRPr="00CC0C66">
              <w:rPr>
                <w:rFonts w:ascii="Arial" w:hAnsi="Arial" w:cs="Arial"/>
                <w:color w:val="000000"/>
                <w:sz w:val="18"/>
                <w:szCs w:val="18"/>
              </w:rPr>
              <w:t>, that Revive Tears should be treated as equivalent to Genteal and In a Wink Moisturising for the purposes of substitution (i.e. ‘a’ flagged).</w:t>
            </w:r>
          </w:p>
        </w:tc>
      </w:tr>
      <w:tr w:rsidR="007F48F6" w:rsidRPr="00CC0C66" w14:paraId="36BC1D1D" w14:textId="77777777" w:rsidTr="00C5261F">
        <w:trPr>
          <w:trHeight w:val="762"/>
        </w:trPr>
        <w:tc>
          <w:tcPr>
            <w:tcW w:w="3114" w:type="dxa"/>
            <w:shd w:val="clear" w:color="000000" w:fill="D9D9D9"/>
            <w:tcMar>
              <w:top w:w="28" w:type="dxa"/>
              <w:bottom w:w="28" w:type="dxa"/>
            </w:tcMar>
            <w:vAlign w:val="center"/>
          </w:tcPr>
          <w:p w14:paraId="64EE81BE" w14:textId="47D1C88F"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INCLISIRAN</w:t>
            </w:r>
            <w:r w:rsidRPr="00CC0C66">
              <w:rPr>
                <w:rFonts w:ascii="Arial" w:hAnsi="Arial" w:cs="Arial"/>
                <w:color w:val="000000"/>
                <w:sz w:val="18"/>
                <w:szCs w:val="18"/>
              </w:rPr>
              <w:br/>
            </w:r>
            <w:r w:rsidRPr="00CC0C66">
              <w:rPr>
                <w:rFonts w:ascii="Arial" w:hAnsi="Arial" w:cs="Arial"/>
                <w:color w:val="000000"/>
                <w:sz w:val="18"/>
                <w:szCs w:val="18"/>
              </w:rPr>
              <w:br/>
              <w:t>Injection 284 mg in 1.5 mL pre-filled syringe</w:t>
            </w:r>
            <w:r w:rsidRPr="00CC0C66">
              <w:rPr>
                <w:rFonts w:ascii="Arial" w:hAnsi="Arial" w:cs="Arial"/>
                <w:color w:val="000000"/>
                <w:sz w:val="18"/>
                <w:szCs w:val="18"/>
              </w:rPr>
              <w:br/>
            </w:r>
            <w:r w:rsidRPr="00CC0C66">
              <w:rPr>
                <w:rFonts w:ascii="Arial" w:hAnsi="Arial" w:cs="Arial"/>
                <w:color w:val="000000"/>
                <w:sz w:val="18"/>
                <w:szCs w:val="18"/>
              </w:rPr>
              <w:br/>
              <w:t>Leqvio®</w:t>
            </w:r>
            <w:r w:rsidRPr="00CC0C66">
              <w:rPr>
                <w:rFonts w:ascii="Arial" w:hAnsi="Arial" w:cs="Arial"/>
                <w:color w:val="000000"/>
                <w:sz w:val="18"/>
                <w:szCs w:val="18"/>
              </w:rPr>
              <w:br/>
            </w:r>
            <w:r w:rsidRPr="00CC0C66">
              <w:rPr>
                <w:rFonts w:ascii="Arial" w:hAnsi="Arial" w:cs="Arial"/>
                <w:color w:val="000000"/>
                <w:sz w:val="18"/>
                <w:szCs w:val="18"/>
              </w:rPr>
              <w:br/>
              <w:t>Novartis Pharmac</w:t>
            </w:r>
            <w:r w:rsidR="00C5261F">
              <w:rPr>
                <w:rFonts w:ascii="Arial" w:hAnsi="Arial" w:cs="Arial"/>
                <w:color w:val="000000"/>
                <w:sz w:val="18"/>
                <w:szCs w:val="18"/>
              </w:rPr>
              <w:t>euticals Australia Pty Ltd</w:t>
            </w:r>
          </w:p>
          <w:p w14:paraId="405BCB05" w14:textId="1016DBF2" w:rsidR="007F48F6" w:rsidRPr="00CC0C66" w:rsidRDefault="007F48F6" w:rsidP="00C5261F">
            <w:pPr>
              <w:keepLines/>
              <w:rPr>
                <w:rFonts w:ascii="Arial" w:hAnsi="Arial" w:cs="Arial"/>
                <w:color w:val="000000"/>
                <w:sz w:val="18"/>
                <w:szCs w:val="18"/>
              </w:rPr>
            </w:pPr>
            <w:r w:rsidRPr="00CC0C66">
              <w:rPr>
                <w:rFonts w:ascii="Arial" w:hAnsi="Arial" w:cs="Arial"/>
                <w:color w:val="000000"/>
                <w:sz w:val="18"/>
                <w:szCs w:val="18"/>
              </w:rPr>
              <w:t>Category 2 submission</w:t>
            </w:r>
          </w:p>
          <w:p w14:paraId="354BB886" w14:textId="35C2159B" w:rsidR="007F48F6" w:rsidRPr="00CC0C66" w:rsidRDefault="007F48F6" w:rsidP="00C5261F">
            <w:pPr>
              <w:keepLines/>
              <w:rPr>
                <w:rFonts w:ascii="Arial" w:hAnsi="Arial" w:cs="Arial"/>
                <w:sz w:val="18"/>
                <w:szCs w:val="18"/>
              </w:rPr>
            </w:pPr>
            <w:r w:rsidRPr="00CC0C66">
              <w:rPr>
                <w:rFonts w:ascii="Arial" w:hAnsi="Arial" w:cs="Arial"/>
                <w:color w:val="000000"/>
                <w:sz w:val="18"/>
                <w:szCs w:val="18"/>
              </w:rPr>
              <w:t>(New listing)</w:t>
            </w:r>
          </w:p>
        </w:tc>
        <w:tc>
          <w:tcPr>
            <w:tcW w:w="1559" w:type="dxa"/>
            <w:shd w:val="clear" w:color="000000" w:fill="D9D9D9"/>
            <w:vAlign w:val="center"/>
          </w:tcPr>
          <w:p w14:paraId="34F2C579" w14:textId="6273C76B"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Hypercholesterolaemia</w:t>
            </w:r>
          </w:p>
        </w:tc>
        <w:tc>
          <w:tcPr>
            <w:tcW w:w="2552" w:type="dxa"/>
            <w:shd w:val="clear" w:color="000000" w:fill="D9D9D9"/>
            <w:tcMar>
              <w:top w:w="28" w:type="dxa"/>
              <w:bottom w:w="28" w:type="dxa"/>
            </w:tcMar>
            <w:vAlign w:val="center"/>
          </w:tcPr>
          <w:p w14:paraId="608E6FCC" w14:textId="0120B86F"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General Schedule, Authority Required (online/telephone) listing for the treatment of heterozygous familial hypercholesterolaemia, and non-familial hypercholesterolaemia with atherosclerotic cardiovascular disease.</w:t>
            </w:r>
          </w:p>
        </w:tc>
        <w:tc>
          <w:tcPr>
            <w:tcW w:w="1558" w:type="dxa"/>
            <w:shd w:val="clear" w:color="000000" w:fill="D9D9D9"/>
            <w:vAlign w:val="center"/>
          </w:tcPr>
          <w:p w14:paraId="5363D1D4" w14:textId="5F502EB3"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Withdrawn</w:t>
            </w:r>
          </w:p>
        </w:tc>
        <w:tc>
          <w:tcPr>
            <w:tcW w:w="6605" w:type="dxa"/>
            <w:shd w:val="clear" w:color="000000" w:fill="D9D9D9"/>
            <w:vAlign w:val="center"/>
          </w:tcPr>
          <w:p w14:paraId="3775A15C" w14:textId="6BDAF5A0" w:rsidR="007F48F6" w:rsidRPr="00CC0C66" w:rsidRDefault="007F48F6" w:rsidP="00F3265E">
            <w:pPr>
              <w:pStyle w:val="ListParagraph"/>
              <w:keepLines/>
              <w:spacing w:after="120"/>
              <w:ind w:left="0"/>
              <w:rPr>
                <w:rFonts w:ascii="Arial" w:hAnsi="Arial" w:cs="Arial"/>
                <w:snapToGrid w:val="0"/>
                <w:sz w:val="18"/>
                <w:szCs w:val="18"/>
                <w:lang w:eastAsia="en-US"/>
              </w:rPr>
            </w:pPr>
          </w:p>
        </w:tc>
      </w:tr>
      <w:tr w:rsidR="007F48F6" w:rsidRPr="00CC0C66" w14:paraId="18531B41" w14:textId="77777777" w:rsidTr="002E1AD3">
        <w:trPr>
          <w:trHeight w:val="2299"/>
        </w:trPr>
        <w:tc>
          <w:tcPr>
            <w:tcW w:w="3114" w:type="dxa"/>
            <w:shd w:val="clear" w:color="auto" w:fill="auto"/>
            <w:tcMar>
              <w:top w:w="28" w:type="dxa"/>
              <w:bottom w:w="28" w:type="dxa"/>
            </w:tcMar>
            <w:vAlign w:val="center"/>
          </w:tcPr>
          <w:p w14:paraId="698493B6" w14:textId="45DC6321"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LANADELUMAB</w:t>
            </w:r>
            <w:r w:rsidRPr="00CC0C66">
              <w:rPr>
                <w:rFonts w:ascii="Arial" w:hAnsi="Arial" w:cs="Arial"/>
                <w:color w:val="000000"/>
                <w:sz w:val="18"/>
                <w:szCs w:val="18"/>
              </w:rPr>
              <w:br/>
            </w:r>
            <w:r w:rsidRPr="00CC0C66">
              <w:rPr>
                <w:rFonts w:ascii="Arial" w:hAnsi="Arial" w:cs="Arial"/>
                <w:color w:val="000000"/>
                <w:sz w:val="18"/>
                <w:szCs w:val="18"/>
              </w:rPr>
              <w:br/>
              <w:t xml:space="preserve">Solution for subcutaneous injection 300 mg in 2 mL </w:t>
            </w:r>
            <w:r w:rsidRPr="00CC0C66">
              <w:rPr>
                <w:rFonts w:ascii="Arial" w:hAnsi="Arial" w:cs="Arial"/>
                <w:color w:val="000000"/>
                <w:sz w:val="18"/>
                <w:szCs w:val="18"/>
              </w:rPr>
              <w:br/>
            </w:r>
            <w:r w:rsidRPr="00CC0C66">
              <w:rPr>
                <w:rFonts w:ascii="Arial" w:hAnsi="Arial" w:cs="Arial"/>
                <w:color w:val="000000"/>
                <w:sz w:val="18"/>
                <w:szCs w:val="18"/>
              </w:rPr>
              <w:br/>
              <w:t>Takhzyro®</w:t>
            </w:r>
            <w:r w:rsidRPr="00CC0C66">
              <w:rPr>
                <w:rFonts w:ascii="Arial" w:hAnsi="Arial" w:cs="Arial"/>
                <w:color w:val="000000"/>
                <w:sz w:val="18"/>
                <w:szCs w:val="18"/>
              </w:rPr>
              <w:br/>
            </w:r>
            <w:r w:rsidRPr="00CC0C66">
              <w:rPr>
                <w:rFonts w:ascii="Arial" w:hAnsi="Arial" w:cs="Arial"/>
                <w:color w:val="000000"/>
                <w:sz w:val="18"/>
                <w:szCs w:val="18"/>
              </w:rPr>
              <w:br/>
              <w:t>Takeda Ph</w:t>
            </w:r>
            <w:r w:rsidR="00C5261F">
              <w:rPr>
                <w:rFonts w:ascii="Arial" w:hAnsi="Arial" w:cs="Arial"/>
                <w:color w:val="000000"/>
                <w:sz w:val="18"/>
                <w:szCs w:val="18"/>
              </w:rPr>
              <w:t>armaceuticals Australia Pty Ltd</w:t>
            </w:r>
          </w:p>
          <w:p w14:paraId="115A6A10" w14:textId="1E1D5F8F" w:rsidR="007F48F6" w:rsidRPr="00CC0C66" w:rsidRDefault="007F48F6" w:rsidP="00C5261F">
            <w:pPr>
              <w:keepLines/>
              <w:rPr>
                <w:rFonts w:ascii="Arial" w:hAnsi="Arial" w:cs="Arial"/>
                <w:color w:val="000000"/>
                <w:sz w:val="18"/>
                <w:szCs w:val="18"/>
              </w:rPr>
            </w:pPr>
            <w:r w:rsidRPr="00CC0C66">
              <w:rPr>
                <w:rFonts w:ascii="Arial" w:hAnsi="Arial" w:cs="Arial"/>
                <w:color w:val="000000"/>
                <w:sz w:val="18"/>
                <w:szCs w:val="18"/>
              </w:rPr>
              <w:t>Category 2 submission</w:t>
            </w:r>
          </w:p>
          <w:p w14:paraId="25E9863D" w14:textId="565EAAA3" w:rsidR="007F48F6" w:rsidRPr="00CC0C66" w:rsidRDefault="007F48F6" w:rsidP="00C5261F">
            <w:pPr>
              <w:keepLines/>
              <w:rPr>
                <w:rFonts w:ascii="Arial" w:hAnsi="Arial" w:cs="Arial"/>
                <w:sz w:val="18"/>
                <w:szCs w:val="18"/>
              </w:rPr>
            </w:pPr>
            <w:r w:rsidRPr="00CC0C66">
              <w:rPr>
                <w:rFonts w:ascii="Arial" w:hAnsi="Arial" w:cs="Arial"/>
                <w:color w:val="000000"/>
                <w:sz w:val="18"/>
                <w:szCs w:val="18"/>
              </w:rPr>
              <w:t>(New listing)</w:t>
            </w:r>
          </w:p>
        </w:tc>
        <w:tc>
          <w:tcPr>
            <w:tcW w:w="1559" w:type="dxa"/>
            <w:shd w:val="clear" w:color="auto" w:fill="auto"/>
            <w:vAlign w:val="center"/>
          </w:tcPr>
          <w:p w14:paraId="0ACF97FF" w14:textId="026EA346"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Hereditary angioedema</w:t>
            </w:r>
            <w:r>
              <w:rPr>
                <w:rFonts w:ascii="Arial" w:hAnsi="Arial" w:cs="Arial"/>
                <w:color w:val="000000"/>
                <w:sz w:val="18"/>
                <w:szCs w:val="18"/>
              </w:rPr>
              <w:t xml:space="preserve"> (HAE)</w:t>
            </w:r>
          </w:p>
        </w:tc>
        <w:tc>
          <w:tcPr>
            <w:tcW w:w="2552" w:type="dxa"/>
            <w:shd w:val="clear" w:color="auto" w:fill="auto"/>
            <w:tcMar>
              <w:top w:w="28" w:type="dxa"/>
              <w:bottom w:w="28" w:type="dxa"/>
            </w:tcMar>
            <w:vAlign w:val="center"/>
          </w:tcPr>
          <w:p w14:paraId="5906D033" w14:textId="572A30BD"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Resubmission to request an Authority Required (</w:t>
            </w:r>
            <w:r w:rsidR="00C05362" w:rsidRPr="00CC0C66">
              <w:rPr>
                <w:rFonts w:ascii="Arial" w:hAnsi="Arial" w:cs="Arial"/>
                <w:color w:val="000000"/>
                <w:sz w:val="18"/>
                <w:szCs w:val="18"/>
              </w:rPr>
              <w:t>online/telephone</w:t>
            </w:r>
            <w:r w:rsidRPr="00CC0C66">
              <w:rPr>
                <w:rFonts w:ascii="Arial" w:hAnsi="Arial" w:cs="Arial"/>
                <w:color w:val="000000"/>
                <w:sz w:val="18"/>
                <w:szCs w:val="18"/>
              </w:rPr>
              <w:t>) listing for the prevention of recurrent attacks of hereditary angioedema (C1-esterase inhibitor deficiency or dysfunction) in patients aged 12 years and older.</w:t>
            </w:r>
          </w:p>
        </w:tc>
        <w:tc>
          <w:tcPr>
            <w:tcW w:w="1558" w:type="dxa"/>
            <w:shd w:val="clear" w:color="auto" w:fill="auto"/>
            <w:vAlign w:val="center"/>
          </w:tcPr>
          <w:p w14:paraId="756E2810" w14:textId="6D91D0B5"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1E03F177" w14:textId="6FA3BCC9"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The PBAC recommended the listing of lanadelumab for the prophylaxis of recurrent attacks of HAE. The PBAC, noting that danazol was no longer available in Australia and that there was currently no intervention available for patients with an attack frequency of 8 per month or fewer, considered that there was a moderate clinical need for effective and tolerable prophylactic therapies for these HAE patients. The PBAC considered that for some patients, lanadelumab provided a moderate clinical benefit in terms of a reduction in HAE attack frequency versus standard of care. The PBAC noted that although the updated economic model resulted in an incremental cost effectiveness ratio which remained uncertain, the associated financial risk was managed by the proposed </w:t>
            </w:r>
            <w:r>
              <w:rPr>
                <w:rFonts w:ascii="Arial" w:hAnsi="Arial" w:cs="Arial"/>
                <w:color w:val="000000"/>
                <w:sz w:val="18"/>
                <w:szCs w:val="18"/>
              </w:rPr>
              <w:t>r</w:t>
            </w:r>
            <w:r w:rsidRPr="00CC0C66">
              <w:rPr>
                <w:rFonts w:ascii="Arial" w:hAnsi="Arial" w:cs="Arial"/>
                <w:color w:val="000000"/>
                <w:sz w:val="18"/>
                <w:szCs w:val="18"/>
              </w:rPr>
              <w:t xml:space="preserve">isk </w:t>
            </w:r>
            <w:r>
              <w:rPr>
                <w:rFonts w:ascii="Arial" w:hAnsi="Arial" w:cs="Arial"/>
                <w:color w:val="000000"/>
                <w:sz w:val="18"/>
                <w:szCs w:val="18"/>
              </w:rPr>
              <w:t>s</w:t>
            </w:r>
            <w:r w:rsidRPr="00CC0C66">
              <w:rPr>
                <w:rFonts w:ascii="Arial" w:hAnsi="Arial" w:cs="Arial"/>
                <w:color w:val="000000"/>
                <w:sz w:val="18"/>
                <w:szCs w:val="18"/>
              </w:rPr>
              <w:t xml:space="preserve">haring </w:t>
            </w:r>
            <w:r>
              <w:rPr>
                <w:rFonts w:ascii="Arial" w:hAnsi="Arial" w:cs="Arial"/>
                <w:color w:val="000000"/>
                <w:sz w:val="18"/>
                <w:szCs w:val="18"/>
              </w:rPr>
              <w:t>a</w:t>
            </w:r>
            <w:r w:rsidRPr="00CC0C66">
              <w:rPr>
                <w:rFonts w:ascii="Arial" w:hAnsi="Arial" w:cs="Arial"/>
                <w:color w:val="000000"/>
                <w:sz w:val="18"/>
                <w:szCs w:val="18"/>
              </w:rPr>
              <w:t>rrangement in this small and definable patient population.</w:t>
            </w:r>
          </w:p>
        </w:tc>
      </w:tr>
      <w:tr w:rsidR="007F48F6" w:rsidRPr="00CC0C66" w14:paraId="1BB27BE2" w14:textId="77777777" w:rsidTr="002E1AD3">
        <w:trPr>
          <w:trHeight w:val="2212"/>
        </w:trPr>
        <w:tc>
          <w:tcPr>
            <w:tcW w:w="3114" w:type="dxa"/>
            <w:vMerge w:val="restart"/>
            <w:shd w:val="clear" w:color="auto" w:fill="auto"/>
            <w:tcMar>
              <w:top w:w="28" w:type="dxa"/>
              <w:bottom w:w="28" w:type="dxa"/>
            </w:tcMar>
            <w:vAlign w:val="center"/>
          </w:tcPr>
          <w:p w14:paraId="75FA65E8" w14:textId="6C668EB3"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LORLATINIB</w:t>
            </w:r>
            <w:r w:rsidRPr="00CC0C66">
              <w:rPr>
                <w:rFonts w:ascii="Arial" w:hAnsi="Arial" w:cs="Arial"/>
                <w:color w:val="000000"/>
                <w:sz w:val="18"/>
                <w:szCs w:val="18"/>
              </w:rPr>
              <w:br/>
            </w:r>
            <w:r w:rsidRPr="00CC0C66">
              <w:rPr>
                <w:rFonts w:ascii="Arial" w:hAnsi="Arial" w:cs="Arial"/>
                <w:color w:val="000000"/>
                <w:sz w:val="18"/>
                <w:szCs w:val="18"/>
              </w:rPr>
              <w:br/>
              <w:t>Tablet 25 mg</w:t>
            </w:r>
            <w:r w:rsidRPr="00CC0C66">
              <w:rPr>
                <w:rFonts w:ascii="Arial" w:hAnsi="Arial" w:cs="Arial"/>
                <w:color w:val="000000"/>
                <w:sz w:val="18"/>
                <w:szCs w:val="18"/>
              </w:rPr>
              <w:br/>
              <w:t>Tablet 100 mg</w:t>
            </w:r>
            <w:r w:rsidRPr="00CC0C66">
              <w:rPr>
                <w:rFonts w:ascii="Arial" w:hAnsi="Arial" w:cs="Arial"/>
                <w:color w:val="000000"/>
                <w:sz w:val="18"/>
                <w:szCs w:val="18"/>
              </w:rPr>
              <w:br/>
            </w:r>
            <w:r w:rsidRPr="00CC0C66">
              <w:rPr>
                <w:rFonts w:ascii="Arial" w:hAnsi="Arial" w:cs="Arial"/>
                <w:color w:val="000000"/>
                <w:sz w:val="18"/>
                <w:szCs w:val="18"/>
              </w:rPr>
              <w:br/>
              <w:t>Lorviqua®</w:t>
            </w:r>
            <w:r w:rsidRPr="00CC0C66">
              <w:rPr>
                <w:rFonts w:ascii="Arial" w:hAnsi="Arial" w:cs="Arial"/>
                <w:color w:val="000000"/>
                <w:sz w:val="18"/>
                <w:szCs w:val="18"/>
              </w:rPr>
              <w:br/>
            </w:r>
            <w:r w:rsidRPr="00CC0C66">
              <w:rPr>
                <w:rFonts w:ascii="Arial" w:hAnsi="Arial" w:cs="Arial"/>
                <w:color w:val="000000"/>
                <w:sz w:val="18"/>
                <w:szCs w:val="18"/>
              </w:rPr>
              <w:br/>
              <w:t>Pfizer Australia Pty Ltd</w:t>
            </w:r>
          </w:p>
          <w:p w14:paraId="61043645" w14:textId="15B9789C" w:rsidR="007F48F6" w:rsidRPr="00CC0C66" w:rsidRDefault="00164EA4" w:rsidP="00F3265E">
            <w:pPr>
              <w:keepLines/>
              <w:spacing w:after="120"/>
              <w:rPr>
                <w:rFonts w:ascii="Arial" w:hAnsi="Arial" w:cs="Arial"/>
                <w:sz w:val="18"/>
                <w:szCs w:val="18"/>
              </w:rPr>
            </w:pPr>
            <w:r>
              <w:rPr>
                <w:rFonts w:ascii="Arial" w:hAnsi="Arial" w:cs="Arial"/>
                <w:color w:val="000000"/>
                <w:sz w:val="18"/>
                <w:szCs w:val="18"/>
              </w:rPr>
              <w:t>Category 2</w:t>
            </w:r>
            <w:r w:rsidR="007F48F6" w:rsidRPr="00CC0C66">
              <w:rPr>
                <w:rFonts w:ascii="Arial" w:hAnsi="Arial" w:cs="Arial"/>
                <w:color w:val="000000"/>
                <w:sz w:val="18"/>
                <w:szCs w:val="18"/>
              </w:rPr>
              <w:t xml:space="preserve"> submission</w:t>
            </w:r>
            <w:r w:rsidR="007F48F6" w:rsidRPr="00CC0C66">
              <w:rPr>
                <w:rFonts w:ascii="Arial" w:hAnsi="Arial" w:cs="Arial"/>
                <w:color w:val="000000"/>
                <w:sz w:val="18"/>
                <w:szCs w:val="18"/>
              </w:rPr>
              <w:br/>
              <w:t>(Change to listing)</w:t>
            </w:r>
          </w:p>
        </w:tc>
        <w:tc>
          <w:tcPr>
            <w:tcW w:w="1559" w:type="dxa"/>
            <w:vMerge w:val="restart"/>
            <w:shd w:val="clear" w:color="auto" w:fill="auto"/>
            <w:vAlign w:val="center"/>
          </w:tcPr>
          <w:p w14:paraId="79A2EC59" w14:textId="52CCF50E"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Locally advanced (stage IIIB) or metastatic (stage IV) anaplastic lymphoma kinase (ALK)-positive non-small cell lung cancer (NSCLC)</w:t>
            </w:r>
          </w:p>
        </w:tc>
        <w:tc>
          <w:tcPr>
            <w:tcW w:w="2552" w:type="dxa"/>
            <w:vMerge w:val="restart"/>
            <w:shd w:val="clear" w:color="auto" w:fill="auto"/>
            <w:tcMar>
              <w:top w:w="28" w:type="dxa"/>
              <w:bottom w:w="28" w:type="dxa"/>
            </w:tcMar>
            <w:vAlign w:val="center"/>
          </w:tcPr>
          <w:p w14:paraId="7A521920" w14:textId="46859AB3"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General Schedule, Authority Required (online/telephone) listing for the treatment of locally advanced (Stage IIIB) or metastatic (Stage IV) ALK-positive NSCLC in patients who have not received prior treatment with an ALK inhibitor.</w:t>
            </w:r>
          </w:p>
        </w:tc>
        <w:tc>
          <w:tcPr>
            <w:tcW w:w="1558" w:type="dxa"/>
            <w:vMerge w:val="restart"/>
            <w:shd w:val="clear" w:color="auto" w:fill="auto"/>
            <w:vAlign w:val="center"/>
          </w:tcPr>
          <w:p w14:paraId="3A9AD823" w14:textId="0E8CA936"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Deferred</w:t>
            </w:r>
          </w:p>
        </w:tc>
        <w:tc>
          <w:tcPr>
            <w:tcW w:w="6605" w:type="dxa"/>
            <w:shd w:val="clear" w:color="auto" w:fill="auto"/>
          </w:tcPr>
          <w:p w14:paraId="616285C3" w14:textId="1CE5F1A5" w:rsidR="007F48F6" w:rsidRPr="00CC0C66" w:rsidRDefault="007F48F6" w:rsidP="00F3265E">
            <w:pPr>
              <w:pStyle w:val="ListParagraph"/>
              <w:keepLines/>
              <w:spacing w:after="120"/>
              <w:ind w:left="0"/>
              <w:rPr>
                <w:rFonts w:ascii="Arial" w:hAnsi="Arial" w:cs="Arial"/>
                <w:snapToGrid w:val="0"/>
                <w:sz w:val="18"/>
                <w:szCs w:val="18"/>
                <w:lang w:eastAsia="en-US"/>
              </w:rPr>
            </w:pPr>
            <w:r w:rsidRPr="002C7BFF">
              <w:rPr>
                <w:rFonts w:ascii="Arial" w:hAnsi="Arial" w:cs="Arial"/>
                <w:snapToGrid w:val="0"/>
                <w:sz w:val="18"/>
                <w:szCs w:val="18"/>
                <w:lang w:eastAsia="en-US"/>
              </w:rPr>
              <w:t>The PBAC deferred making a recommendation for the line-agnostic listing of lorlatinib for the treatment of patients with Stage IIIB or Stage IV  non-squamous or not otherwise specified type NSCLC with evidence of an ALK gene rearrangement in tumour material as the TGA Delegate’s Overview was not available at the time of consideration. However, the PBAC was of a mind to recommend the Authority Required line-agnostic listing of lorlatinib based on, among other matters, its assessment that the cost-effectiveness of lorlatinib would be acceptable if it were cost-minimised against the least costly alternative therapies (alectinib, brigatinib, ceritinib).</w:t>
            </w:r>
          </w:p>
        </w:tc>
      </w:tr>
      <w:tr w:rsidR="007F48F6" w:rsidRPr="00CC0C66" w14:paraId="06865E8D" w14:textId="77777777" w:rsidTr="002E1AD3">
        <w:trPr>
          <w:trHeight w:val="733"/>
        </w:trPr>
        <w:tc>
          <w:tcPr>
            <w:tcW w:w="3114" w:type="dxa"/>
            <w:vMerge/>
            <w:shd w:val="clear" w:color="auto" w:fill="auto"/>
            <w:tcMar>
              <w:top w:w="28" w:type="dxa"/>
              <w:bottom w:w="28" w:type="dxa"/>
            </w:tcMar>
            <w:vAlign w:val="center"/>
          </w:tcPr>
          <w:p w14:paraId="5EF4AC3B"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6B802986"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2EC5EE92"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7A5E184C"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06D723D5" w14:textId="7104A804" w:rsidR="00F8675D" w:rsidRPr="00F8675D" w:rsidRDefault="007F48F6"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Sponsor’s Comment</w:t>
            </w:r>
            <w:r w:rsidR="00F8675D">
              <w:rPr>
                <w:rFonts w:ascii="Arial" w:hAnsi="Arial" w:cs="Arial"/>
                <w:snapToGrid w:val="0"/>
                <w:sz w:val="18"/>
                <w:szCs w:val="18"/>
                <w:lang w:eastAsia="en-US"/>
              </w:rPr>
              <w:t xml:space="preserve">: </w:t>
            </w:r>
            <w:r w:rsidR="00F8675D" w:rsidRPr="00F8675D">
              <w:rPr>
                <w:rFonts w:ascii="Arial" w:hAnsi="Arial" w:cs="Arial"/>
                <w:snapToGrid w:val="0"/>
                <w:sz w:val="18"/>
                <w:szCs w:val="18"/>
                <w:lang w:eastAsia="en-US"/>
              </w:rPr>
              <w:t>Pfizer Australia is committed to working with the PBAC and the Department of Health to make lorlatinib available for the first-line treatment of locally advanced or metastatic ALK-positive non-small cell lung cancer at the earliest opportunity</w:t>
            </w:r>
            <w:r w:rsidR="00F8675D">
              <w:rPr>
                <w:rFonts w:ascii="Arial" w:hAnsi="Arial" w:cs="Arial"/>
                <w:snapToGrid w:val="0"/>
                <w:sz w:val="18"/>
                <w:szCs w:val="18"/>
                <w:lang w:eastAsia="en-US"/>
              </w:rPr>
              <w:t>.</w:t>
            </w:r>
          </w:p>
        </w:tc>
      </w:tr>
      <w:tr w:rsidR="001C00A8" w:rsidRPr="00CC0C66" w14:paraId="2FAB6EBD" w14:textId="77777777" w:rsidTr="00FE6F0F">
        <w:trPr>
          <w:trHeight w:val="2605"/>
        </w:trPr>
        <w:tc>
          <w:tcPr>
            <w:tcW w:w="3114" w:type="dxa"/>
            <w:shd w:val="clear" w:color="auto" w:fill="auto"/>
            <w:tcMar>
              <w:top w:w="28" w:type="dxa"/>
              <w:bottom w:w="28" w:type="dxa"/>
            </w:tcMar>
            <w:vAlign w:val="center"/>
          </w:tcPr>
          <w:p w14:paraId="542EC852" w14:textId="49FC716F" w:rsidR="001C00A8" w:rsidRPr="00CC0C66" w:rsidRDefault="001C00A8"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LUMACAFTOR + IVACAFTOR</w:t>
            </w:r>
            <w:r w:rsidRPr="00CC0C66">
              <w:rPr>
                <w:rFonts w:ascii="Arial" w:hAnsi="Arial" w:cs="Arial"/>
                <w:color w:val="000000"/>
                <w:sz w:val="18"/>
                <w:szCs w:val="18"/>
              </w:rPr>
              <w:br/>
            </w:r>
            <w:r w:rsidRPr="00CC0C66">
              <w:rPr>
                <w:rFonts w:ascii="Arial" w:hAnsi="Arial" w:cs="Arial"/>
                <w:color w:val="000000"/>
                <w:sz w:val="18"/>
                <w:szCs w:val="18"/>
              </w:rPr>
              <w:br/>
              <w:t>Tablet containing lumacaftor 100 mg with ivacaftor 125 mg</w:t>
            </w:r>
            <w:r w:rsidRPr="00CC0C66">
              <w:rPr>
                <w:rFonts w:ascii="Arial" w:hAnsi="Arial" w:cs="Arial"/>
                <w:color w:val="000000"/>
                <w:sz w:val="18"/>
                <w:szCs w:val="18"/>
              </w:rPr>
              <w:br/>
            </w:r>
            <w:r w:rsidRPr="00CC0C66">
              <w:rPr>
                <w:rFonts w:ascii="Arial" w:hAnsi="Arial" w:cs="Arial"/>
                <w:color w:val="000000"/>
                <w:sz w:val="18"/>
                <w:szCs w:val="18"/>
              </w:rPr>
              <w:br/>
              <w:t>Orkambi®</w:t>
            </w:r>
            <w:r w:rsidRPr="00CC0C66">
              <w:rPr>
                <w:rFonts w:ascii="Arial" w:hAnsi="Arial" w:cs="Arial"/>
                <w:color w:val="000000"/>
                <w:sz w:val="18"/>
                <w:szCs w:val="18"/>
              </w:rPr>
              <w:br/>
            </w:r>
            <w:r w:rsidRPr="00CC0C66">
              <w:rPr>
                <w:rFonts w:ascii="Arial" w:hAnsi="Arial" w:cs="Arial"/>
                <w:color w:val="000000"/>
                <w:sz w:val="18"/>
                <w:szCs w:val="18"/>
              </w:rPr>
              <w:br/>
              <w:t>Vertex Pharma</w:t>
            </w:r>
            <w:r w:rsidR="00C5261F">
              <w:rPr>
                <w:rFonts w:ascii="Arial" w:hAnsi="Arial" w:cs="Arial"/>
                <w:color w:val="000000"/>
                <w:sz w:val="18"/>
                <w:szCs w:val="18"/>
              </w:rPr>
              <w:t>ceuticals (Australia) Pty. Ltd.</w:t>
            </w:r>
          </w:p>
          <w:p w14:paraId="1F5D70CA" w14:textId="3A6E53B7" w:rsidR="001C00A8" w:rsidRPr="00CC0C66" w:rsidRDefault="001C00A8" w:rsidP="00C5261F">
            <w:pPr>
              <w:keepLines/>
              <w:rPr>
                <w:rFonts w:ascii="Arial" w:hAnsi="Arial" w:cs="Arial"/>
                <w:color w:val="000000"/>
                <w:sz w:val="18"/>
                <w:szCs w:val="18"/>
              </w:rPr>
            </w:pPr>
            <w:r w:rsidRPr="00CC0C66">
              <w:rPr>
                <w:rFonts w:ascii="Arial" w:hAnsi="Arial" w:cs="Arial"/>
                <w:color w:val="000000"/>
                <w:sz w:val="18"/>
                <w:szCs w:val="18"/>
              </w:rPr>
              <w:t>Category 2 submission</w:t>
            </w:r>
            <w:r w:rsidR="00C5261F">
              <w:rPr>
                <w:rFonts w:ascii="Arial" w:hAnsi="Arial" w:cs="Arial"/>
                <w:color w:val="000000"/>
                <w:sz w:val="18"/>
                <w:szCs w:val="18"/>
              </w:rPr>
              <w:t xml:space="preserve"> </w:t>
            </w:r>
          </w:p>
          <w:p w14:paraId="27BF0DBE" w14:textId="3CCAFE82" w:rsidR="001C00A8" w:rsidRPr="00CC0C66" w:rsidRDefault="001C00A8" w:rsidP="00C5261F">
            <w:pPr>
              <w:keepLines/>
              <w:rPr>
                <w:rFonts w:ascii="Arial" w:hAnsi="Arial" w:cs="Arial"/>
                <w:sz w:val="18"/>
                <w:szCs w:val="18"/>
              </w:rPr>
            </w:pPr>
            <w:r w:rsidRPr="00CC0C66">
              <w:rPr>
                <w:rFonts w:ascii="Arial" w:hAnsi="Arial" w:cs="Arial"/>
                <w:color w:val="000000"/>
                <w:sz w:val="18"/>
                <w:szCs w:val="18"/>
              </w:rPr>
              <w:t>(Other matters)</w:t>
            </w:r>
          </w:p>
        </w:tc>
        <w:tc>
          <w:tcPr>
            <w:tcW w:w="1559" w:type="dxa"/>
            <w:shd w:val="clear" w:color="auto" w:fill="auto"/>
            <w:vAlign w:val="center"/>
          </w:tcPr>
          <w:p w14:paraId="677F02A5" w14:textId="7A3A219D" w:rsidR="001C00A8" w:rsidRPr="00CC0C66" w:rsidRDefault="001C00A8"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Cystic fibrosis</w:t>
            </w:r>
          </w:p>
        </w:tc>
        <w:tc>
          <w:tcPr>
            <w:tcW w:w="2552" w:type="dxa"/>
            <w:shd w:val="clear" w:color="auto" w:fill="auto"/>
            <w:tcMar>
              <w:top w:w="28" w:type="dxa"/>
              <w:bottom w:w="28" w:type="dxa"/>
            </w:tcMar>
            <w:vAlign w:val="center"/>
          </w:tcPr>
          <w:p w14:paraId="0E955EDE" w14:textId="63F2EF14" w:rsidR="001C00A8" w:rsidRPr="00CC0C66" w:rsidRDefault="001C00A8"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provide additional data as specified in the Deed of Supply.</w:t>
            </w:r>
          </w:p>
        </w:tc>
        <w:tc>
          <w:tcPr>
            <w:tcW w:w="1558" w:type="dxa"/>
            <w:shd w:val="clear" w:color="auto" w:fill="auto"/>
            <w:vAlign w:val="center"/>
          </w:tcPr>
          <w:p w14:paraId="136525D8" w14:textId="79CABE02" w:rsidR="001C00A8" w:rsidRPr="00CC0C66" w:rsidRDefault="001C00A8"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Advice provided</w:t>
            </w:r>
          </w:p>
        </w:tc>
        <w:tc>
          <w:tcPr>
            <w:tcW w:w="6605" w:type="dxa"/>
            <w:shd w:val="clear" w:color="auto" w:fill="auto"/>
          </w:tcPr>
          <w:p w14:paraId="2C666636" w14:textId="3C741AC9" w:rsidR="001C00A8" w:rsidRDefault="001C00A8" w:rsidP="00F3265E">
            <w:pPr>
              <w:pStyle w:val="ListParagraph"/>
              <w:keepLines/>
              <w:spacing w:after="120"/>
              <w:ind w:left="0"/>
              <w:rPr>
                <w:rFonts w:ascii="Arial" w:hAnsi="Arial" w:cs="Arial"/>
                <w:snapToGrid w:val="0"/>
                <w:sz w:val="18"/>
                <w:szCs w:val="18"/>
                <w:lang w:eastAsia="en-US"/>
              </w:rPr>
            </w:pPr>
            <w:r w:rsidRPr="00CC0C66">
              <w:rPr>
                <w:rFonts w:ascii="Arial" w:hAnsi="Arial" w:cs="Arial"/>
                <w:snapToGrid w:val="0"/>
                <w:sz w:val="18"/>
                <w:szCs w:val="18"/>
                <w:lang w:eastAsia="en-US"/>
              </w:rPr>
              <w:t xml:space="preserve">This item was submitted to the PBAC by the sponsor to consider additional analyses related to the requirements of the Deed of Agreement (the Deed) currently in place between the sponsor and the Commonwealth for the PBS listing of lumacaftor/ivacaftor (Orkambi) and </w:t>
            </w:r>
            <w:r>
              <w:rPr>
                <w:rFonts w:ascii="Arial" w:hAnsi="Arial" w:cs="Arial"/>
                <w:snapToGrid w:val="0"/>
                <w:sz w:val="18"/>
                <w:szCs w:val="18"/>
                <w:lang w:eastAsia="en-US"/>
              </w:rPr>
              <w:t>t</w:t>
            </w:r>
            <w:r w:rsidRPr="00CC0C66">
              <w:rPr>
                <w:rFonts w:ascii="Arial" w:hAnsi="Arial" w:cs="Arial"/>
                <w:snapToGrid w:val="0"/>
                <w:sz w:val="18"/>
                <w:szCs w:val="18"/>
                <w:lang w:eastAsia="en-US"/>
              </w:rPr>
              <w:t>ezacaftor/ivacaftor (Symdeko). The PBAC advised the data provided did not adequately meet the requirements of the Deed in that the magnitude of the long-term benefits of lumacaftor/ivacaftor or tezacaftor/ivacaftor, in terms of the reduction in the decline in lung function and the reduction in the number of pulmonary exacerbations, remained uncertain. The PBAC considered that the sponsor should submit additional data to meet the requirements of the Deed, and that this item would be reconsidered by the PBAC in December 2021.</w:t>
            </w:r>
          </w:p>
          <w:p w14:paraId="2A6995FA" w14:textId="6747110F" w:rsidR="001C00A8" w:rsidRPr="00CC0C66" w:rsidRDefault="001C00A8" w:rsidP="00F3265E">
            <w:pPr>
              <w:pStyle w:val="ListParagraph"/>
              <w:keepLines/>
              <w:spacing w:after="120"/>
              <w:ind w:left="0"/>
              <w:rPr>
                <w:rFonts w:ascii="Arial" w:hAnsi="Arial" w:cs="Arial"/>
                <w:snapToGrid w:val="0"/>
                <w:sz w:val="18"/>
                <w:szCs w:val="18"/>
                <w:lang w:eastAsia="en-US"/>
              </w:rPr>
            </w:pPr>
          </w:p>
        </w:tc>
      </w:tr>
      <w:tr w:rsidR="007F48F6" w:rsidRPr="00CC0C66" w14:paraId="314AA7E5" w14:textId="77777777" w:rsidTr="005D7D0E">
        <w:trPr>
          <w:trHeight w:val="721"/>
        </w:trPr>
        <w:tc>
          <w:tcPr>
            <w:tcW w:w="3114" w:type="dxa"/>
            <w:vMerge w:val="restart"/>
            <w:shd w:val="clear" w:color="auto" w:fill="auto"/>
            <w:tcMar>
              <w:top w:w="28" w:type="dxa"/>
              <w:bottom w:w="28" w:type="dxa"/>
            </w:tcMar>
            <w:vAlign w:val="center"/>
          </w:tcPr>
          <w:p w14:paraId="3DB2F14F" w14:textId="6DBD2A2D"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MELATONIN</w:t>
            </w:r>
            <w:r w:rsidRPr="00CC0C66">
              <w:rPr>
                <w:rFonts w:ascii="Arial" w:hAnsi="Arial" w:cs="Arial"/>
                <w:color w:val="000000"/>
                <w:sz w:val="18"/>
                <w:szCs w:val="18"/>
              </w:rPr>
              <w:br/>
            </w:r>
            <w:r w:rsidRPr="00CC0C66">
              <w:rPr>
                <w:rFonts w:ascii="Arial" w:hAnsi="Arial" w:cs="Arial"/>
                <w:color w:val="000000"/>
                <w:sz w:val="18"/>
                <w:szCs w:val="18"/>
              </w:rPr>
              <w:br/>
              <w:t>Tablet 1 mg</w:t>
            </w:r>
            <w:r w:rsidRPr="00CC0C66">
              <w:rPr>
                <w:rFonts w:ascii="Arial" w:hAnsi="Arial" w:cs="Arial"/>
                <w:color w:val="000000"/>
                <w:sz w:val="18"/>
                <w:szCs w:val="18"/>
              </w:rPr>
              <w:br/>
              <w:t>Tablet 5 mg</w:t>
            </w:r>
            <w:r w:rsidRPr="00CC0C66">
              <w:rPr>
                <w:rFonts w:ascii="Arial" w:hAnsi="Arial" w:cs="Arial"/>
                <w:color w:val="000000"/>
                <w:sz w:val="18"/>
                <w:szCs w:val="18"/>
              </w:rPr>
              <w:br/>
            </w:r>
            <w:r w:rsidRPr="00CC0C66">
              <w:rPr>
                <w:rFonts w:ascii="Arial" w:hAnsi="Arial" w:cs="Arial"/>
                <w:color w:val="000000"/>
                <w:sz w:val="18"/>
                <w:szCs w:val="18"/>
              </w:rPr>
              <w:br/>
              <w:t>Slenyto®</w:t>
            </w:r>
            <w:r w:rsidRPr="00CC0C66">
              <w:rPr>
                <w:rFonts w:ascii="Arial" w:hAnsi="Arial" w:cs="Arial"/>
                <w:color w:val="000000"/>
                <w:sz w:val="18"/>
                <w:szCs w:val="18"/>
              </w:rPr>
              <w:br/>
            </w:r>
            <w:r w:rsidRPr="00CC0C66">
              <w:rPr>
                <w:rFonts w:ascii="Arial" w:hAnsi="Arial" w:cs="Arial"/>
                <w:color w:val="000000"/>
                <w:sz w:val="18"/>
                <w:szCs w:val="18"/>
              </w:rPr>
              <w:br/>
              <w:t>Aspen Pharmacare Australia Pty Ltd</w:t>
            </w:r>
          </w:p>
          <w:p w14:paraId="4A0FFB1D" w14:textId="376C3ACF"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Early Re-entry resubmission</w:t>
            </w:r>
            <w:r w:rsidRPr="00CC0C66">
              <w:rPr>
                <w:rFonts w:ascii="Arial" w:hAnsi="Arial" w:cs="Arial"/>
                <w:color w:val="000000"/>
                <w:sz w:val="18"/>
                <w:szCs w:val="18"/>
              </w:rPr>
              <w:br/>
              <w:t>(New listing)</w:t>
            </w:r>
          </w:p>
        </w:tc>
        <w:tc>
          <w:tcPr>
            <w:tcW w:w="1559" w:type="dxa"/>
            <w:vMerge w:val="restart"/>
            <w:shd w:val="clear" w:color="auto" w:fill="auto"/>
            <w:vAlign w:val="center"/>
          </w:tcPr>
          <w:p w14:paraId="62217335" w14:textId="52C92E9A"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Insomnia</w:t>
            </w:r>
          </w:p>
        </w:tc>
        <w:tc>
          <w:tcPr>
            <w:tcW w:w="2552" w:type="dxa"/>
            <w:vMerge w:val="restart"/>
            <w:shd w:val="clear" w:color="auto" w:fill="auto"/>
            <w:tcMar>
              <w:top w:w="28" w:type="dxa"/>
              <w:bottom w:w="28" w:type="dxa"/>
            </w:tcMar>
            <w:vAlign w:val="center"/>
          </w:tcPr>
          <w:p w14:paraId="384D92C5" w14:textId="29227BB9"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Resubmission to request an Authority Required (Telephone) listing for the treatment of insomnia in patients between the ages of 2 to 18 with Smith-Magenis syndrome.</w:t>
            </w:r>
          </w:p>
        </w:tc>
        <w:tc>
          <w:tcPr>
            <w:tcW w:w="1558" w:type="dxa"/>
            <w:vMerge w:val="restart"/>
            <w:shd w:val="clear" w:color="auto" w:fill="auto"/>
            <w:vAlign w:val="center"/>
          </w:tcPr>
          <w:p w14:paraId="1304533B" w14:textId="2AF12D84"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Deferred</w:t>
            </w:r>
          </w:p>
        </w:tc>
        <w:tc>
          <w:tcPr>
            <w:tcW w:w="6605" w:type="dxa"/>
            <w:shd w:val="clear" w:color="auto" w:fill="auto"/>
          </w:tcPr>
          <w:p w14:paraId="27F9B2BC" w14:textId="706CDAA6" w:rsidR="007F48F6" w:rsidRPr="00CC0C66" w:rsidRDefault="007F48F6" w:rsidP="00F3265E">
            <w:pPr>
              <w:pStyle w:val="ListParagraph"/>
              <w:keepLines/>
              <w:spacing w:after="120"/>
              <w:ind w:left="0"/>
              <w:rPr>
                <w:rFonts w:ascii="Arial" w:hAnsi="Arial" w:cs="Arial"/>
                <w:snapToGrid w:val="0"/>
                <w:sz w:val="18"/>
                <w:szCs w:val="18"/>
                <w:lang w:eastAsia="en-US"/>
              </w:rPr>
            </w:pPr>
            <w:r w:rsidRPr="002C7BFF">
              <w:rPr>
                <w:rFonts w:ascii="Arial" w:hAnsi="Arial" w:cs="Arial"/>
                <w:snapToGrid w:val="0"/>
                <w:sz w:val="18"/>
                <w:szCs w:val="18"/>
                <w:lang w:eastAsia="en-US"/>
              </w:rPr>
              <w:t>The PBAC deferred making a recommendation for the listing of melatonin for the treatment of insomnia in patients with Smith Magenis Syndrome to allow further discussions with the sponsor regarding a cost-effective price.</w:t>
            </w:r>
          </w:p>
        </w:tc>
      </w:tr>
      <w:tr w:rsidR="007F48F6" w:rsidRPr="00CC0C66" w14:paraId="4FA20365" w14:textId="77777777" w:rsidTr="00FE6F0F">
        <w:trPr>
          <w:trHeight w:val="1666"/>
        </w:trPr>
        <w:tc>
          <w:tcPr>
            <w:tcW w:w="3114" w:type="dxa"/>
            <w:vMerge/>
            <w:shd w:val="clear" w:color="auto" w:fill="auto"/>
            <w:tcMar>
              <w:top w:w="28" w:type="dxa"/>
              <w:bottom w:w="28" w:type="dxa"/>
            </w:tcMar>
            <w:vAlign w:val="center"/>
          </w:tcPr>
          <w:p w14:paraId="6C4A1B2A"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720114FD"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2E8F1C22"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4336FF52"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664B8ABF" w14:textId="29C16691" w:rsidR="005D7D0E" w:rsidRPr="00FE6F0F" w:rsidRDefault="007F48F6"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 xml:space="preserve">Sponsor’s </w:t>
            </w:r>
            <w:r w:rsidRPr="00FE6F0F">
              <w:rPr>
                <w:rFonts w:ascii="Arial" w:hAnsi="Arial" w:cs="Arial"/>
                <w:color w:val="000000"/>
                <w:sz w:val="18"/>
                <w:szCs w:val="18"/>
                <w:u w:val="single"/>
              </w:rPr>
              <w:t>Comment</w:t>
            </w:r>
            <w:r w:rsidR="00FE6F0F">
              <w:rPr>
                <w:rFonts w:ascii="Arial" w:hAnsi="Arial" w:cs="Arial"/>
                <w:color w:val="000000"/>
                <w:sz w:val="18"/>
                <w:szCs w:val="18"/>
              </w:rPr>
              <w:t xml:space="preserve">: </w:t>
            </w:r>
            <w:r w:rsidR="005D7D0E" w:rsidRPr="00FE6F0F">
              <w:rPr>
                <w:rFonts w:ascii="Arial" w:hAnsi="Arial" w:cs="Arial"/>
                <w:snapToGrid w:val="0"/>
                <w:sz w:val="18"/>
                <w:szCs w:val="18"/>
                <w:lang w:eastAsia="en-US"/>
              </w:rPr>
              <w:t>Aspen</w:t>
            </w:r>
            <w:r w:rsidR="005D7D0E" w:rsidRPr="005D7D0E">
              <w:rPr>
                <w:rFonts w:ascii="Arial" w:hAnsi="Arial" w:cs="Arial"/>
                <w:snapToGrid w:val="0"/>
                <w:sz w:val="18"/>
                <w:szCs w:val="18"/>
                <w:lang w:eastAsia="en-US"/>
              </w:rPr>
              <w:t xml:space="preserve"> is pleased that the PBAC has accepted there is a clinical need for Slenyto PRM in the SMS population. Aspen is looking forward to working with the PBAC/PBS pricing section to finalise the price for melatonin (Slenyto PRM) tablets. Aspen is also keen to continue working with the PBAC to potentially expand the listing to include ASD patients in the future</w:t>
            </w:r>
            <w:r w:rsidR="005D7D0E">
              <w:rPr>
                <w:rFonts w:ascii="Arial" w:hAnsi="Arial" w:cs="Arial"/>
                <w:snapToGrid w:val="0"/>
                <w:sz w:val="18"/>
                <w:szCs w:val="18"/>
                <w:lang w:eastAsia="en-US"/>
              </w:rPr>
              <w:t>.</w:t>
            </w:r>
          </w:p>
          <w:p w14:paraId="2FEDC4C2" w14:textId="2B2284C0" w:rsidR="005D7D0E" w:rsidRPr="00CC0C66" w:rsidRDefault="005D7D0E" w:rsidP="00F3265E">
            <w:pPr>
              <w:pStyle w:val="ListParagraph"/>
              <w:keepLines/>
              <w:spacing w:after="120"/>
              <w:ind w:left="0"/>
              <w:rPr>
                <w:rFonts w:ascii="Arial" w:hAnsi="Arial" w:cs="Arial"/>
                <w:snapToGrid w:val="0"/>
                <w:sz w:val="18"/>
                <w:szCs w:val="18"/>
                <w:lang w:eastAsia="en-US"/>
              </w:rPr>
            </w:pPr>
          </w:p>
        </w:tc>
      </w:tr>
      <w:tr w:rsidR="007F48F6" w:rsidRPr="00CC0C66" w14:paraId="568F61BE" w14:textId="77777777" w:rsidTr="009A0B9D">
        <w:trPr>
          <w:trHeight w:val="1329"/>
        </w:trPr>
        <w:tc>
          <w:tcPr>
            <w:tcW w:w="3114" w:type="dxa"/>
            <w:vMerge w:val="restart"/>
            <w:shd w:val="clear" w:color="auto" w:fill="auto"/>
            <w:tcMar>
              <w:top w:w="28" w:type="dxa"/>
              <w:bottom w:w="28" w:type="dxa"/>
            </w:tcMar>
            <w:vAlign w:val="center"/>
          </w:tcPr>
          <w:p w14:paraId="465A67D3" w14:textId="145F2CB0"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METHOXSALEN</w:t>
            </w:r>
            <w:r w:rsidRPr="00CC0C66">
              <w:rPr>
                <w:rFonts w:ascii="Arial" w:hAnsi="Arial" w:cs="Arial"/>
                <w:color w:val="000000"/>
                <w:sz w:val="18"/>
                <w:szCs w:val="18"/>
              </w:rPr>
              <w:br/>
            </w:r>
            <w:r w:rsidRPr="00CC0C66">
              <w:rPr>
                <w:rFonts w:ascii="Arial" w:hAnsi="Arial" w:cs="Arial"/>
                <w:color w:val="000000"/>
                <w:sz w:val="18"/>
                <w:szCs w:val="18"/>
              </w:rPr>
              <w:br/>
              <w:t>Solution for blood fraction 20</w:t>
            </w:r>
            <w:r>
              <w:rPr>
                <w:rFonts w:ascii="Arial" w:hAnsi="Arial" w:cs="Arial"/>
                <w:color w:val="000000"/>
                <w:sz w:val="18"/>
                <w:szCs w:val="18"/>
              </w:rPr>
              <w:t> </w:t>
            </w:r>
            <w:r w:rsidRPr="00CC0C66">
              <w:rPr>
                <w:rFonts w:ascii="Arial" w:hAnsi="Arial" w:cs="Arial"/>
                <w:color w:val="000000"/>
                <w:sz w:val="18"/>
                <w:szCs w:val="18"/>
              </w:rPr>
              <w:t>microgram per mL, 10 mL</w:t>
            </w:r>
            <w:r w:rsidRPr="00CC0C66">
              <w:rPr>
                <w:rFonts w:ascii="Arial" w:hAnsi="Arial" w:cs="Arial"/>
                <w:color w:val="000000"/>
                <w:sz w:val="18"/>
                <w:szCs w:val="18"/>
              </w:rPr>
              <w:br/>
            </w:r>
            <w:r w:rsidRPr="00CC0C66">
              <w:rPr>
                <w:rFonts w:ascii="Arial" w:hAnsi="Arial" w:cs="Arial"/>
                <w:color w:val="000000"/>
                <w:sz w:val="18"/>
                <w:szCs w:val="18"/>
              </w:rPr>
              <w:br/>
              <w:t>Uvadex®</w:t>
            </w:r>
            <w:r w:rsidRPr="00CC0C66">
              <w:rPr>
                <w:rFonts w:ascii="Arial" w:hAnsi="Arial" w:cs="Arial"/>
                <w:color w:val="000000"/>
                <w:sz w:val="18"/>
                <w:szCs w:val="18"/>
              </w:rPr>
              <w:br/>
            </w:r>
            <w:r w:rsidRPr="00CC0C66">
              <w:rPr>
                <w:rFonts w:ascii="Arial" w:hAnsi="Arial" w:cs="Arial"/>
                <w:color w:val="000000"/>
                <w:sz w:val="18"/>
                <w:szCs w:val="18"/>
              </w:rPr>
              <w:br/>
              <w:t>Terumo Bct Australia Pty Ltd</w:t>
            </w:r>
          </w:p>
          <w:p w14:paraId="76B6C1DF" w14:textId="21C5286C"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3 submission</w:t>
            </w:r>
            <w:r w:rsidRPr="00CC0C66">
              <w:rPr>
                <w:rFonts w:ascii="Arial" w:hAnsi="Arial" w:cs="Arial"/>
                <w:color w:val="000000"/>
                <w:sz w:val="18"/>
                <w:szCs w:val="18"/>
              </w:rPr>
              <w:br/>
              <w:t>(Change to listing)</w:t>
            </w:r>
          </w:p>
        </w:tc>
        <w:tc>
          <w:tcPr>
            <w:tcW w:w="1559" w:type="dxa"/>
            <w:vMerge w:val="restart"/>
            <w:shd w:val="clear" w:color="auto" w:fill="auto"/>
            <w:vAlign w:val="center"/>
          </w:tcPr>
          <w:p w14:paraId="5C387960" w14:textId="3FA489E6"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Steroid dependent or steroid intolerant or steroid refractory chronic graft versus host disease (cGVHD)</w:t>
            </w:r>
          </w:p>
        </w:tc>
        <w:tc>
          <w:tcPr>
            <w:tcW w:w="2552" w:type="dxa"/>
            <w:vMerge w:val="restart"/>
            <w:shd w:val="clear" w:color="auto" w:fill="auto"/>
            <w:tcMar>
              <w:top w:w="28" w:type="dxa"/>
              <w:bottom w:w="28" w:type="dxa"/>
            </w:tcMar>
            <w:vAlign w:val="center"/>
          </w:tcPr>
          <w:p w14:paraId="7D955155" w14:textId="28974EA0"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Section 100 (Highly Specialised Drugs Program), Authority Required (STREAMLINED) listing for the treatment of patients with steroid dependent or steroid intolerant or steroid refractory cGVHD, as part of treatment with integrated, closed system, extracorporeal photopheresis.</w:t>
            </w:r>
          </w:p>
        </w:tc>
        <w:tc>
          <w:tcPr>
            <w:tcW w:w="1558" w:type="dxa"/>
            <w:vMerge w:val="restart"/>
            <w:shd w:val="clear" w:color="auto" w:fill="auto"/>
            <w:vAlign w:val="center"/>
          </w:tcPr>
          <w:p w14:paraId="645E1493" w14:textId="4FB00C71"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Deferred</w:t>
            </w:r>
          </w:p>
        </w:tc>
        <w:tc>
          <w:tcPr>
            <w:tcW w:w="6605" w:type="dxa"/>
            <w:shd w:val="clear" w:color="auto" w:fill="auto"/>
          </w:tcPr>
          <w:p w14:paraId="1F0E1BC4" w14:textId="0CEC45A6" w:rsidR="007F48F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snapToGrid w:val="0"/>
                <w:sz w:val="18"/>
                <w:szCs w:val="18"/>
                <w:lang w:eastAsia="en-US"/>
              </w:rPr>
              <w:t>The PBAC deferred its consideration of methoxsalen for the treatment of patients with steroid dependent, steroid intolerant or steroid refractory cGVHD, to await the outcome of the Medical Services Advisory Committee (MSAC) consideration on the funding of the co-dependent extracorporeal photopheresis (ECP), before making a final decision on PBS funding.</w:t>
            </w:r>
          </w:p>
          <w:p w14:paraId="08483E6C" w14:textId="7DFE479C" w:rsidR="007F48F6" w:rsidRPr="00CC0C66" w:rsidRDefault="007F48F6" w:rsidP="00F3265E">
            <w:pPr>
              <w:pStyle w:val="ListParagraph"/>
              <w:keepLines/>
              <w:spacing w:after="120"/>
              <w:ind w:left="0"/>
              <w:rPr>
                <w:rFonts w:ascii="Arial" w:hAnsi="Arial" w:cs="Arial"/>
                <w:snapToGrid w:val="0"/>
                <w:sz w:val="18"/>
                <w:szCs w:val="18"/>
                <w:lang w:eastAsia="en-US"/>
              </w:rPr>
            </w:pPr>
          </w:p>
        </w:tc>
      </w:tr>
      <w:tr w:rsidR="007F48F6" w:rsidRPr="00CC0C66" w14:paraId="5DD9E9EC" w14:textId="77777777" w:rsidTr="002E1AD3">
        <w:trPr>
          <w:trHeight w:val="455"/>
        </w:trPr>
        <w:tc>
          <w:tcPr>
            <w:tcW w:w="3114" w:type="dxa"/>
            <w:vMerge/>
            <w:shd w:val="clear" w:color="auto" w:fill="auto"/>
            <w:tcMar>
              <w:top w:w="28" w:type="dxa"/>
              <w:bottom w:w="28" w:type="dxa"/>
            </w:tcMar>
            <w:vAlign w:val="center"/>
          </w:tcPr>
          <w:p w14:paraId="7E49A67A"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6A8495D9"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7B7585A9"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6695B0CF"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17ACDE54" w14:textId="6E9C6755"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u w:val="single"/>
              </w:rPr>
              <w:t>Sponsor’s Comment</w:t>
            </w:r>
            <w:r w:rsidR="000E5563">
              <w:rPr>
                <w:rFonts w:ascii="Arial" w:hAnsi="Arial" w:cs="Arial"/>
                <w:color w:val="000000"/>
                <w:sz w:val="18"/>
                <w:szCs w:val="18"/>
              </w:rPr>
              <w:t xml:space="preserve">: </w:t>
            </w:r>
            <w:r w:rsidR="000E5563" w:rsidRPr="00EF1350">
              <w:rPr>
                <w:rFonts w:ascii="Arial" w:hAnsi="Arial" w:cs="Arial"/>
                <w:color w:val="000000"/>
                <w:sz w:val="18"/>
                <w:szCs w:val="18"/>
              </w:rPr>
              <w:t>The sponsor had no comment.</w:t>
            </w:r>
          </w:p>
        </w:tc>
      </w:tr>
      <w:tr w:rsidR="007F48F6" w:rsidRPr="00CC0C66" w14:paraId="7F8B13C7" w14:textId="77777777" w:rsidTr="002E1AD3">
        <w:trPr>
          <w:trHeight w:val="587"/>
        </w:trPr>
        <w:tc>
          <w:tcPr>
            <w:tcW w:w="3114" w:type="dxa"/>
            <w:vMerge w:val="restart"/>
            <w:shd w:val="clear" w:color="auto" w:fill="auto"/>
            <w:tcMar>
              <w:top w:w="28" w:type="dxa"/>
              <w:bottom w:w="28" w:type="dxa"/>
            </w:tcMar>
            <w:vAlign w:val="center"/>
          </w:tcPr>
          <w:p w14:paraId="266A6916" w14:textId="1AFC9C7D"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NIRAPARIB</w:t>
            </w:r>
            <w:r w:rsidRPr="00CC0C66">
              <w:rPr>
                <w:rFonts w:ascii="Arial" w:hAnsi="Arial" w:cs="Arial"/>
                <w:color w:val="000000"/>
                <w:sz w:val="18"/>
                <w:szCs w:val="18"/>
              </w:rPr>
              <w:br/>
            </w:r>
            <w:r w:rsidRPr="00CC0C66">
              <w:rPr>
                <w:rFonts w:ascii="Arial" w:hAnsi="Arial" w:cs="Arial"/>
                <w:color w:val="000000"/>
                <w:sz w:val="18"/>
                <w:szCs w:val="18"/>
              </w:rPr>
              <w:br/>
              <w:t>Capsule 100 mg</w:t>
            </w:r>
            <w:r w:rsidRPr="00CC0C66">
              <w:rPr>
                <w:rFonts w:ascii="Arial" w:hAnsi="Arial" w:cs="Arial"/>
                <w:color w:val="000000"/>
                <w:sz w:val="18"/>
                <w:szCs w:val="18"/>
              </w:rPr>
              <w:br/>
            </w:r>
            <w:r w:rsidRPr="00CC0C66">
              <w:rPr>
                <w:rFonts w:ascii="Arial" w:hAnsi="Arial" w:cs="Arial"/>
                <w:color w:val="000000"/>
                <w:sz w:val="18"/>
                <w:szCs w:val="18"/>
              </w:rPr>
              <w:br/>
              <w:t>Zejula®</w:t>
            </w:r>
            <w:r w:rsidRPr="00CC0C66">
              <w:rPr>
                <w:rFonts w:ascii="Arial" w:hAnsi="Arial" w:cs="Arial"/>
                <w:color w:val="000000"/>
                <w:sz w:val="18"/>
                <w:szCs w:val="18"/>
              </w:rPr>
              <w:br/>
            </w:r>
            <w:r w:rsidRPr="00CC0C66">
              <w:rPr>
                <w:rFonts w:ascii="Arial" w:hAnsi="Arial" w:cs="Arial"/>
                <w:color w:val="000000"/>
                <w:sz w:val="18"/>
                <w:szCs w:val="18"/>
              </w:rPr>
              <w:br/>
              <w:t>Glaxosmithkline Australia Pty Ltd</w:t>
            </w:r>
          </w:p>
          <w:p w14:paraId="63F2BF07" w14:textId="3405FCE1"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2 submission</w:t>
            </w:r>
            <w:r w:rsidRPr="00CC0C66">
              <w:rPr>
                <w:rFonts w:ascii="Arial" w:hAnsi="Arial" w:cs="Arial"/>
                <w:color w:val="000000"/>
                <w:sz w:val="18"/>
                <w:szCs w:val="18"/>
              </w:rPr>
              <w:br/>
              <w:t>(New listing)</w:t>
            </w:r>
          </w:p>
        </w:tc>
        <w:tc>
          <w:tcPr>
            <w:tcW w:w="1559" w:type="dxa"/>
            <w:vMerge w:val="restart"/>
            <w:shd w:val="clear" w:color="auto" w:fill="auto"/>
            <w:vAlign w:val="center"/>
          </w:tcPr>
          <w:p w14:paraId="72974D6D" w14:textId="6D3E9E20"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High grade epithelial ovarian, fallopian tube, or primary peritoneal cancer</w:t>
            </w:r>
            <w:r>
              <w:rPr>
                <w:rFonts w:ascii="Arial" w:hAnsi="Arial" w:cs="Arial"/>
                <w:color w:val="000000"/>
                <w:sz w:val="18"/>
                <w:szCs w:val="18"/>
              </w:rPr>
              <w:t xml:space="preserve"> (HGEOC)</w:t>
            </w:r>
          </w:p>
        </w:tc>
        <w:tc>
          <w:tcPr>
            <w:tcW w:w="2552" w:type="dxa"/>
            <w:vMerge w:val="restart"/>
            <w:shd w:val="clear" w:color="auto" w:fill="auto"/>
            <w:tcMar>
              <w:top w:w="28" w:type="dxa"/>
              <w:bottom w:w="28" w:type="dxa"/>
            </w:tcMar>
            <w:vAlign w:val="center"/>
          </w:tcPr>
          <w:p w14:paraId="31823F4A" w14:textId="1CAE8BF7"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General Schedule, Authority Required (STREAMLINED) listing for the treatment of newly diagnosed, advanced, HGEOC that is responsive (complete/partial) to platinum-based chemotherapy.</w:t>
            </w:r>
          </w:p>
        </w:tc>
        <w:tc>
          <w:tcPr>
            <w:tcW w:w="1558" w:type="dxa"/>
            <w:vMerge w:val="restart"/>
            <w:shd w:val="clear" w:color="auto" w:fill="auto"/>
            <w:vAlign w:val="center"/>
          </w:tcPr>
          <w:p w14:paraId="6CC2DAEA" w14:textId="3022E46C"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Not Recommended</w:t>
            </w:r>
          </w:p>
        </w:tc>
        <w:tc>
          <w:tcPr>
            <w:tcW w:w="6605" w:type="dxa"/>
            <w:shd w:val="clear" w:color="auto" w:fill="auto"/>
          </w:tcPr>
          <w:p w14:paraId="0A552578" w14:textId="28005F31" w:rsidR="007F48F6" w:rsidRPr="00CC0C66" w:rsidRDefault="007F48F6" w:rsidP="00F3265E">
            <w:pPr>
              <w:pStyle w:val="ListParagraph"/>
              <w:keepLines/>
              <w:spacing w:after="120"/>
              <w:ind w:left="0"/>
              <w:rPr>
                <w:rFonts w:ascii="Arial" w:hAnsi="Arial" w:cs="Arial"/>
                <w:snapToGrid w:val="0"/>
                <w:sz w:val="18"/>
                <w:szCs w:val="18"/>
                <w:lang w:eastAsia="en-US"/>
              </w:rPr>
            </w:pPr>
            <w:r w:rsidRPr="002C7BFF">
              <w:rPr>
                <w:rFonts w:ascii="Arial" w:hAnsi="Arial" w:cs="Arial"/>
                <w:snapToGrid w:val="0"/>
                <w:sz w:val="18"/>
                <w:szCs w:val="18"/>
                <w:lang w:eastAsia="en-US"/>
              </w:rPr>
              <w:t>The PBAC did not recommend niraparib for the treatment of newly diagnosed advanced, HGEOC, who are in response to platinum-based chemotherapy. The PBAC was unable to assess the incremental clinical and economic effectiveness based on the submission provided, which did not include the relevant comparator for patients with BRCA1/2 pathogenic gene variants who would be treated with olaparib or for patients who would otherwise be treated with bevacizumab. The PBAC noted that the progression free survival benefit from treatment with niraparib varied depending on the presence of BRCA1/2 pathogenic gene variants and homologous repair deficiency (HRD) status. The PBAC considered there may be differences in benefits and harms in the different patient subgroups, if niraparib is used in place of olaparib, bevacizumab or standard medical management, and that these potential differences were not adequately presented in the submission.</w:t>
            </w:r>
          </w:p>
        </w:tc>
      </w:tr>
      <w:tr w:rsidR="007F48F6" w:rsidRPr="00CC0C66" w14:paraId="6256C37D" w14:textId="77777777" w:rsidTr="00FE6F0F">
        <w:trPr>
          <w:trHeight w:val="1285"/>
        </w:trPr>
        <w:tc>
          <w:tcPr>
            <w:tcW w:w="3114" w:type="dxa"/>
            <w:vMerge/>
            <w:shd w:val="clear" w:color="auto" w:fill="auto"/>
            <w:tcMar>
              <w:top w:w="28" w:type="dxa"/>
              <w:bottom w:w="28" w:type="dxa"/>
            </w:tcMar>
            <w:vAlign w:val="center"/>
          </w:tcPr>
          <w:p w14:paraId="59B77972"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6EBAF137"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14C4ACEA"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582A5011"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6A4E8BD1" w14:textId="720D1B62" w:rsidR="00F3265E" w:rsidRPr="000E5563" w:rsidRDefault="007F48F6"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Sponsor’s Comment</w:t>
            </w:r>
            <w:r w:rsidR="000E5563">
              <w:rPr>
                <w:rFonts w:ascii="Arial" w:hAnsi="Arial" w:cs="Arial"/>
                <w:color w:val="000000"/>
                <w:sz w:val="18"/>
                <w:szCs w:val="18"/>
                <w:u w:val="single"/>
              </w:rPr>
              <w:t>:</w:t>
            </w:r>
            <w:r w:rsidR="000E5563" w:rsidRPr="001B22B4">
              <w:rPr>
                <w:rFonts w:ascii="Arial" w:hAnsi="Arial" w:cs="Arial"/>
                <w:color w:val="000000"/>
                <w:sz w:val="18"/>
                <w:szCs w:val="18"/>
              </w:rPr>
              <w:t xml:space="preserve"> </w:t>
            </w:r>
            <w:r w:rsidR="00F3265E" w:rsidRPr="00F3265E">
              <w:rPr>
                <w:rFonts w:ascii="Arial" w:hAnsi="Arial" w:cs="Arial"/>
                <w:snapToGrid w:val="0"/>
                <w:sz w:val="18"/>
                <w:szCs w:val="18"/>
                <w:lang w:eastAsia="en-US"/>
              </w:rPr>
              <w:t>GSK is disappointed by the PBAC’s decision not to recommend niraparib (Zejula), for newly diagnosed advanced, high-grade epithelial ovarian, fallopian tube or primary peritoneal cancer (HGEOC), who are in response to platinum-based chemotherapy. However, we remain committed to working with the PBAC to ensure Australian women with ovarian cancer have timely access to Zejula</w:t>
            </w:r>
            <w:r w:rsidR="00F3265E">
              <w:rPr>
                <w:rFonts w:ascii="Arial" w:hAnsi="Arial" w:cs="Arial"/>
                <w:snapToGrid w:val="0"/>
                <w:sz w:val="18"/>
                <w:szCs w:val="18"/>
                <w:lang w:eastAsia="en-US"/>
              </w:rPr>
              <w:t>.</w:t>
            </w:r>
          </w:p>
        </w:tc>
      </w:tr>
      <w:tr w:rsidR="007F48F6" w:rsidRPr="00CC0C66" w14:paraId="0E20D8D9" w14:textId="77777777" w:rsidTr="00FE6F0F">
        <w:trPr>
          <w:trHeight w:val="3119"/>
        </w:trPr>
        <w:tc>
          <w:tcPr>
            <w:tcW w:w="3114" w:type="dxa"/>
            <w:shd w:val="clear" w:color="auto" w:fill="auto"/>
            <w:tcMar>
              <w:top w:w="28" w:type="dxa"/>
              <w:bottom w:w="28" w:type="dxa"/>
            </w:tcMar>
            <w:vAlign w:val="center"/>
          </w:tcPr>
          <w:p w14:paraId="5ED33AD6" w14:textId="7DBC0A4C"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NIVOLUMAB</w:t>
            </w:r>
            <w:r w:rsidRPr="00CC0C66">
              <w:rPr>
                <w:rFonts w:ascii="Arial" w:hAnsi="Arial" w:cs="Arial"/>
                <w:color w:val="000000"/>
                <w:sz w:val="18"/>
                <w:szCs w:val="18"/>
              </w:rPr>
              <w:br/>
            </w:r>
            <w:r w:rsidRPr="00CC0C66">
              <w:rPr>
                <w:rFonts w:ascii="Arial" w:hAnsi="Arial" w:cs="Arial"/>
                <w:color w:val="000000"/>
                <w:sz w:val="18"/>
                <w:szCs w:val="18"/>
              </w:rPr>
              <w:br/>
              <w:t>Injection concentrate for I.V. infusion 40 mg in 4 mL</w:t>
            </w:r>
            <w:r w:rsidRPr="00CC0C66">
              <w:rPr>
                <w:rFonts w:ascii="Arial" w:hAnsi="Arial" w:cs="Arial"/>
                <w:color w:val="000000"/>
                <w:sz w:val="18"/>
                <w:szCs w:val="18"/>
              </w:rPr>
              <w:br/>
              <w:t>Injection concentrate for I.V. infusion 100 mg in 10 mL</w:t>
            </w:r>
            <w:r w:rsidRPr="00CC0C66">
              <w:rPr>
                <w:rFonts w:ascii="Arial" w:hAnsi="Arial" w:cs="Arial"/>
                <w:color w:val="000000"/>
                <w:sz w:val="18"/>
                <w:szCs w:val="18"/>
              </w:rPr>
              <w:br/>
            </w:r>
            <w:r w:rsidRPr="00CC0C66">
              <w:rPr>
                <w:rFonts w:ascii="Arial" w:hAnsi="Arial" w:cs="Arial"/>
                <w:color w:val="000000"/>
                <w:sz w:val="18"/>
                <w:szCs w:val="18"/>
              </w:rPr>
              <w:br/>
              <w:t>Opdivo®</w:t>
            </w:r>
            <w:r w:rsidRPr="00CC0C66">
              <w:rPr>
                <w:rFonts w:ascii="Arial" w:hAnsi="Arial" w:cs="Arial"/>
                <w:color w:val="000000"/>
                <w:sz w:val="18"/>
                <w:szCs w:val="18"/>
              </w:rPr>
              <w:br/>
            </w:r>
            <w:r w:rsidRPr="00CC0C66">
              <w:rPr>
                <w:rFonts w:ascii="Arial" w:hAnsi="Arial" w:cs="Arial"/>
                <w:color w:val="000000"/>
                <w:sz w:val="18"/>
                <w:szCs w:val="18"/>
              </w:rPr>
              <w:br/>
              <w:t>Bristol-Myers Squibb Australia Pty Ltd</w:t>
            </w:r>
          </w:p>
          <w:p w14:paraId="4DCE4E0A" w14:textId="0A366521"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1 submission</w:t>
            </w:r>
            <w:r w:rsidRPr="00CC0C66">
              <w:rPr>
                <w:rFonts w:ascii="Arial" w:hAnsi="Arial" w:cs="Arial"/>
                <w:color w:val="000000"/>
                <w:sz w:val="18"/>
                <w:szCs w:val="18"/>
              </w:rPr>
              <w:br/>
              <w:t>(Change to listing)</w:t>
            </w:r>
          </w:p>
        </w:tc>
        <w:tc>
          <w:tcPr>
            <w:tcW w:w="1559" w:type="dxa"/>
            <w:shd w:val="clear" w:color="auto" w:fill="auto"/>
            <w:vAlign w:val="center"/>
          </w:tcPr>
          <w:p w14:paraId="7E94AF4D" w14:textId="2D007E8F"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Second-line squamous cell oesophageal carcinoma (2L OSCC)</w:t>
            </w:r>
          </w:p>
        </w:tc>
        <w:tc>
          <w:tcPr>
            <w:tcW w:w="2552" w:type="dxa"/>
            <w:shd w:val="clear" w:color="auto" w:fill="auto"/>
            <w:tcMar>
              <w:top w:w="28" w:type="dxa"/>
              <w:bottom w:w="28" w:type="dxa"/>
            </w:tcMar>
            <w:vAlign w:val="center"/>
          </w:tcPr>
          <w:p w14:paraId="29160EF1" w14:textId="2636A18A"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Section 100 (Efficient Funding of Chemotherapy), Authority Required (STREAMLINED) listing for 2L OSCC that have failed treatment with a fluoropyrimidine and platinum containing treatment regimen.</w:t>
            </w:r>
          </w:p>
        </w:tc>
        <w:tc>
          <w:tcPr>
            <w:tcW w:w="1558" w:type="dxa"/>
            <w:shd w:val="clear" w:color="auto" w:fill="auto"/>
            <w:vAlign w:val="center"/>
          </w:tcPr>
          <w:p w14:paraId="4E47F1AA" w14:textId="661FC992"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390EF6DA" w14:textId="7C8E5305"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The PBAC recommended the Section 100 (Efficient Funding of Chemotherapy – Public and Private Hospital) Authority Required (Streamlined) listing of nivolumab for the treatment of patients with advanced or metastatic </w:t>
            </w:r>
            <w:r>
              <w:rPr>
                <w:rFonts w:ascii="Arial" w:hAnsi="Arial" w:cs="Arial"/>
                <w:color w:val="000000"/>
                <w:sz w:val="18"/>
                <w:szCs w:val="18"/>
              </w:rPr>
              <w:t xml:space="preserve">OSCC </w:t>
            </w:r>
            <w:r w:rsidRPr="00CC0C66">
              <w:rPr>
                <w:rFonts w:ascii="Arial" w:hAnsi="Arial" w:cs="Arial"/>
                <w:color w:val="000000"/>
                <w:sz w:val="18"/>
                <w:szCs w:val="18"/>
              </w:rPr>
              <w:t>who have disease progression following treatment with a fluoropyrimidine and platinum-based chemotherapy regimen. The PBAC considered there is a moderate clinical need in this patient population, given the availability of subsidised alternatives (but noted the toxicity and limited benefit of the alternative treatments). The PBAC acknowledged the moderate added benefit (small survival benefit, some improvement in quality of life, moderate reduction in adverse events) provided by nivolumab. The PBAC considered that the incremental cost effectiveness ratio was high at the proposed price and a price reduction would be required to ensure nivolumab is cost-effective in this population.</w:t>
            </w:r>
          </w:p>
        </w:tc>
      </w:tr>
      <w:tr w:rsidR="007F48F6" w:rsidRPr="00CC0C66" w14:paraId="07F510EF" w14:textId="77777777" w:rsidTr="002E1AD3">
        <w:trPr>
          <w:trHeight w:val="30"/>
        </w:trPr>
        <w:tc>
          <w:tcPr>
            <w:tcW w:w="3114" w:type="dxa"/>
            <w:vMerge w:val="restart"/>
            <w:shd w:val="clear" w:color="auto" w:fill="auto"/>
            <w:tcMar>
              <w:top w:w="28" w:type="dxa"/>
              <w:bottom w:w="28" w:type="dxa"/>
            </w:tcMar>
            <w:vAlign w:val="center"/>
          </w:tcPr>
          <w:p w14:paraId="33232A25" w14:textId="54673E13"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 xml:space="preserve">NUSINERSEN </w:t>
            </w:r>
            <w:r w:rsidRPr="00CC0C66">
              <w:rPr>
                <w:rFonts w:ascii="Arial" w:hAnsi="Arial" w:cs="Arial"/>
                <w:color w:val="000000"/>
                <w:sz w:val="18"/>
                <w:szCs w:val="18"/>
              </w:rPr>
              <w:br/>
            </w:r>
            <w:r w:rsidRPr="00CC0C66">
              <w:rPr>
                <w:rFonts w:ascii="Arial" w:hAnsi="Arial" w:cs="Arial"/>
                <w:color w:val="000000"/>
                <w:sz w:val="18"/>
                <w:szCs w:val="18"/>
              </w:rPr>
              <w:br/>
              <w:t>Solution for injection 12.6 mg in 5</w:t>
            </w:r>
            <w:r>
              <w:rPr>
                <w:rFonts w:ascii="Arial" w:hAnsi="Arial" w:cs="Arial"/>
                <w:color w:val="000000"/>
                <w:sz w:val="18"/>
                <w:szCs w:val="18"/>
              </w:rPr>
              <w:t> </w:t>
            </w:r>
            <w:r w:rsidRPr="00CC0C66">
              <w:rPr>
                <w:rFonts w:ascii="Arial" w:hAnsi="Arial" w:cs="Arial"/>
                <w:color w:val="000000"/>
                <w:sz w:val="18"/>
                <w:szCs w:val="18"/>
              </w:rPr>
              <w:t xml:space="preserve">mL </w:t>
            </w:r>
            <w:r w:rsidRPr="00CC0C66">
              <w:rPr>
                <w:rFonts w:ascii="Arial" w:hAnsi="Arial" w:cs="Arial"/>
                <w:color w:val="000000"/>
                <w:sz w:val="18"/>
                <w:szCs w:val="18"/>
              </w:rPr>
              <w:br/>
            </w:r>
            <w:r w:rsidRPr="00CC0C66">
              <w:rPr>
                <w:rFonts w:ascii="Arial" w:hAnsi="Arial" w:cs="Arial"/>
                <w:color w:val="000000"/>
                <w:sz w:val="18"/>
                <w:szCs w:val="18"/>
              </w:rPr>
              <w:br/>
              <w:t xml:space="preserve">Spinraza® </w:t>
            </w:r>
            <w:r w:rsidRPr="00CC0C66">
              <w:rPr>
                <w:rFonts w:ascii="Arial" w:hAnsi="Arial" w:cs="Arial"/>
                <w:color w:val="000000"/>
                <w:sz w:val="18"/>
                <w:szCs w:val="18"/>
              </w:rPr>
              <w:br/>
            </w:r>
            <w:r w:rsidRPr="00CC0C66">
              <w:rPr>
                <w:rFonts w:ascii="Arial" w:hAnsi="Arial" w:cs="Arial"/>
                <w:color w:val="000000"/>
                <w:sz w:val="18"/>
                <w:szCs w:val="18"/>
              </w:rPr>
              <w:br/>
              <w:t>Biogen Australia Pty Ltd</w:t>
            </w:r>
          </w:p>
          <w:p w14:paraId="14AE2A4E" w14:textId="4E294C91"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Standard Re-entry resubmission</w:t>
            </w:r>
            <w:r w:rsidRPr="00CC0C66">
              <w:rPr>
                <w:rFonts w:ascii="Arial" w:hAnsi="Arial" w:cs="Arial"/>
                <w:color w:val="000000"/>
                <w:sz w:val="18"/>
                <w:szCs w:val="18"/>
              </w:rPr>
              <w:br/>
              <w:t>(Change to listing)</w:t>
            </w:r>
          </w:p>
        </w:tc>
        <w:tc>
          <w:tcPr>
            <w:tcW w:w="1559" w:type="dxa"/>
            <w:vMerge w:val="restart"/>
            <w:shd w:val="clear" w:color="auto" w:fill="auto"/>
            <w:vAlign w:val="center"/>
          </w:tcPr>
          <w:p w14:paraId="7899AD3A" w14:textId="1BA6AF47"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Spinal muscular atrophy (SMA)</w:t>
            </w:r>
          </w:p>
        </w:tc>
        <w:tc>
          <w:tcPr>
            <w:tcW w:w="2552" w:type="dxa"/>
            <w:vMerge w:val="restart"/>
            <w:shd w:val="clear" w:color="auto" w:fill="auto"/>
            <w:tcMar>
              <w:top w:w="28" w:type="dxa"/>
              <w:bottom w:w="28" w:type="dxa"/>
            </w:tcMar>
            <w:vAlign w:val="center"/>
          </w:tcPr>
          <w:p w14:paraId="3A97816F" w14:textId="430382E8"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Resubmission to extend the current Section 100 (Highly Specialised Drugs Program), Authority Required (written) listing to include adults with SMA.</w:t>
            </w:r>
          </w:p>
        </w:tc>
        <w:tc>
          <w:tcPr>
            <w:tcW w:w="1558" w:type="dxa"/>
            <w:vMerge w:val="restart"/>
            <w:shd w:val="clear" w:color="auto" w:fill="auto"/>
            <w:vAlign w:val="center"/>
          </w:tcPr>
          <w:p w14:paraId="614D406F" w14:textId="78C1D45F"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Not Recommended</w:t>
            </w:r>
          </w:p>
        </w:tc>
        <w:tc>
          <w:tcPr>
            <w:tcW w:w="6605" w:type="dxa"/>
            <w:shd w:val="clear" w:color="auto" w:fill="auto"/>
          </w:tcPr>
          <w:p w14:paraId="3CCEE8F8" w14:textId="77777777" w:rsidR="007F48F6" w:rsidRPr="002E1AD3" w:rsidRDefault="007F48F6" w:rsidP="00F3265E">
            <w:pPr>
              <w:pStyle w:val="ListParagraph"/>
              <w:keepLines/>
              <w:spacing w:after="120"/>
              <w:ind w:left="0"/>
              <w:rPr>
                <w:rFonts w:ascii="Arial" w:hAnsi="Arial" w:cs="Arial"/>
                <w:color w:val="000000"/>
                <w:sz w:val="18"/>
                <w:szCs w:val="18"/>
              </w:rPr>
            </w:pPr>
            <w:r w:rsidRPr="002E1AD3">
              <w:rPr>
                <w:rFonts w:ascii="Arial" w:hAnsi="Arial" w:cs="Arial"/>
                <w:color w:val="000000"/>
                <w:sz w:val="18"/>
                <w:szCs w:val="18"/>
              </w:rPr>
              <w:t xml:space="preserve">The PBAC did not recommend extending the listing of nusinersen to include the treatment of SMA in patients with symptom onset prior to 19 years of age, and removal of the age limit of 18 years for initiation of treatment. </w:t>
            </w:r>
          </w:p>
          <w:p w14:paraId="68CC46B9" w14:textId="77777777" w:rsidR="007F48F6" w:rsidRPr="002E1AD3" w:rsidRDefault="007F48F6" w:rsidP="00F3265E">
            <w:pPr>
              <w:pStyle w:val="ListParagraph"/>
              <w:keepLines/>
              <w:spacing w:after="120"/>
              <w:ind w:left="0"/>
              <w:rPr>
                <w:rFonts w:ascii="Arial" w:hAnsi="Arial" w:cs="Arial"/>
                <w:color w:val="000000"/>
                <w:sz w:val="18"/>
                <w:szCs w:val="18"/>
              </w:rPr>
            </w:pPr>
          </w:p>
          <w:p w14:paraId="7FC21A71" w14:textId="77777777" w:rsidR="007F48F6" w:rsidRPr="002E1AD3" w:rsidRDefault="007F48F6" w:rsidP="00F3265E">
            <w:pPr>
              <w:pStyle w:val="ListParagraph"/>
              <w:keepLines/>
              <w:spacing w:after="120"/>
              <w:ind w:left="0"/>
              <w:rPr>
                <w:rFonts w:ascii="Arial" w:hAnsi="Arial" w:cs="Arial"/>
                <w:color w:val="000000"/>
                <w:sz w:val="18"/>
                <w:szCs w:val="18"/>
              </w:rPr>
            </w:pPr>
            <w:r w:rsidRPr="002E1AD3">
              <w:rPr>
                <w:rFonts w:ascii="Arial" w:hAnsi="Arial" w:cs="Arial"/>
                <w:color w:val="000000"/>
                <w:sz w:val="18"/>
                <w:szCs w:val="18"/>
              </w:rPr>
              <w:t xml:space="preserve">The PBAC recognised the clinical need for effective treatments for adult SMA. However, the PBAC considered that the adult population most likely to benefit from treatment with nusinersen remained inadequately defined in the resubmission. The PBAC noted that the magnitude and durability of treatment benefit remained uncertain and considered that the incremental cost-effectiveness ratio (ICER) was exceptionally high at the price proposed. </w:t>
            </w:r>
          </w:p>
          <w:p w14:paraId="547D6F30" w14:textId="77777777" w:rsidR="007F48F6" w:rsidRPr="002E1AD3" w:rsidRDefault="007F48F6" w:rsidP="00F3265E">
            <w:pPr>
              <w:pStyle w:val="ListParagraph"/>
              <w:keepLines/>
              <w:spacing w:after="120"/>
              <w:ind w:left="0"/>
              <w:rPr>
                <w:rFonts w:ascii="Arial" w:hAnsi="Arial" w:cs="Arial"/>
                <w:color w:val="000000"/>
                <w:sz w:val="18"/>
                <w:szCs w:val="18"/>
              </w:rPr>
            </w:pPr>
          </w:p>
          <w:p w14:paraId="6B1F744E" w14:textId="38BCE9B5" w:rsidR="007F48F6" w:rsidRPr="002E1AD3" w:rsidRDefault="007F48F6" w:rsidP="00F3265E">
            <w:pPr>
              <w:pStyle w:val="ListParagraph"/>
              <w:keepLines/>
              <w:spacing w:after="120"/>
              <w:ind w:left="0"/>
              <w:rPr>
                <w:rFonts w:ascii="Arial" w:hAnsi="Arial" w:cs="Arial"/>
                <w:color w:val="000000"/>
                <w:sz w:val="18"/>
                <w:szCs w:val="18"/>
              </w:rPr>
            </w:pPr>
            <w:r w:rsidRPr="002E1AD3">
              <w:rPr>
                <w:rFonts w:ascii="Arial" w:hAnsi="Arial" w:cs="Arial"/>
                <w:color w:val="000000"/>
                <w:sz w:val="18"/>
                <w:szCs w:val="18"/>
              </w:rPr>
              <w:t xml:space="preserve">The PBAC advised that a substantial price reduction commensurate with the benefit of treatment in adult SMA patients, a </w:t>
            </w:r>
            <w:r>
              <w:rPr>
                <w:rFonts w:ascii="Arial" w:hAnsi="Arial" w:cs="Arial"/>
                <w:color w:val="000000"/>
                <w:sz w:val="18"/>
                <w:szCs w:val="18"/>
              </w:rPr>
              <w:t>r</w:t>
            </w:r>
            <w:r w:rsidRPr="002E1AD3">
              <w:rPr>
                <w:rFonts w:ascii="Arial" w:hAnsi="Arial" w:cs="Arial"/>
                <w:color w:val="000000"/>
                <w:sz w:val="18"/>
                <w:szCs w:val="18"/>
              </w:rPr>
              <w:t xml:space="preserve">isk </w:t>
            </w:r>
            <w:r>
              <w:rPr>
                <w:rFonts w:ascii="Arial" w:hAnsi="Arial" w:cs="Arial"/>
                <w:color w:val="000000"/>
                <w:sz w:val="18"/>
                <w:szCs w:val="18"/>
              </w:rPr>
              <w:t>s</w:t>
            </w:r>
            <w:r w:rsidRPr="002E1AD3">
              <w:rPr>
                <w:rFonts w:ascii="Arial" w:hAnsi="Arial" w:cs="Arial"/>
                <w:color w:val="000000"/>
                <w:sz w:val="18"/>
                <w:szCs w:val="18"/>
              </w:rPr>
              <w:t xml:space="preserve">haring </w:t>
            </w:r>
            <w:r>
              <w:rPr>
                <w:rFonts w:ascii="Arial" w:hAnsi="Arial" w:cs="Arial"/>
                <w:color w:val="000000"/>
                <w:sz w:val="18"/>
                <w:szCs w:val="18"/>
              </w:rPr>
              <w:t>a</w:t>
            </w:r>
            <w:r w:rsidRPr="002E1AD3">
              <w:rPr>
                <w:rFonts w:ascii="Arial" w:hAnsi="Arial" w:cs="Arial"/>
                <w:color w:val="000000"/>
                <w:sz w:val="18"/>
                <w:szCs w:val="18"/>
              </w:rPr>
              <w:t xml:space="preserve">rrangement (RSA), and a Managed Access Program (MAP) which accounts for the number of patients treated and the number of patients who respond to treatment, would be required to achieve a cost-effective listing for adult patients. </w:t>
            </w:r>
          </w:p>
          <w:p w14:paraId="30BDB572" w14:textId="77777777" w:rsidR="007F48F6" w:rsidRPr="002E1AD3" w:rsidRDefault="007F48F6" w:rsidP="00F3265E">
            <w:pPr>
              <w:pStyle w:val="ListParagraph"/>
              <w:keepLines/>
              <w:spacing w:after="120"/>
              <w:ind w:left="0"/>
              <w:rPr>
                <w:rFonts w:ascii="Arial" w:hAnsi="Arial" w:cs="Arial"/>
                <w:color w:val="000000"/>
                <w:sz w:val="18"/>
                <w:szCs w:val="18"/>
              </w:rPr>
            </w:pPr>
          </w:p>
          <w:p w14:paraId="78E69979" w14:textId="77777777" w:rsidR="007F48F6" w:rsidRPr="002E1AD3" w:rsidRDefault="007F48F6" w:rsidP="00F3265E">
            <w:pPr>
              <w:pStyle w:val="ListParagraph"/>
              <w:keepLines/>
              <w:spacing w:after="120"/>
              <w:ind w:left="0"/>
              <w:rPr>
                <w:rFonts w:ascii="Arial" w:hAnsi="Arial" w:cs="Arial"/>
                <w:color w:val="000000"/>
                <w:sz w:val="18"/>
                <w:szCs w:val="18"/>
                <w:u w:val="single"/>
              </w:rPr>
            </w:pPr>
            <w:r w:rsidRPr="002E1AD3">
              <w:rPr>
                <w:rFonts w:ascii="Arial" w:hAnsi="Arial" w:cs="Arial"/>
                <w:color w:val="000000"/>
                <w:sz w:val="18"/>
                <w:szCs w:val="18"/>
                <w:u w:val="single"/>
              </w:rPr>
              <w:t>Comparator: Placebo/standard of care (SOC)</w:t>
            </w:r>
          </w:p>
          <w:p w14:paraId="64F62E4C" w14:textId="0157059D" w:rsidR="007F48F6" w:rsidRPr="002E1AD3" w:rsidRDefault="007F48F6" w:rsidP="00F3265E">
            <w:pPr>
              <w:pStyle w:val="ListParagraph"/>
              <w:keepLines/>
              <w:spacing w:after="120"/>
              <w:ind w:left="0"/>
              <w:rPr>
                <w:rFonts w:ascii="Arial" w:hAnsi="Arial" w:cs="Arial"/>
                <w:color w:val="000000"/>
                <w:sz w:val="18"/>
                <w:szCs w:val="18"/>
              </w:rPr>
            </w:pPr>
            <w:r w:rsidRPr="002E1AD3">
              <w:rPr>
                <w:rFonts w:ascii="Arial" w:hAnsi="Arial" w:cs="Arial"/>
                <w:color w:val="000000"/>
                <w:sz w:val="18"/>
                <w:szCs w:val="18"/>
              </w:rPr>
              <w:t>The PBAC accepted that SOC was an appropriate comparator</w:t>
            </w:r>
          </w:p>
          <w:p w14:paraId="535AF6F8" w14:textId="77777777" w:rsidR="007F48F6" w:rsidRPr="002E1AD3" w:rsidRDefault="007F48F6" w:rsidP="00F3265E">
            <w:pPr>
              <w:pStyle w:val="ListParagraph"/>
              <w:keepLines/>
              <w:spacing w:after="120"/>
              <w:ind w:left="0"/>
              <w:rPr>
                <w:rFonts w:ascii="Arial" w:hAnsi="Arial" w:cs="Arial"/>
                <w:color w:val="000000"/>
                <w:sz w:val="18"/>
                <w:szCs w:val="18"/>
              </w:rPr>
            </w:pPr>
          </w:p>
          <w:p w14:paraId="63C16E5E" w14:textId="77777777" w:rsidR="007F48F6" w:rsidRPr="002E1AD3" w:rsidRDefault="007F48F6" w:rsidP="00F3265E">
            <w:pPr>
              <w:pStyle w:val="ListParagraph"/>
              <w:keepLines/>
              <w:spacing w:after="120"/>
              <w:ind w:left="0"/>
              <w:rPr>
                <w:rFonts w:ascii="Arial" w:hAnsi="Arial" w:cs="Arial"/>
                <w:color w:val="000000"/>
                <w:sz w:val="18"/>
                <w:szCs w:val="18"/>
                <w:u w:val="single"/>
              </w:rPr>
            </w:pPr>
            <w:r w:rsidRPr="002E1AD3">
              <w:rPr>
                <w:rFonts w:ascii="Arial" w:hAnsi="Arial" w:cs="Arial"/>
                <w:color w:val="000000"/>
                <w:sz w:val="18"/>
                <w:szCs w:val="18"/>
                <w:u w:val="single"/>
              </w:rPr>
              <w:t xml:space="preserve">Clinical claim: Superior effectiveness and non-inferior safety compared with SOC </w:t>
            </w:r>
          </w:p>
          <w:p w14:paraId="49481312" w14:textId="0EC598D3" w:rsidR="007F48F6" w:rsidRPr="002E1AD3" w:rsidRDefault="007F48F6" w:rsidP="00F3265E">
            <w:pPr>
              <w:pStyle w:val="ListParagraph"/>
              <w:keepLines/>
              <w:spacing w:after="120"/>
              <w:ind w:left="0"/>
              <w:rPr>
                <w:rFonts w:ascii="Arial" w:hAnsi="Arial" w:cs="Arial"/>
                <w:color w:val="000000"/>
                <w:sz w:val="18"/>
                <w:szCs w:val="18"/>
              </w:rPr>
            </w:pPr>
            <w:r w:rsidRPr="002E1AD3">
              <w:rPr>
                <w:rFonts w:ascii="Arial" w:hAnsi="Arial" w:cs="Arial"/>
                <w:color w:val="000000"/>
                <w:sz w:val="18"/>
                <w:szCs w:val="18"/>
              </w:rPr>
              <w:t>The PBAC considered that, while the claim of superior</w:t>
            </w:r>
            <w:r w:rsidR="00A159CA">
              <w:rPr>
                <w:rFonts w:ascii="Arial" w:hAnsi="Arial" w:cs="Arial"/>
                <w:color w:val="000000"/>
                <w:sz w:val="18"/>
                <w:szCs w:val="18"/>
              </w:rPr>
              <w:t xml:space="preserve"> </w:t>
            </w:r>
            <w:r w:rsidRPr="002E1AD3">
              <w:rPr>
                <w:rFonts w:ascii="Arial" w:hAnsi="Arial" w:cs="Arial"/>
                <w:color w:val="000000"/>
                <w:sz w:val="18"/>
                <w:szCs w:val="18"/>
              </w:rPr>
              <w:t>comparative effectiveness was reasonable, the magnitude</w:t>
            </w:r>
            <w:r w:rsidR="00A159CA">
              <w:rPr>
                <w:rFonts w:ascii="Arial" w:hAnsi="Arial" w:cs="Arial"/>
                <w:color w:val="000000"/>
                <w:sz w:val="18"/>
                <w:szCs w:val="18"/>
              </w:rPr>
              <w:t xml:space="preserve"> </w:t>
            </w:r>
            <w:r w:rsidRPr="002E1AD3">
              <w:rPr>
                <w:rFonts w:ascii="Arial" w:hAnsi="Arial" w:cs="Arial"/>
                <w:color w:val="000000"/>
                <w:sz w:val="18"/>
                <w:szCs w:val="18"/>
              </w:rPr>
              <w:t>and durability of benefit remained uncertain.</w:t>
            </w:r>
          </w:p>
          <w:p w14:paraId="6D1085CF" w14:textId="77777777" w:rsidR="007F48F6" w:rsidRPr="002E1AD3" w:rsidRDefault="007F48F6" w:rsidP="00F3265E">
            <w:pPr>
              <w:pStyle w:val="ListParagraph"/>
              <w:keepLines/>
              <w:spacing w:after="120"/>
              <w:ind w:left="0"/>
              <w:rPr>
                <w:rFonts w:ascii="Arial" w:hAnsi="Arial" w:cs="Arial"/>
                <w:color w:val="000000"/>
                <w:sz w:val="18"/>
                <w:szCs w:val="18"/>
              </w:rPr>
            </w:pPr>
          </w:p>
          <w:p w14:paraId="5C5D7CA9" w14:textId="5CB773C2" w:rsidR="007F48F6" w:rsidRPr="002E1AD3" w:rsidRDefault="007F48F6" w:rsidP="00F3265E">
            <w:pPr>
              <w:pStyle w:val="ListParagraph"/>
              <w:keepLines/>
              <w:spacing w:after="120"/>
              <w:ind w:left="0"/>
              <w:rPr>
                <w:rFonts w:ascii="Arial" w:hAnsi="Arial" w:cs="Arial"/>
                <w:color w:val="000000"/>
                <w:sz w:val="18"/>
                <w:szCs w:val="18"/>
              </w:rPr>
            </w:pPr>
            <w:r w:rsidRPr="002E1AD3">
              <w:rPr>
                <w:rFonts w:ascii="Arial" w:hAnsi="Arial" w:cs="Arial"/>
                <w:color w:val="000000"/>
                <w:sz w:val="18"/>
                <w:szCs w:val="18"/>
              </w:rPr>
              <w:t>The PBAC considered that the claim of non-inferior</w:t>
            </w:r>
            <w:r w:rsidR="00A159CA">
              <w:rPr>
                <w:rFonts w:ascii="Arial" w:hAnsi="Arial" w:cs="Arial"/>
                <w:color w:val="000000"/>
                <w:sz w:val="18"/>
                <w:szCs w:val="18"/>
              </w:rPr>
              <w:t xml:space="preserve"> </w:t>
            </w:r>
            <w:r w:rsidRPr="002E1AD3">
              <w:rPr>
                <w:rFonts w:ascii="Arial" w:hAnsi="Arial" w:cs="Arial"/>
                <w:color w:val="000000"/>
                <w:sz w:val="18"/>
                <w:szCs w:val="18"/>
              </w:rPr>
              <w:t>comparative safety was not adequately supported by the</w:t>
            </w:r>
            <w:r w:rsidR="00A159CA">
              <w:rPr>
                <w:rFonts w:ascii="Arial" w:hAnsi="Arial" w:cs="Arial"/>
                <w:color w:val="000000"/>
                <w:sz w:val="18"/>
                <w:szCs w:val="18"/>
              </w:rPr>
              <w:t xml:space="preserve"> </w:t>
            </w:r>
            <w:r w:rsidRPr="002E1AD3">
              <w:rPr>
                <w:rFonts w:ascii="Arial" w:hAnsi="Arial" w:cs="Arial"/>
                <w:color w:val="000000"/>
                <w:sz w:val="18"/>
                <w:szCs w:val="18"/>
              </w:rPr>
              <w:t>data, and reiterated that there may be long term implications from</w:t>
            </w:r>
            <w:r w:rsidR="00A159CA">
              <w:rPr>
                <w:rFonts w:ascii="Arial" w:hAnsi="Arial" w:cs="Arial"/>
                <w:color w:val="000000"/>
                <w:sz w:val="18"/>
                <w:szCs w:val="18"/>
              </w:rPr>
              <w:t xml:space="preserve"> </w:t>
            </w:r>
            <w:r w:rsidRPr="002E1AD3">
              <w:rPr>
                <w:rFonts w:ascii="Arial" w:hAnsi="Arial" w:cs="Arial"/>
                <w:color w:val="000000"/>
                <w:sz w:val="18"/>
                <w:szCs w:val="18"/>
              </w:rPr>
              <w:t xml:space="preserve">repeated lumbar puncture administrations. </w:t>
            </w:r>
          </w:p>
          <w:p w14:paraId="55CC8274" w14:textId="77777777" w:rsidR="007F48F6" w:rsidRDefault="007F48F6" w:rsidP="00F3265E">
            <w:pPr>
              <w:pStyle w:val="ListParagraph"/>
              <w:keepLines/>
              <w:spacing w:after="120"/>
              <w:ind w:left="0"/>
              <w:rPr>
                <w:rFonts w:ascii="Arial" w:hAnsi="Arial" w:cs="Arial"/>
                <w:color w:val="000000"/>
                <w:sz w:val="18"/>
                <w:szCs w:val="18"/>
              </w:rPr>
            </w:pPr>
          </w:p>
          <w:p w14:paraId="09844CCB" w14:textId="563F4F28" w:rsidR="007F48F6" w:rsidRPr="00A159CA" w:rsidRDefault="007F48F6" w:rsidP="00F3265E">
            <w:pPr>
              <w:pStyle w:val="ListParagraph"/>
              <w:keepLines/>
              <w:spacing w:after="120"/>
              <w:ind w:left="0"/>
              <w:rPr>
                <w:rFonts w:ascii="Arial" w:hAnsi="Arial" w:cs="Arial"/>
                <w:color w:val="000000"/>
                <w:sz w:val="18"/>
                <w:szCs w:val="18"/>
                <w:u w:val="single"/>
              </w:rPr>
            </w:pPr>
            <w:r w:rsidRPr="00A159CA">
              <w:rPr>
                <w:rFonts w:ascii="Arial" w:hAnsi="Arial" w:cs="Arial"/>
                <w:color w:val="000000"/>
                <w:sz w:val="18"/>
                <w:szCs w:val="18"/>
                <w:u w:val="single"/>
              </w:rPr>
              <w:t>Economic claim: Cost-utility analysis compared with SOC</w:t>
            </w:r>
          </w:p>
          <w:p w14:paraId="3A74BE72" w14:textId="7EE54355" w:rsidR="007F48F6" w:rsidRPr="002E1AD3" w:rsidRDefault="007F48F6" w:rsidP="00F3265E">
            <w:pPr>
              <w:pStyle w:val="ListParagraph"/>
              <w:keepLines/>
              <w:spacing w:after="120"/>
              <w:ind w:left="0"/>
              <w:rPr>
                <w:rFonts w:ascii="Arial" w:hAnsi="Arial" w:cs="Arial"/>
                <w:color w:val="000000"/>
                <w:sz w:val="18"/>
                <w:szCs w:val="18"/>
              </w:rPr>
            </w:pPr>
            <w:r w:rsidRPr="002E1AD3">
              <w:rPr>
                <w:rFonts w:ascii="Arial" w:hAnsi="Arial" w:cs="Arial"/>
                <w:color w:val="000000"/>
                <w:sz w:val="18"/>
                <w:szCs w:val="18"/>
              </w:rPr>
              <w:t xml:space="preserve">The PBAC considered the ICER was unacceptably high and likely underestimated. The PBAC considered that the model’s assumption that patients on nusinersen do not progress and the estimated duration of benefit of nusinersen was not adequately substantiated by the available evidence. The PBAC also considered that utility gains associated with nusinersen treatment may have been overestimated. </w:t>
            </w:r>
          </w:p>
          <w:p w14:paraId="2BBAFEB2" w14:textId="77777777" w:rsidR="007F48F6" w:rsidRPr="002E1AD3" w:rsidRDefault="007F48F6" w:rsidP="00F3265E">
            <w:pPr>
              <w:pStyle w:val="ListParagraph"/>
              <w:keepLines/>
              <w:spacing w:after="120"/>
              <w:ind w:left="0"/>
              <w:rPr>
                <w:rFonts w:ascii="Arial" w:hAnsi="Arial" w:cs="Arial"/>
                <w:color w:val="000000"/>
                <w:sz w:val="18"/>
                <w:szCs w:val="18"/>
              </w:rPr>
            </w:pPr>
          </w:p>
          <w:p w14:paraId="39D73822" w14:textId="3B9232D3" w:rsidR="007F48F6" w:rsidRDefault="007F48F6" w:rsidP="00401B46">
            <w:pPr>
              <w:pStyle w:val="ListParagraph"/>
              <w:keepLines/>
              <w:spacing w:after="120"/>
              <w:ind w:left="0"/>
              <w:rPr>
                <w:rFonts w:ascii="Arial" w:hAnsi="Arial" w:cs="Arial"/>
                <w:color w:val="000000"/>
                <w:sz w:val="18"/>
                <w:szCs w:val="18"/>
                <w:u w:val="single"/>
              </w:rPr>
            </w:pPr>
            <w:r w:rsidRPr="002E1AD3">
              <w:rPr>
                <w:rFonts w:ascii="Arial" w:hAnsi="Arial" w:cs="Arial"/>
                <w:color w:val="000000"/>
                <w:sz w:val="18"/>
                <w:szCs w:val="18"/>
                <w:u w:val="single"/>
              </w:rPr>
              <w:lastRenderedPageBreak/>
              <w:t>Type IIIb paediatric patients</w:t>
            </w:r>
          </w:p>
          <w:p w14:paraId="6BADDC9B" w14:textId="339749B7" w:rsidR="007F48F6" w:rsidRPr="00CC0C66" w:rsidRDefault="007F48F6" w:rsidP="00F3265E">
            <w:pPr>
              <w:pStyle w:val="ListParagraph"/>
              <w:keepLines/>
              <w:spacing w:after="120"/>
              <w:ind w:left="0"/>
              <w:rPr>
                <w:rFonts w:ascii="Arial" w:hAnsi="Arial" w:cs="Arial"/>
                <w:snapToGrid w:val="0"/>
                <w:sz w:val="18"/>
                <w:szCs w:val="18"/>
                <w:lang w:eastAsia="en-US"/>
              </w:rPr>
            </w:pPr>
            <w:r w:rsidRPr="002E1AD3">
              <w:rPr>
                <w:rFonts w:ascii="Arial" w:hAnsi="Arial" w:cs="Arial"/>
                <w:color w:val="000000"/>
                <w:sz w:val="18"/>
                <w:szCs w:val="18"/>
              </w:rPr>
              <w:t>The PBAC recommended extending the existing listing of nusinersen to include the treatment of all paediatric patients with Type III SMA who experienced symptom onset prior to 18 years of age, noting this would provide equity of access across paediatric patients. The PBAC made this recommendation on the basis of the reduced nusinersen price and inclusion in the existing caps as proposed by the sponsor.</w:t>
            </w:r>
          </w:p>
        </w:tc>
      </w:tr>
      <w:tr w:rsidR="007F48F6" w:rsidRPr="00CC0C66" w14:paraId="76B2DD69" w14:textId="77777777" w:rsidTr="00FE6F0F">
        <w:trPr>
          <w:trHeight w:val="415"/>
        </w:trPr>
        <w:tc>
          <w:tcPr>
            <w:tcW w:w="3114" w:type="dxa"/>
            <w:vMerge/>
            <w:shd w:val="clear" w:color="auto" w:fill="auto"/>
            <w:tcMar>
              <w:top w:w="28" w:type="dxa"/>
              <w:bottom w:w="28" w:type="dxa"/>
            </w:tcMar>
            <w:vAlign w:val="center"/>
          </w:tcPr>
          <w:p w14:paraId="0B86C282"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4BE09F1C"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0344E39F"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04DCF433"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7CE77F8B" w14:textId="77777777" w:rsidR="0040144A" w:rsidRPr="00923796" w:rsidRDefault="007F48F6" w:rsidP="0040144A">
            <w:pPr>
              <w:spacing w:after="120"/>
              <w:rPr>
                <w:rFonts w:ascii="Arial" w:hAnsi="Arial" w:cs="Arial"/>
                <w:sz w:val="18"/>
                <w:szCs w:val="18"/>
              </w:rPr>
            </w:pPr>
            <w:r w:rsidRPr="00CC0C66">
              <w:rPr>
                <w:rFonts w:ascii="Arial" w:hAnsi="Arial" w:cs="Arial"/>
                <w:color w:val="000000"/>
                <w:sz w:val="18"/>
                <w:szCs w:val="18"/>
                <w:u w:val="single"/>
              </w:rPr>
              <w:t>Sponsor’s Comment</w:t>
            </w:r>
            <w:r w:rsidR="000E5563">
              <w:rPr>
                <w:rFonts w:ascii="Arial" w:hAnsi="Arial" w:cs="Arial"/>
                <w:color w:val="000000"/>
                <w:sz w:val="18"/>
                <w:szCs w:val="18"/>
              </w:rPr>
              <w:t>:</w:t>
            </w:r>
            <w:r w:rsidR="000E5563" w:rsidRPr="0040144A">
              <w:rPr>
                <w:rFonts w:ascii="Arial" w:hAnsi="Arial" w:cs="Arial"/>
                <w:color w:val="000000"/>
                <w:sz w:val="18"/>
                <w:szCs w:val="18"/>
                <w:u w:val="single"/>
              </w:rPr>
              <w:t xml:space="preserve"> </w:t>
            </w:r>
            <w:r w:rsidR="0040144A" w:rsidRPr="00923796">
              <w:rPr>
                <w:rFonts w:ascii="Arial" w:hAnsi="Arial" w:cs="Arial"/>
                <w:sz w:val="18"/>
                <w:szCs w:val="18"/>
              </w:rPr>
              <w:t>Biogen welcomes the PBAC’s decision to recommend nusinersen for paediatric patients with Type IIIb SMA who have experienced symptom onset between 3 and 18 years of age. Biogen will be working with the Department of Health towards a PBS listing in this patient population at the earliest opportunity.</w:t>
            </w:r>
          </w:p>
          <w:p w14:paraId="5814EE1B" w14:textId="77777777" w:rsidR="0040144A" w:rsidRPr="00923796" w:rsidRDefault="0040144A" w:rsidP="0040144A">
            <w:pPr>
              <w:spacing w:after="120"/>
              <w:rPr>
                <w:rFonts w:ascii="Arial" w:hAnsi="Arial" w:cs="Arial"/>
                <w:sz w:val="18"/>
                <w:szCs w:val="18"/>
              </w:rPr>
            </w:pPr>
            <w:r w:rsidRPr="00923796">
              <w:rPr>
                <w:rFonts w:ascii="Arial" w:hAnsi="Arial" w:cs="Arial"/>
                <w:sz w:val="18"/>
                <w:szCs w:val="18"/>
              </w:rPr>
              <w:t xml:space="preserve">Biogen is disappointed the PBAC did not recommend nusinersen for adults with SMA aged over 18 years at treatment initiation who have experienced signs and symptoms of SMA prior to 19 years of age. </w:t>
            </w:r>
          </w:p>
          <w:p w14:paraId="35FF7054" w14:textId="77777777" w:rsidR="0040144A" w:rsidRPr="00923796" w:rsidRDefault="0040144A" w:rsidP="0040144A">
            <w:pPr>
              <w:spacing w:after="120"/>
              <w:rPr>
                <w:rFonts w:ascii="Arial" w:hAnsi="Arial" w:cs="Arial"/>
                <w:sz w:val="18"/>
                <w:szCs w:val="18"/>
              </w:rPr>
            </w:pPr>
            <w:r w:rsidRPr="00923796">
              <w:rPr>
                <w:rFonts w:ascii="Arial" w:hAnsi="Arial" w:cs="Arial"/>
                <w:sz w:val="18"/>
                <w:szCs w:val="18"/>
              </w:rPr>
              <w:t xml:space="preserve">Biogen believes that there is alignment with the PBAC that nusinersen is a novel medicine that provides a clinically relevant benefit for adult patients with SMA and that there are no current PBS subsidised therapies available for these patients.  </w:t>
            </w:r>
          </w:p>
          <w:p w14:paraId="2B910D2A" w14:textId="23851D49" w:rsidR="007F48F6" w:rsidRPr="00EF1350" w:rsidRDefault="0040144A" w:rsidP="0040144A">
            <w:pPr>
              <w:pStyle w:val="ListParagraph"/>
              <w:keepLines/>
              <w:spacing w:after="120"/>
              <w:ind w:left="0"/>
              <w:rPr>
                <w:rFonts w:ascii="Arial" w:hAnsi="Arial" w:cs="Arial"/>
                <w:color w:val="000000"/>
                <w:sz w:val="18"/>
                <w:szCs w:val="18"/>
              </w:rPr>
            </w:pPr>
            <w:r w:rsidRPr="00923796">
              <w:rPr>
                <w:rFonts w:ascii="Arial" w:hAnsi="Arial" w:cs="Arial"/>
                <w:sz w:val="18"/>
                <w:szCs w:val="18"/>
              </w:rPr>
              <w:t>Biogen will assess the options available and collaborate with all stakeholders to find a suitable path forward. Biogen would like to take this opportunity to thank the SMA community and healthcare professionals who supported the submission.</w:t>
            </w:r>
          </w:p>
        </w:tc>
      </w:tr>
      <w:tr w:rsidR="007F48F6" w:rsidRPr="00CC0C66" w14:paraId="720A5F3C" w14:textId="77777777" w:rsidTr="002E1AD3">
        <w:trPr>
          <w:trHeight w:val="2194"/>
        </w:trPr>
        <w:tc>
          <w:tcPr>
            <w:tcW w:w="3114" w:type="dxa"/>
            <w:shd w:val="clear" w:color="auto" w:fill="auto"/>
            <w:tcMar>
              <w:top w:w="28" w:type="dxa"/>
              <w:bottom w:w="28" w:type="dxa"/>
            </w:tcMar>
            <w:vAlign w:val="center"/>
          </w:tcPr>
          <w:p w14:paraId="66D6D2E6" w14:textId="776378B8"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OPICAPONE</w:t>
            </w:r>
            <w:r w:rsidRPr="00CC0C66">
              <w:rPr>
                <w:rFonts w:ascii="Arial" w:hAnsi="Arial" w:cs="Arial"/>
                <w:color w:val="000000"/>
                <w:sz w:val="18"/>
                <w:szCs w:val="18"/>
              </w:rPr>
              <w:br/>
            </w:r>
            <w:r w:rsidRPr="00CC0C66">
              <w:rPr>
                <w:rFonts w:ascii="Arial" w:hAnsi="Arial" w:cs="Arial"/>
                <w:color w:val="000000"/>
                <w:sz w:val="18"/>
                <w:szCs w:val="18"/>
              </w:rPr>
              <w:br/>
              <w:t>Capsule 50 mg</w:t>
            </w:r>
            <w:r w:rsidRPr="00CC0C66">
              <w:rPr>
                <w:rFonts w:ascii="Arial" w:hAnsi="Arial" w:cs="Arial"/>
                <w:color w:val="000000"/>
                <w:sz w:val="18"/>
                <w:szCs w:val="18"/>
              </w:rPr>
              <w:br/>
            </w:r>
            <w:r w:rsidRPr="00CC0C66">
              <w:rPr>
                <w:rFonts w:ascii="Arial" w:hAnsi="Arial" w:cs="Arial"/>
                <w:color w:val="000000"/>
                <w:sz w:val="18"/>
                <w:szCs w:val="18"/>
              </w:rPr>
              <w:br/>
              <w:t>Ongentys®</w:t>
            </w:r>
            <w:r w:rsidRPr="00CC0C66">
              <w:rPr>
                <w:rFonts w:ascii="Arial" w:hAnsi="Arial" w:cs="Arial"/>
                <w:color w:val="000000"/>
                <w:sz w:val="18"/>
                <w:szCs w:val="18"/>
              </w:rPr>
              <w:br/>
            </w:r>
            <w:r w:rsidRPr="00CC0C66">
              <w:rPr>
                <w:rFonts w:ascii="Arial" w:hAnsi="Arial" w:cs="Arial"/>
                <w:color w:val="000000"/>
                <w:sz w:val="18"/>
                <w:szCs w:val="18"/>
              </w:rPr>
              <w:br/>
              <w:t>Maxx Pharma Pty Ltd</w:t>
            </w:r>
          </w:p>
          <w:p w14:paraId="18C1737C" w14:textId="770D7475"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2 submission</w:t>
            </w:r>
            <w:r w:rsidRPr="00CC0C66">
              <w:rPr>
                <w:rFonts w:ascii="Arial" w:hAnsi="Arial" w:cs="Arial"/>
                <w:color w:val="000000"/>
                <w:sz w:val="18"/>
                <w:szCs w:val="18"/>
              </w:rPr>
              <w:br/>
              <w:t>(New listing)</w:t>
            </w:r>
          </w:p>
        </w:tc>
        <w:tc>
          <w:tcPr>
            <w:tcW w:w="1559" w:type="dxa"/>
            <w:shd w:val="clear" w:color="auto" w:fill="auto"/>
            <w:vAlign w:val="center"/>
          </w:tcPr>
          <w:p w14:paraId="50781405" w14:textId="23A0BC62"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Parkinson Disease (PD)</w:t>
            </w:r>
          </w:p>
        </w:tc>
        <w:tc>
          <w:tcPr>
            <w:tcW w:w="2552" w:type="dxa"/>
            <w:shd w:val="clear" w:color="auto" w:fill="auto"/>
            <w:tcMar>
              <w:top w:w="28" w:type="dxa"/>
              <w:bottom w:w="28" w:type="dxa"/>
            </w:tcMar>
            <w:vAlign w:val="center"/>
          </w:tcPr>
          <w:p w14:paraId="29A4D198" w14:textId="70F8B2CA"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General Schedule, Restricted benefit listing for the treatment of PD, as adjunctive therapy to levodopa-decarboxylase inhibitor combinations in patients motor function fluctuations due to end-of-dose effects.</w:t>
            </w:r>
          </w:p>
        </w:tc>
        <w:tc>
          <w:tcPr>
            <w:tcW w:w="1558" w:type="dxa"/>
            <w:shd w:val="clear" w:color="auto" w:fill="auto"/>
            <w:vAlign w:val="center"/>
          </w:tcPr>
          <w:p w14:paraId="33097C87" w14:textId="04DE11FF"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0DFB0563" w14:textId="4AFFDB1E"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The PBAC recommended listing opicapone as a General Schedule Restricted Benefit for </w:t>
            </w:r>
            <w:r>
              <w:rPr>
                <w:rFonts w:ascii="Arial" w:hAnsi="Arial" w:cs="Arial"/>
                <w:color w:val="000000"/>
                <w:sz w:val="18"/>
                <w:szCs w:val="18"/>
              </w:rPr>
              <w:t>PD</w:t>
            </w:r>
            <w:r w:rsidRPr="00CC0C66">
              <w:rPr>
                <w:rFonts w:ascii="Arial" w:hAnsi="Arial" w:cs="Arial"/>
                <w:color w:val="000000"/>
                <w:sz w:val="18"/>
                <w:szCs w:val="18"/>
              </w:rPr>
              <w:t xml:space="preserve"> under the same conditions as and on a cost minimisation basis with entacapone.</w:t>
            </w:r>
          </w:p>
        </w:tc>
      </w:tr>
      <w:tr w:rsidR="007F48F6" w:rsidRPr="00CC0C66" w14:paraId="788539C5" w14:textId="77777777" w:rsidTr="002E1AD3">
        <w:trPr>
          <w:trHeight w:val="2842"/>
        </w:trPr>
        <w:tc>
          <w:tcPr>
            <w:tcW w:w="3114" w:type="dxa"/>
            <w:shd w:val="clear" w:color="auto" w:fill="auto"/>
            <w:tcMar>
              <w:top w:w="28" w:type="dxa"/>
              <w:bottom w:w="28" w:type="dxa"/>
            </w:tcMar>
            <w:vAlign w:val="center"/>
          </w:tcPr>
          <w:p w14:paraId="001E6075" w14:textId="46B77136"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PALBOCICLIB</w:t>
            </w:r>
            <w:r w:rsidRPr="00CC0C66">
              <w:rPr>
                <w:rFonts w:ascii="Arial" w:hAnsi="Arial" w:cs="Arial"/>
                <w:color w:val="000000"/>
                <w:sz w:val="18"/>
                <w:szCs w:val="18"/>
              </w:rPr>
              <w:br/>
            </w:r>
            <w:r w:rsidRPr="00CC0C66">
              <w:rPr>
                <w:rFonts w:ascii="Arial" w:hAnsi="Arial" w:cs="Arial"/>
                <w:color w:val="000000"/>
                <w:sz w:val="18"/>
                <w:szCs w:val="18"/>
              </w:rPr>
              <w:br/>
              <w:t>Tablet 75 mg</w:t>
            </w:r>
            <w:r w:rsidRPr="00CC0C66">
              <w:rPr>
                <w:rFonts w:ascii="Arial" w:hAnsi="Arial" w:cs="Arial"/>
                <w:color w:val="000000"/>
                <w:sz w:val="18"/>
                <w:szCs w:val="18"/>
              </w:rPr>
              <w:br/>
              <w:t>Tablet 100 mg</w:t>
            </w:r>
            <w:r w:rsidRPr="00CC0C66">
              <w:rPr>
                <w:rFonts w:ascii="Arial" w:hAnsi="Arial" w:cs="Arial"/>
                <w:color w:val="000000"/>
                <w:sz w:val="18"/>
                <w:szCs w:val="18"/>
              </w:rPr>
              <w:br/>
              <w:t>Tablet 125 mg</w:t>
            </w:r>
            <w:r w:rsidRPr="00CC0C66">
              <w:rPr>
                <w:rFonts w:ascii="Arial" w:hAnsi="Arial" w:cs="Arial"/>
                <w:color w:val="000000"/>
                <w:sz w:val="18"/>
                <w:szCs w:val="18"/>
              </w:rPr>
              <w:br/>
            </w:r>
            <w:r w:rsidRPr="00CC0C66">
              <w:rPr>
                <w:rFonts w:ascii="Arial" w:hAnsi="Arial" w:cs="Arial"/>
                <w:color w:val="000000"/>
                <w:sz w:val="18"/>
                <w:szCs w:val="18"/>
              </w:rPr>
              <w:br/>
              <w:t>Ibrance®</w:t>
            </w:r>
            <w:r w:rsidRPr="00CC0C66">
              <w:rPr>
                <w:rFonts w:ascii="Arial" w:hAnsi="Arial" w:cs="Arial"/>
                <w:color w:val="000000"/>
                <w:sz w:val="18"/>
                <w:szCs w:val="18"/>
              </w:rPr>
              <w:br/>
            </w:r>
            <w:r w:rsidRPr="00CC0C66">
              <w:rPr>
                <w:rFonts w:ascii="Arial" w:hAnsi="Arial" w:cs="Arial"/>
                <w:color w:val="000000"/>
                <w:sz w:val="18"/>
                <w:szCs w:val="18"/>
              </w:rPr>
              <w:br/>
              <w:t>Pfizer Australia Pty Ltd</w:t>
            </w:r>
          </w:p>
          <w:p w14:paraId="02552DA7" w14:textId="7AA57626"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4 submission</w:t>
            </w:r>
            <w:r w:rsidRPr="00CC0C66">
              <w:rPr>
                <w:rFonts w:ascii="Arial" w:hAnsi="Arial" w:cs="Arial"/>
                <w:color w:val="000000"/>
                <w:sz w:val="18"/>
                <w:szCs w:val="18"/>
              </w:rPr>
              <w:br/>
              <w:t>(Change to listing)</w:t>
            </w:r>
          </w:p>
        </w:tc>
        <w:tc>
          <w:tcPr>
            <w:tcW w:w="1559" w:type="dxa"/>
            <w:shd w:val="clear" w:color="auto" w:fill="auto"/>
            <w:vAlign w:val="center"/>
          </w:tcPr>
          <w:p w14:paraId="18C5220F" w14:textId="355C79C1"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 xml:space="preserve">Hormone receptor-positive (HR+), human epidermal growth factor receptor-2 negative </w:t>
            </w:r>
            <w:r>
              <w:rPr>
                <w:rFonts w:ascii="Arial" w:hAnsi="Arial" w:cs="Arial"/>
                <w:color w:val="000000"/>
                <w:sz w:val="18"/>
                <w:szCs w:val="18"/>
              </w:rPr>
              <w:br/>
            </w:r>
            <w:r w:rsidRPr="00CC0C66">
              <w:rPr>
                <w:rFonts w:ascii="Arial" w:hAnsi="Arial" w:cs="Arial"/>
                <w:color w:val="000000"/>
                <w:sz w:val="18"/>
                <w:szCs w:val="18"/>
              </w:rPr>
              <w:t>(HER2-) advanced or metastatic breast cancer</w:t>
            </w:r>
          </w:p>
        </w:tc>
        <w:tc>
          <w:tcPr>
            <w:tcW w:w="2552" w:type="dxa"/>
            <w:shd w:val="clear" w:color="auto" w:fill="auto"/>
            <w:tcMar>
              <w:top w:w="28" w:type="dxa"/>
              <w:bottom w:w="28" w:type="dxa"/>
            </w:tcMar>
            <w:vAlign w:val="center"/>
          </w:tcPr>
          <w:p w14:paraId="5DB84A61" w14:textId="36E6F641"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an Authority Required listing of palbociclib tablets under the same conditions as the already listed capsules.</w:t>
            </w:r>
          </w:p>
        </w:tc>
        <w:tc>
          <w:tcPr>
            <w:tcW w:w="1558" w:type="dxa"/>
            <w:shd w:val="clear" w:color="auto" w:fill="auto"/>
            <w:vAlign w:val="center"/>
          </w:tcPr>
          <w:p w14:paraId="020A4D2C" w14:textId="247A6B09"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603F53F8" w14:textId="4E7C6C74"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the listing of Ibrance® (palbociclib) tablets on the PBS under the same conditions as the existing listings for palbociclib capsules.</w:t>
            </w:r>
          </w:p>
        </w:tc>
      </w:tr>
      <w:tr w:rsidR="007F48F6" w:rsidRPr="00CC0C66" w14:paraId="4CAB4FCE" w14:textId="77777777" w:rsidTr="002E1AD3">
        <w:trPr>
          <w:trHeight w:val="2983"/>
        </w:trPr>
        <w:tc>
          <w:tcPr>
            <w:tcW w:w="3114" w:type="dxa"/>
            <w:shd w:val="clear" w:color="auto" w:fill="auto"/>
            <w:tcMar>
              <w:top w:w="28" w:type="dxa"/>
              <w:bottom w:w="28" w:type="dxa"/>
            </w:tcMar>
            <w:vAlign w:val="center"/>
          </w:tcPr>
          <w:p w14:paraId="4C74E9F0" w14:textId="7B468F51"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 xml:space="preserve">RAVULIZUMAB </w:t>
            </w:r>
            <w:r w:rsidRPr="00CC0C66">
              <w:rPr>
                <w:rFonts w:ascii="Arial" w:hAnsi="Arial" w:cs="Arial"/>
                <w:color w:val="000000"/>
                <w:sz w:val="18"/>
                <w:szCs w:val="18"/>
              </w:rPr>
              <w:br/>
            </w:r>
            <w:r w:rsidRPr="00CC0C66">
              <w:rPr>
                <w:rFonts w:ascii="Arial" w:hAnsi="Arial" w:cs="Arial"/>
                <w:color w:val="000000"/>
                <w:sz w:val="18"/>
                <w:szCs w:val="18"/>
              </w:rPr>
              <w:br/>
              <w:t>Solution concentrate for I.V. infusion 300 mg in 3 mL</w:t>
            </w:r>
            <w:r w:rsidRPr="00CC0C66">
              <w:rPr>
                <w:rFonts w:ascii="Arial" w:hAnsi="Arial" w:cs="Arial"/>
                <w:color w:val="000000"/>
                <w:sz w:val="18"/>
                <w:szCs w:val="18"/>
              </w:rPr>
              <w:br/>
              <w:t>Solution concentrate for I.V. infusion 1,100 mg in 11 mL</w:t>
            </w:r>
            <w:r w:rsidRPr="00CC0C66">
              <w:rPr>
                <w:rFonts w:ascii="Arial" w:hAnsi="Arial" w:cs="Arial"/>
                <w:color w:val="000000"/>
                <w:sz w:val="18"/>
                <w:szCs w:val="18"/>
              </w:rPr>
              <w:br/>
            </w:r>
            <w:r w:rsidRPr="00CC0C66">
              <w:rPr>
                <w:rFonts w:ascii="Arial" w:hAnsi="Arial" w:cs="Arial"/>
                <w:color w:val="000000"/>
                <w:sz w:val="18"/>
                <w:szCs w:val="18"/>
              </w:rPr>
              <w:br/>
              <w:t>Ultomiris®</w:t>
            </w:r>
            <w:r w:rsidRPr="00CC0C66">
              <w:rPr>
                <w:rFonts w:ascii="Arial" w:hAnsi="Arial" w:cs="Arial"/>
                <w:color w:val="000000"/>
                <w:sz w:val="18"/>
                <w:szCs w:val="18"/>
              </w:rPr>
              <w:br/>
            </w:r>
            <w:r w:rsidRPr="00CC0C66">
              <w:rPr>
                <w:rFonts w:ascii="Arial" w:hAnsi="Arial" w:cs="Arial"/>
                <w:color w:val="000000"/>
                <w:sz w:val="18"/>
                <w:szCs w:val="18"/>
              </w:rPr>
              <w:br/>
              <w:t>Alexion Pharmaceuticals Australasia Pty Ltd</w:t>
            </w:r>
          </w:p>
          <w:p w14:paraId="3562404E" w14:textId="377E9754"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Standard Re-entry resubmission</w:t>
            </w:r>
            <w:r w:rsidRPr="00CC0C66">
              <w:rPr>
                <w:rFonts w:ascii="Arial" w:hAnsi="Arial" w:cs="Arial"/>
                <w:color w:val="000000"/>
                <w:sz w:val="18"/>
                <w:szCs w:val="18"/>
              </w:rPr>
              <w:br/>
              <w:t>(New listing)</w:t>
            </w:r>
          </w:p>
        </w:tc>
        <w:tc>
          <w:tcPr>
            <w:tcW w:w="1559" w:type="dxa"/>
            <w:shd w:val="clear" w:color="auto" w:fill="auto"/>
            <w:vAlign w:val="center"/>
          </w:tcPr>
          <w:p w14:paraId="1549CA41" w14:textId="2C53F36F"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Paroxysmal nocturnal haemoglobinuria (PNH)</w:t>
            </w:r>
          </w:p>
        </w:tc>
        <w:tc>
          <w:tcPr>
            <w:tcW w:w="2552" w:type="dxa"/>
            <w:shd w:val="clear" w:color="auto" w:fill="auto"/>
            <w:tcMar>
              <w:top w:w="28" w:type="dxa"/>
              <w:bottom w:w="28" w:type="dxa"/>
            </w:tcMar>
            <w:vAlign w:val="center"/>
          </w:tcPr>
          <w:p w14:paraId="4AE0D1E4" w14:textId="5485FA2B"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Resubmission to request a Section 100 (Highly Specialised Drugs Program), Authority Required (</w:t>
            </w:r>
            <w:r>
              <w:rPr>
                <w:rFonts w:ascii="Arial" w:hAnsi="Arial" w:cs="Arial"/>
                <w:color w:val="000000"/>
                <w:sz w:val="18"/>
                <w:szCs w:val="18"/>
              </w:rPr>
              <w:t>W</w:t>
            </w:r>
            <w:r w:rsidRPr="00CC0C66">
              <w:rPr>
                <w:rFonts w:ascii="Arial" w:hAnsi="Arial" w:cs="Arial"/>
                <w:color w:val="000000"/>
                <w:sz w:val="18"/>
                <w:szCs w:val="18"/>
              </w:rPr>
              <w:t>ritten) listing for the treatment of adults with PNH.</w:t>
            </w:r>
          </w:p>
        </w:tc>
        <w:tc>
          <w:tcPr>
            <w:tcW w:w="1558" w:type="dxa"/>
            <w:shd w:val="clear" w:color="auto" w:fill="auto"/>
            <w:vAlign w:val="center"/>
          </w:tcPr>
          <w:p w14:paraId="2DE0ED19" w14:textId="6AD661BE"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28F4A6AF" w14:textId="21F27C2D"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the Authority Required (non-immediate assessment) listing of ravulizumab for the treatment of PNH, on the basis that it should be available only under special arrangements under the Section 100 – Highly Specialised Drugs Program. The PBAC considered the clinical evidence presented demonstrated that ravulizumab was likely to be non-inferior in safety and effectiveness compared to eculizumab. The PBAC noted that eculizumab is currently funded on the Life Saving Drugs Program. The PBAC considered the submission for ravulizumab provided an opportunity to reassess the cost-effectiveness of eculizumab for listing on the PBS. The PBAC considered the clinical data presented supported a survival advantage for eculizumab over best supportive care. Although the magnitude of the survival benefit in PNH remained uncertain and the cost-effectiveness was very high, the PBAC considered eculizumab would be appropriate for inclusion on the PBS at a reduced price. The PBAC advised ravulizumab be listed on the basis of a cost-minimisation to eculizumab.</w:t>
            </w:r>
          </w:p>
        </w:tc>
      </w:tr>
      <w:tr w:rsidR="007F48F6" w:rsidRPr="00CC0C66" w14:paraId="57C1FEA5" w14:textId="77777777" w:rsidTr="00EF1350">
        <w:trPr>
          <w:trHeight w:val="4447"/>
        </w:trPr>
        <w:tc>
          <w:tcPr>
            <w:tcW w:w="3114" w:type="dxa"/>
            <w:shd w:val="clear" w:color="auto" w:fill="auto"/>
            <w:tcMar>
              <w:top w:w="28" w:type="dxa"/>
              <w:bottom w:w="28" w:type="dxa"/>
            </w:tcMar>
            <w:vAlign w:val="center"/>
          </w:tcPr>
          <w:p w14:paraId="68DCC544" w14:textId="7294A008"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RIPRETINIB</w:t>
            </w:r>
            <w:r w:rsidRPr="00CC0C66">
              <w:rPr>
                <w:rFonts w:ascii="Arial" w:hAnsi="Arial" w:cs="Arial"/>
                <w:color w:val="000000"/>
                <w:sz w:val="18"/>
                <w:szCs w:val="18"/>
              </w:rPr>
              <w:br/>
            </w:r>
            <w:r w:rsidRPr="00CC0C66">
              <w:rPr>
                <w:rFonts w:ascii="Arial" w:hAnsi="Arial" w:cs="Arial"/>
                <w:color w:val="000000"/>
                <w:sz w:val="18"/>
                <w:szCs w:val="18"/>
              </w:rPr>
              <w:br/>
              <w:t>Tablet 50 mg</w:t>
            </w:r>
            <w:r w:rsidRPr="00CC0C66">
              <w:rPr>
                <w:rFonts w:ascii="Arial" w:hAnsi="Arial" w:cs="Arial"/>
                <w:color w:val="000000"/>
                <w:sz w:val="18"/>
                <w:szCs w:val="18"/>
              </w:rPr>
              <w:br/>
            </w:r>
            <w:r w:rsidRPr="00CC0C66">
              <w:rPr>
                <w:rFonts w:ascii="Arial" w:hAnsi="Arial" w:cs="Arial"/>
                <w:color w:val="000000"/>
                <w:sz w:val="18"/>
                <w:szCs w:val="18"/>
              </w:rPr>
              <w:br/>
              <w:t>Qinlock®</w:t>
            </w:r>
            <w:r w:rsidRPr="00CC0C66">
              <w:rPr>
                <w:rFonts w:ascii="Arial" w:hAnsi="Arial" w:cs="Arial"/>
                <w:color w:val="000000"/>
                <w:sz w:val="18"/>
                <w:szCs w:val="18"/>
              </w:rPr>
              <w:br/>
            </w:r>
            <w:r w:rsidRPr="00CC0C66">
              <w:rPr>
                <w:rFonts w:ascii="Arial" w:hAnsi="Arial" w:cs="Arial"/>
                <w:color w:val="000000"/>
                <w:sz w:val="18"/>
                <w:szCs w:val="18"/>
              </w:rPr>
              <w:br/>
              <w:t>Specialised Therapeutics PM Pty Ltd</w:t>
            </w:r>
          </w:p>
          <w:p w14:paraId="3D185530" w14:textId="578D89F8"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Early Re-entry resubmission</w:t>
            </w:r>
            <w:r w:rsidRPr="00CC0C66">
              <w:rPr>
                <w:rFonts w:ascii="Arial" w:hAnsi="Arial" w:cs="Arial"/>
                <w:color w:val="000000"/>
                <w:sz w:val="18"/>
                <w:szCs w:val="18"/>
              </w:rPr>
              <w:br/>
              <w:t>(New listing)</w:t>
            </w:r>
          </w:p>
        </w:tc>
        <w:tc>
          <w:tcPr>
            <w:tcW w:w="1559" w:type="dxa"/>
            <w:shd w:val="clear" w:color="auto" w:fill="auto"/>
            <w:vAlign w:val="center"/>
          </w:tcPr>
          <w:p w14:paraId="6988EB3A" w14:textId="78F2EE6E"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Gastrointestinal stromal tumour</w:t>
            </w:r>
            <w:r>
              <w:rPr>
                <w:rFonts w:ascii="Arial" w:hAnsi="Arial" w:cs="Arial"/>
                <w:color w:val="000000"/>
                <w:sz w:val="18"/>
                <w:szCs w:val="18"/>
              </w:rPr>
              <w:t xml:space="preserve"> (GIST)</w:t>
            </w:r>
          </w:p>
        </w:tc>
        <w:tc>
          <w:tcPr>
            <w:tcW w:w="2552" w:type="dxa"/>
            <w:shd w:val="clear" w:color="auto" w:fill="auto"/>
            <w:tcMar>
              <w:top w:w="28" w:type="dxa"/>
              <w:bottom w:w="28" w:type="dxa"/>
            </w:tcMar>
            <w:vAlign w:val="center"/>
          </w:tcPr>
          <w:p w14:paraId="44B4F347" w14:textId="6E927FC5"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Resubmission to request an Authority Required (Written) listing for the treatment of metastatic or unresectable malignant</w:t>
            </w:r>
            <w:r>
              <w:rPr>
                <w:rFonts w:ascii="Arial" w:hAnsi="Arial" w:cs="Arial"/>
                <w:color w:val="000000"/>
                <w:sz w:val="18"/>
                <w:szCs w:val="18"/>
              </w:rPr>
              <w:t xml:space="preserve"> GIST</w:t>
            </w:r>
            <w:r w:rsidRPr="00CC0C66">
              <w:rPr>
                <w:rFonts w:ascii="Arial" w:hAnsi="Arial" w:cs="Arial"/>
                <w:color w:val="000000"/>
                <w:sz w:val="18"/>
                <w:szCs w:val="18"/>
              </w:rPr>
              <w:t>.</w:t>
            </w:r>
          </w:p>
        </w:tc>
        <w:tc>
          <w:tcPr>
            <w:tcW w:w="1558" w:type="dxa"/>
            <w:shd w:val="clear" w:color="auto" w:fill="auto"/>
            <w:vAlign w:val="center"/>
          </w:tcPr>
          <w:p w14:paraId="6CE5B126" w14:textId="32CCFA5A"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42C9EE26" w14:textId="5FFFADFE"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the Authority Required (immediate/real-time assessment) listing of ripretinib for treatment of advanced GIST. The resubmission provided a revised price and financial estimates in response to previous concerns raised by the PBAC. In addition, the resubmission included updated survival data from the key clinical trial. The PBAC considered the revised incremental cost-effectiveness ratio (ICER) was high but likely overestimated due to the survival benefit being underestimated as a result of using the less favourable earlier data cut and the control group crossing over to receive treatment with ripretinib. The PBAC considered the ICER was acceptable in the context of advanced GIST being a rare cancer with an unmet need for effective third line treatment. In addition, the PBAC considered the revised financial estimates addressed previous concerns.</w:t>
            </w:r>
          </w:p>
        </w:tc>
      </w:tr>
      <w:tr w:rsidR="007F48F6" w:rsidRPr="00CC0C66" w14:paraId="0843CD7E" w14:textId="77777777" w:rsidTr="002E1AD3">
        <w:trPr>
          <w:trHeight w:val="304"/>
        </w:trPr>
        <w:tc>
          <w:tcPr>
            <w:tcW w:w="3114" w:type="dxa"/>
            <w:vMerge w:val="restart"/>
            <w:shd w:val="clear" w:color="auto" w:fill="auto"/>
            <w:tcMar>
              <w:top w:w="28" w:type="dxa"/>
              <w:bottom w:w="28" w:type="dxa"/>
            </w:tcMar>
            <w:vAlign w:val="center"/>
          </w:tcPr>
          <w:p w14:paraId="172ED161" w14:textId="729D0919"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SECUKINUMAB</w:t>
            </w:r>
            <w:r w:rsidRPr="00CC0C66">
              <w:rPr>
                <w:rFonts w:ascii="Arial" w:hAnsi="Arial" w:cs="Arial"/>
                <w:color w:val="000000"/>
                <w:sz w:val="18"/>
                <w:szCs w:val="18"/>
              </w:rPr>
              <w:br/>
            </w:r>
            <w:r w:rsidRPr="00CC0C66">
              <w:rPr>
                <w:rFonts w:ascii="Arial" w:hAnsi="Arial" w:cs="Arial"/>
                <w:color w:val="000000"/>
                <w:sz w:val="18"/>
                <w:szCs w:val="18"/>
              </w:rPr>
              <w:br/>
              <w:t>Injection 150 mg in 1 mL pre-filled pen</w:t>
            </w:r>
            <w:r w:rsidRPr="00CC0C66">
              <w:rPr>
                <w:rFonts w:ascii="Arial" w:hAnsi="Arial" w:cs="Arial"/>
                <w:color w:val="000000"/>
                <w:sz w:val="18"/>
                <w:szCs w:val="18"/>
              </w:rPr>
              <w:br/>
            </w:r>
            <w:r w:rsidRPr="00CC0C66">
              <w:rPr>
                <w:rFonts w:ascii="Arial" w:hAnsi="Arial" w:cs="Arial"/>
                <w:color w:val="000000"/>
                <w:sz w:val="18"/>
                <w:szCs w:val="18"/>
              </w:rPr>
              <w:br/>
              <w:t>Cosentyx®</w:t>
            </w:r>
            <w:r w:rsidRPr="00CC0C66">
              <w:rPr>
                <w:rFonts w:ascii="Arial" w:hAnsi="Arial" w:cs="Arial"/>
                <w:color w:val="000000"/>
                <w:sz w:val="18"/>
                <w:szCs w:val="18"/>
              </w:rPr>
              <w:br/>
            </w:r>
            <w:r w:rsidRPr="00CC0C66">
              <w:rPr>
                <w:rFonts w:ascii="Arial" w:hAnsi="Arial" w:cs="Arial"/>
                <w:color w:val="000000"/>
                <w:sz w:val="18"/>
                <w:szCs w:val="18"/>
              </w:rPr>
              <w:br/>
              <w:t>Novartis Pharmaceuticals Australia Pty Ltd</w:t>
            </w:r>
          </w:p>
          <w:p w14:paraId="5358158C" w14:textId="13C52926"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4 submission</w:t>
            </w:r>
            <w:r w:rsidRPr="00CC0C66">
              <w:rPr>
                <w:rFonts w:ascii="Arial" w:hAnsi="Arial" w:cs="Arial"/>
                <w:color w:val="000000"/>
                <w:sz w:val="18"/>
                <w:szCs w:val="18"/>
              </w:rPr>
              <w:br/>
              <w:t>(Change to listing)</w:t>
            </w:r>
          </w:p>
        </w:tc>
        <w:tc>
          <w:tcPr>
            <w:tcW w:w="1559" w:type="dxa"/>
            <w:vMerge w:val="restart"/>
            <w:shd w:val="clear" w:color="auto" w:fill="auto"/>
            <w:vAlign w:val="center"/>
          </w:tcPr>
          <w:p w14:paraId="753F86B4" w14:textId="68A602CD"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Ankylosing spondylitis</w:t>
            </w:r>
          </w:p>
        </w:tc>
        <w:tc>
          <w:tcPr>
            <w:tcW w:w="2552" w:type="dxa"/>
            <w:vMerge w:val="restart"/>
            <w:shd w:val="clear" w:color="auto" w:fill="auto"/>
            <w:tcMar>
              <w:top w:w="28" w:type="dxa"/>
              <w:bottom w:w="28" w:type="dxa"/>
            </w:tcMar>
            <w:vAlign w:val="center"/>
          </w:tcPr>
          <w:p w14:paraId="211FA858" w14:textId="03A42F9B"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an increase in the maximum quantity to 2 and a reduction in the number of repeats from 5 to 2.</w:t>
            </w:r>
          </w:p>
        </w:tc>
        <w:tc>
          <w:tcPr>
            <w:tcW w:w="1558" w:type="dxa"/>
            <w:vMerge w:val="restart"/>
            <w:shd w:val="clear" w:color="auto" w:fill="auto"/>
            <w:vAlign w:val="center"/>
          </w:tcPr>
          <w:p w14:paraId="568A02AC" w14:textId="275CF2B2"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Not Recommended</w:t>
            </w:r>
          </w:p>
        </w:tc>
        <w:tc>
          <w:tcPr>
            <w:tcW w:w="6605" w:type="dxa"/>
            <w:shd w:val="clear" w:color="auto" w:fill="auto"/>
            <w:vAlign w:val="center"/>
          </w:tcPr>
          <w:p w14:paraId="4057FE93" w14:textId="29AF97B9"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snapToGrid w:val="0"/>
                <w:sz w:val="18"/>
                <w:szCs w:val="18"/>
                <w:lang w:eastAsia="en-US"/>
              </w:rPr>
              <w:t xml:space="preserve">The PBAC did not recommend increasing the maximum quantity from </w:t>
            </w:r>
            <w:r>
              <w:rPr>
                <w:rFonts w:ascii="Arial" w:hAnsi="Arial" w:cs="Arial"/>
                <w:snapToGrid w:val="0"/>
                <w:sz w:val="18"/>
                <w:szCs w:val="18"/>
                <w:lang w:eastAsia="en-US"/>
              </w:rPr>
              <w:t xml:space="preserve">1 </w:t>
            </w:r>
            <w:r w:rsidRPr="00CC0C66">
              <w:rPr>
                <w:rFonts w:ascii="Arial" w:hAnsi="Arial" w:cs="Arial"/>
                <w:snapToGrid w:val="0"/>
                <w:sz w:val="18"/>
                <w:szCs w:val="18"/>
                <w:lang w:eastAsia="en-US"/>
              </w:rPr>
              <w:t xml:space="preserve">to </w:t>
            </w:r>
            <w:r>
              <w:rPr>
                <w:rFonts w:ascii="Arial" w:hAnsi="Arial" w:cs="Arial"/>
                <w:snapToGrid w:val="0"/>
                <w:sz w:val="18"/>
                <w:szCs w:val="18"/>
                <w:lang w:eastAsia="en-US"/>
              </w:rPr>
              <w:t xml:space="preserve">2 </w:t>
            </w:r>
            <w:r w:rsidRPr="00CC0C66">
              <w:rPr>
                <w:rFonts w:ascii="Arial" w:hAnsi="Arial" w:cs="Arial"/>
                <w:snapToGrid w:val="0"/>
                <w:sz w:val="18"/>
                <w:szCs w:val="18"/>
                <w:lang w:eastAsia="en-US"/>
              </w:rPr>
              <w:t xml:space="preserve">or reducing the number of repeats from </w:t>
            </w:r>
            <w:r>
              <w:rPr>
                <w:rFonts w:ascii="Arial" w:hAnsi="Arial" w:cs="Arial"/>
                <w:snapToGrid w:val="0"/>
                <w:sz w:val="18"/>
                <w:szCs w:val="18"/>
                <w:lang w:eastAsia="en-US"/>
              </w:rPr>
              <w:t xml:space="preserve">5 </w:t>
            </w:r>
            <w:r w:rsidRPr="00CC0C66">
              <w:rPr>
                <w:rFonts w:ascii="Arial" w:hAnsi="Arial" w:cs="Arial"/>
                <w:snapToGrid w:val="0"/>
                <w:sz w:val="18"/>
                <w:szCs w:val="18"/>
                <w:lang w:eastAsia="en-US"/>
              </w:rPr>
              <w:t xml:space="preserve">to </w:t>
            </w:r>
            <w:r>
              <w:rPr>
                <w:rFonts w:ascii="Arial" w:hAnsi="Arial" w:cs="Arial"/>
                <w:snapToGrid w:val="0"/>
                <w:sz w:val="18"/>
                <w:szCs w:val="18"/>
                <w:lang w:eastAsia="en-US"/>
              </w:rPr>
              <w:t xml:space="preserve">2 </w:t>
            </w:r>
            <w:r w:rsidRPr="00CC0C66">
              <w:rPr>
                <w:rFonts w:ascii="Arial" w:hAnsi="Arial" w:cs="Arial"/>
                <w:snapToGrid w:val="0"/>
                <w:sz w:val="18"/>
                <w:szCs w:val="18"/>
                <w:lang w:eastAsia="en-US"/>
              </w:rPr>
              <w:t>of the PBS listed secukinumab 150 mg injection for the continuing treatment phase of the following PBS indications:</w:t>
            </w:r>
          </w:p>
          <w:p w14:paraId="0ACE2778" w14:textId="77777777" w:rsidR="007F48F6" w:rsidRPr="00CC0C66" w:rsidRDefault="007F48F6" w:rsidP="00F3265E">
            <w:pPr>
              <w:pStyle w:val="ListParagraph"/>
              <w:keepLines/>
              <w:spacing w:after="120"/>
              <w:rPr>
                <w:rFonts w:ascii="Arial" w:hAnsi="Arial" w:cs="Arial"/>
                <w:snapToGrid w:val="0"/>
                <w:sz w:val="18"/>
                <w:szCs w:val="18"/>
                <w:lang w:eastAsia="en-US"/>
              </w:rPr>
            </w:pPr>
            <w:r w:rsidRPr="00CC0C66">
              <w:rPr>
                <w:rFonts w:ascii="Arial" w:hAnsi="Arial" w:cs="Arial"/>
                <w:snapToGrid w:val="0"/>
                <w:sz w:val="18"/>
                <w:szCs w:val="18"/>
                <w:lang w:eastAsia="en-US"/>
              </w:rPr>
              <w:t>•</w:t>
            </w:r>
            <w:r w:rsidRPr="00CC0C66">
              <w:rPr>
                <w:rFonts w:ascii="Arial" w:hAnsi="Arial" w:cs="Arial"/>
                <w:snapToGrid w:val="0"/>
                <w:sz w:val="18"/>
                <w:szCs w:val="18"/>
                <w:lang w:eastAsia="en-US"/>
              </w:rPr>
              <w:tab/>
              <w:t>Ankylosing spondylitis</w:t>
            </w:r>
          </w:p>
          <w:p w14:paraId="21CCE6CF" w14:textId="77777777" w:rsidR="007F48F6" w:rsidRPr="00CC0C66" w:rsidRDefault="007F48F6" w:rsidP="00F3265E">
            <w:pPr>
              <w:pStyle w:val="ListParagraph"/>
              <w:keepLines/>
              <w:spacing w:after="120"/>
              <w:rPr>
                <w:rFonts w:ascii="Arial" w:hAnsi="Arial" w:cs="Arial"/>
                <w:snapToGrid w:val="0"/>
                <w:sz w:val="18"/>
                <w:szCs w:val="18"/>
                <w:lang w:eastAsia="en-US"/>
              </w:rPr>
            </w:pPr>
            <w:r w:rsidRPr="00CC0C66">
              <w:rPr>
                <w:rFonts w:ascii="Arial" w:hAnsi="Arial" w:cs="Arial"/>
                <w:snapToGrid w:val="0"/>
                <w:sz w:val="18"/>
                <w:szCs w:val="18"/>
                <w:lang w:eastAsia="en-US"/>
              </w:rPr>
              <w:t>•</w:t>
            </w:r>
            <w:r w:rsidRPr="00CC0C66">
              <w:rPr>
                <w:rFonts w:ascii="Arial" w:hAnsi="Arial" w:cs="Arial"/>
                <w:snapToGrid w:val="0"/>
                <w:sz w:val="18"/>
                <w:szCs w:val="18"/>
                <w:lang w:eastAsia="en-US"/>
              </w:rPr>
              <w:tab/>
              <w:t>Severe chronic plaque psoriasis</w:t>
            </w:r>
          </w:p>
          <w:p w14:paraId="4CBF603A" w14:textId="77777777" w:rsidR="007F48F6" w:rsidRPr="00CC0C66" w:rsidRDefault="007F48F6" w:rsidP="00F3265E">
            <w:pPr>
              <w:pStyle w:val="ListParagraph"/>
              <w:keepLines/>
              <w:spacing w:after="120"/>
              <w:rPr>
                <w:rFonts w:ascii="Arial" w:hAnsi="Arial" w:cs="Arial"/>
                <w:snapToGrid w:val="0"/>
                <w:sz w:val="18"/>
                <w:szCs w:val="18"/>
                <w:lang w:eastAsia="en-US"/>
              </w:rPr>
            </w:pPr>
            <w:r w:rsidRPr="00CC0C66">
              <w:rPr>
                <w:rFonts w:ascii="Arial" w:hAnsi="Arial" w:cs="Arial"/>
                <w:snapToGrid w:val="0"/>
                <w:sz w:val="18"/>
                <w:szCs w:val="18"/>
                <w:lang w:eastAsia="en-US"/>
              </w:rPr>
              <w:t>•</w:t>
            </w:r>
            <w:r w:rsidRPr="00CC0C66">
              <w:rPr>
                <w:rFonts w:ascii="Arial" w:hAnsi="Arial" w:cs="Arial"/>
                <w:snapToGrid w:val="0"/>
                <w:sz w:val="18"/>
                <w:szCs w:val="18"/>
                <w:lang w:eastAsia="en-US"/>
              </w:rPr>
              <w:tab/>
              <w:t>Severe psoriatic arthritis</w:t>
            </w:r>
          </w:p>
          <w:p w14:paraId="64DB606B" w14:textId="77777777" w:rsidR="007F48F6" w:rsidRPr="00CC0C66" w:rsidRDefault="007F48F6" w:rsidP="00F3265E">
            <w:pPr>
              <w:pStyle w:val="ListParagraph"/>
              <w:keepLines/>
              <w:spacing w:after="120"/>
              <w:rPr>
                <w:rFonts w:ascii="Arial" w:hAnsi="Arial" w:cs="Arial"/>
                <w:snapToGrid w:val="0"/>
                <w:sz w:val="18"/>
                <w:szCs w:val="18"/>
                <w:lang w:eastAsia="en-US"/>
              </w:rPr>
            </w:pPr>
            <w:r w:rsidRPr="00CC0C66">
              <w:rPr>
                <w:rFonts w:ascii="Arial" w:hAnsi="Arial" w:cs="Arial"/>
                <w:snapToGrid w:val="0"/>
                <w:sz w:val="18"/>
                <w:szCs w:val="18"/>
                <w:lang w:eastAsia="en-US"/>
              </w:rPr>
              <w:t>•</w:t>
            </w:r>
            <w:r w:rsidRPr="00CC0C66">
              <w:rPr>
                <w:rFonts w:ascii="Arial" w:hAnsi="Arial" w:cs="Arial"/>
                <w:snapToGrid w:val="0"/>
                <w:sz w:val="18"/>
                <w:szCs w:val="18"/>
                <w:lang w:eastAsia="en-US"/>
              </w:rPr>
              <w:tab/>
              <w:t>Non-radiographic axSpA.</w:t>
            </w:r>
          </w:p>
          <w:p w14:paraId="7E5FA901" w14:textId="77777777" w:rsidR="007F48F6" w:rsidRDefault="007F48F6" w:rsidP="00F3265E">
            <w:pPr>
              <w:pStyle w:val="ListParagraph"/>
              <w:keepLines/>
              <w:spacing w:after="120"/>
              <w:ind w:left="0"/>
              <w:rPr>
                <w:rFonts w:ascii="Arial" w:hAnsi="Arial" w:cs="Arial"/>
                <w:snapToGrid w:val="0"/>
                <w:sz w:val="18"/>
                <w:szCs w:val="18"/>
                <w:lang w:eastAsia="en-US"/>
              </w:rPr>
            </w:pPr>
          </w:p>
          <w:p w14:paraId="07955E00" w14:textId="505C6BCD"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snapToGrid w:val="0"/>
                <w:sz w:val="18"/>
                <w:szCs w:val="18"/>
                <w:lang w:eastAsia="en-US"/>
              </w:rPr>
              <w:t>The PBAC noted that it is usual practice for drugs listed on the General Schedule to have a maximum quantity per prescription that provides supply for one months’ treatment as per PBAC Guidelines and that the current maximum quantity and number of repeats for secukinumab are consistent with the PBAC Guidelines.</w:t>
            </w:r>
          </w:p>
        </w:tc>
      </w:tr>
      <w:tr w:rsidR="007F48F6" w:rsidRPr="00CC0C66" w14:paraId="18A07192" w14:textId="77777777" w:rsidTr="00EF1350">
        <w:trPr>
          <w:trHeight w:val="336"/>
        </w:trPr>
        <w:tc>
          <w:tcPr>
            <w:tcW w:w="3114" w:type="dxa"/>
            <w:vMerge/>
            <w:shd w:val="clear" w:color="auto" w:fill="auto"/>
            <w:tcMar>
              <w:top w:w="28" w:type="dxa"/>
              <w:bottom w:w="28" w:type="dxa"/>
            </w:tcMar>
            <w:vAlign w:val="center"/>
          </w:tcPr>
          <w:p w14:paraId="1CAE159A"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5D7F73F5"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7D9074FD"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29E4F8D6"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502AE503" w14:textId="26CB0029" w:rsidR="00EF1350" w:rsidRPr="00EF1350" w:rsidRDefault="007F48F6"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Sponsor’s Comment</w:t>
            </w:r>
            <w:r w:rsidR="00EF1350">
              <w:rPr>
                <w:rFonts w:ascii="Arial" w:hAnsi="Arial" w:cs="Arial"/>
                <w:color w:val="000000"/>
                <w:sz w:val="18"/>
                <w:szCs w:val="18"/>
              </w:rPr>
              <w:t xml:space="preserve">: </w:t>
            </w:r>
            <w:r w:rsidR="00EF1350" w:rsidRPr="00EF1350">
              <w:rPr>
                <w:rFonts w:ascii="Arial" w:hAnsi="Arial" w:cs="Arial"/>
                <w:color w:val="000000"/>
                <w:sz w:val="18"/>
                <w:szCs w:val="18"/>
              </w:rPr>
              <w:t>The sponsor had no comment.</w:t>
            </w:r>
          </w:p>
        </w:tc>
      </w:tr>
      <w:tr w:rsidR="007F48F6" w:rsidRPr="00CC0C66" w14:paraId="310D5706" w14:textId="77777777" w:rsidTr="002E1AD3">
        <w:trPr>
          <w:trHeight w:val="2212"/>
        </w:trPr>
        <w:tc>
          <w:tcPr>
            <w:tcW w:w="3114" w:type="dxa"/>
            <w:vMerge w:val="restart"/>
            <w:shd w:val="clear" w:color="auto" w:fill="auto"/>
            <w:tcMar>
              <w:top w:w="28" w:type="dxa"/>
              <w:bottom w:w="28" w:type="dxa"/>
            </w:tcMar>
            <w:vAlign w:val="center"/>
          </w:tcPr>
          <w:p w14:paraId="7C5EB7F6" w14:textId="2D90357E"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SELINEXOR</w:t>
            </w:r>
            <w:r w:rsidRPr="00CC0C66">
              <w:rPr>
                <w:rFonts w:ascii="Arial" w:hAnsi="Arial" w:cs="Arial"/>
                <w:color w:val="000000"/>
                <w:sz w:val="18"/>
                <w:szCs w:val="18"/>
              </w:rPr>
              <w:br/>
            </w:r>
            <w:r w:rsidRPr="00CC0C66">
              <w:rPr>
                <w:rFonts w:ascii="Arial" w:hAnsi="Arial" w:cs="Arial"/>
                <w:color w:val="000000"/>
                <w:sz w:val="18"/>
                <w:szCs w:val="18"/>
              </w:rPr>
              <w:br/>
              <w:t>Tablet 20 mg</w:t>
            </w:r>
            <w:r w:rsidRPr="00CC0C66">
              <w:rPr>
                <w:rFonts w:ascii="Arial" w:hAnsi="Arial" w:cs="Arial"/>
                <w:color w:val="000000"/>
                <w:sz w:val="18"/>
                <w:szCs w:val="18"/>
              </w:rPr>
              <w:br/>
            </w:r>
            <w:r w:rsidRPr="00CC0C66">
              <w:rPr>
                <w:rFonts w:ascii="Arial" w:hAnsi="Arial" w:cs="Arial"/>
                <w:color w:val="000000"/>
                <w:sz w:val="18"/>
                <w:szCs w:val="18"/>
              </w:rPr>
              <w:br/>
              <w:t>Xpovio®</w:t>
            </w:r>
            <w:r w:rsidRPr="00CC0C66">
              <w:rPr>
                <w:rFonts w:ascii="Arial" w:hAnsi="Arial" w:cs="Arial"/>
                <w:color w:val="000000"/>
                <w:sz w:val="18"/>
                <w:szCs w:val="18"/>
              </w:rPr>
              <w:br/>
            </w:r>
            <w:r w:rsidRPr="00CC0C66">
              <w:rPr>
                <w:rFonts w:ascii="Arial" w:hAnsi="Arial" w:cs="Arial"/>
                <w:color w:val="000000"/>
                <w:sz w:val="18"/>
                <w:szCs w:val="18"/>
              </w:rPr>
              <w:br/>
              <w:t>Antengene (Aus) Pty. Ltd.</w:t>
            </w:r>
          </w:p>
          <w:p w14:paraId="7C44DBE2" w14:textId="19C18F04"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1 submission</w:t>
            </w:r>
            <w:r w:rsidRPr="00CC0C66">
              <w:rPr>
                <w:rFonts w:ascii="Arial" w:hAnsi="Arial" w:cs="Arial"/>
                <w:color w:val="000000"/>
                <w:sz w:val="18"/>
                <w:szCs w:val="18"/>
              </w:rPr>
              <w:br/>
              <w:t>(New listing)</w:t>
            </w:r>
          </w:p>
        </w:tc>
        <w:tc>
          <w:tcPr>
            <w:tcW w:w="1559" w:type="dxa"/>
            <w:vMerge w:val="restart"/>
            <w:shd w:val="clear" w:color="auto" w:fill="auto"/>
            <w:vAlign w:val="center"/>
          </w:tcPr>
          <w:p w14:paraId="78B46895" w14:textId="73C051FE"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Relapsed and/or refractory multiple myeloma</w:t>
            </w:r>
            <w:r>
              <w:rPr>
                <w:rFonts w:ascii="Arial" w:hAnsi="Arial" w:cs="Arial"/>
                <w:color w:val="000000"/>
                <w:sz w:val="18"/>
                <w:szCs w:val="18"/>
              </w:rPr>
              <w:t xml:space="preserve"> (RRMM)</w:t>
            </w:r>
          </w:p>
        </w:tc>
        <w:tc>
          <w:tcPr>
            <w:tcW w:w="2552" w:type="dxa"/>
            <w:vMerge w:val="restart"/>
            <w:shd w:val="clear" w:color="auto" w:fill="auto"/>
            <w:tcMar>
              <w:top w:w="28" w:type="dxa"/>
              <w:bottom w:w="28" w:type="dxa"/>
            </w:tcMar>
            <w:vAlign w:val="center"/>
          </w:tcPr>
          <w:p w14:paraId="3C1D0328" w14:textId="04A06EEB"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To request a Section 100 (Highly Specialised Drugs Program), Authority Required (STREAMLINED) listing, in combination with bortezomib and dexamethasone, for the treatment of </w:t>
            </w:r>
            <w:r>
              <w:rPr>
                <w:rFonts w:ascii="Arial" w:hAnsi="Arial" w:cs="Arial"/>
                <w:color w:val="000000"/>
                <w:sz w:val="18"/>
                <w:szCs w:val="18"/>
              </w:rPr>
              <w:t>RRMM</w:t>
            </w:r>
            <w:r w:rsidRPr="00CC0C66">
              <w:rPr>
                <w:rFonts w:ascii="Arial" w:hAnsi="Arial" w:cs="Arial"/>
                <w:color w:val="000000"/>
                <w:sz w:val="18"/>
                <w:szCs w:val="18"/>
              </w:rPr>
              <w:t>.</w:t>
            </w:r>
          </w:p>
        </w:tc>
        <w:tc>
          <w:tcPr>
            <w:tcW w:w="1558" w:type="dxa"/>
            <w:vMerge w:val="restart"/>
            <w:shd w:val="clear" w:color="auto" w:fill="auto"/>
            <w:vAlign w:val="center"/>
          </w:tcPr>
          <w:p w14:paraId="400EE614" w14:textId="496B48D4"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Not Recommended</w:t>
            </w:r>
          </w:p>
        </w:tc>
        <w:tc>
          <w:tcPr>
            <w:tcW w:w="6605" w:type="dxa"/>
            <w:shd w:val="clear" w:color="auto" w:fill="auto"/>
          </w:tcPr>
          <w:p w14:paraId="169D7139" w14:textId="013BEBAE"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snapToGrid w:val="0"/>
                <w:sz w:val="18"/>
                <w:szCs w:val="18"/>
                <w:lang w:eastAsia="en-US"/>
              </w:rPr>
              <w:t xml:space="preserve">The PBAC did not recommend selinexor, in combination with bortezomib and dexamethasone (SBd), for the treatment of RRMM. The PBAC noted that SBd provided, for some patients, an improvement in progression free survival compared to the primary comparator bortezomib plus dexamethasone (Bd) but noted that the data for overall survival were immature and difficult to interpret. The PBAC considered that the economic model overestimated the benefits of SBd treatment compared to Bd, resulting in an incremental cost effectiveness ratio that was underestimated. The PBAC considered that the indirect treatment comparisons presented between SBd and the secondary comparator </w:t>
            </w:r>
            <w:r w:rsidR="00ED20BB">
              <w:rPr>
                <w:rFonts w:ascii="Arial" w:hAnsi="Arial" w:cs="Arial"/>
                <w:snapToGrid w:val="0"/>
                <w:sz w:val="18"/>
                <w:szCs w:val="18"/>
                <w:lang w:eastAsia="en-US"/>
              </w:rPr>
              <w:t>carfilzomib plus</w:t>
            </w:r>
            <w:r w:rsidR="00ED20BB" w:rsidRPr="00ED20BB">
              <w:rPr>
                <w:rFonts w:ascii="Arial" w:hAnsi="Arial" w:cs="Arial"/>
                <w:snapToGrid w:val="0"/>
                <w:sz w:val="18"/>
                <w:szCs w:val="18"/>
                <w:lang w:eastAsia="en-US"/>
              </w:rPr>
              <w:t xml:space="preserve"> dexamethasone</w:t>
            </w:r>
            <w:r w:rsidR="00ED20BB">
              <w:rPr>
                <w:rFonts w:ascii="Arial" w:hAnsi="Arial" w:cs="Arial"/>
                <w:snapToGrid w:val="0"/>
                <w:sz w:val="18"/>
                <w:szCs w:val="18"/>
                <w:lang w:eastAsia="en-US"/>
              </w:rPr>
              <w:t xml:space="preserve"> (</w:t>
            </w:r>
            <w:r w:rsidRPr="00CC0C66">
              <w:rPr>
                <w:rFonts w:ascii="Arial" w:hAnsi="Arial" w:cs="Arial"/>
                <w:snapToGrid w:val="0"/>
                <w:sz w:val="18"/>
                <w:szCs w:val="18"/>
                <w:lang w:eastAsia="en-US"/>
              </w:rPr>
              <w:t>Cd</w:t>
            </w:r>
            <w:r w:rsidR="00ED20BB">
              <w:rPr>
                <w:rFonts w:ascii="Arial" w:hAnsi="Arial" w:cs="Arial"/>
                <w:snapToGrid w:val="0"/>
                <w:sz w:val="18"/>
                <w:szCs w:val="18"/>
                <w:lang w:eastAsia="en-US"/>
              </w:rPr>
              <w:t>)</w:t>
            </w:r>
            <w:r w:rsidRPr="00CC0C66">
              <w:rPr>
                <w:rFonts w:ascii="Arial" w:hAnsi="Arial" w:cs="Arial"/>
                <w:snapToGrid w:val="0"/>
                <w:sz w:val="18"/>
                <w:szCs w:val="18"/>
                <w:lang w:eastAsia="en-US"/>
              </w:rPr>
              <w:t>, did not adequately support non-inferiority and hence, the cost minimisation analysis between SBd and Cd was not informative. The PBAC considered that the utilisation estimates for SBd were overestimated, particularly given the toxicity associated with SBd treatment, and that the financial impact estimates were underestimated due to the application of unlikely substitution assumptions.</w:t>
            </w:r>
          </w:p>
        </w:tc>
      </w:tr>
      <w:tr w:rsidR="007F48F6" w:rsidRPr="00CC0C66" w14:paraId="4BC885BB" w14:textId="77777777" w:rsidTr="002E1AD3">
        <w:trPr>
          <w:trHeight w:val="705"/>
        </w:trPr>
        <w:tc>
          <w:tcPr>
            <w:tcW w:w="3114" w:type="dxa"/>
            <w:vMerge/>
            <w:shd w:val="clear" w:color="auto" w:fill="auto"/>
            <w:tcMar>
              <w:top w:w="28" w:type="dxa"/>
              <w:bottom w:w="28" w:type="dxa"/>
            </w:tcMar>
            <w:vAlign w:val="center"/>
          </w:tcPr>
          <w:p w14:paraId="2E9D7EE8"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6B1A6624"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6ECD6770"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59063756"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5E85BDA0" w14:textId="47183AEE" w:rsidR="00F86E2D" w:rsidRPr="00721962" w:rsidRDefault="007F48F6"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Sponsor’s Comment</w:t>
            </w:r>
            <w:r w:rsidR="00F86E2D">
              <w:rPr>
                <w:rFonts w:ascii="Arial" w:hAnsi="Arial" w:cs="Arial"/>
                <w:snapToGrid w:val="0"/>
                <w:sz w:val="18"/>
                <w:szCs w:val="18"/>
                <w:lang w:eastAsia="en-US"/>
              </w:rPr>
              <w:t xml:space="preserve">: </w:t>
            </w:r>
            <w:r w:rsidR="00F86E2D" w:rsidRPr="00F86E2D">
              <w:rPr>
                <w:rFonts w:ascii="Arial" w:hAnsi="Arial" w:cs="Arial"/>
                <w:snapToGrid w:val="0"/>
                <w:sz w:val="18"/>
                <w:szCs w:val="18"/>
                <w:lang w:eastAsia="en-US"/>
              </w:rPr>
              <w:t>Antengene is committed to working with the PBAC to secure equitable access to selinexor in a triplet regimen for both patients and physicians in relapsed/refractory multiple myeloma. We wish to thank and acknowledge the contribution of clinicians, patients, and advocacy groups in supporting this submission.</w:t>
            </w:r>
          </w:p>
        </w:tc>
      </w:tr>
      <w:tr w:rsidR="007F48F6" w:rsidRPr="00CC0C66" w14:paraId="0B49D779" w14:textId="77777777" w:rsidTr="009A0B9D">
        <w:trPr>
          <w:trHeight w:val="1612"/>
        </w:trPr>
        <w:tc>
          <w:tcPr>
            <w:tcW w:w="3114" w:type="dxa"/>
            <w:vMerge w:val="restart"/>
            <w:shd w:val="clear" w:color="auto" w:fill="auto"/>
            <w:tcMar>
              <w:top w:w="28" w:type="dxa"/>
              <w:bottom w:w="28" w:type="dxa"/>
            </w:tcMar>
            <w:vAlign w:val="center"/>
          </w:tcPr>
          <w:p w14:paraId="6BFC4627" w14:textId="3D29F450"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SELINEXOR</w:t>
            </w:r>
            <w:r w:rsidRPr="00CC0C66">
              <w:rPr>
                <w:rFonts w:ascii="Arial" w:hAnsi="Arial" w:cs="Arial"/>
                <w:color w:val="000000"/>
                <w:sz w:val="18"/>
                <w:szCs w:val="18"/>
              </w:rPr>
              <w:br/>
            </w:r>
            <w:r w:rsidRPr="00CC0C66">
              <w:rPr>
                <w:rFonts w:ascii="Arial" w:hAnsi="Arial" w:cs="Arial"/>
                <w:color w:val="000000"/>
                <w:sz w:val="18"/>
                <w:szCs w:val="18"/>
              </w:rPr>
              <w:br/>
              <w:t>Tablet 20 mg</w:t>
            </w:r>
            <w:r w:rsidRPr="00CC0C66">
              <w:rPr>
                <w:rFonts w:ascii="Arial" w:hAnsi="Arial" w:cs="Arial"/>
                <w:color w:val="000000"/>
                <w:sz w:val="18"/>
                <w:szCs w:val="18"/>
              </w:rPr>
              <w:br/>
            </w:r>
            <w:r w:rsidRPr="00CC0C66">
              <w:rPr>
                <w:rFonts w:ascii="Arial" w:hAnsi="Arial" w:cs="Arial"/>
                <w:color w:val="000000"/>
                <w:sz w:val="18"/>
                <w:szCs w:val="18"/>
              </w:rPr>
              <w:br/>
              <w:t>Xpovio®</w:t>
            </w:r>
            <w:r w:rsidRPr="00CC0C66">
              <w:rPr>
                <w:rFonts w:ascii="Arial" w:hAnsi="Arial" w:cs="Arial"/>
                <w:color w:val="000000"/>
                <w:sz w:val="18"/>
                <w:szCs w:val="18"/>
              </w:rPr>
              <w:br/>
            </w:r>
            <w:r w:rsidRPr="00CC0C66">
              <w:rPr>
                <w:rFonts w:ascii="Arial" w:hAnsi="Arial" w:cs="Arial"/>
                <w:color w:val="000000"/>
                <w:sz w:val="18"/>
                <w:szCs w:val="18"/>
              </w:rPr>
              <w:br/>
              <w:t>Antengene (Aus) Pty. Ltd</w:t>
            </w:r>
            <w:r w:rsidR="00C5261F">
              <w:rPr>
                <w:rFonts w:ascii="Arial" w:hAnsi="Arial" w:cs="Arial"/>
                <w:color w:val="000000"/>
                <w:sz w:val="18"/>
                <w:szCs w:val="18"/>
              </w:rPr>
              <w:t>.</w:t>
            </w:r>
          </w:p>
          <w:p w14:paraId="6F177DCF" w14:textId="125A3D19"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1 submission</w:t>
            </w:r>
            <w:r w:rsidRPr="00CC0C66">
              <w:rPr>
                <w:rFonts w:ascii="Arial" w:hAnsi="Arial" w:cs="Arial"/>
                <w:color w:val="000000"/>
                <w:sz w:val="18"/>
                <w:szCs w:val="18"/>
              </w:rPr>
              <w:br/>
              <w:t>(New listing)</w:t>
            </w:r>
          </w:p>
        </w:tc>
        <w:tc>
          <w:tcPr>
            <w:tcW w:w="1559" w:type="dxa"/>
            <w:vMerge w:val="restart"/>
            <w:shd w:val="clear" w:color="auto" w:fill="auto"/>
            <w:vAlign w:val="center"/>
          </w:tcPr>
          <w:p w14:paraId="73425453" w14:textId="1BE8B44A"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Triple class</w:t>
            </w:r>
            <w:r w:rsidRPr="00CC0C66">
              <w:rPr>
                <w:rFonts w:ascii="Arial" w:hAnsi="Arial" w:cs="Arial"/>
                <w:color w:val="000000"/>
                <w:sz w:val="18"/>
                <w:szCs w:val="18"/>
              </w:rPr>
              <w:br/>
              <w:t>refractory/penta-refractory multiple myeloma (TCR/PR MM)</w:t>
            </w:r>
          </w:p>
        </w:tc>
        <w:tc>
          <w:tcPr>
            <w:tcW w:w="2552" w:type="dxa"/>
            <w:vMerge w:val="restart"/>
            <w:shd w:val="clear" w:color="auto" w:fill="auto"/>
            <w:tcMar>
              <w:top w:w="28" w:type="dxa"/>
              <w:bottom w:w="28" w:type="dxa"/>
            </w:tcMar>
            <w:vAlign w:val="center"/>
          </w:tcPr>
          <w:p w14:paraId="52A9E42B" w14:textId="011A25A5"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Section 100 (Highly Specialised Drugs Program), Authority Required (STREAMLINED) listing, in combination with dexamethasone, for the treatment of TCR/PR MM in patients who have received at least four prior therapies.</w:t>
            </w:r>
          </w:p>
        </w:tc>
        <w:tc>
          <w:tcPr>
            <w:tcW w:w="1558" w:type="dxa"/>
            <w:vMerge w:val="restart"/>
            <w:shd w:val="clear" w:color="auto" w:fill="auto"/>
            <w:vAlign w:val="center"/>
          </w:tcPr>
          <w:p w14:paraId="5AA334BD" w14:textId="6322DA5F"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Not Recommended</w:t>
            </w:r>
          </w:p>
        </w:tc>
        <w:tc>
          <w:tcPr>
            <w:tcW w:w="6605" w:type="dxa"/>
            <w:shd w:val="clear" w:color="auto" w:fill="auto"/>
          </w:tcPr>
          <w:p w14:paraId="422B1ED0" w14:textId="40B33F10"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snapToGrid w:val="0"/>
                <w:sz w:val="18"/>
                <w:szCs w:val="18"/>
                <w:lang w:eastAsia="en-US"/>
              </w:rPr>
              <w:t xml:space="preserve">The PBAC did not recommend selinexor, for use in combination with dexamethasone (Sd), for the treatment of </w:t>
            </w:r>
            <w:r>
              <w:rPr>
                <w:rFonts w:ascii="Arial" w:hAnsi="Arial" w:cs="Arial"/>
                <w:snapToGrid w:val="0"/>
                <w:sz w:val="18"/>
                <w:szCs w:val="18"/>
                <w:lang w:eastAsia="en-US"/>
              </w:rPr>
              <w:t>TCR/PR MM</w:t>
            </w:r>
            <w:r w:rsidRPr="00CC0C66">
              <w:rPr>
                <w:rFonts w:ascii="Arial" w:hAnsi="Arial" w:cs="Arial"/>
                <w:snapToGrid w:val="0"/>
                <w:sz w:val="18"/>
                <w:szCs w:val="18"/>
                <w:lang w:eastAsia="en-US"/>
              </w:rPr>
              <w:t>. The PBAC, noting the lack of comparative data between Sd and the nominated comparator, salvage chemotherapy consisting of dexamethasone, cyclophosphamide, etoposide and cisplatin, considered that the clinical claims of superior efficacy and safety was not supported. The PBAC considered that the economic model was unreliable for decision making and that the financial impact estimates were likely overestimated.</w:t>
            </w:r>
          </w:p>
        </w:tc>
      </w:tr>
      <w:tr w:rsidR="007F48F6" w:rsidRPr="00CC0C66" w14:paraId="1C97A1D3" w14:textId="77777777" w:rsidTr="00401B46">
        <w:trPr>
          <w:trHeight w:val="468"/>
        </w:trPr>
        <w:tc>
          <w:tcPr>
            <w:tcW w:w="3114" w:type="dxa"/>
            <w:vMerge/>
            <w:shd w:val="clear" w:color="auto" w:fill="auto"/>
            <w:tcMar>
              <w:top w:w="28" w:type="dxa"/>
              <w:bottom w:w="28" w:type="dxa"/>
            </w:tcMar>
            <w:vAlign w:val="center"/>
          </w:tcPr>
          <w:p w14:paraId="06F2D7F3"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2D533502"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6C2567C0"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720A2706"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0A87F390" w14:textId="7F03051E" w:rsidR="00CE2362" w:rsidRPr="009A0B9D" w:rsidRDefault="007F48F6"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Sponsor’s Comment</w:t>
            </w:r>
            <w:r w:rsidR="00CE2362">
              <w:rPr>
                <w:rFonts w:ascii="Arial" w:hAnsi="Arial" w:cs="Arial"/>
                <w:snapToGrid w:val="0"/>
                <w:sz w:val="18"/>
                <w:szCs w:val="18"/>
                <w:lang w:eastAsia="en-US"/>
              </w:rPr>
              <w:t xml:space="preserve">: </w:t>
            </w:r>
            <w:r w:rsidR="00CE2362" w:rsidRPr="00CE2362">
              <w:rPr>
                <w:rFonts w:ascii="Arial" w:hAnsi="Arial" w:cs="Arial"/>
                <w:snapToGrid w:val="0"/>
                <w:sz w:val="18"/>
                <w:szCs w:val="18"/>
                <w:lang w:eastAsia="en-US"/>
              </w:rPr>
              <w:t>Antengene is committed to working with the PBAC to secure equitable access to selinexor for patients and physicians in penta-refractory multiple myeloma. Patients at this late stage have very limited options and it is important for them to have access to novel agents with a new mechanism of action. We wish to thank and acknowledge the contribution of clinicians, patients, and advocacy groups in supporting this submission</w:t>
            </w:r>
          </w:p>
        </w:tc>
      </w:tr>
      <w:tr w:rsidR="007F48F6" w:rsidRPr="00CC0C66" w14:paraId="58A6B743" w14:textId="77777777" w:rsidTr="009A0B9D">
        <w:trPr>
          <w:trHeight w:val="1474"/>
        </w:trPr>
        <w:tc>
          <w:tcPr>
            <w:tcW w:w="3114" w:type="dxa"/>
            <w:vMerge w:val="restart"/>
            <w:shd w:val="clear" w:color="auto" w:fill="auto"/>
            <w:tcMar>
              <w:top w:w="28" w:type="dxa"/>
              <w:bottom w:w="28" w:type="dxa"/>
            </w:tcMar>
            <w:vAlign w:val="center"/>
          </w:tcPr>
          <w:p w14:paraId="0235EC45" w14:textId="14A699DC"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SELINEXOR</w:t>
            </w:r>
            <w:r w:rsidRPr="00CC0C66">
              <w:rPr>
                <w:rFonts w:ascii="Arial" w:hAnsi="Arial" w:cs="Arial"/>
                <w:color w:val="000000"/>
                <w:sz w:val="18"/>
                <w:szCs w:val="18"/>
              </w:rPr>
              <w:br/>
            </w:r>
            <w:r w:rsidRPr="00CC0C66">
              <w:rPr>
                <w:rFonts w:ascii="Arial" w:hAnsi="Arial" w:cs="Arial"/>
                <w:color w:val="000000"/>
                <w:sz w:val="18"/>
                <w:szCs w:val="18"/>
              </w:rPr>
              <w:br/>
              <w:t>Tablet 20 mg</w:t>
            </w:r>
            <w:r w:rsidRPr="00CC0C66">
              <w:rPr>
                <w:rFonts w:ascii="Arial" w:hAnsi="Arial" w:cs="Arial"/>
                <w:color w:val="000000"/>
                <w:sz w:val="18"/>
                <w:szCs w:val="18"/>
              </w:rPr>
              <w:br/>
            </w:r>
            <w:r w:rsidRPr="00CC0C66">
              <w:rPr>
                <w:rFonts w:ascii="Arial" w:hAnsi="Arial" w:cs="Arial"/>
                <w:color w:val="000000"/>
                <w:sz w:val="18"/>
                <w:szCs w:val="18"/>
              </w:rPr>
              <w:br/>
              <w:t>Xpo</w:t>
            </w:r>
            <w:r w:rsidR="00C5261F">
              <w:rPr>
                <w:rFonts w:ascii="Arial" w:hAnsi="Arial" w:cs="Arial"/>
                <w:color w:val="000000"/>
                <w:sz w:val="18"/>
                <w:szCs w:val="18"/>
              </w:rPr>
              <w:t>vio®</w:t>
            </w:r>
            <w:r w:rsidR="00C5261F">
              <w:rPr>
                <w:rFonts w:ascii="Arial" w:hAnsi="Arial" w:cs="Arial"/>
                <w:color w:val="000000"/>
                <w:sz w:val="18"/>
                <w:szCs w:val="18"/>
              </w:rPr>
              <w:br/>
            </w:r>
            <w:r w:rsidR="00C5261F">
              <w:rPr>
                <w:rFonts w:ascii="Arial" w:hAnsi="Arial" w:cs="Arial"/>
                <w:color w:val="000000"/>
                <w:sz w:val="18"/>
                <w:szCs w:val="18"/>
              </w:rPr>
              <w:br/>
              <w:t>Antengene (Aus) Pty. Ltd.</w:t>
            </w:r>
          </w:p>
          <w:p w14:paraId="06B53983" w14:textId="1F919CFC"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1 submission</w:t>
            </w:r>
            <w:r w:rsidRPr="00CC0C66">
              <w:rPr>
                <w:rFonts w:ascii="Arial" w:hAnsi="Arial" w:cs="Arial"/>
                <w:color w:val="000000"/>
                <w:sz w:val="18"/>
                <w:szCs w:val="18"/>
              </w:rPr>
              <w:br/>
              <w:t>(New listing)</w:t>
            </w:r>
          </w:p>
        </w:tc>
        <w:tc>
          <w:tcPr>
            <w:tcW w:w="1559" w:type="dxa"/>
            <w:vMerge w:val="restart"/>
            <w:shd w:val="clear" w:color="auto" w:fill="auto"/>
            <w:vAlign w:val="center"/>
          </w:tcPr>
          <w:p w14:paraId="716C0B09" w14:textId="4A14E99E"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Relapsed and/or refractory diffuse large B-cell lymphoma (</w:t>
            </w:r>
            <w:r>
              <w:rPr>
                <w:rFonts w:ascii="Arial" w:hAnsi="Arial" w:cs="Arial"/>
                <w:color w:val="000000"/>
                <w:sz w:val="18"/>
                <w:szCs w:val="18"/>
              </w:rPr>
              <w:t xml:space="preserve">RR </w:t>
            </w:r>
            <w:r w:rsidRPr="00CC0C66">
              <w:rPr>
                <w:rFonts w:ascii="Arial" w:hAnsi="Arial" w:cs="Arial"/>
                <w:color w:val="000000"/>
                <w:sz w:val="18"/>
                <w:szCs w:val="18"/>
              </w:rPr>
              <w:t>DLBCL)</w:t>
            </w:r>
          </w:p>
        </w:tc>
        <w:tc>
          <w:tcPr>
            <w:tcW w:w="2552" w:type="dxa"/>
            <w:vMerge w:val="restart"/>
            <w:shd w:val="clear" w:color="auto" w:fill="auto"/>
            <w:tcMar>
              <w:top w:w="28" w:type="dxa"/>
              <w:bottom w:w="28" w:type="dxa"/>
            </w:tcMar>
            <w:vAlign w:val="center"/>
          </w:tcPr>
          <w:p w14:paraId="58F05E2A" w14:textId="37871FA8"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To request a Section 100 (Highly Specialised Drugs Program), Authority Required (STREAMLINED) listing for the treatment of </w:t>
            </w:r>
            <w:r>
              <w:rPr>
                <w:rFonts w:ascii="Arial" w:hAnsi="Arial" w:cs="Arial"/>
                <w:color w:val="000000"/>
                <w:sz w:val="18"/>
                <w:szCs w:val="18"/>
              </w:rPr>
              <w:t>RR</w:t>
            </w:r>
            <w:r w:rsidRPr="00CC0C66">
              <w:rPr>
                <w:rFonts w:ascii="Arial" w:hAnsi="Arial" w:cs="Arial"/>
                <w:color w:val="000000"/>
                <w:sz w:val="18"/>
                <w:szCs w:val="18"/>
              </w:rPr>
              <w:t xml:space="preserve"> DLBCL in patients who have received at least two lines of systemic therapy.</w:t>
            </w:r>
          </w:p>
        </w:tc>
        <w:tc>
          <w:tcPr>
            <w:tcW w:w="1558" w:type="dxa"/>
            <w:vMerge w:val="restart"/>
            <w:shd w:val="clear" w:color="auto" w:fill="auto"/>
            <w:vAlign w:val="center"/>
          </w:tcPr>
          <w:p w14:paraId="185961E1" w14:textId="66A44C44"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Not Recommended</w:t>
            </w:r>
          </w:p>
        </w:tc>
        <w:tc>
          <w:tcPr>
            <w:tcW w:w="6605" w:type="dxa"/>
            <w:shd w:val="clear" w:color="auto" w:fill="auto"/>
          </w:tcPr>
          <w:p w14:paraId="380CA871" w14:textId="2771395B"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snapToGrid w:val="0"/>
                <w:sz w:val="18"/>
                <w:szCs w:val="18"/>
                <w:lang w:eastAsia="en-US"/>
              </w:rPr>
              <w:t>The PBAC did not recommend selinexor for the treatment of adult patients with RR DLBCL after at least two lines of systemic therapy. The PBAC, noting the lack of comparative data between selinexor and the nominated comparator, rituximab in combination with gemcitabine and oxaliplatin (RGemOx), considered that the clinical claims of superior efficacy and safety were not supported. The PBAC considered that the economic model was unreliable for decision making and that the financial estimates were highly uncertain.</w:t>
            </w:r>
          </w:p>
        </w:tc>
      </w:tr>
      <w:tr w:rsidR="007F48F6" w:rsidRPr="00CC0C66" w14:paraId="6792E371" w14:textId="77777777" w:rsidTr="002E1AD3">
        <w:trPr>
          <w:trHeight w:val="1131"/>
        </w:trPr>
        <w:tc>
          <w:tcPr>
            <w:tcW w:w="3114" w:type="dxa"/>
            <w:vMerge/>
            <w:shd w:val="clear" w:color="auto" w:fill="auto"/>
            <w:tcMar>
              <w:top w:w="28" w:type="dxa"/>
              <w:bottom w:w="28" w:type="dxa"/>
            </w:tcMar>
            <w:vAlign w:val="center"/>
          </w:tcPr>
          <w:p w14:paraId="60E88765"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539F04D5"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168942BD"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2AD1FA98"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548759F5" w14:textId="6E164C6E" w:rsidR="00F36FB5" w:rsidRPr="009A0B9D" w:rsidRDefault="007F48F6"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Sponsor’s Comment</w:t>
            </w:r>
            <w:r w:rsidR="00F36FB5">
              <w:rPr>
                <w:rFonts w:ascii="Arial" w:hAnsi="Arial" w:cs="Arial"/>
                <w:snapToGrid w:val="0"/>
                <w:sz w:val="18"/>
                <w:szCs w:val="18"/>
                <w:lang w:eastAsia="en-US"/>
              </w:rPr>
              <w:t xml:space="preserve">: </w:t>
            </w:r>
            <w:r w:rsidR="00F36FB5" w:rsidRPr="00F36FB5">
              <w:rPr>
                <w:rFonts w:ascii="Arial" w:hAnsi="Arial" w:cs="Arial"/>
                <w:snapToGrid w:val="0"/>
                <w:sz w:val="18"/>
                <w:szCs w:val="18"/>
                <w:lang w:eastAsia="en-US"/>
              </w:rPr>
              <w:t>Antengene is committed to working with the PBAC to secure equitable access to selinexor for patients and physicians in relapsed/refractory diffuse large B-Cell lymphoma. Patients at this late stage have very limited options and it is important for them to have access to novel agents with a new mechanism of action. We wish to thank and acknowledge the contribution of clinicians, patients, and advocacy groups in supporting this submission.</w:t>
            </w:r>
          </w:p>
        </w:tc>
      </w:tr>
      <w:tr w:rsidR="007F48F6" w:rsidRPr="00CC0C66" w14:paraId="3B3360AB" w14:textId="77777777" w:rsidTr="002E1AD3">
        <w:trPr>
          <w:trHeight w:val="2787"/>
        </w:trPr>
        <w:tc>
          <w:tcPr>
            <w:tcW w:w="3114" w:type="dxa"/>
            <w:vMerge w:val="restart"/>
            <w:shd w:val="clear" w:color="auto" w:fill="auto"/>
            <w:tcMar>
              <w:top w:w="28" w:type="dxa"/>
              <w:bottom w:w="28" w:type="dxa"/>
            </w:tcMar>
            <w:vAlign w:val="center"/>
          </w:tcPr>
          <w:p w14:paraId="453F7B3E" w14:textId="6CB04D08"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SILTUXIMAB</w:t>
            </w:r>
            <w:r w:rsidRPr="00CC0C66">
              <w:rPr>
                <w:rFonts w:ascii="Arial" w:hAnsi="Arial" w:cs="Arial"/>
                <w:color w:val="000000"/>
                <w:sz w:val="18"/>
                <w:szCs w:val="18"/>
              </w:rPr>
              <w:br/>
            </w:r>
            <w:r w:rsidRPr="00CC0C66">
              <w:rPr>
                <w:rFonts w:ascii="Arial" w:hAnsi="Arial" w:cs="Arial"/>
                <w:color w:val="000000"/>
                <w:sz w:val="18"/>
                <w:szCs w:val="18"/>
              </w:rPr>
              <w:br/>
              <w:t>Powder for injection 100 mg</w:t>
            </w:r>
            <w:r w:rsidRPr="00CC0C66">
              <w:rPr>
                <w:rFonts w:ascii="Arial" w:hAnsi="Arial" w:cs="Arial"/>
                <w:color w:val="000000"/>
                <w:sz w:val="18"/>
                <w:szCs w:val="18"/>
              </w:rPr>
              <w:br/>
              <w:t>Powder for injection 400 mg</w:t>
            </w:r>
            <w:r w:rsidRPr="00CC0C66">
              <w:rPr>
                <w:rFonts w:ascii="Arial" w:hAnsi="Arial" w:cs="Arial"/>
                <w:color w:val="000000"/>
                <w:sz w:val="18"/>
                <w:szCs w:val="18"/>
              </w:rPr>
              <w:br/>
            </w:r>
            <w:r w:rsidRPr="00CC0C66">
              <w:rPr>
                <w:rFonts w:ascii="Arial" w:hAnsi="Arial" w:cs="Arial"/>
                <w:color w:val="000000"/>
                <w:sz w:val="18"/>
                <w:szCs w:val="18"/>
              </w:rPr>
              <w:br/>
              <w:t>Sylvant®</w:t>
            </w:r>
            <w:r w:rsidRPr="00CC0C66">
              <w:rPr>
                <w:rFonts w:ascii="Arial" w:hAnsi="Arial" w:cs="Arial"/>
                <w:color w:val="000000"/>
                <w:sz w:val="18"/>
                <w:szCs w:val="18"/>
              </w:rPr>
              <w:br/>
            </w:r>
            <w:r w:rsidRPr="00CC0C66">
              <w:rPr>
                <w:rFonts w:ascii="Arial" w:hAnsi="Arial" w:cs="Arial"/>
                <w:color w:val="000000"/>
                <w:sz w:val="18"/>
                <w:szCs w:val="18"/>
              </w:rPr>
              <w:br/>
              <w:t>Eusa Pharma (UK) Ltd</w:t>
            </w:r>
          </w:p>
          <w:p w14:paraId="06415BB5" w14:textId="118FAE74"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1 submission</w:t>
            </w:r>
            <w:r w:rsidRPr="00CC0C66">
              <w:rPr>
                <w:rFonts w:ascii="Arial" w:hAnsi="Arial" w:cs="Arial"/>
                <w:color w:val="000000"/>
                <w:sz w:val="18"/>
                <w:szCs w:val="18"/>
              </w:rPr>
              <w:br/>
              <w:t>(New listing)</w:t>
            </w:r>
          </w:p>
        </w:tc>
        <w:tc>
          <w:tcPr>
            <w:tcW w:w="1559" w:type="dxa"/>
            <w:vMerge w:val="restart"/>
            <w:shd w:val="clear" w:color="auto" w:fill="auto"/>
            <w:vAlign w:val="center"/>
          </w:tcPr>
          <w:p w14:paraId="1467DFFC" w14:textId="5D590E03"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Idiopathic multicentric Castleman’s disease (iMCD)</w:t>
            </w:r>
          </w:p>
        </w:tc>
        <w:tc>
          <w:tcPr>
            <w:tcW w:w="2552" w:type="dxa"/>
            <w:vMerge w:val="restart"/>
            <w:shd w:val="clear" w:color="auto" w:fill="auto"/>
            <w:tcMar>
              <w:top w:w="28" w:type="dxa"/>
              <w:bottom w:w="28" w:type="dxa"/>
            </w:tcMar>
            <w:vAlign w:val="center"/>
          </w:tcPr>
          <w:p w14:paraId="700886FC" w14:textId="7203EC48"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Section 100 (Highly Specialised Drugs Program), Authority Required (</w:t>
            </w:r>
            <w:r w:rsidR="00C05362" w:rsidRPr="00CC0C66">
              <w:rPr>
                <w:rFonts w:ascii="Arial" w:hAnsi="Arial" w:cs="Arial"/>
                <w:color w:val="000000"/>
                <w:sz w:val="18"/>
                <w:szCs w:val="18"/>
              </w:rPr>
              <w:t>online/telephone</w:t>
            </w:r>
            <w:r w:rsidRPr="00CC0C66">
              <w:rPr>
                <w:rFonts w:ascii="Arial" w:hAnsi="Arial" w:cs="Arial"/>
                <w:color w:val="000000"/>
                <w:sz w:val="18"/>
                <w:szCs w:val="18"/>
              </w:rPr>
              <w:t>) listing for the treatment of iMCD.</w:t>
            </w:r>
          </w:p>
        </w:tc>
        <w:tc>
          <w:tcPr>
            <w:tcW w:w="1558" w:type="dxa"/>
            <w:vMerge w:val="restart"/>
            <w:shd w:val="clear" w:color="auto" w:fill="auto"/>
            <w:vAlign w:val="center"/>
          </w:tcPr>
          <w:p w14:paraId="122F537B" w14:textId="527BCE5A"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Not Recommended</w:t>
            </w:r>
          </w:p>
        </w:tc>
        <w:tc>
          <w:tcPr>
            <w:tcW w:w="6605" w:type="dxa"/>
            <w:shd w:val="clear" w:color="auto" w:fill="auto"/>
          </w:tcPr>
          <w:p w14:paraId="45CEF62E" w14:textId="16C27548" w:rsidR="007F48F6" w:rsidRDefault="007F48F6" w:rsidP="00F3265E">
            <w:pPr>
              <w:pStyle w:val="ListParagraph"/>
              <w:keepLines/>
              <w:spacing w:after="120"/>
              <w:ind w:left="0"/>
              <w:rPr>
                <w:rFonts w:ascii="Arial" w:hAnsi="Arial" w:cs="Arial"/>
                <w:snapToGrid w:val="0"/>
                <w:sz w:val="18"/>
                <w:szCs w:val="18"/>
                <w:lang w:eastAsia="en-US"/>
              </w:rPr>
            </w:pPr>
            <w:r w:rsidRPr="002C7BFF">
              <w:rPr>
                <w:rFonts w:ascii="Arial" w:hAnsi="Arial" w:cs="Arial"/>
                <w:snapToGrid w:val="0"/>
                <w:sz w:val="18"/>
                <w:szCs w:val="18"/>
                <w:lang w:eastAsia="en-US"/>
              </w:rPr>
              <w:t xml:space="preserve">The PBAC did not recommend siltuximab for </w:t>
            </w:r>
            <w:r>
              <w:rPr>
                <w:rFonts w:ascii="Arial" w:hAnsi="Arial" w:cs="Arial"/>
                <w:snapToGrid w:val="0"/>
                <w:sz w:val="18"/>
                <w:szCs w:val="18"/>
                <w:lang w:eastAsia="en-US"/>
              </w:rPr>
              <w:t xml:space="preserve">the </w:t>
            </w:r>
            <w:r w:rsidRPr="002C7BFF">
              <w:rPr>
                <w:rFonts w:ascii="Arial" w:hAnsi="Arial" w:cs="Arial"/>
                <w:snapToGrid w:val="0"/>
                <w:sz w:val="18"/>
                <w:szCs w:val="18"/>
                <w:lang w:eastAsia="en-US"/>
              </w:rPr>
              <w:t>treatment</w:t>
            </w:r>
            <w:r>
              <w:rPr>
                <w:rFonts w:ascii="Arial" w:hAnsi="Arial" w:cs="Arial"/>
                <w:snapToGrid w:val="0"/>
                <w:sz w:val="18"/>
                <w:szCs w:val="18"/>
                <w:lang w:eastAsia="en-US"/>
              </w:rPr>
              <w:t xml:space="preserve"> of</w:t>
            </w:r>
            <w:r w:rsidRPr="002C7BFF">
              <w:rPr>
                <w:rFonts w:ascii="Arial" w:hAnsi="Arial" w:cs="Arial"/>
                <w:snapToGrid w:val="0"/>
                <w:sz w:val="18"/>
                <w:szCs w:val="18"/>
                <w:lang w:eastAsia="en-US"/>
              </w:rPr>
              <w:t xml:space="preserve"> iMCD. The PBAC considered the claim of superior efficacy compared to placebo was reasonable based on improvements in durable tumour and symptomatic response. The PBAC considered that siltuximab was inferior to placebo in terms of safety profile. The PBAC considered that despite uncertainties in the clinical data, including those associated with a small sample size in the pivotal clinical trial, the benefits of treatment were clinically meaningful in the context of iMCD being a rare condition with unmet clinical need. However, the PBAC considered the incremental cost-effectiveness ratio was high and uncertain at the proposed price. Furthermore, the PBAC considered the approach used to estimate the number of patients to be treated with siltuximab was unreliable. </w:t>
            </w:r>
          </w:p>
          <w:p w14:paraId="1FB06FD1" w14:textId="77777777" w:rsidR="007F48F6" w:rsidRDefault="007F48F6" w:rsidP="00F3265E">
            <w:pPr>
              <w:pStyle w:val="ListParagraph"/>
              <w:keepLines/>
              <w:spacing w:after="120"/>
              <w:ind w:left="0"/>
              <w:rPr>
                <w:rFonts w:ascii="Arial" w:hAnsi="Arial" w:cs="Arial"/>
                <w:snapToGrid w:val="0"/>
                <w:sz w:val="18"/>
                <w:szCs w:val="18"/>
                <w:lang w:eastAsia="en-US"/>
              </w:rPr>
            </w:pPr>
          </w:p>
          <w:p w14:paraId="3CA258BF" w14:textId="04F71752" w:rsidR="007F48F6" w:rsidRPr="00CC0C66" w:rsidRDefault="007F48F6" w:rsidP="00F3265E">
            <w:pPr>
              <w:pStyle w:val="ListParagraph"/>
              <w:keepLines/>
              <w:spacing w:after="120"/>
              <w:ind w:left="0"/>
              <w:rPr>
                <w:rFonts w:ascii="Arial" w:hAnsi="Arial" w:cs="Arial"/>
                <w:snapToGrid w:val="0"/>
                <w:sz w:val="18"/>
                <w:szCs w:val="18"/>
                <w:lang w:eastAsia="en-US"/>
              </w:rPr>
            </w:pPr>
            <w:r w:rsidRPr="002C7BFF">
              <w:rPr>
                <w:rFonts w:ascii="Arial" w:hAnsi="Arial" w:cs="Arial"/>
                <w:snapToGrid w:val="0"/>
                <w:sz w:val="18"/>
                <w:szCs w:val="18"/>
                <w:lang w:eastAsia="en-US"/>
              </w:rPr>
              <w:t>The PBAC nominated the Early Re-entry re-submission pathway</w:t>
            </w:r>
            <w:r>
              <w:rPr>
                <w:rFonts w:ascii="Arial" w:hAnsi="Arial" w:cs="Arial"/>
                <w:snapToGrid w:val="0"/>
                <w:sz w:val="18"/>
                <w:szCs w:val="18"/>
                <w:lang w:eastAsia="en-US"/>
              </w:rPr>
              <w:t>*</w:t>
            </w:r>
            <w:r w:rsidRPr="002C7BFF">
              <w:rPr>
                <w:rFonts w:ascii="Arial" w:hAnsi="Arial" w:cs="Arial"/>
                <w:snapToGrid w:val="0"/>
                <w:sz w:val="18"/>
                <w:szCs w:val="18"/>
                <w:lang w:eastAsia="en-US"/>
              </w:rPr>
              <w:t xml:space="preserve"> for this item.</w:t>
            </w:r>
          </w:p>
        </w:tc>
      </w:tr>
      <w:tr w:rsidR="007F48F6" w:rsidRPr="00CC0C66" w14:paraId="4D42BF71" w14:textId="77777777" w:rsidTr="00401B46">
        <w:trPr>
          <w:trHeight w:val="718"/>
        </w:trPr>
        <w:tc>
          <w:tcPr>
            <w:tcW w:w="3114" w:type="dxa"/>
            <w:vMerge/>
            <w:shd w:val="clear" w:color="auto" w:fill="auto"/>
            <w:tcMar>
              <w:top w:w="28" w:type="dxa"/>
              <w:bottom w:w="28" w:type="dxa"/>
            </w:tcMar>
            <w:vAlign w:val="center"/>
          </w:tcPr>
          <w:p w14:paraId="4BA80620"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07FFCA7A"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7B075D6B"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6497CD6D"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2EB0BCAB" w14:textId="4F0D280C" w:rsidR="00323C80" w:rsidRPr="000E5563" w:rsidRDefault="007F48F6"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Sponsor’s Comment</w:t>
            </w:r>
            <w:r w:rsidR="00323C80">
              <w:rPr>
                <w:rFonts w:ascii="Arial" w:hAnsi="Arial" w:cs="Arial"/>
                <w:snapToGrid w:val="0"/>
                <w:sz w:val="18"/>
                <w:szCs w:val="18"/>
                <w:lang w:eastAsia="en-US"/>
              </w:rPr>
              <w:t xml:space="preserve">: </w:t>
            </w:r>
            <w:r w:rsidR="00323C80" w:rsidRPr="00323C80">
              <w:rPr>
                <w:rFonts w:ascii="Arial" w:hAnsi="Arial" w:cs="Arial"/>
                <w:snapToGrid w:val="0"/>
                <w:sz w:val="18"/>
                <w:szCs w:val="18"/>
                <w:lang w:eastAsia="en-US"/>
              </w:rPr>
              <w:t>The Sponsor will work with the PBAC to ensure this treatment, in a high clinical need disease, continues to be made available to patients.</w:t>
            </w:r>
          </w:p>
        </w:tc>
      </w:tr>
      <w:tr w:rsidR="007F48F6" w:rsidRPr="00CC0C66" w14:paraId="2CFD349D" w14:textId="77777777" w:rsidTr="00401B46">
        <w:trPr>
          <w:trHeight w:val="620"/>
        </w:trPr>
        <w:tc>
          <w:tcPr>
            <w:tcW w:w="3114" w:type="dxa"/>
            <w:shd w:val="clear" w:color="auto" w:fill="auto"/>
            <w:tcMar>
              <w:top w:w="28" w:type="dxa"/>
              <w:bottom w:w="28" w:type="dxa"/>
            </w:tcMar>
            <w:vAlign w:val="center"/>
          </w:tcPr>
          <w:p w14:paraId="1D5EC4AF" w14:textId="5DC325B7"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TRABECTEDIN</w:t>
            </w:r>
            <w:r w:rsidRPr="00CC0C66">
              <w:rPr>
                <w:rFonts w:ascii="Arial" w:hAnsi="Arial" w:cs="Arial"/>
                <w:color w:val="000000"/>
                <w:sz w:val="18"/>
                <w:szCs w:val="18"/>
              </w:rPr>
              <w:br/>
            </w:r>
            <w:r w:rsidRPr="00CC0C66">
              <w:rPr>
                <w:rFonts w:ascii="Arial" w:hAnsi="Arial" w:cs="Arial"/>
                <w:color w:val="000000"/>
                <w:sz w:val="18"/>
                <w:szCs w:val="18"/>
              </w:rPr>
              <w:br/>
              <w:t>Powder for I.V. infusion 0.25 mg</w:t>
            </w:r>
            <w:r w:rsidRPr="00CC0C66">
              <w:rPr>
                <w:rFonts w:ascii="Arial" w:hAnsi="Arial" w:cs="Arial"/>
                <w:color w:val="000000"/>
                <w:sz w:val="18"/>
                <w:szCs w:val="18"/>
              </w:rPr>
              <w:br/>
              <w:t>Powder for I.V. infusion 1 mg</w:t>
            </w:r>
            <w:r w:rsidRPr="00CC0C66">
              <w:rPr>
                <w:rFonts w:ascii="Arial" w:hAnsi="Arial" w:cs="Arial"/>
                <w:color w:val="000000"/>
                <w:sz w:val="18"/>
                <w:szCs w:val="18"/>
              </w:rPr>
              <w:br/>
            </w:r>
            <w:r w:rsidRPr="00CC0C66">
              <w:rPr>
                <w:rFonts w:ascii="Arial" w:hAnsi="Arial" w:cs="Arial"/>
                <w:color w:val="000000"/>
                <w:sz w:val="18"/>
                <w:szCs w:val="18"/>
              </w:rPr>
              <w:br/>
              <w:t>Yondelis®</w:t>
            </w:r>
            <w:r w:rsidRPr="00CC0C66">
              <w:rPr>
                <w:rFonts w:ascii="Arial" w:hAnsi="Arial" w:cs="Arial"/>
                <w:color w:val="000000"/>
                <w:sz w:val="18"/>
                <w:szCs w:val="18"/>
              </w:rPr>
              <w:br/>
            </w:r>
            <w:r w:rsidRPr="00CC0C66">
              <w:rPr>
                <w:rFonts w:ascii="Arial" w:hAnsi="Arial" w:cs="Arial"/>
                <w:color w:val="000000"/>
                <w:sz w:val="18"/>
                <w:szCs w:val="18"/>
              </w:rPr>
              <w:br/>
              <w:t>Specialised Therapeutics Pharma Pty Ltd</w:t>
            </w:r>
          </w:p>
          <w:p w14:paraId="5C7BF711" w14:textId="4F61055D"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2 submission</w:t>
            </w:r>
            <w:r w:rsidRPr="00CC0C66">
              <w:rPr>
                <w:rFonts w:ascii="Arial" w:hAnsi="Arial" w:cs="Arial"/>
                <w:color w:val="000000"/>
                <w:sz w:val="18"/>
                <w:szCs w:val="18"/>
              </w:rPr>
              <w:br/>
              <w:t>(New listing)</w:t>
            </w:r>
          </w:p>
        </w:tc>
        <w:tc>
          <w:tcPr>
            <w:tcW w:w="1559" w:type="dxa"/>
            <w:shd w:val="clear" w:color="auto" w:fill="auto"/>
            <w:vAlign w:val="center"/>
          </w:tcPr>
          <w:p w14:paraId="1AC2242A" w14:textId="20DA3477"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Advanced (unresectable and/or metastatic) leiomyosarcoma</w:t>
            </w:r>
            <w:r>
              <w:rPr>
                <w:rFonts w:ascii="Arial" w:hAnsi="Arial" w:cs="Arial"/>
                <w:color w:val="000000"/>
                <w:sz w:val="18"/>
                <w:szCs w:val="18"/>
              </w:rPr>
              <w:t xml:space="preserve"> (LMS)</w:t>
            </w:r>
          </w:p>
        </w:tc>
        <w:tc>
          <w:tcPr>
            <w:tcW w:w="2552" w:type="dxa"/>
            <w:shd w:val="clear" w:color="auto" w:fill="auto"/>
            <w:tcMar>
              <w:top w:w="28" w:type="dxa"/>
              <w:bottom w:w="28" w:type="dxa"/>
            </w:tcMar>
            <w:vAlign w:val="center"/>
          </w:tcPr>
          <w:p w14:paraId="24F222B2" w14:textId="3D19FDF5"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To request a Section 100 (Efficient Funding of Chemotherapy), Authority Required (STREAMLINED) listing for the treatment of unresectable or metastatic </w:t>
            </w:r>
            <w:r>
              <w:rPr>
                <w:rFonts w:ascii="Arial" w:hAnsi="Arial" w:cs="Arial"/>
                <w:color w:val="000000"/>
                <w:sz w:val="18"/>
                <w:szCs w:val="18"/>
              </w:rPr>
              <w:t>LMS</w:t>
            </w:r>
            <w:r w:rsidRPr="00CC0C66">
              <w:rPr>
                <w:rFonts w:ascii="Arial" w:hAnsi="Arial" w:cs="Arial"/>
                <w:color w:val="000000"/>
                <w:sz w:val="18"/>
                <w:szCs w:val="18"/>
              </w:rPr>
              <w:t xml:space="preserve"> following a prior anthracycline-containing regimen.</w:t>
            </w:r>
          </w:p>
        </w:tc>
        <w:tc>
          <w:tcPr>
            <w:tcW w:w="1558" w:type="dxa"/>
            <w:shd w:val="clear" w:color="auto" w:fill="auto"/>
            <w:vAlign w:val="center"/>
          </w:tcPr>
          <w:p w14:paraId="7829CC6B" w14:textId="7A7C2928"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2BCD5BC3" w14:textId="449F5B0E" w:rsidR="007F48F6" w:rsidRDefault="007F48F6" w:rsidP="00F3265E">
            <w:pPr>
              <w:pStyle w:val="ListParagraph"/>
              <w:keepLines/>
              <w:spacing w:after="120"/>
              <w:ind w:left="0"/>
              <w:rPr>
                <w:rFonts w:ascii="Arial" w:hAnsi="Arial" w:cs="Arial"/>
                <w:color w:val="000000"/>
                <w:sz w:val="18"/>
                <w:szCs w:val="18"/>
              </w:rPr>
            </w:pPr>
            <w:r w:rsidRPr="00CC0C66">
              <w:rPr>
                <w:rFonts w:ascii="Arial" w:hAnsi="Arial" w:cs="Arial"/>
                <w:color w:val="000000"/>
                <w:sz w:val="18"/>
                <w:szCs w:val="18"/>
              </w:rPr>
              <w:t>The PBAC recommended the Section 100 (Efficient Funding of Chemotherapy), Authority Required (STREAMLINED) listing of trabectedin for the treatment of LMS. Noting the evidence presented for trabectedin included a population with liposarcoma (LPS) and that the treatment effect was similar across both sarcomas, together with the high clinical need for additional treatment options for LPS that is a rare and aggressive cancer, the PBAC also recommended the Section 100 (Efficient Funding of Chemotherapy) Authority Required (STREAMLINED) listing of trabectedin for LPS.</w:t>
            </w:r>
          </w:p>
          <w:p w14:paraId="55F50101" w14:textId="3074F2F1" w:rsidR="007F48F6" w:rsidRDefault="007F48F6" w:rsidP="00F3265E">
            <w:pPr>
              <w:pStyle w:val="ListParagraph"/>
              <w:keepLines/>
              <w:spacing w:after="120"/>
              <w:ind w:left="0"/>
              <w:rPr>
                <w:rFonts w:ascii="Arial" w:hAnsi="Arial" w:cs="Arial"/>
                <w:color w:val="000000"/>
                <w:sz w:val="18"/>
                <w:szCs w:val="18"/>
              </w:rPr>
            </w:pPr>
            <w:r w:rsidRPr="00CC0C66">
              <w:rPr>
                <w:rFonts w:ascii="Arial" w:hAnsi="Arial" w:cs="Arial"/>
                <w:color w:val="000000"/>
                <w:sz w:val="18"/>
                <w:szCs w:val="18"/>
              </w:rPr>
              <w:br/>
              <w:t>The PBAC’s recommendation for listing was based on, among other matters, its assessment that the cost-effectiveness of trabectedin would be acceptable if it were cost-minimised against pazopanib. The PBAC advised the equi-effective doses were:</w:t>
            </w:r>
            <w:r w:rsidRPr="00CC0C66">
              <w:rPr>
                <w:rFonts w:ascii="Arial" w:hAnsi="Arial" w:cs="Arial"/>
                <w:color w:val="000000"/>
                <w:sz w:val="18"/>
                <w:szCs w:val="18"/>
              </w:rPr>
              <w:br/>
              <w:t>• Trabectedin 2.93 mg as a 24-hour infusion Day 1 of each 21-day treatment cycle for 21.80 weeks; and</w:t>
            </w:r>
            <w:r w:rsidRPr="00CC0C66">
              <w:rPr>
                <w:rFonts w:ascii="Arial" w:hAnsi="Arial" w:cs="Arial"/>
                <w:color w:val="000000"/>
                <w:sz w:val="18"/>
                <w:szCs w:val="18"/>
              </w:rPr>
              <w:br/>
              <w:t>• Pazopanib 700.35 mg orally once daily for 21.80 weeks.</w:t>
            </w:r>
            <w:r w:rsidRPr="00CC0C66">
              <w:rPr>
                <w:rFonts w:ascii="Arial" w:hAnsi="Arial" w:cs="Arial"/>
                <w:color w:val="000000"/>
                <w:sz w:val="18"/>
                <w:szCs w:val="18"/>
              </w:rPr>
              <w:br/>
            </w:r>
          </w:p>
          <w:p w14:paraId="76942931" w14:textId="1198CCA3"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PBAC’s recommendation for listing in LPS was based on, among other matters, its assessment, that the cost-effectiveness of trabectedin would be acceptable if it were priced the same as for the LMS population.</w:t>
            </w:r>
          </w:p>
        </w:tc>
      </w:tr>
      <w:tr w:rsidR="007F48F6" w:rsidRPr="00CC0C66" w14:paraId="4BF04046" w14:textId="77777777" w:rsidTr="00401B46">
        <w:trPr>
          <w:trHeight w:val="2605"/>
        </w:trPr>
        <w:tc>
          <w:tcPr>
            <w:tcW w:w="3114" w:type="dxa"/>
            <w:shd w:val="clear" w:color="auto" w:fill="auto"/>
            <w:tcMar>
              <w:top w:w="28" w:type="dxa"/>
              <w:bottom w:w="28" w:type="dxa"/>
            </w:tcMar>
            <w:vAlign w:val="center"/>
          </w:tcPr>
          <w:p w14:paraId="3AE04852" w14:textId="5101764F"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 xml:space="preserve">TRIPTORELIN </w:t>
            </w:r>
            <w:r w:rsidRPr="00CC0C66">
              <w:rPr>
                <w:rFonts w:ascii="Arial" w:hAnsi="Arial" w:cs="Arial"/>
                <w:color w:val="000000"/>
                <w:sz w:val="18"/>
                <w:szCs w:val="18"/>
              </w:rPr>
              <w:br/>
            </w:r>
            <w:r w:rsidRPr="00CC0C66">
              <w:rPr>
                <w:rFonts w:ascii="Arial" w:hAnsi="Arial" w:cs="Arial"/>
                <w:color w:val="000000"/>
                <w:sz w:val="18"/>
                <w:szCs w:val="18"/>
              </w:rPr>
              <w:br/>
              <w:t>Powder for I.M. injection (prolonged release) 22.5 mg (as embonate), with solvent</w:t>
            </w:r>
            <w:r w:rsidRPr="00CC0C66">
              <w:rPr>
                <w:rFonts w:ascii="Arial" w:hAnsi="Arial" w:cs="Arial"/>
                <w:color w:val="000000"/>
                <w:sz w:val="18"/>
                <w:szCs w:val="18"/>
              </w:rPr>
              <w:br/>
            </w:r>
            <w:r w:rsidRPr="00CC0C66">
              <w:rPr>
                <w:rFonts w:ascii="Arial" w:hAnsi="Arial" w:cs="Arial"/>
                <w:color w:val="000000"/>
                <w:sz w:val="18"/>
                <w:szCs w:val="18"/>
              </w:rPr>
              <w:br/>
              <w:t>Diphereline®</w:t>
            </w:r>
            <w:r w:rsidRPr="00CC0C66">
              <w:rPr>
                <w:rFonts w:ascii="Arial" w:hAnsi="Arial" w:cs="Arial"/>
                <w:color w:val="000000"/>
                <w:sz w:val="18"/>
                <w:szCs w:val="18"/>
              </w:rPr>
              <w:br/>
            </w:r>
            <w:r w:rsidRPr="00CC0C66">
              <w:rPr>
                <w:rFonts w:ascii="Arial" w:hAnsi="Arial" w:cs="Arial"/>
                <w:color w:val="000000"/>
                <w:sz w:val="18"/>
                <w:szCs w:val="18"/>
              </w:rPr>
              <w:br/>
              <w:t>Ipsen Pty Ltd</w:t>
            </w:r>
          </w:p>
          <w:p w14:paraId="4265D446" w14:textId="7B3A7A33"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2 submission</w:t>
            </w:r>
            <w:r w:rsidRPr="00CC0C66">
              <w:rPr>
                <w:rFonts w:ascii="Arial" w:hAnsi="Arial" w:cs="Arial"/>
                <w:color w:val="000000"/>
                <w:sz w:val="18"/>
                <w:szCs w:val="18"/>
              </w:rPr>
              <w:br/>
              <w:t>(Change to listing)</w:t>
            </w:r>
          </w:p>
        </w:tc>
        <w:tc>
          <w:tcPr>
            <w:tcW w:w="1559" w:type="dxa"/>
            <w:shd w:val="clear" w:color="auto" w:fill="auto"/>
            <w:vAlign w:val="center"/>
          </w:tcPr>
          <w:p w14:paraId="578D6648" w14:textId="5CD87D01"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Central precocious puberty (CPP)</w:t>
            </w:r>
          </w:p>
        </w:tc>
        <w:tc>
          <w:tcPr>
            <w:tcW w:w="2552" w:type="dxa"/>
            <w:shd w:val="clear" w:color="auto" w:fill="auto"/>
            <w:tcMar>
              <w:top w:w="28" w:type="dxa"/>
              <w:bottom w:w="28" w:type="dxa"/>
            </w:tcMar>
            <w:vAlign w:val="center"/>
          </w:tcPr>
          <w:p w14:paraId="6699C4BA" w14:textId="5E1E72E0"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General Schedule, Restricted Benefit listing for the treatment of CPP.</w:t>
            </w:r>
          </w:p>
        </w:tc>
        <w:tc>
          <w:tcPr>
            <w:tcW w:w="1558" w:type="dxa"/>
            <w:shd w:val="clear" w:color="auto" w:fill="auto"/>
            <w:vAlign w:val="center"/>
          </w:tcPr>
          <w:p w14:paraId="341CF4FA" w14:textId="7A2EB13B"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55EEF9C1" w14:textId="50AFC4AD"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The PBAC recommended the General Schedule, Restricted Benefit listing of triptorelin for the treatment of CPP at the same price for which it is currently listed for the treatment of locally advanced/metastatic prostate cancer. In making this recommendation, the PBAC considered the evidence presented supported a conclusion that triptorelin is of non-inferior comparative efficacy and safety to leuprorelin for the management of CPP.</w:t>
            </w:r>
          </w:p>
        </w:tc>
      </w:tr>
      <w:tr w:rsidR="007F48F6" w:rsidRPr="00CC0C66" w14:paraId="68CC43F6" w14:textId="77777777" w:rsidTr="002E1AD3">
        <w:trPr>
          <w:trHeight w:val="2212"/>
        </w:trPr>
        <w:tc>
          <w:tcPr>
            <w:tcW w:w="3114" w:type="dxa"/>
            <w:vMerge w:val="restart"/>
            <w:shd w:val="clear" w:color="auto" w:fill="auto"/>
            <w:tcMar>
              <w:top w:w="28" w:type="dxa"/>
              <w:bottom w:w="28" w:type="dxa"/>
            </w:tcMar>
            <w:vAlign w:val="center"/>
          </w:tcPr>
          <w:p w14:paraId="21C6E7D3" w14:textId="5883A276"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UPADACITINIB</w:t>
            </w:r>
            <w:r w:rsidRPr="00CC0C66">
              <w:rPr>
                <w:rFonts w:ascii="Arial" w:hAnsi="Arial" w:cs="Arial"/>
                <w:color w:val="000000"/>
                <w:sz w:val="18"/>
                <w:szCs w:val="18"/>
              </w:rPr>
              <w:br/>
            </w:r>
            <w:r w:rsidRPr="00CC0C66">
              <w:rPr>
                <w:rFonts w:ascii="Arial" w:hAnsi="Arial" w:cs="Arial"/>
                <w:color w:val="000000"/>
                <w:sz w:val="18"/>
                <w:szCs w:val="18"/>
              </w:rPr>
              <w:br/>
              <w:t>Tablet 15 mg</w:t>
            </w:r>
            <w:r w:rsidRPr="00CC0C66">
              <w:rPr>
                <w:rFonts w:ascii="Arial" w:hAnsi="Arial" w:cs="Arial"/>
                <w:color w:val="000000"/>
                <w:sz w:val="18"/>
                <w:szCs w:val="18"/>
              </w:rPr>
              <w:br/>
              <w:t>Tablet 30 mg</w:t>
            </w:r>
            <w:r w:rsidRPr="00CC0C66">
              <w:rPr>
                <w:rFonts w:ascii="Arial" w:hAnsi="Arial" w:cs="Arial"/>
                <w:color w:val="000000"/>
                <w:sz w:val="18"/>
                <w:szCs w:val="18"/>
              </w:rPr>
              <w:br/>
            </w:r>
            <w:r w:rsidRPr="00CC0C66">
              <w:rPr>
                <w:rFonts w:ascii="Arial" w:hAnsi="Arial" w:cs="Arial"/>
                <w:color w:val="000000"/>
                <w:sz w:val="18"/>
                <w:szCs w:val="18"/>
              </w:rPr>
              <w:br/>
              <w:t>Rinvoq®</w:t>
            </w:r>
            <w:r w:rsidRPr="00CC0C66">
              <w:rPr>
                <w:rFonts w:ascii="Arial" w:hAnsi="Arial" w:cs="Arial"/>
                <w:color w:val="000000"/>
                <w:sz w:val="18"/>
                <w:szCs w:val="18"/>
              </w:rPr>
              <w:br/>
            </w:r>
            <w:r w:rsidRPr="00CC0C66">
              <w:rPr>
                <w:rFonts w:ascii="Arial" w:hAnsi="Arial" w:cs="Arial"/>
                <w:color w:val="000000"/>
                <w:sz w:val="18"/>
                <w:szCs w:val="18"/>
              </w:rPr>
              <w:br/>
              <w:t>Abbvie Pty Ltd</w:t>
            </w:r>
          </w:p>
          <w:p w14:paraId="283EFC0E" w14:textId="37D2C5DA"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2 submission</w:t>
            </w:r>
            <w:r w:rsidRPr="00CC0C66">
              <w:rPr>
                <w:rFonts w:ascii="Arial" w:hAnsi="Arial" w:cs="Arial"/>
                <w:color w:val="000000"/>
                <w:sz w:val="18"/>
                <w:szCs w:val="18"/>
              </w:rPr>
              <w:br/>
              <w:t>(Change to listing)</w:t>
            </w:r>
          </w:p>
        </w:tc>
        <w:tc>
          <w:tcPr>
            <w:tcW w:w="1559" w:type="dxa"/>
            <w:vMerge w:val="restart"/>
            <w:shd w:val="clear" w:color="auto" w:fill="auto"/>
            <w:vAlign w:val="center"/>
          </w:tcPr>
          <w:p w14:paraId="135868C0" w14:textId="6D50CE14"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Severe atopic dermatitis</w:t>
            </w:r>
            <w:r>
              <w:rPr>
                <w:rFonts w:ascii="Arial" w:hAnsi="Arial" w:cs="Arial"/>
                <w:color w:val="000000"/>
                <w:sz w:val="18"/>
                <w:szCs w:val="18"/>
              </w:rPr>
              <w:t xml:space="preserve"> (AD)</w:t>
            </w:r>
          </w:p>
        </w:tc>
        <w:tc>
          <w:tcPr>
            <w:tcW w:w="2552" w:type="dxa"/>
            <w:vMerge w:val="restart"/>
            <w:shd w:val="clear" w:color="auto" w:fill="auto"/>
            <w:tcMar>
              <w:top w:w="28" w:type="dxa"/>
              <w:bottom w:w="28" w:type="dxa"/>
            </w:tcMar>
            <w:vAlign w:val="center"/>
          </w:tcPr>
          <w:p w14:paraId="41B7420D" w14:textId="0218FA64"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General Schedule, Authority Required (</w:t>
            </w:r>
            <w:r>
              <w:rPr>
                <w:rFonts w:ascii="Arial" w:hAnsi="Arial" w:cs="Arial"/>
                <w:color w:val="000000"/>
                <w:sz w:val="18"/>
                <w:szCs w:val="18"/>
              </w:rPr>
              <w:t>T</w:t>
            </w:r>
            <w:r w:rsidRPr="00CC0C66">
              <w:rPr>
                <w:rFonts w:ascii="Arial" w:hAnsi="Arial" w:cs="Arial"/>
                <w:color w:val="000000"/>
                <w:sz w:val="18"/>
                <w:szCs w:val="18"/>
              </w:rPr>
              <w:t>elephone) listing for the treatment of severe atopic dermatitis.</w:t>
            </w:r>
          </w:p>
        </w:tc>
        <w:tc>
          <w:tcPr>
            <w:tcW w:w="1558" w:type="dxa"/>
            <w:vMerge w:val="restart"/>
            <w:shd w:val="clear" w:color="auto" w:fill="auto"/>
            <w:vAlign w:val="center"/>
          </w:tcPr>
          <w:p w14:paraId="2E6DBE52" w14:textId="321D09F6"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Deferred</w:t>
            </w:r>
          </w:p>
        </w:tc>
        <w:tc>
          <w:tcPr>
            <w:tcW w:w="6605" w:type="dxa"/>
            <w:shd w:val="clear" w:color="auto" w:fill="auto"/>
          </w:tcPr>
          <w:p w14:paraId="432B2236" w14:textId="2E16799B" w:rsidR="007F48F6" w:rsidRPr="00CC0C66" w:rsidRDefault="007F48F6" w:rsidP="00F3265E">
            <w:pPr>
              <w:pStyle w:val="ListParagraph"/>
              <w:keepLines/>
              <w:spacing w:after="120"/>
              <w:ind w:left="0"/>
              <w:rPr>
                <w:rFonts w:ascii="Arial" w:hAnsi="Arial" w:cs="Arial"/>
                <w:snapToGrid w:val="0"/>
                <w:sz w:val="18"/>
                <w:szCs w:val="18"/>
                <w:lang w:eastAsia="en-US"/>
              </w:rPr>
            </w:pPr>
            <w:r w:rsidRPr="008B6B42">
              <w:rPr>
                <w:rFonts w:ascii="Arial" w:hAnsi="Arial" w:cs="Arial"/>
                <w:snapToGrid w:val="0"/>
                <w:sz w:val="18"/>
                <w:szCs w:val="18"/>
                <w:lang w:eastAsia="en-US"/>
              </w:rPr>
              <w:t>The PBAC deferred making a recommendation to list upadacitinib for severe AD as a TGA Delegate’s Overview was not available at the time of PBAC consideration. The PBAC was of a mind to recommend 15</w:t>
            </w:r>
            <w:r>
              <w:rPr>
                <w:rFonts w:ascii="Arial" w:hAnsi="Arial" w:cs="Arial"/>
                <w:snapToGrid w:val="0"/>
                <w:sz w:val="18"/>
                <w:szCs w:val="18"/>
                <w:lang w:eastAsia="en-US"/>
              </w:rPr>
              <w:t> </w:t>
            </w:r>
            <w:r w:rsidRPr="008B6B42">
              <w:rPr>
                <w:rFonts w:ascii="Arial" w:hAnsi="Arial" w:cs="Arial"/>
                <w:snapToGrid w:val="0"/>
                <w:sz w:val="18"/>
                <w:szCs w:val="18"/>
                <w:lang w:eastAsia="en-US"/>
              </w:rPr>
              <w:t>mg and 30 mg upadacitinib</w:t>
            </w:r>
            <w:r w:rsidRPr="008B6B42" w:rsidDel="00895570">
              <w:rPr>
                <w:rFonts w:ascii="Arial" w:hAnsi="Arial" w:cs="Arial"/>
                <w:snapToGrid w:val="0"/>
                <w:sz w:val="18"/>
                <w:szCs w:val="18"/>
                <w:lang w:eastAsia="en-US"/>
              </w:rPr>
              <w:t xml:space="preserve"> </w:t>
            </w:r>
            <w:r w:rsidRPr="008B6B42">
              <w:rPr>
                <w:rFonts w:ascii="Arial" w:hAnsi="Arial" w:cs="Arial"/>
                <w:snapToGrid w:val="0"/>
                <w:sz w:val="18"/>
                <w:szCs w:val="18"/>
                <w:lang w:eastAsia="en-US"/>
              </w:rPr>
              <w:t>on a cost minimisation basis compared to dupilumab, pending receipt of a positive TGA Delegate’s Overview. The PBAC acknowledged the clinical need for additional systemic treatments for severe AD and considered that upadacitinib</w:t>
            </w:r>
            <w:r w:rsidRPr="008B6B42" w:rsidDel="00895570">
              <w:rPr>
                <w:rFonts w:ascii="Arial" w:hAnsi="Arial" w:cs="Arial"/>
                <w:snapToGrid w:val="0"/>
                <w:sz w:val="18"/>
                <w:szCs w:val="18"/>
                <w:lang w:eastAsia="en-US"/>
              </w:rPr>
              <w:t xml:space="preserve"> </w:t>
            </w:r>
            <w:r w:rsidRPr="008B6B42">
              <w:rPr>
                <w:rFonts w:ascii="Arial" w:hAnsi="Arial" w:cs="Arial"/>
                <w:snapToGrid w:val="0"/>
                <w:sz w:val="18"/>
                <w:szCs w:val="18"/>
                <w:lang w:eastAsia="en-US"/>
              </w:rPr>
              <w:t>provides an overall clinical benefit similar to the comparator, dupilumab. The PBAC did not accept the submission’s claim that upadacitinib</w:t>
            </w:r>
            <w:r w:rsidRPr="008B6B42" w:rsidDel="00895570">
              <w:rPr>
                <w:rFonts w:ascii="Arial" w:hAnsi="Arial" w:cs="Arial"/>
                <w:snapToGrid w:val="0"/>
                <w:sz w:val="18"/>
                <w:szCs w:val="18"/>
                <w:lang w:eastAsia="en-US"/>
              </w:rPr>
              <w:t xml:space="preserve"> </w:t>
            </w:r>
            <w:r w:rsidRPr="008B6B42">
              <w:rPr>
                <w:rFonts w:ascii="Arial" w:hAnsi="Arial" w:cs="Arial"/>
                <w:snapToGrid w:val="0"/>
                <w:sz w:val="18"/>
                <w:szCs w:val="18"/>
                <w:lang w:eastAsia="en-US"/>
              </w:rPr>
              <w:t>30 mg is superior to dupilumab</w:t>
            </w:r>
            <w:r w:rsidRPr="008B6B42" w:rsidDel="00895570">
              <w:rPr>
                <w:rFonts w:ascii="Arial" w:hAnsi="Arial" w:cs="Arial"/>
                <w:snapToGrid w:val="0"/>
                <w:sz w:val="18"/>
                <w:szCs w:val="18"/>
                <w:lang w:eastAsia="en-US"/>
              </w:rPr>
              <w:t xml:space="preserve"> </w:t>
            </w:r>
            <w:r w:rsidRPr="008B6B42">
              <w:rPr>
                <w:rFonts w:ascii="Arial" w:hAnsi="Arial" w:cs="Arial"/>
                <w:snapToGrid w:val="0"/>
                <w:sz w:val="18"/>
                <w:szCs w:val="18"/>
                <w:lang w:eastAsia="en-US"/>
              </w:rPr>
              <w:t>in terms of response, based on the direct head to head evidence presented, although acknowledged that the response to treatment may be faster with upadacitinib. The PBAC considered that safety for upadacitinib</w:t>
            </w:r>
            <w:r w:rsidRPr="008B6B42" w:rsidDel="00895570">
              <w:rPr>
                <w:rFonts w:ascii="Arial" w:hAnsi="Arial" w:cs="Arial"/>
                <w:snapToGrid w:val="0"/>
                <w:sz w:val="18"/>
                <w:szCs w:val="18"/>
                <w:lang w:eastAsia="en-US"/>
              </w:rPr>
              <w:t xml:space="preserve"> </w:t>
            </w:r>
            <w:r w:rsidRPr="008B6B42">
              <w:rPr>
                <w:rFonts w:ascii="Arial" w:hAnsi="Arial" w:cs="Arial"/>
                <w:snapToGrid w:val="0"/>
                <w:sz w:val="18"/>
                <w:szCs w:val="18"/>
                <w:lang w:eastAsia="en-US"/>
              </w:rPr>
              <w:t>30 mg may be inferior to dupilumab.</w:t>
            </w:r>
          </w:p>
        </w:tc>
      </w:tr>
      <w:tr w:rsidR="007F48F6" w:rsidRPr="00CC0C66" w14:paraId="6D119881" w14:textId="77777777" w:rsidTr="002E1AD3">
        <w:trPr>
          <w:trHeight w:val="866"/>
        </w:trPr>
        <w:tc>
          <w:tcPr>
            <w:tcW w:w="3114" w:type="dxa"/>
            <w:vMerge/>
            <w:shd w:val="clear" w:color="auto" w:fill="auto"/>
            <w:tcMar>
              <w:top w:w="28" w:type="dxa"/>
              <w:bottom w:w="28" w:type="dxa"/>
            </w:tcMar>
            <w:vAlign w:val="center"/>
          </w:tcPr>
          <w:p w14:paraId="0DB0D7AC"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544E9868"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6639AD17"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4DB226FE"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468EBDBB" w14:textId="6E563B9D" w:rsidR="00973917" w:rsidRPr="000E5563" w:rsidRDefault="007F48F6"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Sponsor’s Comment</w:t>
            </w:r>
            <w:r w:rsidR="00973917">
              <w:rPr>
                <w:rFonts w:ascii="Arial" w:hAnsi="Arial" w:cs="Arial"/>
                <w:snapToGrid w:val="0"/>
                <w:sz w:val="18"/>
                <w:szCs w:val="18"/>
                <w:lang w:eastAsia="en-US"/>
              </w:rPr>
              <w:t xml:space="preserve">: </w:t>
            </w:r>
            <w:r w:rsidR="00973917" w:rsidRPr="00973917">
              <w:rPr>
                <w:rFonts w:ascii="Arial" w:hAnsi="Arial" w:cs="Arial"/>
                <w:snapToGrid w:val="0"/>
                <w:sz w:val="18"/>
                <w:szCs w:val="18"/>
                <w:lang w:eastAsia="en-US"/>
              </w:rPr>
              <w:t>AbbVie welcomes the PBAC's minded recommendation for 15mg and 30mg upadacitinib for severe AD patients. AbbVie maintains that upadacitinib 30 mg is superior to dupilumab, based on the results of the head-to-head trial demonstrating superiority of upadacitinib on the primary endpoint at Week 16. AbbVie will continue to work with the PBAC to enable earliest possible access to upadacitinib for patients living with severe AD following receipt of the Delegate’s Overview.</w:t>
            </w:r>
          </w:p>
        </w:tc>
      </w:tr>
      <w:tr w:rsidR="007F48F6" w:rsidRPr="00CC0C66" w14:paraId="5FD395AF" w14:textId="77777777" w:rsidTr="00A159CA">
        <w:trPr>
          <w:trHeight w:val="2133"/>
        </w:trPr>
        <w:tc>
          <w:tcPr>
            <w:tcW w:w="3114" w:type="dxa"/>
            <w:shd w:val="clear" w:color="auto" w:fill="auto"/>
            <w:tcMar>
              <w:top w:w="28" w:type="dxa"/>
              <w:bottom w:w="28" w:type="dxa"/>
            </w:tcMar>
            <w:vAlign w:val="center"/>
          </w:tcPr>
          <w:p w14:paraId="51222513" w14:textId="3786CE9E"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VENETOCLAX</w:t>
            </w:r>
            <w:r w:rsidRPr="00CC0C66">
              <w:rPr>
                <w:rFonts w:ascii="Arial" w:hAnsi="Arial" w:cs="Arial"/>
                <w:color w:val="000000"/>
                <w:sz w:val="18"/>
                <w:szCs w:val="18"/>
              </w:rPr>
              <w:br/>
            </w:r>
            <w:r w:rsidRPr="00CC0C66">
              <w:rPr>
                <w:rFonts w:ascii="Arial" w:hAnsi="Arial" w:cs="Arial"/>
                <w:color w:val="000000"/>
                <w:sz w:val="18"/>
                <w:szCs w:val="18"/>
              </w:rPr>
              <w:br/>
              <w:t>Tablet 50 mg</w:t>
            </w:r>
            <w:r w:rsidRPr="00CC0C66">
              <w:rPr>
                <w:rFonts w:ascii="Arial" w:hAnsi="Arial" w:cs="Arial"/>
                <w:color w:val="000000"/>
                <w:sz w:val="18"/>
                <w:szCs w:val="18"/>
              </w:rPr>
              <w:br/>
              <w:t>Tablet 100 mg</w:t>
            </w:r>
            <w:r w:rsidRPr="00CC0C66">
              <w:rPr>
                <w:rFonts w:ascii="Arial" w:hAnsi="Arial" w:cs="Arial"/>
                <w:color w:val="000000"/>
                <w:sz w:val="18"/>
                <w:szCs w:val="18"/>
              </w:rPr>
              <w:br/>
            </w:r>
            <w:r w:rsidRPr="00CC0C66">
              <w:rPr>
                <w:rFonts w:ascii="Arial" w:hAnsi="Arial" w:cs="Arial"/>
                <w:color w:val="000000"/>
                <w:sz w:val="18"/>
                <w:szCs w:val="18"/>
              </w:rPr>
              <w:br/>
              <w:t>Venclexta®</w:t>
            </w:r>
            <w:r w:rsidRPr="00CC0C66">
              <w:rPr>
                <w:rFonts w:ascii="Arial" w:hAnsi="Arial" w:cs="Arial"/>
                <w:color w:val="000000"/>
                <w:sz w:val="18"/>
                <w:szCs w:val="18"/>
              </w:rPr>
              <w:br/>
            </w:r>
            <w:r w:rsidRPr="00CC0C66">
              <w:rPr>
                <w:rFonts w:ascii="Arial" w:hAnsi="Arial" w:cs="Arial"/>
                <w:color w:val="000000"/>
                <w:sz w:val="18"/>
                <w:szCs w:val="18"/>
              </w:rPr>
              <w:br/>
              <w:t>AbbVie Pty Ltd</w:t>
            </w:r>
          </w:p>
          <w:p w14:paraId="2D1AA08D" w14:textId="05053410"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Early Re-entry resubmission</w:t>
            </w:r>
            <w:r w:rsidRPr="00CC0C66">
              <w:rPr>
                <w:rFonts w:ascii="Arial" w:hAnsi="Arial" w:cs="Arial"/>
                <w:color w:val="000000"/>
                <w:sz w:val="18"/>
                <w:szCs w:val="18"/>
              </w:rPr>
              <w:br/>
              <w:t>(Change to listing)</w:t>
            </w:r>
          </w:p>
        </w:tc>
        <w:tc>
          <w:tcPr>
            <w:tcW w:w="1559" w:type="dxa"/>
            <w:shd w:val="clear" w:color="auto" w:fill="auto"/>
            <w:vAlign w:val="center"/>
          </w:tcPr>
          <w:p w14:paraId="718E0E19" w14:textId="231B8745"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Acute myeloid leukaemia</w:t>
            </w:r>
          </w:p>
        </w:tc>
        <w:tc>
          <w:tcPr>
            <w:tcW w:w="2552" w:type="dxa"/>
            <w:shd w:val="clear" w:color="auto" w:fill="auto"/>
            <w:tcMar>
              <w:top w:w="28" w:type="dxa"/>
              <w:bottom w:w="28" w:type="dxa"/>
            </w:tcMar>
            <w:vAlign w:val="center"/>
          </w:tcPr>
          <w:p w14:paraId="71BFBCDB" w14:textId="41CD30C1"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Resubmission to request a General Schedule - Authority Required (</w:t>
            </w:r>
            <w:r w:rsidR="00C05362" w:rsidRPr="00CC0C66">
              <w:rPr>
                <w:rFonts w:ascii="Arial" w:hAnsi="Arial" w:cs="Arial"/>
                <w:color w:val="000000"/>
                <w:sz w:val="18"/>
                <w:szCs w:val="18"/>
              </w:rPr>
              <w:t>online/telephone</w:t>
            </w:r>
            <w:r w:rsidRPr="00CC0C66">
              <w:rPr>
                <w:rFonts w:ascii="Arial" w:hAnsi="Arial" w:cs="Arial"/>
                <w:color w:val="000000"/>
                <w:sz w:val="18"/>
                <w:szCs w:val="18"/>
              </w:rPr>
              <w:t>) listing for the treatment of patients with newly diagnosed acute myeloid leukaemia, who are ineligible for standard intensive remission induction chemotherapy.</w:t>
            </w:r>
          </w:p>
        </w:tc>
        <w:tc>
          <w:tcPr>
            <w:tcW w:w="1558" w:type="dxa"/>
            <w:shd w:val="clear" w:color="auto" w:fill="auto"/>
            <w:vAlign w:val="center"/>
          </w:tcPr>
          <w:p w14:paraId="63BD0D6D" w14:textId="798F8D63"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vAlign w:val="center"/>
          </w:tcPr>
          <w:p w14:paraId="66B8EFC7" w14:textId="1B001B36"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The PBAC recommended the listing of venetoclax in combination with azacitidine, for the treatment of patients with newly diagnosed acute myeloid leukaemia, who are ineligible for standard intensive remission induction chemotherapy. The PBAC was satisfied that venetoclax in combination with azacitidine provides, for some patients, a significant improvement in efficacy over low-intensity azacitidine or low-dose cytarabine. The early re-entry resubmission had addressed most issues previously identified by the PBAC (in terms of the economic model, financial estimates and </w:t>
            </w:r>
            <w:r>
              <w:rPr>
                <w:rFonts w:ascii="Arial" w:hAnsi="Arial" w:cs="Arial"/>
                <w:color w:val="000000"/>
                <w:sz w:val="18"/>
                <w:szCs w:val="18"/>
              </w:rPr>
              <w:t xml:space="preserve">risk sharing arrangement </w:t>
            </w:r>
            <w:r w:rsidRPr="00CC0C66">
              <w:rPr>
                <w:rFonts w:ascii="Arial" w:hAnsi="Arial" w:cs="Arial"/>
                <w:color w:val="000000"/>
                <w:sz w:val="18"/>
                <w:szCs w:val="18"/>
              </w:rPr>
              <w:t>proposal), although there were some additional changes made, which the PBAC did not accept. The PBAC also noted that azacitidine sponsors would be consulted on the azacitidine listing prior to implementation.</w:t>
            </w:r>
          </w:p>
        </w:tc>
      </w:tr>
      <w:tr w:rsidR="007F48F6" w:rsidRPr="00CC0C66" w14:paraId="7D78001A" w14:textId="77777777" w:rsidTr="00FE6F0F">
        <w:trPr>
          <w:trHeight w:val="4114"/>
        </w:trPr>
        <w:tc>
          <w:tcPr>
            <w:tcW w:w="3114" w:type="dxa"/>
            <w:vMerge w:val="restart"/>
            <w:shd w:val="clear" w:color="auto" w:fill="auto"/>
            <w:tcMar>
              <w:top w:w="28" w:type="dxa"/>
              <w:bottom w:w="28" w:type="dxa"/>
            </w:tcMar>
            <w:vAlign w:val="center"/>
          </w:tcPr>
          <w:p w14:paraId="41576A4F" w14:textId="72B478AA"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lastRenderedPageBreak/>
              <w:t>ZANUBRUTINIB</w:t>
            </w:r>
            <w:r w:rsidRPr="00CC0C66">
              <w:rPr>
                <w:rFonts w:ascii="Arial" w:hAnsi="Arial" w:cs="Arial"/>
                <w:color w:val="000000"/>
                <w:sz w:val="18"/>
                <w:szCs w:val="18"/>
              </w:rPr>
              <w:br/>
            </w:r>
            <w:r w:rsidRPr="00CC0C66">
              <w:rPr>
                <w:rFonts w:ascii="Arial" w:hAnsi="Arial" w:cs="Arial"/>
                <w:color w:val="000000"/>
                <w:sz w:val="18"/>
                <w:szCs w:val="18"/>
              </w:rPr>
              <w:br/>
              <w:t>Capsule 80 mg</w:t>
            </w:r>
            <w:r w:rsidRPr="00CC0C66">
              <w:rPr>
                <w:rFonts w:ascii="Arial" w:hAnsi="Arial" w:cs="Arial"/>
                <w:color w:val="000000"/>
                <w:sz w:val="18"/>
                <w:szCs w:val="18"/>
              </w:rPr>
              <w:br/>
            </w:r>
            <w:r w:rsidRPr="00CC0C66">
              <w:rPr>
                <w:rFonts w:ascii="Arial" w:hAnsi="Arial" w:cs="Arial"/>
                <w:color w:val="000000"/>
                <w:sz w:val="18"/>
                <w:szCs w:val="18"/>
              </w:rPr>
              <w:br/>
              <w:t>Brukinsa®</w:t>
            </w:r>
            <w:r w:rsidRPr="00CC0C66">
              <w:rPr>
                <w:rFonts w:ascii="Arial" w:hAnsi="Arial" w:cs="Arial"/>
                <w:color w:val="000000"/>
                <w:sz w:val="18"/>
                <w:szCs w:val="18"/>
              </w:rPr>
              <w:br/>
            </w:r>
            <w:r w:rsidRPr="00CC0C66">
              <w:rPr>
                <w:rFonts w:ascii="Arial" w:hAnsi="Arial" w:cs="Arial"/>
                <w:color w:val="000000"/>
                <w:sz w:val="18"/>
                <w:szCs w:val="18"/>
              </w:rPr>
              <w:br/>
              <w:t>BeiGene Aus Pty Ltd</w:t>
            </w:r>
          </w:p>
          <w:p w14:paraId="22A3840A" w14:textId="1C466F8C"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2 submission</w:t>
            </w:r>
            <w:r w:rsidRPr="00CC0C66">
              <w:rPr>
                <w:rFonts w:ascii="Arial" w:hAnsi="Arial" w:cs="Arial"/>
                <w:color w:val="000000"/>
                <w:sz w:val="18"/>
                <w:szCs w:val="18"/>
              </w:rPr>
              <w:br/>
              <w:t>(New listing)</w:t>
            </w:r>
          </w:p>
        </w:tc>
        <w:tc>
          <w:tcPr>
            <w:tcW w:w="1559" w:type="dxa"/>
            <w:vMerge w:val="restart"/>
            <w:shd w:val="clear" w:color="auto" w:fill="auto"/>
            <w:vAlign w:val="center"/>
          </w:tcPr>
          <w:p w14:paraId="760D34E4" w14:textId="515C2705"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Waldenstrom macroglobulinemia</w:t>
            </w:r>
            <w:r>
              <w:rPr>
                <w:rFonts w:ascii="Arial" w:hAnsi="Arial" w:cs="Arial"/>
                <w:color w:val="000000"/>
                <w:sz w:val="18"/>
                <w:szCs w:val="18"/>
              </w:rPr>
              <w:t xml:space="preserve"> (WM)</w:t>
            </w:r>
          </w:p>
        </w:tc>
        <w:tc>
          <w:tcPr>
            <w:tcW w:w="2552" w:type="dxa"/>
            <w:vMerge w:val="restart"/>
            <w:shd w:val="clear" w:color="auto" w:fill="auto"/>
            <w:tcMar>
              <w:top w:w="28" w:type="dxa"/>
              <w:bottom w:w="28" w:type="dxa"/>
            </w:tcMar>
            <w:vAlign w:val="center"/>
          </w:tcPr>
          <w:p w14:paraId="73B3170C" w14:textId="6E20A4E1"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To request a General Schedule, Authority Required (</w:t>
            </w:r>
            <w:r>
              <w:rPr>
                <w:rFonts w:ascii="Arial" w:hAnsi="Arial" w:cs="Arial"/>
                <w:color w:val="000000"/>
                <w:sz w:val="18"/>
                <w:szCs w:val="18"/>
              </w:rPr>
              <w:t>T</w:t>
            </w:r>
            <w:r w:rsidRPr="00CC0C66">
              <w:rPr>
                <w:rFonts w:ascii="Arial" w:hAnsi="Arial" w:cs="Arial"/>
                <w:color w:val="000000"/>
                <w:sz w:val="18"/>
                <w:szCs w:val="18"/>
              </w:rPr>
              <w:t>elephone) listing for the treatment of adult patients with Waldenstrom macroglobulinemia.</w:t>
            </w:r>
          </w:p>
        </w:tc>
        <w:tc>
          <w:tcPr>
            <w:tcW w:w="1558" w:type="dxa"/>
            <w:vMerge w:val="restart"/>
            <w:shd w:val="clear" w:color="auto" w:fill="auto"/>
            <w:vAlign w:val="center"/>
          </w:tcPr>
          <w:p w14:paraId="388809E4" w14:textId="6112BF92"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Not Recommended</w:t>
            </w:r>
          </w:p>
        </w:tc>
        <w:tc>
          <w:tcPr>
            <w:tcW w:w="6605" w:type="dxa"/>
            <w:shd w:val="clear" w:color="auto" w:fill="auto"/>
          </w:tcPr>
          <w:p w14:paraId="22DFDE92" w14:textId="56B4D21F" w:rsidR="007F48F6" w:rsidRDefault="007F48F6" w:rsidP="00F3265E">
            <w:pPr>
              <w:pStyle w:val="ListParagraph"/>
              <w:keepLines/>
              <w:spacing w:after="120"/>
              <w:ind w:left="0"/>
              <w:rPr>
                <w:rFonts w:ascii="Arial" w:hAnsi="Arial" w:cs="Arial"/>
                <w:snapToGrid w:val="0"/>
                <w:sz w:val="18"/>
                <w:szCs w:val="18"/>
                <w:lang w:eastAsia="en-US"/>
              </w:rPr>
            </w:pPr>
            <w:r w:rsidRPr="002E1AD3">
              <w:rPr>
                <w:rFonts w:ascii="Arial" w:hAnsi="Arial" w:cs="Arial"/>
                <w:snapToGrid w:val="0"/>
                <w:sz w:val="18"/>
                <w:szCs w:val="18"/>
                <w:lang w:eastAsia="en-US"/>
              </w:rPr>
              <w:t>The PBAC did not recommend the listing of zanubrutinib for the treatment of adult patients with WM (for the requested populations of: (i) patients who are treatment-naïve and unsuitable for chemo-immunotherapy; or (ii) patients with relapsed/refractory disease who have received at least one prior therapy). The PBAC acknowledged the meaningful consumer support and engagement with regards to this submission, including a consumer hearing with patient group representatives held prior to the PBAC meeting. The PBAC recognised that there are no treatments on the PBS specifically for WM and considered that zanubrutinib offered, for some patients, high added therapeutic value in terms of tolerability, response outcomes and quality of life. However, the PBAC did not have a reliable basis to determine a cost-effective price for zanubrutinib as the economic model did not reflect the expected treatment outcomes of improved quality of life and reduced need for subsequent therapies, including chemotherapy, but instead was based on projected large gains in overall survival, which were not supported by the clinical data and were considered clinically implausible. The PBAC considered the estimated use and financial impact to be underestimated.</w:t>
            </w:r>
          </w:p>
          <w:p w14:paraId="66B15534" w14:textId="77777777" w:rsidR="007F48F6" w:rsidRPr="002E1AD3" w:rsidRDefault="007F48F6" w:rsidP="00F3265E">
            <w:pPr>
              <w:pStyle w:val="ListParagraph"/>
              <w:keepLines/>
              <w:spacing w:after="120"/>
              <w:ind w:left="0"/>
              <w:rPr>
                <w:rFonts w:ascii="Arial" w:hAnsi="Arial" w:cs="Arial"/>
                <w:snapToGrid w:val="0"/>
                <w:sz w:val="18"/>
                <w:szCs w:val="18"/>
                <w:lang w:eastAsia="en-US"/>
              </w:rPr>
            </w:pPr>
          </w:p>
          <w:p w14:paraId="55F04445" w14:textId="7A35471F" w:rsidR="007F48F6" w:rsidRPr="00CC0C66" w:rsidRDefault="007F48F6" w:rsidP="00F3265E">
            <w:pPr>
              <w:pStyle w:val="ListParagraph"/>
              <w:keepLines/>
              <w:spacing w:after="120"/>
              <w:ind w:left="0"/>
              <w:rPr>
                <w:rFonts w:ascii="Arial" w:hAnsi="Arial" w:cs="Arial"/>
                <w:snapToGrid w:val="0"/>
                <w:sz w:val="18"/>
                <w:szCs w:val="18"/>
                <w:lang w:eastAsia="en-US"/>
              </w:rPr>
            </w:pPr>
            <w:r w:rsidRPr="002E1AD3">
              <w:rPr>
                <w:rFonts w:ascii="Arial" w:hAnsi="Arial" w:cs="Arial"/>
                <w:snapToGrid w:val="0"/>
                <w:sz w:val="18"/>
                <w:szCs w:val="18"/>
                <w:lang w:eastAsia="en-US"/>
              </w:rPr>
              <w:t>The PBAC nominated the Facilitated Resolution pathway* for this item.</w:t>
            </w:r>
          </w:p>
        </w:tc>
      </w:tr>
      <w:tr w:rsidR="007F48F6" w:rsidRPr="00CC0C66" w14:paraId="42842CA1" w14:textId="77777777" w:rsidTr="002E1AD3">
        <w:trPr>
          <w:trHeight w:val="719"/>
        </w:trPr>
        <w:tc>
          <w:tcPr>
            <w:tcW w:w="3114" w:type="dxa"/>
            <w:vMerge/>
            <w:shd w:val="clear" w:color="auto" w:fill="auto"/>
            <w:tcMar>
              <w:top w:w="28" w:type="dxa"/>
              <w:bottom w:w="28" w:type="dxa"/>
            </w:tcMar>
            <w:vAlign w:val="center"/>
          </w:tcPr>
          <w:p w14:paraId="33F3DFD0" w14:textId="77777777" w:rsidR="007F48F6" w:rsidRPr="00CC0C66" w:rsidRDefault="007F48F6" w:rsidP="00F3265E">
            <w:pPr>
              <w:keepLines/>
              <w:spacing w:after="120"/>
              <w:rPr>
                <w:rFonts w:ascii="Arial" w:hAnsi="Arial" w:cs="Arial"/>
                <w:color w:val="000000"/>
                <w:sz w:val="18"/>
                <w:szCs w:val="18"/>
              </w:rPr>
            </w:pPr>
          </w:p>
        </w:tc>
        <w:tc>
          <w:tcPr>
            <w:tcW w:w="1559" w:type="dxa"/>
            <w:vMerge/>
            <w:shd w:val="clear" w:color="auto" w:fill="auto"/>
            <w:vAlign w:val="center"/>
          </w:tcPr>
          <w:p w14:paraId="2DDDECC1" w14:textId="77777777" w:rsidR="007F48F6" w:rsidRPr="00CC0C66" w:rsidRDefault="007F48F6" w:rsidP="00F3265E">
            <w:pPr>
              <w:keepLines/>
              <w:widowControl w:val="0"/>
              <w:spacing w:after="120"/>
              <w:rPr>
                <w:rFonts w:ascii="Arial" w:hAnsi="Arial" w:cs="Arial"/>
                <w:color w:val="000000"/>
                <w:sz w:val="18"/>
                <w:szCs w:val="18"/>
              </w:rPr>
            </w:pPr>
          </w:p>
        </w:tc>
        <w:tc>
          <w:tcPr>
            <w:tcW w:w="2552" w:type="dxa"/>
            <w:vMerge/>
            <w:shd w:val="clear" w:color="auto" w:fill="auto"/>
            <w:tcMar>
              <w:top w:w="28" w:type="dxa"/>
              <w:bottom w:w="28" w:type="dxa"/>
            </w:tcMar>
            <w:vAlign w:val="center"/>
          </w:tcPr>
          <w:p w14:paraId="35D078D0"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1558" w:type="dxa"/>
            <w:vMerge/>
            <w:shd w:val="clear" w:color="auto" w:fill="auto"/>
            <w:vAlign w:val="center"/>
          </w:tcPr>
          <w:p w14:paraId="19B78F18" w14:textId="77777777" w:rsidR="007F48F6" w:rsidRPr="00CC0C66" w:rsidRDefault="007F48F6" w:rsidP="00F3265E">
            <w:pPr>
              <w:pStyle w:val="ListParagraph"/>
              <w:keepLines/>
              <w:spacing w:after="120"/>
              <w:ind w:left="0"/>
              <w:rPr>
                <w:rFonts w:ascii="Arial" w:hAnsi="Arial" w:cs="Arial"/>
                <w:color w:val="000000"/>
                <w:sz w:val="18"/>
                <w:szCs w:val="18"/>
              </w:rPr>
            </w:pPr>
          </w:p>
        </w:tc>
        <w:tc>
          <w:tcPr>
            <w:tcW w:w="6605" w:type="dxa"/>
            <w:shd w:val="clear" w:color="auto" w:fill="auto"/>
          </w:tcPr>
          <w:p w14:paraId="31F942CB" w14:textId="45548A69" w:rsidR="00B2135F" w:rsidRPr="000E5563" w:rsidRDefault="007F48F6" w:rsidP="00F3265E">
            <w:pPr>
              <w:pStyle w:val="ListParagraph"/>
              <w:keepLines/>
              <w:spacing w:after="120"/>
              <w:ind w:left="0"/>
              <w:rPr>
                <w:rFonts w:ascii="Arial" w:hAnsi="Arial" w:cs="Arial"/>
                <w:color w:val="000000"/>
                <w:sz w:val="18"/>
                <w:szCs w:val="18"/>
                <w:u w:val="single"/>
              </w:rPr>
            </w:pPr>
            <w:r w:rsidRPr="00CC0C66">
              <w:rPr>
                <w:rFonts w:ascii="Arial" w:hAnsi="Arial" w:cs="Arial"/>
                <w:color w:val="000000"/>
                <w:sz w:val="18"/>
                <w:szCs w:val="18"/>
                <w:u w:val="single"/>
              </w:rPr>
              <w:t>Sponsor’s Comment</w:t>
            </w:r>
            <w:r w:rsidR="00B2135F">
              <w:rPr>
                <w:rFonts w:ascii="Arial" w:hAnsi="Arial" w:cs="Arial"/>
                <w:snapToGrid w:val="0"/>
                <w:sz w:val="18"/>
                <w:szCs w:val="18"/>
                <w:lang w:eastAsia="en-US"/>
              </w:rPr>
              <w:t xml:space="preserve">: </w:t>
            </w:r>
            <w:r w:rsidR="00B2135F" w:rsidRPr="00B2135F">
              <w:rPr>
                <w:rFonts w:ascii="Arial" w:hAnsi="Arial" w:cs="Arial"/>
                <w:snapToGrid w:val="0"/>
                <w:sz w:val="18"/>
                <w:szCs w:val="18"/>
                <w:lang w:eastAsia="en-US"/>
              </w:rPr>
              <w:t>Beigene look forward to working with the PBAC to make zanubrutinib available for patients with Waldenström macroglobulinaemia as soon as possible.</w:t>
            </w:r>
          </w:p>
        </w:tc>
      </w:tr>
      <w:tr w:rsidR="007F48F6" w:rsidRPr="00CC0C66" w14:paraId="2D1F7DF3" w14:textId="77777777" w:rsidTr="002E1AD3">
        <w:trPr>
          <w:trHeight w:val="290"/>
        </w:trPr>
        <w:tc>
          <w:tcPr>
            <w:tcW w:w="3114" w:type="dxa"/>
            <w:shd w:val="clear" w:color="auto" w:fill="auto"/>
            <w:tcMar>
              <w:top w:w="28" w:type="dxa"/>
              <w:bottom w:w="28" w:type="dxa"/>
            </w:tcMar>
            <w:vAlign w:val="center"/>
          </w:tcPr>
          <w:p w14:paraId="7CF99476" w14:textId="5D43BF3E" w:rsidR="007F48F6" w:rsidRPr="00CC0C66" w:rsidRDefault="007F48F6" w:rsidP="00F3265E">
            <w:pPr>
              <w:keepLines/>
              <w:spacing w:after="120"/>
              <w:rPr>
                <w:rFonts w:ascii="Arial" w:hAnsi="Arial" w:cs="Arial"/>
                <w:color w:val="000000"/>
                <w:sz w:val="18"/>
                <w:szCs w:val="18"/>
              </w:rPr>
            </w:pPr>
            <w:r w:rsidRPr="00CC0C66">
              <w:rPr>
                <w:rFonts w:ascii="Arial" w:hAnsi="Arial" w:cs="Arial"/>
                <w:color w:val="000000"/>
                <w:sz w:val="18"/>
                <w:szCs w:val="18"/>
              </w:rPr>
              <w:t>ZANUBRUTINIB</w:t>
            </w:r>
            <w:r w:rsidRPr="00CC0C66">
              <w:rPr>
                <w:rFonts w:ascii="Arial" w:hAnsi="Arial" w:cs="Arial"/>
                <w:color w:val="000000"/>
                <w:sz w:val="18"/>
                <w:szCs w:val="18"/>
              </w:rPr>
              <w:br/>
            </w:r>
            <w:r w:rsidRPr="00CC0C66">
              <w:rPr>
                <w:rFonts w:ascii="Arial" w:hAnsi="Arial" w:cs="Arial"/>
                <w:color w:val="000000"/>
                <w:sz w:val="18"/>
                <w:szCs w:val="18"/>
              </w:rPr>
              <w:br/>
              <w:t>Capsule 80 mg</w:t>
            </w:r>
            <w:r w:rsidRPr="00CC0C66">
              <w:rPr>
                <w:rFonts w:ascii="Arial" w:hAnsi="Arial" w:cs="Arial"/>
                <w:color w:val="000000"/>
                <w:sz w:val="18"/>
                <w:szCs w:val="18"/>
              </w:rPr>
              <w:br/>
            </w:r>
            <w:r w:rsidRPr="00CC0C66">
              <w:rPr>
                <w:rFonts w:ascii="Arial" w:hAnsi="Arial" w:cs="Arial"/>
                <w:color w:val="000000"/>
                <w:sz w:val="18"/>
                <w:szCs w:val="18"/>
              </w:rPr>
              <w:br/>
              <w:t>Brukinsa®</w:t>
            </w:r>
            <w:r w:rsidRPr="00CC0C66">
              <w:rPr>
                <w:rFonts w:ascii="Arial" w:hAnsi="Arial" w:cs="Arial"/>
                <w:color w:val="000000"/>
                <w:sz w:val="18"/>
                <w:szCs w:val="18"/>
              </w:rPr>
              <w:br/>
            </w:r>
            <w:r w:rsidRPr="00CC0C66">
              <w:rPr>
                <w:rFonts w:ascii="Arial" w:hAnsi="Arial" w:cs="Arial"/>
                <w:color w:val="000000"/>
                <w:sz w:val="18"/>
                <w:szCs w:val="18"/>
              </w:rPr>
              <w:br/>
              <w:t>BeiGene Aus Pty Ltd</w:t>
            </w:r>
          </w:p>
          <w:p w14:paraId="4E22FAAD" w14:textId="549B9AFB" w:rsidR="007F48F6" w:rsidRPr="00CC0C66" w:rsidRDefault="007F48F6" w:rsidP="00F3265E">
            <w:pPr>
              <w:keepLines/>
              <w:spacing w:after="120"/>
              <w:rPr>
                <w:rFonts w:ascii="Arial" w:hAnsi="Arial" w:cs="Arial"/>
                <w:sz w:val="18"/>
                <w:szCs w:val="18"/>
              </w:rPr>
            </w:pPr>
            <w:r w:rsidRPr="00CC0C66">
              <w:rPr>
                <w:rFonts w:ascii="Arial" w:hAnsi="Arial" w:cs="Arial"/>
                <w:color w:val="000000"/>
                <w:sz w:val="18"/>
                <w:szCs w:val="18"/>
              </w:rPr>
              <w:t>Category 1 submission</w:t>
            </w:r>
            <w:r w:rsidRPr="00CC0C66">
              <w:rPr>
                <w:rFonts w:ascii="Arial" w:hAnsi="Arial" w:cs="Arial"/>
                <w:color w:val="000000"/>
                <w:sz w:val="18"/>
                <w:szCs w:val="18"/>
              </w:rPr>
              <w:br/>
              <w:t>(New listing)</w:t>
            </w:r>
          </w:p>
        </w:tc>
        <w:tc>
          <w:tcPr>
            <w:tcW w:w="1559" w:type="dxa"/>
            <w:shd w:val="clear" w:color="auto" w:fill="auto"/>
            <w:vAlign w:val="center"/>
          </w:tcPr>
          <w:p w14:paraId="2EF79D7C" w14:textId="466B6BB4" w:rsidR="007F48F6" w:rsidRPr="00CC0C66" w:rsidRDefault="007F48F6" w:rsidP="00F3265E">
            <w:pPr>
              <w:keepLines/>
              <w:widowControl w:val="0"/>
              <w:spacing w:after="120"/>
              <w:rPr>
                <w:rFonts w:ascii="Arial" w:hAnsi="Arial" w:cs="Arial"/>
                <w:snapToGrid w:val="0"/>
                <w:sz w:val="18"/>
                <w:szCs w:val="18"/>
                <w:lang w:eastAsia="en-US"/>
              </w:rPr>
            </w:pPr>
            <w:r w:rsidRPr="00CC0C66">
              <w:rPr>
                <w:rFonts w:ascii="Arial" w:hAnsi="Arial" w:cs="Arial"/>
                <w:color w:val="000000"/>
                <w:sz w:val="18"/>
                <w:szCs w:val="18"/>
              </w:rPr>
              <w:t>Relapsed and/or refractory mantle cell lymphoma</w:t>
            </w:r>
            <w:r>
              <w:rPr>
                <w:rFonts w:ascii="Arial" w:hAnsi="Arial" w:cs="Arial"/>
                <w:color w:val="000000"/>
                <w:sz w:val="18"/>
                <w:szCs w:val="18"/>
              </w:rPr>
              <w:t xml:space="preserve"> (R/R MCL)</w:t>
            </w:r>
          </w:p>
        </w:tc>
        <w:tc>
          <w:tcPr>
            <w:tcW w:w="2552" w:type="dxa"/>
            <w:shd w:val="clear" w:color="auto" w:fill="auto"/>
            <w:tcMar>
              <w:top w:w="28" w:type="dxa"/>
              <w:bottom w:w="28" w:type="dxa"/>
            </w:tcMar>
            <w:vAlign w:val="center"/>
          </w:tcPr>
          <w:p w14:paraId="6C616155" w14:textId="71EDDB15"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 xml:space="preserve">To request a General Schedule, Authority Required (telephone) listing for the treatment of </w:t>
            </w:r>
            <w:r>
              <w:rPr>
                <w:rFonts w:ascii="Arial" w:hAnsi="Arial" w:cs="Arial"/>
                <w:color w:val="000000"/>
                <w:sz w:val="18"/>
                <w:szCs w:val="18"/>
              </w:rPr>
              <w:t>R/R MCL</w:t>
            </w:r>
            <w:r w:rsidRPr="00CC0C66">
              <w:rPr>
                <w:rFonts w:ascii="Arial" w:hAnsi="Arial" w:cs="Arial"/>
                <w:color w:val="000000"/>
                <w:sz w:val="18"/>
                <w:szCs w:val="18"/>
              </w:rPr>
              <w:t>.</w:t>
            </w:r>
          </w:p>
        </w:tc>
        <w:tc>
          <w:tcPr>
            <w:tcW w:w="1558" w:type="dxa"/>
            <w:shd w:val="clear" w:color="auto" w:fill="auto"/>
            <w:vAlign w:val="center"/>
          </w:tcPr>
          <w:p w14:paraId="6EDFD810" w14:textId="7D6B4FC1" w:rsidR="007F48F6" w:rsidRPr="00CC0C66" w:rsidRDefault="007F48F6" w:rsidP="00F3265E">
            <w:pPr>
              <w:pStyle w:val="ListParagraph"/>
              <w:keepLines/>
              <w:spacing w:after="120"/>
              <w:ind w:left="0"/>
              <w:rPr>
                <w:rFonts w:ascii="Arial" w:hAnsi="Arial" w:cs="Arial"/>
                <w:snapToGrid w:val="0"/>
                <w:sz w:val="18"/>
                <w:szCs w:val="18"/>
                <w:lang w:eastAsia="en-US"/>
              </w:rPr>
            </w:pPr>
            <w:r w:rsidRPr="00CC0C66">
              <w:rPr>
                <w:rFonts w:ascii="Arial" w:hAnsi="Arial" w:cs="Arial"/>
                <w:color w:val="000000"/>
                <w:sz w:val="18"/>
                <w:szCs w:val="18"/>
              </w:rPr>
              <w:t>Recommended</w:t>
            </w:r>
          </w:p>
        </w:tc>
        <w:tc>
          <w:tcPr>
            <w:tcW w:w="6605" w:type="dxa"/>
            <w:shd w:val="clear" w:color="auto" w:fill="auto"/>
          </w:tcPr>
          <w:p w14:paraId="674916DA" w14:textId="26519407" w:rsidR="007F48F6" w:rsidRDefault="007F48F6" w:rsidP="00F3265E">
            <w:pPr>
              <w:pStyle w:val="ListParagraph"/>
              <w:keepLines/>
              <w:spacing w:after="120"/>
              <w:ind w:left="0"/>
              <w:rPr>
                <w:rFonts w:ascii="Arial" w:hAnsi="Arial" w:cs="Arial"/>
                <w:snapToGrid w:val="0"/>
                <w:sz w:val="18"/>
                <w:szCs w:val="18"/>
                <w:lang w:eastAsia="en-US"/>
              </w:rPr>
            </w:pPr>
            <w:r w:rsidRPr="00936E0F">
              <w:rPr>
                <w:rFonts w:ascii="Arial" w:hAnsi="Arial" w:cs="Arial"/>
                <w:snapToGrid w:val="0"/>
                <w:sz w:val="18"/>
                <w:szCs w:val="18"/>
                <w:lang w:eastAsia="en-US"/>
              </w:rPr>
              <w:t>The PBAC recommended the listing of zanubrutinib for the treatment of patients with R/R MCL who have received at least one prior therapy and have a WHO performance status of 0 or 1. The PBAC considered that zanubrutinib should be available to Bruton tyrosine kinase (BTK) inhibitor-naïve patients or patients who have developed an intolerance to another BTK inhibitor necessitating permanent treatment withdrawal. The PBAC noted that the comparison between zanubrutinib and ibrutinib using single arm data was uncertain but was satisfied the efficacy and safety analyses were consistent with non-inferiority. The PBAC considered the cost effectiveness of zanubrutinib would be acceptable if it was cost minimised against ibrutinib.</w:t>
            </w:r>
          </w:p>
          <w:p w14:paraId="1C70C418" w14:textId="172E5394" w:rsidR="007F48F6" w:rsidRPr="00CC0C66" w:rsidRDefault="007F48F6" w:rsidP="00F3265E">
            <w:pPr>
              <w:pStyle w:val="ListParagraph"/>
              <w:keepLines/>
              <w:spacing w:after="120"/>
              <w:ind w:left="0"/>
              <w:rPr>
                <w:rFonts w:ascii="Arial" w:hAnsi="Arial" w:cs="Arial"/>
                <w:snapToGrid w:val="0"/>
                <w:sz w:val="18"/>
                <w:szCs w:val="18"/>
                <w:lang w:eastAsia="en-US"/>
              </w:rPr>
            </w:pPr>
          </w:p>
        </w:tc>
      </w:tr>
    </w:tbl>
    <w:p w14:paraId="36A477BC" w14:textId="15A31897" w:rsidR="00FB3935" w:rsidRDefault="00FB3935" w:rsidP="00EF3B9C">
      <w:pPr>
        <w:rPr>
          <w:rFonts w:ascii="Arial" w:hAnsi="Arial" w:cs="Arial"/>
          <w:b/>
          <w:sz w:val="18"/>
          <w:szCs w:val="18"/>
          <w:lang w:val="en-US"/>
        </w:rPr>
      </w:pPr>
    </w:p>
    <w:p w14:paraId="2CF311E1" w14:textId="77777777" w:rsidR="00FB3935" w:rsidRDefault="00FB3935">
      <w:pPr>
        <w:rPr>
          <w:rFonts w:ascii="Arial" w:hAnsi="Arial" w:cs="Arial"/>
          <w:b/>
          <w:sz w:val="18"/>
          <w:szCs w:val="18"/>
          <w:lang w:val="en-US"/>
        </w:rPr>
      </w:pPr>
      <w:r>
        <w:rPr>
          <w:rFonts w:ascii="Arial" w:hAnsi="Arial" w:cs="Arial"/>
          <w:b/>
          <w:sz w:val="18"/>
          <w:szCs w:val="18"/>
          <w:lang w:val="en-US"/>
        </w:rPr>
        <w:br w:type="page"/>
      </w:r>
    </w:p>
    <w:p w14:paraId="3BCF2AA0" w14:textId="77777777" w:rsidR="000F6F0D" w:rsidRPr="00CC0C66" w:rsidRDefault="000F6F0D" w:rsidP="00EF3B9C">
      <w:pPr>
        <w:rPr>
          <w:rFonts w:ascii="Arial" w:hAnsi="Arial" w:cs="Arial"/>
          <w:b/>
          <w:sz w:val="18"/>
          <w:szCs w:val="18"/>
          <w:lang w:val="en-US"/>
        </w:rPr>
      </w:pPr>
    </w:p>
    <w:tbl>
      <w:tblPr>
        <w:tblW w:w="5002" w:type="pct"/>
        <w:tblLayout w:type="fixed"/>
        <w:tblLook w:val="04A0" w:firstRow="1" w:lastRow="0" w:firstColumn="1" w:lastColumn="0" w:noHBand="0" w:noVBand="1"/>
      </w:tblPr>
      <w:tblGrid>
        <w:gridCol w:w="3824"/>
        <w:gridCol w:w="3827"/>
        <w:gridCol w:w="3685"/>
        <w:gridCol w:w="4058"/>
      </w:tblGrid>
      <w:tr w:rsidR="00155809" w:rsidRPr="00CC0C66" w14:paraId="5471EC42" w14:textId="77777777" w:rsidTr="00A159CA">
        <w:trPr>
          <w:cantSplit/>
          <w:trHeight w:val="699"/>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04F48" w14:textId="6C24D4BD" w:rsidR="00155809" w:rsidRPr="00CC0C66" w:rsidRDefault="00FB3935" w:rsidP="00C5261F">
            <w:pPr>
              <w:widowControl w:val="0"/>
              <w:spacing w:after="120"/>
              <w:jc w:val="center"/>
              <w:rPr>
                <w:rFonts w:ascii="Arial" w:hAnsi="Arial" w:cs="Arial"/>
                <w:b/>
                <w:bCs/>
                <w:snapToGrid w:val="0"/>
                <w:color w:val="000000"/>
                <w:sz w:val="18"/>
                <w:szCs w:val="18"/>
              </w:rPr>
            </w:pPr>
            <w:r w:rsidRPr="00CC0C66">
              <w:rPr>
                <w:rFonts w:ascii="Arial" w:hAnsi="Arial" w:cs="Arial"/>
                <w:b/>
                <w:bCs/>
                <w:snapToGrid w:val="0"/>
                <w:color w:val="000000"/>
                <w:sz w:val="18"/>
                <w:szCs w:val="18"/>
              </w:rPr>
              <w:t>DRUG NAME, FORM(S), STRENGTH(S)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278E5918" w14:textId="60B70EDC" w:rsidR="00155809" w:rsidRPr="00CC0C66" w:rsidRDefault="00FB3935" w:rsidP="00C5261F">
            <w:pPr>
              <w:widowControl w:val="0"/>
              <w:spacing w:after="120"/>
              <w:jc w:val="center"/>
              <w:rPr>
                <w:rFonts w:ascii="Arial" w:hAnsi="Arial" w:cs="Arial"/>
                <w:b/>
                <w:bCs/>
                <w:snapToGrid w:val="0"/>
                <w:color w:val="000000"/>
                <w:sz w:val="18"/>
                <w:szCs w:val="18"/>
              </w:rPr>
            </w:pPr>
            <w:r w:rsidRPr="00CC0C66">
              <w:rPr>
                <w:rFonts w:ascii="Arial" w:hAnsi="Arial" w:cs="Arial"/>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1AFCC2B1" w14:textId="5326647F" w:rsidR="00155809" w:rsidRPr="00CC0C66" w:rsidRDefault="00FB3935" w:rsidP="00C5261F">
            <w:pPr>
              <w:widowControl w:val="0"/>
              <w:spacing w:after="120"/>
              <w:jc w:val="center"/>
              <w:rPr>
                <w:rFonts w:ascii="Arial" w:hAnsi="Arial" w:cs="Arial"/>
                <w:b/>
                <w:bCs/>
                <w:snapToGrid w:val="0"/>
                <w:color w:val="000000"/>
                <w:sz w:val="18"/>
                <w:szCs w:val="18"/>
              </w:rPr>
            </w:pPr>
            <w:r w:rsidRPr="00CC0C66">
              <w:rPr>
                <w:rFonts w:ascii="Arial" w:hAnsi="Arial" w:cs="Arial"/>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6DC5B306" w14:textId="22A89F99" w:rsidR="00155809" w:rsidRPr="00CC0C66" w:rsidRDefault="00FB3935" w:rsidP="00C5261F">
            <w:pPr>
              <w:widowControl w:val="0"/>
              <w:spacing w:after="120"/>
              <w:jc w:val="center"/>
              <w:rPr>
                <w:rFonts w:ascii="Arial" w:hAnsi="Arial" w:cs="Arial"/>
                <w:b/>
                <w:bCs/>
                <w:snapToGrid w:val="0"/>
                <w:color w:val="000000"/>
                <w:sz w:val="18"/>
                <w:szCs w:val="18"/>
              </w:rPr>
            </w:pPr>
            <w:r w:rsidRPr="00CC0C66">
              <w:rPr>
                <w:rFonts w:ascii="Arial" w:hAnsi="Arial" w:cs="Arial"/>
                <w:b/>
                <w:bCs/>
                <w:snapToGrid w:val="0"/>
                <w:color w:val="000000"/>
                <w:sz w:val="18"/>
                <w:szCs w:val="18"/>
              </w:rPr>
              <w:t xml:space="preserve">PBAC </w:t>
            </w:r>
            <w:r>
              <w:rPr>
                <w:rFonts w:ascii="Arial" w:hAnsi="Arial" w:cs="Arial"/>
                <w:b/>
                <w:bCs/>
                <w:snapToGrid w:val="0"/>
                <w:color w:val="000000"/>
                <w:sz w:val="18"/>
                <w:szCs w:val="18"/>
              </w:rPr>
              <w:t>OUTCOME</w:t>
            </w:r>
          </w:p>
        </w:tc>
      </w:tr>
      <w:tr w:rsidR="00155809" w:rsidRPr="00CC0C66" w14:paraId="408FF98A"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4F871475" w14:textId="58C26AA1"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 xml:space="preserve">ADALIMUMAB </w:t>
            </w:r>
          </w:p>
          <w:p w14:paraId="11ACEB2D" w14:textId="3048E8E5"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Injection 40 mg in 0.8 mL vial</w:t>
            </w:r>
          </w:p>
          <w:p w14:paraId="31859480" w14:textId="64E76942"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Humira®</w:t>
            </w:r>
          </w:p>
          <w:p w14:paraId="6C9EC299"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AbbVie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19C4818"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 xml:space="preserve">Same as currently PBS subsidised </w:t>
            </w:r>
          </w:p>
          <w:p w14:paraId="03867266"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indications for adalimumab</w:t>
            </w:r>
          </w:p>
        </w:tc>
        <w:tc>
          <w:tcPr>
            <w:tcW w:w="1197" w:type="pct"/>
            <w:tcBorders>
              <w:top w:val="single" w:sz="4" w:space="0" w:color="auto"/>
              <w:left w:val="nil"/>
              <w:bottom w:val="single" w:sz="4" w:space="0" w:color="auto"/>
              <w:right w:val="single" w:sz="4" w:space="0" w:color="auto"/>
            </w:tcBorders>
            <w:shd w:val="clear" w:color="auto" w:fill="auto"/>
            <w:vAlign w:val="center"/>
          </w:tcPr>
          <w:p w14:paraId="32E2C4C2" w14:textId="39FF6CE6" w:rsidR="00155809" w:rsidRPr="00CC0C66" w:rsidRDefault="00155809" w:rsidP="00C5261F">
            <w:pPr>
              <w:widowControl w:val="0"/>
              <w:spacing w:after="120"/>
              <w:jc w:val="center"/>
              <w:rPr>
                <w:rFonts w:ascii="Arial" w:hAnsi="Arial" w:cs="Arial"/>
                <w:bCs/>
                <w:snapToGrid w:val="0"/>
                <w:color w:val="00000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4A0518A9" w14:textId="170195DD"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Recommendation was rescinded by the PBAC with support from the sponsor.</w:t>
            </w:r>
          </w:p>
        </w:tc>
      </w:tr>
      <w:tr w:rsidR="00155809" w:rsidRPr="00CC0C66" w14:paraId="6B5DB651"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335AED5B" w14:textId="4C1E53A4"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BUDESONIDE</w:t>
            </w:r>
          </w:p>
          <w:p w14:paraId="24CD95AF" w14:textId="5326CE30"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Capsule 3 mg</w:t>
            </w:r>
          </w:p>
          <w:p w14:paraId="174494F7" w14:textId="46D13AFA"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Entocort®</w:t>
            </w:r>
          </w:p>
          <w:p w14:paraId="3D138D7D"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Chiesi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3227D25F"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Mild to Moderate Crohn Disease</w:t>
            </w:r>
          </w:p>
        </w:tc>
        <w:tc>
          <w:tcPr>
            <w:tcW w:w="1197" w:type="pct"/>
            <w:tcBorders>
              <w:top w:val="single" w:sz="4" w:space="0" w:color="auto"/>
              <w:left w:val="nil"/>
              <w:bottom w:val="single" w:sz="4" w:space="0" w:color="auto"/>
              <w:right w:val="single" w:sz="4" w:space="0" w:color="auto"/>
            </w:tcBorders>
            <w:shd w:val="clear" w:color="auto" w:fill="auto"/>
            <w:vAlign w:val="center"/>
          </w:tcPr>
          <w:p w14:paraId="6D3B7D1C" w14:textId="32DEFEC0" w:rsidR="00155809" w:rsidRPr="00CC0C66" w:rsidRDefault="00155809" w:rsidP="00C5261F">
            <w:pPr>
              <w:widowControl w:val="0"/>
              <w:spacing w:after="120"/>
              <w:jc w:val="center"/>
              <w:rPr>
                <w:rFonts w:ascii="Arial" w:hAnsi="Arial" w:cs="Arial"/>
                <w:bCs/>
                <w:snapToGrid w:val="0"/>
                <w:color w:val="00000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E3B7E01" w14:textId="77777777"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Recommendation extended for 6 months</w:t>
            </w:r>
          </w:p>
        </w:tc>
      </w:tr>
      <w:tr w:rsidR="00155809" w:rsidRPr="00CC0C66" w14:paraId="6685741E"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7045DF07" w14:textId="6247FD07"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ENOXAPARIN</w:t>
            </w:r>
          </w:p>
          <w:p w14:paraId="438A0F5F"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Injection 120 mg in 0.8 mL pre-filled syringe</w:t>
            </w:r>
          </w:p>
          <w:p w14:paraId="1E019B21" w14:textId="581D6062"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Injection 150 mg in 1 mL pre-filled syringe</w:t>
            </w:r>
          </w:p>
          <w:p w14:paraId="75356E30" w14:textId="3EA38E9C"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Clexane Forte®; Enoxaparin Winthrop®; Clexane Forte Safety-Lock®</w:t>
            </w:r>
          </w:p>
          <w:p w14:paraId="1DD12D09"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Sanofi-Aventis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7CB98703"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Unrestricted benefit</w:t>
            </w:r>
          </w:p>
        </w:tc>
        <w:tc>
          <w:tcPr>
            <w:tcW w:w="1197" w:type="pct"/>
            <w:tcBorders>
              <w:top w:val="single" w:sz="4" w:space="0" w:color="auto"/>
              <w:left w:val="nil"/>
              <w:bottom w:val="single" w:sz="4" w:space="0" w:color="auto"/>
              <w:right w:val="single" w:sz="4" w:space="0" w:color="auto"/>
            </w:tcBorders>
            <w:shd w:val="clear" w:color="auto" w:fill="auto"/>
            <w:vAlign w:val="center"/>
          </w:tcPr>
          <w:p w14:paraId="0A241A72" w14:textId="2FDFDFD2"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6174A2D" w14:textId="77777777"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To be reviewed at November 2022 PBAC meeting.</w:t>
            </w:r>
          </w:p>
        </w:tc>
      </w:tr>
      <w:tr w:rsidR="00155809" w:rsidRPr="00CC0C66" w14:paraId="0D91CB60"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155F6B6C" w14:textId="2D28FC96"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FLUTICASONE FUROATE</w:t>
            </w:r>
          </w:p>
          <w:p w14:paraId="4C923AFF" w14:textId="4D61B296"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fluticasone furoate 50 microgram/actuation powder for inhalation, 30 actuations</w:t>
            </w:r>
          </w:p>
          <w:p w14:paraId="6B822A6B" w14:textId="497C9C6E"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Arnuity Ellipta®</w:t>
            </w:r>
          </w:p>
          <w:p w14:paraId="7BA24C92"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GlaxoSmithKline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1C606711"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Asthma</w:t>
            </w:r>
          </w:p>
        </w:tc>
        <w:tc>
          <w:tcPr>
            <w:tcW w:w="1197" w:type="pct"/>
            <w:tcBorders>
              <w:top w:val="single" w:sz="4" w:space="0" w:color="auto"/>
              <w:left w:val="nil"/>
              <w:bottom w:val="single" w:sz="4" w:space="0" w:color="auto"/>
              <w:right w:val="single" w:sz="4" w:space="0" w:color="auto"/>
            </w:tcBorders>
            <w:shd w:val="clear" w:color="auto" w:fill="auto"/>
            <w:vAlign w:val="center"/>
          </w:tcPr>
          <w:p w14:paraId="7FE818C9" w14:textId="3A9A4D7C" w:rsidR="00155809" w:rsidRPr="00CC0C66" w:rsidRDefault="00155809" w:rsidP="00C5261F">
            <w:pPr>
              <w:widowControl w:val="0"/>
              <w:spacing w:after="120"/>
              <w:jc w:val="center"/>
              <w:rPr>
                <w:rFonts w:ascii="Arial" w:hAnsi="Arial" w:cs="Arial"/>
                <w:bCs/>
                <w:snapToGrid w:val="0"/>
                <w:color w:val="00000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060BCBB0" w14:textId="77777777"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 xml:space="preserve">Recommendation was rescinded by the PBAC, noting that there were two alternate strengths of fluticasone furoate (July 2019) listed on the PBS. </w:t>
            </w:r>
          </w:p>
        </w:tc>
      </w:tr>
      <w:tr w:rsidR="00155809" w:rsidRPr="00CC0C66" w14:paraId="04D245B9"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36E62261" w14:textId="5AE0E04C"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GLYCOMACROPEPTIDE FORMULA WITH DOCOSAHEXAENOIC ACID WITH LOW PHENYLALANINE</w:t>
            </w:r>
          </w:p>
          <w:p w14:paraId="633AA88D" w14:textId="78EA037F"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Sachets containing oral powder 33.3 g, 16</w:t>
            </w:r>
          </w:p>
          <w:p w14:paraId="117A2615" w14:textId="2DC53263"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PKU GMPro®</w:t>
            </w:r>
          </w:p>
          <w:p w14:paraId="1613A755"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Nutricia Australia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B072819"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Phenylketonuria</w:t>
            </w:r>
          </w:p>
        </w:tc>
        <w:tc>
          <w:tcPr>
            <w:tcW w:w="1197" w:type="pct"/>
            <w:tcBorders>
              <w:top w:val="single" w:sz="4" w:space="0" w:color="auto"/>
              <w:left w:val="nil"/>
              <w:bottom w:val="single" w:sz="4" w:space="0" w:color="auto"/>
              <w:right w:val="single" w:sz="4" w:space="0" w:color="auto"/>
            </w:tcBorders>
            <w:shd w:val="clear" w:color="auto" w:fill="auto"/>
            <w:vAlign w:val="center"/>
          </w:tcPr>
          <w:p w14:paraId="2C99EDBF" w14:textId="77777777" w:rsidR="00155809" w:rsidRPr="00CC0C66" w:rsidRDefault="00155809" w:rsidP="00C5261F">
            <w:pPr>
              <w:widowControl w:val="0"/>
              <w:spacing w:after="120"/>
              <w:jc w:val="center"/>
              <w:rPr>
                <w:rFonts w:ascii="Arial" w:hAnsi="Arial" w:cs="Arial"/>
                <w:bCs/>
                <w:snapToGrid w:val="0"/>
                <w:color w:val="000000"/>
                <w:sz w:val="18"/>
                <w:szCs w:val="18"/>
              </w:rPr>
            </w:pPr>
            <w:r w:rsidRPr="00CC0C66">
              <w:rPr>
                <w:rFonts w:ascii="Arial" w:hAnsi="Arial" w:cs="Arial"/>
                <w:bCs/>
                <w:snapToGrid w:val="0"/>
                <w:color w:val="000000"/>
                <w:sz w:val="18"/>
                <w:szCs w:val="18"/>
              </w:rPr>
              <w:t>Review of</w:t>
            </w:r>
          </w:p>
          <w:p w14:paraId="284287BD" w14:textId="77777777" w:rsidR="00155809" w:rsidRPr="00CC0C66" w:rsidRDefault="00155809" w:rsidP="00C5261F">
            <w:pPr>
              <w:widowControl w:val="0"/>
              <w:spacing w:after="120"/>
              <w:jc w:val="center"/>
              <w:rPr>
                <w:rFonts w:ascii="Arial" w:hAnsi="Arial" w:cs="Arial"/>
                <w:bCs/>
                <w:snapToGrid w:val="0"/>
                <w:color w:val="000000"/>
                <w:sz w:val="18"/>
                <w:szCs w:val="18"/>
              </w:rPr>
            </w:pP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B5E1EDA" w14:textId="77777777"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Recommendation extended for 6 months</w:t>
            </w:r>
          </w:p>
        </w:tc>
      </w:tr>
      <w:tr w:rsidR="00155809" w:rsidRPr="00CC0C66" w14:paraId="12D4C75A"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7BCD3E63" w14:textId="60B196DB"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lastRenderedPageBreak/>
              <w:t>LIRAGLUTIDE</w:t>
            </w:r>
          </w:p>
          <w:p w14:paraId="35795CC9" w14:textId="77777777" w:rsid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Solution for injection, 6 mg per mL, 2 x 3 mL pre-filled pen</w:t>
            </w:r>
          </w:p>
          <w:p w14:paraId="0CF940AD" w14:textId="3ECC0F72"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br/>
              <w:t>Victoza®</w:t>
            </w:r>
          </w:p>
          <w:p w14:paraId="5132D2FC"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Novo Nordisk Pharmaceuticals Pty Ltd</w:t>
            </w:r>
          </w:p>
          <w:p w14:paraId="25D4F8D9" w14:textId="77777777" w:rsidR="00155809" w:rsidRPr="00CC0C66" w:rsidRDefault="00155809" w:rsidP="00C5261F">
            <w:pPr>
              <w:widowControl w:val="0"/>
              <w:spacing w:after="120"/>
              <w:jc w:val="center"/>
              <w:rPr>
                <w:rFonts w:ascii="Arial" w:hAnsi="Arial" w:cs="Arial"/>
                <w:snapToGrid w:val="0"/>
                <w:sz w:val="18"/>
                <w:szCs w:val="18"/>
              </w:rPr>
            </w:pPr>
          </w:p>
        </w:tc>
        <w:tc>
          <w:tcPr>
            <w:tcW w:w="1243" w:type="pct"/>
            <w:tcBorders>
              <w:top w:val="single" w:sz="4" w:space="0" w:color="auto"/>
              <w:left w:val="nil"/>
              <w:bottom w:val="single" w:sz="4" w:space="0" w:color="auto"/>
              <w:right w:val="single" w:sz="4" w:space="0" w:color="auto"/>
            </w:tcBorders>
            <w:shd w:val="clear" w:color="auto" w:fill="auto"/>
            <w:vAlign w:val="center"/>
          </w:tcPr>
          <w:p w14:paraId="765B5480"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Diabetes</w:t>
            </w:r>
          </w:p>
        </w:tc>
        <w:tc>
          <w:tcPr>
            <w:tcW w:w="1197" w:type="pct"/>
            <w:tcBorders>
              <w:top w:val="single" w:sz="4" w:space="0" w:color="auto"/>
              <w:left w:val="nil"/>
              <w:bottom w:val="single" w:sz="4" w:space="0" w:color="auto"/>
              <w:right w:val="single" w:sz="4" w:space="0" w:color="auto"/>
            </w:tcBorders>
            <w:shd w:val="clear" w:color="auto" w:fill="auto"/>
            <w:vAlign w:val="center"/>
          </w:tcPr>
          <w:p w14:paraId="432917EE" w14:textId="4C9B71DA" w:rsidR="00155809" w:rsidRPr="00CC0C66" w:rsidRDefault="00155809" w:rsidP="00C5261F">
            <w:pPr>
              <w:widowControl w:val="0"/>
              <w:spacing w:after="120"/>
              <w:jc w:val="center"/>
              <w:rPr>
                <w:rFonts w:ascii="Arial" w:hAnsi="Arial" w:cs="Arial"/>
                <w:bCs/>
                <w:snapToGrid w:val="0"/>
                <w:color w:val="00000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00889550" w14:textId="737DB88F"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Recommendation was rescinded by the PBAC with support from the sponsor.</w:t>
            </w:r>
          </w:p>
        </w:tc>
      </w:tr>
      <w:tr w:rsidR="00155809" w:rsidRPr="00CC0C66" w14:paraId="711EAB2E"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302DBE99" w14:textId="64AA06BE"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RAMUCIRUMAB</w:t>
            </w:r>
          </w:p>
          <w:p w14:paraId="65F5C3DE"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100 mg in 10 mL vial</w:t>
            </w:r>
          </w:p>
          <w:p w14:paraId="4FFDD5A6" w14:textId="03347522"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500 mg in 50 mL vial</w:t>
            </w:r>
          </w:p>
          <w:p w14:paraId="312F6945" w14:textId="3913895D"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Cyramza®</w:t>
            </w:r>
          </w:p>
          <w:p w14:paraId="02E64786"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Eli Lilly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57528FC8"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 xml:space="preserve">Advanced gastric or </w:t>
            </w:r>
            <w:r w:rsidRPr="00CC0C66">
              <w:rPr>
                <w:rFonts w:ascii="Arial" w:hAnsi="Arial" w:cs="Arial"/>
                <w:snapToGrid w:val="0"/>
                <w:sz w:val="18"/>
                <w:szCs w:val="18"/>
              </w:rPr>
              <w:br/>
              <w:t>gastro-oesophageal junction adenocarcinoma</w:t>
            </w:r>
          </w:p>
        </w:tc>
        <w:tc>
          <w:tcPr>
            <w:tcW w:w="1197" w:type="pct"/>
            <w:tcBorders>
              <w:top w:val="single" w:sz="4" w:space="0" w:color="auto"/>
              <w:left w:val="nil"/>
              <w:bottom w:val="single" w:sz="4" w:space="0" w:color="auto"/>
              <w:right w:val="single" w:sz="4" w:space="0" w:color="auto"/>
            </w:tcBorders>
            <w:shd w:val="clear" w:color="auto" w:fill="auto"/>
            <w:vAlign w:val="center"/>
          </w:tcPr>
          <w:p w14:paraId="0CC61935" w14:textId="391E4601" w:rsidR="00155809" w:rsidRPr="00CC0C66" w:rsidRDefault="00155809" w:rsidP="00C5261F">
            <w:pPr>
              <w:widowControl w:val="0"/>
              <w:spacing w:after="120"/>
              <w:jc w:val="center"/>
              <w:rPr>
                <w:rFonts w:ascii="Arial" w:hAnsi="Arial" w:cs="Arial"/>
                <w:bCs/>
                <w:snapToGrid w:val="0"/>
                <w:color w:val="00000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6C1BA8E" w14:textId="77777777"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Recommendation extended for 6 months</w:t>
            </w:r>
          </w:p>
        </w:tc>
      </w:tr>
      <w:tr w:rsidR="00155809" w:rsidRPr="00CC0C66" w14:paraId="752B7BB4"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6E78667B" w14:textId="1EBA2AA4"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 xml:space="preserve">RANOLAZINE </w:t>
            </w:r>
          </w:p>
          <w:p w14:paraId="57991B3F" w14:textId="0E98FE63"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 xml:space="preserve">Tablet (modified release) 375 mg, 500 mg, 750 mg </w:t>
            </w:r>
          </w:p>
          <w:p w14:paraId="36DE60AF" w14:textId="6A130A30"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 xml:space="preserve">Ranexa® </w:t>
            </w:r>
          </w:p>
          <w:p w14:paraId="0C2FDB37"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A. Menarini Australia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2F984F4"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Symptomatic treatment of stable angina pectoris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785C9B2C" w14:textId="59706F1A" w:rsidR="00155809" w:rsidRPr="00CC0C66" w:rsidRDefault="00155809" w:rsidP="00C5261F">
            <w:pPr>
              <w:widowControl w:val="0"/>
              <w:spacing w:after="120"/>
              <w:jc w:val="center"/>
              <w:rPr>
                <w:rFonts w:ascii="Arial" w:hAnsi="Arial" w:cs="Arial"/>
                <w:bCs/>
                <w:snapToGrid w:val="0"/>
                <w:color w:val="00000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5F87BB5B" w14:textId="49631103"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Recommendation was rescinded by the PBAC with support from the sponsor.</w:t>
            </w:r>
          </w:p>
        </w:tc>
      </w:tr>
      <w:tr w:rsidR="00155809" w:rsidRPr="00CC0C66" w14:paraId="776C2AD3"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46385977" w14:textId="24D31693"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SECUKINUMAB</w:t>
            </w:r>
          </w:p>
          <w:p w14:paraId="7ACD01BE"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150 mg /mL powder for injection</w:t>
            </w:r>
          </w:p>
          <w:p w14:paraId="25B53679" w14:textId="25B0D8AC"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 xml:space="preserve">150 mg/mL pre-filled syringe </w:t>
            </w:r>
          </w:p>
          <w:p w14:paraId="3A6434D8" w14:textId="7B28DC4C"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Cosentyx®</w:t>
            </w:r>
          </w:p>
          <w:p w14:paraId="314C27C6"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Novartis Pharmaceuticals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519EA095"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Severe chronic plaque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4480702B" w14:textId="78906E63"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0E5BEBA7" w14:textId="77777777"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Recommendation extended for 6 months</w:t>
            </w:r>
          </w:p>
        </w:tc>
      </w:tr>
      <w:tr w:rsidR="00155809" w:rsidRPr="00CC0C66" w14:paraId="7F9AFCBA"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0CC93A46" w14:textId="2965F452"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SEVELAMER</w:t>
            </w:r>
          </w:p>
          <w:p w14:paraId="45A617C5" w14:textId="79E03E11"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Powder for oral liquid, 2.4 g</w:t>
            </w:r>
          </w:p>
          <w:p w14:paraId="3A6B600D" w14:textId="63EA7EB2"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Renvela®</w:t>
            </w:r>
          </w:p>
          <w:p w14:paraId="4450981B"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Sanofi-Aventis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62E8254A"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Chronic kidney disease</w:t>
            </w:r>
          </w:p>
        </w:tc>
        <w:tc>
          <w:tcPr>
            <w:tcW w:w="1197" w:type="pct"/>
            <w:tcBorders>
              <w:top w:val="single" w:sz="4" w:space="0" w:color="auto"/>
              <w:left w:val="nil"/>
              <w:bottom w:val="single" w:sz="4" w:space="0" w:color="auto"/>
              <w:right w:val="single" w:sz="4" w:space="0" w:color="auto"/>
            </w:tcBorders>
            <w:shd w:val="clear" w:color="auto" w:fill="auto"/>
            <w:vAlign w:val="center"/>
          </w:tcPr>
          <w:p w14:paraId="28DF930F" w14:textId="57E7C50C" w:rsidR="00155809" w:rsidRPr="00CC0C66" w:rsidRDefault="00155809" w:rsidP="00C5261F">
            <w:pPr>
              <w:widowControl w:val="0"/>
              <w:spacing w:after="120"/>
              <w:jc w:val="center"/>
              <w:rPr>
                <w:rFonts w:ascii="Arial" w:hAnsi="Arial" w:cs="Arial"/>
                <w:bCs/>
                <w:snapToGrid w:val="0"/>
                <w:color w:val="00000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419749A" w14:textId="77777777"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Recommendation extended for 6 months</w:t>
            </w:r>
          </w:p>
        </w:tc>
      </w:tr>
      <w:tr w:rsidR="00155809" w:rsidRPr="00CC0C66" w14:paraId="7B887062"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2963AD7E" w14:textId="63DC59FD"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lastRenderedPageBreak/>
              <w:t xml:space="preserve">SOMATROPIN </w:t>
            </w:r>
          </w:p>
          <w:p w14:paraId="7003737E"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Multiple forms and strengths</w:t>
            </w:r>
          </w:p>
          <w:p w14:paraId="79EC5178" w14:textId="1231DE2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Multiple brands</w:t>
            </w:r>
          </w:p>
          <w:p w14:paraId="79FE510A"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Endocrine Society of Australia and Australian Paediatric Endocrine Group</w:t>
            </w:r>
          </w:p>
        </w:tc>
        <w:tc>
          <w:tcPr>
            <w:tcW w:w="1243" w:type="pct"/>
            <w:tcBorders>
              <w:top w:val="single" w:sz="4" w:space="0" w:color="auto"/>
              <w:left w:val="nil"/>
              <w:bottom w:val="single" w:sz="4" w:space="0" w:color="auto"/>
              <w:right w:val="single" w:sz="4" w:space="0" w:color="auto"/>
            </w:tcBorders>
            <w:shd w:val="clear" w:color="auto" w:fill="auto"/>
            <w:vAlign w:val="center"/>
          </w:tcPr>
          <w:p w14:paraId="2C77F4EE" w14:textId="77777777"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Severe growth hormone deficiency (GHD)</w:t>
            </w:r>
          </w:p>
        </w:tc>
        <w:tc>
          <w:tcPr>
            <w:tcW w:w="1197" w:type="pct"/>
            <w:tcBorders>
              <w:top w:val="single" w:sz="4" w:space="0" w:color="auto"/>
              <w:left w:val="nil"/>
              <w:bottom w:val="single" w:sz="4" w:space="0" w:color="auto"/>
              <w:right w:val="single" w:sz="4" w:space="0" w:color="auto"/>
            </w:tcBorders>
            <w:shd w:val="clear" w:color="auto" w:fill="auto"/>
            <w:vAlign w:val="center"/>
          </w:tcPr>
          <w:p w14:paraId="31390AF6" w14:textId="717F4B94" w:rsidR="00155809" w:rsidRPr="00CC0C66" w:rsidRDefault="00155809" w:rsidP="00C5261F">
            <w:pPr>
              <w:widowControl w:val="0"/>
              <w:spacing w:after="120"/>
              <w:jc w:val="center"/>
              <w:rPr>
                <w:rFonts w:ascii="Arial" w:hAnsi="Arial" w:cs="Arial"/>
                <w:bCs/>
                <w:snapToGrid w:val="0"/>
                <w:color w:val="00000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36DEF77" w14:textId="3B834E06"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Recommendation was rescinded by the PBAC with support from the organisations.</w:t>
            </w:r>
          </w:p>
        </w:tc>
      </w:tr>
      <w:tr w:rsidR="00155809" w:rsidRPr="00CC0C66" w14:paraId="3BCA8221"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588E58F5" w14:textId="647ED341"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 xml:space="preserve">TENOFOVIR ALAFENAMIDE </w:t>
            </w:r>
          </w:p>
          <w:p w14:paraId="22A20618" w14:textId="7B457EED"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Tablet 25 mg</w:t>
            </w:r>
          </w:p>
          <w:p w14:paraId="2750E64B" w14:textId="7EA0F77C"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Vemlidy®</w:t>
            </w:r>
          </w:p>
          <w:p w14:paraId="659F82D7"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Gilead Sciences</w:t>
            </w:r>
          </w:p>
        </w:tc>
        <w:tc>
          <w:tcPr>
            <w:tcW w:w="1243" w:type="pct"/>
            <w:tcBorders>
              <w:top w:val="single" w:sz="4" w:space="0" w:color="auto"/>
              <w:left w:val="nil"/>
              <w:bottom w:val="single" w:sz="4" w:space="0" w:color="auto"/>
              <w:right w:val="single" w:sz="4" w:space="0" w:color="auto"/>
            </w:tcBorders>
            <w:shd w:val="clear" w:color="auto" w:fill="auto"/>
            <w:vAlign w:val="center"/>
          </w:tcPr>
          <w:p w14:paraId="336B69C4"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Chronic hepatitis B</w:t>
            </w:r>
          </w:p>
        </w:tc>
        <w:tc>
          <w:tcPr>
            <w:tcW w:w="1197" w:type="pct"/>
            <w:tcBorders>
              <w:top w:val="single" w:sz="4" w:space="0" w:color="auto"/>
              <w:left w:val="nil"/>
              <w:bottom w:val="single" w:sz="4" w:space="0" w:color="auto"/>
              <w:right w:val="single" w:sz="4" w:space="0" w:color="auto"/>
            </w:tcBorders>
            <w:shd w:val="clear" w:color="auto" w:fill="auto"/>
            <w:vAlign w:val="center"/>
          </w:tcPr>
          <w:p w14:paraId="412B785E" w14:textId="37550D54"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3BB57807" w14:textId="77777777" w:rsidR="00155809" w:rsidRPr="00CC0C66" w:rsidRDefault="00155809" w:rsidP="00C5261F">
            <w:pPr>
              <w:widowControl w:val="0"/>
              <w:spacing w:after="120"/>
              <w:jc w:val="center"/>
              <w:rPr>
                <w:rFonts w:ascii="Arial" w:hAnsi="Arial" w:cs="Arial"/>
                <w:bCs/>
                <w:snapToGrid w:val="0"/>
                <w:sz w:val="18"/>
                <w:szCs w:val="18"/>
              </w:rPr>
            </w:pPr>
            <w:r w:rsidRPr="00CC0C66">
              <w:rPr>
                <w:rFonts w:ascii="Arial" w:hAnsi="Arial" w:cs="Arial"/>
                <w:bCs/>
                <w:snapToGrid w:val="0"/>
                <w:sz w:val="18"/>
                <w:szCs w:val="18"/>
              </w:rPr>
              <w:t>Recommendation extended for 6 months</w:t>
            </w:r>
          </w:p>
        </w:tc>
      </w:tr>
      <w:tr w:rsidR="00155809" w:rsidRPr="00CC0C66" w14:paraId="50831EBC" w14:textId="77777777" w:rsidTr="00A159CA">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tcPr>
          <w:p w14:paraId="05FED05B" w14:textId="6EF1C337" w:rsidR="00155809" w:rsidRPr="00C5261F"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TRIGLYCERIDES MEDIUM CHAIN FORMULA</w:t>
            </w:r>
          </w:p>
          <w:p w14:paraId="6228FB27" w14:textId="32E96ADA"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Oral liquid 500 mL, 12</w:t>
            </w:r>
          </w:p>
          <w:p w14:paraId="5440878A" w14:textId="39FB0971" w:rsidR="00155809" w:rsidRPr="00CC0C66" w:rsidRDefault="00155809" w:rsidP="00C5261F">
            <w:pPr>
              <w:widowControl w:val="0"/>
              <w:spacing w:after="120"/>
              <w:jc w:val="center"/>
              <w:rPr>
                <w:rFonts w:ascii="Arial" w:hAnsi="Arial" w:cs="Arial"/>
                <w:snapToGrid w:val="0"/>
                <w:sz w:val="18"/>
                <w:szCs w:val="18"/>
              </w:rPr>
            </w:pPr>
            <w:r w:rsidRPr="00CC0C66">
              <w:rPr>
                <w:rFonts w:ascii="Arial" w:hAnsi="Arial" w:cs="Arial"/>
                <w:snapToGrid w:val="0"/>
                <w:sz w:val="18"/>
                <w:szCs w:val="18"/>
              </w:rPr>
              <w:t>Nutrini Peptisorb®</w:t>
            </w:r>
          </w:p>
          <w:p w14:paraId="4A9C8F9A"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Nutricia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733DD1F2" w14:textId="77777777" w:rsidR="00155809" w:rsidRPr="00CC0C66" w:rsidRDefault="00155809" w:rsidP="00C5261F">
            <w:pPr>
              <w:widowControl w:val="0"/>
              <w:spacing w:after="120"/>
              <w:jc w:val="center"/>
              <w:rPr>
                <w:rFonts w:ascii="Arial" w:hAnsi="Arial" w:cs="Arial"/>
                <w:snapToGrid w:val="0"/>
                <w:color w:val="FF0000"/>
                <w:sz w:val="18"/>
                <w:szCs w:val="18"/>
              </w:rPr>
            </w:pPr>
            <w:r w:rsidRPr="00CC0C66">
              <w:rPr>
                <w:rFonts w:ascii="Arial" w:hAnsi="Arial" w:cs="Arial"/>
                <w:snapToGrid w:val="0"/>
                <w:sz w:val="18"/>
                <w:szCs w:val="18"/>
              </w:rPr>
              <w:t xml:space="preserve">Change to pack size/quantities </w:t>
            </w:r>
          </w:p>
        </w:tc>
        <w:tc>
          <w:tcPr>
            <w:tcW w:w="1197" w:type="pct"/>
            <w:tcBorders>
              <w:top w:val="single" w:sz="4" w:space="0" w:color="auto"/>
              <w:left w:val="nil"/>
              <w:bottom w:val="single" w:sz="4" w:space="0" w:color="auto"/>
              <w:right w:val="single" w:sz="4" w:space="0" w:color="auto"/>
            </w:tcBorders>
            <w:shd w:val="clear" w:color="auto" w:fill="auto"/>
            <w:vAlign w:val="center"/>
          </w:tcPr>
          <w:p w14:paraId="58DF8956" w14:textId="54ED1E7D" w:rsidR="00155809" w:rsidRPr="00CC0C66" w:rsidRDefault="00155809" w:rsidP="00C5261F">
            <w:pPr>
              <w:widowControl w:val="0"/>
              <w:spacing w:after="120"/>
              <w:jc w:val="center"/>
              <w:rPr>
                <w:rFonts w:ascii="Arial" w:hAnsi="Arial" w:cs="Arial"/>
                <w:bCs/>
                <w:snapToGrid w:val="0"/>
                <w:color w:val="000000"/>
                <w:sz w:val="18"/>
                <w:szCs w:val="18"/>
              </w:rPr>
            </w:pPr>
            <w:r w:rsidRPr="00CC0C66">
              <w:rPr>
                <w:rFonts w:ascii="Arial" w:hAnsi="Arial" w:cs="Arial"/>
                <w:bCs/>
                <w:snapToGrid w:val="0"/>
                <w:color w:val="000000"/>
                <w:sz w:val="18"/>
                <w:szCs w:val="18"/>
              </w:rPr>
              <w:t>Review of</w:t>
            </w:r>
            <w:r w:rsidR="00FB3935">
              <w:rPr>
                <w:rFonts w:ascii="Arial" w:hAnsi="Arial" w:cs="Arial"/>
                <w:bCs/>
                <w:snapToGrid w:val="0"/>
                <w:color w:val="000000"/>
                <w:sz w:val="18"/>
                <w:szCs w:val="18"/>
              </w:rPr>
              <w:t xml:space="preserve"> </w:t>
            </w:r>
            <w:r w:rsidRPr="00CC0C66">
              <w:rPr>
                <w:rFonts w:ascii="Arial" w:hAnsi="Arial" w:cs="Arial"/>
                <w:bCs/>
                <w:snapToGrid w:val="0"/>
                <w:color w:val="000000"/>
                <w:sz w:val="18"/>
                <w:szCs w:val="18"/>
              </w:rPr>
              <w:t>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2A49F62" w14:textId="77777777" w:rsidR="00155809" w:rsidRPr="00CC0C66" w:rsidRDefault="00155809" w:rsidP="00C5261F">
            <w:pPr>
              <w:widowControl w:val="0"/>
              <w:spacing w:after="120"/>
              <w:ind w:right="-156"/>
              <w:jc w:val="center"/>
              <w:rPr>
                <w:rFonts w:ascii="Arial" w:hAnsi="Arial" w:cs="Arial"/>
                <w:bCs/>
                <w:snapToGrid w:val="0"/>
                <w:sz w:val="18"/>
                <w:szCs w:val="18"/>
              </w:rPr>
            </w:pPr>
            <w:r w:rsidRPr="00CC0C66">
              <w:rPr>
                <w:rFonts w:ascii="Arial" w:hAnsi="Arial" w:cs="Arial"/>
                <w:bCs/>
                <w:snapToGrid w:val="0"/>
                <w:sz w:val="18"/>
                <w:szCs w:val="18"/>
              </w:rPr>
              <w:t>Recommendation extended for 12 months</w:t>
            </w:r>
          </w:p>
        </w:tc>
      </w:tr>
    </w:tbl>
    <w:p w14:paraId="2FD4C11F" w14:textId="7EA68E21" w:rsidR="00FB3935" w:rsidRDefault="00FB3935"/>
    <w:p w14:paraId="56A78172" w14:textId="77777777" w:rsidR="00FB3935" w:rsidRDefault="00FB3935">
      <w:r>
        <w:br w:type="page"/>
      </w:r>
    </w:p>
    <w:tbl>
      <w:tblPr>
        <w:tblW w:w="5002" w:type="pct"/>
        <w:tblLayout w:type="fixed"/>
        <w:tblLook w:val="04A0" w:firstRow="1" w:lastRow="0" w:firstColumn="1" w:lastColumn="0" w:noHBand="0" w:noVBand="1"/>
      </w:tblPr>
      <w:tblGrid>
        <w:gridCol w:w="2688"/>
        <w:gridCol w:w="1699"/>
        <w:gridCol w:w="2694"/>
        <w:gridCol w:w="8313"/>
      </w:tblGrid>
      <w:tr w:rsidR="00FB3935" w:rsidRPr="00D2401D" w14:paraId="187CE595" w14:textId="77777777" w:rsidTr="00A159CA">
        <w:trPr>
          <w:cantSplit/>
          <w:trHeight w:val="58"/>
          <w:tblHeader/>
        </w:trPr>
        <w:tc>
          <w:tcPr>
            <w:tcW w:w="873" w:type="pct"/>
            <w:tcBorders>
              <w:top w:val="single" w:sz="4" w:space="0" w:color="auto"/>
              <w:left w:val="single" w:sz="4" w:space="0" w:color="auto"/>
              <w:bottom w:val="nil"/>
              <w:right w:val="single" w:sz="4" w:space="0" w:color="auto"/>
            </w:tcBorders>
            <w:shd w:val="clear" w:color="auto" w:fill="auto"/>
          </w:tcPr>
          <w:p w14:paraId="6F66CD5B" w14:textId="77777777" w:rsidR="00FB3935" w:rsidRPr="00A159CA" w:rsidRDefault="00FB3935" w:rsidP="00F3265E">
            <w:pPr>
              <w:keepLines/>
              <w:widowControl w:val="0"/>
              <w:spacing w:after="120"/>
              <w:jc w:val="center"/>
              <w:rPr>
                <w:rFonts w:ascii="Arial" w:hAnsi="Arial" w:cs="Arial"/>
                <w:b/>
                <w:sz w:val="18"/>
                <w:szCs w:val="18"/>
              </w:rPr>
            </w:pPr>
            <w:r w:rsidRPr="00A159CA">
              <w:rPr>
                <w:rFonts w:ascii="Arial" w:hAnsi="Arial" w:cs="Arial"/>
                <w:b/>
                <w:sz w:val="18"/>
                <w:szCs w:val="18"/>
              </w:rPr>
              <w:lastRenderedPageBreak/>
              <w:t>DRUG NAME, FORM(S), STRENGTH(S), SPONSOR, TYPE OF SUBMISSION</w:t>
            </w:r>
          </w:p>
        </w:tc>
        <w:tc>
          <w:tcPr>
            <w:tcW w:w="552" w:type="pct"/>
            <w:tcBorders>
              <w:top w:val="single" w:sz="4" w:space="0" w:color="auto"/>
              <w:left w:val="single" w:sz="4" w:space="0" w:color="auto"/>
              <w:bottom w:val="nil"/>
              <w:right w:val="single" w:sz="4" w:space="0" w:color="auto"/>
            </w:tcBorders>
            <w:shd w:val="clear" w:color="auto" w:fill="auto"/>
          </w:tcPr>
          <w:p w14:paraId="55E10016" w14:textId="77777777" w:rsidR="00FB3935" w:rsidRPr="00A159CA" w:rsidRDefault="00FB3935" w:rsidP="00F3265E">
            <w:pPr>
              <w:keepLines/>
              <w:widowControl w:val="0"/>
              <w:spacing w:after="120"/>
              <w:jc w:val="center"/>
              <w:rPr>
                <w:rFonts w:ascii="Arial" w:hAnsi="Arial" w:cs="Arial"/>
                <w:b/>
                <w:sz w:val="18"/>
                <w:szCs w:val="18"/>
              </w:rPr>
            </w:pPr>
            <w:r w:rsidRPr="00A159CA">
              <w:rPr>
                <w:rFonts w:ascii="Arial" w:hAnsi="Arial" w:cs="Arial"/>
                <w:b/>
                <w:sz w:val="18"/>
                <w:szCs w:val="18"/>
              </w:rPr>
              <w:t>DRUG TYPE AND USE</w:t>
            </w:r>
          </w:p>
          <w:p w14:paraId="33CD38B7" w14:textId="77777777" w:rsidR="00FB3935" w:rsidRPr="00A159CA" w:rsidRDefault="00FB3935" w:rsidP="00F3265E">
            <w:pPr>
              <w:keepLines/>
              <w:widowControl w:val="0"/>
              <w:spacing w:after="120"/>
              <w:jc w:val="center"/>
              <w:rPr>
                <w:rFonts w:ascii="Arial" w:hAnsi="Arial" w:cs="Arial"/>
                <w:b/>
                <w:sz w:val="18"/>
                <w:szCs w:val="18"/>
              </w:rPr>
            </w:pPr>
          </w:p>
        </w:tc>
        <w:tc>
          <w:tcPr>
            <w:tcW w:w="875" w:type="pct"/>
            <w:tcBorders>
              <w:top w:val="single" w:sz="4" w:space="0" w:color="auto"/>
              <w:left w:val="single" w:sz="4" w:space="0" w:color="auto"/>
              <w:bottom w:val="nil"/>
              <w:right w:val="single" w:sz="4" w:space="0" w:color="auto"/>
            </w:tcBorders>
            <w:shd w:val="clear" w:color="auto" w:fill="auto"/>
          </w:tcPr>
          <w:p w14:paraId="63058D75" w14:textId="77777777" w:rsidR="00FB3935" w:rsidRPr="00A159CA" w:rsidRDefault="00FB3935" w:rsidP="00F3265E">
            <w:pPr>
              <w:keepLines/>
              <w:widowControl w:val="0"/>
              <w:spacing w:after="120"/>
              <w:jc w:val="center"/>
              <w:rPr>
                <w:rFonts w:ascii="Arial" w:hAnsi="Arial" w:cs="Arial"/>
                <w:b/>
                <w:sz w:val="18"/>
                <w:szCs w:val="18"/>
              </w:rPr>
            </w:pPr>
            <w:r w:rsidRPr="00A159CA">
              <w:rPr>
                <w:rFonts w:ascii="Arial" w:hAnsi="Arial" w:cs="Arial"/>
                <w:b/>
                <w:sz w:val="18"/>
                <w:szCs w:val="18"/>
              </w:rPr>
              <w:t>LISTING REQUESTED BY SPONSOR / PURPOSE OF SUBMISSION</w:t>
            </w:r>
          </w:p>
        </w:tc>
        <w:tc>
          <w:tcPr>
            <w:tcW w:w="2700" w:type="pct"/>
            <w:tcBorders>
              <w:top w:val="single" w:sz="4" w:space="0" w:color="auto"/>
              <w:left w:val="single" w:sz="4" w:space="0" w:color="auto"/>
              <w:bottom w:val="nil"/>
              <w:right w:val="single" w:sz="4" w:space="0" w:color="auto"/>
            </w:tcBorders>
            <w:shd w:val="clear" w:color="auto" w:fill="auto"/>
          </w:tcPr>
          <w:p w14:paraId="6710BE8F" w14:textId="77777777" w:rsidR="00FB3935" w:rsidRPr="00A159CA" w:rsidRDefault="00FB3935" w:rsidP="00F3265E">
            <w:pPr>
              <w:keepLines/>
              <w:spacing w:after="120"/>
              <w:jc w:val="center"/>
              <w:rPr>
                <w:rFonts w:ascii="Arial" w:hAnsi="Arial" w:cs="Arial"/>
                <w:b/>
                <w:sz w:val="18"/>
                <w:szCs w:val="18"/>
              </w:rPr>
            </w:pPr>
            <w:r w:rsidRPr="00A159CA">
              <w:rPr>
                <w:rFonts w:ascii="Arial" w:hAnsi="Arial" w:cs="Arial"/>
                <w:b/>
                <w:sz w:val="18"/>
                <w:szCs w:val="18"/>
              </w:rPr>
              <w:t>PBAC OUTCOME</w:t>
            </w:r>
          </w:p>
          <w:p w14:paraId="086B53DC" w14:textId="77777777" w:rsidR="00FB3935" w:rsidRPr="00A159CA" w:rsidRDefault="00FB3935" w:rsidP="00F3265E">
            <w:pPr>
              <w:keepLines/>
              <w:spacing w:after="120"/>
              <w:jc w:val="center"/>
              <w:rPr>
                <w:rFonts w:ascii="Arial" w:hAnsi="Arial" w:cs="Arial"/>
                <w:b/>
                <w:sz w:val="18"/>
                <w:szCs w:val="18"/>
              </w:rPr>
            </w:pPr>
          </w:p>
        </w:tc>
      </w:tr>
      <w:tr w:rsidR="00D2401D" w:rsidRPr="00D2401D" w14:paraId="5E6655FB" w14:textId="77777777" w:rsidTr="00CC51BD">
        <w:trPr>
          <w:cantSplit/>
          <w:trHeight w:val="58"/>
        </w:trPr>
        <w:tc>
          <w:tcPr>
            <w:tcW w:w="873" w:type="pct"/>
            <w:tcBorders>
              <w:top w:val="single" w:sz="4" w:space="0" w:color="auto"/>
              <w:left w:val="single" w:sz="4" w:space="0" w:color="auto"/>
              <w:bottom w:val="nil"/>
              <w:right w:val="single" w:sz="4" w:space="0" w:color="auto"/>
            </w:tcBorders>
            <w:shd w:val="clear" w:color="auto" w:fill="auto"/>
          </w:tcPr>
          <w:p w14:paraId="5754E163" w14:textId="32595EE3" w:rsidR="00D2401D" w:rsidRPr="00D2401D" w:rsidRDefault="00D2401D" w:rsidP="00F3265E">
            <w:pPr>
              <w:keepLines/>
              <w:widowControl w:val="0"/>
              <w:spacing w:after="120"/>
              <w:jc w:val="center"/>
              <w:rPr>
                <w:rFonts w:ascii="Arial" w:hAnsi="Arial" w:cs="Arial"/>
                <w:sz w:val="18"/>
                <w:szCs w:val="18"/>
              </w:rPr>
            </w:pPr>
            <w:r w:rsidRPr="00D2401D">
              <w:rPr>
                <w:rFonts w:ascii="Arial" w:hAnsi="Arial" w:cs="Arial"/>
                <w:sz w:val="18"/>
                <w:szCs w:val="18"/>
              </w:rPr>
              <w:t>Recommendation 65 of the Royal Commission into Aged Care Quality and Safety Final Report</w:t>
            </w:r>
          </w:p>
        </w:tc>
        <w:tc>
          <w:tcPr>
            <w:tcW w:w="552" w:type="pct"/>
            <w:tcBorders>
              <w:top w:val="single" w:sz="4" w:space="0" w:color="auto"/>
              <w:left w:val="single" w:sz="4" w:space="0" w:color="auto"/>
              <w:bottom w:val="nil"/>
              <w:right w:val="single" w:sz="4" w:space="0" w:color="auto"/>
            </w:tcBorders>
            <w:shd w:val="clear" w:color="auto" w:fill="auto"/>
          </w:tcPr>
          <w:p w14:paraId="6E578860" w14:textId="7F746A08" w:rsidR="00D2401D" w:rsidRPr="00D2401D" w:rsidRDefault="00EF2028" w:rsidP="00F3265E">
            <w:pPr>
              <w:keepLines/>
              <w:widowControl w:val="0"/>
              <w:spacing w:after="120"/>
              <w:jc w:val="center"/>
              <w:rPr>
                <w:rFonts w:ascii="Arial" w:hAnsi="Arial" w:cs="Arial"/>
                <w:sz w:val="18"/>
                <w:szCs w:val="18"/>
              </w:rPr>
            </w:pPr>
            <w:r>
              <w:rPr>
                <w:rFonts w:ascii="Arial" w:hAnsi="Arial" w:cs="Arial"/>
                <w:sz w:val="18"/>
                <w:szCs w:val="18"/>
              </w:rPr>
              <w:t>A</w:t>
            </w:r>
            <w:r w:rsidRPr="00EF2028">
              <w:rPr>
                <w:rFonts w:ascii="Arial" w:hAnsi="Arial" w:cs="Arial"/>
                <w:sz w:val="18"/>
                <w:szCs w:val="18"/>
              </w:rPr>
              <w:t>ntipsychotic medications</w:t>
            </w:r>
          </w:p>
        </w:tc>
        <w:tc>
          <w:tcPr>
            <w:tcW w:w="875" w:type="pct"/>
            <w:tcBorders>
              <w:top w:val="single" w:sz="4" w:space="0" w:color="auto"/>
              <w:left w:val="single" w:sz="4" w:space="0" w:color="auto"/>
              <w:bottom w:val="nil"/>
              <w:right w:val="single" w:sz="4" w:space="0" w:color="auto"/>
            </w:tcBorders>
            <w:shd w:val="clear" w:color="auto" w:fill="auto"/>
          </w:tcPr>
          <w:p w14:paraId="2F17BCEB" w14:textId="15167B8E" w:rsidR="00D2401D" w:rsidRPr="00555241" w:rsidRDefault="005B583D" w:rsidP="00F3265E">
            <w:pPr>
              <w:keepLines/>
              <w:widowControl w:val="0"/>
              <w:spacing w:after="120"/>
              <w:jc w:val="center"/>
              <w:rPr>
                <w:rFonts w:ascii="Arial" w:hAnsi="Arial" w:cs="Arial"/>
                <w:sz w:val="18"/>
                <w:szCs w:val="18"/>
              </w:rPr>
            </w:pPr>
            <w:r w:rsidRPr="00555241">
              <w:rPr>
                <w:rFonts w:ascii="Arial" w:hAnsi="Arial" w:cs="Arial"/>
                <w:sz w:val="18"/>
                <w:szCs w:val="18"/>
              </w:rPr>
              <w:t>To seek PBAC recommendation on whether amendments to PBS listings of antipsychotic medications are appropriate in light of Recommendation 65</w:t>
            </w:r>
            <w:r w:rsidR="00555241" w:rsidRPr="00555241">
              <w:rPr>
                <w:rFonts w:ascii="Arial" w:hAnsi="Arial" w:cs="Arial"/>
                <w:sz w:val="18"/>
                <w:szCs w:val="18"/>
              </w:rPr>
              <w:t xml:space="preserve"> of the Royal Commission into Aged Care Quality and Safety's Final Report</w:t>
            </w:r>
            <w:r w:rsidRPr="00555241">
              <w:rPr>
                <w:rFonts w:ascii="Arial" w:hAnsi="Arial" w:cs="Arial"/>
                <w:sz w:val="18"/>
                <w:szCs w:val="18"/>
              </w:rPr>
              <w:t>.</w:t>
            </w:r>
          </w:p>
        </w:tc>
        <w:tc>
          <w:tcPr>
            <w:tcW w:w="2700" w:type="pct"/>
            <w:tcBorders>
              <w:top w:val="single" w:sz="4" w:space="0" w:color="auto"/>
              <w:left w:val="single" w:sz="4" w:space="0" w:color="auto"/>
              <w:bottom w:val="nil"/>
              <w:right w:val="single" w:sz="4" w:space="0" w:color="auto"/>
            </w:tcBorders>
            <w:shd w:val="clear" w:color="auto" w:fill="auto"/>
          </w:tcPr>
          <w:p w14:paraId="604615ED" w14:textId="77777777" w:rsidR="00D2401D" w:rsidRDefault="00D2401D" w:rsidP="00F3265E">
            <w:pPr>
              <w:keepLines/>
              <w:spacing w:after="120"/>
              <w:rPr>
                <w:rFonts w:ascii="Arial" w:hAnsi="Arial" w:cs="Arial"/>
                <w:color w:val="000000"/>
                <w:sz w:val="18"/>
                <w:szCs w:val="21"/>
                <w:shd w:val="clear" w:color="auto" w:fill="FFFFFF"/>
              </w:rPr>
            </w:pPr>
            <w:r w:rsidRPr="001C4557">
              <w:rPr>
                <w:rFonts w:ascii="Arial" w:hAnsi="Arial" w:cs="Arial"/>
                <w:color w:val="000000"/>
                <w:sz w:val="18"/>
                <w:szCs w:val="21"/>
                <w:shd w:val="clear" w:color="auto" w:fill="FFFFFF"/>
              </w:rPr>
              <w:t>The PBAC deferred making a recommendation on whether amendments to Pharmaceutical Benefits Scheme (PBS) listings of antipsychotic medications are appropriate in light of Recommendation 65 of the Royal Commission into Aged Care Quality and Safety (Royal Commission) Final Report, pending targeted consultation with clinical and professional groups in relation to practical implementation and a utilisation review of risperidone following changes to listing recommended in August 2019. The PBAC acknowledged the findings of the Royal Commission, expressed concern about the prescribing rates of antipsychotics in aged care and recognised that action is required. The PBAC considered further consultation was required to ascertain the practicality and potential unintended consequences of amending PBS listings of antipsychotics. The PBAC will consider this matter further once the requested consultation and utilisation analyses are available.</w:t>
            </w:r>
          </w:p>
          <w:p w14:paraId="3CB74888" w14:textId="12D714CF" w:rsidR="00EF2028" w:rsidRPr="00D2401D" w:rsidRDefault="00EF2028" w:rsidP="00F3265E">
            <w:pPr>
              <w:keepLines/>
              <w:spacing w:after="120"/>
              <w:rPr>
                <w:rFonts w:ascii="Arial" w:hAnsi="Arial" w:cs="Arial"/>
                <w:sz w:val="18"/>
                <w:szCs w:val="18"/>
              </w:rPr>
            </w:pPr>
          </w:p>
        </w:tc>
      </w:tr>
      <w:tr w:rsidR="00CC51BD" w:rsidRPr="00FB3935" w14:paraId="229A4AC9" w14:textId="77777777" w:rsidTr="00CC51BD">
        <w:trPr>
          <w:cantSplit/>
          <w:trHeight w:val="58"/>
        </w:trPr>
        <w:tc>
          <w:tcPr>
            <w:tcW w:w="873" w:type="pct"/>
            <w:tcBorders>
              <w:top w:val="single" w:sz="4" w:space="0" w:color="auto"/>
              <w:left w:val="single" w:sz="4" w:space="0" w:color="auto"/>
              <w:bottom w:val="nil"/>
              <w:right w:val="single" w:sz="4" w:space="0" w:color="auto"/>
            </w:tcBorders>
            <w:shd w:val="clear" w:color="auto" w:fill="auto"/>
          </w:tcPr>
          <w:p w14:paraId="043FAAE5" w14:textId="4ECA6697"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Review of PBS Authority Required (Written) listings – Tranche 3</w:t>
            </w:r>
          </w:p>
        </w:tc>
        <w:tc>
          <w:tcPr>
            <w:tcW w:w="552" w:type="pct"/>
            <w:tcBorders>
              <w:top w:val="single" w:sz="4" w:space="0" w:color="auto"/>
              <w:left w:val="single" w:sz="4" w:space="0" w:color="auto"/>
              <w:bottom w:val="nil"/>
              <w:right w:val="single" w:sz="4" w:space="0" w:color="auto"/>
            </w:tcBorders>
            <w:shd w:val="clear" w:color="auto" w:fill="auto"/>
          </w:tcPr>
          <w:p w14:paraId="198BBD01" w14:textId="45CE9FFF"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 xml:space="preserve">Medicines for the treatment of allergic, respiratory, and gastrointestinal conditions </w:t>
            </w:r>
          </w:p>
        </w:tc>
        <w:tc>
          <w:tcPr>
            <w:tcW w:w="875" w:type="pct"/>
            <w:tcBorders>
              <w:top w:val="single" w:sz="4" w:space="0" w:color="auto"/>
              <w:left w:val="single" w:sz="4" w:space="0" w:color="auto"/>
              <w:bottom w:val="nil"/>
              <w:right w:val="single" w:sz="4" w:space="0" w:color="auto"/>
            </w:tcBorders>
            <w:shd w:val="clear" w:color="auto" w:fill="auto"/>
          </w:tcPr>
          <w:p w14:paraId="20DE907A" w14:textId="42E5B4FA" w:rsidR="00CC51BD" w:rsidRPr="00555241" w:rsidRDefault="00CC51BD" w:rsidP="00F3265E">
            <w:pPr>
              <w:keepLines/>
              <w:widowControl w:val="0"/>
              <w:spacing w:after="120"/>
              <w:jc w:val="center"/>
              <w:rPr>
                <w:rFonts w:ascii="Arial" w:hAnsi="Arial" w:cs="Arial"/>
                <w:bCs/>
                <w:snapToGrid w:val="0"/>
                <w:color w:val="000000"/>
                <w:sz w:val="18"/>
                <w:szCs w:val="18"/>
              </w:rPr>
            </w:pPr>
            <w:r w:rsidRPr="00555241">
              <w:rPr>
                <w:rFonts w:ascii="Arial" w:hAnsi="Arial" w:cs="Arial"/>
                <w:sz w:val="18"/>
                <w:szCs w:val="18"/>
              </w:rPr>
              <w:t>To request that the PBAC consider the Authority Required (Written) restriction level for PBS-listed medicines (Tranche 3) and recommend any required amendments.</w:t>
            </w:r>
          </w:p>
        </w:tc>
        <w:tc>
          <w:tcPr>
            <w:tcW w:w="2700" w:type="pct"/>
            <w:tcBorders>
              <w:top w:val="single" w:sz="4" w:space="0" w:color="auto"/>
              <w:left w:val="single" w:sz="4" w:space="0" w:color="auto"/>
              <w:bottom w:val="nil"/>
              <w:right w:val="single" w:sz="4" w:space="0" w:color="auto"/>
            </w:tcBorders>
            <w:shd w:val="clear" w:color="auto" w:fill="auto"/>
          </w:tcPr>
          <w:p w14:paraId="126C6624" w14:textId="5EA9FD3A" w:rsidR="00CC51BD" w:rsidRPr="00A159CA" w:rsidRDefault="00CC51BD" w:rsidP="00F3265E">
            <w:pPr>
              <w:keepLines/>
              <w:spacing w:after="120"/>
              <w:rPr>
                <w:rFonts w:ascii="Arial" w:hAnsi="Arial" w:cs="Arial"/>
                <w:sz w:val="18"/>
                <w:szCs w:val="18"/>
              </w:rPr>
            </w:pPr>
            <w:r w:rsidRPr="00A159CA">
              <w:rPr>
                <w:rFonts w:ascii="Arial" w:hAnsi="Arial" w:cs="Arial"/>
                <w:sz w:val="18"/>
                <w:szCs w:val="18"/>
              </w:rPr>
              <w:t xml:space="preserve">The PBAC noted the key Review findings from the PBS Authority Required (Written) listings report, which included an analysis of PBS utilisation data for Tranche 3 medicines. The PBAC also noted the input provided by sponsors through submission of pre-subcommittee responses (PSCRs) on the written authority level of their Tranche 3 medicine(s). </w:t>
            </w:r>
          </w:p>
          <w:p w14:paraId="639729C6" w14:textId="77777777" w:rsidR="00CC51BD" w:rsidRPr="00A159CA" w:rsidRDefault="00CC51BD" w:rsidP="00F3265E">
            <w:pPr>
              <w:keepLines/>
              <w:spacing w:after="120"/>
              <w:rPr>
                <w:rFonts w:ascii="Arial" w:hAnsi="Arial" w:cs="Arial"/>
                <w:sz w:val="18"/>
                <w:szCs w:val="18"/>
              </w:rPr>
            </w:pPr>
            <w:r w:rsidRPr="00A159CA">
              <w:rPr>
                <w:rFonts w:ascii="Arial" w:hAnsi="Arial" w:cs="Arial"/>
                <w:sz w:val="18"/>
                <w:szCs w:val="18"/>
              </w:rPr>
              <w:t>The PBAC applied the following key criteria to assist in determining the requirement to maintain a written Authority level of restriction:</w:t>
            </w:r>
          </w:p>
          <w:p w14:paraId="2EBE71AA" w14:textId="29EE88CC" w:rsidR="00CC51BD" w:rsidRPr="00A159CA" w:rsidRDefault="00CC51BD" w:rsidP="00F3265E">
            <w:pPr>
              <w:keepLines/>
              <w:spacing w:after="120"/>
              <w:rPr>
                <w:rFonts w:ascii="Arial" w:hAnsi="Arial" w:cs="Arial"/>
                <w:sz w:val="18"/>
                <w:szCs w:val="18"/>
              </w:rPr>
            </w:pPr>
            <w:r w:rsidRPr="00A159CA">
              <w:rPr>
                <w:rFonts w:ascii="Arial" w:hAnsi="Arial" w:cs="Arial"/>
                <w:sz w:val="18"/>
                <w:szCs w:val="18"/>
              </w:rPr>
              <w:t xml:space="preserve">(1) Potential for use in a population in which the medicine is not cost-effective or where the PBAC has not determined the comparative effectiveness and cost; and (2) Potential for high cost per patient or high total cost to the health system and the government’s budget. The PBAC also considered the following factors: quality use of medicines (QUM), safety, and administrative burden. </w:t>
            </w:r>
          </w:p>
          <w:p w14:paraId="15596C3E" w14:textId="3943BF57" w:rsidR="002E1AD3" w:rsidRPr="00F3265E" w:rsidRDefault="00CC51BD" w:rsidP="00F3265E">
            <w:pPr>
              <w:keepLines/>
              <w:widowControl w:val="0"/>
              <w:spacing w:after="120"/>
              <w:rPr>
                <w:rFonts w:ascii="Arial" w:hAnsi="Arial" w:cs="Arial"/>
                <w:sz w:val="18"/>
                <w:szCs w:val="18"/>
              </w:rPr>
            </w:pPr>
            <w:r w:rsidRPr="00A159CA">
              <w:rPr>
                <w:rFonts w:ascii="Arial" w:hAnsi="Arial" w:cs="Arial"/>
                <w:sz w:val="18"/>
                <w:szCs w:val="18"/>
              </w:rPr>
              <w:t>Overall, the PBAC accepted the DUSC June 2021 advice on the need to amend or maintain the current written Authority level of each medicine and made the following recommendations:</w:t>
            </w:r>
          </w:p>
        </w:tc>
      </w:tr>
      <w:tr w:rsidR="00CC51BD" w:rsidRPr="00FB3935" w14:paraId="1B3EE3E1" w14:textId="77777777" w:rsidTr="00CC51BD">
        <w:trPr>
          <w:cantSplit/>
          <w:trHeight w:val="58"/>
        </w:trPr>
        <w:tc>
          <w:tcPr>
            <w:tcW w:w="873" w:type="pct"/>
            <w:tcBorders>
              <w:top w:val="nil"/>
              <w:left w:val="single" w:sz="4" w:space="0" w:color="auto"/>
              <w:bottom w:val="nil"/>
              <w:right w:val="single" w:sz="4" w:space="0" w:color="auto"/>
            </w:tcBorders>
            <w:shd w:val="clear" w:color="auto" w:fill="auto"/>
          </w:tcPr>
          <w:p w14:paraId="24A5FED2" w14:textId="4502177F"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 xml:space="preserve">1. Omalizumab </w:t>
            </w:r>
          </w:p>
        </w:tc>
        <w:tc>
          <w:tcPr>
            <w:tcW w:w="552" w:type="pct"/>
            <w:tcBorders>
              <w:top w:val="nil"/>
              <w:left w:val="single" w:sz="4" w:space="0" w:color="auto"/>
              <w:bottom w:val="nil"/>
              <w:right w:val="single" w:sz="4" w:space="0" w:color="auto"/>
            </w:tcBorders>
            <w:shd w:val="clear" w:color="auto" w:fill="auto"/>
          </w:tcPr>
          <w:p w14:paraId="0F2D834D" w14:textId="7C4C2B70"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1. Severe chronic spontaneous urticaria (CSU)</w:t>
            </w:r>
          </w:p>
        </w:tc>
        <w:tc>
          <w:tcPr>
            <w:tcW w:w="875" w:type="pct"/>
            <w:tcBorders>
              <w:top w:val="nil"/>
              <w:left w:val="single" w:sz="4" w:space="0" w:color="auto"/>
              <w:bottom w:val="nil"/>
              <w:right w:val="single" w:sz="4" w:space="0" w:color="auto"/>
            </w:tcBorders>
            <w:shd w:val="clear" w:color="auto" w:fill="auto"/>
          </w:tcPr>
          <w:p w14:paraId="6012DF9C" w14:textId="77777777" w:rsidR="00CC51BD" w:rsidRPr="00FB3935" w:rsidRDefault="00CC51BD" w:rsidP="00F3265E">
            <w:pPr>
              <w:keepLines/>
              <w:widowControl w:val="0"/>
              <w:spacing w:after="120"/>
              <w:jc w:val="center"/>
              <w:rPr>
                <w:rFonts w:ascii="Arial" w:hAnsi="Arial" w:cs="Arial"/>
                <w:bCs/>
                <w:snapToGrid w:val="0"/>
                <w:color w:val="000000"/>
                <w:sz w:val="18"/>
                <w:szCs w:val="18"/>
              </w:rPr>
            </w:pPr>
          </w:p>
        </w:tc>
        <w:tc>
          <w:tcPr>
            <w:tcW w:w="2700" w:type="pct"/>
            <w:tcBorders>
              <w:top w:val="nil"/>
              <w:left w:val="single" w:sz="4" w:space="0" w:color="auto"/>
              <w:bottom w:val="nil"/>
              <w:right w:val="single" w:sz="4" w:space="0" w:color="auto"/>
            </w:tcBorders>
            <w:shd w:val="clear" w:color="auto" w:fill="auto"/>
          </w:tcPr>
          <w:p w14:paraId="112B72C2" w14:textId="77777777" w:rsidR="00CC51BD" w:rsidRPr="00A159CA" w:rsidRDefault="00CC51BD" w:rsidP="00F3265E">
            <w:pPr>
              <w:keepLines/>
              <w:spacing w:after="120"/>
              <w:rPr>
                <w:rFonts w:ascii="Arial" w:eastAsia="Calibri" w:hAnsi="Arial" w:cs="Arial"/>
                <w:bCs/>
                <w:sz w:val="18"/>
                <w:szCs w:val="18"/>
                <w:u w:val="single"/>
              </w:rPr>
            </w:pPr>
            <w:r w:rsidRPr="00A159CA">
              <w:rPr>
                <w:rFonts w:ascii="Arial" w:eastAsia="Calibri" w:hAnsi="Arial" w:cs="Arial"/>
                <w:bCs/>
                <w:sz w:val="18"/>
                <w:szCs w:val="18"/>
                <w:u w:val="single"/>
              </w:rPr>
              <w:t>1. Severe chronic spontaneous urticaria (CSU):</w:t>
            </w:r>
          </w:p>
          <w:p w14:paraId="4ADE34BF" w14:textId="77777777" w:rsidR="00CC51BD" w:rsidRPr="00A159CA" w:rsidRDefault="00CC51BD" w:rsidP="00F3265E">
            <w:pPr>
              <w:keepLines/>
              <w:spacing w:after="120"/>
              <w:rPr>
                <w:rFonts w:ascii="Arial" w:hAnsi="Arial" w:cs="Arial"/>
                <w:sz w:val="18"/>
                <w:szCs w:val="18"/>
              </w:rPr>
            </w:pPr>
            <w:r w:rsidRPr="00A159CA">
              <w:rPr>
                <w:rFonts w:ascii="Arial" w:hAnsi="Arial" w:cs="Arial"/>
                <w:sz w:val="18"/>
                <w:szCs w:val="18"/>
              </w:rPr>
              <w:t xml:space="preserve">The PBAC noted the high number of incident patients over the four calendar years since first PBS listing in September 2017 have contributed to increases in the treated annual prevalent population. </w:t>
            </w:r>
          </w:p>
          <w:p w14:paraId="4F195E2E" w14:textId="499A6D09" w:rsidR="00CC51BD" w:rsidRPr="00FB3935" w:rsidRDefault="00CC51BD" w:rsidP="00F3265E">
            <w:pPr>
              <w:keepLines/>
              <w:widowControl w:val="0"/>
              <w:spacing w:after="120"/>
              <w:rPr>
                <w:rFonts w:ascii="Arial" w:hAnsi="Arial" w:cs="Arial"/>
                <w:bCs/>
                <w:snapToGrid w:val="0"/>
                <w:sz w:val="18"/>
                <w:szCs w:val="18"/>
              </w:rPr>
            </w:pPr>
            <w:r w:rsidRPr="00A159CA">
              <w:rPr>
                <w:rFonts w:ascii="Arial" w:hAnsi="Arial" w:cs="Arial"/>
                <w:sz w:val="18"/>
                <w:szCs w:val="18"/>
              </w:rPr>
              <w:t>The PBAC did not recommend an amendment to the authority requirements for omalizumab for CSU, noting the annual increase in omalizumab prevalent patient numbers demonstrated market instability and associated financial implications for government.</w:t>
            </w:r>
          </w:p>
        </w:tc>
      </w:tr>
      <w:tr w:rsidR="00CC51BD" w:rsidRPr="00FB3935" w14:paraId="7C1324B9" w14:textId="77777777" w:rsidTr="002E1AD3">
        <w:trPr>
          <w:cantSplit/>
          <w:trHeight w:val="58"/>
        </w:trPr>
        <w:tc>
          <w:tcPr>
            <w:tcW w:w="873" w:type="pct"/>
            <w:tcBorders>
              <w:top w:val="nil"/>
              <w:left w:val="single" w:sz="4" w:space="0" w:color="auto"/>
              <w:bottom w:val="nil"/>
              <w:right w:val="single" w:sz="4" w:space="0" w:color="auto"/>
            </w:tcBorders>
            <w:shd w:val="clear" w:color="auto" w:fill="auto"/>
          </w:tcPr>
          <w:p w14:paraId="063FEC00" w14:textId="4455D074"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lastRenderedPageBreak/>
              <w:t xml:space="preserve">2.Omalizumab </w:t>
            </w:r>
          </w:p>
        </w:tc>
        <w:tc>
          <w:tcPr>
            <w:tcW w:w="552" w:type="pct"/>
            <w:tcBorders>
              <w:top w:val="nil"/>
              <w:left w:val="single" w:sz="4" w:space="0" w:color="auto"/>
              <w:bottom w:val="nil"/>
              <w:right w:val="single" w:sz="4" w:space="0" w:color="auto"/>
            </w:tcBorders>
            <w:shd w:val="clear" w:color="auto" w:fill="auto"/>
          </w:tcPr>
          <w:p w14:paraId="5D4D6DE7" w14:textId="2B2AD858"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2.Severe allergic asthma (SAA)</w:t>
            </w:r>
          </w:p>
        </w:tc>
        <w:tc>
          <w:tcPr>
            <w:tcW w:w="875" w:type="pct"/>
            <w:tcBorders>
              <w:top w:val="nil"/>
              <w:left w:val="single" w:sz="4" w:space="0" w:color="auto"/>
              <w:bottom w:val="nil"/>
              <w:right w:val="single" w:sz="4" w:space="0" w:color="auto"/>
            </w:tcBorders>
            <w:shd w:val="clear" w:color="auto" w:fill="auto"/>
          </w:tcPr>
          <w:p w14:paraId="7E7E0FB4" w14:textId="77777777" w:rsidR="00CC51BD" w:rsidRPr="00FB3935" w:rsidRDefault="00CC51BD" w:rsidP="00F3265E">
            <w:pPr>
              <w:keepLines/>
              <w:widowControl w:val="0"/>
              <w:spacing w:after="120"/>
              <w:jc w:val="center"/>
              <w:rPr>
                <w:rFonts w:ascii="Arial" w:hAnsi="Arial" w:cs="Arial"/>
                <w:bCs/>
                <w:snapToGrid w:val="0"/>
                <w:color w:val="000000"/>
                <w:sz w:val="18"/>
                <w:szCs w:val="18"/>
              </w:rPr>
            </w:pPr>
          </w:p>
        </w:tc>
        <w:tc>
          <w:tcPr>
            <w:tcW w:w="2700" w:type="pct"/>
            <w:tcBorders>
              <w:top w:val="nil"/>
              <w:left w:val="single" w:sz="4" w:space="0" w:color="auto"/>
              <w:bottom w:val="nil"/>
              <w:right w:val="single" w:sz="4" w:space="0" w:color="auto"/>
            </w:tcBorders>
            <w:shd w:val="clear" w:color="auto" w:fill="auto"/>
          </w:tcPr>
          <w:p w14:paraId="25BA7885" w14:textId="77777777" w:rsidR="00CC51BD" w:rsidRPr="00A159CA" w:rsidRDefault="00CC51BD" w:rsidP="00F3265E">
            <w:pPr>
              <w:keepLines/>
              <w:spacing w:after="120"/>
              <w:rPr>
                <w:rFonts w:ascii="Arial" w:eastAsia="Calibri" w:hAnsi="Arial" w:cs="Arial"/>
                <w:bCs/>
                <w:sz w:val="18"/>
                <w:szCs w:val="18"/>
                <w:u w:val="single"/>
              </w:rPr>
            </w:pPr>
            <w:r w:rsidRPr="00A159CA">
              <w:rPr>
                <w:rFonts w:ascii="Arial" w:eastAsia="Calibri" w:hAnsi="Arial" w:cs="Arial"/>
                <w:bCs/>
                <w:sz w:val="18"/>
                <w:szCs w:val="18"/>
                <w:u w:val="single"/>
              </w:rPr>
              <w:t>2. Severe allergic asthma (SAA):</w:t>
            </w:r>
          </w:p>
          <w:p w14:paraId="7DAE43E7" w14:textId="253E4EAA" w:rsidR="00CC51BD" w:rsidRPr="00A159CA" w:rsidRDefault="00CC51BD" w:rsidP="00F3265E">
            <w:pPr>
              <w:keepLines/>
              <w:spacing w:after="120"/>
              <w:rPr>
                <w:rFonts w:ascii="Arial" w:hAnsi="Arial" w:cs="Arial"/>
                <w:sz w:val="18"/>
                <w:szCs w:val="18"/>
              </w:rPr>
            </w:pPr>
            <w:r w:rsidRPr="00A159CA">
              <w:rPr>
                <w:rFonts w:ascii="Arial" w:hAnsi="Arial" w:cs="Arial"/>
                <w:sz w:val="18"/>
                <w:szCs w:val="18"/>
              </w:rPr>
              <w:t xml:space="preserve">The PBAC agreed with DUSC advice and did not recommend an amendment to the authority requirements for initial treatment with omalizumab for SAA, noting the consistent increase in incident and prevalent patient numbers demonstrated the market was not yet stable. </w:t>
            </w:r>
          </w:p>
          <w:p w14:paraId="625C9F08" w14:textId="77777777" w:rsidR="002E1AD3" w:rsidRPr="00A159CA" w:rsidRDefault="002E1AD3" w:rsidP="00F3265E">
            <w:pPr>
              <w:keepLines/>
              <w:spacing w:after="120"/>
              <w:rPr>
                <w:rFonts w:ascii="Arial" w:hAnsi="Arial" w:cs="Arial"/>
                <w:sz w:val="18"/>
                <w:szCs w:val="18"/>
              </w:rPr>
            </w:pPr>
          </w:p>
          <w:p w14:paraId="452D75F5" w14:textId="015774C8" w:rsidR="002E1AD3" w:rsidRPr="00F3265E" w:rsidRDefault="00CC51BD" w:rsidP="00F3265E">
            <w:pPr>
              <w:keepLines/>
              <w:widowControl w:val="0"/>
              <w:spacing w:after="120"/>
              <w:rPr>
                <w:rFonts w:ascii="Arial" w:hAnsi="Arial" w:cs="Arial"/>
                <w:sz w:val="18"/>
                <w:szCs w:val="18"/>
              </w:rPr>
            </w:pPr>
            <w:r w:rsidRPr="00A159CA">
              <w:rPr>
                <w:rFonts w:ascii="Arial" w:hAnsi="Arial" w:cs="Arial"/>
                <w:sz w:val="18"/>
                <w:szCs w:val="18"/>
              </w:rPr>
              <w:t xml:space="preserve">The PBAC recommended that the authority requirements for continuing treatment with omalizumab for SAA be amended from Authority Required (Written) to Authority Required (Telephone/Electronic) to ease administrative burden for prescribers and for consistency with the continuing authority requirements for omalizumab for CSU. </w:t>
            </w:r>
          </w:p>
        </w:tc>
      </w:tr>
      <w:tr w:rsidR="00CC51BD" w:rsidRPr="00FB3935" w14:paraId="34DA39D7" w14:textId="77777777" w:rsidTr="002E1AD3">
        <w:trPr>
          <w:cantSplit/>
          <w:trHeight w:val="58"/>
        </w:trPr>
        <w:tc>
          <w:tcPr>
            <w:tcW w:w="873" w:type="pct"/>
            <w:tcBorders>
              <w:top w:val="nil"/>
              <w:left w:val="single" w:sz="4" w:space="0" w:color="auto"/>
              <w:bottom w:val="nil"/>
              <w:right w:val="single" w:sz="4" w:space="0" w:color="auto"/>
            </w:tcBorders>
            <w:shd w:val="clear" w:color="auto" w:fill="auto"/>
          </w:tcPr>
          <w:p w14:paraId="104F0EC7" w14:textId="60E1A393"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 xml:space="preserve">3.Benralizumab, mepolizumab  </w:t>
            </w:r>
          </w:p>
        </w:tc>
        <w:tc>
          <w:tcPr>
            <w:tcW w:w="552" w:type="pct"/>
            <w:tcBorders>
              <w:top w:val="nil"/>
              <w:left w:val="single" w:sz="4" w:space="0" w:color="auto"/>
              <w:bottom w:val="nil"/>
              <w:right w:val="single" w:sz="4" w:space="0" w:color="auto"/>
            </w:tcBorders>
            <w:shd w:val="clear" w:color="auto" w:fill="auto"/>
          </w:tcPr>
          <w:p w14:paraId="43F6ABCE" w14:textId="4B4D1FCF"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3. Severe eosinophilic asthma (SEA)</w:t>
            </w:r>
          </w:p>
        </w:tc>
        <w:tc>
          <w:tcPr>
            <w:tcW w:w="875" w:type="pct"/>
            <w:tcBorders>
              <w:top w:val="nil"/>
              <w:left w:val="single" w:sz="4" w:space="0" w:color="auto"/>
              <w:bottom w:val="nil"/>
              <w:right w:val="single" w:sz="4" w:space="0" w:color="auto"/>
            </w:tcBorders>
            <w:shd w:val="clear" w:color="auto" w:fill="auto"/>
          </w:tcPr>
          <w:p w14:paraId="6929CA8F" w14:textId="77777777" w:rsidR="00CC51BD" w:rsidRPr="00FB3935" w:rsidRDefault="00CC51BD" w:rsidP="00F3265E">
            <w:pPr>
              <w:keepLines/>
              <w:widowControl w:val="0"/>
              <w:spacing w:after="120"/>
              <w:jc w:val="center"/>
              <w:rPr>
                <w:rFonts w:ascii="Arial" w:hAnsi="Arial" w:cs="Arial"/>
                <w:bCs/>
                <w:snapToGrid w:val="0"/>
                <w:color w:val="000000"/>
                <w:sz w:val="18"/>
                <w:szCs w:val="18"/>
              </w:rPr>
            </w:pPr>
          </w:p>
        </w:tc>
        <w:tc>
          <w:tcPr>
            <w:tcW w:w="2700" w:type="pct"/>
            <w:tcBorders>
              <w:top w:val="nil"/>
              <w:left w:val="single" w:sz="4" w:space="0" w:color="auto"/>
              <w:bottom w:val="nil"/>
              <w:right w:val="single" w:sz="4" w:space="0" w:color="auto"/>
            </w:tcBorders>
            <w:shd w:val="clear" w:color="auto" w:fill="auto"/>
          </w:tcPr>
          <w:p w14:paraId="68CA2722" w14:textId="77777777" w:rsidR="00CC51BD" w:rsidRPr="00A159CA" w:rsidRDefault="00CC51BD" w:rsidP="00F3265E">
            <w:pPr>
              <w:keepLines/>
              <w:spacing w:after="120"/>
              <w:rPr>
                <w:rFonts w:ascii="Arial" w:eastAsia="Calibri" w:hAnsi="Arial" w:cs="Arial"/>
                <w:bCs/>
                <w:sz w:val="18"/>
                <w:szCs w:val="18"/>
                <w:u w:val="single"/>
              </w:rPr>
            </w:pPr>
            <w:r w:rsidRPr="00A159CA">
              <w:rPr>
                <w:rFonts w:ascii="Arial" w:eastAsia="Calibri" w:hAnsi="Arial" w:cs="Arial"/>
                <w:bCs/>
                <w:sz w:val="18"/>
                <w:szCs w:val="18"/>
                <w:u w:val="single"/>
              </w:rPr>
              <w:t xml:space="preserve">3. Severe eosinophilic asthma (SEA): </w:t>
            </w:r>
          </w:p>
          <w:p w14:paraId="0D05DCBB" w14:textId="2248166A" w:rsidR="002E1AD3" w:rsidRPr="00A159CA" w:rsidRDefault="00CC51BD" w:rsidP="00F3265E">
            <w:pPr>
              <w:keepLines/>
              <w:spacing w:after="120"/>
              <w:rPr>
                <w:rFonts w:ascii="Arial" w:hAnsi="Arial" w:cs="Arial"/>
                <w:sz w:val="18"/>
                <w:szCs w:val="18"/>
              </w:rPr>
            </w:pPr>
            <w:r w:rsidRPr="00A159CA">
              <w:rPr>
                <w:rFonts w:ascii="Arial" w:hAnsi="Arial" w:cs="Arial"/>
                <w:sz w:val="18"/>
                <w:szCs w:val="18"/>
              </w:rPr>
              <w:t>The PBAC considered the SEA market relatively immature, noting steady growth in numbers of treated prevalent patients for both medicines. The PBAC noted that benralizumab dominated the market in 2020, accounting for 55% of expenditure and 52% of written authority approvals. The PBAC also noted that PBS expenditure on these SEA medicines has grown year on year annually to $65 million in 2020 (at published prices).</w:t>
            </w:r>
          </w:p>
          <w:p w14:paraId="034CD028" w14:textId="67280C17" w:rsidR="002E1AD3" w:rsidRPr="00F3265E" w:rsidRDefault="00CC51BD" w:rsidP="00F3265E">
            <w:pPr>
              <w:keepLines/>
              <w:widowControl w:val="0"/>
              <w:spacing w:after="120"/>
              <w:rPr>
                <w:rFonts w:ascii="Arial" w:hAnsi="Arial" w:cs="Arial"/>
                <w:sz w:val="18"/>
                <w:szCs w:val="18"/>
              </w:rPr>
            </w:pPr>
            <w:r w:rsidRPr="00A159CA">
              <w:rPr>
                <w:rFonts w:ascii="Arial" w:hAnsi="Arial" w:cs="Arial"/>
                <w:sz w:val="18"/>
                <w:szCs w:val="18"/>
              </w:rPr>
              <w:t>The PBAC did not recommend an amendment to the authority requirements for benralizumab or mepolizumab for SEA at this time, given that the market is not yet stable.</w:t>
            </w:r>
          </w:p>
        </w:tc>
      </w:tr>
      <w:tr w:rsidR="00CC51BD" w:rsidRPr="00FB3935" w14:paraId="6723CC3A" w14:textId="77777777" w:rsidTr="002E1AD3">
        <w:trPr>
          <w:cantSplit/>
          <w:trHeight w:val="58"/>
        </w:trPr>
        <w:tc>
          <w:tcPr>
            <w:tcW w:w="873" w:type="pct"/>
            <w:tcBorders>
              <w:top w:val="nil"/>
              <w:left w:val="single" w:sz="4" w:space="0" w:color="auto"/>
              <w:bottom w:val="nil"/>
              <w:right w:val="single" w:sz="4" w:space="0" w:color="auto"/>
            </w:tcBorders>
            <w:shd w:val="clear" w:color="auto" w:fill="auto"/>
          </w:tcPr>
          <w:p w14:paraId="6B452C86" w14:textId="333B0396"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 xml:space="preserve">4. Ivacaftor, lumacaftor+ivacaftor </w:t>
            </w:r>
          </w:p>
        </w:tc>
        <w:tc>
          <w:tcPr>
            <w:tcW w:w="552" w:type="pct"/>
            <w:tcBorders>
              <w:top w:val="nil"/>
              <w:left w:val="single" w:sz="4" w:space="0" w:color="auto"/>
              <w:bottom w:val="nil"/>
              <w:right w:val="single" w:sz="4" w:space="0" w:color="auto"/>
            </w:tcBorders>
            <w:shd w:val="clear" w:color="auto" w:fill="auto"/>
          </w:tcPr>
          <w:p w14:paraId="57C9EE44" w14:textId="7A0553F3"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4. Cystic fibrosis (CF)</w:t>
            </w:r>
          </w:p>
        </w:tc>
        <w:tc>
          <w:tcPr>
            <w:tcW w:w="875" w:type="pct"/>
            <w:tcBorders>
              <w:top w:val="nil"/>
              <w:left w:val="single" w:sz="4" w:space="0" w:color="auto"/>
              <w:bottom w:val="nil"/>
              <w:right w:val="single" w:sz="4" w:space="0" w:color="auto"/>
            </w:tcBorders>
            <w:shd w:val="clear" w:color="auto" w:fill="auto"/>
          </w:tcPr>
          <w:p w14:paraId="78C67B98" w14:textId="77777777" w:rsidR="00CC51BD" w:rsidRPr="00FB3935" w:rsidRDefault="00CC51BD" w:rsidP="00F3265E">
            <w:pPr>
              <w:keepLines/>
              <w:widowControl w:val="0"/>
              <w:spacing w:after="120"/>
              <w:jc w:val="center"/>
              <w:rPr>
                <w:rFonts w:ascii="Arial" w:hAnsi="Arial" w:cs="Arial"/>
                <w:bCs/>
                <w:snapToGrid w:val="0"/>
                <w:color w:val="000000"/>
                <w:sz w:val="18"/>
                <w:szCs w:val="18"/>
              </w:rPr>
            </w:pPr>
          </w:p>
        </w:tc>
        <w:tc>
          <w:tcPr>
            <w:tcW w:w="2700" w:type="pct"/>
            <w:tcBorders>
              <w:top w:val="nil"/>
              <w:left w:val="single" w:sz="4" w:space="0" w:color="auto"/>
              <w:bottom w:val="nil"/>
              <w:right w:val="single" w:sz="4" w:space="0" w:color="auto"/>
            </w:tcBorders>
            <w:shd w:val="clear" w:color="auto" w:fill="auto"/>
          </w:tcPr>
          <w:p w14:paraId="397295E7" w14:textId="77777777" w:rsidR="00CC51BD" w:rsidRPr="00A159CA" w:rsidRDefault="00CC51BD" w:rsidP="00F3265E">
            <w:pPr>
              <w:keepLines/>
              <w:spacing w:after="120"/>
              <w:rPr>
                <w:rFonts w:ascii="Arial" w:hAnsi="Arial" w:cs="Arial"/>
                <w:bCs/>
                <w:sz w:val="18"/>
                <w:szCs w:val="18"/>
                <w:u w:val="single"/>
              </w:rPr>
            </w:pPr>
            <w:r w:rsidRPr="00A159CA">
              <w:rPr>
                <w:rFonts w:ascii="Arial" w:hAnsi="Arial" w:cs="Arial"/>
                <w:bCs/>
                <w:sz w:val="18"/>
                <w:szCs w:val="18"/>
                <w:u w:val="single"/>
              </w:rPr>
              <w:t xml:space="preserve">4. Cystic fibrosis (CF): </w:t>
            </w:r>
          </w:p>
          <w:p w14:paraId="7BED85DF" w14:textId="77777777" w:rsidR="00CC51BD" w:rsidRPr="00A159CA" w:rsidRDefault="00CC51BD" w:rsidP="00F3265E">
            <w:pPr>
              <w:keepLines/>
              <w:spacing w:after="120"/>
              <w:rPr>
                <w:rFonts w:ascii="Arial" w:hAnsi="Arial" w:cs="Arial"/>
                <w:sz w:val="18"/>
                <w:szCs w:val="18"/>
              </w:rPr>
            </w:pPr>
            <w:r w:rsidRPr="00A159CA">
              <w:rPr>
                <w:rFonts w:ascii="Arial" w:hAnsi="Arial" w:cs="Arial"/>
                <w:sz w:val="18"/>
                <w:szCs w:val="18"/>
              </w:rPr>
              <w:t xml:space="preserve">The PBAC acknowledged the large financial risk associated with CF medicines and that high individual patient cost would be of substantial concern if not managed by a Deed of Agreement. </w:t>
            </w:r>
          </w:p>
          <w:p w14:paraId="1EBBD7E2" w14:textId="18BBBB2B" w:rsidR="002E1AD3" w:rsidRPr="00A159CA" w:rsidRDefault="00CC51BD" w:rsidP="00F3265E">
            <w:pPr>
              <w:keepLines/>
              <w:spacing w:after="120"/>
              <w:rPr>
                <w:rFonts w:ascii="Arial" w:hAnsi="Arial" w:cs="Arial"/>
                <w:sz w:val="18"/>
                <w:szCs w:val="18"/>
              </w:rPr>
            </w:pPr>
            <w:r w:rsidRPr="00A159CA">
              <w:rPr>
                <w:rFonts w:ascii="Arial" w:hAnsi="Arial" w:cs="Arial"/>
                <w:sz w:val="18"/>
                <w:szCs w:val="18"/>
              </w:rPr>
              <w:t>The PBAC agreed with DUSC that the utilisation of these medicines is reliant on potential market changes as new products enter the CF market</w:t>
            </w:r>
          </w:p>
          <w:p w14:paraId="71806EB3" w14:textId="42967AE6" w:rsidR="00CC51BD" w:rsidRPr="00FB3935" w:rsidRDefault="00CC51BD" w:rsidP="00F3265E">
            <w:pPr>
              <w:keepLines/>
              <w:widowControl w:val="0"/>
              <w:spacing w:after="120"/>
              <w:rPr>
                <w:rFonts w:ascii="Arial" w:hAnsi="Arial" w:cs="Arial"/>
                <w:bCs/>
                <w:snapToGrid w:val="0"/>
                <w:sz w:val="18"/>
                <w:szCs w:val="18"/>
              </w:rPr>
            </w:pPr>
            <w:r w:rsidRPr="00A159CA">
              <w:rPr>
                <w:rFonts w:ascii="Arial" w:eastAsia="Calibri" w:hAnsi="Arial" w:cs="Arial"/>
                <w:iCs/>
                <w:sz w:val="18"/>
                <w:szCs w:val="18"/>
              </w:rPr>
              <w:t xml:space="preserve">The PBAC recommended no amendment to current authority requirements for ivacaftor and lumacaftor+ ivacaftor given </w:t>
            </w:r>
            <w:r w:rsidRPr="00A159CA">
              <w:rPr>
                <w:rFonts w:ascii="Arial" w:eastAsia="Calibri" w:hAnsi="Arial" w:cs="Arial"/>
                <w:sz w:val="18"/>
                <w:szCs w:val="18"/>
              </w:rPr>
              <w:t>the comparatively high cost of these medicines, the associated financial implications to government and the potential for market instability with the introduction of new medicines.</w:t>
            </w:r>
          </w:p>
        </w:tc>
      </w:tr>
      <w:tr w:rsidR="00CC51BD" w:rsidRPr="00FB3935" w14:paraId="7DE84C28" w14:textId="77777777" w:rsidTr="002E1AD3">
        <w:trPr>
          <w:cantSplit/>
          <w:trHeight w:val="58"/>
        </w:trPr>
        <w:tc>
          <w:tcPr>
            <w:tcW w:w="873" w:type="pct"/>
            <w:tcBorders>
              <w:top w:val="nil"/>
              <w:left w:val="single" w:sz="4" w:space="0" w:color="auto"/>
              <w:bottom w:val="nil"/>
              <w:right w:val="single" w:sz="4" w:space="0" w:color="auto"/>
            </w:tcBorders>
            <w:shd w:val="clear" w:color="auto" w:fill="auto"/>
          </w:tcPr>
          <w:p w14:paraId="1DDFE2AC" w14:textId="21F59409"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lastRenderedPageBreak/>
              <w:t>5. Infliximab, ustekinumab, vedolizumab, adalimumab</w:t>
            </w:r>
          </w:p>
        </w:tc>
        <w:tc>
          <w:tcPr>
            <w:tcW w:w="552" w:type="pct"/>
            <w:tcBorders>
              <w:top w:val="nil"/>
              <w:left w:val="single" w:sz="4" w:space="0" w:color="auto"/>
              <w:bottom w:val="nil"/>
              <w:right w:val="single" w:sz="4" w:space="0" w:color="auto"/>
            </w:tcBorders>
            <w:shd w:val="clear" w:color="auto" w:fill="auto"/>
          </w:tcPr>
          <w:p w14:paraId="310792C3" w14:textId="653CE5E0"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5. Severe Crohn disease (adult)</w:t>
            </w:r>
          </w:p>
        </w:tc>
        <w:tc>
          <w:tcPr>
            <w:tcW w:w="875" w:type="pct"/>
            <w:tcBorders>
              <w:top w:val="nil"/>
              <w:left w:val="single" w:sz="4" w:space="0" w:color="auto"/>
              <w:bottom w:val="nil"/>
              <w:right w:val="single" w:sz="4" w:space="0" w:color="auto"/>
            </w:tcBorders>
            <w:shd w:val="clear" w:color="auto" w:fill="auto"/>
          </w:tcPr>
          <w:p w14:paraId="0A96181D" w14:textId="77777777" w:rsidR="00CC51BD" w:rsidRPr="00FB3935" w:rsidRDefault="00CC51BD" w:rsidP="00F3265E">
            <w:pPr>
              <w:keepLines/>
              <w:widowControl w:val="0"/>
              <w:spacing w:after="120"/>
              <w:jc w:val="center"/>
              <w:rPr>
                <w:rFonts w:ascii="Arial" w:hAnsi="Arial" w:cs="Arial"/>
                <w:bCs/>
                <w:snapToGrid w:val="0"/>
                <w:color w:val="000000"/>
                <w:sz w:val="18"/>
                <w:szCs w:val="18"/>
              </w:rPr>
            </w:pPr>
          </w:p>
        </w:tc>
        <w:tc>
          <w:tcPr>
            <w:tcW w:w="2700" w:type="pct"/>
            <w:tcBorders>
              <w:top w:val="nil"/>
              <w:left w:val="single" w:sz="4" w:space="0" w:color="auto"/>
              <w:bottom w:val="nil"/>
              <w:right w:val="single" w:sz="4" w:space="0" w:color="auto"/>
            </w:tcBorders>
            <w:shd w:val="clear" w:color="auto" w:fill="auto"/>
          </w:tcPr>
          <w:p w14:paraId="2BC31B02" w14:textId="71AE9D5C" w:rsidR="00CC51BD" w:rsidRPr="00F3265E" w:rsidRDefault="00CC51BD" w:rsidP="00F3265E">
            <w:pPr>
              <w:keepLines/>
              <w:spacing w:after="120"/>
              <w:rPr>
                <w:rFonts w:ascii="Arial" w:hAnsi="Arial" w:cs="Arial"/>
                <w:bCs/>
                <w:sz w:val="18"/>
                <w:szCs w:val="18"/>
                <w:u w:val="single"/>
              </w:rPr>
            </w:pPr>
            <w:r w:rsidRPr="00A159CA">
              <w:rPr>
                <w:rFonts w:ascii="Arial" w:hAnsi="Arial" w:cs="Arial"/>
                <w:bCs/>
                <w:sz w:val="18"/>
                <w:szCs w:val="18"/>
                <w:u w:val="single"/>
              </w:rPr>
              <w:t>5. Severe Crohn disease (adult):</w:t>
            </w:r>
          </w:p>
          <w:p w14:paraId="76EFE095" w14:textId="77777777" w:rsidR="00CC51BD" w:rsidRPr="00A159CA" w:rsidRDefault="00CC51BD" w:rsidP="00F3265E">
            <w:pPr>
              <w:keepLines/>
              <w:spacing w:after="120"/>
              <w:rPr>
                <w:rFonts w:ascii="Arial" w:hAnsi="Arial" w:cs="Arial"/>
                <w:sz w:val="18"/>
                <w:szCs w:val="18"/>
              </w:rPr>
            </w:pPr>
            <w:r w:rsidRPr="00A159CA">
              <w:rPr>
                <w:rFonts w:ascii="Arial" w:hAnsi="Arial" w:cs="Arial"/>
                <w:sz w:val="18"/>
                <w:szCs w:val="18"/>
              </w:rPr>
              <w:t>The PBAC noted the impact of biosimilars on utilisation and expenditure remains uncertain, though infliximab and adalimumab will likely reduce in cost due to statutory price reductions.</w:t>
            </w:r>
          </w:p>
          <w:p w14:paraId="3B27B8C6" w14:textId="4FD57C1E" w:rsidR="002E1AD3" w:rsidRPr="00F3265E" w:rsidRDefault="00CC51BD" w:rsidP="00F3265E">
            <w:pPr>
              <w:keepLines/>
              <w:widowControl w:val="0"/>
              <w:spacing w:after="120"/>
              <w:rPr>
                <w:rFonts w:ascii="Arial" w:hAnsi="Arial" w:cs="Arial"/>
                <w:sz w:val="18"/>
                <w:szCs w:val="18"/>
              </w:rPr>
            </w:pPr>
            <w:r w:rsidRPr="00A159CA">
              <w:rPr>
                <w:rFonts w:ascii="Arial" w:eastAsia="Calibri" w:hAnsi="Arial" w:cs="Arial"/>
                <w:iCs/>
                <w:sz w:val="18"/>
                <w:szCs w:val="18"/>
              </w:rPr>
              <w:t xml:space="preserve">The PBAC did not recommend an amendment to the authority requirements for </w:t>
            </w:r>
            <w:r w:rsidRPr="00A159CA">
              <w:rPr>
                <w:rFonts w:ascii="Arial" w:hAnsi="Arial" w:cs="Arial"/>
                <w:sz w:val="18"/>
                <w:szCs w:val="18"/>
              </w:rPr>
              <w:t>infliximab, ustekinumab, vedolizumab and adalimumab and noted a restriction change across PBS indications could be considered once biosimilars are well established and utilisation has stabilised.</w:t>
            </w:r>
          </w:p>
        </w:tc>
      </w:tr>
      <w:tr w:rsidR="00CC51BD" w:rsidRPr="00FB3935" w14:paraId="7FF5EF37" w14:textId="77777777" w:rsidTr="002E1AD3">
        <w:trPr>
          <w:cantSplit/>
          <w:trHeight w:val="58"/>
        </w:trPr>
        <w:tc>
          <w:tcPr>
            <w:tcW w:w="873" w:type="pct"/>
            <w:tcBorders>
              <w:top w:val="nil"/>
              <w:left w:val="single" w:sz="4" w:space="0" w:color="auto"/>
              <w:bottom w:val="nil"/>
              <w:right w:val="single" w:sz="4" w:space="0" w:color="auto"/>
            </w:tcBorders>
            <w:shd w:val="clear" w:color="auto" w:fill="auto"/>
          </w:tcPr>
          <w:p w14:paraId="6E811F49" w14:textId="4FB3977C"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 xml:space="preserve">6. Infliximab, adalimumab </w:t>
            </w:r>
          </w:p>
        </w:tc>
        <w:tc>
          <w:tcPr>
            <w:tcW w:w="552" w:type="pct"/>
            <w:tcBorders>
              <w:top w:val="nil"/>
              <w:left w:val="single" w:sz="4" w:space="0" w:color="auto"/>
              <w:bottom w:val="nil"/>
              <w:right w:val="single" w:sz="4" w:space="0" w:color="auto"/>
            </w:tcBorders>
            <w:shd w:val="clear" w:color="auto" w:fill="auto"/>
          </w:tcPr>
          <w:p w14:paraId="6A9A1BBE" w14:textId="37C7567A"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6. Crohn disease: moderate to severe and severe (paediatric)</w:t>
            </w:r>
          </w:p>
        </w:tc>
        <w:tc>
          <w:tcPr>
            <w:tcW w:w="875" w:type="pct"/>
            <w:tcBorders>
              <w:top w:val="nil"/>
              <w:left w:val="single" w:sz="4" w:space="0" w:color="auto"/>
              <w:bottom w:val="nil"/>
              <w:right w:val="single" w:sz="4" w:space="0" w:color="auto"/>
            </w:tcBorders>
            <w:shd w:val="clear" w:color="auto" w:fill="auto"/>
          </w:tcPr>
          <w:p w14:paraId="35273B57" w14:textId="77777777" w:rsidR="00CC51BD" w:rsidRPr="00FB3935" w:rsidRDefault="00CC51BD" w:rsidP="00F3265E">
            <w:pPr>
              <w:keepLines/>
              <w:widowControl w:val="0"/>
              <w:spacing w:after="120"/>
              <w:jc w:val="center"/>
              <w:rPr>
                <w:rFonts w:ascii="Arial" w:hAnsi="Arial" w:cs="Arial"/>
                <w:bCs/>
                <w:snapToGrid w:val="0"/>
                <w:color w:val="000000"/>
                <w:sz w:val="18"/>
                <w:szCs w:val="18"/>
              </w:rPr>
            </w:pPr>
          </w:p>
        </w:tc>
        <w:tc>
          <w:tcPr>
            <w:tcW w:w="2700" w:type="pct"/>
            <w:tcBorders>
              <w:top w:val="nil"/>
              <w:left w:val="single" w:sz="4" w:space="0" w:color="auto"/>
              <w:bottom w:val="nil"/>
              <w:right w:val="single" w:sz="4" w:space="0" w:color="auto"/>
            </w:tcBorders>
            <w:shd w:val="clear" w:color="auto" w:fill="auto"/>
          </w:tcPr>
          <w:p w14:paraId="754D4568" w14:textId="77777777" w:rsidR="00CC51BD" w:rsidRPr="00A159CA" w:rsidRDefault="00CC51BD" w:rsidP="00F3265E">
            <w:pPr>
              <w:keepLines/>
              <w:spacing w:after="120"/>
              <w:rPr>
                <w:rFonts w:ascii="Arial" w:hAnsi="Arial" w:cs="Arial"/>
                <w:bCs/>
                <w:sz w:val="18"/>
                <w:szCs w:val="18"/>
                <w:u w:val="single"/>
              </w:rPr>
            </w:pPr>
            <w:r w:rsidRPr="00A159CA">
              <w:rPr>
                <w:rFonts w:ascii="Arial" w:hAnsi="Arial" w:cs="Arial"/>
                <w:bCs/>
                <w:sz w:val="18"/>
                <w:szCs w:val="18"/>
                <w:u w:val="single"/>
              </w:rPr>
              <w:t xml:space="preserve">6. Crohn disease: moderate to severe and severe (paediatric): </w:t>
            </w:r>
          </w:p>
          <w:p w14:paraId="67C83314" w14:textId="2459703E" w:rsidR="002E1AD3" w:rsidRPr="00F3265E" w:rsidRDefault="00CC51BD" w:rsidP="00F3265E">
            <w:pPr>
              <w:keepLines/>
              <w:spacing w:after="120"/>
              <w:rPr>
                <w:rFonts w:ascii="Arial" w:hAnsi="Arial" w:cs="Arial"/>
                <w:sz w:val="18"/>
                <w:szCs w:val="18"/>
              </w:rPr>
            </w:pPr>
            <w:r w:rsidRPr="00A159CA">
              <w:rPr>
                <w:rFonts w:ascii="Arial" w:hAnsi="Arial" w:cs="Arial"/>
                <w:sz w:val="18"/>
                <w:szCs w:val="18"/>
              </w:rPr>
              <w:t>The PBAC noted the progressive decreases in expenditure are likely due to the introduction of biosimilars for infliximab and expect the decreases in expenditure to continue with the introduction of adalimumab biosimilars to the PBS on 1 April 2021</w:t>
            </w:r>
            <w:r w:rsidR="002E1AD3" w:rsidRPr="00A159CA">
              <w:rPr>
                <w:rFonts w:ascii="Arial" w:hAnsi="Arial" w:cs="Arial"/>
                <w:sz w:val="18"/>
                <w:szCs w:val="18"/>
              </w:rPr>
              <w:t>.</w:t>
            </w:r>
          </w:p>
          <w:p w14:paraId="3D1C40FD" w14:textId="64D3B8E2" w:rsidR="002E1AD3" w:rsidRPr="00F3265E" w:rsidRDefault="00CC51BD" w:rsidP="00F3265E">
            <w:pPr>
              <w:keepLines/>
              <w:widowControl w:val="0"/>
              <w:spacing w:after="120"/>
              <w:rPr>
                <w:rFonts w:ascii="Arial" w:hAnsi="Arial" w:cs="Arial"/>
                <w:sz w:val="18"/>
                <w:szCs w:val="18"/>
              </w:rPr>
            </w:pPr>
            <w:r w:rsidRPr="00A159CA">
              <w:rPr>
                <w:rFonts w:ascii="Arial" w:eastAsia="Calibri" w:hAnsi="Arial" w:cs="Arial"/>
                <w:iCs/>
                <w:sz w:val="18"/>
                <w:szCs w:val="18"/>
              </w:rPr>
              <w:t xml:space="preserve">The PBAC did not recommend an amendment to the authority requirements for </w:t>
            </w:r>
            <w:r w:rsidRPr="00A159CA">
              <w:rPr>
                <w:rFonts w:ascii="Arial" w:hAnsi="Arial" w:cs="Arial"/>
                <w:sz w:val="18"/>
                <w:szCs w:val="18"/>
              </w:rPr>
              <w:t>infliximab and adalimumab and noted a restriction change across PBS indications could be considered once biosimilars are well established and utilisation has stabilised.</w:t>
            </w:r>
          </w:p>
        </w:tc>
      </w:tr>
      <w:tr w:rsidR="00CC51BD" w:rsidRPr="00FB3935" w14:paraId="04204549" w14:textId="77777777" w:rsidTr="002E1AD3">
        <w:trPr>
          <w:cantSplit/>
          <w:trHeight w:val="58"/>
        </w:trPr>
        <w:tc>
          <w:tcPr>
            <w:tcW w:w="873" w:type="pct"/>
            <w:tcBorders>
              <w:top w:val="nil"/>
              <w:left w:val="single" w:sz="4" w:space="0" w:color="auto"/>
              <w:bottom w:val="nil"/>
              <w:right w:val="single" w:sz="4" w:space="0" w:color="auto"/>
            </w:tcBorders>
            <w:shd w:val="clear" w:color="auto" w:fill="auto"/>
          </w:tcPr>
          <w:p w14:paraId="5BA820B5" w14:textId="28322BE3"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 xml:space="preserve">7. Infliximab, adalimumab </w:t>
            </w:r>
          </w:p>
        </w:tc>
        <w:tc>
          <w:tcPr>
            <w:tcW w:w="552" w:type="pct"/>
            <w:tcBorders>
              <w:top w:val="nil"/>
              <w:left w:val="single" w:sz="4" w:space="0" w:color="auto"/>
              <w:bottom w:val="nil"/>
              <w:right w:val="single" w:sz="4" w:space="0" w:color="auto"/>
            </w:tcBorders>
            <w:shd w:val="clear" w:color="auto" w:fill="auto"/>
          </w:tcPr>
          <w:p w14:paraId="5BFB9745" w14:textId="27CA6255"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 xml:space="preserve">7. Fistulising Crohn disease </w:t>
            </w:r>
          </w:p>
        </w:tc>
        <w:tc>
          <w:tcPr>
            <w:tcW w:w="875" w:type="pct"/>
            <w:tcBorders>
              <w:top w:val="nil"/>
              <w:left w:val="single" w:sz="4" w:space="0" w:color="auto"/>
              <w:bottom w:val="nil"/>
              <w:right w:val="single" w:sz="4" w:space="0" w:color="auto"/>
            </w:tcBorders>
            <w:shd w:val="clear" w:color="auto" w:fill="auto"/>
          </w:tcPr>
          <w:p w14:paraId="5DE711E6" w14:textId="77777777" w:rsidR="00CC51BD" w:rsidRPr="00FB3935" w:rsidRDefault="00CC51BD" w:rsidP="00F3265E">
            <w:pPr>
              <w:keepLines/>
              <w:widowControl w:val="0"/>
              <w:spacing w:after="120"/>
              <w:jc w:val="center"/>
              <w:rPr>
                <w:rFonts w:ascii="Arial" w:hAnsi="Arial" w:cs="Arial"/>
                <w:bCs/>
                <w:snapToGrid w:val="0"/>
                <w:color w:val="000000"/>
                <w:sz w:val="18"/>
                <w:szCs w:val="18"/>
              </w:rPr>
            </w:pPr>
          </w:p>
        </w:tc>
        <w:tc>
          <w:tcPr>
            <w:tcW w:w="2700" w:type="pct"/>
            <w:tcBorders>
              <w:top w:val="nil"/>
              <w:left w:val="single" w:sz="4" w:space="0" w:color="auto"/>
              <w:bottom w:val="nil"/>
              <w:right w:val="single" w:sz="4" w:space="0" w:color="auto"/>
            </w:tcBorders>
            <w:shd w:val="clear" w:color="auto" w:fill="auto"/>
          </w:tcPr>
          <w:p w14:paraId="1A2B1991" w14:textId="77777777" w:rsidR="00CC51BD" w:rsidRPr="00A159CA" w:rsidRDefault="00CC51BD" w:rsidP="00F3265E">
            <w:pPr>
              <w:keepLines/>
              <w:spacing w:after="120"/>
              <w:rPr>
                <w:rFonts w:ascii="Arial" w:hAnsi="Arial" w:cs="Arial"/>
                <w:sz w:val="18"/>
                <w:szCs w:val="18"/>
                <w:u w:val="single"/>
              </w:rPr>
            </w:pPr>
            <w:r w:rsidRPr="00A159CA">
              <w:rPr>
                <w:rFonts w:ascii="Arial" w:hAnsi="Arial" w:cs="Arial"/>
                <w:sz w:val="18"/>
                <w:szCs w:val="18"/>
                <w:u w:val="single"/>
              </w:rPr>
              <w:t>7. Fistulising Crohn disease:</w:t>
            </w:r>
          </w:p>
          <w:p w14:paraId="392B2374" w14:textId="63201A28" w:rsidR="002E1AD3" w:rsidRPr="00A159CA" w:rsidRDefault="00CC51BD" w:rsidP="00F3265E">
            <w:pPr>
              <w:keepLines/>
              <w:spacing w:after="120"/>
              <w:rPr>
                <w:rFonts w:ascii="Arial" w:hAnsi="Arial" w:cs="Arial"/>
                <w:sz w:val="18"/>
                <w:szCs w:val="18"/>
              </w:rPr>
            </w:pPr>
            <w:r w:rsidRPr="00A159CA">
              <w:rPr>
                <w:rFonts w:ascii="Arial" w:hAnsi="Arial" w:cs="Arial"/>
                <w:sz w:val="18"/>
                <w:szCs w:val="18"/>
              </w:rPr>
              <w:t xml:space="preserve">The PBAC noted the number of prevalent patients for fistulising Crohn disease has increased year on year to 2020 indicating the market is not yet stable. </w:t>
            </w:r>
          </w:p>
          <w:p w14:paraId="1AFFD521" w14:textId="357CD7DA" w:rsidR="00CC51BD" w:rsidRPr="00A159CA" w:rsidRDefault="00CC51BD" w:rsidP="00F3265E">
            <w:pPr>
              <w:keepLines/>
              <w:spacing w:after="120"/>
              <w:rPr>
                <w:rFonts w:ascii="Arial" w:hAnsi="Arial" w:cs="Arial"/>
                <w:sz w:val="18"/>
                <w:szCs w:val="18"/>
              </w:rPr>
            </w:pPr>
            <w:r w:rsidRPr="00A159CA">
              <w:rPr>
                <w:rFonts w:ascii="Arial" w:hAnsi="Arial" w:cs="Arial"/>
                <w:sz w:val="18"/>
                <w:szCs w:val="18"/>
              </w:rPr>
              <w:t xml:space="preserve">The PBAC noted in 2020 the cost to the government based on published prices was just under $30 million. The PBAC also noted there are no Deeds of Agreement in place for these medicines. </w:t>
            </w:r>
          </w:p>
          <w:p w14:paraId="04A68A9C" w14:textId="63A0208A" w:rsidR="00CC51BD" w:rsidRPr="00FB3935" w:rsidRDefault="00CC51BD" w:rsidP="00F3265E">
            <w:pPr>
              <w:keepLines/>
              <w:widowControl w:val="0"/>
              <w:spacing w:after="120"/>
              <w:rPr>
                <w:rFonts w:ascii="Arial" w:hAnsi="Arial" w:cs="Arial"/>
                <w:bCs/>
                <w:snapToGrid w:val="0"/>
                <w:sz w:val="18"/>
                <w:szCs w:val="18"/>
              </w:rPr>
            </w:pPr>
            <w:r w:rsidRPr="00A159CA">
              <w:rPr>
                <w:rFonts w:ascii="Arial" w:hAnsi="Arial" w:cs="Arial"/>
                <w:sz w:val="18"/>
                <w:szCs w:val="18"/>
              </w:rPr>
              <w:t>The PBAC did not recommend an amendment to the authority requirements for infliximab and adalimumab and noted a restriction change across PBS indications could be considered once the market has stabilised, biosimilars are well established and utilisation has stabilised.</w:t>
            </w:r>
          </w:p>
        </w:tc>
      </w:tr>
      <w:tr w:rsidR="00CC51BD" w:rsidRPr="00FB3935" w14:paraId="3E8C950E" w14:textId="77777777" w:rsidTr="00A159CA">
        <w:trPr>
          <w:cantSplit/>
          <w:trHeight w:val="58"/>
        </w:trPr>
        <w:tc>
          <w:tcPr>
            <w:tcW w:w="873" w:type="pct"/>
            <w:tcBorders>
              <w:top w:val="nil"/>
              <w:left w:val="single" w:sz="4" w:space="0" w:color="auto"/>
              <w:right w:val="single" w:sz="4" w:space="0" w:color="auto"/>
            </w:tcBorders>
            <w:shd w:val="clear" w:color="auto" w:fill="auto"/>
          </w:tcPr>
          <w:p w14:paraId="076BF5D6" w14:textId="110D3EE7"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lastRenderedPageBreak/>
              <w:t>8. Adalimumab, infliximab, golimumab, vedolizumab</w:t>
            </w:r>
          </w:p>
        </w:tc>
        <w:tc>
          <w:tcPr>
            <w:tcW w:w="552" w:type="pct"/>
            <w:tcBorders>
              <w:top w:val="nil"/>
              <w:left w:val="single" w:sz="4" w:space="0" w:color="auto"/>
              <w:right w:val="single" w:sz="4" w:space="0" w:color="auto"/>
            </w:tcBorders>
            <w:shd w:val="clear" w:color="auto" w:fill="auto"/>
          </w:tcPr>
          <w:p w14:paraId="53C2B848" w14:textId="4432E58E"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 xml:space="preserve">8. Ulcerative colitis (UC) </w:t>
            </w:r>
          </w:p>
        </w:tc>
        <w:tc>
          <w:tcPr>
            <w:tcW w:w="875" w:type="pct"/>
            <w:tcBorders>
              <w:top w:val="nil"/>
              <w:left w:val="single" w:sz="4" w:space="0" w:color="auto"/>
              <w:right w:val="single" w:sz="4" w:space="0" w:color="auto"/>
            </w:tcBorders>
            <w:shd w:val="clear" w:color="auto" w:fill="auto"/>
          </w:tcPr>
          <w:p w14:paraId="70247C11" w14:textId="77777777" w:rsidR="00CC51BD" w:rsidRPr="00FB3935" w:rsidRDefault="00CC51BD" w:rsidP="00F3265E">
            <w:pPr>
              <w:keepLines/>
              <w:widowControl w:val="0"/>
              <w:spacing w:after="120"/>
              <w:jc w:val="center"/>
              <w:rPr>
                <w:rFonts w:ascii="Arial" w:hAnsi="Arial" w:cs="Arial"/>
                <w:bCs/>
                <w:snapToGrid w:val="0"/>
                <w:color w:val="000000"/>
                <w:sz w:val="18"/>
                <w:szCs w:val="18"/>
              </w:rPr>
            </w:pPr>
          </w:p>
        </w:tc>
        <w:tc>
          <w:tcPr>
            <w:tcW w:w="2700" w:type="pct"/>
            <w:tcBorders>
              <w:top w:val="nil"/>
              <w:left w:val="single" w:sz="4" w:space="0" w:color="auto"/>
              <w:right w:val="single" w:sz="4" w:space="0" w:color="auto"/>
            </w:tcBorders>
            <w:shd w:val="clear" w:color="auto" w:fill="auto"/>
          </w:tcPr>
          <w:p w14:paraId="6F9D56EB" w14:textId="77777777" w:rsidR="00CC51BD" w:rsidRPr="00A159CA" w:rsidRDefault="00CC51BD" w:rsidP="00F3265E">
            <w:pPr>
              <w:pStyle w:val="3Bodytext"/>
              <w:keepLines/>
              <w:jc w:val="left"/>
              <w:rPr>
                <w:rFonts w:ascii="Arial" w:hAnsi="Arial" w:cs="Arial"/>
                <w:bCs/>
                <w:sz w:val="18"/>
                <w:szCs w:val="18"/>
                <w:u w:val="single"/>
              </w:rPr>
            </w:pPr>
            <w:r w:rsidRPr="00A159CA">
              <w:rPr>
                <w:rFonts w:ascii="Arial" w:hAnsi="Arial" w:cs="Arial"/>
                <w:bCs/>
                <w:sz w:val="18"/>
                <w:szCs w:val="18"/>
                <w:u w:val="single"/>
              </w:rPr>
              <w:t xml:space="preserve">8. Ulcerative colitis (UC): </w:t>
            </w:r>
          </w:p>
          <w:p w14:paraId="4B234A61" w14:textId="22B7F9E8" w:rsidR="002E1AD3" w:rsidRPr="00A159CA" w:rsidRDefault="00CC51BD" w:rsidP="00F3265E">
            <w:pPr>
              <w:keepLines/>
              <w:spacing w:after="120"/>
              <w:rPr>
                <w:rFonts w:ascii="Arial" w:hAnsi="Arial" w:cs="Arial"/>
                <w:sz w:val="18"/>
                <w:szCs w:val="18"/>
              </w:rPr>
            </w:pPr>
            <w:r w:rsidRPr="00A159CA">
              <w:rPr>
                <w:rFonts w:ascii="Arial" w:hAnsi="Arial" w:cs="Arial"/>
                <w:sz w:val="18"/>
                <w:szCs w:val="18"/>
              </w:rPr>
              <w:t>The PBAC noted in 2020, 57% of PBS expenditure across all medicines was for vedolizumab. The PBAC also noted there was a special pricing arrangement in place for vedolizumab, but no Deeds of Agreement in place for other medicines for UC. Overall, PBS expenditure increased by 12% from 2019 to 2020.</w:t>
            </w:r>
          </w:p>
          <w:p w14:paraId="2C30C1FE" w14:textId="4FD783FA" w:rsidR="002E1AD3" w:rsidRPr="00A159CA" w:rsidRDefault="00CC51BD" w:rsidP="00F3265E">
            <w:pPr>
              <w:keepLines/>
              <w:spacing w:after="120"/>
              <w:rPr>
                <w:rFonts w:ascii="Arial" w:hAnsi="Arial" w:cs="Arial"/>
                <w:sz w:val="18"/>
                <w:szCs w:val="18"/>
              </w:rPr>
            </w:pPr>
            <w:r w:rsidRPr="00A159CA">
              <w:rPr>
                <w:rFonts w:ascii="Arial" w:hAnsi="Arial" w:cs="Arial"/>
                <w:sz w:val="18"/>
                <w:szCs w:val="18"/>
              </w:rPr>
              <w:t>The PBAC noted DUSC concerns that existing telephone/electronic authority approvals for continuing therapy may undermine the effectiveness of uptake drivers where adalimumab biosimilars are not yet well established.</w:t>
            </w:r>
          </w:p>
          <w:p w14:paraId="42B8972E" w14:textId="360A8DA6" w:rsidR="002E1AD3" w:rsidRPr="00F3265E" w:rsidRDefault="00CC51BD" w:rsidP="00F3265E">
            <w:pPr>
              <w:keepLines/>
              <w:widowControl w:val="0"/>
              <w:spacing w:after="120"/>
              <w:rPr>
                <w:rFonts w:ascii="Arial" w:hAnsi="Arial" w:cs="Arial"/>
                <w:sz w:val="18"/>
                <w:szCs w:val="18"/>
              </w:rPr>
            </w:pPr>
            <w:r w:rsidRPr="00A159CA">
              <w:rPr>
                <w:rFonts w:ascii="Arial" w:hAnsi="Arial" w:cs="Arial"/>
                <w:sz w:val="18"/>
                <w:szCs w:val="18"/>
              </w:rPr>
              <w:t>The PBAC did not recommend an amendment to the authority requirements for infliximab, adalimumab, vedolizumab and golimumab and considered a restriction change across PBS indications could be considered once biosimilars are well established and utilisation has stabilised.</w:t>
            </w:r>
          </w:p>
        </w:tc>
      </w:tr>
      <w:tr w:rsidR="00CC51BD" w:rsidRPr="00FB3935" w14:paraId="1B895F3F" w14:textId="77777777" w:rsidTr="00A159CA">
        <w:trPr>
          <w:cantSplit/>
          <w:trHeight w:val="58"/>
        </w:trPr>
        <w:tc>
          <w:tcPr>
            <w:tcW w:w="873" w:type="pct"/>
            <w:tcBorders>
              <w:top w:val="nil"/>
              <w:left w:val="single" w:sz="4" w:space="0" w:color="auto"/>
              <w:bottom w:val="single" w:sz="4" w:space="0" w:color="auto"/>
              <w:right w:val="single" w:sz="4" w:space="0" w:color="auto"/>
            </w:tcBorders>
            <w:shd w:val="clear" w:color="auto" w:fill="auto"/>
          </w:tcPr>
          <w:p w14:paraId="497BA9B6" w14:textId="324DD99C"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9. Nintedanib, pirfenidone</w:t>
            </w:r>
          </w:p>
        </w:tc>
        <w:tc>
          <w:tcPr>
            <w:tcW w:w="552" w:type="pct"/>
            <w:tcBorders>
              <w:top w:val="nil"/>
              <w:left w:val="single" w:sz="4" w:space="0" w:color="auto"/>
              <w:bottom w:val="single" w:sz="4" w:space="0" w:color="auto"/>
              <w:right w:val="single" w:sz="4" w:space="0" w:color="auto"/>
            </w:tcBorders>
            <w:shd w:val="clear" w:color="auto" w:fill="auto"/>
          </w:tcPr>
          <w:p w14:paraId="282A8BED" w14:textId="6FA21700" w:rsidR="00CC51BD" w:rsidRPr="00FB3935" w:rsidRDefault="00CC51BD" w:rsidP="00F3265E">
            <w:pPr>
              <w:keepLines/>
              <w:widowControl w:val="0"/>
              <w:spacing w:after="120"/>
              <w:jc w:val="center"/>
              <w:rPr>
                <w:rFonts w:ascii="Arial" w:hAnsi="Arial" w:cs="Arial"/>
                <w:snapToGrid w:val="0"/>
                <w:sz w:val="18"/>
                <w:szCs w:val="18"/>
              </w:rPr>
            </w:pPr>
            <w:r w:rsidRPr="00A159CA">
              <w:rPr>
                <w:rFonts w:ascii="Arial" w:hAnsi="Arial" w:cs="Arial"/>
                <w:sz w:val="18"/>
                <w:szCs w:val="18"/>
              </w:rPr>
              <w:t>9. Idiopathic pulmonary fibrosis (IPF)</w:t>
            </w:r>
          </w:p>
        </w:tc>
        <w:tc>
          <w:tcPr>
            <w:tcW w:w="875" w:type="pct"/>
            <w:tcBorders>
              <w:top w:val="nil"/>
              <w:left w:val="single" w:sz="4" w:space="0" w:color="auto"/>
              <w:bottom w:val="single" w:sz="4" w:space="0" w:color="auto"/>
              <w:right w:val="single" w:sz="4" w:space="0" w:color="auto"/>
            </w:tcBorders>
            <w:shd w:val="clear" w:color="auto" w:fill="auto"/>
          </w:tcPr>
          <w:p w14:paraId="0346D0A7" w14:textId="77777777" w:rsidR="00CC51BD" w:rsidRPr="00FB3935" w:rsidRDefault="00CC51BD" w:rsidP="00F3265E">
            <w:pPr>
              <w:keepLines/>
              <w:widowControl w:val="0"/>
              <w:spacing w:after="120"/>
              <w:jc w:val="center"/>
              <w:rPr>
                <w:rFonts w:ascii="Arial" w:hAnsi="Arial" w:cs="Arial"/>
                <w:bCs/>
                <w:snapToGrid w:val="0"/>
                <w:color w:val="000000"/>
                <w:sz w:val="18"/>
                <w:szCs w:val="18"/>
              </w:rPr>
            </w:pPr>
          </w:p>
        </w:tc>
        <w:tc>
          <w:tcPr>
            <w:tcW w:w="2700" w:type="pct"/>
            <w:tcBorders>
              <w:top w:val="nil"/>
              <w:left w:val="single" w:sz="4" w:space="0" w:color="auto"/>
              <w:bottom w:val="single" w:sz="4" w:space="0" w:color="auto"/>
              <w:right w:val="single" w:sz="4" w:space="0" w:color="auto"/>
            </w:tcBorders>
            <w:shd w:val="clear" w:color="auto" w:fill="auto"/>
          </w:tcPr>
          <w:p w14:paraId="38595954" w14:textId="77777777" w:rsidR="00CC51BD" w:rsidRPr="00A159CA" w:rsidRDefault="00CC51BD" w:rsidP="00F3265E">
            <w:pPr>
              <w:pStyle w:val="3Bodytext"/>
              <w:keepLines/>
              <w:jc w:val="left"/>
              <w:rPr>
                <w:rFonts w:ascii="Arial" w:hAnsi="Arial" w:cs="Arial"/>
                <w:bCs/>
                <w:sz w:val="18"/>
                <w:szCs w:val="18"/>
                <w:u w:val="single"/>
              </w:rPr>
            </w:pPr>
            <w:r w:rsidRPr="00A159CA">
              <w:rPr>
                <w:rFonts w:ascii="Arial" w:hAnsi="Arial" w:cs="Arial"/>
                <w:bCs/>
                <w:sz w:val="18"/>
                <w:szCs w:val="18"/>
                <w:u w:val="single"/>
              </w:rPr>
              <w:t>9. Idiopathic pulmonary fibrosis (IPF):</w:t>
            </w:r>
          </w:p>
          <w:p w14:paraId="2F1D8DA3" w14:textId="0CC8C6D5" w:rsidR="002E1AD3" w:rsidRPr="00A159CA" w:rsidRDefault="00CC51BD" w:rsidP="00F3265E">
            <w:pPr>
              <w:keepLines/>
              <w:spacing w:after="120"/>
              <w:rPr>
                <w:rFonts w:ascii="Arial" w:hAnsi="Arial" w:cs="Arial"/>
                <w:sz w:val="18"/>
                <w:szCs w:val="18"/>
              </w:rPr>
            </w:pPr>
            <w:r w:rsidRPr="00A159CA">
              <w:rPr>
                <w:rFonts w:ascii="Arial" w:hAnsi="Arial" w:cs="Arial"/>
                <w:sz w:val="18"/>
                <w:szCs w:val="18"/>
              </w:rPr>
              <w:t>The PBAC agreed with DUSC advice that the market for IPF was not yet mature and still evolving, and that the number of TGA registered indications for nintedanib could be associated with a high risk of leakage although the Initial Authority restriction was considered rigorous.</w:t>
            </w:r>
          </w:p>
          <w:p w14:paraId="4EBF4A11" w14:textId="5743F52D" w:rsidR="00CC51BD" w:rsidRPr="00FB3935" w:rsidRDefault="00CC51BD" w:rsidP="00F3265E">
            <w:pPr>
              <w:keepLines/>
              <w:widowControl w:val="0"/>
              <w:spacing w:after="120"/>
              <w:rPr>
                <w:rFonts w:ascii="Arial" w:hAnsi="Arial" w:cs="Arial"/>
                <w:bCs/>
                <w:snapToGrid w:val="0"/>
                <w:sz w:val="18"/>
                <w:szCs w:val="18"/>
              </w:rPr>
            </w:pPr>
            <w:r w:rsidRPr="00A159CA">
              <w:rPr>
                <w:rFonts w:ascii="Arial" w:hAnsi="Arial" w:cs="Arial"/>
                <w:sz w:val="18"/>
                <w:szCs w:val="18"/>
              </w:rPr>
              <w:t>The PBAC did not recommend an amendment to the authority requirements for nintedanib or pirfenidone, given the immaturity of the market, the risk of leakage, the high cost of these medicines and the financial implications to the government.</w:t>
            </w:r>
          </w:p>
        </w:tc>
      </w:tr>
    </w:tbl>
    <w:p w14:paraId="237E7119" w14:textId="77777777" w:rsidR="000F6F0D" w:rsidRDefault="000F6F0D" w:rsidP="00EF3B9C">
      <w:pPr>
        <w:rPr>
          <w:rFonts w:ascii="Arial" w:hAnsi="Arial" w:cs="Arial"/>
          <w:b/>
          <w:sz w:val="18"/>
          <w:szCs w:val="18"/>
          <w:lang w:val="en-US"/>
        </w:rPr>
      </w:pPr>
    </w:p>
    <w:p w14:paraId="27E22876" w14:textId="77777777" w:rsidR="000F6F0D" w:rsidRDefault="000F6F0D" w:rsidP="00EF3B9C">
      <w:pPr>
        <w:rPr>
          <w:rFonts w:ascii="Arial" w:hAnsi="Arial" w:cs="Arial"/>
          <w:b/>
          <w:sz w:val="18"/>
          <w:szCs w:val="18"/>
          <w:lang w:val="en-US"/>
        </w:rPr>
      </w:pPr>
    </w:p>
    <w:p w14:paraId="410E86A3" w14:textId="77777777" w:rsidR="00FB3935" w:rsidRDefault="00FB3935">
      <w:pPr>
        <w:rPr>
          <w:rFonts w:ascii="Arial" w:hAnsi="Arial" w:cs="Arial"/>
          <w:b/>
          <w:sz w:val="18"/>
          <w:szCs w:val="18"/>
          <w:lang w:val="en-US"/>
        </w:rPr>
      </w:pPr>
      <w:r>
        <w:rPr>
          <w:rFonts w:ascii="Arial" w:hAnsi="Arial" w:cs="Arial"/>
          <w:b/>
          <w:sz w:val="18"/>
          <w:szCs w:val="18"/>
          <w:lang w:val="en-US"/>
        </w:rPr>
        <w:br w:type="page"/>
      </w:r>
    </w:p>
    <w:p w14:paraId="6B64D1DE" w14:textId="721C2BBC" w:rsidR="007F48F6" w:rsidRDefault="007F48F6" w:rsidP="007F48F6">
      <w:pPr>
        <w:rPr>
          <w:rFonts w:ascii="Arial" w:hAnsi="Arial" w:cs="Arial"/>
          <w:b/>
          <w:sz w:val="18"/>
          <w:szCs w:val="18"/>
          <w:lang w:val="en-US"/>
        </w:rPr>
      </w:pPr>
      <w:r>
        <w:rPr>
          <w:rFonts w:ascii="Arial" w:hAnsi="Arial" w:cs="Arial"/>
          <w:b/>
          <w:sz w:val="18"/>
          <w:szCs w:val="18"/>
          <w:lang w:val="en-US"/>
        </w:rPr>
        <w:lastRenderedPageBreak/>
        <w:t>Submission c</w:t>
      </w:r>
      <w:r w:rsidRPr="00325BC7">
        <w:rPr>
          <w:rFonts w:ascii="Arial" w:hAnsi="Arial" w:cs="Arial"/>
          <w:b/>
          <w:sz w:val="18"/>
          <w:szCs w:val="18"/>
          <w:lang w:val="en-US"/>
        </w:rPr>
        <w:t xml:space="preserve">ategory </w:t>
      </w:r>
      <w:r>
        <w:rPr>
          <w:rFonts w:ascii="Arial" w:hAnsi="Arial" w:cs="Arial"/>
          <w:b/>
          <w:sz w:val="18"/>
          <w:szCs w:val="18"/>
          <w:lang w:val="en-US"/>
        </w:rPr>
        <w:t>t</w:t>
      </w:r>
      <w:r w:rsidRPr="00325BC7">
        <w:rPr>
          <w:rFonts w:ascii="Arial" w:hAnsi="Arial" w:cs="Arial"/>
          <w:b/>
          <w:sz w:val="18"/>
          <w:szCs w:val="18"/>
          <w:lang w:val="en-US"/>
        </w:rPr>
        <w:t>ypes</w:t>
      </w:r>
    </w:p>
    <w:p w14:paraId="15D4233E" w14:textId="77777777" w:rsidR="007F48F6" w:rsidRPr="00325BC7" w:rsidRDefault="007F48F6" w:rsidP="007F48F6">
      <w:pPr>
        <w:rPr>
          <w:rFonts w:ascii="Arial" w:hAnsi="Arial" w:cs="Arial"/>
          <w:b/>
          <w:sz w:val="18"/>
          <w:szCs w:val="18"/>
          <w:lang w:val="en-US"/>
        </w:rPr>
      </w:pPr>
    </w:p>
    <w:tbl>
      <w:tblPr>
        <w:tblStyle w:val="TableGrid"/>
        <w:tblW w:w="14458" w:type="dxa"/>
        <w:tblInd w:w="421" w:type="dxa"/>
        <w:tblLook w:val="04A0" w:firstRow="1" w:lastRow="0" w:firstColumn="1" w:lastColumn="0" w:noHBand="0" w:noVBand="1"/>
      </w:tblPr>
      <w:tblGrid>
        <w:gridCol w:w="1984"/>
        <w:gridCol w:w="12474"/>
      </w:tblGrid>
      <w:tr w:rsidR="007F48F6" w14:paraId="49C9D26F" w14:textId="77777777" w:rsidTr="005B583D">
        <w:tc>
          <w:tcPr>
            <w:tcW w:w="1984" w:type="dxa"/>
          </w:tcPr>
          <w:p w14:paraId="1640FA5D" w14:textId="3DC6C07C" w:rsidR="007F48F6" w:rsidRPr="00325BC7" w:rsidRDefault="007F48F6" w:rsidP="00A159CA">
            <w:pPr>
              <w:autoSpaceDE w:val="0"/>
              <w:autoSpaceDN w:val="0"/>
              <w:adjustRightInd w:val="0"/>
              <w:rPr>
                <w:rFonts w:ascii="Arial" w:hAnsi="Arial" w:cs="Arial"/>
                <w:b/>
                <w:sz w:val="18"/>
                <w:szCs w:val="18"/>
                <w:lang w:val="en-US"/>
              </w:rPr>
            </w:pPr>
            <w:r w:rsidRPr="00325BC7">
              <w:rPr>
                <w:rFonts w:ascii="Arial" w:hAnsi="Arial" w:cs="Arial"/>
                <w:b/>
                <w:color w:val="000000"/>
                <w:sz w:val="18"/>
                <w:szCs w:val="18"/>
              </w:rPr>
              <w:t>Category 1</w:t>
            </w:r>
          </w:p>
        </w:tc>
        <w:tc>
          <w:tcPr>
            <w:tcW w:w="12474" w:type="dxa"/>
          </w:tcPr>
          <w:p w14:paraId="55D16D51" w14:textId="77777777" w:rsidR="007F48F6" w:rsidRPr="00325BC7" w:rsidRDefault="007F48F6" w:rsidP="005B583D">
            <w:pPr>
              <w:autoSpaceDE w:val="0"/>
              <w:autoSpaceDN w:val="0"/>
              <w:adjustRightInd w:val="0"/>
              <w:rPr>
                <w:rFonts w:ascii="Arial" w:hAnsi="Arial" w:cs="Arial"/>
                <w:b/>
                <w:color w:val="000000"/>
                <w:sz w:val="18"/>
                <w:szCs w:val="18"/>
              </w:rPr>
            </w:pPr>
            <w:r w:rsidRPr="00325BC7">
              <w:rPr>
                <w:rFonts w:ascii="Arial" w:hAnsi="Arial" w:cs="Arial"/>
                <w:color w:val="000000"/>
                <w:sz w:val="18"/>
                <w:szCs w:val="18"/>
              </w:rPr>
              <w:t xml:space="preserve">A request for PBS or NIP listing of one or more of the following: </w:t>
            </w:r>
          </w:p>
          <w:p w14:paraId="5E5BAAB8" w14:textId="77777777" w:rsidR="007F48F6" w:rsidRPr="00325BC7" w:rsidRDefault="007F48F6" w:rsidP="005B583D">
            <w:pPr>
              <w:pStyle w:val="ListParagraph"/>
              <w:numPr>
                <w:ilvl w:val="0"/>
                <w:numId w:val="3"/>
              </w:numPr>
              <w:autoSpaceDE w:val="0"/>
              <w:autoSpaceDN w:val="0"/>
              <w:adjustRightInd w:val="0"/>
              <w:ind w:left="360"/>
              <w:rPr>
                <w:rFonts w:ascii="Arial" w:hAnsi="Arial" w:cs="Arial"/>
                <w:b/>
                <w:color w:val="000000"/>
                <w:sz w:val="18"/>
                <w:szCs w:val="18"/>
              </w:rPr>
            </w:pPr>
            <w:r w:rsidRPr="00325BC7">
              <w:rPr>
                <w:rFonts w:ascii="Arial" w:hAnsi="Arial" w:cs="Arial"/>
                <w:color w:val="000000"/>
                <w:sz w:val="18"/>
                <w:szCs w:val="18"/>
              </w:rPr>
              <w:t xml:space="preserve">A first in class medicine or vaccine, and/or a medicine or vaccine for a new population. OR </w:t>
            </w:r>
          </w:p>
          <w:p w14:paraId="7DB13D11" w14:textId="77777777" w:rsidR="007F48F6" w:rsidRPr="00325BC7" w:rsidRDefault="007F48F6" w:rsidP="005B583D">
            <w:pPr>
              <w:pStyle w:val="ListParagraph"/>
              <w:numPr>
                <w:ilvl w:val="0"/>
                <w:numId w:val="3"/>
              </w:numPr>
              <w:autoSpaceDE w:val="0"/>
              <w:autoSpaceDN w:val="0"/>
              <w:adjustRightInd w:val="0"/>
              <w:ind w:left="360"/>
              <w:rPr>
                <w:rFonts w:ascii="Arial" w:hAnsi="Arial" w:cs="Arial"/>
                <w:b/>
                <w:color w:val="000000"/>
                <w:sz w:val="18"/>
                <w:szCs w:val="18"/>
              </w:rPr>
            </w:pPr>
            <w:r w:rsidRPr="00325BC7">
              <w:rPr>
                <w:rFonts w:ascii="Arial" w:hAnsi="Arial" w:cs="Arial"/>
                <w:color w:val="000000"/>
                <w:sz w:val="18"/>
                <w:szCs w:val="18"/>
              </w:rPr>
              <w:t xml:space="preserve">A drug with a codependent technology that requires an integrated codependent submission to the PBAC and MSAC. OR </w:t>
            </w:r>
          </w:p>
          <w:p w14:paraId="1380A86B" w14:textId="77777777" w:rsidR="007F48F6" w:rsidRPr="00325BC7" w:rsidRDefault="007F48F6" w:rsidP="005B583D">
            <w:pPr>
              <w:pStyle w:val="ListParagraph"/>
              <w:numPr>
                <w:ilvl w:val="0"/>
                <w:numId w:val="3"/>
              </w:numPr>
              <w:autoSpaceDE w:val="0"/>
              <w:autoSpaceDN w:val="0"/>
              <w:adjustRightInd w:val="0"/>
              <w:ind w:left="360"/>
              <w:rPr>
                <w:rFonts w:ascii="Arial" w:hAnsi="Arial" w:cs="Arial"/>
                <w:b/>
                <w:color w:val="000000"/>
                <w:sz w:val="18"/>
                <w:szCs w:val="18"/>
              </w:rPr>
            </w:pPr>
            <w:r w:rsidRPr="00325BC7">
              <w:rPr>
                <w:rFonts w:ascii="Arial" w:hAnsi="Arial" w:cs="Arial"/>
                <w:color w:val="000000"/>
                <w:sz w:val="18"/>
                <w:szCs w:val="18"/>
              </w:rPr>
              <w:t>A drug or designated vaccine with a TGA Provisional determination related to the proposed population.</w:t>
            </w:r>
          </w:p>
        </w:tc>
      </w:tr>
      <w:tr w:rsidR="007F48F6" w14:paraId="55E97F75" w14:textId="77777777" w:rsidTr="005B583D">
        <w:tc>
          <w:tcPr>
            <w:tcW w:w="1984" w:type="dxa"/>
          </w:tcPr>
          <w:p w14:paraId="5E9AC3B0" w14:textId="77777777" w:rsidR="007F48F6" w:rsidRPr="00325BC7" w:rsidRDefault="007F48F6" w:rsidP="005B583D">
            <w:pPr>
              <w:tabs>
                <w:tab w:val="left" w:pos="5210"/>
              </w:tabs>
              <w:rPr>
                <w:rFonts w:ascii="Arial" w:hAnsi="Arial" w:cs="Arial"/>
                <w:b/>
                <w:sz w:val="18"/>
                <w:szCs w:val="18"/>
                <w:lang w:val="en-US"/>
              </w:rPr>
            </w:pPr>
            <w:r w:rsidRPr="00325BC7">
              <w:rPr>
                <w:rFonts w:ascii="Arial" w:hAnsi="Arial" w:cs="Arial"/>
                <w:b/>
                <w:sz w:val="18"/>
                <w:szCs w:val="18"/>
              </w:rPr>
              <w:t>Category 2</w:t>
            </w:r>
          </w:p>
        </w:tc>
        <w:tc>
          <w:tcPr>
            <w:tcW w:w="12474" w:type="dxa"/>
          </w:tcPr>
          <w:p w14:paraId="72522F32" w14:textId="77777777" w:rsidR="007F48F6" w:rsidRPr="00325BC7" w:rsidRDefault="007F48F6" w:rsidP="005B583D">
            <w:pPr>
              <w:tabs>
                <w:tab w:val="left" w:pos="5210"/>
              </w:tabs>
              <w:rPr>
                <w:rFonts w:ascii="Arial" w:hAnsi="Arial" w:cs="Arial"/>
                <w:sz w:val="18"/>
                <w:szCs w:val="18"/>
              </w:rPr>
            </w:pPr>
            <w:r w:rsidRPr="00325BC7">
              <w:rPr>
                <w:rFonts w:ascii="Arial" w:hAnsi="Arial" w:cs="Arial"/>
                <w:sz w:val="18"/>
                <w:szCs w:val="18"/>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14:paraId="2189A220" w14:textId="77777777" w:rsidTr="005B583D">
        <w:tc>
          <w:tcPr>
            <w:tcW w:w="1984" w:type="dxa"/>
          </w:tcPr>
          <w:p w14:paraId="79CB93BA" w14:textId="77777777" w:rsidR="007F48F6" w:rsidRPr="00325BC7" w:rsidRDefault="007F48F6" w:rsidP="005B583D">
            <w:pPr>
              <w:tabs>
                <w:tab w:val="left" w:pos="5210"/>
              </w:tabs>
              <w:rPr>
                <w:rFonts w:ascii="Arial" w:hAnsi="Arial" w:cs="Arial"/>
                <w:b/>
                <w:sz w:val="18"/>
                <w:szCs w:val="18"/>
                <w:lang w:val="en-US"/>
              </w:rPr>
            </w:pPr>
            <w:r w:rsidRPr="00325BC7">
              <w:rPr>
                <w:rFonts w:ascii="Arial" w:hAnsi="Arial" w:cs="Arial"/>
                <w:b/>
                <w:sz w:val="18"/>
                <w:szCs w:val="18"/>
              </w:rPr>
              <w:t>Category 3</w:t>
            </w:r>
          </w:p>
        </w:tc>
        <w:tc>
          <w:tcPr>
            <w:tcW w:w="12474" w:type="dxa"/>
          </w:tcPr>
          <w:p w14:paraId="11EF39D0" w14:textId="77777777" w:rsidR="007F48F6" w:rsidRPr="00325BC7" w:rsidRDefault="007F48F6" w:rsidP="005B583D">
            <w:pPr>
              <w:tabs>
                <w:tab w:val="left" w:pos="5210"/>
              </w:tabs>
              <w:rPr>
                <w:rFonts w:ascii="Arial" w:hAnsi="Arial" w:cs="Arial"/>
                <w:sz w:val="18"/>
                <w:szCs w:val="18"/>
              </w:rPr>
            </w:pPr>
            <w:r w:rsidRPr="00325BC7">
              <w:rPr>
                <w:rFonts w:ascii="Arial" w:hAnsi="Arial" w:cs="Arial"/>
                <w:sz w:val="18"/>
                <w:szCs w:val="18"/>
              </w:rPr>
              <w:t>Requests to change existing listings that do not change the population or cost-effectiveness of the medicine or vaccine that do not meet the criteria for a Category 4 submission.</w:t>
            </w:r>
          </w:p>
        </w:tc>
      </w:tr>
      <w:tr w:rsidR="007F48F6" w14:paraId="3189B6F0" w14:textId="77777777" w:rsidTr="005B583D">
        <w:tc>
          <w:tcPr>
            <w:tcW w:w="1984" w:type="dxa"/>
          </w:tcPr>
          <w:p w14:paraId="381D7CFE" w14:textId="77777777" w:rsidR="007F48F6" w:rsidRPr="00325BC7" w:rsidRDefault="007F48F6" w:rsidP="005B583D">
            <w:pPr>
              <w:pStyle w:val="Default"/>
              <w:rPr>
                <w:rFonts w:ascii="Arial" w:hAnsi="Arial" w:cs="Arial"/>
                <w:b/>
                <w:sz w:val="18"/>
                <w:szCs w:val="18"/>
                <w:lang w:val="en-US"/>
              </w:rPr>
            </w:pPr>
            <w:r w:rsidRPr="00325BC7">
              <w:rPr>
                <w:rFonts w:ascii="Arial" w:hAnsi="Arial" w:cs="Arial"/>
                <w:b/>
                <w:sz w:val="18"/>
                <w:szCs w:val="18"/>
              </w:rPr>
              <w:t xml:space="preserve">Category 4: </w:t>
            </w:r>
          </w:p>
        </w:tc>
        <w:tc>
          <w:tcPr>
            <w:tcW w:w="12474" w:type="dxa"/>
          </w:tcPr>
          <w:p w14:paraId="5E50EE2B" w14:textId="77777777" w:rsidR="007F48F6" w:rsidRPr="00325BC7" w:rsidRDefault="007F48F6" w:rsidP="005B583D">
            <w:pPr>
              <w:pStyle w:val="Default"/>
              <w:rPr>
                <w:rFonts w:ascii="Arial" w:hAnsi="Arial" w:cs="Arial"/>
                <w:b/>
                <w:sz w:val="18"/>
                <w:szCs w:val="18"/>
              </w:rPr>
            </w:pPr>
            <w:r w:rsidRPr="00325BC7">
              <w:rPr>
                <w:rFonts w:ascii="Arial" w:hAnsi="Arial" w:cs="Arial"/>
                <w:sz w:val="18"/>
                <w:szCs w:val="18"/>
              </w:rPr>
              <w:t xml:space="preserve">A request for one or more of the following: </w:t>
            </w:r>
          </w:p>
          <w:p w14:paraId="61CDD5EA" w14:textId="77777777" w:rsidR="007F48F6" w:rsidRPr="00325BC7" w:rsidRDefault="007F48F6" w:rsidP="005B583D">
            <w:pPr>
              <w:pStyle w:val="ListParagraph"/>
              <w:numPr>
                <w:ilvl w:val="0"/>
                <w:numId w:val="4"/>
              </w:numPr>
              <w:autoSpaceDE w:val="0"/>
              <w:autoSpaceDN w:val="0"/>
              <w:adjustRightInd w:val="0"/>
              <w:ind w:left="360"/>
              <w:rPr>
                <w:rFonts w:ascii="Arial" w:hAnsi="Arial" w:cs="Arial"/>
                <w:b/>
                <w:color w:val="000000"/>
                <w:sz w:val="18"/>
                <w:szCs w:val="18"/>
              </w:rPr>
            </w:pPr>
            <w:r w:rsidRPr="00325BC7">
              <w:rPr>
                <w:rFonts w:ascii="Arial" w:hAnsi="Arial" w:cs="Arial"/>
                <w:color w:val="000000"/>
                <w:sz w:val="18"/>
                <w:szCs w:val="18"/>
              </w:rPr>
              <w:t xml:space="preserve">Listing of a new pharmaceutical item of a listed medicine. </w:t>
            </w:r>
          </w:p>
          <w:p w14:paraId="30945A3C" w14:textId="77777777" w:rsidR="007F48F6" w:rsidRPr="00325BC7" w:rsidRDefault="007F48F6" w:rsidP="005B583D">
            <w:pPr>
              <w:pStyle w:val="ListParagraph"/>
              <w:numPr>
                <w:ilvl w:val="0"/>
                <w:numId w:val="4"/>
              </w:numPr>
              <w:autoSpaceDE w:val="0"/>
              <w:autoSpaceDN w:val="0"/>
              <w:adjustRightInd w:val="0"/>
              <w:ind w:left="360"/>
              <w:rPr>
                <w:rFonts w:ascii="Arial" w:hAnsi="Arial" w:cs="Arial"/>
                <w:b/>
                <w:color w:val="000000"/>
                <w:sz w:val="18"/>
                <w:szCs w:val="18"/>
              </w:rPr>
            </w:pPr>
            <w:r w:rsidRPr="00325BC7">
              <w:rPr>
                <w:rFonts w:ascii="Arial" w:hAnsi="Arial" w:cs="Arial"/>
                <w:color w:val="000000"/>
                <w:sz w:val="18"/>
                <w:szCs w:val="18"/>
              </w:rPr>
              <w:t xml:space="preserve">Consideration as an exempt item (Exempt item as per subsection 84AH of the </w:t>
            </w:r>
            <w:r w:rsidRPr="00325BC7">
              <w:rPr>
                <w:rFonts w:ascii="Arial" w:hAnsi="Arial" w:cs="Arial"/>
                <w:i/>
                <w:iCs/>
                <w:color w:val="000000"/>
                <w:sz w:val="18"/>
                <w:szCs w:val="18"/>
              </w:rPr>
              <w:t>National Health Act 1953</w:t>
            </w:r>
            <w:r w:rsidRPr="00325BC7">
              <w:rPr>
                <w:rFonts w:ascii="Arial" w:hAnsi="Arial" w:cs="Arial"/>
                <w:color w:val="000000"/>
                <w:sz w:val="18"/>
                <w:szCs w:val="18"/>
              </w:rPr>
              <w:t xml:space="preserve">). </w:t>
            </w:r>
          </w:p>
          <w:p w14:paraId="46567CAC" w14:textId="77777777" w:rsidR="007F48F6" w:rsidRPr="00325BC7" w:rsidRDefault="007F48F6" w:rsidP="005B583D">
            <w:pPr>
              <w:pStyle w:val="ListParagraph"/>
              <w:numPr>
                <w:ilvl w:val="0"/>
                <w:numId w:val="4"/>
              </w:numPr>
              <w:autoSpaceDE w:val="0"/>
              <w:autoSpaceDN w:val="0"/>
              <w:adjustRightInd w:val="0"/>
              <w:ind w:left="360"/>
              <w:rPr>
                <w:rFonts w:ascii="Arial" w:hAnsi="Arial" w:cs="Arial"/>
                <w:b/>
                <w:color w:val="000000"/>
                <w:sz w:val="18"/>
                <w:szCs w:val="18"/>
              </w:rPr>
            </w:pPr>
            <w:r w:rsidRPr="00325BC7">
              <w:rPr>
                <w:rFonts w:ascii="Arial" w:hAnsi="Arial" w:cs="Arial"/>
                <w:sz w:val="18"/>
                <w:szCs w:val="18"/>
              </w:rPr>
              <w:t xml:space="preserve">Including a listed medicine on the prescriber bag, or varying an existing prescriber bag listing. </w:t>
            </w:r>
          </w:p>
          <w:p w14:paraId="7EF9BA42" w14:textId="77777777" w:rsidR="007F48F6" w:rsidRPr="00325BC7" w:rsidRDefault="007F48F6" w:rsidP="005B583D">
            <w:pPr>
              <w:pStyle w:val="ListParagraph"/>
              <w:numPr>
                <w:ilvl w:val="0"/>
                <w:numId w:val="5"/>
              </w:numPr>
              <w:autoSpaceDE w:val="0"/>
              <w:autoSpaceDN w:val="0"/>
              <w:adjustRightInd w:val="0"/>
              <w:ind w:left="360"/>
              <w:rPr>
                <w:rFonts w:ascii="Arial" w:hAnsi="Arial" w:cs="Arial"/>
                <w:b/>
                <w:sz w:val="18"/>
                <w:szCs w:val="18"/>
              </w:rPr>
            </w:pPr>
            <w:r w:rsidRPr="00325BC7">
              <w:rPr>
                <w:rFonts w:ascii="Arial" w:hAnsi="Arial" w:cs="Arial"/>
                <w:sz w:val="18"/>
                <w:szCs w:val="18"/>
              </w:rPr>
              <w:t xml:space="preserve">A change/new manner of administration of a listed medicine. </w:t>
            </w:r>
          </w:p>
          <w:p w14:paraId="4D6B65C5" w14:textId="77777777" w:rsidR="007F48F6" w:rsidRPr="00325BC7" w:rsidRDefault="007F48F6" w:rsidP="005B583D">
            <w:pPr>
              <w:pStyle w:val="ListParagraph"/>
              <w:numPr>
                <w:ilvl w:val="0"/>
                <w:numId w:val="5"/>
              </w:numPr>
              <w:autoSpaceDE w:val="0"/>
              <w:autoSpaceDN w:val="0"/>
              <w:adjustRightInd w:val="0"/>
              <w:ind w:left="360"/>
              <w:rPr>
                <w:rFonts w:ascii="Arial" w:hAnsi="Arial" w:cs="Arial"/>
                <w:b/>
                <w:sz w:val="18"/>
                <w:szCs w:val="18"/>
              </w:rPr>
            </w:pPr>
            <w:r w:rsidRPr="00325BC7">
              <w:rPr>
                <w:rFonts w:ascii="Arial" w:hAnsi="Arial" w:cs="Arial"/>
                <w:sz w:val="18"/>
                <w:szCs w:val="18"/>
              </w:rPr>
              <w:t xml:space="preserve">A change to the maximum quantity and/or number of repeats of a listed medicine. </w:t>
            </w:r>
          </w:p>
          <w:p w14:paraId="2C2C10B5" w14:textId="77777777" w:rsidR="007F48F6" w:rsidRPr="00325BC7" w:rsidRDefault="007F48F6" w:rsidP="005B583D">
            <w:pPr>
              <w:pStyle w:val="ListParagraph"/>
              <w:numPr>
                <w:ilvl w:val="0"/>
                <w:numId w:val="5"/>
              </w:numPr>
              <w:autoSpaceDE w:val="0"/>
              <w:autoSpaceDN w:val="0"/>
              <w:adjustRightInd w:val="0"/>
              <w:ind w:left="360"/>
              <w:rPr>
                <w:rFonts w:ascii="Arial" w:hAnsi="Arial" w:cs="Arial"/>
                <w:b/>
                <w:sz w:val="18"/>
                <w:szCs w:val="18"/>
              </w:rPr>
            </w:pPr>
            <w:r w:rsidRPr="00325BC7">
              <w:rPr>
                <w:rFonts w:ascii="Arial" w:hAnsi="Arial" w:cs="Arial"/>
                <w:sz w:val="18"/>
                <w:szCs w:val="18"/>
              </w:rPr>
              <w:t>A change or addition to the prescriber type(s) of a listed medicine.</w:t>
            </w:r>
          </w:p>
        </w:tc>
      </w:tr>
    </w:tbl>
    <w:p w14:paraId="1A3326E0" w14:textId="77777777" w:rsidR="007F48F6" w:rsidRDefault="007F48F6" w:rsidP="00EF3B9C">
      <w:pPr>
        <w:rPr>
          <w:rFonts w:ascii="Arial" w:hAnsi="Arial" w:cs="Arial"/>
          <w:b/>
          <w:sz w:val="18"/>
          <w:szCs w:val="18"/>
          <w:lang w:val="en-US"/>
        </w:rPr>
      </w:pPr>
    </w:p>
    <w:p w14:paraId="6CE3C41E" w14:textId="4F70171A" w:rsidR="00640C80" w:rsidRPr="001D4E5E" w:rsidRDefault="005A0A21" w:rsidP="00EF3B9C">
      <w:pPr>
        <w:rPr>
          <w:rFonts w:ascii="Arial" w:hAnsi="Arial" w:cs="Arial"/>
          <w:b/>
          <w:sz w:val="18"/>
          <w:szCs w:val="18"/>
          <w:lang w:val="en-US"/>
        </w:rPr>
      </w:pPr>
      <w:r w:rsidRPr="001D4E5E">
        <w:rPr>
          <w:rFonts w:ascii="Arial" w:hAnsi="Arial" w:cs="Arial"/>
          <w:b/>
          <w:sz w:val="18"/>
          <w:szCs w:val="18"/>
          <w:lang w:val="en-US"/>
        </w:rPr>
        <w:t>Resubmission pathways</w:t>
      </w:r>
    </w:p>
    <w:p w14:paraId="025CE011" w14:textId="77777777" w:rsidR="005A0A21" w:rsidRPr="001D4E5E" w:rsidRDefault="005A0A21" w:rsidP="00640C80">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687774" w14:paraId="1B32CA1F" w14:textId="77777777" w:rsidTr="00A159CA">
        <w:trPr>
          <w:cantSplit/>
        </w:trPr>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pPr>
              <w:spacing w:after="160"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and also applies where: </w:t>
            </w:r>
          </w:p>
          <w:p w14:paraId="430AF034" w14:textId="77777777" w:rsidR="004A3371" w:rsidRPr="001D4E5E" w:rsidRDefault="004A3371" w:rsidP="00461045">
            <w:pPr>
              <w:pStyle w:val="ListParagraph"/>
              <w:numPr>
                <w:ilvl w:val="0"/>
                <w:numId w:val="1"/>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461045">
            <w:pPr>
              <w:pStyle w:val="ListParagraph"/>
              <w:numPr>
                <w:ilvl w:val="0"/>
                <w:numId w:val="1"/>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461045">
            <w:pPr>
              <w:pStyle w:val="ListParagraph"/>
              <w:numPr>
                <w:ilvl w:val="0"/>
                <w:numId w:val="1"/>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decides to lodge later than the allowable timelines for the other pathways. </w:t>
            </w:r>
          </w:p>
        </w:tc>
      </w:tr>
      <w:tr w:rsidR="004A3371" w:rsidRPr="00687774" w14:paraId="46BDFCAF"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pPr>
              <w:spacing w:after="160"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77777777" w:rsidR="004A3371" w:rsidRPr="001D4E5E" w:rsidRDefault="004A3371">
            <w:pPr>
              <w:spacing w:after="160" w:line="252" w:lineRule="auto"/>
              <w:contextualSpacing/>
              <w:rPr>
                <w:rFonts w:ascii="Arial" w:hAnsi="Arial" w:cs="Arial"/>
                <w:color w:val="000000"/>
                <w:sz w:val="18"/>
                <w:szCs w:val="18"/>
              </w:rPr>
            </w:pPr>
            <w:r w:rsidRPr="001D4E5E">
              <w:rPr>
                <w:rFonts w:ascii="Arial" w:hAnsi="Arial" w:cs="Arial"/>
                <w:sz w:val="18"/>
                <w:szCs w:val="18"/>
              </w:rPr>
              <w:t>An Early Re-entry Pathway may be nominated by the PBAC where the PBAC considers that the remaining issues could be easily resolved and the medicine or vaccine does not represent HATV for the proposed population. Applicants who accept this pathway are eligible for PBAC consideration at the immediate next meeting.</w:t>
            </w:r>
          </w:p>
        </w:tc>
      </w:tr>
      <w:tr w:rsidR="004A3371" w:rsidRPr="00687774" w14:paraId="1A2475F2"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pPr>
              <w:spacing w:line="252" w:lineRule="auto"/>
              <w:rPr>
                <w:rFonts w:ascii="Arial" w:hAnsi="Arial" w:cs="Arial"/>
                <w:b/>
                <w:bCs/>
                <w:sz w:val="18"/>
                <w:szCs w:val="18"/>
                <w:lang w:eastAsia="en-US"/>
              </w:rPr>
            </w:pPr>
            <w:r w:rsidRPr="001D4E5E">
              <w:rPr>
                <w:rFonts w:ascii="Arial" w:hAnsi="Arial" w:cs="Arial"/>
                <w:b/>
                <w:bCs/>
                <w:sz w:val="18"/>
                <w:szCs w:val="18"/>
              </w:rPr>
              <w:lastRenderedPageBreak/>
              <w:t>Early resolution pathway</w:t>
            </w:r>
          </w:p>
          <w:p w14:paraId="157D2C85" w14:textId="77777777" w:rsidR="004A3371" w:rsidRPr="001D4E5E" w:rsidRDefault="004A3371">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High Added Therapeutic Value (HATV) AND where the PBAC considers that the remaining issues could be easily resolved, including when: </w:t>
            </w:r>
          </w:p>
          <w:p w14:paraId="6EC882B7" w14:textId="77777777" w:rsidR="004A3371" w:rsidRPr="001D4E5E" w:rsidRDefault="004A3371" w:rsidP="00461045">
            <w:pPr>
              <w:pStyle w:val="ListParagraph"/>
              <w:numPr>
                <w:ilvl w:val="0"/>
                <w:numId w:val="2"/>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461045">
            <w:pPr>
              <w:pStyle w:val="ListParagraph"/>
              <w:numPr>
                <w:ilvl w:val="0"/>
                <w:numId w:val="2"/>
              </w:numPr>
              <w:autoSpaceDE w:val="0"/>
              <w:autoSpaceDN w:val="0"/>
              <w:spacing w:after="120"/>
              <w:contextualSpacing w:val="0"/>
              <w:rPr>
                <w:rFonts w:ascii="Arial" w:hAnsi="Arial" w:cs="Arial"/>
                <w:color w:val="000000"/>
                <w:sz w:val="18"/>
                <w:szCs w:val="18"/>
              </w:rPr>
            </w:pPr>
            <w:r w:rsidRPr="001D4E5E">
              <w:rPr>
                <w:rFonts w:ascii="Arial" w:hAnsi="Arial" w:cs="Arial"/>
                <w:color w:val="000000"/>
                <w:sz w:val="18"/>
                <w:szCs w:val="18"/>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4F2BEE75" w:rsidR="00AD3477" w:rsidRDefault="00AD3477" w:rsidP="004A3371">
      <w:pPr>
        <w:tabs>
          <w:tab w:val="left" w:pos="5210"/>
        </w:tabs>
        <w:rPr>
          <w:rFonts w:asciiTheme="minorHAnsi" w:hAnsiTheme="minorHAnsi" w:cstheme="minorHAnsi"/>
          <w:sz w:val="18"/>
          <w:szCs w:val="18"/>
          <w:lang w:val="en-US"/>
        </w:rPr>
      </w:pPr>
    </w:p>
    <w:p w14:paraId="6C9BA0D5" w14:textId="71416651" w:rsidR="00461045" w:rsidRPr="000732A5" w:rsidRDefault="000732A5" w:rsidP="004A3371">
      <w:pPr>
        <w:tabs>
          <w:tab w:val="left" w:pos="5210"/>
        </w:tabs>
        <w:rPr>
          <w:rFonts w:ascii="Arial" w:hAnsi="Arial" w:cs="Arial"/>
          <w:b/>
          <w:sz w:val="18"/>
          <w:szCs w:val="18"/>
          <w:lang w:val="en-US"/>
        </w:rPr>
      </w:pPr>
      <w:r w:rsidRPr="000732A5">
        <w:rPr>
          <w:rFonts w:ascii="Arial" w:hAnsi="Arial" w:cs="Arial"/>
          <w:b/>
          <w:sz w:val="18"/>
          <w:szCs w:val="18"/>
          <w:lang w:val="en-US"/>
        </w:rPr>
        <w:t>Version 2</w:t>
      </w:r>
    </w:p>
    <w:p w14:paraId="67B76E05" w14:textId="0748B43A" w:rsidR="000732A5" w:rsidRPr="000732A5" w:rsidRDefault="000732A5" w:rsidP="004A3371">
      <w:pPr>
        <w:tabs>
          <w:tab w:val="left" w:pos="5210"/>
        </w:tabs>
        <w:rPr>
          <w:rFonts w:ascii="Arial" w:hAnsi="Arial" w:cs="Arial"/>
          <w:sz w:val="18"/>
          <w:szCs w:val="18"/>
          <w:u w:val="single"/>
          <w:lang w:val="en-US"/>
        </w:rPr>
      </w:pPr>
      <w:r>
        <w:rPr>
          <w:rFonts w:ascii="Arial" w:hAnsi="Arial" w:cs="Arial"/>
          <w:sz w:val="18"/>
          <w:szCs w:val="18"/>
          <w:u w:val="single"/>
          <w:lang w:val="en-US"/>
        </w:rPr>
        <w:t>Amendment</w:t>
      </w:r>
    </w:p>
    <w:p w14:paraId="2783FC4F" w14:textId="7875BE57" w:rsidR="000732A5" w:rsidRPr="000732A5" w:rsidRDefault="000732A5" w:rsidP="000732A5">
      <w:pPr>
        <w:pStyle w:val="ListParagraph"/>
        <w:numPr>
          <w:ilvl w:val="0"/>
          <w:numId w:val="7"/>
        </w:numPr>
        <w:tabs>
          <w:tab w:val="left" w:pos="5210"/>
        </w:tabs>
        <w:rPr>
          <w:rFonts w:ascii="Arial" w:hAnsi="Arial" w:cs="Arial"/>
          <w:sz w:val="18"/>
          <w:szCs w:val="18"/>
          <w:lang w:val="en-US"/>
        </w:rPr>
      </w:pPr>
      <w:r w:rsidRPr="000732A5">
        <w:rPr>
          <w:rFonts w:ascii="Arial" w:eastAsia="Calibri" w:hAnsi="Arial" w:cs="Arial"/>
          <w:sz w:val="18"/>
          <w:szCs w:val="18"/>
          <w:lang w:eastAsia="en-US"/>
        </w:rPr>
        <w:t>ETANERCEPT (</w:t>
      </w:r>
      <w:r w:rsidRPr="000732A5">
        <w:rPr>
          <w:rFonts w:ascii="Arial" w:hAnsi="Arial" w:cs="Arial"/>
          <w:color w:val="000000"/>
          <w:sz w:val="18"/>
          <w:szCs w:val="18"/>
        </w:rPr>
        <w:t xml:space="preserve">Enbrel®) – </w:t>
      </w:r>
      <w:r>
        <w:rPr>
          <w:rFonts w:ascii="Arial" w:hAnsi="Arial" w:cs="Arial"/>
          <w:color w:val="000000"/>
          <w:sz w:val="18"/>
          <w:szCs w:val="18"/>
        </w:rPr>
        <w:t>clarified</w:t>
      </w:r>
      <w:r w:rsidRPr="000732A5">
        <w:rPr>
          <w:rFonts w:ascii="Arial" w:hAnsi="Arial" w:cs="Arial"/>
          <w:color w:val="000000"/>
          <w:sz w:val="18"/>
          <w:szCs w:val="18"/>
        </w:rPr>
        <w:t xml:space="preserve"> </w:t>
      </w:r>
      <w:r w:rsidR="00582B29">
        <w:rPr>
          <w:rFonts w:ascii="Arial" w:hAnsi="Arial" w:cs="Arial"/>
          <w:color w:val="000000"/>
          <w:sz w:val="18"/>
          <w:szCs w:val="18"/>
        </w:rPr>
        <w:t>‘</w:t>
      </w:r>
      <w:r w:rsidRPr="000732A5">
        <w:rPr>
          <w:rFonts w:ascii="Arial" w:hAnsi="Arial" w:cs="Arial"/>
          <w:color w:val="000000"/>
          <w:sz w:val="18"/>
          <w:szCs w:val="18"/>
        </w:rPr>
        <w:t>a</w:t>
      </w:r>
      <w:r w:rsidR="00582B29">
        <w:rPr>
          <w:rFonts w:ascii="Arial" w:hAnsi="Arial" w:cs="Arial"/>
          <w:color w:val="000000"/>
          <w:sz w:val="18"/>
          <w:szCs w:val="18"/>
        </w:rPr>
        <w:t>’</w:t>
      </w:r>
      <w:r w:rsidRPr="000732A5">
        <w:rPr>
          <w:rFonts w:ascii="Arial" w:hAnsi="Arial" w:cs="Arial"/>
          <w:color w:val="000000"/>
          <w:sz w:val="18"/>
          <w:szCs w:val="18"/>
        </w:rPr>
        <w:t>-flagging advice</w:t>
      </w:r>
      <w:bookmarkStart w:id="0" w:name="_GoBack"/>
      <w:bookmarkEnd w:id="0"/>
    </w:p>
    <w:sectPr w:rsidR="000732A5" w:rsidRPr="000732A5"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FA32F7" w16cid:durableId="24C8C5DB"/>
  <w16cid:commentId w16cid:paraId="591D0223" w16cid:durableId="24C8C5DC"/>
  <w16cid:commentId w16cid:paraId="02BB3161" w16cid:durableId="24C8C5DD"/>
  <w16cid:commentId w16cid:paraId="02779833" w16cid:durableId="24C8C5DE"/>
  <w16cid:commentId w16cid:paraId="71D9A435" w16cid:durableId="24C8C5DF"/>
  <w16cid:commentId w16cid:paraId="008A9B55" w16cid:durableId="24C8C5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910F" w14:textId="77777777" w:rsidR="00D230C1" w:rsidRDefault="00D230C1">
      <w:r>
        <w:separator/>
      </w:r>
    </w:p>
  </w:endnote>
  <w:endnote w:type="continuationSeparator" w:id="0">
    <w:p w14:paraId="0B94B43F" w14:textId="77777777" w:rsidR="00D230C1" w:rsidRDefault="00D2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7BCB" w14:textId="77777777" w:rsidR="00D230C1" w:rsidRDefault="00D230C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D230C1" w:rsidRDefault="00D230C1"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180A" w14:textId="012A1CDD" w:rsidR="00D230C1" w:rsidRPr="00287C89" w:rsidRDefault="00D230C1"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BF1DF2">
      <w:rPr>
        <w:rStyle w:val="PageNumber"/>
        <w:rFonts w:ascii="Arial" w:hAnsi="Arial" w:cs="Arial"/>
        <w:noProof/>
      </w:rPr>
      <w:t>34</w:t>
    </w:r>
    <w:r w:rsidRPr="00287C89">
      <w:rPr>
        <w:rStyle w:val="PageNumber"/>
        <w:rFonts w:ascii="Arial" w:hAnsi="Arial" w:cs="Arial"/>
      </w:rPr>
      <w:fldChar w:fldCharType="end"/>
    </w:r>
  </w:p>
  <w:p w14:paraId="5DEC0542" w14:textId="77777777" w:rsidR="00D230C1" w:rsidRDefault="00D230C1" w:rsidP="00FE2A81">
    <w:pPr>
      <w:pStyle w:val="Footer"/>
      <w:ind w:right="360"/>
    </w:pPr>
  </w:p>
  <w:p w14:paraId="429295B6" w14:textId="77777777" w:rsidR="00D230C1" w:rsidRDefault="00D230C1"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AF80" w14:textId="77777777" w:rsidR="00D230C1" w:rsidRDefault="00D230C1">
      <w:r>
        <w:separator/>
      </w:r>
    </w:p>
  </w:footnote>
  <w:footnote w:type="continuationSeparator" w:id="0">
    <w:p w14:paraId="7F846E8F" w14:textId="77777777" w:rsidR="00D230C1" w:rsidRDefault="00D2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6D89" w14:textId="77777777" w:rsidR="00D230C1" w:rsidRPr="00571206" w:rsidRDefault="00D230C1" w:rsidP="00571206">
    <w:pPr>
      <w:autoSpaceDE w:val="0"/>
      <w:autoSpaceDN w:val="0"/>
      <w:adjustRightInd w:val="0"/>
      <w:rPr>
        <w:rFonts w:ascii="Arial" w:hAnsi="Arial" w:cs="Arial"/>
        <w:color w:val="000000"/>
        <w:sz w:val="24"/>
        <w:szCs w:val="24"/>
      </w:rPr>
    </w:pPr>
  </w:p>
  <w:p w14:paraId="117035EF" w14:textId="1E14CCFB" w:rsidR="00D230C1" w:rsidRDefault="00D230C1"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162D7FCC" w:rsidR="00D230C1" w:rsidRDefault="00D230C1" w:rsidP="00571206">
    <w:pPr>
      <w:pStyle w:val="Header"/>
      <w:jc w:val="center"/>
      <w:rPr>
        <w:rFonts w:ascii="Arial" w:hAnsi="Arial" w:cs="Arial"/>
        <w:b/>
      </w:rPr>
    </w:pPr>
    <w:r>
      <w:rPr>
        <w:rFonts w:ascii="Arial" w:hAnsi="Arial" w:cs="Arial"/>
        <w:b/>
      </w:rPr>
      <w:t>JULY 2021 PBAC MEETING</w:t>
    </w:r>
  </w:p>
  <w:p w14:paraId="0E28AC1B" w14:textId="77777777" w:rsidR="00D230C1" w:rsidRPr="0071356F" w:rsidRDefault="00D230C1"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3"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5" w15:restartNumberingAfterBreak="0">
    <w:nsid w:val="5E5C476C"/>
    <w:multiLevelType w:val="hybridMultilevel"/>
    <w:tmpl w:val="E9AAAF50"/>
    <w:lvl w:ilvl="0" w:tplc="31DC2D3E">
      <w:start w:val="1"/>
      <w:numFmt w:val="decimal"/>
      <w:lvlText w:val="%1."/>
      <w:lvlJc w:val="left"/>
      <w:pPr>
        <w:ind w:left="720" w:hanging="360"/>
      </w:pPr>
      <w:rPr>
        <w:rFonts w:ascii="Arial Narrow" w:eastAsia="Calibri" w:hAnsi="Arial Narrow" w:cs="Times New Roman"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707"/>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946"/>
    <w:rsid w:val="000322EC"/>
    <w:rsid w:val="00032AB9"/>
    <w:rsid w:val="00033D0B"/>
    <w:rsid w:val="00034086"/>
    <w:rsid w:val="00034121"/>
    <w:rsid w:val="000350A9"/>
    <w:rsid w:val="00035472"/>
    <w:rsid w:val="0003562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50B"/>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061C"/>
    <w:rsid w:val="000714CE"/>
    <w:rsid w:val="00071D67"/>
    <w:rsid w:val="00072584"/>
    <w:rsid w:val="000728AC"/>
    <w:rsid w:val="00072F02"/>
    <w:rsid w:val="000732A5"/>
    <w:rsid w:val="00074126"/>
    <w:rsid w:val="0007567B"/>
    <w:rsid w:val="00075B7E"/>
    <w:rsid w:val="00076287"/>
    <w:rsid w:val="00076297"/>
    <w:rsid w:val="00077555"/>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269"/>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04"/>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A94"/>
    <w:rsid w:val="000C1BA1"/>
    <w:rsid w:val="000C219D"/>
    <w:rsid w:val="000C22B0"/>
    <w:rsid w:val="000C2786"/>
    <w:rsid w:val="000C2E72"/>
    <w:rsid w:val="000C2FFA"/>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C73"/>
    <w:rsid w:val="000E2C8F"/>
    <w:rsid w:val="000E2EA3"/>
    <w:rsid w:val="000E31F7"/>
    <w:rsid w:val="000E4B3E"/>
    <w:rsid w:val="000E539F"/>
    <w:rsid w:val="000E5563"/>
    <w:rsid w:val="000E6CF9"/>
    <w:rsid w:val="000E73BD"/>
    <w:rsid w:val="000F069C"/>
    <w:rsid w:val="000F0B27"/>
    <w:rsid w:val="000F1D4F"/>
    <w:rsid w:val="000F26BE"/>
    <w:rsid w:val="000F2E82"/>
    <w:rsid w:val="000F305F"/>
    <w:rsid w:val="000F3A4F"/>
    <w:rsid w:val="000F3D50"/>
    <w:rsid w:val="000F5D35"/>
    <w:rsid w:val="000F5DDE"/>
    <w:rsid w:val="000F6F0D"/>
    <w:rsid w:val="000F7390"/>
    <w:rsid w:val="001000EA"/>
    <w:rsid w:val="00100B0B"/>
    <w:rsid w:val="001025E7"/>
    <w:rsid w:val="0010275F"/>
    <w:rsid w:val="0010316E"/>
    <w:rsid w:val="001038BB"/>
    <w:rsid w:val="00103F76"/>
    <w:rsid w:val="001049E3"/>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5E47"/>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3FEE"/>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809"/>
    <w:rsid w:val="00155BC9"/>
    <w:rsid w:val="00155C11"/>
    <w:rsid w:val="00157D22"/>
    <w:rsid w:val="00157F62"/>
    <w:rsid w:val="001600EB"/>
    <w:rsid w:val="00160423"/>
    <w:rsid w:val="00160AB7"/>
    <w:rsid w:val="00161C25"/>
    <w:rsid w:val="00161CD7"/>
    <w:rsid w:val="0016312E"/>
    <w:rsid w:val="00163182"/>
    <w:rsid w:val="0016341E"/>
    <w:rsid w:val="00163694"/>
    <w:rsid w:val="00164EA4"/>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E59"/>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6C3"/>
    <w:rsid w:val="001B1838"/>
    <w:rsid w:val="001B1C67"/>
    <w:rsid w:val="001B2234"/>
    <w:rsid w:val="001B22B4"/>
    <w:rsid w:val="001B2C7D"/>
    <w:rsid w:val="001B3984"/>
    <w:rsid w:val="001B3FE9"/>
    <w:rsid w:val="001B46AE"/>
    <w:rsid w:val="001B5009"/>
    <w:rsid w:val="001B54F0"/>
    <w:rsid w:val="001B5950"/>
    <w:rsid w:val="001B5DCE"/>
    <w:rsid w:val="001B6AAD"/>
    <w:rsid w:val="001B71B5"/>
    <w:rsid w:val="001B78E2"/>
    <w:rsid w:val="001B7BF2"/>
    <w:rsid w:val="001B7EED"/>
    <w:rsid w:val="001C00A8"/>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5979"/>
    <w:rsid w:val="001E5C38"/>
    <w:rsid w:val="001E70C9"/>
    <w:rsid w:val="001E776D"/>
    <w:rsid w:val="001E777A"/>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28FF"/>
    <w:rsid w:val="0020322B"/>
    <w:rsid w:val="002032C8"/>
    <w:rsid w:val="00203A75"/>
    <w:rsid w:val="0020409B"/>
    <w:rsid w:val="00205C7C"/>
    <w:rsid w:val="002060A5"/>
    <w:rsid w:val="002068F5"/>
    <w:rsid w:val="002070E4"/>
    <w:rsid w:val="0020721C"/>
    <w:rsid w:val="002072C3"/>
    <w:rsid w:val="00207813"/>
    <w:rsid w:val="0020790A"/>
    <w:rsid w:val="00207E86"/>
    <w:rsid w:val="00210594"/>
    <w:rsid w:val="00210F65"/>
    <w:rsid w:val="002114F0"/>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A8F"/>
    <w:rsid w:val="0024727D"/>
    <w:rsid w:val="00247783"/>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67F1F"/>
    <w:rsid w:val="00271BEB"/>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3C7F"/>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708"/>
    <w:rsid w:val="002B4D46"/>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BFF"/>
    <w:rsid w:val="002C7D3C"/>
    <w:rsid w:val="002D04DB"/>
    <w:rsid w:val="002D0DDF"/>
    <w:rsid w:val="002D17A5"/>
    <w:rsid w:val="002D1AC7"/>
    <w:rsid w:val="002D347E"/>
    <w:rsid w:val="002D3D17"/>
    <w:rsid w:val="002D42A0"/>
    <w:rsid w:val="002D440D"/>
    <w:rsid w:val="002D4C8C"/>
    <w:rsid w:val="002D4EF6"/>
    <w:rsid w:val="002D5367"/>
    <w:rsid w:val="002D545A"/>
    <w:rsid w:val="002D550B"/>
    <w:rsid w:val="002D59E5"/>
    <w:rsid w:val="002D5C23"/>
    <w:rsid w:val="002D5CBC"/>
    <w:rsid w:val="002D5DC3"/>
    <w:rsid w:val="002D6B4D"/>
    <w:rsid w:val="002E0FD6"/>
    <w:rsid w:val="002E1388"/>
    <w:rsid w:val="002E16E6"/>
    <w:rsid w:val="002E1AD3"/>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D6F"/>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0617A"/>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2F1"/>
    <w:rsid w:val="0032378E"/>
    <w:rsid w:val="00323C12"/>
    <w:rsid w:val="00323C80"/>
    <w:rsid w:val="00323D04"/>
    <w:rsid w:val="003243CB"/>
    <w:rsid w:val="003245FB"/>
    <w:rsid w:val="003250E2"/>
    <w:rsid w:val="0032569E"/>
    <w:rsid w:val="00325BC7"/>
    <w:rsid w:val="00326522"/>
    <w:rsid w:val="003270BF"/>
    <w:rsid w:val="00327A0C"/>
    <w:rsid w:val="003301A3"/>
    <w:rsid w:val="00330353"/>
    <w:rsid w:val="0033063D"/>
    <w:rsid w:val="00331DCA"/>
    <w:rsid w:val="00332129"/>
    <w:rsid w:val="00332736"/>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6BB9"/>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21D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21"/>
    <w:rsid w:val="00393110"/>
    <w:rsid w:val="00393DD4"/>
    <w:rsid w:val="003946AC"/>
    <w:rsid w:val="00395338"/>
    <w:rsid w:val="00395600"/>
    <w:rsid w:val="00395B97"/>
    <w:rsid w:val="00397340"/>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2533"/>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0A"/>
    <w:rsid w:val="003E236D"/>
    <w:rsid w:val="003E2CFE"/>
    <w:rsid w:val="003E2E8C"/>
    <w:rsid w:val="003E3009"/>
    <w:rsid w:val="003E308A"/>
    <w:rsid w:val="003E367A"/>
    <w:rsid w:val="003E37A4"/>
    <w:rsid w:val="003E4136"/>
    <w:rsid w:val="003E4E45"/>
    <w:rsid w:val="003E61CB"/>
    <w:rsid w:val="003E7AFC"/>
    <w:rsid w:val="003E7C04"/>
    <w:rsid w:val="003E7C95"/>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BA3"/>
    <w:rsid w:val="00400D40"/>
    <w:rsid w:val="0040144A"/>
    <w:rsid w:val="004014C9"/>
    <w:rsid w:val="00401B46"/>
    <w:rsid w:val="00401DDB"/>
    <w:rsid w:val="00402B5F"/>
    <w:rsid w:val="00402C3D"/>
    <w:rsid w:val="00403087"/>
    <w:rsid w:val="00403EDA"/>
    <w:rsid w:val="00403F44"/>
    <w:rsid w:val="0040409C"/>
    <w:rsid w:val="00404A45"/>
    <w:rsid w:val="00405576"/>
    <w:rsid w:val="004058B8"/>
    <w:rsid w:val="00405B3F"/>
    <w:rsid w:val="00406113"/>
    <w:rsid w:val="004063C4"/>
    <w:rsid w:val="004072FC"/>
    <w:rsid w:val="004074CB"/>
    <w:rsid w:val="00407D7D"/>
    <w:rsid w:val="00407EDD"/>
    <w:rsid w:val="00410247"/>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3964"/>
    <w:rsid w:val="004349D9"/>
    <w:rsid w:val="004353AE"/>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045"/>
    <w:rsid w:val="00461DC0"/>
    <w:rsid w:val="00462787"/>
    <w:rsid w:val="004628F0"/>
    <w:rsid w:val="00462D54"/>
    <w:rsid w:val="00462D63"/>
    <w:rsid w:val="00463886"/>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577"/>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1C8"/>
    <w:rsid w:val="004B6415"/>
    <w:rsid w:val="004B64FA"/>
    <w:rsid w:val="004B758A"/>
    <w:rsid w:val="004B7F9F"/>
    <w:rsid w:val="004C06CE"/>
    <w:rsid w:val="004C099B"/>
    <w:rsid w:val="004C0BAC"/>
    <w:rsid w:val="004C0DB4"/>
    <w:rsid w:val="004C10A2"/>
    <w:rsid w:val="004C13F1"/>
    <w:rsid w:val="004C16F5"/>
    <w:rsid w:val="004C2E64"/>
    <w:rsid w:val="004C33E8"/>
    <w:rsid w:val="004C4A96"/>
    <w:rsid w:val="004C4E5F"/>
    <w:rsid w:val="004C5875"/>
    <w:rsid w:val="004C5F28"/>
    <w:rsid w:val="004C6997"/>
    <w:rsid w:val="004C6CDB"/>
    <w:rsid w:val="004C723F"/>
    <w:rsid w:val="004C7C36"/>
    <w:rsid w:val="004C7D16"/>
    <w:rsid w:val="004D0132"/>
    <w:rsid w:val="004D080F"/>
    <w:rsid w:val="004D138E"/>
    <w:rsid w:val="004D185E"/>
    <w:rsid w:val="004D2556"/>
    <w:rsid w:val="004D29F9"/>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C4"/>
    <w:rsid w:val="004F5D65"/>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2C8A"/>
    <w:rsid w:val="00523AF8"/>
    <w:rsid w:val="00523F57"/>
    <w:rsid w:val="00523F8F"/>
    <w:rsid w:val="005248F8"/>
    <w:rsid w:val="00524E1E"/>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6E5"/>
    <w:rsid w:val="00551309"/>
    <w:rsid w:val="00551D80"/>
    <w:rsid w:val="00552426"/>
    <w:rsid w:val="00552F1A"/>
    <w:rsid w:val="0055363B"/>
    <w:rsid w:val="00553693"/>
    <w:rsid w:val="005536D5"/>
    <w:rsid w:val="00553934"/>
    <w:rsid w:val="00553B71"/>
    <w:rsid w:val="00554C4D"/>
    <w:rsid w:val="00555241"/>
    <w:rsid w:val="00555C08"/>
    <w:rsid w:val="00556A43"/>
    <w:rsid w:val="0056087F"/>
    <w:rsid w:val="0056121A"/>
    <w:rsid w:val="00562195"/>
    <w:rsid w:val="0056261D"/>
    <w:rsid w:val="00562918"/>
    <w:rsid w:val="00563269"/>
    <w:rsid w:val="00564169"/>
    <w:rsid w:val="00564643"/>
    <w:rsid w:val="00564772"/>
    <w:rsid w:val="00566518"/>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501B"/>
    <w:rsid w:val="005767F1"/>
    <w:rsid w:val="00576A92"/>
    <w:rsid w:val="00577417"/>
    <w:rsid w:val="005779BD"/>
    <w:rsid w:val="00580009"/>
    <w:rsid w:val="00580850"/>
    <w:rsid w:val="00580912"/>
    <w:rsid w:val="00580D6B"/>
    <w:rsid w:val="00580F14"/>
    <w:rsid w:val="005812AE"/>
    <w:rsid w:val="0058144C"/>
    <w:rsid w:val="0058159E"/>
    <w:rsid w:val="00581F5D"/>
    <w:rsid w:val="00582234"/>
    <w:rsid w:val="005824FB"/>
    <w:rsid w:val="00582686"/>
    <w:rsid w:val="005829C4"/>
    <w:rsid w:val="00582B29"/>
    <w:rsid w:val="00582D45"/>
    <w:rsid w:val="00582E8D"/>
    <w:rsid w:val="00582FA1"/>
    <w:rsid w:val="005843DF"/>
    <w:rsid w:val="005860BC"/>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4C2"/>
    <w:rsid w:val="005B1B4F"/>
    <w:rsid w:val="005B2564"/>
    <w:rsid w:val="005B2E53"/>
    <w:rsid w:val="005B2F26"/>
    <w:rsid w:val="005B3076"/>
    <w:rsid w:val="005B389B"/>
    <w:rsid w:val="005B4B88"/>
    <w:rsid w:val="005B4C25"/>
    <w:rsid w:val="005B52D8"/>
    <w:rsid w:val="005B57E9"/>
    <w:rsid w:val="005B583D"/>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3D9"/>
    <w:rsid w:val="005D6E2B"/>
    <w:rsid w:val="005D71BB"/>
    <w:rsid w:val="005D7D0E"/>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250"/>
    <w:rsid w:val="00611D8D"/>
    <w:rsid w:val="006122E2"/>
    <w:rsid w:val="006125AA"/>
    <w:rsid w:val="00613E9D"/>
    <w:rsid w:val="0061423C"/>
    <w:rsid w:val="0061427C"/>
    <w:rsid w:val="00615DED"/>
    <w:rsid w:val="00615FAB"/>
    <w:rsid w:val="006169BB"/>
    <w:rsid w:val="00616B50"/>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37EA"/>
    <w:rsid w:val="006348ED"/>
    <w:rsid w:val="006355E6"/>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038"/>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0A3"/>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470"/>
    <w:rsid w:val="006C75FA"/>
    <w:rsid w:val="006C7FAC"/>
    <w:rsid w:val="006D002D"/>
    <w:rsid w:val="006D0421"/>
    <w:rsid w:val="006D047B"/>
    <w:rsid w:val="006D1D18"/>
    <w:rsid w:val="006D2594"/>
    <w:rsid w:val="006D2BD4"/>
    <w:rsid w:val="006D3530"/>
    <w:rsid w:val="006D3BF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6F7BBD"/>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0630"/>
    <w:rsid w:val="00711526"/>
    <w:rsid w:val="0071165C"/>
    <w:rsid w:val="00711CAD"/>
    <w:rsid w:val="0071201B"/>
    <w:rsid w:val="0071320C"/>
    <w:rsid w:val="0071356F"/>
    <w:rsid w:val="00714166"/>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962"/>
    <w:rsid w:val="00721CC5"/>
    <w:rsid w:val="00721DE0"/>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C8C"/>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7D2"/>
    <w:rsid w:val="00756E30"/>
    <w:rsid w:val="0075707E"/>
    <w:rsid w:val="00757941"/>
    <w:rsid w:val="00762FCA"/>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78F"/>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48F6"/>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692"/>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41E4"/>
    <w:rsid w:val="00824394"/>
    <w:rsid w:val="00824912"/>
    <w:rsid w:val="00824F1A"/>
    <w:rsid w:val="00825B07"/>
    <w:rsid w:val="008265E8"/>
    <w:rsid w:val="00826634"/>
    <w:rsid w:val="00826C0C"/>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F08"/>
    <w:rsid w:val="008612F5"/>
    <w:rsid w:val="00861F9D"/>
    <w:rsid w:val="0086307F"/>
    <w:rsid w:val="008639AD"/>
    <w:rsid w:val="00863C1F"/>
    <w:rsid w:val="00866BCC"/>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570"/>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6B42"/>
    <w:rsid w:val="008B70D9"/>
    <w:rsid w:val="008C07A9"/>
    <w:rsid w:val="008C0A39"/>
    <w:rsid w:val="008C1814"/>
    <w:rsid w:val="008C3CCC"/>
    <w:rsid w:val="008C4084"/>
    <w:rsid w:val="008C4116"/>
    <w:rsid w:val="008C4162"/>
    <w:rsid w:val="008C43A5"/>
    <w:rsid w:val="008C5C81"/>
    <w:rsid w:val="008C5CDF"/>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513"/>
    <w:rsid w:val="0093661E"/>
    <w:rsid w:val="00936789"/>
    <w:rsid w:val="00936E0F"/>
    <w:rsid w:val="00936EF5"/>
    <w:rsid w:val="009372E1"/>
    <w:rsid w:val="00937FBA"/>
    <w:rsid w:val="009417AC"/>
    <w:rsid w:val="00942550"/>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09E5"/>
    <w:rsid w:val="009610B1"/>
    <w:rsid w:val="009618CD"/>
    <w:rsid w:val="00961F2F"/>
    <w:rsid w:val="009621E4"/>
    <w:rsid w:val="00962429"/>
    <w:rsid w:val="00963644"/>
    <w:rsid w:val="00964583"/>
    <w:rsid w:val="00964775"/>
    <w:rsid w:val="00964ACE"/>
    <w:rsid w:val="009659F8"/>
    <w:rsid w:val="009660FF"/>
    <w:rsid w:val="009664CB"/>
    <w:rsid w:val="00966CC0"/>
    <w:rsid w:val="009671A1"/>
    <w:rsid w:val="0097179C"/>
    <w:rsid w:val="0097191C"/>
    <w:rsid w:val="0097198A"/>
    <w:rsid w:val="009734BF"/>
    <w:rsid w:val="00973612"/>
    <w:rsid w:val="009737F3"/>
    <w:rsid w:val="00973917"/>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1ED6"/>
    <w:rsid w:val="009920A0"/>
    <w:rsid w:val="00992E8A"/>
    <w:rsid w:val="00992E8D"/>
    <w:rsid w:val="009937FD"/>
    <w:rsid w:val="00994F4D"/>
    <w:rsid w:val="009956D4"/>
    <w:rsid w:val="0099582B"/>
    <w:rsid w:val="00995DAF"/>
    <w:rsid w:val="00995E94"/>
    <w:rsid w:val="00995FC3"/>
    <w:rsid w:val="00996AA6"/>
    <w:rsid w:val="00997230"/>
    <w:rsid w:val="009A0274"/>
    <w:rsid w:val="009A035E"/>
    <w:rsid w:val="009A0B9D"/>
    <w:rsid w:val="009A18AB"/>
    <w:rsid w:val="009A2D7C"/>
    <w:rsid w:val="009A30FE"/>
    <w:rsid w:val="009A4644"/>
    <w:rsid w:val="009A468E"/>
    <w:rsid w:val="009A48A4"/>
    <w:rsid w:val="009A4908"/>
    <w:rsid w:val="009A4A3E"/>
    <w:rsid w:val="009A6258"/>
    <w:rsid w:val="009A6B3A"/>
    <w:rsid w:val="009A7442"/>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3112"/>
    <w:rsid w:val="009E34B7"/>
    <w:rsid w:val="009E434B"/>
    <w:rsid w:val="009E480B"/>
    <w:rsid w:val="009E4C2E"/>
    <w:rsid w:val="009E5BAE"/>
    <w:rsid w:val="009E5BF5"/>
    <w:rsid w:val="009E5D18"/>
    <w:rsid w:val="009E5EC1"/>
    <w:rsid w:val="009E5F8E"/>
    <w:rsid w:val="009E648E"/>
    <w:rsid w:val="009E65CA"/>
    <w:rsid w:val="009E699D"/>
    <w:rsid w:val="009F1904"/>
    <w:rsid w:val="009F209E"/>
    <w:rsid w:val="009F2446"/>
    <w:rsid w:val="009F2450"/>
    <w:rsid w:val="009F2BF4"/>
    <w:rsid w:val="009F2C12"/>
    <w:rsid w:val="009F2F47"/>
    <w:rsid w:val="009F385D"/>
    <w:rsid w:val="009F4B7F"/>
    <w:rsid w:val="009F555E"/>
    <w:rsid w:val="009F5C78"/>
    <w:rsid w:val="009F5F56"/>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59CA"/>
    <w:rsid w:val="00A175A7"/>
    <w:rsid w:val="00A1787D"/>
    <w:rsid w:val="00A20573"/>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1F37"/>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B00"/>
    <w:rsid w:val="00A4618D"/>
    <w:rsid w:val="00A464E1"/>
    <w:rsid w:val="00A46C4E"/>
    <w:rsid w:val="00A46D95"/>
    <w:rsid w:val="00A46F53"/>
    <w:rsid w:val="00A47081"/>
    <w:rsid w:val="00A47480"/>
    <w:rsid w:val="00A47E8C"/>
    <w:rsid w:val="00A50F9A"/>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6BE3"/>
    <w:rsid w:val="00A67F2A"/>
    <w:rsid w:val="00A71CDE"/>
    <w:rsid w:val="00A7252E"/>
    <w:rsid w:val="00A72BBC"/>
    <w:rsid w:val="00A72E18"/>
    <w:rsid w:val="00A730F3"/>
    <w:rsid w:val="00A74BE6"/>
    <w:rsid w:val="00A7557C"/>
    <w:rsid w:val="00A758A4"/>
    <w:rsid w:val="00A75A61"/>
    <w:rsid w:val="00A75BA0"/>
    <w:rsid w:val="00A768A2"/>
    <w:rsid w:val="00A76A55"/>
    <w:rsid w:val="00A773B4"/>
    <w:rsid w:val="00A80948"/>
    <w:rsid w:val="00A81811"/>
    <w:rsid w:val="00A833A3"/>
    <w:rsid w:val="00A835E5"/>
    <w:rsid w:val="00A83768"/>
    <w:rsid w:val="00A84373"/>
    <w:rsid w:val="00A8456A"/>
    <w:rsid w:val="00A845ED"/>
    <w:rsid w:val="00A867C8"/>
    <w:rsid w:val="00A867CD"/>
    <w:rsid w:val="00A86F87"/>
    <w:rsid w:val="00A87161"/>
    <w:rsid w:val="00A874D6"/>
    <w:rsid w:val="00A87C01"/>
    <w:rsid w:val="00A902A7"/>
    <w:rsid w:val="00A90327"/>
    <w:rsid w:val="00A904AB"/>
    <w:rsid w:val="00A90DEF"/>
    <w:rsid w:val="00A91FE5"/>
    <w:rsid w:val="00A93154"/>
    <w:rsid w:val="00A93214"/>
    <w:rsid w:val="00A93ABB"/>
    <w:rsid w:val="00A93C27"/>
    <w:rsid w:val="00A93C2B"/>
    <w:rsid w:val="00A94D8C"/>
    <w:rsid w:val="00A96FC0"/>
    <w:rsid w:val="00A97BFA"/>
    <w:rsid w:val="00AA007C"/>
    <w:rsid w:val="00AA0B30"/>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601"/>
    <w:rsid w:val="00AB7957"/>
    <w:rsid w:val="00AB7A15"/>
    <w:rsid w:val="00AC0BD8"/>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8F8"/>
    <w:rsid w:val="00AD692B"/>
    <w:rsid w:val="00AE0B68"/>
    <w:rsid w:val="00AE0CA2"/>
    <w:rsid w:val="00AE10CD"/>
    <w:rsid w:val="00AE1499"/>
    <w:rsid w:val="00AE2D0A"/>
    <w:rsid w:val="00AE3725"/>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F83"/>
    <w:rsid w:val="00B0338C"/>
    <w:rsid w:val="00B03F9B"/>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629"/>
    <w:rsid w:val="00B2135F"/>
    <w:rsid w:val="00B21D6E"/>
    <w:rsid w:val="00B22C39"/>
    <w:rsid w:val="00B22DE0"/>
    <w:rsid w:val="00B23D2D"/>
    <w:rsid w:val="00B24380"/>
    <w:rsid w:val="00B24FEA"/>
    <w:rsid w:val="00B2540B"/>
    <w:rsid w:val="00B258B5"/>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B94"/>
    <w:rsid w:val="00B37E95"/>
    <w:rsid w:val="00B4097F"/>
    <w:rsid w:val="00B410B3"/>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54A"/>
    <w:rsid w:val="00B86B7E"/>
    <w:rsid w:val="00B87DD5"/>
    <w:rsid w:val="00B90F96"/>
    <w:rsid w:val="00B9219F"/>
    <w:rsid w:val="00B926CB"/>
    <w:rsid w:val="00B933B2"/>
    <w:rsid w:val="00B936CB"/>
    <w:rsid w:val="00B93CAF"/>
    <w:rsid w:val="00B941B6"/>
    <w:rsid w:val="00B94A06"/>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3A31"/>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DF2"/>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3249"/>
    <w:rsid w:val="00C04BAE"/>
    <w:rsid w:val="00C05362"/>
    <w:rsid w:val="00C05896"/>
    <w:rsid w:val="00C0599A"/>
    <w:rsid w:val="00C06C42"/>
    <w:rsid w:val="00C06EB2"/>
    <w:rsid w:val="00C073DA"/>
    <w:rsid w:val="00C079DB"/>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6490"/>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3022B"/>
    <w:rsid w:val="00C30723"/>
    <w:rsid w:val="00C3137D"/>
    <w:rsid w:val="00C31756"/>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0E4"/>
    <w:rsid w:val="00C52334"/>
    <w:rsid w:val="00C5261F"/>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2CD4"/>
    <w:rsid w:val="00C84713"/>
    <w:rsid w:val="00C84758"/>
    <w:rsid w:val="00C853AB"/>
    <w:rsid w:val="00C85F72"/>
    <w:rsid w:val="00C86896"/>
    <w:rsid w:val="00C876E1"/>
    <w:rsid w:val="00C90162"/>
    <w:rsid w:val="00C908A9"/>
    <w:rsid w:val="00C908BE"/>
    <w:rsid w:val="00C91507"/>
    <w:rsid w:val="00C929E1"/>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0C66"/>
    <w:rsid w:val="00CC140D"/>
    <w:rsid w:val="00CC1E56"/>
    <w:rsid w:val="00CC2270"/>
    <w:rsid w:val="00CC3277"/>
    <w:rsid w:val="00CC385B"/>
    <w:rsid w:val="00CC4207"/>
    <w:rsid w:val="00CC51BD"/>
    <w:rsid w:val="00CC5222"/>
    <w:rsid w:val="00CC5775"/>
    <w:rsid w:val="00CC62CD"/>
    <w:rsid w:val="00CC6C6A"/>
    <w:rsid w:val="00CC7881"/>
    <w:rsid w:val="00CC7971"/>
    <w:rsid w:val="00CD0422"/>
    <w:rsid w:val="00CD083E"/>
    <w:rsid w:val="00CD0982"/>
    <w:rsid w:val="00CD124B"/>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D73E8"/>
    <w:rsid w:val="00CE06B1"/>
    <w:rsid w:val="00CE0944"/>
    <w:rsid w:val="00CE0A76"/>
    <w:rsid w:val="00CE2362"/>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0C1"/>
    <w:rsid w:val="00D232D8"/>
    <w:rsid w:val="00D233CD"/>
    <w:rsid w:val="00D23500"/>
    <w:rsid w:val="00D23AD3"/>
    <w:rsid w:val="00D23FC0"/>
    <w:rsid w:val="00D23FCE"/>
    <w:rsid w:val="00D2401D"/>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1DAA"/>
    <w:rsid w:val="00DA283D"/>
    <w:rsid w:val="00DA3E12"/>
    <w:rsid w:val="00DA4141"/>
    <w:rsid w:val="00DA417B"/>
    <w:rsid w:val="00DA45BD"/>
    <w:rsid w:val="00DA5000"/>
    <w:rsid w:val="00DA52EB"/>
    <w:rsid w:val="00DA5CD6"/>
    <w:rsid w:val="00DA6868"/>
    <w:rsid w:val="00DA7044"/>
    <w:rsid w:val="00DB0312"/>
    <w:rsid w:val="00DB115A"/>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704F"/>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72B0"/>
    <w:rsid w:val="00E07C90"/>
    <w:rsid w:val="00E111E7"/>
    <w:rsid w:val="00E111F8"/>
    <w:rsid w:val="00E12041"/>
    <w:rsid w:val="00E12618"/>
    <w:rsid w:val="00E129DF"/>
    <w:rsid w:val="00E12B5D"/>
    <w:rsid w:val="00E12C2E"/>
    <w:rsid w:val="00E13435"/>
    <w:rsid w:val="00E13F23"/>
    <w:rsid w:val="00E143D4"/>
    <w:rsid w:val="00E14773"/>
    <w:rsid w:val="00E1521D"/>
    <w:rsid w:val="00E154D2"/>
    <w:rsid w:val="00E155E5"/>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884"/>
    <w:rsid w:val="00E4192C"/>
    <w:rsid w:val="00E41DF6"/>
    <w:rsid w:val="00E420CB"/>
    <w:rsid w:val="00E42BB9"/>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897"/>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E8E"/>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0BB"/>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ACC"/>
    <w:rsid w:val="00EE5C23"/>
    <w:rsid w:val="00EE67FE"/>
    <w:rsid w:val="00EE6BDD"/>
    <w:rsid w:val="00EE703E"/>
    <w:rsid w:val="00EE76F0"/>
    <w:rsid w:val="00EE7B1C"/>
    <w:rsid w:val="00EF02BD"/>
    <w:rsid w:val="00EF1350"/>
    <w:rsid w:val="00EF17B9"/>
    <w:rsid w:val="00EF1EB9"/>
    <w:rsid w:val="00EF2028"/>
    <w:rsid w:val="00EF274D"/>
    <w:rsid w:val="00EF2A0D"/>
    <w:rsid w:val="00EF3436"/>
    <w:rsid w:val="00EF34F6"/>
    <w:rsid w:val="00EF355D"/>
    <w:rsid w:val="00EF3725"/>
    <w:rsid w:val="00EF37B5"/>
    <w:rsid w:val="00EF388A"/>
    <w:rsid w:val="00EF3B9C"/>
    <w:rsid w:val="00EF3D14"/>
    <w:rsid w:val="00EF3EEE"/>
    <w:rsid w:val="00EF3F88"/>
    <w:rsid w:val="00EF7388"/>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C4"/>
    <w:rsid w:val="00F243FF"/>
    <w:rsid w:val="00F25199"/>
    <w:rsid w:val="00F254D8"/>
    <w:rsid w:val="00F26A46"/>
    <w:rsid w:val="00F26F86"/>
    <w:rsid w:val="00F2780A"/>
    <w:rsid w:val="00F30B28"/>
    <w:rsid w:val="00F314EF"/>
    <w:rsid w:val="00F3167E"/>
    <w:rsid w:val="00F3265E"/>
    <w:rsid w:val="00F332B2"/>
    <w:rsid w:val="00F33DD2"/>
    <w:rsid w:val="00F33E94"/>
    <w:rsid w:val="00F33F0D"/>
    <w:rsid w:val="00F352BD"/>
    <w:rsid w:val="00F3589E"/>
    <w:rsid w:val="00F35DAE"/>
    <w:rsid w:val="00F368F2"/>
    <w:rsid w:val="00F36FB5"/>
    <w:rsid w:val="00F3715D"/>
    <w:rsid w:val="00F374F7"/>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321D"/>
    <w:rsid w:val="00F83461"/>
    <w:rsid w:val="00F83883"/>
    <w:rsid w:val="00F8517B"/>
    <w:rsid w:val="00F853BE"/>
    <w:rsid w:val="00F8675D"/>
    <w:rsid w:val="00F86E2D"/>
    <w:rsid w:val="00F87B71"/>
    <w:rsid w:val="00F87EB0"/>
    <w:rsid w:val="00F9052C"/>
    <w:rsid w:val="00F9135D"/>
    <w:rsid w:val="00F91B71"/>
    <w:rsid w:val="00F91BA8"/>
    <w:rsid w:val="00F9207A"/>
    <w:rsid w:val="00F9260F"/>
    <w:rsid w:val="00F9308E"/>
    <w:rsid w:val="00F95E64"/>
    <w:rsid w:val="00F960B8"/>
    <w:rsid w:val="00F9649D"/>
    <w:rsid w:val="00F967C4"/>
    <w:rsid w:val="00F96A46"/>
    <w:rsid w:val="00F96BB8"/>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7FC"/>
    <w:rsid w:val="00FB1180"/>
    <w:rsid w:val="00FB15B5"/>
    <w:rsid w:val="00FB174F"/>
    <w:rsid w:val="00FB1FEB"/>
    <w:rsid w:val="00FB22AB"/>
    <w:rsid w:val="00FB3935"/>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30"/>
    <w:rsid w:val="00FD3355"/>
    <w:rsid w:val="00FD3CF7"/>
    <w:rsid w:val="00FD472A"/>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E6F0F"/>
    <w:rsid w:val="00FF0644"/>
    <w:rsid w:val="00FF094E"/>
    <w:rsid w:val="00FF0A66"/>
    <w:rsid w:val="00FF1FCE"/>
    <w:rsid w:val="00FF2234"/>
    <w:rsid w:val="00FF290B"/>
    <w:rsid w:val="00FF320D"/>
    <w:rsid w:val="00FF33BD"/>
    <w:rsid w:val="00FF3C13"/>
    <w:rsid w:val="00FF3CEA"/>
    <w:rsid w:val="00FF3F18"/>
    <w:rsid w:val="00FF4169"/>
    <w:rsid w:val="00FF4B56"/>
    <w:rsid w:val="00FF4FD5"/>
    <w:rsid w:val="00FF57C0"/>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B619-976E-44C9-AA7E-D7708F3E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11322</Words>
  <Characters>66387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2021-08-12T07:44:00Z</dcterms:created>
  <dcterms:modified xsi:type="dcterms:W3CDTF">2022-02-13T21:52:00Z</dcterms:modified>
</cp:coreProperties>
</file>