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0904A" w14:textId="32703C2D" w:rsidR="007567D2" w:rsidRDefault="007567D2" w:rsidP="00ED6AE3">
      <w:pPr>
        <w:pStyle w:val="Default"/>
        <w:ind w:right="656"/>
        <w:rPr>
          <w:rFonts w:ascii="Arial" w:hAnsi="Arial" w:cs="Arial"/>
          <w:sz w:val="18"/>
          <w:szCs w:val="18"/>
        </w:rPr>
      </w:pPr>
      <w:r w:rsidRPr="00153C15">
        <w:rPr>
          <w:rFonts w:ascii="Arial" w:hAnsi="Arial" w:cs="Arial"/>
          <w:sz w:val="18"/>
          <w:szCs w:val="18"/>
        </w:rPr>
        <w:t xml:space="preserve">The </w:t>
      </w:r>
      <w:r w:rsidR="009E648E" w:rsidRPr="00153C15">
        <w:rPr>
          <w:rFonts w:ascii="Arial" w:hAnsi="Arial" w:cs="Arial"/>
          <w:sz w:val="18"/>
          <w:szCs w:val="18"/>
        </w:rPr>
        <w:t>PBAC outcomes and recommendations are presented</w:t>
      </w:r>
      <w:r w:rsidRPr="00153C15">
        <w:rPr>
          <w:rFonts w:ascii="Arial" w:hAnsi="Arial" w:cs="Arial"/>
          <w:sz w:val="18"/>
          <w:szCs w:val="18"/>
        </w:rPr>
        <w:t xml:space="preserve"> in alphabetical order by drug name.</w:t>
      </w:r>
    </w:p>
    <w:p w14:paraId="16C149F7" w14:textId="103F4460" w:rsidR="00C47960" w:rsidRDefault="00C47960" w:rsidP="00ED6AE3">
      <w:pPr>
        <w:pStyle w:val="Default"/>
        <w:ind w:right="656"/>
        <w:rPr>
          <w:rFonts w:ascii="Arial" w:hAnsi="Arial" w:cs="Arial"/>
          <w:sz w:val="18"/>
          <w:szCs w:val="18"/>
        </w:rPr>
      </w:pPr>
    </w:p>
    <w:p w14:paraId="662EE0D4" w14:textId="4A2D9AFD" w:rsidR="00C47960" w:rsidRPr="00153C15" w:rsidRDefault="00C47960" w:rsidP="00ED6AE3">
      <w:pPr>
        <w:pStyle w:val="Default"/>
        <w:ind w:right="656"/>
        <w:rPr>
          <w:rFonts w:ascii="Arial" w:hAnsi="Arial" w:cs="Arial"/>
          <w:sz w:val="18"/>
          <w:szCs w:val="18"/>
        </w:rPr>
      </w:pPr>
      <w:r w:rsidRPr="00ED6AE3">
        <w:rPr>
          <w:rFonts w:ascii="Arial" w:hAnsi="Arial" w:cs="Arial"/>
          <w:i/>
          <w:iCs/>
          <w:sz w:val="18"/>
          <w:szCs w:val="18"/>
        </w:rPr>
        <w:t>Submission items</w:t>
      </w:r>
    </w:p>
    <w:p w14:paraId="498951C4" w14:textId="211A8FF8" w:rsidR="007567D2" w:rsidRPr="00153C15" w:rsidRDefault="007567D2">
      <w:pPr>
        <w:rPr>
          <w:sz w:val="18"/>
          <w:szCs w:val="18"/>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1"/>
        <w:gridCol w:w="1934"/>
        <w:gridCol w:w="2694"/>
        <w:gridCol w:w="1703"/>
        <w:gridCol w:w="6603"/>
      </w:tblGrid>
      <w:tr w:rsidR="00DE5E85" w:rsidRPr="00687774" w14:paraId="2F780D8A" w14:textId="77777777" w:rsidTr="00180894">
        <w:trPr>
          <w:tblHeader/>
        </w:trPr>
        <w:tc>
          <w:tcPr>
            <w:tcW w:w="861" w:type="pct"/>
            <w:tcBorders>
              <w:bottom w:val="single" w:sz="4" w:space="0" w:color="auto"/>
            </w:tcBorders>
            <w:shd w:val="clear" w:color="auto" w:fill="auto"/>
            <w:tcMar>
              <w:top w:w="28" w:type="dxa"/>
              <w:bottom w:w="28" w:type="dxa"/>
            </w:tcMar>
            <w:vAlign w:val="center"/>
          </w:tcPr>
          <w:p w14:paraId="58BB41E5" w14:textId="46F847AB" w:rsidR="00DE5E85" w:rsidRPr="003E3EC0" w:rsidRDefault="00DE5E85" w:rsidP="00180894">
            <w:pPr>
              <w:widowControl w:val="0"/>
              <w:ind w:right="-106"/>
              <w:rPr>
                <w:rFonts w:ascii="Arial" w:hAnsi="Arial" w:cs="Arial"/>
                <w:b/>
                <w:sz w:val="18"/>
                <w:szCs w:val="18"/>
              </w:rPr>
            </w:pPr>
            <w:r w:rsidRPr="003E3EC0">
              <w:rPr>
                <w:rFonts w:ascii="Arial" w:hAnsi="Arial" w:cs="Arial"/>
                <w:b/>
                <w:sz w:val="18"/>
                <w:szCs w:val="18"/>
              </w:rPr>
              <w:t>DRUG NAME, FORM(S), STRENGTH(S), SPONSOR, TYPE OF SUBMISSION</w:t>
            </w:r>
          </w:p>
        </w:tc>
        <w:tc>
          <w:tcPr>
            <w:tcW w:w="619" w:type="pct"/>
            <w:tcBorders>
              <w:bottom w:val="single" w:sz="4" w:space="0" w:color="auto"/>
            </w:tcBorders>
            <w:shd w:val="clear" w:color="auto" w:fill="auto"/>
            <w:tcMar>
              <w:top w:w="28" w:type="dxa"/>
              <w:bottom w:w="28" w:type="dxa"/>
            </w:tcMar>
            <w:vAlign w:val="center"/>
          </w:tcPr>
          <w:p w14:paraId="64FD3362" w14:textId="0B4E1070" w:rsidR="00DE5E85" w:rsidRPr="003E3EC0" w:rsidRDefault="00DE5E85" w:rsidP="00874475">
            <w:pPr>
              <w:widowControl w:val="0"/>
              <w:jc w:val="center"/>
              <w:rPr>
                <w:rFonts w:ascii="Arial" w:hAnsi="Arial" w:cs="Arial"/>
                <w:b/>
                <w:snapToGrid w:val="0"/>
                <w:sz w:val="18"/>
                <w:szCs w:val="18"/>
                <w:lang w:eastAsia="en-US"/>
              </w:rPr>
            </w:pPr>
            <w:r w:rsidRPr="003E3EC0">
              <w:rPr>
                <w:rFonts w:ascii="Arial" w:hAnsi="Arial" w:cs="Arial"/>
                <w:b/>
                <w:snapToGrid w:val="0"/>
                <w:sz w:val="18"/>
                <w:szCs w:val="18"/>
                <w:lang w:eastAsia="en-US"/>
              </w:rPr>
              <w:t>DRUG TYPE AND USE</w:t>
            </w:r>
          </w:p>
        </w:tc>
        <w:tc>
          <w:tcPr>
            <w:tcW w:w="862" w:type="pct"/>
            <w:tcBorders>
              <w:bottom w:val="single" w:sz="4" w:space="0" w:color="auto"/>
            </w:tcBorders>
            <w:shd w:val="clear" w:color="auto" w:fill="auto"/>
            <w:tcMar>
              <w:top w:w="28" w:type="dxa"/>
              <w:bottom w:w="28" w:type="dxa"/>
            </w:tcMar>
            <w:vAlign w:val="center"/>
          </w:tcPr>
          <w:p w14:paraId="60A9336E" w14:textId="77777777" w:rsidR="00DE5E85" w:rsidRPr="003E3EC0" w:rsidRDefault="00DE5E85" w:rsidP="00874475">
            <w:pPr>
              <w:widowControl w:val="0"/>
              <w:jc w:val="center"/>
              <w:rPr>
                <w:rFonts w:ascii="Arial" w:hAnsi="Arial" w:cs="Arial"/>
                <w:b/>
                <w:snapToGrid w:val="0"/>
                <w:sz w:val="18"/>
                <w:szCs w:val="18"/>
                <w:lang w:eastAsia="en-US"/>
              </w:rPr>
            </w:pPr>
            <w:r w:rsidRPr="003E3EC0">
              <w:rPr>
                <w:rFonts w:ascii="Arial" w:hAnsi="Arial" w:cs="Arial"/>
                <w:b/>
                <w:snapToGrid w:val="0"/>
                <w:sz w:val="18"/>
                <w:szCs w:val="18"/>
                <w:lang w:eastAsia="en-US"/>
              </w:rPr>
              <w:t>LISTING REQUESTED BY SPONSOR / PURPOSE OF SUBMISSION</w:t>
            </w:r>
          </w:p>
        </w:tc>
        <w:tc>
          <w:tcPr>
            <w:tcW w:w="2658" w:type="pct"/>
            <w:gridSpan w:val="2"/>
            <w:tcBorders>
              <w:bottom w:val="single" w:sz="4" w:space="0" w:color="auto"/>
            </w:tcBorders>
            <w:shd w:val="clear" w:color="auto" w:fill="auto"/>
            <w:vAlign w:val="center"/>
          </w:tcPr>
          <w:p w14:paraId="5626F454" w14:textId="5D0E1C48" w:rsidR="00DE5E85" w:rsidRPr="003E3EC0" w:rsidRDefault="00DE5E85" w:rsidP="00874475">
            <w:pPr>
              <w:pStyle w:val="Header"/>
              <w:jc w:val="center"/>
              <w:rPr>
                <w:rFonts w:ascii="Arial" w:hAnsi="Arial" w:cs="Arial"/>
                <w:b/>
                <w:snapToGrid w:val="0"/>
                <w:sz w:val="18"/>
                <w:szCs w:val="18"/>
                <w:lang w:eastAsia="en-US"/>
              </w:rPr>
            </w:pPr>
            <w:r w:rsidRPr="003E3EC0">
              <w:rPr>
                <w:rFonts w:ascii="Arial" w:hAnsi="Arial" w:cs="Arial"/>
                <w:b/>
                <w:snapToGrid w:val="0"/>
                <w:sz w:val="18"/>
                <w:szCs w:val="18"/>
                <w:lang w:eastAsia="en-US"/>
              </w:rPr>
              <w:t xml:space="preserve">PBAC </w:t>
            </w:r>
            <w:r>
              <w:rPr>
                <w:rFonts w:ascii="Arial" w:hAnsi="Arial" w:cs="Arial"/>
                <w:b/>
                <w:snapToGrid w:val="0"/>
                <w:sz w:val="18"/>
                <w:szCs w:val="18"/>
                <w:lang w:eastAsia="en-US"/>
              </w:rPr>
              <w:t>OUTCOME</w:t>
            </w:r>
          </w:p>
        </w:tc>
      </w:tr>
      <w:tr w:rsidR="00616C7C" w:rsidRPr="00687774" w14:paraId="0150C24E" w14:textId="77777777" w:rsidTr="00205445">
        <w:trPr>
          <w:trHeight w:val="857"/>
        </w:trPr>
        <w:tc>
          <w:tcPr>
            <w:tcW w:w="861" w:type="pct"/>
            <w:tcBorders>
              <w:top w:val="single" w:sz="4" w:space="0" w:color="auto"/>
              <w:left w:val="single" w:sz="4" w:space="0" w:color="auto"/>
              <w:right w:val="nil"/>
            </w:tcBorders>
            <w:shd w:val="clear" w:color="auto" w:fill="auto"/>
            <w:tcMar>
              <w:top w:w="28" w:type="dxa"/>
              <w:bottom w:w="28" w:type="dxa"/>
            </w:tcMar>
            <w:vAlign w:val="center"/>
          </w:tcPr>
          <w:p w14:paraId="08BCDA65" w14:textId="77777777" w:rsidR="00616C7C" w:rsidRPr="00616C7C" w:rsidRDefault="00616C7C" w:rsidP="00616C7C">
            <w:pPr>
              <w:rPr>
                <w:rFonts w:ascii="Arial" w:hAnsi="Arial" w:cs="Arial"/>
                <w:sz w:val="18"/>
                <w:szCs w:val="18"/>
              </w:rPr>
            </w:pPr>
            <w:r w:rsidRPr="00616C7C">
              <w:rPr>
                <w:rFonts w:ascii="Arial" w:hAnsi="Arial" w:cs="Arial"/>
                <w:sz w:val="18"/>
                <w:szCs w:val="18"/>
              </w:rPr>
              <w:t>APREMILAST</w:t>
            </w:r>
          </w:p>
          <w:p w14:paraId="5013151C" w14:textId="77777777" w:rsidR="00616C7C" w:rsidRPr="00616C7C" w:rsidRDefault="00616C7C" w:rsidP="00616C7C">
            <w:pPr>
              <w:rPr>
                <w:rFonts w:ascii="Arial" w:hAnsi="Arial" w:cs="Arial"/>
                <w:sz w:val="18"/>
                <w:szCs w:val="18"/>
              </w:rPr>
            </w:pPr>
          </w:p>
          <w:p w14:paraId="071DBCF5" w14:textId="77777777" w:rsidR="00616C7C" w:rsidRPr="00616C7C" w:rsidRDefault="00616C7C" w:rsidP="00616C7C">
            <w:pPr>
              <w:rPr>
                <w:rFonts w:ascii="Arial" w:hAnsi="Arial" w:cs="Arial"/>
                <w:sz w:val="18"/>
                <w:szCs w:val="18"/>
              </w:rPr>
            </w:pPr>
            <w:r w:rsidRPr="00616C7C">
              <w:rPr>
                <w:rFonts w:ascii="Arial" w:hAnsi="Arial" w:cs="Arial"/>
                <w:sz w:val="18"/>
                <w:szCs w:val="18"/>
              </w:rPr>
              <w:t>Tablet 30 mg</w:t>
            </w:r>
          </w:p>
          <w:p w14:paraId="1AE6AA45" w14:textId="55B7FEBC" w:rsidR="00616C7C" w:rsidRPr="00616C7C" w:rsidRDefault="00616C7C" w:rsidP="00616C7C">
            <w:pPr>
              <w:rPr>
                <w:rFonts w:ascii="Arial" w:hAnsi="Arial" w:cs="Arial"/>
                <w:sz w:val="18"/>
                <w:szCs w:val="18"/>
              </w:rPr>
            </w:pPr>
            <w:r w:rsidRPr="00616C7C">
              <w:rPr>
                <w:rFonts w:ascii="Arial" w:hAnsi="Arial" w:cs="Arial"/>
                <w:sz w:val="18"/>
                <w:szCs w:val="18"/>
              </w:rPr>
              <w:t>Pack containing 4 tablets 10</w:t>
            </w:r>
            <w:r>
              <w:rPr>
                <w:rFonts w:ascii="Arial" w:hAnsi="Arial" w:cs="Arial"/>
                <w:sz w:val="18"/>
                <w:szCs w:val="18"/>
              </w:rPr>
              <w:t> </w:t>
            </w:r>
            <w:r w:rsidRPr="00616C7C">
              <w:rPr>
                <w:rFonts w:ascii="Arial" w:hAnsi="Arial" w:cs="Arial"/>
                <w:sz w:val="18"/>
                <w:szCs w:val="18"/>
              </w:rPr>
              <w:t>mg, 4 tablets 20 mg and 19 tablets 30 mg</w:t>
            </w:r>
          </w:p>
          <w:p w14:paraId="1E1ED370" w14:textId="77777777" w:rsidR="00616C7C" w:rsidRPr="00616C7C" w:rsidRDefault="00616C7C" w:rsidP="00616C7C">
            <w:pPr>
              <w:rPr>
                <w:rFonts w:ascii="Arial" w:hAnsi="Arial" w:cs="Arial"/>
                <w:sz w:val="18"/>
                <w:szCs w:val="18"/>
              </w:rPr>
            </w:pPr>
          </w:p>
          <w:p w14:paraId="1FA23646" w14:textId="0EB4453F" w:rsidR="00616C7C" w:rsidRPr="00616C7C" w:rsidRDefault="00616C7C" w:rsidP="00616C7C">
            <w:pPr>
              <w:rPr>
                <w:rFonts w:ascii="Arial" w:hAnsi="Arial" w:cs="Arial"/>
                <w:sz w:val="18"/>
                <w:szCs w:val="18"/>
              </w:rPr>
            </w:pPr>
            <w:r w:rsidRPr="00616C7C">
              <w:rPr>
                <w:rFonts w:ascii="Arial" w:hAnsi="Arial" w:cs="Arial"/>
                <w:sz w:val="18"/>
                <w:szCs w:val="18"/>
              </w:rPr>
              <w:t>Otezla</w:t>
            </w:r>
            <w:r>
              <w:rPr>
                <w:rFonts w:ascii="Arial" w:hAnsi="Arial" w:cs="Arial"/>
                <w:sz w:val="18"/>
                <w:szCs w:val="18"/>
              </w:rPr>
              <w:t>®</w:t>
            </w:r>
          </w:p>
          <w:p w14:paraId="2D08D2F4" w14:textId="77777777" w:rsidR="00616C7C" w:rsidRPr="00616C7C" w:rsidRDefault="00616C7C" w:rsidP="00616C7C">
            <w:pPr>
              <w:rPr>
                <w:rFonts w:ascii="Arial" w:hAnsi="Arial" w:cs="Arial"/>
                <w:sz w:val="18"/>
                <w:szCs w:val="18"/>
              </w:rPr>
            </w:pPr>
          </w:p>
          <w:p w14:paraId="4691A4F8" w14:textId="588E84C9" w:rsidR="00616C7C" w:rsidRDefault="00616C7C" w:rsidP="00616C7C">
            <w:pPr>
              <w:rPr>
                <w:rFonts w:ascii="Arial" w:hAnsi="Arial" w:cs="Arial"/>
                <w:sz w:val="18"/>
                <w:szCs w:val="18"/>
              </w:rPr>
            </w:pPr>
            <w:r w:rsidRPr="00616C7C">
              <w:rPr>
                <w:rFonts w:ascii="Arial" w:hAnsi="Arial" w:cs="Arial"/>
                <w:sz w:val="18"/>
                <w:szCs w:val="18"/>
              </w:rPr>
              <w:t>Amgen Australia Pty Limited</w:t>
            </w:r>
          </w:p>
          <w:p w14:paraId="6E8900A3" w14:textId="18EA6374" w:rsidR="00616C7C" w:rsidRDefault="00616C7C" w:rsidP="00616C7C">
            <w:pPr>
              <w:rPr>
                <w:rFonts w:ascii="Arial" w:hAnsi="Arial" w:cs="Arial"/>
                <w:sz w:val="18"/>
                <w:szCs w:val="18"/>
              </w:rPr>
            </w:pPr>
          </w:p>
          <w:p w14:paraId="19A43E38" w14:textId="2A18789F" w:rsidR="00616C7C" w:rsidRPr="00FF3385" w:rsidRDefault="00616C7C" w:rsidP="00FF3385">
            <w:pPr>
              <w:rPr>
                <w:rFonts w:ascii="Arial" w:hAnsi="Arial" w:cs="Arial"/>
                <w:sz w:val="18"/>
                <w:szCs w:val="18"/>
              </w:rPr>
            </w:pPr>
            <w:r>
              <w:rPr>
                <w:rFonts w:ascii="Arial" w:hAnsi="Arial" w:cs="Arial"/>
                <w:sz w:val="18"/>
                <w:szCs w:val="18"/>
              </w:rPr>
              <w:t>(Change to PBS listing)</w:t>
            </w:r>
          </w:p>
        </w:tc>
        <w:tc>
          <w:tcPr>
            <w:tcW w:w="619" w:type="pct"/>
            <w:tcBorders>
              <w:top w:val="single" w:sz="4" w:space="0" w:color="auto"/>
              <w:left w:val="single" w:sz="4" w:space="0" w:color="auto"/>
              <w:right w:val="single" w:sz="4" w:space="0" w:color="auto"/>
            </w:tcBorders>
            <w:shd w:val="clear" w:color="auto" w:fill="auto"/>
            <w:vAlign w:val="center"/>
          </w:tcPr>
          <w:p w14:paraId="4CF3AB75" w14:textId="59691D69" w:rsidR="00616C7C" w:rsidRPr="00FF3385" w:rsidRDefault="00616C7C" w:rsidP="00180894">
            <w:pPr>
              <w:widowControl w:val="0"/>
              <w:jc w:val="center"/>
              <w:rPr>
                <w:rFonts w:ascii="Arial" w:hAnsi="Arial" w:cs="Arial"/>
                <w:sz w:val="18"/>
                <w:szCs w:val="18"/>
              </w:rPr>
            </w:pPr>
            <w:r w:rsidRPr="00616C7C">
              <w:rPr>
                <w:rFonts w:ascii="Arial" w:hAnsi="Arial" w:cs="Arial"/>
                <w:sz w:val="18"/>
                <w:szCs w:val="18"/>
              </w:rPr>
              <w:t>Severe chronic plaque psoriasis</w:t>
            </w:r>
          </w:p>
        </w:tc>
        <w:tc>
          <w:tcPr>
            <w:tcW w:w="862" w:type="pct"/>
            <w:tcBorders>
              <w:top w:val="single" w:sz="4" w:space="0" w:color="auto"/>
              <w:left w:val="nil"/>
              <w:right w:val="single" w:sz="4" w:space="0" w:color="auto"/>
            </w:tcBorders>
            <w:shd w:val="clear" w:color="auto" w:fill="auto"/>
            <w:tcMar>
              <w:top w:w="28" w:type="dxa"/>
              <w:bottom w:w="28" w:type="dxa"/>
            </w:tcMar>
            <w:vAlign w:val="center"/>
          </w:tcPr>
          <w:p w14:paraId="3B057B6D" w14:textId="3347B533" w:rsidR="00616C7C" w:rsidRPr="00FF3385" w:rsidRDefault="00616C7C" w:rsidP="00616C7C">
            <w:pPr>
              <w:rPr>
                <w:rFonts w:ascii="Arial" w:hAnsi="Arial" w:cs="Arial"/>
                <w:sz w:val="18"/>
                <w:szCs w:val="18"/>
              </w:rPr>
            </w:pPr>
            <w:r w:rsidRPr="00616C7C">
              <w:rPr>
                <w:rFonts w:ascii="Arial" w:hAnsi="Arial" w:cs="Arial"/>
                <w:sz w:val="18"/>
                <w:szCs w:val="18"/>
              </w:rPr>
              <w:t>To review the treatment criteria to allow general practitioners to prescribe maintenance treatment</w:t>
            </w:r>
            <w:r>
              <w:rPr>
                <w:rFonts w:ascii="Arial" w:hAnsi="Arial" w:cs="Arial"/>
                <w:sz w:val="18"/>
                <w:szCs w:val="18"/>
              </w:rPr>
              <w:t>.</w:t>
            </w:r>
          </w:p>
        </w:tc>
        <w:tc>
          <w:tcPr>
            <w:tcW w:w="545" w:type="pct"/>
            <w:tcBorders>
              <w:top w:val="single" w:sz="4" w:space="0" w:color="auto"/>
              <w:left w:val="single" w:sz="4" w:space="0" w:color="auto"/>
              <w:right w:val="single" w:sz="4" w:space="0" w:color="auto"/>
            </w:tcBorders>
            <w:shd w:val="clear" w:color="auto" w:fill="auto"/>
            <w:vAlign w:val="center"/>
          </w:tcPr>
          <w:p w14:paraId="5C5CC8DB" w14:textId="7825ADEE" w:rsidR="00616C7C" w:rsidRDefault="00616C7C" w:rsidP="00180894">
            <w:pPr>
              <w:pStyle w:val="ListParagraph"/>
              <w:ind w:left="0"/>
              <w:jc w:val="center"/>
              <w:rPr>
                <w:rFonts w:ascii="Arial" w:hAnsi="Arial" w:cs="Arial"/>
                <w:snapToGrid w:val="0"/>
                <w:sz w:val="18"/>
                <w:szCs w:val="18"/>
                <w:lang w:eastAsia="en-US"/>
              </w:rPr>
            </w:pPr>
            <w:r>
              <w:rPr>
                <w:rFonts w:ascii="Arial" w:hAnsi="Arial" w:cs="Arial"/>
                <w:snapToGrid w:val="0"/>
                <w:sz w:val="18"/>
                <w:szCs w:val="18"/>
                <w:lang w:eastAsia="en-US"/>
              </w:rPr>
              <w:t>Recommended</w:t>
            </w:r>
          </w:p>
        </w:tc>
        <w:tc>
          <w:tcPr>
            <w:tcW w:w="2113" w:type="pct"/>
            <w:tcBorders>
              <w:top w:val="single" w:sz="4" w:space="0" w:color="auto"/>
            </w:tcBorders>
            <w:shd w:val="clear" w:color="auto" w:fill="auto"/>
            <w:vAlign w:val="center"/>
          </w:tcPr>
          <w:p w14:paraId="6E92659A" w14:textId="6A77BCA0" w:rsidR="00616C7C" w:rsidRPr="00FF3385" w:rsidRDefault="00616C7C" w:rsidP="00635314">
            <w:pPr>
              <w:spacing w:after="120"/>
              <w:rPr>
                <w:rFonts w:ascii="Arial" w:hAnsi="Arial" w:cs="Arial"/>
                <w:color w:val="000000"/>
                <w:sz w:val="18"/>
                <w:szCs w:val="18"/>
              </w:rPr>
            </w:pPr>
            <w:r w:rsidRPr="00616C7C">
              <w:rPr>
                <w:rFonts w:ascii="Arial" w:hAnsi="Arial" w:cs="Arial"/>
                <w:color w:val="000000"/>
                <w:sz w:val="18"/>
                <w:szCs w:val="18"/>
              </w:rPr>
              <w:t>The PBAC recommended amendments to the treatment criteria for apremilast to allow accredited dermatology registrars to initiate treatment in consultation with a dermatologist and to allow general practitioners to prescribe maintenance treatment in consultation with a dermatologist or accredited dermatology registrar. The PBAC advised that the changes to the initial treatment criteria for apremilast to include dermatology registrar prescribing should flow-on to ciclosporin for the treatment of severe psoriasis.</w:t>
            </w:r>
          </w:p>
        </w:tc>
      </w:tr>
      <w:tr w:rsidR="00FF3385" w:rsidRPr="00687774" w14:paraId="2319D5D6" w14:textId="77777777" w:rsidTr="00205445">
        <w:trPr>
          <w:trHeight w:val="857"/>
        </w:trPr>
        <w:tc>
          <w:tcPr>
            <w:tcW w:w="861" w:type="pct"/>
            <w:tcBorders>
              <w:top w:val="single" w:sz="4" w:space="0" w:color="auto"/>
              <w:left w:val="single" w:sz="4" w:space="0" w:color="auto"/>
              <w:right w:val="nil"/>
            </w:tcBorders>
            <w:shd w:val="clear" w:color="auto" w:fill="auto"/>
            <w:tcMar>
              <w:top w:w="28" w:type="dxa"/>
              <w:bottom w:w="28" w:type="dxa"/>
            </w:tcMar>
            <w:vAlign w:val="center"/>
          </w:tcPr>
          <w:p w14:paraId="7260A34D" w14:textId="77777777" w:rsidR="00FF3385" w:rsidRPr="00FF3385" w:rsidRDefault="00FF3385" w:rsidP="00FF3385">
            <w:pPr>
              <w:rPr>
                <w:rFonts w:ascii="Arial" w:hAnsi="Arial" w:cs="Arial"/>
                <w:sz w:val="18"/>
                <w:szCs w:val="18"/>
              </w:rPr>
            </w:pPr>
            <w:r w:rsidRPr="00FF3385">
              <w:rPr>
                <w:rFonts w:ascii="Arial" w:hAnsi="Arial" w:cs="Arial"/>
                <w:sz w:val="18"/>
                <w:szCs w:val="18"/>
              </w:rPr>
              <w:t>BUROSUMAB</w:t>
            </w:r>
          </w:p>
          <w:p w14:paraId="0065A741" w14:textId="77777777" w:rsidR="00FF3385" w:rsidRPr="00FF3385" w:rsidRDefault="00FF3385" w:rsidP="00FF3385">
            <w:pPr>
              <w:rPr>
                <w:rFonts w:ascii="Arial" w:hAnsi="Arial" w:cs="Arial"/>
                <w:sz w:val="18"/>
                <w:szCs w:val="18"/>
              </w:rPr>
            </w:pPr>
          </w:p>
          <w:p w14:paraId="56CE2561" w14:textId="77777777" w:rsidR="00FF3385" w:rsidRPr="00FF3385" w:rsidRDefault="00FF3385" w:rsidP="00FF3385">
            <w:pPr>
              <w:rPr>
                <w:rFonts w:ascii="Arial" w:hAnsi="Arial" w:cs="Arial"/>
                <w:sz w:val="18"/>
                <w:szCs w:val="18"/>
              </w:rPr>
            </w:pPr>
            <w:r w:rsidRPr="00FF3385">
              <w:rPr>
                <w:rFonts w:ascii="Arial" w:hAnsi="Arial" w:cs="Arial"/>
                <w:sz w:val="18"/>
                <w:szCs w:val="18"/>
              </w:rPr>
              <w:t>Injection 10 mg in 1 mL, injection 20 mg in 1 mL, injection 30 mg in 1 mL</w:t>
            </w:r>
          </w:p>
          <w:p w14:paraId="3D7CDFFE" w14:textId="77777777" w:rsidR="00FF3385" w:rsidRPr="00FF3385" w:rsidRDefault="00FF3385" w:rsidP="00FF3385">
            <w:pPr>
              <w:rPr>
                <w:rFonts w:ascii="Arial" w:hAnsi="Arial" w:cs="Arial"/>
                <w:sz w:val="18"/>
                <w:szCs w:val="18"/>
              </w:rPr>
            </w:pPr>
          </w:p>
          <w:p w14:paraId="7AA9EEC2" w14:textId="00E5702C" w:rsidR="00FF3385" w:rsidRPr="00FF3385" w:rsidRDefault="00FF3385" w:rsidP="00FF3385">
            <w:pPr>
              <w:rPr>
                <w:rFonts w:ascii="Arial" w:hAnsi="Arial" w:cs="Arial"/>
                <w:sz w:val="18"/>
                <w:szCs w:val="18"/>
              </w:rPr>
            </w:pPr>
            <w:r w:rsidRPr="00FF3385">
              <w:rPr>
                <w:rFonts w:ascii="Arial" w:hAnsi="Arial" w:cs="Arial"/>
                <w:sz w:val="18"/>
                <w:szCs w:val="18"/>
              </w:rPr>
              <w:t>Crysvita</w:t>
            </w:r>
            <w:r>
              <w:rPr>
                <w:rFonts w:ascii="Arial" w:hAnsi="Arial" w:cs="Arial"/>
                <w:sz w:val="18"/>
                <w:szCs w:val="18"/>
              </w:rPr>
              <w:t>®</w:t>
            </w:r>
          </w:p>
          <w:p w14:paraId="6439805C" w14:textId="77777777" w:rsidR="00FF3385" w:rsidRPr="00FF3385" w:rsidRDefault="00FF3385" w:rsidP="00FF3385">
            <w:pPr>
              <w:rPr>
                <w:rFonts w:ascii="Arial" w:hAnsi="Arial" w:cs="Arial"/>
                <w:sz w:val="18"/>
                <w:szCs w:val="18"/>
              </w:rPr>
            </w:pPr>
          </w:p>
          <w:p w14:paraId="0CFE3B3E" w14:textId="77777777" w:rsidR="00FF3385" w:rsidRPr="00FF3385" w:rsidRDefault="00FF3385" w:rsidP="00FF3385">
            <w:pPr>
              <w:rPr>
                <w:rFonts w:ascii="Arial" w:hAnsi="Arial" w:cs="Arial"/>
                <w:sz w:val="18"/>
                <w:szCs w:val="18"/>
              </w:rPr>
            </w:pPr>
            <w:r w:rsidRPr="00FF3385">
              <w:rPr>
                <w:rFonts w:ascii="Arial" w:hAnsi="Arial" w:cs="Arial"/>
                <w:sz w:val="18"/>
                <w:szCs w:val="18"/>
              </w:rPr>
              <w:t>Kyowa Kirin Australia Pty Ltd</w:t>
            </w:r>
          </w:p>
          <w:p w14:paraId="103369A1" w14:textId="77777777" w:rsidR="00FF3385" w:rsidRPr="00FF3385" w:rsidRDefault="00FF3385" w:rsidP="00FF3385">
            <w:pPr>
              <w:rPr>
                <w:rFonts w:ascii="Arial" w:hAnsi="Arial" w:cs="Arial"/>
                <w:sz w:val="18"/>
                <w:szCs w:val="18"/>
              </w:rPr>
            </w:pPr>
          </w:p>
          <w:p w14:paraId="60E4EE30" w14:textId="1F68107E" w:rsidR="00FF3385" w:rsidRPr="00062335" w:rsidRDefault="00FF3385" w:rsidP="00FF3385">
            <w:pPr>
              <w:rPr>
                <w:rFonts w:ascii="Arial" w:hAnsi="Arial" w:cs="Arial"/>
                <w:sz w:val="18"/>
                <w:szCs w:val="18"/>
              </w:rPr>
            </w:pPr>
            <w:r w:rsidRPr="00FF3385">
              <w:rPr>
                <w:rFonts w:ascii="Arial" w:hAnsi="Arial" w:cs="Arial"/>
                <w:sz w:val="18"/>
                <w:szCs w:val="18"/>
              </w:rPr>
              <w:t>(New PBS listing)</w:t>
            </w:r>
          </w:p>
        </w:tc>
        <w:tc>
          <w:tcPr>
            <w:tcW w:w="619" w:type="pct"/>
            <w:tcBorders>
              <w:top w:val="single" w:sz="4" w:space="0" w:color="auto"/>
              <w:left w:val="single" w:sz="4" w:space="0" w:color="auto"/>
              <w:right w:val="single" w:sz="4" w:space="0" w:color="auto"/>
            </w:tcBorders>
            <w:shd w:val="clear" w:color="auto" w:fill="auto"/>
            <w:vAlign w:val="center"/>
          </w:tcPr>
          <w:p w14:paraId="49929E59" w14:textId="439BA9C1" w:rsidR="00FF3385" w:rsidRPr="00FF3385" w:rsidRDefault="00FF3385" w:rsidP="00180894">
            <w:pPr>
              <w:widowControl w:val="0"/>
              <w:jc w:val="center"/>
              <w:rPr>
                <w:rFonts w:ascii="Arial" w:hAnsi="Arial" w:cs="Arial"/>
                <w:sz w:val="18"/>
                <w:szCs w:val="18"/>
              </w:rPr>
            </w:pPr>
            <w:r w:rsidRPr="00FF3385">
              <w:rPr>
                <w:rFonts w:ascii="Arial" w:hAnsi="Arial" w:cs="Arial"/>
                <w:sz w:val="18"/>
                <w:szCs w:val="18"/>
              </w:rPr>
              <w:t>X-linked hypophosphataemia</w:t>
            </w:r>
            <w:r w:rsidR="00E21B03">
              <w:rPr>
                <w:rFonts w:ascii="Arial" w:hAnsi="Arial" w:cs="Arial"/>
                <w:sz w:val="18"/>
                <w:szCs w:val="18"/>
              </w:rPr>
              <w:t xml:space="preserve"> (XLH)</w:t>
            </w:r>
          </w:p>
        </w:tc>
        <w:tc>
          <w:tcPr>
            <w:tcW w:w="862" w:type="pct"/>
            <w:tcBorders>
              <w:top w:val="single" w:sz="4" w:space="0" w:color="auto"/>
              <w:left w:val="nil"/>
              <w:right w:val="single" w:sz="4" w:space="0" w:color="auto"/>
            </w:tcBorders>
            <w:shd w:val="clear" w:color="auto" w:fill="auto"/>
            <w:tcMar>
              <w:top w:w="28" w:type="dxa"/>
              <w:bottom w:w="28" w:type="dxa"/>
            </w:tcMar>
            <w:vAlign w:val="center"/>
          </w:tcPr>
          <w:p w14:paraId="18D1A04A" w14:textId="476C0721" w:rsidR="00FF3385" w:rsidRPr="00FF3385" w:rsidRDefault="00FF3385" w:rsidP="00CE0FEB">
            <w:pPr>
              <w:rPr>
                <w:rFonts w:ascii="Arial" w:hAnsi="Arial" w:cs="Arial"/>
                <w:sz w:val="18"/>
                <w:szCs w:val="18"/>
              </w:rPr>
            </w:pPr>
            <w:r w:rsidRPr="00FF3385">
              <w:rPr>
                <w:rFonts w:ascii="Arial" w:hAnsi="Arial" w:cs="Arial"/>
                <w:sz w:val="18"/>
                <w:szCs w:val="18"/>
              </w:rPr>
              <w:t xml:space="preserve">Resubmission to request a Section 100 (Highly Specialised Drugs Program) Authority Required (Written) listing for the treatment of </w:t>
            </w:r>
            <w:r w:rsidR="00E21B03">
              <w:rPr>
                <w:rFonts w:ascii="Arial" w:hAnsi="Arial" w:cs="Arial"/>
                <w:sz w:val="18"/>
                <w:szCs w:val="18"/>
              </w:rPr>
              <w:t>XLH</w:t>
            </w:r>
            <w:r w:rsidRPr="00FF3385">
              <w:rPr>
                <w:rFonts w:ascii="Arial" w:hAnsi="Arial" w:cs="Arial"/>
                <w:sz w:val="18"/>
                <w:szCs w:val="18"/>
              </w:rPr>
              <w:t>.</w:t>
            </w:r>
          </w:p>
        </w:tc>
        <w:tc>
          <w:tcPr>
            <w:tcW w:w="545" w:type="pct"/>
            <w:tcBorders>
              <w:top w:val="single" w:sz="4" w:space="0" w:color="auto"/>
              <w:left w:val="single" w:sz="4" w:space="0" w:color="auto"/>
              <w:right w:val="single" w:sz="4" w:space="0" w:color="auto"/>
            </w:tcBorders>
            <w:shd w:val="clear" w:color="auto" w:fill="auto"/>
            <w:vAlign w:val="center"/>
          </w:tcPr>
          <w:p w14:paraId="3CFEF633" w14:textId="0957868C" w:rsidR="00FF3385" w:rsidRDefault="00FF3385" w:rsidP="00180894">
            <w:pPr>
              <w:pStyle w:val="ListParagraph"/>
              <w:ind w:left="0"/>
              <w:jc w:val="center"/>
              <w:rPr>
                <w:rFonts w:ascii="Arial" w:hAnsi="Arial" w:cs="Arial"/>
                <w:snapToGrid w:val="0"/>
                <w:sz w:val="18"/>
                <w:szCs w:val="18"/>
                <w:lang w:eastAsia="en-US"/>
              </w:rPr>
            </w:pPr>
            <w:r>
              <w:rPr>
                <w:rFonts w:ascii="Arial" w:hAnsi="Arial" w:cs="Arial"/>
                <w:snapToGrid w:val="0"/>
                <w:sz w:val="18"/>
                <w:szCs w:val="18"/>
                <w:lang w:eastAsia="en-US"/>
              </w:rPr>
              <w:t>Recommended</w:t>
            </w:r>
          </w:p>
        </w:tc>
        <w:tc>
          <w:tcPr>
            <w:tcW w:w="2113" w:type="pct"/>
            <w:tcBorders>
              <w:top w:val="single" w:sz="4" w:space="0" w:color="auto"/>
            </w:tcBorders>
            <w:shd w:val="clear" w:color="auto" w:fill="auto"/>
            <w:vAlign w:val="center"/>
          </w:tcPr>
          <w:p w14:paraId="1C37C8AA" w14:textId="3DB05104" w:rsidR="00FF3385" w:rsidRPr="00062335" w:rsidRDefault="00FF3385" w:rsidP="00635314">
            <w:pPr>
              <w:spacing w:after="120"/>
              <w:rPr>
                <w:rFonts w:ascii="Arial" w:hAnsi="Arial" w:cs="Arial"/>
                <w:color w:val="000000"/>
                <w:sz w:val="18"/>
                <w:szCs w:val="18"/>
              </w:rPr>
            </w:pPr>
            <w:r w:rsidRPr="00FF3385">
              <w:rPr>
                <w:rFonts w:ascii="Arial" w:hAnsi="Arial" w:cs="Arial"/>
                <w:color w:val="000000"/>
                <w:sz w:val="18"/>
                <w:szCs w:val="18"/>
              </w:rPr>
              <w:t xml:space="preserve">The PBAC recommended the listing of burosumab for the treatment of </w:t>
            </w:r>
            <w:r w:rsidR="00112E20">
              <w:rPr>
                <w:rFonts w:ascii="Arial" w:hAnsi="Arial" w:cs="Arial"/>
                <w:color w:val="000000"/>
                <w:sz w:val="18"/>
                <w:szCs w:val="18"/>
              </w:rPr>
              <w:t>patients</w:t>
            </w:r>
            <w:r w:rsidRPr="00FF3385">
              <w:rPr>
                <w:rFonts w:ascii="Arial" w:hAnsi="Arial" w:cs="Arial"/>
                <w:color w:val="000000"/>
                <w:sz w:val="18"/>
                <w:szCs w:val="18"/>
              </w:rPr>
              <w:t xml:space="preserve"> with XLH. The PBAC noted the high clinical need and previous strong consumer support for </w:t>
            </w:r>
            <w:r w:rsidR="007969EA">
              <w:rPr>
                <w:rFonts w:ascii="Arial" w:hAnsi="Arial" w:cs="Arial"/>
                <w:color w:val="000000"/>
                <w:sz w:val="18"/>
                <w:szCs w:val="18"/>
              </w:rPr>
              <w:t xml:space="preserve">the listing of </w:t>
            </w:r>
            <w:r w:rsidRPr="00FF3385">
              <w:rPr>
                <w:rFonts w:ascii="Arial" w:hAnsi="Arial" w:cs="Arial"/>
                <w:color w:val="000000"/>
                <w:sz w:val="18"/>
                <w:szCs w:val="18"/>
              </w:rPr>
              <w:t>treatments for this condition. The PBAC considered that the incremental cost-effectiveness ratios for both the paediatric and adult populations were acceptable at the proposed price and that the proposed risk sharing arrangement was adequate to manage the risks associated with the uncertainties relating to the estimated financial impact to the PBS.</w:t>
            </w:r>
          </w:p>
        </w:tc>
      </w:tr>
      <w:tr w:rsidR="00062335" w:rsidRPr="00687774" w14:paraId="52581EF2" w14:textId="77777777" w:rsidTr="00205445">
        <w:trPr>
          <w:trHeight w:val="857"/>
        </w:trPr>
        <w:tc>
          <w:tcPr>
            <w:tcW w:w="861" w:type="pct"/>
            <w:tcBorders>
              <w:top w:val="single" w:sz="4" w:space="0" w:color="auto"/>
              <w:left w:val="single" w:sz="4" w:space="0" w:color="auto"/>
              <w:right w:val="nil"/>
            </w:tcBorders>
            <w:shd w:val="clear" w:color="auto" w:fill="auto"/>
            <w:tcMar>
              <w:top w:w="28" w:type="dxa"/>
              <w:bottom w:w="28" w:type="dxa"/>
            </w:tcMar>
            <w:vAlign w:val="center"/>
          </w:tcPr>
          <w:p w14:paraId="218B7BB0" w14:textId="77777777" w:rsidR="00062335" w:rsidRPr="00062335" w:rsidRDefault="00062335" w:rsidP="00062335">
            <w:pPr>
              <w:rPr>
                <w:rFonts w:ascii="Arial" w:hAnsi="Arial" w:cs="Arial"/>
                <w:sz w:val="18"/>
                <w:szCs w:val="18"/>
              </w:rPr>
            </w:pPr>
            <w:r w:rsidRPr="00062335">
              <w:rPr>
                <w:rFonts w:ascii="Arial" w:hAnsi="Arial" w:cs="Arial"/>
                <w:sz w:val="18"/>
                <w:szCs w:val="18"/>
              </w:rPr>
              <w:t>DARATUMUMAB</w:t>
            </w:r>
          </w:p>
          <w:p w14:paraId="7F14D764" w14:textId="77777777" w:rsidR="00062335" w:rsidRPr="00062335" w:rsidRDefault="00062335" w:rsidP="00062335">
            <w:pPr>
              <w:rPr>
                <w:rFonts w:ascii="Arial" w:hAnsi="Arial" w:cs="Arial"/>
                <w:sz w:val="18"/>
                <w:szCs w:val="18"/>
              </w:rPr>
            </w:pPr>
          </w:p>
          <w:p w14:paraId="5D9809F8" w14:textId="77777777" w:rsidR="00062335" w:rsidRPr="00062335" w:rsidRDefault="00062335" w:rsidP="00062335">
            <w:pPr>
              <w:rPr>
                <w:rFonts w:ascii="Arial" w:hAnsi="Arial" w:cs="Arial"/>
                <w:sz w:val="18"/>
                <w:szCs w:val="18"/>
              </w:rPr>
            </w:pPr>
            <w:r w:rsidRPr="00062335">
              <w:rPr>
                <w:rFonts w:ascii="Arial" w:hAnsi="Arial" w:cs="Arial"/>
                <w:sz w:val="18"/>
                <w:szCs w:val="18"/>
              </w:rPr>
              <w:t>Solution for subcutaneous injection 1,800 mg in 15 mL vial</w:t>
            </w:r>
          </w:p>
          <w:p w14:paraId="2CC345A3" w14:textId="77777777" w:rsidR="00062335" w:rsidRPr="00062335" w:rsidRDefault="00062335" w:rsidP="00062335">
            <w:pPr>
              <w:rPr>
                <w:rFonts w:ascii="Arial" w:hAnsi="Arial" w:cs="Arial"/>
                <w:sz w:val="18"/>
                <w:szCs w:val="18"/>
              </w:rPr>
            </w:pPr>
          </w:p>
          <w:p w14:paraId="5A53502F" w14:textId="66C150CA" w:rsidR="00062335" w:rsidRPr="00062335" w:rsidRDefault="00062335" w:rsidP="00062335">
            <w:pPr>
              <w:rPr>
                <w:rFonts w:ascii="Arial" w:hAnsi="Arial" w:cs="Arial"/>
                <w:sz w:val="18"/>
                <w:szCs w:val="18"/>
              </w:rPr>
            </w:pPr>
            <w:r w:rsidRPr="00062335">
              <w:rPr>
                <w:rFonts w:ascii="Arial" w:hAnsi="Arial" w:cs="Arial"/>
                <w:sz w:val="18"/>
                <w:szCs w:val="18"/>
              </w:rPr>
              <w:t>Darzalex SC</w:t>
            </w:r>
            <w:r>
              <w:rPr>
                <w:rFonts w:ascii="Arial" w:hAnsi="Arial" w:cs="Arial"/>
                <w:sz w:val="18"/>
                <w:szCs w:val="18"/>
              </w:rPr>
              <w:t>®</w:t>
            </w:r>
          </w:p>
          <w:p w14:paraId="49381056" w14:textId="77777777" w:rsidR="00062335" w:rsidRPr="00062335" w:rsidRDefault="00062335" w:rsidP="00062335">
            <w:pPr>
              <w:rPr>
                <w:rFonts w:ascii="Arial" w:hAnsi="Arial" w:cs="Arial"/>
                <w:sz w:val="18"/>
                <w:szCs w:val="18"/>
              </w:rPr>
            </w:pPr>
          </w:p>
          <w:p w14:paraId="06D7975A" w14:textId="77777777" w:rsidR="00062335" w:rsidRPr="00062335" w:rsidRDefault="00062335" w:rsidP="00062335">
            <w:pPr>
              <w:rPr>
                <w:rFonts w:ascii="Arial" w:hAnsi="Arial" w:cs="Arial"/>
                <w:sz w:val="18"/>
                <w:szCs w:val="18"/>
              </w:rPr>
            </w:pPr>
            <w:r w:rsidRPr="00062335">
              <w:rPr>
                <w:rFonts w:ascii="Arial" w:hAnsi="Arial" w:cs="Arial"/>
                <w:sz w:val="18"/>
                <w:szCs w:val="18"/>
              </w:rPr>
              <w:t>Janssen-Cilag Pty Ltd</w:t>
            </w:r>
          </w:p>
          <w:p w14:paraId="17D5FE96" w14:textId="77777777" w:rsidR="00062335" w:rsidRPr="00062335" w:rsidRDefault="00062335" w:rsidP="00062335">
            <w:pPr>
              <w:rPr>
                <w:rFonts w:ascii="Arial" w:hAnsi="Arial" w:cs="Arial"/>
                <w:sz w:val="18"/>
                <w:szCs w:val="18"/>
              </w:rPr>
            </w:pPr>
          </w:p>
          <w:p w14:paraId="6CA712DE" w14:textId="07947E63" w:rsidR="00062335" w:rsidRPr="00CE0FEB" w:rsidRDefault="00062335" w:rsidP="00062335">
            <w:pPr>
              <w:rPr>
                <w:rFonts w:ascii="Arial" w:hAnsi="Arial" w:cs="Arial"/>
                <w:sz w:val="18"/>
                <w:szCs w:val="18"/>
              </w:rPr>
            </w:pPr>
            <w:r w:rsidRPr="00062335">
              <w:rPr>
                <w:rFonts w:ascii="Arial" w:hAnsi="Arial" w:cs="Arial"/>
                <w:sz w:val="18"/>
                <w:szCs w:val="18"/>
              </w:rPr>
              <w:t>(New PBS listing)</w:t>
            </w:r>
          </w:p>
        </w:tc>
        <w:tc>
          <w:tcPr>
            <w:tcW w:w="619" w:type="pct"/>
            <w:tcBorders>
              <w:top w:val="single" w:sz="4" w:space="0" w:color="auto"/>
              <w:left w:val="single" w:sz="4" w:space="0" w:color="auto"/>
              <w:right w:val="single" w:sz="4" w:space="0" w:color="auto"/>
            </w:tcBorders>
            <w:shd w:val="clear" w:color="auto" w:fill="auto"/>
            <w:vAlign w:val="center"/>
          </w:tcPr>
          <w:p w14:paraId="608BB5E6" w14:textId="22CED4A1" w:rsidR="00062335" w:rsidRPr="00062335" w:rsidRDefault="00062335" w:rsidP="00180894">
            <w:pPr>
              <w:widowControl w:val="0"/>
              <w:jc w:val="center"/>
              <w:rPr>
                <w:rFonts w:ascii="Arial" w:hAnsi="Arial" w:cs="Arial"/>
                <w:snapToGrid w:val="0"/>
                <w:sz w:val="18"/>
                <w:szCs w:val="18"/>
                <w:lang w:eastAsia="en-US"/>
              </w:rPr>
            </w:pPr>
            <w:r w:rsidRPr="00062335">
              <w:rPr>
                <w:rFonts w:ascii="Arial" w:hAnsi="Arial" w:cs="Arial"/>
                <w:sz w:val="18"/>
                <w:szCs w:val="18"/>
              </w:rPr>
              <w:t>Amyloid light-chain (AL) amyloidosis</w:t>
            </w:r>
          </w:p>
        </w:tc>
        <w:tc>
          <w:tcPr>
            <w:tcW w:w="862" w:type="pct"/>
            <w:tcBorders>
              <w:top w:val="single" w:sz="4" w:space="0" w:color="auto"/>
              <w:left w:val="nil"/>
              <w:right w:val="single" w:sz="4" w:space="0" w:color="auto"/>
            </w:tcBorders>
            <w:shd w:val="clear" w:color="auto" w:fill="auto"/>
            <w:tcMar>
              <w:top w:w="28" w:type="dxa"/>
              <w:bottom w:w="28" w:type="dxa"/>
            </w:tcMar>
            <w:vAlign w:val="center"/>
          </w:tcPr>
          <w:p w14:paraId="6ACE1E15" w14:textId="381C7A3E" w:rsidR="00062335" w:rsidRPr="00062335" w:rsidRDefault="00062335" w:rsidP="00CE0FEB">
            <w:pPr>
              <w:rPr>
                <w:rFonts w:ascii="Arial" w:hAnsi="Arial" w:cs="Arial"/>
                <w:snapToGrid w:val="0"/>
                <w:sz w:val="18"/>
                <w:szCs w:val="18"/>
                <w:lang w:eastAsia="en-US"/>
              </w:rPr>
            </w:pPr>
            <w:r w:rsidRPr="00062335">
              <w:rPr>
                <w:rFonts w:ascii="Arial" w:hAnsi="Arial" w:cs="Arial"/>
                <w:sz w:val="18"/>
                <w:szCs w:val="18"/>
              </w:rPr>
              <w:t>Resubmission to request a Section 100 (Highly Specialised Drugs Program) Authority Required (Telephone) listing, for use in combination with cyclophosphamide, bortezomib and dexamethasone</w:t>
            </w:r>
            <w:r w:rsidR="00116F1A">
              <w:rPr>
                <w:rFonts w:ascii="Arial" w:hAnsi="Arial" w:cs="Arial"/>
                <w:sz w:val="18"/>
                <w:szCs w:val="18"/>
              </w:rPr>
              <w:t xml:space="preserve"> (CyBorD)</w:t>
            </w:r>
            <w:r w:rsidRPr="00062335">
              <w:rPr>
                <w:rFonts w:ascii="Arial" w:hAnsi="Arial" w:cs="Arial"/>
                <w:sz w:val="18"/>
                <w:szCs w:val="18"/>
              </w:rPr>
              <w:t>, for the treatment of patients with newly diagnosed AL amyloidosis.</w:t>
            </w:r>
          </w:p>
        </w:tc>
        <w:tc>
          <w:tcPr>
            <w:tcW w:w="545" w:type="pct"/>
            <w:tcBorders>
              <w:top w:val="single" w:sz="4" w:space="0" w:color="auto"/>
              <w:left w:val="single" w:sz="4" w:space="0" w:color="auto"/>
              <w:right w:val="single" w:sz="4" w:space="0" w:color="auto"/>
            </w:tcBorders>
            <w:shd w:val="clear" w:color="auto" w:fill="auto"/>
            <w:vAlign w:val="center"/>
          </w:tcPr>
          <w:p w14:paraId="0064EA31" w14:textId="670A7E79" w:rsidR="00062335" w:rsidRDefault="00062335" w:rsidP="00180894">
            <w:pPr>
              <w:pStyle w:val="ListParagraph"/>
              <w:ind w:left="0"/>
              <w:jc w:val="center"/>
              <w:rPr>
                <w:rFonts w:ascii="Arial" w:hAnsi="Arial" w:cs="Arial"/>
                <w:snapToGrid w:val="0"/>
                <w:sz w:val="18"/>
                <w:szCs w:val="18"/>
                <w:lang w:eastAsia="en-US"/>
              </w:rPr>
            </w:pPr>
            <w:r>
              <w:rPr>
                <w:rFonts w:ascii="Arial" w:hAnsi="Arial" w:cs="Arial"/>
                <w:snapToGrid w:val="0"/>
                <w:sz w:val="18"/>
                <w:szCs w:val="18"/>
                <w:lang w:eastAsia="en-US"/>
              </w:rPr>
              <w:t>Recommended</w:t>
            </w:r>
          </w:p>
        </w:tc>
        <w:tc>
          <w:tcPr>
            <w:tcW w:w="2113" w:type="pct"/>
            <w:tcBorders>
              <w:top w:val="single" w:sz="4" w:space="0" w:color="auto"/>
            </w:tcBorders>
            <w:shd w:val="clear" w:color="auto" w:fill="auto"/>
            <w:vAlign w:val="center"/>
          </w:tcPr>
          <w:p w14:paraId="3A791645" w14:textId="5D3D178C" w:rsidR="00062335" w:rsidRPr="00CE0FEB" w:rsidRDefault="00062335" w:rsidP="00635314">
            <w:pPr>
              <w:spacing w:after="120"/>
              <w:rPr>
                <w:rFonts w:ascii="Arial" w:hAnsi="Arial" w:cs="Arial"/>
                <w:color w:val="000000"/>
                <w:sz w:val="18"/>
                <w:szCs w:val="18"/>
              </w:rPr>
            </w:pPr>
            <w:r w:rsidRPr="00062335">
              <w:rPr>
                <w:rFonts w:ascii="Arial" w:hAnsi="Arial" w:cs="Arial"/>
                <w:color w:val="000000"/>
                <w:sz w:val="18"/>
                <w:szCs w:val="18"/>
              </w:rPr>
              <w:t xml:space="preserve">The PBAC recommended daratumumab subcutaneous (SC) for use in combination with CyBorD for the treatment of patients with newly diagnosed systemic AL amyloidosis. The PBAC recognised that there are no treatments on the PBS available specifically for this condition, and it considered that the addition of daratumumab SC </w:t>
            </w:r>
            <w:r w:rsidR="00116F1A">
              <w:rPr>
                <w:rFonts w:ascii="Arial" w:hAnsi="Arial" w:cs="Arial"/>
                <w:color w:val="000000"/>
                <w:sz w:val="18"/>
                <w:szCs w:val="18"/>
              </w:rPr>
              <w:t>with</w:t>
            </w:r>
            <w:r w:rsidR="00116F1A" w:rsidRPr="00062335">
              <w:rPr>
                <w:rFonts w:ascii="Arial" w:hAnsi="Arial" w:cs="Arial"/>
                <w:color w:val="000000"/>
                <w:sz w:val="18"/>
                <w:szCs w:val="18"/>
              </w:rPr>
              <w:t xml:space="preserve"> </w:t>
            </w:r>
            <w:r w:rsidRPr="00062335">
              <w:rPr>
                <w:rFonts w:ascii="Arial" w:hAnsi="Arial" w:cs="Arial"/>
                <w:color w:val="000000"/>
                <w:sz w:val="18"/>
                <w:szCs w:val="18"/>
              </w:rPr>
              <w:t>CyBorD offered a high added therapeutic value. The PBAC considered that the revised economic analysis</w:t>
            </w:r>
            <w:r w:rsidR="00116F1A">
              <w:rPr>
                <w:rFonts w:ascii="Arial" w:hAnsi="Arial" w:cs="Arial"/>
                <w:color w:val="000000"/>
                <w:sz w:val="18"/>
                <w:szCs w:val="18"/>
              </w:rPr>
              <w:t xml:space="preserve"> </w:t>
            </w:r>
            <w:r w:rsidRPr="00062335">
              <w:rPr>
                <w:rFonts w:ascii="Arial" w:hAnsi="Arial" w:cs="Arial"/>
                <w:color w:val="000000"/>
                <w:sz w:val="18"/>
                <w:szCs w:val="18"/>
              </w:rPr>
              <w:t>which included more conservative assumptions, and a risk sharing arrangement based on reduced financial estimates which also accounted for the overlap between patients with AL amyloidosis and multiple myeloma, were acceptable.</w:t>
            </w:r>
          </w:p>
        </w:tc>
      </w:tr>
      <w:tr w:rsidR="00CE0FEB" w:rsidRPr="00687774" w14:paraId="5EFE2EDD" w14:textId="77777777" w:rsidTr="00205445">
        <w:trPr>
          <w:trHeight w:val="857"/>
        </w:trPr>
        <w:tc>
          <w:tcPr>
            <w:tcW w:w="861" w:type="pct"/>
            <w:tcBorders>
              <w:top w:val="single" w:sz="4" w:space="0" w:color="auto"/>
              <w:left w:val="single" w:sz="4" w:space="0" w:color="auto"/>
              <w:right w:val="nil"/>
            </w:tcBorders>
            <w:shd w:val="clear" w:color="auto" w:fill="auto"/>
            <w:tcMar>
              <w:top w:w="28" w:type="dxa"/>
              <w:bottom w:w="28" w:type="dxa"/>
            </w:tcMar>
            <w:vAlign w:val="center"/>
          </w:tcPr>
          <w:p w14:paraId="63528A78" w14:textId="77777777" w:rsidR="00CE0FEB" w:rsidRPr="00CE0FEB" w:rsidRDefault="00CE0FEB" w:rsidP="00CE0FEB">
            <w:pPr>
              <w:rPr>
                <w:rFonts w:ascii="Arial" w:hAnsi="Arial" w:cs="Arial"/>
                <w:sz w:val="18"/>
                <w:szCs w:val="18"/>
              </w:rPr>
            </w:pPr>
            <w:r w:rsidRPr="00CE0FEB">
              <w:rPr>
                <w:rFonts w:ascii="Arial" w:hAnsi="Arial" w:cs="Arial"/>
                <w:sz w:val="18"/>
                <w:szCs w:val="18"/>
              </w:rPr>
              <w:lastRenderedPageBreak/>
              <w:t>DULAGLUTIDE</w:t>
            </w:r>
          </w:p>
          <w:p w14:paraId="7096FC3A" w14:textId="77777777" w:rsidR="00CE0FEB" w:rsidRPr="00CE0FEB" w:rsidRDefault="00CE0FEB" w:rsidP="00CE0FEB">
            <w:pPr>
              <w:rPr>
                <w:rFonts w:ascii="Arial" w:hAnsi="Arial" w:cs="Arial"/>
                <w:sz w:val="18"/>
                <w:szCs w:val="18"/>
              </w:rPr>
            </w:pPr>
          </w:p>
          <w:p w14:paraId="6B5726B8" w14:textId="77777777" w:rsidR="00CE0FEB" w:rsidRPr="00CE0FEB" w:rsidRDefault="00CE0FEB" w:rsidP="00CE0FEB">
            <w:pPr>
              <w:rPr>
                <w:rFonts w:ascii="Arial" w:hAnsi="Arial" w:cs="Arial"/>
                <w:sz w:val="18"/>
                <w:szCs w:val="18"/>
              </w:rPr>
            </w:pPr>
            <w:r w:rsidRPr="00CE0FEB">
              <w:rPr>
                <w:rFonts w:ascii="Arial" w:hAnsi="Arial" w:cs="Arial"/>
                <w:sz w:val="18"/>
                <w:szCs w:val="18"/>
              </w:rPr>
              <w:t>Injection 3 mg in 0.5 mL single dose pre-filled pen</w:t>
            </w:r>
          </w:p>
          <w:p w14:paraId="09753F2F" w14:textId="77777777" w:rsidR="00CE0FEB" w:rsidRPr="00CE0FEB" w:rsidRDefault="00CE0FEB" w:rsidP="00CE0FEB">
            <w:pPr>
              <w:rPr>
                <w:rFonts w:ascii="Arial" w:hAnsi="Arial" w:cs="Arial"/>
                <w:sz w:val="18"/>
                <w:szCs w:val="18"/>
              </w:rPr>
            </w:pPr>
            <w:r w:rsidRPr="00CE0FEB">
              <w:rPr>
                <w:rFonts w:ascii="Arial" w:hAnsi="Arial" w:cs="Arial"/>
                <w:sz w:val="18"/>
                <w:szCs w:val="18"/>
              </w:rPr>
              <w:t>Injection 4.5 mg in 0.5 mL single dose pre-filled pen</w:t>
            </w:r>
          </w:p>
          <w:p w14:paraId="7205958F" w14:textId="77777777" w:rsidR="00CE0FEB" w:rsidRPr="00CE0FEB" w:rsidRDefault="00CE0FEB" w:rsidP="00CE0FEB">
            <w:pPr>
              <w:rPr>
                <w:rFonts w:ascii="Arial" w:hAnsi="Arial" w:cs="Arial"/>
                <w:sz w:val="18"/>
                <w:szCs w:val="18"/>
              </w:rPr>
            </w:pPr>
          </w:p>
          <w:p w14:paraId="5B478496" w14:textId="08B074AA" w:rsidR="00CE0FEB" w:rsidRPr="00CE0FEB" w:rsidRDefault="00CE0FEB" w:rsidP="00CE0FEB">
            <w:pPr>
              <w:rPr>
                <w:rFonts w:ascii="Arial" w:hAnsi="Arial" w:cs="Arial"/>
                <w:sz w:val="18"/>
                <w:szCs w:val="18"/>
              </w:rPr>
            </w:pPr>
            <w:r w:rsidRPr="00CE0FEB">
              <w:rPr>
                <w:rFonts w:ascii="Arial" w:hAnsi="Arial" w:cs="Arial"/>
                <w:sz w:val="18"/>
                <w:szCs w:val="18"/>
              </w:rPr>
              <w:t>Trulicity</w:t>
            </w:r>
            <w:r w:rsidR="003A08F1">
              <w:rPr>
                <w:rFonts w:ascii="Arial" w:hAnsi="Arial" w:cs="Arial"/>
                <w:sz w:val="18"/>
                <w:szCs w:val="18"/>
              </w:rPr>
              <w:t>®</w:t>
            </w:r>
          </w:p>
          <w:p w14:paraId="61B64F39" w14:textId="77777777" w:rsidR="00CE0FEB" w:rsidRPr="00CE0FEB" w:rsidRDefault="00CE0FEB" w:rsidP="00CE0FEB">
            <w:pPr>
              <w:rPr>
                <w:rFonts w:ascii="Arial" w:hAnsi="Arial" w:cs="Arial"/>
                <w:sz w:val="18"/>
                <w:szCs w:val="18"/>
              </w:rPr>
            </w:pPr>
          </w:p>
          <w:p w14:paraId="2A0A2AA8" w14:textId="77777777" w:rsidR="00CE0FEB" w:rsidRPr="00CE0FEB" w:rsidRDefault="00CE0FEB" w:rsidP="00CE0FEB">
            <w:pPr>
              <w:rPr>
                <w:rFonts w:ascii="Arial" w:hAnsi="Arial" w:cs="Arial"/>
                <w:sz w:val="18"/>
                <w:szCs w:val="18"/>
              </w:rPr>
            </w:pPr>
            <w:r w:rsidRPr="00CE0FEB">
              <w:rPr>
                <w:rFonts w:ascii="Arial" w:hAnsi="Arial" w:cs="Arial"/>
                <w:sz w:val="18"/>
                <w:szCs w:val="18"/>
              </w:rPr>
              <w:t>Eli Lilly Australia Pty Ltd</w:t>
            </w:r>
          </w:p>
          <w:p w14:paraId="6313268D" w14:textId="77777777" w:rsidR="00CE0FEB" w:rsidRPr="00CE0FEB" w:rsidRDefault="00CE0FEB" w:rsidP="00CE0FEB">
            <w:pPr>
              <w:rPr>
                <w:rFonts w:ascii="Arial" w:hAnsi="Arial" w:cs="Arial"/>
                <w:sz w:val="18"/>
                <w:szCs w:val="18"/>
              </w:rPr>
            </w:pPr>
          </w:p>
          <w:p w14:paraId="6FFB32BA" w14:textId="70BADFEA" w:rsidR="00CE0FEB" w:rsidRPr="003F0DE3" w:rsidRDefault="00CE0FEB" w:rsidP="00CE0FEB">
            <w:pPr>
              <w:rPr>
                <w:rFonts w:ascii="Arial" w:hAnsi="Arial" w:cs="Arial"/>
                <w:sz w:val="18"/>
                <w:szCs w:val="18"/>
              </w:rPr>
            </w:pPr>
            <w:r w:rsidRPr="00CE0FEB">
              <w:rPr>
                <w:rFonts w:ascii="Arial" w:hAnsi="Arial" w:cs="Arial"/>
                <w:sz w:val="18"/>
                <w:szCs w:val="18"/>
              </w:rPr>
              <w:t>(Matters outstanding)</w:t>
            </w:r>
          </w:p>
        </w:tc>
        <w:tc>
          <w:tcPr>
            <w:tcW w:w="619" w:type="pct"/>
            <w:tcBorders>
              <w:top w:val="single" w:sz="4" w:space="0" w:color="auto"/>
              <w:left w:val="single" w:sz="4" w:space="0" w:color="auto"/>
              <w:right w:val="single" w:sz="4" w:space="0" w:color="auto"/>
            </w:tcBorders>
            <w:shd w:val="clear" w:color="auto" w:fill="auto"/>
            <w:vAlign w:val="center"/>
          </w:tcPr>
          <w:p w14:paraId="12D602BC" w14:textId="58BAD007" w:rsidR="00CE0FEB" w:rsidRPr="003F0DE3" w:rsidRDefault="00CE0FEB" w:rsidP="00180894">
            <w:pPr>
              <w:widowControl w:val="0"/>
              <w:jc w:val="center"/>
              <w:rPr>
                <w:rFonts w:ascii="Arial" w:hAnsi="Arial" w:cs="Arial"/>
                <w:snapToGrid w:val="0"/>
                <w:sz w:val="18"/>
                <w:szCs w:val="18"/>
                <w:lang w:eastAsia="en-US"/>
              </w:rPr>
            </w:pPr>
            <w:r w:rsidRPr="00CE0FEB">
              <w:rPr>
                <w:rFonts w:ascii="Arial" w:hAnsi="Arial" w:cs="Arial"/>
                <w:snapToGrid w:val="0"/>
                <w:sz w:val="18"/>
                <w:szCs w:val="18"/>
                <w:lang w:eastAsia="en-US"/>
              </w:rPr>
              <w:t>Type 2 diabetes mellitus</w:t>
            </w:r>
            <w:r w:rsidR="00E21B03">
              <w:rPr>
                <w:rFonts w:ascii="Arial" w:hAnsi="Arial" w:cs="Arial"/>
                <w:snapToGrid w:val="0"/>
                <w:sz w:val="18"/>
                <w:szCs w:val="18"/>
                <w:lang w:eastAsia="en-US"/>
              </w:rPr>
              <w:t xml:space="preserve"> (T2DM)</w:t>
            </w:r>
          </w:p>
        </w:tc>
        <w:tc>
          <w:tcPr>
            <w:tcW w:w="862" w:type="pct"/>
            <w:tcBorders>
              <w:top w:val="single" w:sz="4" w:space="0" w:color="auto"/>
              <w:left w:val="nil"/>
              <w:right w:val="single" w:sz="4" w:space="0" w:color="auto"/>
            </w:tcBorders>
            <w:shd w:val="clear" w:color="auto" w:fill="auto"/>
            <w:tcMar>
              <w:top w:w="28" w:type="dxa"/>
              <w:bottom w:w="28" w:type="dxa"/>
            </w:tcMar>
            <w:vAlign w:val="center"/>
          </w:tcPr>
          <w:p w14:paraId="1655E5AD" w14:textId="77777777" w:rsidR="00CE0FEB" w:rsidRPr="00CE0FEB" w:rsidRDefault="00CE0FEB" w:rsidP="00CE0FEB">
            <w:pPr>
              <w:rPr>
                <w:rFonts w:ascii="Arial" w:hAnsi="Arial" w:cs="Arial"/>
                <w:snapToGrid w:val="0"/>
                <w:sz w:val="18"/>
                <w:szCs w:val="18"/>
                <w:lang w:eastAsia="en-US"/>
              </w:rPr>
            </w:pPr>
            <w:r w:rsidRPr="00CE0FEB">
              <w:rPr>
                <w:rFonts w:ascii="Arial" w:hAnsi="Arial" w:cs="Arial"/>
                <w:snapToGrid w:val="0"/>
                <w:sz w:val="18"/>
                <w:szCs w:val="18"/>
                <w:lang w:eastAsia="en-US"/>
              </w:rPr>
              <w:t xml:space="preserve">To request General Schedule Authority Required </w:t>
            </w:r>
          </w:p>
          <w:p w14:paraId="37338ED5" w14:textId="3A12FD2E" w:rsidR="00CE0FEB" w:rsidRPr="003F0DE3" w:rsidRDefault="00CE0FEB" w:rsidP="00CE0FEB">
            <w:pPr>
              <w:rPr>
                <w:rFonts w:ascii="Arial" w:hAnsi="Arial" w:cs="Arial"/>
                <w:snapToGrid w:val="0"/>
                <w:sz w:val="18"/>
                <w:szCs w:val="18"/>
                <w:lang w:eastAsia="en-US"/>
              </w:rPr>
            </w:pPr>
            <w:r w:rsidRPr="00CE0FEB">
              <w:rPr>
                <w:rFonts w:ascii="Arial" w:hAnsi="Arial" w:cs="Arial"/>
                <w:snapToGrid w:val="0"/>
                <w:sz w:val="18"/>
                <w:szCs w:val="18"/>
                <w:lang w:eastAsia="en-US"/>
              </w:rPr>
              <w:t>(STREAMLINED) listings of two new forms for the treatment of patients with T</w:t>
            </w:r>
            <w:r w:rsidR="00E21B03">
              <w:rPr>
                <w:rFonts w:ascii="Arial" w:hAnsi="Arial" w:cs="Arial"/>
                <w:snapToGrid w:val="0"/>
                <w:sz w:val="18"/>
                <w:szCs w:val="18"/>
                <w:lang w:eastAsia="en-US"/>
              </w:rPr>
              <w:t>2DM</w:t>
            </w:r>
            <w:r w:rsidRPr="00CE0FEB">
              <w:rPr>
                <w:rFonts w:ascii="Arial" w:hAnsi="Arial" w:cs="Arial"/>
                <w:snapToGrid w:val="0"/>
                <w:sz w:val="18"/>
                <w:szCs w:val="18"/>
                <w:lang w:eastAsia="en-US"/>
              </w:rPr>
              <w:t xml:space="preserve"> who require treatment intensification to achieve glycaemic targets, as dual therapy in combination with metformin</w:t>
            </w:r>
            <w:r>
              <w:rPr>
                <w:rFonts w:ascii="Arial" w:hAnsi="Arial" w:cs="Arial"/>
                <w:snapToGrid w:val="0"/>
                <w:sz w:val="18"/>
                <w:szCs w:val="18"/>
                <w:lang w:eastAsia="en-US"/>
              </w:rPr>
              <w:t>.</w:t>
            </w:r>
          </w:p>
        </w:tc>
        <w:tc>
          <w:tcPr>
            <w:tcW w:w="545" w:type="pct"/>
            <w:tcBorders>
              <w:top w:val="single" w:sz="4" w:space="0" w:color="auto"/>
              <w:left w:val="single" w:sz="4" w:space="0" w:color="auto"/>
              <w:right w:val="single" w:sz="4" w:space="0" w:color="auto"/>
            </w:tcBorders>
            <w:shd w:val="clear" w:color="auto" w:fill="auto"/>
            <w:vAlign w:val="center"/>
          </w:tcPr>
          <w:p w14:paraId="4FFB657C" w14:textId="1B7B0877" w:rsidR="00CE0FEB" w:rsidRDefault="00CE0FEB" w:rsidP="00180894">
            <w:pPr>
              <w:pStyle w:val="ListParagraph"/>
              <w:ind w:left="0"/>
              <w:jc w:val="center"/>
              <w:rPr>
                <w:rFonts w:ascii="Arial" w:hAnsi="Arial" w:cs="Arial"/>
                <w:snapToGrid w:val="0"/>
                <w:sz w:val="18"/>
                <w:szCs w:val="18"/>
                <w:lang w:eastAsia="en-US"/>
              </w:rPr>
            </w:pPr>
            <w:r>
              <w:rPr>
                <w:rFonts w:ascii="Arial" w:hAnsi="Arial" w:cs="Arial"/>
                <w:snapToGrid w:val="0"/>
                <w:sz w:val="18"/>
                <w:szCs w:val="18"/>
                <w:lang w:eastAsia="en-US"/>
              </w:rPr>
              <w:t>Recommended</w:t>
            </w:r>
          </w:p>
        </w:tc>
        <w:tc>
          <w:tcPr>
            <w:tcW w:w="2113" w:type="pct"/>
            <w:tcBorders>
              <w:top w:val="single" w:sz="4" w:space="0" w:color="auto"/>
            </w:tcBorders>
            <w:shd w:val="clear" w:color="auto" w:fill="auto"/>
            <w:vAlign w:val="center"/>
          </w:tcPr>
          <w:p w14:paraId="7A71134B" w14:textId="4D927E70" w:rsidR="00CE0FEB" w:rsidRPr="003F0DE3" w:rsidRDefault="00CE0FEB" w:rsidP="00635314">
            <w:pPr>
              <w:spacing w:after="120"/>
              <w:rPr>
                <w:rFonts w:ascii="Arial" w:hAnsi="Arial" w:cs="Arial"/>
                <w:color w:val="000000"/>
                <w:sz w:val="18"/>
                <w:szCs w:val="18"/>
              </w:rPr>
            </w:pPr>
            <w:r w:rsidRPr="00CE0FEB">
              <w:rPr>
                <w:rFonts w:ascii="Arial" w:hAnsi="Arial" w:cs="Arial"/>
                <w:color w:val="000000"/>
                <w:sz w:val="18"/>
                <w:szCs w:val="18"/>
              </w:rPr>
              <w:t>The PBAC recommended the listing of dulaglutide 3 mg and 4.5 mg for the treatment of T</w:t>
            </w:r>
            <w:r w:rsidR="00E21B03">
              <w:rPr>
                <w:rFonts w:ascii="Arial" w:hAnsi="Arial" w:cs="Arial"/>
                <w:color w:val="000000"/>
                <w:sz w:val="18"/>
                <w:szCs w:val="18"/>
              </w:rPr>
              <w:t>2DM</w:t>
            </w:r>
            <w:r w:rsidRPr="00CE0FEB">
              <w:rPr>
                <w:rFonts w:ascii="Arial" w:hAnsi="Arial" w:cs="Arial"/>
                <w:color w:val="000000"/>
                <w:sz w:val="18"/>
                <w:szCs w:val="18"/>
              </w:rPr>
              <w:t xml:space="preserve"> in combination with metformin in patients who are contraindicated or intolerant to a combination of metformin and a sulfonylurea. The PBAC’s recommendation for listing was based on, among other matters, its assessment that the cost-effectiveness of dulaglutide 3 mg and 4.5 mg would be acceptable if it were cost-minimised against dulaglutide 1.5 mg. As such, the PBAC recommended that the PBS listing for dulaglutide 3 mg and 4.5 mg should be the same as the dulaglutide 1.5 mg listing for </w:t>
            </w:r>
            <w:r w:rsidR="005D18AB">
              <w:rPr>
                <w:rFonts w:ascii="Arial" w:hAnsi="Arial" w:cs="Arial"/>
                <w:color w:val="000000"/>
                <w:sz w:val="18"/>
                <w:szCs w:val="18"/>
              </w:rPr>
              <w:t xml:space="preserve">use in </w:t>
            </w:r>
            <w:r w:rsidRPr="00CE0FEB">
              <w:rPr>
                <w:rFonts w:ascii="Arial" w:hAnsi="Arial" w:cs="Arial"/>
                <w:color w:val="000000"/>
                <w:sz w:val="18"/>
                <w:szCs w:val="18"/>
              </w:rPr>
              <w:t>combination with metformin.</w:t>
            </w:r>
          </w:p>
        </w:tc>
      </w:tr>
      <w:tr w:rsidR="003A08F1" w:rsidRPr="00687774" w14:paraId="60B5DD8F" w14:textId="77777777" w:rsidTr="00205445">
        <w:trPr>
          <w:trHeight w:val="857"/>
        </w:trPr>
        <w:tc>
          <w:tcPr>
            <w:tcW w:w="861" w:type="pct"/>
            <w:tcBorders>
              <w:top w:val="single" w:sz="4" w:space="0" w:color="auto"/>
              <w:left w:val="single" w:sz="4" w:space="0" w:color="auto"/>
              <w:right w:val="nil"/>
            </w:tcBorders>
            <w:shd w:val="clear" w:color="auto" w:fill="auto"/>
            <w:tcMar>
              <w:top w:w="28" w:type="dxa"/>
              <w:bottom w:w="28" w:type="dxa"/>
            </w:tcMar>
            <w:vAlign w:val="center"/>
          </w:tcPr>
          <w:p w14:paraId="24228B98" w14:textId="77777777" w:rsidR="003A08F1" w:rsidRPr="003A08F1" w:rsidRDefault="003A08F1" w:rsidP="003A08F1">
            <w:pPr>
              <w:rPr>
                <w:rFonts w:ascii="Arial" w:hAnsi="Arial" w:cs="Arial"/>
                <w:sz w:val="18"/>
                <w:szCs w:val="18"/>
              </w:rPr>
            </w:pPr>
            <w:r w:rsidRPr="003A08F1">
              <w:rPr>
                <w:rFonts w:ascii="Arial" w:hAnsi="Arial" w:cs="Arial"/>
                <w:sz w:val="18"/>
                <w:szCs w:val="18"/>
              </w:rPr>
              <w:t>FARICIMAB</w:t>
            </w:r>
          </w:p>
          <w:p w14:paraId="5C520455" w14:textId="77777777" w:rsidR="003A08F1" w:rsidRPr="003A08F1" w:rsidRDefault="003A08F1" w:rsidP="003A08F1">
            <w:pPr>
              <w:rPr>
                <w:rFonts w:ascii="Arial" w:hAnsi="Arial" w:cs="Arial"/>
                <w:sz w:val="18"/>
                <w:szCs w:val="18"/>
              </w:rPr>
            </w:pPr>
          </w:p>
          <w:p w14:paraId="517D20F9" w14:textId="77777777" w:rsidR="003A08F1" w:rsidRPr="003A08F1" w:rsidRDefault="003A08F1" w:rsidP="003A08F1">
            <w:pPr>
              <w:rPr>
                <w:rFonts w:ascii="Arial" w:hAnsi="Arial" w:cs="Arial"/>
                <w:sz w:val="18"/>
                <w:szCs w:val="18"/>
              </w:rPr>
            </w:pPr>
            <w:r w:rsidRPr="003A08F1">
              <w:rPr>
                <w:rFonts w:ascii="Arial" w:hAnsi="Arial" w:cs="Arial"/>
                <w:sz w:val="18"/>
                <w:szCs w:val="18"/>
              </w:rPr>
              <w:t xml:space="preserve">Solution for intravitreal injection 28.8 mg in 0.24 mL </w:t>
            </w:r>
          </w:p>
          <w:p w14:paraId="4866C01B" w14:textId="77777777" w:rsidR="003A08F1" w:rsidRPr="003A08F1" w:rsidRDefault="003A08F1" w:rsidP="003A08F1">
            <w:pPr>
              <w:rPr>
                <w:rFonts w:ascii="Arial" w:hAnsi="Arial" w:cs="Arial"/>
                <w:sz w:val="18"/>
                <w:szCs w:val="18"/>
              </w:rPr>
            </w:pPr>
          </w:p>
          <w:p w14:paraId="28E4A8DF" w14:textId="74785C18" w:rsidR="003A08F1" w:rsidRPr="003A08F1" w:rsidRDefault="003A08F1" w:rsidP="003A08F1">
            <w:pPr>
              <w:rPr>
                <w:rFonts w:ascii="Arial" w:hAnsi="Arial" w:cs="Arial"/>
                <w:sz w:val="18"/>
                <w:szCs w:val="18"/>
              </w:rPr>
            </w:pPr>
            <w:r w:rsidRPr="003A08F1">
              <w:rPr>
                <w:rFonts w:ascii="Arial" w:hAnsi="Arial" w:cs="Arial"/>
                <w:sz w:val="18"/>
                <w:szCs w:val="18"/>
              </w:rPr>
              <w:t>Vabysmo</w:t>
            </w:r>
            <w:r>
              <w:rPr>
                <w:rFonts w:ascii="Arial" w:hAnsi="Arial" w:cs="Arial"/>
                <w:sz w:val="18"/>
                <w:szCs w:val="18"/>
              </w:rPr>
              <w:t>®</w:t>
            </w:r>
          </w:p>
          <w:p w14:paraId="672F3D6A" w14:textId="77777777" w:rsidR="003A08F1" w:rsidRPr="003A08F1" w:rsidRDefault="003A08F1" w:rsidP="003A08F1">
            <w:pPr>
              <w:rPr>
                <w:rFonts w:ascii="Arial" w:hAnsi="Arial" w:cs="Arial"/>
                <w:sz w:val="18"/>
                <w:szCs w:val="18"/>
              </w:rPr>
            </w:pPr>
          </w:p>
          <w:p w14:paraId="1A53F383" w14:textId="77777777" w:rsidR="003A08F1" w:rsidRPr="003A08F1" w:rsidRDefault="003A08F1" w:rsidP="003A08F1">
            <w:pPr>
              <w:rPr>
                <w:rFonts w:ascii="Arial" w:hAnsi="Arial" w:cs="Arial"/>
                <w:sz w:val="18"/>
                <w:szCs w:val="18"/>
              </w:rPr>
            </w:pPr>
            <w:r w:rsidRPr="003A08F1">
              <w:rPr>
                <w:rFonts w:ascii="Arial" w:hAnsi="Arial" w:cs="Arial"/>
                <w:sz w:val="18"/>
                <w:szCs w:val="18"/>
              </w:rPr>
              <w:t xml:space="preserve">Roche Products Pty Ltd </w:t>
            </w:r>
          </w:p>
          <w:p w14:paraId="21B1A090" w14:textId="77777777" w:rsidR="003A08F1" w:rsidRPr="003A08F1" w:rsidRDefault="003A08F1" w:rsidP="003A08F1">
            <w:pPr>
              <w:rPr>
                <w:rFonts w:ascii="Arial" w:hAnsi="Arial" w:cs="Arial"/>
                <w:sz w:val="18"/>
                <w:szCs w:val="18"/>
              </w:rPr>
            </w:pPr>
          </w:p>
          <w:p w14:paraId="02C86723" w14:textId="36698217" w:rsidR="003A08F1" w:rsidRPr="00CE0FEB" w:rsidRDefault="003A08F1" w:rsidP="003A08F1">
            <w:pPr>
              <w:rPr>
                <w:rFonts w:ascii="Arial" w:hAnsi="Arial" w:cs="Arial"/>
                <w:sz w:val="18"/>
                <w:szCs w:val="18"/>
              </w:rPr>
            </w:pPr>
            <w:r w:rsidRPr="003A08F1">
              <w:rPr>
                <w:rFonts w:ascii="Arial" w:hAnsi="Arial" w:cs="Arial"/>
                <w:sz w:val="18"/>
                <w:szCs w:val="18"/>
              </w:rPr>
              <w:t>(New PBS listing)</w:t>
            </w:r>
          </w:p>
        </w:tc>
        <w:tc>
          <w:tcPr>
            <w:tcW w:w="619" w:type="pct"/>
            <w:tcBorders>
              <w:top w:val="single" w:sz="4" w:space="0" w:color="auto"/>
              <w:left w:val="single" w:sz="4" w:space="0" w:color="auto"/>
              <w:right w:val="single" w:sz="4" w:space="0" w:color="auto"/>
            </w:tcBorders>
            <w:shd w:val="clear" w:color="auto" w:fill="auto"/>
            <w:vAlign w:val="center"/>
          </w:tcPr>
          <w:p w14:paraId="5D295014" w14:textId="0F279016" w:rsidR="003A08F1" w:rsidRPr="003A08F1" w:rsidRDefault="003A08F1" w:rsidP="00180894">
            <w:pPr>
              <w:widowControl w:val="0"/>
              <w:jc w:val="center"/>
              <w:rPr>
                <w:rFonts w:ascii="Arial" w:hAnsi="Arial" w:cs="Arial"/>
                <w:snapToGrid w:val="0"/>
                <w:sz w:val="18"/>
                <w:szCs w:val="18"/>
                <w:lang w:eastAsia="en-US"/>
              </w:rPr>
            </w:pPr>
            <w:r w:rsidRPr="003A08F1">
              <w:rPr>
                <w:rFonts w:ascii="Arial" w:hAnsi="Arial" w:cs="Arial"/>
                <w:sz w:val="18"/>
                <w:szCs w:val="18"/>
              </w:rPr>
              <w:t>Diabetic macular oedema (DMO)</w:t>
            </w:r>
          </w:p>
        </w:tc>
        <w:tc>
          <w:tcPr>
            <w:tcW w:w="862" w:type="pct"/>
            <w:tcBorders>
              <w:top w:val="single" w:sz="4" w:space="0" w:color="auto"/>
              <w:left w:val="nil"/>
              <w:right w:val="single" w:sz="4" w:space="0" w:color="auto"/>
            </w:tcBorders>
            <w:shd w:val="clear" w:color="auto" w:fill="auto"/>
            <w:tcMar>
              <w:top w:w="28" w:type="dxa"/>
              <w:bottom w:w="28" w:type="dxa"/>
            </w:tcMar>
            <w:vAlign w:val="center"/>
          </w:tcPr>
          <w:p w14:paraId="14F1E91C" w14:textId="5AA079E1" w:rsidR="003A08F1" w:rsidRPr="003A08F1" w:rsidRDefault="003A08F1" w:rsidP="00CE0FEB">
            <w:pPr>
              <w:rPr>
                <w:rFonts w:ascii="Arial" w:hAnsi="Arial" w:cs="Arial"/>
                <w:snapToGrid w:val="0"/>
                <w:sz w:val="18"/>
                <w:szCs w:val="18"/>
                <w:lang w:eastAsia="en-US"/>
              </w:rPr>
            </w:pPr>
            <w:r w:rsidRPr="003A08F1">
              <w:rPr>
                <w:rFonts w:ascii="Arial" w:hAnsi="Arial" w:cs="Arial"/>
                <w:sz w:val="18"/>
                <w:szCs w:val="18"/>
              </w:rPr>
              <w:t>To request a General Schedule Authority Required (Written) listing for the treatment of DMO.</w:t>
            </w:r>
          </w:p>
        </w:tc>
        <w:tc>
          <w:tcPr>
            <w:tcW w:w="545" w:type="pct"/>
            <w:tcBorders>
              <w:top w:val="single" w:sz="4" w:space="0" w:color="auto"/>
              <w:left w:val="single" w:sz="4" w:space="0" w:color="auto"/>
              <w:right w:val="single" w:sz="4" w:space="0" w:color="auto"/>
            </w:tcBorders>
            <w:shd w:val="clear" w:color="auto" w:fill="auto"/>
            <w:vAlign w:val="center"/>
          </w:tcPr>
          <w:p w14:paraId="1F88997C" w14:textId="0391AD86" w:rsidR="003A08F1" w:rsidRDefault="003A08F1" w:rsidP="00180894">
            <w:pPr>
              <w:pStyle w:val="ListParagraph"/>
              <w:ind w:left="0"/>
              <w:jc w:val="center"/>
              <w:rPr>
                <w:rFonts w:ascii="Arial" w:hAnsi="Arial" w:cs="Arial"/>
                <w:snapToGrid w:val="0"/>
                <w:sz w:val="18"/>
                <w:szCs w:val="18"/>
                <w:lang w:eastAsia="en-US"/>
              </w:rPr>
            </w:pPr>
            <w:r>
              <w:rPr>
                <w:rFonts w:ascii="Arial" w:hAnsi="Arial" w:cs="Arial"/>
                <w:snapToGrid w:val="0"/>
                <w:sz w:val="18"/>
                <w:szCs w:val="18"/>
                <w:lang w:eastAsia="en-US"/>
              </w:rPr>
              <w:t>Recommended</w:t>
            </w:r>
          </w:p>
        </w:tc>
        <w:tc>
          <w:tcPr>
            <w:tcW w:w="2113" w:type="pct"/>
            <w:tcBorders>
              <w:top w:val="single" w:sz="4" w:space="0" w:color="auto"/>
            </w:tcBorders>
            <w:shd w:val="clear" w:color="auto" w:fill="auto"/>
            <w:vAlign w:val="center"/>
          </w:tcPr>
          <w:p w14:paraId="6C1B7F8E" w14:textId="68131558" w:rsidR="003A08F1" w:rsidRPr="003A08F1" w:rsidRDefault="003A08F1" w:rsidP="003A08F1">
            <w:pPr>
              <w:spacing w:after="120"/>
              <w:rPr>
                <w:rFonts w:ascii="Arial" w:hAnsi="Arial" w:cs="Arial"/>
                <w:color w:val="000000"/>
                <w:sz w:val="18"/>
                <w:szCs w:val="18"/>
              </w:rPr>
            </w:pPr>
            <w:r w:rsidRPr="003A08F1">
              <w:rPr>
                <w:rFonts w:ascii="Arial" w:hAnsi="Arial" w:cs="Arial"/>
                <w:color w:val="000000"/>
                <w:sz w:val="18"/>
                <w:szCs w:val="18"/>
              </w:rPr>
              <w:t>The PBAC recommended the Authority Required listing of faricimab for the treatment of patients with visual impairment due to DMO. The PBAC’s recommendation for listing was based on, among other matters, its assessment that the cost-effectiveness of faricimab would be acceptable if it were cost-minimised to PBS-listed anti-VEGF treatments such as aflibercept and ranibizumab for the same indication.</w:t>
            </w:r>
          </w:p>
          <w:p w14:paraId="75F95043" w14:textId="77777777" w:rsidR="003A08F1" w:rsidRPr="003A08F1" w:rsidRDefault="003A08F1" w:rsidP="003A08F1">
            <w:pPr>
              <w:spacing w:after="120"/>
              <w:rPr>
                <w:rFonts w:ascii="Arial" w:hAnsi="Arial" w:cs="Arial"/>
                <w:color w:val="000000"/>
                <w:sz w:val="18"/>
                <w:szCs w:val="18"/>
              </w:rPr>
            </w:pPr>
            <w:r w:rsidRPr="003A08F1">
              <w:rPr>
                <w:rFonts w:ascii="Arial" w:hAnsi="Arial" w:cs="Arial"/>
                <w:color w:val="000000"/>
                <w:sz w:val="18"/>
                <w:szCs w:val="18"/>
              </w:rPr>
              <w:t xml:space="preserve">The PBAC supported a 2-year time horizon for the cost-minimisation calculation, and considered the equi-effective doses to be: </w:t>
            </w:r>
          </w:p>
          <w:p w14:paraId="788906E8" w14:textId="7AFFFBD6" w:rsidR="003A08F1" w:rsidRPr="003A08F1" w:rsidRDefault="003A08F1" w:rsidP="003A08F1">
            <w:pPr>
              <w:pStyle w:val="ListParagraph"/>
              <w:numPr>
                <w:ilvl w:val="0"/>
                <w:numId w:val="48"/>
              </w:numPr>
              <w:spacing w:after="120"/>
              <w:rPr>
                <w:rFonts w:ascii="Arial" w:hAnsi="Arial" w:cs="Arial"/>
                <w:color w:val="000000"/>
                <w:sz w:val="18"/>
                <w:szCs w:val="18"/>
              </w:rPr>
            </w:pPr>
            <w:r w:rsidRPr="003A08F1">
              <w:rPr>
                <w:rFonts w:ascii="Arial" w:hAnsi="Arial" w:cs="Arial"/>
                <w:color w:val="000000"/>
                <w:sz w:val="18"/>
                <w:szCs w:val="18"/>
              </w:rPr>
              <w:t>Year 1: 8.23 doses of faricimab annually to 6.38 doses of aflibercept 2</w:t>
            </w:r>
            <w:r>
              <w:rPr>
                <w:rFonts w:ascii="Arial" w:hAnsi="Arial" w:cs="Arial"/>
                <w:color w:val="000000"/>
                <w:sz w:val="18"/>
                <w:szCs w:val="18"/>
              </w:rPr>
              <w:t> </w:t>
            </w:r>
            <w:r w:rsidRPr="003A08F1">
              <w:rPr>
                <w:rFonts w:ascii="Arial" w:hAnsi="Arial" w:cs="Arial"/>
                <w:color w:val="000000"/>
                <w:sz w:val="18"/>
                <w:szCs w:val="18"/>
              </w:rPr>
              <w:t>mg annually</w:t>
            </w:r>
          </w:p>
          <w:p w14:paraId="3BDAFA20" w14:textId="7DAF491C" w:rsidR="003A08F1" w:rsidRPr="003A08F1" w:rsidRDefault="003A08F1" w:rsidP="003A08F1">
            <w:pPr>
              <w:pStyle w:val="ListParagraph"/>
              <w:numPr>
                <w:ilvl w:val="0"/>
                <w:numId w:val="48"/>
              </w:numPr>
              <w:spacing w:after="120"/>
              <w:rPr>
                <w:rFonts w:ascii="Arial" w:hAnsi="Arial" w:cs="Arial"/>
                <w:color w:val="000000"/>
                <w:sz w:val="18"/>
                <w:szCs w:val="18"/>
              </w:rPr>
            </w:pPr>
            <w:r w:rsidRPr="003A08F1">
              <w:rPr>
                <w:rFonts w:ascii="Arial" w:hAnsi="Arial" w:cs="Arial"/>
                <w:color w:val="000000"/>
                <w:sz w:val="18"/>
                <w:szCs w:val="18"/>
              </w:rPr>
              <w:t>Year 2: 4.68 doses of faricimab annually to 5.27 doses of aflibercept 2</w:t>
            </w:r>
            <w:r>
              <w:rPr>
                <w:rFonts w:ascii="Arial" w:hAnsi="Arial" w:cs="Arial"/>
                <w:color w:val="000000"/>
                <w:sz w:val="18"/>
                <w:szCs w:val="18"/>
              </w:rPr>
              <w:t> </w:t>
            </w:r>
            <w:r w:rsidRPr="003A08F1">
              <w:rPr>
                <w:rFonts w:ascii="Arial" w:hAnsi="Arial" w:cs="Arial"/>
                <w:color w:val="000000"/>
                <w:sz w:val="18"/>
                <w:szCs w:val="18"/>
              </w:rPr>
              <w:t xml:space="preserve">mg annually. </w:t>
            </w:r>
          </w:p>
          <w:p w14:paraId="5674FA5E" w14:textId="5B3634CC" w:rsidR="003A08F1" w:rsidRPr="00CE0FEB" w:rsidRDefault="003A08F1" w:rsidP="003A08F1">
            <w:pPr>
              <w:spacing w:after="120"/>
              <w:rPr>
                <w:rFonts w:ascii="Arial" w:hAnsi="Arial" w:cs="Arial"/>
                <w:color w:val="000000"/>
                <w:sz w:val="18"/>
                <w:szCs w:val="18"/>
              </w:rPr>
            </w:pPr>
            <w:r w:rsidRPr="003A08F1">
              <w:rPr>
                <w:rFonts w:ascii="Arial" w:hAnsi="Arial" w:cs="Arial"/>
                <w:color w:val="000000"/>
                <w:sz w:val="18"/>
                <w:szCs w:val="18"/>
              </w:rPr>
              <w:t>The PBAC considered that, based on the clinical evidence provided, the claim of non-inferior comparative effectiveness and safety of faricimab compared to aflibercept was acceptable. The PBAC considered the proposed cost savings with listing faricimab to be overestimated, in particular noting that the cost savings estimated in the submission depend on the assumed dose frequencies, which may not be realised if dose frequencies differ in clinical practice. The PBAC considered that there should be no extra cost to Government given the PBAC’s acceptance of the faricimab administration frequency</w:t>
            </w:r>
            <w:r w:rsidR="00E21B03">
              <w:rPr>
                <w:rFonts w:ascii="Arial" w:hAnsi="Arial" w:cs="Arial"/>
                <w:color w:val="000000"/>
                <w:sz w:val="18"/>
                <w:szCs w:val="18"/>
              </w:rPr>
              <w:t>, which was</w:t>
            </w:r>
            <w:r w:rsidRPr="003A08F1">
              <w:rPr>
                <w:rFonts w:ascii="Arial" w:hAnsi="Arial" w:cs="Arial"/>
                <w:color w:val="000000"/>
                <w:sz w:val="18"/>
                <w:szCs w:val="18"/>
              </w:rPr>
              <w:t xml:space="preserve"> based on an analysis of </w:t>
            </w:r>
            <w:r w:rsidR="00B4136C">
              <w:rPr>
                <w:rFonts w:ascii="Arial" w:hAnsi="Arial" w:cs="Arial"/>
                <w:color w:val="000000"/>
                <w:sz w:val="18"/>
                <w:szCs w:val="18"/>
              </w:rPr>
              <w:t xml:space="preserve">the </w:t>
            </w:r>
            <w:r w:rsidRPr="003A08F1">
              <w:rPr>
                <w:rFonts w:ascii="Arial" w:hAnsi="Arial" w:cs="Arial"/>
                <w:color w:val="000000"/>
                <w:sz w:val="18"/>
                <w:szCs w:val="18"/>
              </w:rPr>
              <w:t>faricimab administration frequency in the RHINE/YOSEMITE trials and</w:t>
            </w:r>
            <w:r w:rsidR="00E21B03">
              <w:rPr>
                <w:rFonts w:ascii="Arial" w:hAnsi="Arial" w:cs="Arial"/>
                <w:color w:val="000000"/>
                <w:sz w:val="18"/>
                <w:szCs w:val="18"/>
              </w:rPr>
              <w:t xml:space="preserve"> of</w:t>
            </w:r>
            <w:r w:rsidRPr="003A08F1">
              <w:rPr>
                <w:rFonts w:ascii="Arial" w:hAnsi="Arial" w:cs="Arial"/>
                <w:color w:val="000000"/>
                <w:sz w:val="18"/>
                <w:szCs w:val="18"/>
              </w:rPr>
              <w:t xml:space="preserve"> the aflibercept administration frequency </w:t>
            </w:r>
            <w:r w:rsidR="00E21B03">
              <w:rPr>
                <w:rFonts w:ascii="Arial" w:hAnsi="Arial" w:cs="Arial"/>
                <w:color w:val="000000"/>
                <w:sz w:val="18"/>
                <w:szCs w:val="18"/>
              </w:rPr>
              <w:t>using</w:t>
            </w:r>
            <w:r w:rsidRPr="003A08F1">
              <w:rPr>
                <w:rFonts w:ascii="Arial" w:hAnsi="Arial" w:cs="Arial"/>
                <w:color w:val="000000"/>
                <w:sz w:val="18"/>
                <w:szCs w:val="18"/>
              </w:rPr>
              <w:t xml:space="preserve"> PBS data for aflibercept</w:t>
            </w:r>
            <w:r w:rsidR="009F0A69">
              <w:rPr>
                <w:rFonts w:ascii="Arial" w:hAnsi="Arial" w:cs="Arial"/>
                <w:color w:val="000000"/>
                <w:sz w:val="18"/>
                <w:szCs w:val="18"/>
              </w:rPr>
              <w:t xml:space="preserve"> supply</w:t>
            </w:r>
            <w:r w:rsidRPr="003A08F1">
              <w:rPr>
                <w:rFonts w:ascii="Arial" w:hAnsi="Arial" w:cs="Arial"/>
                <w:color w:val="000000"/>
                <w:sz w:val="18"/>
                <w:szCs w:val="18"/>
              </w:rPr>
              <w:t>.</w:t>
            </w:r>
          </w:p>
        </w:tc>
      </w:tr>
      <w:tr w:rsidR="003A08F1" w:rsidRPr="00687774" w14:paraId="76E06DD1" w14:textId="77777777" w:rsidTr="00205445">
        <w:trPr>
          <w:trHeight w:val="857"/>
        </w:trPr>
        <w:tc>
          <w:tcPr>
            <w:tcW w:w="861" w:type="pct"/>
            <w:tcBorders>
              <w:top w:val="single" w:sz="4" w:space="0" w:color="auto"/>
              <w:left w:val="single" w:sz="4" w:space="0" w:color="auto"/>
              <w:right w:val="nil"/>
            </w:tcBorders>
            <w:shd w:val="clear" w:color="auto" w:fill="auto"/>
            <w:tcMar>
              <w:top w:w="28" w:type="dxa"/>
              <w:bottom w:w="28" w:type="dxa"/>
            </w:tcMar>
            <w:vAlign w:val="center"/>
          </w:tcPr>
          <w:p w14:paraId="70AE0032" w14:textId="77777777" w:rsidR="003A08F1" w:rsidRPr="003A08F1" w:rsidRDefault="003A08F1" w:rsidP="003A08F1">
            <w:pPr>
              <w:rPr>
                <w:rFonts w:ascii="Arial" w:hAnsi="Arial" w:cs="Arial"/>
                <w:sz w:val="18"/>
                <w:szCs w:val="18"/>
              </w:rPr>
            </w:pPr>
            <w:r w:rsidRPr="003A08F1">
              <w:rPr>
                <w:rFonts w:ascii="Arial" w:hAnsi="Arial" w:cs="Arial"/>
                <w:sz w:val="18"/>
                <w:szCs w:val="18"/>
              </w:rPr>
              <w:lastRenderedPageBreak/>
              <w:t>FARICIMAB</w:t>
            </w:r>
          </w:p>
          <w:p w14:paraId="5E4A5F7F" w14:textId="77777777" w:rsidR="003A08F1" w:rsidRPr="003A08F1" w:rsidRDefault="003A08F1" w:rsidP="003A08F1">
            <w:pPr>
              <w:rPr>
                <w:rFonts w:ascii="Arial" w:hAnsi="Arial" w:cs="Arial"/>
                <w:sz w:val="18"/>
                <w:szCs w:val="18"/>
              </w:rPr>
            </w:pPr>
          </w:p>
          <w:p w14:paraId="663E632D" w14:textId="77777777" w:rsidR="003A08F1" w:rsidRPr="003A08F1" w:rsidRDefault="003A08F1" w:rsidP="003A08F1">
            <w:pPr>
              <w:rPr>
                <w:rFonts w:ascii="Arial" w:hAnsi="Arial" w:cs="Arial"/>
                <w:sz w:val="18"/>
                <w:szCs w:val="18"/>
              </w:rPr>
            </w:pPr>
            <w:r w:rsidRPr="003A08F1">
              <w:rPr>
                <w:rFonts w:ascii="Arial" w:hAnsi="Arial" w:cs="Arial"/>
                <w:sz w:val="18"/>
                <w:szCs w:val="18"/>
              </w:rPr>
              <w:t xml:space="preserve">Solution for intravitreal injection 28.8 mg in 0.24 mL </w:t>
            </w:r>
          </w:p>
          <w:p w14:paraId="026F9F9A" w14:textId="77777777" w:rsidR="003A08F1" w:rsidRPr="003A08F1" w:rsidRDefault="003A08F1" w:rsidP="003A08F1">
            <w:pPr>
              <w:rPr>
                <w:rFonts w:ascii="Arial" w:hAnsi="Arial" w:cs="Arial"/>
                <w:sz w:val="18"/>
                <w:szCs w:val="18"/>
              </w:rPr>
            </w:pPr>
          </w:p>
          <w:p w14:paraId="0F4A79CA" w14:textId="70439401" w:rsidR="003A08F1" w:rsidRPr="003A08F1" w:rsidRDefault="003A08F1" w:rsidP="003A08F1">
            <w:pPr>
              <w:rPr>
                <w:rFonts w:ascii="Arial" w:hAnsi="Arial" w:cs="Arial"/>
                <w:sz w:val="18"/>
                <w:szCs w:val="18"/>
              </w:rPr>
            </w:pPr>
            <w:r w:rsidRPr="003A08F1">
              <w:rPr>
                <w:rFonts w:ascii="Arial" w:hAnsi="Arial" w:cs="Arial"/>
                <w:sz w:val="18"/>
                <w:szCs w:val="18"/>
              </w:rPr>
              <w:t>Vabysmo</w:t>
            </w:r>
            <w:r>
              <w:rPr>
                <w:rFonts w:ascii="Arial" w:hAnsi="Arial" w:cs="Arial"/>
                <w:sz w:val="18"/>
                <w:szCs w:val="18"/>
              </w:rPr>
              <w:t>®</w:t>
            </w:r>
          </w:p>
          <w:p w14:paraId="372EFF9F" w14:textId="77777777" w:rsidR="003A08F1" w:rsidRPr="003A08F1" w:rsidRDefault="003A08F1" w:rsidP="003A08F1">
            <w:pPr>
              <w:rPr>
                <w:rFonts w:ascii="Arial" w:hAnsi="Arial" w:cs="Arial"/>
                <w:sz w:val="18"/>
                <w:szCs w:val="18"/>
              </w:rPr>
            </w:pPr>
          </w:p>
          <w:p w14:paraId="21113AF3" w14:textId="77777777" w:rsidR="003A08F1" w:rsidRPr="003A08F1" w:rsidRDefault="003A08F1" w:rsidP="003A08F1">
            <w:pPr>
              <w:rPr>
                <w:rFonts w:ascii="Arial" w:hAnsi="Arial" w:cs="Arial"/>
                <w:sz w:val="18"/>
                <w:szCs w:val="18"/>
              </w:rPr>
            </w:pPr>
            <w:r w:rsidRPr="003A08F1">
              <w:rPr>
                <w:rFonts w:ascii="Arial" w:hAnsi="Arial" w:cs="Arial"/>
                <w:sz w:val="18"/>
                <w:szCs w:val="18"/>
              </w:rPr>
              <w:t xml:space="preserve">Roche Products Pty Ltd </w:t>
            </w:r>
          </w:p>
          <w:p w14:paraId="2D0F3AFE" w14:textId="77777777" w:rsidR="003A08F1" w:rsidRPr="003A08F1" w:rsidRDefault="003A08F1" w:rsidP="003A08F1">
            <w:pPr>
              <w:rPr>
                <w:rFonts w:ascii="Arial" w:hAnsi="Arial" w:cs="Arial"/>
                <w:sz w:val="18"/>
                <w:szCs w:val="18"/>
              </w:rPr>
            </w:pPr>
          </w:p>
          <w:p w14:paraId="18F3DE9C" w14:textId="3C56FD63" w:rsidR="003A08F1" w:rsidRPr="003F0DE3" w:rsidRDefault="003A08F1" w:rsidP="003A08F1">
            <w:pPr>
              <w:rPr>
                <w:rFonts w:ascii="Arial" w:hAnsi="Arial" w:cs="Arial"/>
                <w:sz w:val="18"/>
                <w:szCs w:val="18"/>
              </w:rPr>
            </w:pPr>
            <w:r w:rsidRPr="003A08F1">
              <w:rPr>
                <w:rFonts w:ascii="Arial" w:hAnsi="Arial" w:cs="Arial"/>
                <w:sz w:val="18"/>
                <w:szCs w:val="18"/>
              </w:rPr>
              <w:t>(New PBS listing)</w:t>
            </w:r>
          </w:p>
        </w:tc>
        <w:tc>
          <w:tcPr>
            <w:tcW w:w="619" w:type="pct"/>
            <w:tcBorders>
              <w:top w:val="single" w:sz="4" w:space="0" w:color="auto"/>
              <w:left w:val="single" w:sz="4" w:space="0" w:color="auto"/>
              <w:right w:val="single" w:sz="4" w:space="0" w:color="auto"/>
            </w:tcBorders>
            <w:shd w:val="clear" w:color="auto" w:fill="auto"/>
            <w:vAlign w:val="center"/>
          </w:tcPr>
          <w:p w14:paraId="5EAFC6F5" w14:textId="24284A5B" w:rsidR="003A08F1" w:rsidRPr="003A08F1" w:rsidRDefault="003A08F1" w:rsidP="00180894">
            <w:pPr>
              <w:widowControl w:val="0"/>
              <w:jc w:val="center"/>
              <w:rPr>
                <w:rFonts w:ascii="Arial" w:hAnsi="Arial" w:cs="Arial"/>
                <w:snapToGrid w:val="0"/>
                <w:sz w:val="18"/>
                <w:szCs w:val="18"/>
                <w:lang w:eastAsia="en-US"/>
              </w:rPr>
            </w:pPr>
            <w:r w:rsidRPr="003A08F1">
              <w:rPr>
                <w:rFonts w:ascii="Arial" w:hAnsi="Arial" w:cs="Arial"/>
                <w:sz w:val="18"/>
                <w:szCs w:val="18"/>
              </w:rPr>
              <w:t>Neovascular (wet) age-related macular degeneration (nAMD)</w:t>
            </w:r>
          </w:p>
        </w:tc>
        <w:tc>
          <w:tcPr>
            <w:tcW w:w="862" w:type="pct"/>
            <w:tcBorders>
              <w:top w:val="single" w:sz="4" w:space="0" w:color="auto"/>
              <w:left w:val="nil"/>
              <w:right w:val="single" w:sz="4" w:space="0" w:color="auto"/>
            </w:tcBorders>
            <w:shd w:val="clear" w:color="auto" w:fill="auto"/>
            <w:tcMar>
              <w:top w:w="28" w:type="dxa"/>
              <w:bottom w:w="28" w:type="dxa"/>
            </w:tcMar>
            <w:vAlign w:val="center"/>
          </w:tcPr>
          <w:p w14:paraId="18709F5D" w14:textId="340CCBF8" w:rsidR="003A08F1" w:rsidRPr="003A08F1" w:rsidRDefault="003A08F1" w:rsidP="007414B9">
            <w:pPr>
              <w:pStyle w:val="ListParagraph"/>
              <w:ind w:left="0"/>
              <w:rPr>
                <w:rFonts w:ascii="Arial" w:hAnsi="Arial" w:cs="Arial"/>
                <w:snapToGrid w:val="0"/>
                <w:sz w:val="18"/>
                <w:szCs w:val="18"/>
                <w:lang w:eastAsia="en-US"/>
              </w:rPr>
            </w:pPr>
            <w:r w:rsidRPr="003A08F1">
              <w:rPr>
                <w:rFonts w:ascii="Arial" w:hAnsi="Arial" w:cs="Arial"/>
                <w:sz w:val="18"/>
                <w:szCs w:val="18"/>
              </w:rPr>
              <w:t>To request a General Schedule Authority Required (Written) listing for the treatment of nAMD.</w:t>
            </w:r>
          </w:p>
        </w:tc>
        <w:tc>
          <w:tcPr>
            <w:tcW w:w="545" w:type="pct"/>
            <w:tcBorders>
              <w:top w:val="single" w:sz="4" w:space="0" w:color="auto"/>
              <w:left w:val="single" w:sz="4" w:space="0" w:color="auto"/>
              <w:right w:val="single" w:sz="4" w:space="0" w:color="auto"/>
            </w:tcBorders>
            <w:shd w:val="clear" w:color="auto" w:fill="auto"/>
            <w:vAlign w:val="center"/>
          </w:tcPr>
          <w:p w14:paraId="339E7E04" w14:textId="648A732F" w:rsidR="003A08F1" w:rsidRDefault="003A08F1" w:rsidP="00180894">
            <w:pPr>
              <w:pStyle w:val="ListParagraph"/>
              <w:ind w:left="0"/>
              <w:jc w:val="center"/>
              <w:rPr>
                <w:rFonts w:ascii="Arial" w:hAnsi="Arial" w:cs="Arial"/>
                <w:snapToGrid w:val="0"/>
                <w:sz w:val="18"/>
                <w:szCs w:val="18"/>
                <w:lang w:eastAsia="en-US"/>
              </w:rPr>
            </w:pPr>
            <w:r>
              <w:rPr>
                <w:rFonts w:ascii="Arial" w:hAnsi="Arial" w:cs="Arial"/>
                <w:snapToGrid w:val="0"/>
                <w:sz w:val="18"/>
                <w:szCs w:val="18"/>
                <w:lang w:eastAsia="en-US"/>
              </w:rPr>
              <w:t>Recommended</w:t>
            </w:r>
          </w:p>
        </w:tc>
        <w:tc>
          <w:tcPr>
            <w:tcW w:w="2113" w:type="pct"/>
            <w:tcBorders>
              <w:top w:val="single" w:sz="4" w:space="0" w:color="auto"/>
            </w:tcBorders>
            <w:shd w:val="clear" w:color="auto" w:fill="auto"/>
            <w:vAlign w:val="center"/>
          </w:tcPr>
          <w:p w14:paraId="7B5DD271" w14:textId="14734447" w:rsidR="003A08F1" w:rsidRPr="003A08F1" w:rsidRDefault="003A08F1" w:rsidP="003A08F1">
            <w:pPr>
              <w:spacing w:after="120"/>
              <w:rPr>
                <w:rFonts w:ascii="Arial" w:hAnsi="Arial" w:cs="Arial"/>
                <w:color w:val="000000"/>
                <w:sz w:val="18"/>
                <w:szCs w:val="18"/>
              </w:rPr>
            </w:pPr>
            <w:r w:rsidRPr="003A08F1">
              <w:rPr>
                <w:rFonts w:ascii="Arial" w:hAnsi="Arial" w:cs="Arial"/>
                <w:color w:val="000000"/>
                <w:sz w:val="18"/>
                <w:szCs w:val="18"/>
              </w:rPr>
              <w:t>The PBAC recommended the Authority Required listing of faricimab for the treatment of nAMD. The PBAC’s recommendation for listing was based on, among other matters, its assessment that the cost-effectiveness of faricimab would be acceptable if it were cost-minimised to PBS-listed anti-VEGF treatments such as aflibercept and ranibizumab for the same indication.</w:t>
            </w:r>
          </w:p>
          <w:p w14:paraId="595F2878" w14:textId="77777777" w:rsidR="003A08F1" w:rsidRPr="003A08F1" w:rsidRDefault="003A08F1" w:rsidP="003A08F1">
            <w:pPr>
              <w:spacing w:after="120"/>
              <w:rPr>
                <w:rFonts w:ascii="Arial" w:hAnsi="Arial" w:cs="Arial"/>
                <w:color w:val="000000"/>
                <w:sz w:val="18"/>
                <w:szCs w:val="18"/>
              </w:rPr>
            </w:pPr>
            <w:r w:rsidRPr="003A08F1">
              <w:rPr>
                <w:rFonts w:ascii="Arial" w:hAnsi="Arial" w:cs="Arial"/>
                <w:color w:val="000000"/>
                <w:sz w:val="18"/>
                <w:szCs w:val="18"/>
              </w:rPr>
              <w:t xml:space="preserve">The PBAC supported a 2-year time horizon for the cost-minimisation calculation, and considered the equi-effective doses to be: </w:t>
            </w:r>
          </w:p>
          <w:p w14:paraId="32A06155" w14:textId="24F7E81C" w:rsidR="003A08F1" w:rsidRPr="007F0847" w:rsidRDefault="003A08F1" w:rsidP="007F0847">
            <w:pPr>
              <w:pStyle w:val="ListParagraph"/>
              <w:numPr>
                <w:ilvl w:val="0"/>
                <w:numId w:val="48"/>
              </w:numPr>
              <w:spacing w:after="120"/>
              <w:rPr>
                <w:rFonts w:ascii="Arial" w:hAnsi="Arial" w:cs="Arial"/>
                <w:color w:val="000000"/>
                <w:sz w:val="18"/>
                <w:szCs w:val="18"/>
              </w:rPr>
            </w:pPr>
            <w:r w:rsidRPr="007F0847">
              <w:rPr>
                <w:rFonts w:ascii="Arial" w:hAnsi="Arial" w:cs="Arial"/>
                <w:color w:val="000000"/>
                <w:sz w:val="18"/>
                <w:szCs w:val="18"/>
              </w:rPr>
              <w:t>Year 1: 7.20 doses of faricimab annually to 7.69 doses of aflibercept 2</w:t>
            </w:r>
            <w:r w:rsidR="007F0847">
              <w:rPr>
                <w:rFonts w:ascii="Arial" w:hAnsi="Arial" w:cs="Arial"/>
                <w:color w:val="000000"/>
                <w:sz w:val="18"/>
                <w:szCs w:val="18"/>
              </w:rPr>
              <w:t> </w:t>
            </w:r>
            <w:r w:rsidRPr="007F0847">
              <w:rPr>
                <w:rFonts w:ascii="Arial" w:hAnsi="Arial" w:cs="Arial"/>
                <w:color w:val="000000"/>
                <w:sz w:val="18"/>
                <w:szCs w:val="18"/>
              </w:rPr>
              <w:t>mg annually</w:t>
            </w:r>
          </w:p>
          <w:p w14:paraId="41D75E57" w14:textId="614D2D7E" w:rsidR="003A08F1" w:rsidRPr="007F0847" w:rsidRDefault="003A08F1" w:rsidP="003A08F1">
            <w:pPr>
              <w:pStyle w:val="ListParagraph"/>
              <w:numPr>
                <w:ilvl w:val="0"/>
                <w:numId w:val="48"/>
              </w:numPr>
              <w:spacing w:after="120"/>
              <w:rPr>
                <w:rFonts w:ascii="Arial" w:hAnsi="Arial" w:cs="Arial"/>
                <w:color w:val="000000"/>
                <w:sz w:val="18"/>
                <w:szCs w:val="18"/>
              </w:rPr>
            </w:pPr>
            <w:r w:rsidRPr="007F0847">
              <w:rPr>
                <w:rFonts w:ascii="Arial" w:hAnsi="Arial" w:cs="Arial"/>
                <w:color w:val="000000"/>
                <w:sz w:val="18"/>
                <w:szCs w:val="18"/>
              </w:rPr>
              <w:t>Year 2: 4.30 doses of faricimab annually to 6.31 doses of aflibercept 2</w:t>
            </w:r>
            <w:r w:rsidR="007F0847">
              <w:rPr>
                <w:rFonts w:ascii="Arial" w:hAnsi="Arial" w:cs="Arial"/>
                <w:color w:val="000000"/>
                <w:sz w:val="18"/>
                <w:szCs w:val="18"/>
              </w:rPr>
              <w:t> </w:t>
            </w:r>
            <w:r w:rsidRPr="007F0847">
              <w:rPr>
                <w:rFonts w:ascii="Arial" w:hAnsi="Arial" w:cs="Arial"/>
                <w:color w:val="000000"/>
                <w:sz w:val="18"/>
                <w:szCs w:val="18"/>
              </w:rPr>
              <w:t>mg annually.</w:t>
            </w:r>
          </w:p>
          <w:p w14:paraId="62552103" w14:textId="61E269DA" w:rsidR="003A08F1" w:rsidRPr="003F0DE3" w:rsidRDefault="003A08F1" w:rsidP="003A08F1">
            <w:pPr>
              <w:spacing w:after="120"/>
              <w:rPr>
                <w:rFonts w:ascii="Arial" w:hAnsi="Arial" w:cs="Arial"/>
                <w:color w:val="000000"/>
                <w:sz w:val="18"/>
                <w:szCs w:val="18"/>
              </w:rPr>
            </w:pPr>
            <w:r w:rsidRPr="003A08F1">
              <w:rPr>
                <w:rFonts w:ascii="Arial" w:hAnsi="Arial" w:cs="Arial"/>
                <w:color w:val="000000"/>
                <w:sz w:val="18"/>
                <w:szCs w:val="18"/>
              </w:rPr>
              <w:t>The PBAC considered that, based on the clinical evidence provided, the claim of non-inferior comparative effectiveness and safety of faricimab compared to aflibercept was acceptable. The PBAC considered that there should be no extra cost to Government given the PBAC’s acceptance of</w:t>
            </w:r>
            <w:r w:rsidR="00E21B03">
              <w:rPr>
                <w:rFonts w:ascii="Arial" w:hAnsi="Arial" w:cs="Arial"/>
                <w:color w:val="000000"/>
                <w:sz w:val="18"/>
                <w:szCs w:val="18"/>
              </w:rPr>
              <w:t xml:space="preserve"> the</w:t>
            </w:r>
            <w:r w:rsidRPr="003A08F1">
              <w:rPr>
                <w:rFonts w:ascii="Arial" w:hAnsi="Arial" w:cs="Arial"/>
                <w:color w:val="000000"/>
                <w:sz w:val="18"/>
                <w:szCs w:val="18"/>
              </w:rPr>
              <w:t xml:space="preserve"> faricimab administration frequency</w:t>
            </w:r>
            <w:r w:rsidR="009F0A69">
              <w:rPr>
                <w:rFonts w:ascii="Arial" w:hAnsi="Arial" w:cs="Arial"/>
                <w:color w:val="000000"/>
                <w:sz w:val="18"/>
                <w:szCs w:val="18"/>
              </w:rPr>
              <w:t>,</w:t>
            </w:r>
            <w:r w:rsidRPr="003A08F1">
              <w:rPr>
                <w:rFonts w:ascii="Arial" w:hAnsi="Arial" w:cs="Arial"/>
                <w:color w:val="000000"/>
                <w:sz w:val="18"/>
                <w:szCs w:val="18"/>
              </w:rPr>
              <w:t xml:space="preserve"> based on an analysis of</w:t>
            </w:r>
            <w:r w:rsidR="00B4136C">
              <w:rPr>
                <w:rFonts w:ascii="Arial" w:hAnsi="Arial" w:cs="Arial"/>
                <w:color w:val="000000"/>
                <w:sz w:val="18"/>
                <w:szCs w:val="18"/>
              </w:rPr>
              <w:t xml:space="preserve"> the</w:t>
            </w:r>
            <w:r w:rsidRPr="003A08F1">
              <w:rPr>
                <w:rFonts w:ascii="Arial" w:hAnsi="Arial" w:cs="Arial"/>
                <w:color w:val="000000"/>
                <w:sz w:val="18"/>
                <w:szCs w:val="18"/>
              </w:rPr>
              <w:t xml:space="preserve"> faricimab administration frequency in the first year of treatment</w:t>
            </w:r>
            <w:r w:rsidR="009F0A69">
              <w:rPr>
                <w:rFonts w:ascii="Arial" w:hAnsi="Arial" w:cs="Arial"/>
                <w:color w:val="000000"/>
                <w:sz w:val="18"/>
                <w:szCs w:val="18"/>
              </w:rPr>
              <w:t>,</w:t>
            </w:r>
            <w:r w:rsidRPr="003A08F1">
              <w:rPr>
                <w:rFonts w:ascii="Arial" w:hAnsi="Arial" w:cs="Arial"/>
                <w:color w:val="000000"/>
                <w:sz w:val="18"/>
                <w:szCs w:val="18"/>
              </w:rPr>
              <w:t xml:space="preserve"> which was derived from the average doses in the first 48 weeks of treatment in the TENAYA and LUCERNE trials (6.4 mean administrations through to Week 48, average treatment duration </w:t>
            </w:r>
            <w:r w:rsidR="00B4136C">
              <w:rPr>
                <w:rFonts w:ascii="Arial" w:hAnsi="Arial" w:cs="Arial"/>
                <w:color w:val="000000"/>
                <w:sz w:val="18"/>
                <w:szCs w:val="18"/>
              </w:rPr>
              <w:t xml:space="preserve">of </w:t>
            </w:r>
            <w:r w:rsidRPr="003A08F1">
              <w:rPr>
                <w:rFonts w:ascii="Arial" w:hAnsi="Arial" w:cs="Arial"/>
                <w:color w:val="000000"/>
                <w:sz w:val="18"/>
                <w:szCs w:val="18"/>
              </w:rPr>
              <w:t>46.2 weeks) apportioned to a 52 week estimate</w:t>
            </w:r>
            <w:r w:rsidR="00B4136C">
              <w:rPr>
                <w:rFonts w:ascii="Arial" w:hAnsi="Arial" w:cs="Arial"/>
                <w:color w:val="000000"/>
                <w:sz w:val="18"/>
                <w:szCs w:val="18"/>
              </w:rPr>
              <w:t>,</w:t>
            </w:r>
            <w:r w:rsidRPr="003A08F1">
              <w:rPr>
                <w:rFonts w:ascii="Arial" w:hAnsi="Arial" w:cs="Arial"/>
                <w:color w:val="000000"/>
                <w:sz w:val="18"/>
                <w:szCs w:val="18"/>
              </w:rPr>
              <w:t xml:space="preserve"> and the aflibercept administration frequency </w:t>
            </w:r>
            <w:r w:rsidR="00B4136C">
              <w:rPr>
                <w:rFonts w:ascii="Arial" w:hAnsi="Arial" w:cs="Arial"/>
                <w:color w:val="000000"/>
                <w:sz w:val="18"/>
                <w:szCs w:val="18"/>
              </w:rPr>
              <w:t>using</w:t>
            </w:r>
            <w:r w:rsidRPr="003A08F1">
              <w:rPr>
                <w:rFonts w:ascii="Arial" w:hAnsi="Arial" w:cs="Arial"/>
                <w:color w:val="000000"/>
                <w:sz w:val="18"/>
                <w:szCs w:val="18"/>
              </w:rPr>
              <w:t xml:space="preserve"> PBS data</w:t>
            </w:r>
            <w:r w:rsidR="00B4136C">
              <w:rPr>
                <w:rFonts w:ascii="Arial" w:hAnsi="Arial" w:cs="Arial"/>
                <w:color w:val="000000"/>
                <w:sz w:val="18"/>
                <w:szCs w:val="18"/>
              </w:rPr>
              <w:t xml:space="preserve"> </w:t>
            </w:r>
            <w:r w:rsidR="009F0A69">
              <w:rPr>
                <w:rFonts w:ascii="Arial" w:hAnsi="Arial" w:cs="Arial"/>
                <w:color w:val="000000"/>
                <w:sz w:val="18"/>
                <w:szCs w:val="18"/>
              </w:rPr>
              <w:t>for</w:t>
            </w:r>
            <w:r w:rsidR="00B4136C">
              <w:rPr>
                <w:rFonts w:ascii="Arial" w:hAnsi="Arial" w:cs="Arial"/>
                <w:color w:val="000000"/>
                <w:sz w:val="18"/>
                <w:szCs w:val="18"/>
              </w:rPr>
              <w:t xml:space="preserve"> aflibercept</w:t>
            </w:r>
            <w:r w:rsidR="009F0A69">
              <w:rPr>
                <w:rFonts w:ascii="Arial" w:hAnsi="Arial" w:cs="Arial"/>
                <w:color w:val="000000"/>
                <w:sz w:val="18"/>
                <w:szCs w:val="18"/>
              </w:rPr>
              <w:t xml:space="preserve"> supply</w:t>
            </w:r>
            <w:r w:rsidRPr="003A08F1">
              <w:rPr>
                <w:rFonts w:ascii="Arial" w:hAnsi="Arial" w:cs="Arial"/>
                <w:color w:val="000000"/>
                <w:sz w:val="18"/>
                <w:szCs w:val="18"/>
              </w:rPr>
              <w:t>.</w:t>
            </w:r>
          </w:p>
        </w:tc>
      </w:tr>
      <w:tr w:rsidR="00062335" w:rsidRPr="00687774" w14:paraId="7C12A204" w14:textId="77777777" w:rsidTr="00205445">
        <w:trPr>
          <w:trHeight w:val="857"/>
        </w:trPr>
        <w:tc>
          <w:tcPr>
            <w:tcW w:w="861" w:type="pct"/>
            <w:tcBorders>
              <w:top w:val="single" w:sz="4" w:space="0" w:color="auto"/>
              <w:left w:val="single" w:sz="4" w:space="0" w:color="auto"/>
              <w:right w:val="nil"/>
            </w:tcBorders>
            <w:shd w:val="clear" w:color="auto" w:fill="auto"/>
            <w:tcMar>
              <w:top w:w="28" w:type="dxa"/>
              <w:bottom w:w="28" w:type="dxa"/>
            </w:tcMar>
            <w:vAlign w:val="center"/>
          </w:tcPr>
          <w:p w14:paraId="71DE65B7" w14:textId="77777777" w:rsidR="00062335" w:rsidRDefault="00062335" w:rsidP="00062335">
            <w:pPr>
              <w:rPr>
                <w:rFonts w:ascii="Arial" w:hAnsi="Arial" w:cs="Arial"/>
                <w:sz w:val="18"/>
                <w:szCs w:val="18"/>
              </w:rPr>
            </w:pPr>
            <w:r>
              <w:rPr>
                <w:rFonts w:ascii="Arial" w:hAnsi="Arial" w:cs="Arial"/>
                <w:sz w:val="18"/>
                <w:szCs w:val="18"/>
              </w:rPr>
              <w:t>MODAFINIL</w:t>
            </w:r>
          </w:p>
          <w:p w14:paraId="7BF11DD4" w14:textId="77777777" w:rsidR="00062335" w:rsidRDefault="00062335" w:rsidP="00062335">
            <w:pPr>
              <w:rPr>
                <w:rFonts w:ascii="Arial" w:hAnsi="Arial" w:cs="Arial"/>
                <w:sz w:val="18"/>
                <w:szCs w:val="18"/>
              </w:rPr>
            </w:pPr>
          </w:p>
          <w:p w14:paraId="6C12540F" w14:textId="77777777" w:rsidR="00062335" w:rsidRDefault="00062335" w:rsidP="00062335">
            <w:pPr>
              <w:rPr>
                <w:rFonts w:ascii="Arial" w:hAnsi="Arial" w:cs="Arial"/>
                <w:sz w:val="18"/>
                <w:szCs w:val="18"/>
              </w:rPr>
            </w:pPr>
            <w:r w:rsidRPr="00062335">
              <w:rPr>
                <w:rFonts w:ascii="Arial" w:hAnsi="Arial" w:cs="Arial"/>
                <w:sz w:val="18"/>
                <w:szCs w:val="18"/>
              </w:rPr>
              <w:t>Tablet 100 mg</w:t>
            </w:r>
          </w:p>
          <w:p w14:paraId="162FC202" w14:textId="77777777" w:rsidR="00062335" w:rsidRDefault="00062335" w:rsidP="00062335">
            <w:pPr>
              <w:rPr>
                <w:rFonts w:ascii="Arial" w:hAnsi="Arial" w:cs="Arial"/>
                <w:sz w:val="18"/>
                <w:szCs w:val="18"/>
              </w:rPr>
            </w:pPr>
          </w:p>
          <w:p w14:paraId="41327243" w14:textId="77777777" w:rsidR="00062335" w:rsidRPr="00062335" w:rsidRDefault="00062335" w:rsidP="00062335">
            <w:pPr>
              <w:rPr>
                <w:rFonts w:ascii="Arial" w:hAnsi="Arial" w:cs="Arial"/>
                <w:sz w:val="18"/>
                <w:szCs w:val="18"/>
              </w:rPr>
            </w:pPr>
            <w:r>
              <w:rPr>
                <w:rFonts w:ascii="Arial" w:hAnsi="Arial" w:cs="Arial"/>
                <w:sz w:val="18"/>
                <w:szCs w:val="18"/>
              </w:rPr>
              <w:t>ARMODAFINIL</w:t>
            </w:r>
          </w:p>
          <w:p w14:paraId="47563C45" w14:textId="77777777" w:rsidR="00062335" w:rsidRPr="00062335" w:rsidRDefault="00062335" w:rsidP="00062335">
            <w:pPr>
              <w:rPr>
                <w:rFonts w:ascii="Arial" w:hAnsi="Arial" w:cs="Arial"/>
                <w:sz w:val="18"/>
                <w:szCs w:val="18"/>
              </w:rPr>
            </w:pPr>
          </w:p>
          <w:p w14:paraId="52530B4A" w14:textId="77777777" w:rsidR="00062335" w:rsidRPr="00062335" w:rsidRDefault="00062335" w:rsidP="00062335">
            <w:pPr>
              <w:rPr>
                <w:rFonts w:ascii="Arial" w:hAnsi="Arial" w:cs="Arial"/>
                <w:sz w:val="18"/>
                <w:szCs w:val="18"/>
              </w:rPr>
            </w:pPr>
            <w:r w:rsidRPr="00062335">
              <w:rPr>
                <w:rFonts w:ascii="Arial" w:hAnsi="Arial" w:cs="Arial"/>
                <w:sz w:val="18"/>
                <w:szCs w:val="18"/>
              </w:rPr>
              <w:t>Tablet 50 mg</w:t>
            </w:r>
          </w:p>
          <w:p w14:paraId="56E5091F" w14:textId="77777777" w:rsidR="00062335" w:rsidRPr="00062335" w:rsidRDefault="00062335" w:rsidP="00062335">
            <w:pPr>
              <w:rPr>
                <w:rFonts w:ascii="Arial" w:hAnsi="Arial" w:cs="Arial"/>
                <w:sz w:val="18"/>
                <w:szCs w:val="18"/>
              </w:rPr>
            </w:pPr>
            <w:r w:rsidRPr="00062335">
              <w:rPr>
                <w:rFonts w:ascii="Arial" w:hAnsi="Arial" w:cs="Arial"/>
                <w:sz w:val="18"/>
                <w:szCs w:val="18"/>
              </w:rPr>
              <w:t>Tablet 150 mg</w:t>
            </w:r>
          </w:p>
          <w:p w14:paraId="2B9BD20A" w14:textId="77777777" w:rsidR="00062335" w:rsidRPr="00062335" w:rsidRDefault="00062335" w:rsidP="00062335">
            <w:pPr>
              <w:rPr>
                <w:rFonts w:ascii="Arial" w:hAnsi="Arial" w:cs="Arial"/>
                <w:sz w:val="18"/>
                <w:szCs w:val="18"/>
              </w:rPr>
            </w:pPr>
            <w:r w:rsidRPr="00062335">
              <w:rPr>
                <w:rFonts w:ascii="Arial" w:hAnsi="Arial" w:cs="Arial"/>
                <w:sz w:val="18"/>
                <w:szCs w:val="18"/>
              </w:rPr>
              <w:t>Tablet 250 mg</w:t>
            </w:r>
          </w:p>
          <w:p w14:paraId="13D59311" w14:textId="77777777" w:rsidR="00062335" w:rsidRPr="00062335" w:rsidRDefault="00062335" w:rsidP="00062335">
            <w:pPr>
              <w:rPr>
                <w:rFonts w:ascii="Arial" w:hAnsi="Arial" w:cs="Arial"/>
                <w:sz w:val="18"/>
                <w:szCs w:val="18"/>
              </w:rPr>
            </w:pPr>
          </w:p>
          <w:p w14:paraId="0377A6F5" w14:textId="77777777" w:rsidR="00062335" w:rsidRDefault="00062335" w:rsidP="00062335">
            <w:pPr>
              <w:rPr>
                <w:rFonts w:ascii="Arial" w:hAnsi="Arial" w:cs="Arial"/>
                <w:sz w:val="18"/>
                <w:szCs w:val="18"/>
              </w:rPr>
            </w:pPr>
            <w:r>
              <w:rPr>
                <w:rFonts w:ascii="Arial" w:hAnsi="Arial" w:cs="Arial"/>
                <w:sz w:val="18"/>
                <w:szCs w:val="18"/>
              </w:rPr>
              <w:t>Multiple brands and sponsors</w:t>
            </w:r>
          </w:p>
          <w:p w14:paraId="204CA5D3" w14:textId="77777777" w:rsidR="00062335" w:rsidRDefault="00062335" w:rsidP="00062335">
            <w:pPr>
              <w:rPr>
                <w:rFonts w:ascii="Arial" w:hAnsi="Arial" w:cs="Arial"/>
                <w:sz w:val="18"/>
                <w:szCs w:val="18"/>
              </w:rPr>
            </w:pPr>
          </w:p>
          <w:p w14:paraId="649E4816" w14:textId="14CD0549" w:rsidR="00062335" w:rsidRPr="003A08F1" w:rsidRDefault="00062335" w:rsidP="00062335">
            <w:pPr>
              <w:rPr>
                <w:rFonts w:ascii="Arial" w:hAnsi="Arial" w:cs="Arial"/>
                <w:sz w:val="18"/>
                <w:szCs w:val="18"/>
              </w:rPr>
            </w:pPr>
            <w:r>
              <w:rPr>
                <w:rFonts w:ascii="Arial" w:hAnsi="Arial" w:cs="Arial"/>
                <w:sz w:val="18"/>
                <w:szCs w:val="18"/>
              </w:rPr>
              <w:t xml:space="preserve">(Change to </w:t>
            </w:r>
            <w:r w:rsidR="00616C7C">
              <w:rPr>
                <w:rFonts w:ascii="Arial" w:hAnsi="Arial" w:cs="Arial"/>
                <w:sz w:val="18"/>
                <w:szCs w:val="18"/>
              </w:rPr>
              <w:t xml:space="preserve">PBS </w:t>
            </w:r>
            <w:r>
              <w:rPr>
                <w:rFonts w:ascii="Arial" w:hAnsi="Arial" w:cs="Arial"/>
                <w:sz w:val="18"/>
                <w:szCs w:val="18"/>
              </w:rPr>
              <w:t>listing)</w:t>
            </w:r>
          </w:p>
        </w:tc>
        <w:tc>
          <w:tcPr>
            <w:tcW w:w="619" w:type="pct"/>
            <w:tcBorders>
              <w:top w:val="single" w:sz="4" w:space="0" w:color="auto"/>
              <w:left w:val="single" w:sz="4" w:space="0" w:color="auto"/>
              <w:right w:val="single" w:sz="4" w:space="0" w:color="auto"/>
            </w:tcBorders>
            <w:shd w:val="clear" w:color="auto" w:fill="auto"/>
            <w:vAlign w:val="center"/>
          </w:tcPr>
          <w:p w14:paraId="2740630A" w14:textId="04BE9622" w:rsidR="00062335" w:rsidRPr="003A08F1" w:rsidRDefault="00062335" w:rsidP="00180894">
            <w:pPr>
              <w:widowControl w:val="0"/>
              <w:jc w:val="center"/>
              <w:rPr>
                <w:rFonts w:ascii="Arial" w:hAnsi="Arial" w:cs="Arial"/>
                <w:sz w:val="18"/>
                <w:szCs w:val="18"/>
              </w:rPr>
            </w:pPr>
            <w:r>
              <w:rPr>
                <w:rFonts w:ascii="Arial" w:hAnsi="Arial" w:cs="Arial"/>
                <w:sz w:val="18"/>
                <w:szCs w:val="18"/>
              </w:rPr>
              <w:t>Narcolepsy</w:t>
            </w:r>
          </w:p>
        </w:tc>
        <w:tc>
          <w:tcPr>
            <w:tcW w:w="862" w:type="pct"/>
            <w:tcBorders>
              <w:top w:val="single" w:sz="4" w:space="0" w:color="auto"/>
              <w:left w:val="nil"/>
              <w:right w:val="single" w:sz="4" w:space="0" w:color="auto"/>
            </w:tcBorders>
            <w:shd w:val="clear" w:color="auto" w:fill="auto"/>
            <w:tcMar>
              <w:top w:w="28" w:type="dxa"/>
              <w:bottom w:w="28" w:type="dxa"/>
            </w:tcMar>
            <w:vAlign w:val="center"/>
          </w:tcPr>
          <w:p w14:paraId="4FB929E2" w14:textId="77777777" w:rsidR="00062335" w:rsidRPr="00062335" w:rsidRDefault="00062335" w:rsidP="00062335">
            <w:pPr>
              <w:rPr>
                <w:rFonts w:ascii="Arial" w:hAnsi="Arial" w:cs="Arial"/>
                <w:sz w:val="18"/>
                <w:szCs w:val="18"/>
              </w:rPr>
            </w:pPr>
            <w:r w:rsidRPr="00062335">
              <w:rPr>
                <w:rFonts w:ascii="Arial" w:hAnsi="Arial" w:cs="Arial"/>
                <w:sz w:val="18"/>
                <w:szCs w:val="18"/>
              </w:rPr>
              <w:t xml:space="preserve">To request that the PBS listings for modafinil and </w:t>
            </w:r>
          </w:p>
          <w:p w14:paraId="6C243173" w14:textId="1B38BE6F" w:rsidR="00062335" w:rsidRPr="003A08F1" w:rsidRDefault="00062335" w:rsidP="00062335">
            <w:pPr>
              <w:pStyle w:val="ListParagraph"/>
              <w:ind w:left="0"/>
              <w:rPr>
                <w:rFonts w:ascii="Arial" w:hAnsi="Arial" w:cs="Arial"/>
                <w:sz w:val="18"/>
                <w:szCs w:val="18"/>
              </w:rPr>
            </w:pPr>
            <w:r w:rsidRPr="00062335">
              <w:rPr>
                <w:rFonts w:ascii="Arial" w:hAnsi="Arial" w:cs="Arial"/>
                <w:sz w:val="18"/>
                <w:szCs w:val="18"/>
              </w:rPr>
              <w:t xml:space="preserve">armodafinil be changed to first line treatment </w:t>
            </w:r>
            <w:r w:rsidR="00D72D49">
              <w:rPr>
                <w:rFonts w:ascii="Arial" w:hAnsi="Arial" w:cs="Arial"/>
                <w:sz w:val="18"/>
                <w:szCs w:val="18"/>
              </w:rPr>
              <w:t>of</w:t>
            </w:r>
            <w:r w:rsidR="00D72D49" w:rsidRPr="00062335">
              <w:rPr>
                <w:rFonts w:ascii="Arial" w:hAnsi="Arial" w:cs="Arial"/>
                <w:sz w:val="18"/>
                <w:szCs w:val="18"/>
              </w:rPr>
              <w:t xml:space="preserve"> </w:t>
            </w:r>
            <w:r w:rsidRPr="00062335">
              <w:rPr>
                <w:rFonts w:ascii="Arial" w:hAnsi="Arial" w:cs="Arial"/>
                <w:sz w:val="18"/>
                <w:szCs w:val="18"/>
              </w:rPr>
              <w:t>narcolepsy in line with current clinical guidelines</w:t>
            </w:r>
            <w:r>
              <w:rPr>
                <w:rFonts w:ascii="Arial" w:hAnsi="Arial" w:cs="Arial"/>
                <w:sz w:val="18"/>
                <w:szCs w:val="18"/>
              </w:rPr>
              <w:t>.</w:t>
            </w:r>
          </w:p>
        </w:tc>
        <w:tc>
          <w:tcPr>
            <w:tcW w:w="545" w:type="pct"/>
            <w:tcBorders>
              <w:top w:val="single" w:sz="4" w:space="0" w:color="auto"/>
              <w:left w:val="single" w:sz="4" w:space="0" w:color="auto"/>
              <w:right w:val="single" w:sz="4" w:space="0" w:color="auto"/>
            </w:tcBorders>
            <w:shd w:val="clear" w:color="auto" w:fill="auto"/>
            <w:vAlign w:val="center"/>
          </w:tcPr>
          <w:p w14:paraId="4389F92B" w14:textId="10CFEF16" w:rsidR="00062335" w:rsidRDefault="00062335" w:rsidP="00180894">
            <w:pPr>
              <w:pStyle w:val="ListParagraph"/>
              <w:ind w:left="0"/>
              <w:jc w:val="center"/>
              <w:rPr>
                <w:rFonts w:ascii="Arial" w:hAnsi="Arial" w:cs="Arial"/>
                <w:snapToGrid w:val="0"/>
                <w:sz w:val="18"/>
                <w:szCs w:val="18"/>
                <w:lang w:eastAsia="en-US"/>
              </w:rPr>
            </w:pPr>
            <w:r>
              <w:rPr>
                <w:rFonts w:ascii="Arial" w:hAnsi="Arial" w:cs="Arial"/>
                <w:snapToGrid w:val="0"/>
                <w:sz w:val="18"/>
                <w:szCs w:val="18"/>
                <w:lang w:eastAsia="en-US"/>
              </w:rPr>
              <w:t>Recommended</w:t>
            </w:r>
          </w:p>
        </w:tc>
        <w:tc>
          <w:tcPr>
            <w:tcW w:w="2113" w:type="pct"/>
            <w:tcBorders>
              <w:top w:val="single" w:sz="4" w:space="0" w:color="auto"/>
            </w:tcBorders>
            <w:shd w:val="clear" w:color="auto" w:fill="auto"/>
            <w:vAlign w:val="center"/>
          </w:tcPr>
          <w:p w14:paraId="1F28D225" w14:textId="6AEE58F3" w:rsidR="00062335" w:rsidRPr="003A08F1" w:rsidRDefault="00062335" w:rsidP="003A08F1">
            <w:pPr>
              <w:spacing w:after="120"/>
              <w:rPr>
                <w:rFonts w:ascii="Arial" w:hAnsi="Arial" w:cs="Arial"/>
                <w:color w:val="000000"/>
                <w:sz w:val="18"/>
                <w:szCs w:val="18"/>
              </w:rPr>
            </w:pPr>
            <w:r w:rsidRPr="00062335">
              <w:rPr>
                <w:rFonts w:ascii="Arial" w:hAnsi="Arial" w:cs="Arial"/>
                <w:color w:val="000000"/>
                <w:sz w:val="18"/>
                <w:szCs w:val="18"/>
              </w:rPr>
              <w:t>The PBAC recommended extending the listing of modafinil and armodafinil as first line treatments for patients with narcolepsy on a cost-minimisation basis to dexamfetamine. The PBAC considered that there was no clinical evidence to suggest that modafinil or armodafinil have superior comparative effectiveness or safety compared to dexamfetamine, and therefore considered that neither armodafinil nor modafinil should be more costly than dexamfetamine if they are to be listed for the first-line treatment of narcolepsy. The PBAC considered that the equi-effective doses are dexamfetamine 60 mg ≡ modafinil 400 mg ≡ armodafinil 250 mg.</w:t>
            </w:r>
          </w:p>
        </w:tc>
      </w:tr>
      <w:tr w:rsidR="003F0DE3" w:rsidRPr="00687774" w14:paraId="3C18796C" w14:textId="77777777" w:rsidTr="00205445">
        <w:trPr>
          <w:trHeight w:val="857"/>
        </w:trPr>
        <w:tc>
          <w:tcPr>
            <w:tcW w:w="861" w:type="pct"/>
            <w:tcBorders>
              <w:top w:val="single" w:sz="4" w:space="0" w:color="auto"/>
              <w:left w:val="single" w:sz="4" w:space="0" w:color="auto"/>
              <w:right w:val="nil"/>
            </w:tcBorders>
            <w:shd w:val="clear" w:color="auto" w:fill="auto"/>
            <w:tcMar>
              <w:top w:w="28" w:type="dxa"/>
              <w:bottom w:w="28" w:type="dxa"/>
            </w:tcMar>
            <w:vAlign w:val="center"/>
          </w:tcPr>
          <w:p w14:paraId="709AF7D0" w14:textId="77777777" w:rsidR="003F0DE3" w:rsidRPr="003F0DE3" w:rsidRDefault="003F0DE3" w:rsidP="003F0DE3">
            <w:pPr>
              <w:rPr>
                <w:rFonts w:ascii="Arial" w:hAnsi="Arial" w:cs="Arial"/>
                <w:sz w:val="18"/>
                <w:szCs w:val="18"/>
              </w:rPr>
            </w:pPr>
            <w:r w:rsidRPr="003F0DE3">
              <w:rPr>
                <w:rFonts w:ascii="Arial" w:hAnsi="Arial" w:cs="Arial"/>
                <w:sz w:val="18"/>
                <w:szCs w:val="18"/>
              </w:rPr>
              <w:lastRenderedPageBreak/>
              <w:t>PEMBROLIZUMAB</w:t>
            </w:r>
          </w:p>
          <w:p w14:paraId="0421CDD1" w14:textId="77777777" w:rsidR="003F0DE3" w:rsidRPr="003F0DE3" w:rsidRDefault="003F0DE3" w:rsidP="003F0DE3">
            <w:pPr>
              <w:rPr>
                <w:rFonts w:ascii="Arial" w:hAnsi="Arial" w:cs="Arial"/>
                <w:sz w:val="18"/>
                <w:szCs w:val="18"/>
              </w:rPr>
            </w:pPr>
          </w:p>
          <w:p w14:paraId="1FE18A18" w14:textId="77777777" w:rsidR="003F0DE3" w:rsidRPr="003F0DE3" w:rsidRDefault="003F0DE3" w:rsidP="003F0DE3">
            <w:pPr>
              <w:rPr>
                <w:rFonts w:ascii="Arial" w:hAnsi="Arial" w:cs="Arial"/>
                <w:sz w:val="18"/>
                <w:szCs w:val="18"/>
              </w:rPr>
            </w:pPr>
            <w:r w:rsidRPr="003F0DE3">
              <w:rPr>
                <w:rFonts w:ascii="Arial" w:hAnsi="Arial" w:cs="Arial"/>
                <w:sz w:val="18"/>
                <w:szCs w:val="18"/>
              </w:rPr>
              <w:t>Solution concentrate for I.V. infusion 100 mg in 4 mL</w:t>
            </w:r>
          </w:p>
          <w:p w14:paraId="2A7B72EB" w14:textId="77777777" w:rsidR="003F0DE3" w:rsidRPr="003F0DE3" w:rsidRDefault="003F0DE3" w:rsidP="003F0DE3">
            <w:pPr>
              <w:rPr>
                <w:rFonts w:ascii="Arial" w:hAnsi="Arial" w:cs="Arial"/>
                <w:sz w:val="18"/>
                <w:szCs w:val="18"/>
              </w:rPr>
            </w:pPr>
          </w:p>
          <w:p w14:paraId="5CF45DB0" w14:textId="7D7EB4DB" w:rsidR="003F0DE3" w:rsidRPr="003F0DE3" w:rsidRDefault="003F0DE3" w:rsidP="003F0DE3">
            <w:pPr>
              <w:rPr>
                <w:rFonts w:ascii="Arial" w:hAnsi="Arial" w:cs="Arial"/>
                <w:sz w:val="18"/>
                <w:szCs w:val="18"/>
              </w:rPr>
            </w:pPr>
            <w:r w:rsidRPr="003F0DE3">
              <w:rPr>
                <w:rFonts w:ascii="Arial" w:hAnsi="Arial" w:cs="Arial"/>
                <w:sz w:val="18"/>
                <w:szCs w:val="18"/>
              </w:rPr>
              <w:t>Keytruda</w:t>
            </w:r>
            <w:r>
              <w:rPr>
                <w:rFonts w:ascii="Arial" w:hAnsi="Arial" w:cs="Arial"/>
                <w:sz w:val="18"/>
                <w:szCs w:val="18"/>
              </w:rPr>
              <w:t>®</w:t>
            </w:r>
          </w:p>
          <w:p w14:paraId="25BB0B3F" w14:textId="77777777" w:rsidR="003F0DE3" w:rsidRPr="003F0DE3" w:rsidRDefault="003F0DE3" w:rsidP="003F0DE3">
            <w:pPr>
              <w:rPr>
                <w:rFonts w:ascii="Arial" w:hAnsi="Arial" w:cs="Arial"/>
                <w:sz w:val="18"/>
                <w:szCs w:val="18"/>
              </w:rPr>
            </w:pPr>
          </w:p>
          <w:p w14:paraId="13AB2F5B" w14:textId="77777777" w:rsidR="003F0DE3" w:rsidRPr="003F0DE3" w:rsidRDefault="003F0DE3" w:rsidP="003F0DE3">
            <w:pPr>
              <w:rPr>
                <w:rFonts w:ascii="Arial" w:hAnsi="Arial" w:cs="Arial"/>
                <w:sz w:val="18"/>
                <w:szCs w:val="18"/>
              </w:rPr>
            </w:pPr>
            <w:r w:rsidRPr="003F0DE3">
              <w:rPr>
                <w:rFonts w:ascii="Arial" w:hAnsi="Arial" w:cs="Arial"/>
                <w:sz w:val="18"/>
                <w:szCs w:val="18"/>
              </w:rPr>
              <w:t>Merck Sharp &amp; Dohme (Australia) Pty Ltd</w:t>
            </w:r>
          </w:p>
          <w:p w14:paraId="294463C4" w14:textId="77777777" w:rsidR="003F0DE3" w:rsidRPr="003F0DE3" w:rsidRDefault="003F0DE3" w:rsidP="003F0DE3">
            <w:pPr>
              <w:rPr>
                <w:rFonts w:ascii="Arial" w:hAnsi="Arial" w:cs="Arial"/>
                <w:sz w:val="18"/>
                <w:szCs w:val="18"/>
              </w:rPr>
            </w:pPr>
          </w:p>
          <w:p w14:paraId="79B24E41" w14:textId="3FB42866" w:rsidR="003F0DE3" w:rsidRPr="003F0DE3" w:rsidRDefault="003F0DE3" w:rsidP="003F0DE3">
            <w:pPr>
              <w:rPr>
                <w:rFonts w:ascii="Arial" w:hAnsi="Arial" w:cs="Arial"/>
                <w:sz w:val="18"/>
                <w:szCs w:val="18"/>
              </w:rPr>
            </w:pPr>
            <w:r w:rsidRPr="003F0DE3">
              <w:rPr>
                <w:rFonts w:ascii="Arial" w:hAnsi="Arial" w:cs="Arial"/>
                <w:sz w:val="18"/>
                <w:szCs w:val="18"/>
              </w:rPr>
              <w:t>(Matters outstanding)</w:t>
            </w:r>
          </w:p>
        </w:tc>
        <w:tc>
          <w:tcPr>
            <w:tcW w:w="619" w:type="pct"/>
            <w:tcBorders>
              <w:top w:val="single" w:sz="4" w:space="0" w:color="auto"/>
              <w:left w:val="single" w:sz="4" w:space="0" w:color="auto"/>
              <w:right w:val="single" w:sz="4" w:space="0" w:color="auto"/>
            </w:tcBorders>
            <w:shd w:val="clear" w:color="auto" w:fill="auto"/>
            <w:vAlign w:val="center"/>
          </w:tcPr>
          <w:p w14:paraId="487109A0" w14:textId="67449296" w:rsidR="003F0DE3" w:rsidRPr="003F0DE3" w:rsidRDefault="003F0DE3" w:rsidP="00180894">
            <w:pPr>
              <w:widowControl w:val="0"/>
              <w:jc w:val="center"/>
              <w:rPr>
                <w:rFonts w:ascii="Arial" w:hAnsi="Arial" w:cs="Arial"/>
                <w:snapToGrid w:val="0"/>
                <w:sz w:val="18"/>
                <w:szCs w:val="18"/>
                <w:lang w:eastAsia="en-US"/>
              </w:rPr>
            </w:pPr>
            <w:r w:rsidRPr="003F0DE3">
              <w:rPr>
                <w:rFonts w:ascii="Arial" w:hAnsi="Arial" w:cs="Arial"/>
                <w:snapToGrid w:val="0"/>
                <w:sz w:val="18"/>
                <w:szCs w:val="18"/>
                <w:lang w:eastAsia="en-US"/>
              </w:rPr>
              <w:t>Gast</w:t>
            </w:r>
            <w:r w:rsidR="00791B21">
              <w:rPr>
                <w:rFonts w:ascii="Arial" w:hAnsi="Arial" w:cs="Arial"/>
                <w:snapToGrid w:val="0"/>
                <w:sz w:val="18"/>
                <w:szCs w:val="18"/>
                <w:lang w:eastAsia="en-US"/>
              </w:rPr>
              <w:t>r</w:t>
            </w:r>
            <w:r w:rsidRPr="003F0DE3">
              <w:rPr>
                <w:rFonts w:ascii="Arial" w:hAnsi="Arial" w:cs="Arial"/>
                <w:snapToGrid w:val="0"/>
                <w:sz w:val="18"/>
                <w:szCs w:val="18"/>
                <w:lang w:eastAsia="en-US"/>
              </w:rPr>
              <w:t>o-oesoph</w:t>
            </w:r>
            <w:r w:rsidR="00791B21">
              <w:rPr>
                <w:rFonts w:ascii="Arial" w:hAnsi="Arial" w:cs="Arial"/>
                <w:snapToGrid w:val="0"/>
                <w:sz w:val="18"/>
                <w:szCs w:val="18"/>
                <w:lang w:eastAsia="en-US"/>
              </w:rPr>
              <w:t>a</w:t>
            </w:r>
            <w:r w:rsidRPr="003F0DE3">
              <w:rPr>
                <w:rFonts w:ascii="Arial" w:hAnsi="Arial" w:cs="Arial"/>
                <w:snapToGrid w:val="0"/>
                <w:sz w:val="18"/>
                <w:szCs w:val="18"/>
                <w:lang w:eastAsia="en-US"/>
              </w:rPr>
              <w:t>geal cancers</w:t>
            </w:r>
          </w:p>
        </w:tc>
        <w:tc>
          <w:tcPr>
            <w:tcW w:w="862" w:type="pct"/>
            <w:tcBorders>
              <w:top w:val="single" w:sz="4" w:space="0" w:color="auto"/>
              <w:left w:val="nil"/>
              <w:right w:val="single" w:sz="4" w:space="0" w:color="auto"/>
            </w:tcBorders>
            <w:shd w:val="clear" w:color="auto" w:fill="auto"/>
            <w:tcMar>
              <w:top w:w="28" w:type="dxa"/>
              <w:bottom w:w="28" w:type="dxa"/>
            </w:tcMar>
            <w:vAlign w:val="center"/>
          </w:tcPr>
          <w:p w14:paraId="338B1C43" w14:textId="3B5579B2" w:rsidR="003F0DE3" w:rsidRPr="003F0DE3" w:rsidRDefault="003F0DE3" w:rsidP="007414B9">
            <w:pPr>
              <w:pStyle w:val="ListParagraph"/>
              <w:ind w:left="0"/>
              <w:rPr>
                <w:rFonts w:ascii="Arial" w:hAnsi="Arial" w:cs="Arial"/>
                <w:snapToGrid w:val="0"/>
                <w:sz w:val="18"/>
                <w:szCs w:val="18"/>
                <w:lang w:eastAsia="en-US"/>
              </w:rPr>
            </w:pPr>
            <w:r w:rsidRPr="003F0DE3">
              <w:rPr>
                <w:rFonts w:ascii="Arial" w:hAnsi="Arial" w:cs="Arial"/>
                <w:snapToGrid w:val="0"/>
                <w:sz w:val="18"/>
                <w:szCs w:val="18"/>
                <w:lang w:eastAsia="en-US"/>
              </w:rPr>
              <w:t>To consider additional information provided by the sponsor in relation to the deferral of the decision to recommend listing of pembrolizumab on the PBS for gastro-oesophageal cancers.</w:t>
            </w:r>
          </w:p>
        </w:tc>
        <w:tc>
          <w:tcPr>
            <w:tcW w:w="545" w:type="pct"/>
            <w:tcBorders>
              <w:top w:val="single" w:sz="4" w:space="0" w:color="auto"/>
              <w:left w:val="single" w:sz="4" w:space="0" w:color="auto"/>
              <w:right w:val="single" w:sz="4" w:space="0" w:color="auto"/>
            </w:tcBorders>
            <w:shd w:val="clear" w:color="auto" w:fill="auto"/>
            <w:vAlign w:val="center"/>
          </w:tcPr>
          <w:p w14:paraId="7AC807B5" w14:textId="7ECD21CA" w:rsidR="003F0DE3" w:rsidRDefault="003F0DE3" w:rsidP="00180894">
            <w:pPr>
              <w:pStyle w:val="ListParagraph"/>
              <w:ind w:left="0"/>
              <w:jc w:val="center"/>
              <w:rPr>
                <w:rFonts w:ascii="Arial" w:hAnsi="Arial" w:cs="Arial"/>
                <w:snapToGrid w:val="0"/>
                <w:sz w:val="18"/>
                <w:szCs w:val="18"/>
                <w:lang w:eastAsia="en-US"/>
              </w:rPr>
            </w:pPr>
            <w:r>
              <w:rPr>
                <w:rFonts w:ascii="Arial" w:hAnsi="Arial" w:cs="Arial"/>
                <w:snapToGrid w:val="0"/>
                <w:sz w:val="18"/>
                <w:szCs w:val="18"/>
                <w:lang w:eastAsia="en-US"/>
              </w:rPr>
              <w:t>Recommended</w:t>
            </w:r>
          </w:p>
        </w:tc>
        <w:tc>
          <w:tcPr>
            <w:tcW w:w="2113" w:type="pct"/>
            <w:tcBorders>
              <w:top w:val="single" w:sz="4" w:space="0" w:color="auto"/>
            </w:tcBorders>
            <w:shd w:val="clear" w:color="auto" w:fill="auto"/>
            <w:vAlign w:val="center"/>
          </w:tcPr>
          <w:p w14:paraId="66DCB4FF" w14:textId="54C0A837" w:rsidR="003F0DE3" w:rsidRPr="003F0DE3" w:rsidRDefault="003F0DE3" w:rsidP="00635314">
            <w:pPr>
              <w:spacing w:after="120"/>
              <w:rPr>
                <w:rFonts w:ascii="Arial" w:hAnsi="Arial" w:cs="Arial"/>
                <w:color w:val="000000"/>
                <w:sz w:val="18"/>
                <w:szCs w:val="18"/>
              </w:rPr>
            </w:pPr>
            <w:r w:rsidRPr="003F0DE3">
              <w:rPr>
                <w:rFonts w:ascii="Arial" w:hAnsi="Arial" w:cs="Arial"/>
                <w:color w:val="000000"/>
                <w:sz w:val="18"/>
                <w:szCs w:val="18"/>
              </w:rPr>
              <w:t xml:space="preserve">The PBAC recommended the listing of pembrolizumab in combination with chemotherapy for the first line treatment of advanced or metastatic gastro-oesophageal cancers as defined by the specific tumour types included in the approved </w:t>
            </w:r>
            <w:r w:rsidR="00CE0FEB">
              <w:rPr>
                <w:rFonts w:ascii="Arial" w:hAnsi="Arial" w:cs="Arial"/>
                <w:color w:val="000000"/>
                <w:sz w:val="18"/>
                <w:szCs w:val="18"/>
              </w:rPr>
              <w:t xml:space="preserve">Therapeutic Goods Administration </w:t>
            </w:r>
            <w:r w:rsidRPr="003F0DE3">
              <w:rPr>
                <w:rFonts w:ascii="Arial" w:hAnsi="Arial" w:cs="Arial"/>
                <w:color w:val="000000"/>
                <w:sz w:val="18"/>
                <w:szCs w:val="18"/>
              </w:rPr>
              <w:t xml:space="preserve">indications. The PBAC’s recommendation for listing was based on, among other matters, its assessment that the cost-effectiveness of pembrolizumab (as a first line treatment) would be acceptable at the same or lower cost per 3 weekly treatment cycle as for nivolumab (as a first line treatment) for gastro-oesophageal cancers. The PBAC considered it was appropriate for pembrolizumab to be included in the risk share arrangement recommended for nivolumab, with the expenditure caps increased to account for the expected additional use in the first line treatment of </w:t>
            </w:r>
            <w:r w:rsidR="00CE0FEB" w:rsidRPr="00180894">
              <w:rPr>
                <w:rFonts w:ascii="Arial" w:hAnsi="Arial" w:cs="Arial"/>
                <w:sz w:val="18"/>
                <w:szCs w:val="18"/>
              </w:rPr>
              <w:t>oesophageal squamous cell carcinoma</w:t>
            </w:r>
            <w:r w:rsidRPr="003F0DE3">
              <w:rPr>
                <w:rFonts w:ascii="Arial" w:hAnsi="Arial" w:cs="Arial"/>
                <w:color w:val="000000"/>
                <w:sz w:val="18"/>
                <w:szCs w:val="18"/>
              </w:rPr>
              <w:t>.</w:t>
            </w:r>
          </w:p>
        </w:tc>
      </w:tr>
      <w:tr w:rsidR="00616C7C" w:rsidRPr="00687774" w14:paraId="1C25BE55" w14:textId="77777777" w:rsidTr="00205445">
        <w:trPr>
          <w:trHeight w:val="857"/>
        </w:trPr>
        <w:tc>
          <w:tcPr>
            <w:tcW w:w="861" w:type="pct"/>
            <w:tcBorders>
              <w:top w:val="single" w:sz="4" w:space="0" w:color="auto"/>
              <w:left w:val="single" w:sz="4" w:space="0" w:color="auto"/>
              <w:right w:val="nil"/>
            </w:tcBorders>
            <w:shd w:val="clear" w:color="auto" w:fill="auto"/>
            <w:tcMar>
              <w:top w:w="28" w:type="dxa"/>
              <w:bottom w:w="28" w:type="dxa"/>
            </w:tcMar>
            <w:vAlign w:val="center"/>
          </w:tcPr>
          <w:p w14:paraId="6258B771" w14:textId="77777777" w:rsidR="00616C7C" w:rsidRPr="00616C7C" w:rsidRDefault="00616C7C" w:rsidP="00616C7C">
            <w:pPr>
              <w:rPr>
                <w:rFonts w:ascii="Arial" w:hAnsi="Arial" w:cs="Arial"/>
                <w:sz w:val="18"/>
                <w:szCs w:val="18"/>
              </w:rPr>
            </w:pPr>
            <w:r w:rsidRPr="00616C7C">
              <w:rPr>
                <w:rFonts w:ascii="Arial" w:hAnsi="Arial" w:cs="Arial"/>
                <w:sz w:val="18"/>
                <w:szCs w:val="18"/>
              </w:rPr>
              <w:t>PREGABALIN</w:t>
            </w:r>
          </w:p>
          <w:p w14:paraId="008250A2" w14:textId="77777777" w:rsidR="00616C7C" w:rsidRPr="00616C7C" w:rsidRDefault="00616C7C" w:rsidP="00616C7C">
            <w:pPr>
              <w:rPr>
                <w:rFonts w:ascii="Arial" w:hAnsi="Arial" w:cs="Arial"/>
                <w:sz w:val="18"/>
                <w:szCs w:val="18"/>
              </w:rPr>
            </w:pPr>
          </w:p>
          <w:p w14:paraId="06F3A29E" w14:textId="77777777" w:rsidR="00616C7C" w:rsidRDefault="00616C7C" w:rsidP="00616C7C">
            <w:pPr>
              <w:rPr>
                <w:rFonts w:ascii="Arial" w:hAnsi="Arial" w:cs="Arial"/>
                <w:sz w:val="18"/>
                <w:szCs w:val="18"/>
              </w:rPr>
            </w:pPr>
            <w:r w:rsidRPr="00616C7C">
              <w:rPr>
                <w:rFonts w:ascii="Arial" w:hAnsi="Arial" w:cs="Arial"/>
                <w:sz w:val="18"/>
                <w:szCs w:val="18"/>
              </w:rPr>
              <w:t>Tablet 82.5 mg</w:t>
            </w:r>
          </w:p>
          <w:p w14:paraId="2FE8643E" w14:textId="77777777" w:rsidR="00616C7C" w:rsidRDefault="00616C7C" w:rsidP="00616C7C">
            <w:pPr>
              <w:rPr>
                <w:rFonts w:ascii="Arial" w:hAnsi="Arial" w:cs="Arial"/>
                <w:sz w:val="18"/>
                <w:szCs w:val="18"/>
              </w:rPr>
            </w:pPr>
            <w:r>
              <w:rPr>
                <w:rFonts w:ascii="Arial" w:hAnsi="Arial" w:cs="Arial"/>
                <w:sz w:val="18"/>
                <w:szCs w:val="18"/>
              </w:rPr>
              <w:t>T</w:t>
            </w:r>
            <w:r w:rsidRPr="00616C7C">
              <w:rPr>
                <w:rFonts w:ascii="Arial" w:hAnsi="Arial" w:cs="Arial"/>
                <w:sz w:val="18"/>
                <w:szCs w:val="18"/>
              </w:rPr>
              <w:t xml:space="preserve">ablet 165 mg </w:t>
            </w:r>
          </w:p>
          <w:p w14:paraId="225BFD84" w14:textId="015A6FFA" w:rsidR="00616C7C" w:rsidRPr="00616C7C" w:rsidRDefault="00616C7C" w:rsidP="00616C7C">
            <w:pPr>
              <w:rPr>
                <w:rFonts w:ascii="Arial" w:hAnsi="Arial" w:cs="Arial"/>
                <w:sz w:val="18"/>
                <w:szCs w:val="18"/>
              </w:rPr>
            </w:pPr>
            <w:r>
              <w:rPr>
                <w:rFonts w:ascii="Arial" w:hAnsi="Arial" w:cs="Arial"/>
                <w:sz w:val="18"/>
                <w:szCs w:val="18"/>
              </w:rPr>
              <w:t>T</w:t>
            </w:r>
            <w:r w:rsidRPr="00616C7C">
              <w:rPr>
                <w:rFonts w:ascii="Arial" w:hAnsi="Arial" w:cs="Arial"/>
                <w:sz w:val="18"/>
                <w:szCs w:val="18"/>
              </w:rPr>
              <w:t>ablet 330 mg</w:t>
            </w:r>
          </w:p>
          <w:p w14:paraId="3E19804E" w14:textId="77777777" w:rsidR="00616C7C" w:rsidRPr="00616C7C" w:rsidRDefault="00616C7C" w:rsidP="00616C7C">
            <w:pPr>
              <w:rPr>
                <w:rFonts w:ascii="Arial" w:hAnsi="Arial" w:cs="Arial"/>
                <w:sz w:val="18"/>
                <w:szCs w:val="18"/>
              </w:rPr>
            </w:pPr>
          </w:p>
          <w:p w14:paraId="735BFD06" w14:textId="21F3C5C4" w:rsidR="00616C7C" w:rsidRPr="00616C7C" w:rsidRDefault="00616C7C" w:rsidP="00616C7C">
            <w:pPr>
              <w:rPr>
                <w:rFonts w:ascii="Arial" w:hAnsi="Arial" w:cs="Arial"/>
                <w:sz w:val="18"/>
                <w:szCs w:val="18"/>
              </w:rPr>
            </w:pPr>
            <w:r w:rsidRPr="00616C7C">
              <w:rPr>
                <w:rFonts w:ascii="Arial" w:hAnsi="Arial" w:cs="Arial"/>
                <w:sz w:val="18"/>
                <w:szCs w:val="18"/>
              </w:rPr>
              <w:t>Lyrica</w:t>
            </w:r>
            <w:r>
              <w:rPr>
                <w:rFonts w:ascii="Arial" w:hAnsi="Arial" w:cs="Arial"/>
                <w:sz w:val="18"/>
                <w:szCs w:val="18"/>
              </w:rPr>
              <w:t>® CR</w:t>
            </w:r>
          </w:p>
          <w:p w14:paraId="2B06B8AE" w14:textId="77777777" w:rsidR="00616C7C" w:rsidRPr="00616C7C" w:rsidRDefault="00616C7C" w:rsidP="00616C7C">
            <w:pPr>
              <w:rPr>
                <w:rFonts w:ascii="Arial" w:hAnsi="Arial" w:cs="Arial"/>
                <w:sz w:val="18"/>
                <w:szCs w:val="18"/>
              </w:rPr>
            </w:pPr>
          </w:p>
          <w:p w14:paraId="3BE7BB76" w14:textId="77777777" w:rsidR="00616C7C" w:rsidRPr="00616C7C" w:rsidRDefault="00616C7C" w:rsidP="00616C7C">
            <w:pPr>
              <w:rPr>
                <w:rFonts w:ascii="Arial" w:hAnsi="Arial" w:cs="Arial"/>
                <w:sz w:val="18"/>
                <w:szCs w:val="18"/>
              </w:rPr>
            </w:pPr>
            <w:r w:rsidRPr="00616C7C">
              <w:rPr>
                <w:rFonts w:ascii="Arial" w:hAnsi="Arial" w:cs="Arial"/>
                <w:sz w:val="18"/>
                <w:szCs w:val="18"/>
              </w:rPr>
              <w:t>Upjohn Australia Pty Ltd</w:t>
            </w:r>
          </w:p>
          <w:p w14:paraId="440F65F3" w14:textId="77777777" w:rsidR="00616C7C" w:rsidRPr="00616C7C" w:rsidRDefault="00616C7C" w:rsidP="00616C7C">
            <w:pPr>
              <w:rPr>
                <w:rFonts w:ascii="Arial" w:hAnsi="Arial" w:cs="Arial"/>
                <w:sz w:val="18"/>
                <w:szCs w:val="18"/>
              </w:rPr>
            </w:pPr>
          </w:p>
          <w:p w14:paraId="500DA15B" w14:textId="2E51EABD" w:rsidR="00616C7C" w:rsidRPr="003F0DE3" w:rsidRDefault="00616C7C" w:rsidP="00616C7C">
            <w:pPr>
              <w:rPr>
                <w:rFonts w:ascii="Arial" w:hAnsi="Arial" w:cs="Arial"/>
                <w:sz w:val="18"/>
                <w:szCs w:val="18"/>
              </w:rPr>
            </w:pPr>
            <w:r w:rsidRPr="00616C7C">
              <w:rPr>
                <w:rFonts w:ascii="Arial" w:hAnsi="Arial" w:cs="Arial"/>
                <w:sz w:val="18"/>
                <w:szCs w:val="18"/>
              </w:rPr>
              <w:t xml:space="preserve">(Matters </w:t>
            </w:r>
            <w:r w:rsidR="00FC2F54" w:rsidRPr="00616C7C">
              <w:rPr>
                <w:rFonts w:ascii="Arial" w:hAnsi="Arial" w:cs="Arial"/>
                <w:sz w:val="18"/>
                <w:szCs w:val="18"/>
              </w:rPr>
              <w:t>outstanding</w:t>
            </w:r>
            <w:r w:rsidRPr="00616C7C">
              <w:rPr>
                <w:rFonts w:ascii="Arial" w:hAnsi="Arial" w:cs="Arial"/>
                <w:sz w:val="18"/>
                <w:szCs w:val="18"/>
              </w:rPr>
              <w:t>)</w:t>
            </w:r>
          </w:p>
        </w:tc>
        <w:tc>
          <w:tcPr>
            <w:tcW w:w="619" w:type="pct"/>
            <w:tcBorders>
              <w:top w:val="single" w:sz="4" w:space="0" w:color="auto"/>
              <w:left w:val="single" w:sz="4" w:space="0" w:color="auto"/>
              <w:right w:val="single" w:sz="4" w:space="0" w:color="auto"/>
            </w:tcBorders>
            <w:shd w:val="clear" w:color="auto" w:fill="auto"/>
            <w:vAlign w:val="center"/>
          </w:tcPr>
          <w:p w14:paraId="35F40CC8" w14:textId="13C8202D" w:rsidR="00616C7C" w:rsidRPr="003F0DE3" w:rsidRDefault="00616C7C" w:rsidP="00180894">
            <w:pPr>
              <w:widowControl w:val="0"/>
              <w:jc w:val="center"/>
              <w:rPr>
                <w:rFonts w:ascii="Arial" w:hAnsi="Arial" w:cs="Arial"/>
                <w:snapToGrid w:val="0"/>
                <w:sz w:val="18"/>
                <w:szCs w:val="18"/>
                <w:lang w:eastAsia="en-US"/>
              </w:rPr>
            </w:pPr>
            <w:r>
              <w:rPr>
                <w:rFonts w:ascii="Arial" w:hAnsi="Arial" w:cs="Arial"/>
                <w:snapToGrid w:val="0"/>
                <w:sz w:val="18"/>
                <w:szCs w:val="18"/>
                <w:lang w:eastAsia="en-US"/>
              </w:rPr>
              <w:t>Neuropathic pain</w:t>
            </w:r>
          </w:p>
        </w:tc>
        <w:tc>
          <w:tcPr>
            <w:tcW w:w="862" w:type="pct"/>
            <w:tcBorders>
              <w:top w:val="single" w:sz="4" w:space="0" w:color="auto"/>
              <w:left w:val="nil"/>
              <w:right w:val="single" w:sz="4" w:space="0" w:color="auto"/>
            </w:tcBorders>
            <w:shd w:val="clear" w:color="auto" w:fill="auto"/>
            <w:tcMar>
              <w:top w:w="28" w:type="dxa"/>
              <w:bottom w:w="28" w:type="dxa"/>
            </w:tcMar>
            <w:vAlign w:val="center"/>
          </w:tcPr>
          <w:p w14:paraId="392E0AC3" w14:textId="77777777" w:rsidR="00AD64CC" w:rsidRDefault="00616C7C" w:rsidP="007414B9">
            <w:pPr>
              <w:pStyle w:val="ListParagraph"/>
              <w:ind w:left="0"/>
              <w:rPr>
                <w:rFonts w:ascii="Arial" w:hAnsi="Arial" w:cs="Arial"/>
                <w:sz w:val="18"/>
                <w:szCs w:val="18"/>
              </w:rPr>
            </w:pPr>
            <w:r w:rsidRPr="00AD64CC">
              <w:rPr>
                <w:rFonts w:ascii="Arial" w:hAnsi="Arial" w:cs="Arial"/>
                <w:sz w:val="18"/>
                <w:szCs w:val="18"/>
              </w:rPr>
              <w:t xml:space="preserve">To request a General Schedule Authority Required (STREAMLINED) listing for the treatment of neuropathic pain in adults, where this condition is refractory to treatment with other drugs. </w:t>
            </w:r>
          </w:p>
          <w:p w14:paraId="10B4881C" w14:textId="77777777" w:rsidR="00AD64CC" w:rsidRDefault="00AD64CC" w:rsidP="007414B9">
            <w:pPr>
              <w:pStyle w:val="ListParagraph"/>
              <w:ind w:left="0"/>
              <w:rPr>
                <w:rFonts w:ascii="Arial" w:hAnsi="Arial" w:cs="Arial"/>
                <w:sz w:val="18"/>
                <w:szCs w:val="18"/>
              </w:rPr>
            </w:pPr>
          </w:p>
          <w:p w14:paraId="6E9B1DA2" w14:textId="365FB521" w:rsidR="00616C7C" w:rsidRPr="00AD64CC" w:rsidRDefault="00616C7C" w:rsidP="007414B9">
            <w:pPr>
              <w:pStyle w:val="ListParagraph"/>
              <w:ind w:left="0"/>
              <w:rPr>
                <w:rFonts w:ascii="Arial" w:hAnsi="Arial" w:cs="Arial"/>
                <w:snapToGrid w:val="0"/>
                <w:sz w:val="18"/>
                <w:szCs w:val="18"/>
                <w:lang w:eastAsia="en-US"/>
              </w:rPr>
            </w:pPr>
            <w:r w:rsidRPr="00AD64CC">
              <w:rPr>
                <w:rFonts w:ascii="Arial" w:hAnsi="Arial" w:cs="Arial"/>
                <w:sz w:val="18"/>
                <w:szCs w:val="18"/>
              </w:rPr>
              <w:t>The PBAC deferred making a recommendation at its November 2021 meeting and requested further information on the use of pregabalin.</w:t>
            </w:r>
          </w:p>
        </w:tc>
        <w:tc>
          <w:tcPr>
            <w:tcW w:w="545" w:type="pct"/>
            <w:tcBorders>
              <w:top w:val="single" w:sz="4" w:space="0" w:color="auto"/>
              <w:left w:val="single" w:sz="4" w:space="0" w:color="auto"/>
              <w:right w:val="single" w:sz="4" w:space="0" w:color="auto"/>
            </w:tcBorders>
            <w:shd w:val="clear" w:color="auto" w:fill="auto"/>
            <w:vAlign w:val="center"/>
          </w:tcPr>
          <w:p w14:paraId="4FCCCCE8" w14:textId="24E76AB9" w:rsidR="00616C7C" w:rsidRDefault="00AD64CC" w:rsidP="00180894">
            <w:pPr>
              <w:pStyle w:val="ListParagraph"/>
              <w:ind w:left="0"/>
              <w:jc w:val="center"/>
              <w:rPr>
                <w:rFonts w:ascii="Arial" w:hAnsi="Arial" w:cs="Arial"/>
                <w:snapToGrid w:val="0"/>
                <w:sz w:val="18"/>
                <w:szCs w:val="18"/>
                <w:lang w:eastAsia="en-US"/>
              </w:rPr>
            </w:pPr>
            <w:r>
              <w:rPr>
                <w:rFonts w:ascii="Arial" w:hAnsi="Arial" w:cs="Arial"/>
                <w:snapToGrid w:val="0"/>
                <w:sz w:val="18"/>
                <w:szCs w:val="18"/>
                <w:lang w:eastAsia="en-US"/>
              </w:rPr>
              <w:t>Not recommended</w:t>
            </w:r>
          </w:p>
        </w:tc>
        <w:tc>
          <w:tcPr>
            <w:tcW w:w="2113" w:type="pct"/>
            <w:tcBorders>
              <w:top w:val="single" w:sz="4" w:space="0" w:color="auto"/>
            </w:tcBorders>
            <w:shd w:val="clear" w:color="auto" w:fill="auto"/>
            <w:vAlign w:val="center"/>
          </w:tcPr>
          <w:p w14:paraId="15F6451B" w14:textId="7B551C22" w:rsidR="00AD64CC" w:rsidRPr="00AD64CC" w:rsidRDefault="00AD64CC" w:rsidP="00AD64CC">
            <w:pPr>
              <w:spacing w:after="120"/>
              <w:rPr>
                <w:rFonts w:ascii="Arial" w:hAnsi="Arial" w:cs="Arial"/>
                <w:color w:val="000000"/>
                <w:sz w:val="18"/>
                <w:szCs w:val="18"/>
              </w:rPr>
            </w:pPr>
            <w:r w:rsidRPr="00AD64CC">
              <w:rPr>
                <w:rFonts w:ascii="Arial" w:hAnsi="Arial" w:cs="Arial"/>
                <w:color w:val="000000"/>
                <w:sz w:val="18"/>
                <w:szCs w:val="18"/>
              </w:rPr>
              <w:t>The PBAC did not recommend the listing of a controlled released (CR) formulation of pregabalin (pregabalin CR) for the treatment of neuropathic pain. The PBAC noted</w:t>
            </w:r>
            <w:r w:rsidR="005C4264">
              <w:rPr>
                <w:rFonts w:ascii="Arial" w:hAnsi="Arial" w:cs="Arial"/>
                <w:color w:val="000000"/>
                <w:sz w:val="18"/>
                <w:szCs w:val="18"/>
              </w:rPr>
              <w:t xml:space="preserve"> that</w:t>
            </w:r>
            <w:r w:rsidRPr="00AD64CC">
              <w:rPr>
                <w:rFonts w:ascii="Arial" w:hAnsi="Arial" w:cs="Arial"/>
                <w:color w:val="000000"/>
                <w:sz w:val="18"/>
                <w:szCs w:val="18"/>
              </w:rPr>
              <w:t xml:space="preserve"> the input from patients and stakeholders outlined the risks associated with pregabalin use and did not identify an unmet need in the current neuropathic pain population, and therefore considered</w:t>
            </w:r>
            <w:r w:rsidR="005C4264">
              <w:rPr>
                <w:rFonts w:ascii="Arial" w:hAnsi="Arial" w:cs="Arial"/>
                <w:color w:val="000000"/>
                <w:sz w:val="18"/>
                <w:szCs w:val="18"/>
              </w:rPr>
              <w:t xml:space="preserve"> that</w:t>
            </w:r>
            <w:r w:rsidRPr="00AD64CC">
              <w:rPr>
                <w:rFonts w:ascii="Arial" w:hAnsi="Arial" w:cs="Arial"/>
                <w:color w:val="000000"/>
                <w:sz w:val="18"/>
                <w:szCs w:val="18"/>
              </w:rPr>
              <w:t xml:space="preserve"> there was no established clinical need for listing a CR formulation. Furthermore, given the known adverse event profile of pregabalin, the PBAC considered</w:t>
            </w:r>
            <w:r w:rsidR="005C4264">
              <w:rPr>
                <w:rFonts w:ascii="Arial" w:hAnsi="Arial" w:cs="Arial"/>
                <w:color w:val="000000"/>
                <w:sz w:val="18"/>
                <w:szCs w:val="18"/>
              </w:rPr>
              <w:t xml:space="preserve"> that</w:t>
            </w:r>
            <w:r w:rsidRPr="00AD64CC">
              <w:rPr>
                <w:rFonts w:ascii="Arial" w:hAnsi="Arial" w:cs="Arial"/>
                <w:color w:val="000000"/>
                <w:sz w:val="18"/>
                <w:szCs w:val="18"/>
              </w:rPr>
              <w:t xml:space="preserve"> the additional quality use of medicines (QUM) concerns such as patient confusion and prescribing errors (previously noted at its November 2021 meeting) had the potential to increase the risk of adverse events.</w:t>
            </w:r>
          </w:p>
          <w:p w14:paraId="4741387E" w14:textId="2AE0652C" w:rsidR="00B40112" w:rsidRDefault="00AD64CC" w:rsidP="00AD64CC">
            <w:pPr>
              <w:spacing w:after="120"/>
              <w:rPr>
                <w:rFonts w:ascii="Arial" w:hAnsi="Arial" w:cs="Arial"/>
                <w:color w:val="000000"/>
                <w:sz w:val="18"/>
                <w:szCs w:val="18"/>
              </w:rPr>
            </w:pPr>
            <w:r w:rsidRPr="00AD64CC">
              <w:rPr>
                <w:rFonts w:ascii="Arial" w:hAnsi="Arial" w:cs="Arial"/>
                <w:color w:val="000000"/>
                <w:sz w:val="18"/>
                <w:szCs w:val="18"/>
              </w:rPr>
              <w:t xml:space="preserve">The PBAC considered that </w:t>
            </w:r>
            <w:r w:rsidR="005C4264">
              <w:rPr>
                <w:rFonts w:ascii="Arial" w:hAnsi="Arial" w:cs="Arial"/>
                <w:color w:val="000000"/>
                <w:sz w:val="18"/>
                <w:szCs w:val="18"/>
              </w:rPr>
              <w:t xml:space="preserve">the </w:t>
            </w:r>
            <w:r w:rsidRPr="00AD64CC">
              <w:rPr>
                <w:rFonts w:ascii="Arial" w:hAnsi="Arial" w:cs="Arial"/>
                <w:color w:val="000000"/>
                <w:sz w:val="18"/>
                <w:szCs w:val="18"/>
              </w:rPr>
              <w:t xml:space="preserve">concomitant use of pregabalin with other drugs was a potential concern, noting that most </w:t>
            </w:r>
            <w:r w:rsidR="005C4264">
              <w:rPr>
                <w:rFonts w:ascii="Arial" w:hAnsi="Arial" w:cs="Arial"/>
                <w:color w:val="000000"/>
                <w:sz w:val="18"/>
                <w:szCs w:val="18"/>
              </w:rPr>
              <w:t xml:space="preserve">pregabalin </w:t>
            </w:r>
            <w:r w:rsidRPr="00AD64CC">
              <w:rPr>
                <w:rFonts w:ascii="Arial" w:hAnsi="Arial" w:cs="Arial"/>
                <w:color w:val="000000"/>
                <w:sz w:val="18"/>
                <w:szCs w:val="18"/>
              </w:rPr>
              <w:t xml:space="preserve">toxicity is associated with its use with opioids, benzodiazepines, alcohol or illegal drugs. The PBAC noted </w:t>
            </w:r>
            <w:r w:rsidR="005C4264">
              <w:rPr>
                <w:rFonts w:ascii="Arial" w:hAnsi="Arial" w:cs="Arial"/>
                <w:color w:val="000000"/>
                <w:sz w:val="18"/>
                <w:szCs w:val="18"/>
              </w:rPr>
              <w:t xml:space="preserve">that </w:t>
            </w:r>
            <w:r w:rsidRPr="00AD64CC">
              <w:rPr>
                <w:rFonts w:ascii="Arial" w:hAnsi="Arial" w:cs="Arial"/>
                <w:color w:val="000000"/>
                <w:sz w:val="18"/>
                <w:szCs w:val="18"/>
              </w:rPr>
              <w:t xml:space="preserve">the </w:t>
            </w:r>
            <w:r w:rsidR="00180894">
              <w:rPr>
                <w:rFonts w:ascii="Arial" w:hAnsi="Arial" w:cs="Arial"/>
                <w:color w:val="000000"/>
                <w:sz w:val="18"/>
                <w:szCs w:val="18"/>
              </w:rPr>
              <w:t>Drug Utilisation Sub Committee (</w:t>
            </w:r>
            <w:r w:rsidRPr="00AD64CC">
              <w:rPr>
                <w:rFonts w:ascii="Arial" w:hAnsi="Arial" w:cs="Arial"/>
                <w:color w:val="000000"/>
                <w:sz w:val="18"/>
                <w:szCs w:val="18"/>
              </w:rPr>
              <w:t>DUSC</w:t>
            </w:r>
            <w:r w:rsidR="00180894">
              <w:rPr>
                <w:rFonts w:ascii="Arial" w:hAnsi="Arial" w:cs="Arial"/>
                <w:color w:val="000000"/>
                <w:sz w:val="18"/>
                <w:szCs w:val="18"/>
              </w:rPr>
              <w:t>)</w:t>
            </w:r>
            <w:r w:rsidRPr="00AD64CC">
              <w:rPr>
                <w:rFonts w:ascii="Arial" w:hAnsi="Arial" w:cs="Arial"/>
                <w:color w:val="000000"/>
                <w:sz w:val="18"/>
                <w:szCs w:val="18"/>
              </w:rPr>
              <w:t xml:space="preserve"> analysis reported that a high proportion of younger patients were identified as being supplied pregabalin with an opioid or benzodiazepine.</w:t>
            </w:r>
          </w:p>
          <w:p w14:paraId="01B438BF" w14:textId="77777777" w:rsidR="00616C7C" w:rsidRDefault="00AD64CC" w:rsidP="00AD64CC">
            <w:pPr>
              <w:spacing w:after="120"/>
              <w:rPr>
                <w:rFonts w:ascii="Arial" w:hAnsi="Arial" w:cs="Arial"/>
                <w:color w:val="000000"/>
                <w:sz w:val="18"/>
                <w:szCs w:val="18"/>
              </w:rPr>
            </w:pPr>
            <w:r w:rsidRPr="00AD64CC">
              <w:rPr>
                <w:rFonts w:ascii="Arial" w:hAnsi="Arial" w:cs="Arial"/>
                <w:color w:val="000000"/>
                <w:sz w:val="18"/>
                <w:szCs w:val="18"/>
              </w:rPr>
              <w:t xml:space="preserve">The PBAC noted that the DUSC analysis reported a larger number of </w:t>
            </w:r>
            <w:r w:rsidR="00B40112">
              <w:rPr>
                <w:rFonts w:ascii="Arial" w:hAnsi="Arial" w:cs="Arial"/>
                <w:color w:val="000000"/>
                <w:sz w:val="18"/>
                <w:szCs w:val="18"/>
              </w:rPr>
              <w:t xml:space="preserve">PBS </w:t>
            </w:r>
            <w:r w:rsidRPr="00AD64CC">
              <w:rPr>
                <w:rFonts w:ascii="Arial" w:hAnsi="Arial" w:cs="Arial"/>
                <w:color w:val="000000"/>
                <w:sz w:val="18"/>
                <w:szCs w:val="18"/>
              </w:rPr>
              <w:t>pregabalin scripts being prescribed by rheumatologists and psychiatrists, which may suggest use outside the PBS restrictions. The PBAC considered that</w:t>
            </w:r>
            <w:r w:rsidR="00B40112">
              <w:rPr>
                <w:rFonts w:ascii="Arial" w:hAnsi="Arial" w:cs="Arial"/>
                <w:color w:val="000000"/>
                <w:sz w:val="18"/>
                <w:szCs w:val="18"/>
              </w:rPr>
              <w:t xml:space="preserve"> the</w:t>
            </w:r>
            <w:r w:rsidRPr="00AD64CC">
              <w:rPr>
                <w:rFonts w:ascii="Arial" w:hAnsi="Arial" w:cs="Arial"/>
                <w:color w:val="000000"/>
                <w:sz w:val="18"/>
                <w:szCs w:val="18"/>
              </w:rPr>
              <w:t xml:space="preserve"> potential for increased misuse and overdosing with a CR formulation of pregabalin could not be ruled out.</w:t>
            </w:r>
          </w:p>
          <w:p w14:paraId="5CCB920D" w14:textId="77777777" w:rsidR="00112E20" w:rsidRDefault="00112E20" w:rsidP="00112E20">
            <w:pPr>
              <w:rPr>
                <w:rFonts w:ascii="Arial" w:hAnsi="Arial" w:cs="Arial"/>
                <w:color w:val="000000"/>
                <w:sz w:val="18"/>
                <w:szCs w:val="18"/>
                <w:u w:val="single"/>
              </w:rPr>
            </w:pPr>
            <w:r>
              <w:rPr>
                <w:rFonts w:ascii="Arial" w:hAnsi="Arial" w:cs="Arial"/>
                <w:color w:val="000000"/>
                <w:sz w:val="18"/>
                <w:szCs w:val="18"/>
                <w:u w:val="single"/>
              </w:rPr>
              <w:t>Sponsor Comment:</w:t>
            </w:r>
          </w:p>
          <w:p w14:paraId="7EDDC043" w14:textId="289F6CB9" w:rsidR="00112E20" w:rsidRPr="00112E20" w:rsidRDefault="00112E20" w:rsidP="00112E20">
            <w:pPr>
              <w:rPr>
                <w:rFonts w:ascii="Arial" w:hAnsi="Arial" w:cs="Arial"/>
                <w:color w:val="000000"/>
                <w:sz w:val="18"/>
                <w:szCs w:val="18"/>
              </w:rPr>
            </w:pPr>
            <w:r>
              <w:rPr>
                <w:rFonts w:ascii="Arial" w:hAnsi="Arial" w:cs="Arial"/>
                <w:color w:val="000000"/>
                <w:sz w:val="18"/>
                <w:szCs w:val="18"/>
              </w:rPr>
              <w:t>The sponsor had no comment.</w:t>
            </w:r>
          </w:p>
        </w:tc>
      </w:tr>
      <w:tr w:rsidR="00AD64CC" w:rsidRPr="00687774" w14:paraId="49FED90C" w14:textId="77777777" w:rsidTr="00205445">
        <w:trPr>
          <w:trHeight w:val="857"/>
        </w:trPr>
        <w:tc>
          <w:tcPr>
            <w:tcW w:w="861" w:type="pct"/>
            <w:tcBorders>
              <w:top w:val="single" w:sz="4" w:space="0" w:color="auto"/>
              <w:left w:val="single" w:sz="4" w:space="0" w:color="auto"/>
              <w:right w:val="nil"/>
            </w:tcBorders>
            <w:shd w:val="clear" w:color="auto" w:fill="auto"/>
            <w:tcMar>
              <w:top w:w="28" w:type="dxa"/>
              <w:bottom w:w="28" w:type="dxa"/>
            </w:tcMar>
            <w:vAlign w:val="center"/>
          </w:tcPr>
          <w:p w14:paraId="523B7E83" w14:textId="77777777" w:rsidR="00AD64CC" w:rsidRPr="00AD64CC" w:rsidRDefault="00AD64CC" w:rsidP="00AD64CC">
            <w:pPr>
              <w:rPr>
                <w:rFonts w:ascii="Arial" w:hAnsi="Arial" w:cs="Arial"/>
                <w:sz w:val="18"/>
                <w:szCs w:val="18"/>
              </w:rPr>
            </w:pPr>
            <w:r w:rsidRPr="00AD64CC">
              <w:rPr>
                <w:rFonts w:ascii="Arial" w:hAnsi="Arial" w:cs="Arial"/>
                <w:sz w:val="18"/>
                <w:szCs w:val="18"/>
              </w:rPr>
              <w:lastRenderedPageBreak/>
              <w:t>PREGABALIN</w:t>
            </w:r>
          </w:p>
          <w:p w14:paraId="4F714DDE" w14:textId="77777777" w:rsidR="00AD64CC" w:rsidRPr="00AD64CC" w:rsidRDefault="00AD64CC" w:rsidP="00AD64CC">
            <w:pPr>
              <w:rPr>
                <w:rFonts w:ascii="Arial" w:hAnsi="Arial" w:cs="Arial"/>
                <w:sz w:val="18"/>
                <w:szCs w:val="18"/>
              </w:rPr>
            </w:pPr>
          </w:p>
          <w:p w14:paraId="48C5152A" w14:textId="77777777" w:rsidR="00AD64CC" w:rsidRPr="00AD64CC" w:rsidRDefault="00AD64CC" w:rsidP="00AD64CC">
            <w:pPr>
              <w:rPr>
                <w:rFonts w:ascii="Arial" w:hAnsi="Arial" w:cs="Arial"/>
                <w:sz w:val="18"/>
                <w:szCs w:val="18"/>
              </w:rPr>
            </w:pPr>
            <w:r w:rsidRPr="00AD64CC">
              <w:rPr>
                <w:rFonts w:ascii="Arial" w:hAnsi="Arial" w:cs="Arial"/>
                <w:sz w:val="18"/>
                <w:szCs w:val="18"/>
              </w:rPr>
              <w:t>Oral solution 20 mg per mL, 473 mL</w:t>
            </w:r>
          </w:p>
          <w:p w14:paraId="4BC9CC17" w14:textId="77777777" w:rsidR="00AD64CC" w:rsidRPr="00AD64CC" w:rsidRDefault="00AD64CC" w:rsidP="00AD64CC">
            <w:pPr>
              <w:rPr>
                <w:rFonts w:ascii="Arial" w:hAnsi="Arial" w:cs="Arial"/>
                <w:sz w:val="18"/>
                <w:szCs w:val="18"/>
              </w:rPr>
            </w:pPr>
          </w:p>
          <w:p w14:paraId="17A77469" w14:textId="50F79CEA" w:rsidR="00AD64CC" w:rsidRPr="00AD64CC" w:rsidRDefault="00AD64CC" w:rsidP="00AD64CC">
            <w:pPr>
              <w:rPr>
                <w:rFonts w:ascii="Arial" w:hAnsi="Arial" w:cs="Arial"/>
                <w:sz w:val="18"/>
                <w:szCs w:val="18"/>
              </w:rPr>
            </w:pPr>
            <w:r w:rsidRPr="00AD64CC">
              <w:rPr>
                <w:rFonts w:ascii="Arial" w:hAnsi="Arial" w:cs="Arial"/>
                <w:sz w:val="18"/>
                <w:szCs w:val="18"/>
              </w:rPr>
              <w:t>Pregabalin-AFT®</w:t>
            </w:r>
          </w:p>
          <w:p w14:paraId="0E29A2C2" w14:textId="77777777" w:rsidR="00AD64CC" w:rsidRPr="00AD64CC" w:rsidRDefault="00AD64CC" w:rsidP="00AD64CC">
            <w:pPr>
              <w:rPr>
                <w:rFonts w:ascii="Arial" w:hAnsi="Arial" w:cs="Arial"/>
                <w:sz w:val="18"/>
                <w:szCs w:val="18"/>
              </w:rPr>
            </w:pPr>
          </w:p>
          <w:p w14:paraId="6E55B24F" w14:textId="77777777" w:rsidR="00AD64CC" w:rsidRPr="00AD64CC" w:rsidRDefault="00AD64CC" w:rsidP="00AD64CC">
            <w:pPr>
              <w:rPr>
                <w:rFonts w:ascii="Arial" w:hAnsi="Arial" w:cs="Arial"/>
                <w:sz w:val="18"/>
                <w:szCs w:val="18"/>
              </w:rPr>
            </w:pPr>
            <w:r w:rsidRPr="00AD64CC">
              <w:rPr>
                <w:rFonts w:ascii="Arial" w:hAnsi="Arial" w:cs="Arial"/>
                <w:sz w:val="18"/>
                <w:szCs w:val="18"/>
              </w:rPr>
              <w:t xml:space="preserve">AFT Pharmaceuticals (Au) Pty Ltd </w:t>
            </w:r>
          </w:p>
          <w:p w14:paraId="68A665A0" w14:textId="77777777" w:rsidR="00AD64CC" w:rsidRPr="00AD64CC" w:rsidRDefault="00AD64CC" w:rsidP="00AD64CC">
            <w:pPr>
              <w:rPr>
                <w:rFonts w:ascii="Arial" w:hAnsi="Arial" w:cs="Arial"/>
                <w:sz w:val="18"/>
                <w:szCs w:val="18"/>
              </w:rPr>
            </w:pPr>
          </w:p>
          <w:p w14:paraId="1F79144C" w14:textId="52959EBD" w:rsidR="00AD64CC" w:rsidRPr="00AD64CC" w:rsidRDefault="00AD64CC" w:rsidP="00AD64CC">
            <w:pPr>
              <w:rPr>
                <w:rFonts w:ascii="Arial" w:hAnsi="Arial" w:cs="Arial"/>
                <w:sz w:val="18"/>
                <w:szCs w:val="18"/>
              </w:rPr>
            </w:pPr>
            <w:r w:rsidRPr="00AD64CC">
              <w:rPr>
                <w:rFonts w:ascii="Arial" w:hAnsi="Arial" w:cs="Arial"/>
                <w:sz w:val="18"/>
                <w:szCs w:val="18"/>
              </w:rPr>
              <w:t>(Matters outstanding)</w:t>
            </w:r>
          </w:p>
        </w:tc>
        <w:tc>
          <w:tcPr>
            <w:tcW w:w="619" w:type="pct"/>
            <w:tcBorders>
              <w:top w:val="single" w:sz="4" w:space="0" w:color="auto"/>
              <w:left w:val="single" w:sz="4" w:space="0" w:color="auto"/>
              <w:right w:val="single" w:sz="4" w:space="0" w:color="auto"/>
            </w:tcBorders>
            <w:shd w:val="clear" w:color="auto" w:fill="auto"/>
            <w:vAlign w:val="center"/>
          </w:tcPr>
          <w:p w14:paraId="030C7B7F" w14:textId="65FA7616" w:rsidR="00AD64CC" w:rsidRPr="00AD64CC" w:rsidRDefault="00AD64CC" w:rsidP="008C6709">
            <w:pPr>
              <w:widowControl w:val="0"/>
              <w:jc w:val="center"/>
              <w:rPr>
                <w:rFonts w:ascii="Arial" w:hAnsi="Arial" w:cs="Arial"/>
                <w:snapToGrid w:val="0"/>
                <w:sz w:val="18"/>
                <w:szCs w:val="18"/>
                <w:lang w:eastAsia="en-US"/>
              </w:rPr>
            </w:pPr>
            <w:r w:rsidRPr="00AD64CC">
              <w:rPr>
                <w:rFonts w:ascii="Arial" w:hAnsi="Arial" w:cs="Arial"/>
                <w:sz w:val="18"/>
                <w:szCs w:val="18"/>
              </w:rPr>
              <w:t>Neuropathic pain</w:t>
            </w:r>
          </w:p>
        </w:tc>
        <w:tc>
          <w:tcPr>
            <w:tcW w:w="862" w:type="pct"/>
            <w:tcBorders>
              <w:top w:val="single" w:sz="4" w:space="0" w:color="auto"/>
              <w:left w:val="nil"/>
              <w:right w:val="single" w:sz="4" w:space="0" w:color="auto"/>
            </w:tcBorders>
            <w:shd w:val="clear" w:color="auto" w:fill="auto"/>
            <w:tcMar>
              <w:top w:w="28" w:type="dxa"/>
              <w:bottom w:w="28" w:type="dxa"/>
            </w:tcMar>
            <w:vAlign w:val="center"/>
          </w:tcPr>
          <w:p w14:paraId="5F9757EF" w14:textId="77777777" w:rsidR="00AD64CC" w:rsidRDefault="00AD64CC" w:rsidP="007414B9">
            <w:pPr>
              <w:pStyle w:val="ListParagraph"/>
              <w:ind w:left="0"/>
              <w:rPr>
                <w:rFonts w:ascii="Arial" w:hAnsi="Arial" w:cs="Arial"/>
                <w:sz w:val="18"/>
                <w:szCs w:val="18"/>
              </w:rPr>
            </w:pPr>
            <w:r w:rsidRPr="00AD64CC">
              <w:rPr>
                <w:rFonts w:ascii="Arial" w:hAnsi="Arial" w:cs="Arial"/>
                <w:sz w:val="18"/>
                <w:szCs w:val="18"/>
              </w:rPr>
              <w:t>To request an Authority Required (streamlined) listing of pregabalin solution under the same circumstances as the existing listed pregabalin.</w:t>
            </w:r>
          </w:p>
          <w:p w14:paraId="6740DAE0" w14:textId="77777777" w:rsidR="00AD64CC" w:rsidRDefault="00AD64CC" w:rsidP="007414B9">
            <w:pPr>
              <w:pStyle w:val="ListParagraph"/>
              <w:ind w:left="0"/>
              <w:rPr>
                <w:rFonts w:ascii="Arial" w:hAnsi="Arial" w:cs="Arial"/>
                <w:sz w:val="18"/>
                <w:szCs w:val="18"/>
              </w:rPr>
            </w:pPr>
          </w:p>
          <w:p w14:paraId="10EA64BC" w14:textId="3E19B80A" w:rsidR="00AD64CC" w:rsidRPr="00AD64CC" w:rsidRDefault="00AD64CC" w:rsidP="007414B9">
            <w:pPr>
              <w:pStyle w:val="ListParagraph"/>
              <w:ind w:left="0"/>
              <w:rPr>
                <w:rFonts w:ascii="Arial" w:hAnsi="Arial" w:cs="Arial"/>
                <w:sz w:val="18"/>
                <w:szCs w:val="18"/>
              </w:rPr>
            </w:pPr>
            <w:r w:rsidRPr="00AD64CC">
              <w:rPr>
                <w:rFonts w:ascii="Arial" w:hAnsi="Arial" w:cs="Arial"/>
                <w:sz w:val="18"/>
                <w:szCs w:val="18"/>
              </w:rPr>
              <w:t>The PBAC deferred making a recommendation at its November 2021 meeting and requested further information on the use of pregabalin.</w:t>
            </w:r>
          </w:p>
        </w:tc>
        <w:tc>
          <w:tcPr>
            <w:tcW w:w="545" w:type="pct"/>
            <w:tcBorders>
              <w:top w:val="single" w:sz="4" w:space="0" w:color="auto"/>
              <w:left w:val="single" w:sz="4" w:space="0" w:color="auto"/>
              <w:right w:val="single" w:sz="4" w:space="0" w:color="auto"/>
            </w:tcBorders>
            <w:shd w:val="clear" w:color="auto" w:fill="auto"/>
            <w:vAlign w:val="center"/>
          </w:tcPr>
          <w:p w14:paraId="0B2734DD" w14:textId="17201FFE" w:rsidR="00AD64CC" w:rsidRDefault="00AD64CC" w:rsidP="008C6709">
            <w:pPr>
              <w:pStyle w:val="ListParagraph"/>
              <w:ind w:left="0"/>
              <w:jc w:val="center"/>
              <w:rPr>
                <w:rFonts w:ascii="Arial" w:hAnsi="Arial" w:cs="Arial"/>
                <w:snapToGrid w:val="0"/>
                <w:sz w:val="18"/>
                <w:szCs w:val="18"/>
                <w:lang w:eastAsia="en-US"/>
              </w:rPr>
            </w:pPr>
            <w:r>
              <w:rPr>
                <w:rFonts w:ascii="Arial" w:hAnsi="Arial" w:cs="Arial"/>
                <w:snapToGrid w:val="0"/>
                <w:sz w:val="18"/>
                <w:szCs w:val="18"/>
                <w:lang w:eastAsia="en-US"/>
              </w:rPr>
              <w:t>Not recommended</w:t>
            </w:r>
          </w:p>
        </w:tc>
        <w:tc>
          <w:tcPr>
            <w:tcW w:w="2113" w:type="pct"/>
            <w:tcBorders>
              <w:top w:val="single" w:sz="4" w:space="0" w:color="auto"/>
            </w:tcBorders>
            <w:shd w:val="clear" w:color="auto" w:fill="auto"/>
            <w:vAlign w:val="center"/>
          </w:tcPr>
          <w:p w14:paraId="048B5113" w14:textId="013EBA05" w:rsidR="00AD64CC" w:rsidRPr="00AD64CC" w:rsidRDefault="00AD64CC" w:rsidP="00AD64CC">
            <w:pPr>
              <w:spacing w:after="120"/>
              <w:rPr>
                <w:rFonts w:ascii="Arial" w:hAnsi="Arial" w:cs="Arial"/>
                <w:color w:val="000000"/>
                <w:sz w:val="18"/>
                <w:szCs w:val="18"/>
              </w:rPr>
            </w:pPr>
            <w:r w:rsidRPr="00AD64CC">
              <w:rPr>
                <w:rFonts w:ascii="Arial" w:hAnsi="Arial" w:cs="Arial"/>
                <w:color w:val="000000"/>
                <w:sz w:val="18"/>
                <w:szCs w:val="18"/>
              </w:rPr>
              <w:t>The PBAC did not recommend the listing of pregabalin 20 mg per mL oral liquid (Pregabalin-AFT) for the treatment of neuropathic pain. The PBAC noted</w:t>
            </w:r>
            <w:r w:rsidR="00B40112">
              <w:rPr>
                <w:rFonts w:ascii="Arial" w:hAnsi="Arial" w:cs="Arial"/>
                <w:color w:val="000000"/>
                <w:sz w:val="18"/>
                <w:szCs w:val="18"/>
              </w:rPr>
              <w:t xml:space="preserve"> that</w:t>
            </w:r>
            <w:r w:rsidRPr="00AD64CC">
              <w:rPr>
                <w:rFonts w:ascii="Arial" w:hAnsi="Arial" w:cs="Arial"/>
                <w:color w:val="000000"/>
                <w:sz w:val="18"/>
                <w:szCs w:val="18"/>
              </w:rPr>
              <w:t xml:space="preserve"> the input from clinical organisations outlined the risks associated with pregabalin use and did not identify an unmet need in the current neuropathic pain population, and therefore considered </w:t>
            </w:r>
            <w:r w:rsidR="00B40112">
              <w:rPr>
                <w:rFonts w:ascii="Arial" w:hAnsi="Arial" w:cs="Arial"/>
                <w:color w:val="000000"/>
                <w:sz w:val="18"/>
                <w:szCs w:val="18"/>
              </w:rPr>
              <w:t xml:space="preserve">that </w:t>
            </w:r>
            <w:r w:rsidRPr="00AD64CC">
              <w:rPr>
                <w:rFonts w:ascii="Arial" w:hAnsi="Arial" w:cs="Arial"/>
                <w:color w:val="000000"/>
                <w:sz w:val="18"/>
                <w:szCs w:val="18"/>
              </w:rPr>
              <w:t>there was no established clinical need for listing an oral liquid. Furthermore, given the known adverse event profile of pregabalin, the PBAC considered</w:t>
            </w:r>
            <w:r w:rsidR="00B40112">
              <w:rPr>
                <w:rFonts w:ascii="Arial" w:hAnsi="Arial" w:cs="Arial"/>
                <w:color w:val="000000"/>
                <w:sz w:val="18"/>
                <w:szCs w:val="18"/>
              </w:rPr>
              <w:t xml:space="preserve"> that</w:t>
            </w:r>
            <w:r w:rsidRPr="00AD64CC">
              <w:rPr>
                <w:rFonts w:ascii="Arial" w:hAnsi="Arial" w:cs="Arial"/>
                <w:color w:val="000000"/>
                <w:sz w:val="18"/>
                <w:szCs w:val="18"/>
              </w:rPr>
              <w:t xml:space="preserve"> the additional quality use of medicines (QUM) concerns such as patient confusion and prescribing errors (previously noted at its November 2021 meeting) had the potential to increase the risk of adverse events. </w:t>
            </w:r>
          </w:p>
          <w:p w14:paraId="6FB206F0" w14:textId="34ED4D39" w:rsidR="00AD64CC" w:rsidRPr="00AD64CC" w:rsidRDefault="00AD64CC" w:rsidP="00AD64CC">
            <w:pPr>
              <w:spacing w:after="120"/>
              <w:rPr>
                <w:rFonts w:ascii="Arial" w:hAnsi="Arial" w:cs="Arial"/>
                <w:color w:val="000000"/>
                <w:sz w:val="18"/>
                <w:szCs w:val="18"/>
              </w:rPr>
            </w:pPr>
            <w:r w:rsidRPr="00AD64CC">
              <w:rPr>
                <w:rFonts w:ascii="Arial" w:hAnsi="Arial" w:cs="Arial"/>
                <w:color w:val="000000"/>
                <w:sz w:val="18"/>
                <w:szCs w:val="18"/>
              </w:rPr>
              <w:t>The PBAC considered that</w:t>
            </w:r>
            <w:r w:rsidR="00B40112">
              <w:rPr>
                <w:rFonts w:ascii="Arial" w:hAnsi="Arial" w:cs="Arial"/>
                <w:color w:val="000000"/>
                <w:sz w:val="18"/>
                <w:szCs w:val="18"/>
              </w:rPr>
              <w:t xml:space="preserve"> the</w:t>
            </w:r>
            <w:r w:rsidRPr="00AD64CC">
              <w:rPr>
                <w:rFonts w:ascii="Arial" w:hAnsi="Arial" w:cs="Arial"/>
                <w:color w:val="000000"/>
                <w:sz w:val="18"/>
                <w:szCs w:val="18"/>
              </w:rPr>
              <w:t xml:space="preserve"> concomitant use of pregabalin with other drugs was a potential concern, noting that most </w:t>
            </w:r>
            <w:r w:rsidR="00B40112">
              <w:rPr>
                <w:rFonts w:ascii="Arial" w:hAnsi="Arial" w:cs="Arial"/>
                <w:color w:val="000000"/>
                <w:sz w:val="18"/>
                <w:szCs w:val="18"/>
              </w:rPr>
              <w:t xml:space="preserve">pregabalin </w:t>
            </w:r>
            <w:r w:rsidRPr="00AD64CC">
              <w:rPr>
                <w:rFonts w:ascii="Arial" w:hAnsi="Arial" w:cs="Arial"/>
                <w:color w:val="000000"/>
                <w:sz w:val="18"/>
                <w:szCs w:val="18"/>
              </w:rPr>
              <w:t xml:space="preserve">toxicity is associated with its use with opioids, benzodiazepines, alcohol or illegal drugs. The PBAC noted </w:t>
            </w:r>
            <w:r w:rsidR="00B40112">
              <w:rPr>
                <w:rFonts w:ascii="Arial" w:hAnsi="Arial" w:cs="Arial"/>
                <w:color w:val="000000"/>
                <w:sz w:val="18"/>
                <w:szCs w:val="18"/>
              </w:rPr>
              <w:t xml:space="preserve">that </w:t>
            </w:r>
            <w:r w:rsidRPr="00AD64CC">
              <w:rPr>
                <w:rFonts w:ascii="Arial" w:hAnsi="Arial" w:cs="Arial"/>
                <w:color w:val="000000"/>
                <w:sz w:val="18"/>
                <w:szCs w:val="18"/>
              </w:rPr>
              <w:t xml:space="preserve">the </w:t>
            </w:r>
            <w:r w:rsidR="00874475">
              <w:rPr>
                <w:rFonts w:ascii="Arial" w:hAnsi="Arial" w:cs="Arial"/>
                <w:color w:val="000000"/>
                <w:sz w:val="18"/>
                <w:szCs w:val="18"/>
              </w:rPr>
              <w:t>Drug Utilisation Sub Committee (</w:t>
            </w:r>
            <w:r w:rsidRPr="00AD64CC">
              <w:rPr>
                <w:rFonts w:ascii="Arial" w:hAnsi="Arial" w:cs="Arial"/>
                <w:color w:val="000000"/>
                <w:sz w:val="18"/>
                <w:szCs w:val="18"/>
              </w:rPr>
              <w:t>DUSC</w:t>
            </w:r>
            <w:r w:rsidR="00874475">
              <w:rPr>
                <w:rFonts w:ascii="Arial" w:hAnsi="Arial" w:cs="Arial"/>
                <w:color w:val="000000"/>
                <w:sz w:val="18"/>
                <w:szCs w:val="18"/>
              </w:rPr>
              <w:t>)</w:t>
            </w:r>
            <w:r w:rsidRPr="00AD64CC">
              <w:rPr>
                <w:rFonts w:ascii="Arial" w:hAnsi="Arial" w:cs="Arial"/>
                <w:color w:val="000000"/>
                <w:sz w:val="18"/>
                <w:szCs w:val="18"/>
              </w:rPr>
              <w:t xml:space="preserve"> analysis reported that a high proportion of younger patients were identified as being supplied pregabalin with an opioid or benzodiazepine.</w:t>
            </w:r>
          </w:p>
          <w:p w14:paraId="17D37E52" w14:textId="77777777" w:rsidR="00AD64CC" w:rsidRDefault="00AD64CC" w:rsidP="00AD64CC">
            <w:pPr>
              <w:spacing w:after="120"/>
              <w:rPr>
                <w:rFonts w:ascii="Arial" w:hAnsi="Arial" w:cs="Arial"/>
                <w:color w:val="000000"/>
                <w:sz w:val="18"/>
                <w:szCs w:val="18"/>
              </w:rPr>
            </w:pPr>
            <w:r w:rsidRPr="00AD64CC">
              <w:rPr>
                <w:rFonts w:ascii="Arial" w:hAnsi="Arial" w:cs="Arial"/>
                <w:color w:val="000000"/>
                <w:sz w:val="18"/>
                <w:szCs w:val="18"/>
              </w:rPr>
              <w:t xml:space="preserve">The PBAC noted that the DUSC analysis reported a larger number of </w:t>
            </w:r>
            <w:r w:rsidR="00B40112">
              <w:rPr>
                <w:rFonts w:ascii="Arial" w:hAnsi="Arial" w:cs="Arial"/>
                <w:color w:val="000000"/>
                <w:sz w:val="18"/>
                <w:szCs w:val="18"/>
              </w:rPr>
              <w:t xml:space="preserve">PBS </w:t>
            </w:r>
            <w:r w:rsidRPr="00AD64CC">
              <w:rPr>
                <w:rFonts w:ascii="Arial" w:hAnsi="Arial" w:cs="Arial"/>
                <w:color w:val="000000"/>
                <w:sz w:val="18"/>
                <w:szCs w:val="18"/>
              </w:rPr>
              <w:t xml:space="preserve">pregabalin scripts being prescribed by rheumatologists and psychiatrists, which may indicate use outside the PBS restrictions. The PBAC considered that </w:t>
            </w:r>
            <w:r w:rsidR="00B40112">
              <w:rPr>
                <w:rFonts w:ascii="Arial" w:hAnsi="Arial" w:cs="Arial"/>
                <w:color w:val="000000"/>
                <w:sz w:val="18"/>
                <w:szCs w:val="18"/>
              </w:rPr>
              <w:t xml:space="preserve">the </w:t>
            </w:r>
            <w:r w:rsidRPr="00AD64CC">
              <w:rPr>
                <w:rFonts w:ascii="Arial" w:hAnsi="Arial" w:cs="Arial"/>
                <w:color w:val="000000"/>
                <w:sz w:val="18"/>
                <w:szCs w:val="18"/>
              </w:rPr>
              <w:t>potential for increased misuse and overdosing with an oral liquid formulation of pregabalin could not be ruled out.</w:t>
            </w:r>
          </w:p>
          <w:p w14:paraId="27A1D600" w14:textId="77777777" w:rsidR="00112E20" w:rsidRDefault="00112E20" w:rsidP="00112E20">
            <w:pPr>
              <w:rPr>
                <w:rFonts w:ascii="Arial" w:hAnsi="Arial" w:cs="Arial"/>
                <w:color w:val="000000"/>
                <w:sz w:val="18"/>
                <w:szCs w:val="18"/>
                <w:u w:val="single"/>
              </w:rPr>
            </w:pPr>
            <w:r>
              <w:rPr>
                <w:rFonts w:ascii="Arial" w:hAnsi="Arial" w:cs="Arial"/>
                <w:color w:val="000000"/>
                <w:sz w:val="18"/>
                <w:szCs w:val="18"/>
                <w:u w:val="single"/>
              </w:rPr>
              <w:t>Sponsor Comment:</w:t>
            </w:r>
          </w:p>
          <w:p w14:paraId="7A23C9BA" w14:textId="069B790C" w:rsidR="00112E20" w:rsidRPr="00AD64CC" w:rsidRDefault="00112E20" w:rsidP="00112E20">
            <w:pPr>
              <w:rPr>
                <w:rFonts w:ascii="Arial" w:hAnsi="Arial" w:cs="Arial"/>
                <w:color w:val="000000"/>
                <w:sz w:val="18"/>
                <w:szCs w:val="18"/>
              </w:rPr>
            </w:pPr>
            <w:r>
              <w:rPr>
                <w:rFonts w:ascii="Arial" w:hAnsi="Arial" w:cs="Arial"/>
                <w:color w:val="000000"/>
                <w:sz w:val="18"/>
                <w:szCs w:val="18"/>
              </w:rPr>
              <w:t>The sponsor had no comment.</w:t>
            </w:r>
          </w:p>
        </w:tc>
      </w:tr>
      <w:tr w:rsidR="00741F62" w:rsidRPr="00687774" w14:paraId="0F82F27B" w14:textId="77777777" w:rsidTr="00205445">
        <w:trPr>
          <w:trHeight w:val="857"/>
        </w:trPr>
        <w:tc>
          <w:tcPr>
            <w:tcW w:w="861" w:type="pct"/>
            <w:tcBorders>
              <w:top w:val="single" w:sz="4" w:space="0" w:color="auto"/>
              <w:left w:val="single" w:sz="4" w:space="0" w:color="auto"/>
              <w:right w:val="nil"/>
            </w:tcBorders>
            <w:shd w:val="clear" w:color="auto" w:fill="auto"/>
            <w:tcMar>
              <w:top w:w="28" w:type="dxa"/>
              <w:bottom w:w="28" w:type="dxa"/>
            </w:tcMar>
            <w:vAlign w:val="center"/>
          </w:tcPr>
          <w:p w14:paraId="2F7F2A9D" w14:textId="38EBAA8F" w:rsidR="003F0DE3" w:rsidRPr="003F0DE3" w:rsidRDefault="003F0DE3" w:rsidP="003F0DE3">
            <w:pPr>
              <w:rPr>
                <w:rFonts w:ascii="Arial" w:hAnsi="Arial" w:cs="Arial"/>
                <w:sz w:val="18"/>
                <w:szCs w:val="18"/>
              </w:rPr>
            </w:pPr>
            <w:r w:rsidRPr="003F0DE3">
              <w:rPr>
                <w:rFonts w:ascii="Arial" w:hAnsi="Arial" w:cs="Arial"/>
                <w:sz w:val="18"/>
                <w:szCs w:val="18"/>
              </w:rPr>
              <w:t>TRIENT</w:t>
            </w:r>
            <w:r w:rsidR="005A6020">
              <w:rPr>
                <w:rFonts w:ascii="Arial" w:hAnsi="Arial" w:cs="Arial"/>
                <w:sz w:val="18"/>
                <w:szCs w:val="18"/>
              </w:rPr>
              <w:t>I</w:t>
            </w:r>
            <w:r w:rsidRPr="003F0DE3">
              <w:rPr>
                <w:rFonts w:ascii="Arial" w:hAnsi="Arial" w:cs="Arial"/>
                <w:sz w:val="18"/>
                <w:szCs w:val="18"/>
              </w:rPr>
              <w:t>NE</w:t>
            </w:r>
          </w:p>
          <w:p w14:paraId="3C92929E" w14:textId="77777777" w:rsidR="003F0DE3" w:rsidRPr="003F0DE3" w:rsidRDefault="003F0DE3" w:rsidP="003F0DE3">
            <w:pPr>
              <w:rPr>
                <w:rFonts w:ascii="Arial" w:hAnsi="Arial" w:cs="Arial"/>
                <w:sz w:val="18"/>
                <w:szCs w:val="18"/>
              </w:rPr>
            </w:pPr>
          </w:p>
          <w:p w14:paraId="5E0F791C" w14:textId="77777777" w:rsidR="003F0DE3" w:rsidRPr="003F0DE3" w:rsidRDefault="003F0DE3" w:rsidP="003F0DE3">
            <w:pPr>
              <w:rPr>
                <w:rFonts w:ascii="Arial" w:hAnsi="Arial" w:cs="Arial"/>
                <w:sz w:val="18"/>
                <w:szCs w:val="18"/>
              </w:rPr>
            </w:pPr>
            <w:r w:rsidRPr="003F0DE3">
              <w:rPr>
                <w:rFonts w:ascii="Arial" w:hAnsi="Arial" w:cs="Arial"/>
                <w:sz w:val="18"/>
                <w:szCs w:val="18"/>
              </w:rPr>
              <w:t>Tablet 150 mg (as tetrahydrochloride)</w:t>
            </w:r>
          </w:p>
          <w:p w14:paraId="12A60C7A" w14:textId="77777777" w:rsidR="003F0DE3" w:rsidRPr="003F0DE3" w:rsidRDefault="003F0DE3" w:rsidP="003F0DE3">
            <w:pPr>
              <w:rPr>
                <w:rFonts w:ascii="Arial" w:hAnsi="Arial" w:cs="Arial"/>
                <w:sz w:val="18"/>
                <w:szCs w:val="18"/>
              </w:rPr>
            </w:pPr>
          </w:p>
          <w:p w14:paraId="07396DFB" w14:textId="58D1692B" w:rsidR="003F0DE3" w:rsidRPr="003F0DE3" w:rsidRDefault="003F0DE3" w:rsidP="003F0DE3">
            <w:pPr>
              <w:rPr>
                <w:rFonts w:ascii="Arial" w:hAnsi="Arial" w:cs="Arial"/>
                <w:sz w:val="18"/>
                <w:szCs w:val="18"/>
              </w:rPr>
            </w:pPr>
            <w:r w:rsidRPr="003F0DE3">
              <w:rPr>
                <w:rFonts w:ascii="Arial" w:hAnsi="Arial" w:cs="Arial"/>
                <w:sz w:val="18"/>
                <w:szCs w:val="18"/>
              </w:rPr>
              <w:t>Cuprior</w:t>
            </w:r>
            <w:r>
              <w:rPr>
                <w:rFonts w:ascii="Arial" w:hAnsi="Arial" w:cs="Arial"/>
                <w:sz w:val="18"/>
                <w:szCs w:val="18"/>
              </w:rPr>
              <w:t>®</w:t>
            </w:r>
          </w:p>
          <w:p w14:paraId="413CD880" w14:textId="77777777" w:rsidR="003F0DE3" w:rsidRPr="003F0DE3" w:rsidRDefault="003F0DE3" w:rsidP="003F0DE3">
            <w:pPr>
              <w:rPr>
                <w:rFonts w:ascii="Arial" w:hAnsi="Arial" w:cs="Arial"/>
                <w:sz w:val="18"/>
                <w:szCs w:val="18"/>
              </w:rPr>
            </w:pPr>
          </w:p>
          <w:p w14:paraId="564A87AE" w14:textId="77777777" w:rsidR="003F0DE3" w:rsidRPr="003F0DE3" w:rsidRDefault="003F0DE3" w:rsidP="003F0DE3">
            <w:pPr>
              <w:rPr>
                <w:rFonts w:ascii="Arial" w:hAnsi="Arial" w:cs="Arial"/>
                <w:sz w:val="18"/>
                <w:szCs w:val="18"/>
              </w:rPr>
            </w:pPr>
            <w:r w:rsidRPr="003F0DE3">
              <w:rPr>
                <w:rFonts w:ascii="Arial" w:hAnsi="Arial" w:cs="Arial"/>
                <w:sz w:val="18"/>
                <w:szCs w:val="18"/>
              </w:rPr>
              <w:t>Orphalan</w:t>
            </w:r>
          </w:p>
          <w:p w14:paraId="04440E9B" w14:textId="77777777" w:rsidR="003F0DE3" w:rsidRPr="003F0DE3" w:rsidRDefault="003F0DE3" w:rsidP="003F0DE3">
            <w:pPr>
              <w:rPr>
                <w:rFonts w:ascii="Arial" w:hAnsi="Arial" w:cs="Arial"/>
                <w:sz w:val="18"/>
                <w:szCs w:val="18"/>
              </w:rPr>
            </w:pPr>
          </w:p>
          <w:p w14:paraId="690E38E1" w14:textId="41F11578" w:rsidR="00741F62" w:rsidRDefault="003F0DE3" w:rsidP="003F0DE3">
            <w:pPr>
              <w:rPr>
                <w:rFonts w:ascii="Arial" w:hAnsi="Arial" w:cs="Arial"/>
                <w:sz w:val="18"/>
                <w:szCs w:val="18"/>
              </w:rPr>
            </w:pPr>
            <w:r w:rsidRPr="003F0DE3">
              <w:rPr>
                <w:rFonts w:ascii="Arial" w:hAnsi="Arial" w:cs="Arial"/>
                <w:sz w:val="18"/>
                <w:szCs w:val="18"/>
              </w:rPr>
              <w:t>(Matters arising)</w:t>
            </w:r>
          </w:p>
        </w:tc>
        <w:tc>
          <w:tcPr>
            <w:tcW w:w="619" w:type="pct"/>
            <w:tcBorders>
              <w:top w:val="single" w:sz="4" w:space="0" w:color="auto"/>
              <w:left w:val="single" w:sz="4" w:space="0" w:color="auto"/>
              <w:right w:val="single" w:sz="4" w:space="0" w:color="auto"/>
            </w:tcBorders>
            <w:shd w:val="clear" w:color="auto" w:fill="auto"/>
            <w:vAlign w:val="center"/>
          </w:tcPr>
          <w:p w14:paraId="61A8F078" w14:textId="4084CFE1" w:rsidR="00741F62" w:rsidRPr="0067649E" w:rsidRDefault="003F0DE3" w:rsidP="000A5A82">
            <w:pPr>
              <w:widowControl w:val="0"/>
              <w:jc w:val="center"/>
              <w:rPr>
                <w:rFonts w:ascii="Arial" w:hAnsi="Arial" w:cs="Arial"/>
                <w:snapToGrid w:val="0"/>
                <w:sz w:val="18"/>
                <w:szCs w:val="18"/>
                <w:lang w:eastAsia="en-US"/>
              </w:rPr>
            </w:pPr>
            <w:r w:rsidRPr="003F0DE3">
              <w:rPr>
                <w:rFonts w:ascii="Arial" w:hAnsi="Arial" w:cs="Arial"/>
                <w:snapToGrid w:val="0"/>
                <w:sz w:val="18"/>
                <w:szCs w:val="18"/>
                <w:lang w:eastAsia="en-US"/>
              </w:rPr>
              <w:t>Wilson disease</w:t>
            </w:r>
          </w:p>
        </w:tc>
        <w:tc>
          <w:tcPr>
            <w:tcW w:w="862" w:type="pct"/>
            <w:tcBorders>
              <w:top w:val="single" w:sz="4" w:space="0" w:color="auto"/>
              <w:left w:val="nil"/>
              <w:right w:val="single" w:sz="4" w:space="0" w:color="auto"/>
            </w:tcBorders>
            <w:shd w:val="clear" w:color="auto" w:fill="auto"/>
            <w:tcMar>
              <w:top w:w="28" w:type="dxa"/>
              <w:bottom w:w="28" w:type="dxa"/>
            </w:tcMar>
            <w:vAlign w:val="center"/>
          </w:tcPr>
          <w:p w14:paraId="291E188B" w14:textId="62A0E653" w:rsidR="00741F62" w:rsidRPr="0067649E" w:rsidRDefault="003F0DE3" w:rsidP="007414B9">
            <w:pPr>
              <w:pStyle w:val="ListParagraph"/>
              <w:ind w:left="0"/>
              <w:rPr>
                <w:rFonts w:ascii="Arial" w:hAnsi="Arial" w:cs="Arial"/>
                <w:snapToGrid w:val="0"/>
                <w:sz w:val="18"/>
                <w:szCs w:val="18"/>
                <w:lang w:eastAsia="en-US"/>
              </w:rPr>
            </w:pPr>
            <w:r w:rsidRPr="003F0DE3">
              <w:rPr>
                <w:rFonts w:ascii="Arial" w:hAnsi="Arial" w:cs="Arial"/>
                <w:snapToGrid w:val="0"/>
                <w:sz w:val="18"/>
                <w:szCs w:val="18"/>
                <w:lang w:eastAsia="en-US"/>
              </w:rPr>
              <w:t>Resubmission to request a General Schedule Authority Required listing for the treatment of patients with Wilson disease who are intolerant to penicillamine.</w:t>
            </w:r>
          </w:p>
        </w:tc>
        <w:tc>
          <w:tcPr>
            <w:tcW w:w="545" w:type="pct"/>
            <w:tcBorders>
              <w:top w:val="single" w:sz="4" w:space="0" w:color="auto"/>
              <w:left w:val="single" w:sz="4" w:space="0" w:color="auto"/>
              <w:right w:val="single" w:sz="4" w:space="0" w:color="auto"/>
            </w:tcBorders>
            <w:shd w:val="clear" w:color="auto" w:fill="auto"/>
            <w:vAlign w:val="center"/>
          </w:tcPr>
          <w:p w14:paraId="02A04406" w14:textId="5AD9475D" w:rsidR="00741F62" w:rsidRDefault="003F0DE3" w:rsidP="000A5A82">
            <w:pPr>
              <w:pStyle w:val="ListParagraph"/>
              <w:ind w:left="0"/>
              <w:jc w:val="center"/>
              <w:rPr>
                <w:rFonts w:ascii="Arial" w:hAnsi="Arial" w:cs="Arial"/>
                <w:snapToGrid w:val="0"/>
                <w:sz w:val="18"/>
                <w:szCs w:val="18"/>
                <w:lang w:eastAsia="en-US"/>
              </w:rPr>
            </w:pPr>
            <w:r>
              <w:rPr>
                <w:rFonts w:ascii="Arial" w:hAnsi="Arial" w:cs="Arial"/>
                <w:snapToGrid w:val="0"/>
                <w:sz w:val="18"/>
                <w:szCs w:val="18"/>
                <w:lang w:eastAsia="en-US"/>
              </w:rPr>
              <w:t>Recommended</w:t>
            </w:r>
          </w:p>
        </w:tc>
        <w:tc>
          <w:tcPr>
            <w:tcW w:w="2113" w:type="pct"/>
            <w:tcBorders>
              <w:top w:val="single" w:sz="4" w:space="0" w:color="auto"/>
            </w:tcBorders>
            <w:shd w:val="clear" w:color="auto" w:fill="auto"/>
            <w:vAlign w:val="center"/>
          </w:tcPr>
          <w:p w14:paraId="595E3E25" w14:textId="7FD2993B" w:rsidR="00741F62" w:rsidRPr="0067649E" w:rsidRDefault="009F0A69" w:rsidP="00635314">
            <w:pPr>
              <w:spacing w:after="120"/>
              <w:rPr>
                <w:rFonts w:ascii="Arial" w:hAnsi="Arial" w:cs="Arial"/>
                <w:color w:val="000000"/>
                <w:sz w:val="18"/>
                <w:szCs w:val="18"/>
              </w:rPr>
            </w:pPr>
            <w:r>
              <w:rPr>
                <w:rFonts w:ascii="Arial" w:hAnsi="Arial" w:cs="Arial"/>
                <w:color w:val="000000"/>
                <w:sz w:val="18"/>
                <w:szCs w:val="18"/>
              </w:rPr>
              <w:t>T</w:t>
            </w:r>
            <w:r w:rsidR="003F0DE3" w:rsidRPr="003F0DE3">
              <w:rPr>
                <w:rFonts w:ascii="Arial" w:hAnsi="Arial" w:cs="Arial"/>
                <w:color w:val="000000"/>
                <w:sz w:val="18"/>
                <w:szCs w:val="18"/>
              </w:rPr>
              <w:t>he PBAC recommended the PBS listing of trientine tetrahydrochloride (4HCl) for the treatment of patients with Wilson disease who are intolerant to penicillamine/D-penicillamine. The PBAC noted that trientine dihydrochloride (2HCl) was a near market comparator and considered trientine 4HCl and trientine 2HCl to be non-inferior in terms of efficacy and safety. The PBAC considered that the cost effectiveness of trientine 4HCl could be brought into an acceptable range with a reduced price.</w:t>
            </w:r>
          </w:p>
        </w:tc>
      </w:tr>
      <w:tr w:rsidR="003F0DE3" w:rsidRPr="00687774" w14:paraId="4A7FD51C" w14:textId="77777777" w:rsidTr="00205445">
        <w:trPr>
          <w:trHeight w:val="857"/>
        </w:trPr>
        <w:tc>
          <w:tcPr>
            <w:tcW w:w="861" w:type="pct"/>
            <w:tcBorders>
              <w:top w:val="single" w:sz="4" w:space="0" w:color="auto"/>
              <w:left w:val="single" w:sz="4" w:space="0" w:color="auto"/>
              <w:right w:val="nil"/>
            </w:tcBorders>
            <w:shd w:val="clear" w:color="auto" w:fill="auto"/>
            <w:tcMar>
              <w:top w:w="28" w:type="dxa"/>
              <w:bottom w:w="28" w:type="dxa"/>
            </w:tcMar>
            <w:vAlign w:val="center"/>
          </w:tcPr>
          <w:p w14:paraId="70D45638" w14:textId="08D20AC9" w:rsidR="003F0DE3" w:rsidRPr="003F0DE3" w:rsidRDefault="003F0DE3" w:rsidP="003F0DE3">
            <w:pPr>
              <w:rPr>
                <w:rFonts w:ascii="Arial" w:hAnsi="Arial" w:cs="Arial"/>
                <w:sz w:val="18"/>
                <w:szCs w:val="18"/>
              </w:rPr>
            </w:pPr>
            <w:r w:rsidRPr="003F0DE3">
              <w:rPr>
                <w:rFonts w:ascii="Arial" w:hAnsi="Arial" w:cs="Arial"/>
                <w:sz w:val="18"/>
                <w:szCs w:val="18"/>
              </w:rPr>
              <w:t>TRIENT</w:t>
            </w:r>
            <w:r w:rsidR="005A6020">
              <w:rPr>
                <w:rFonts w:ascii="Arial" w:hAnsi="Arial" w:cs="Arial"/>
                <w:sz w:val="18"/>
                <w:szCs w:val="18"/>
              </w:rPr>
              <w:t>I</w:t>
            </w:r>
            <w:r w:rsidRPr="003F0DE3">
              <w:rPr>
                <w:rFonts w:ascii="Arial" w:hAnsi="Arial" w:cs="Arial"/>
                <w:sz w:val="18"/>
                <w:szCs w:val="18"/>
              </w:rPr>
              <w:t>NE</w:t>
            </w:r>
          </w:p>
          <w:p w14:paraId="1CFC9104" w14:textId="77777777" w:rsidR="003F0DE3" w:rsidRPr="003F0DE3" w:rsidRDefault="003F0DE3" w:rsidP="003F0DE3">
            <w:pPr>
              <w:rPr>
                <w:rFonts w:ascii="Arial" w:hAnsi="Arial" w:cs="Arial"/>
                <w:sz w:val="18"/>
                <w:szCs w:val="18"/>
              </w:rPr>
            </w:pPr>
          </w:p>
          <w:p w14:paraId="205404DF" w14:textId="77777777" w:rsidR="003F0DE3" w:rsidRPr="003F0DE3" w:rsidRDefault="003F0DE3" w:rsidP="003F0DE3">
            <w:pPr>
              <w:rPr>
                <w:rFonts w:ascii="Arial" w:hAnsi="Arial" w:cs="Arial"/>
                <w:sz w:val="18"/>
                <w:szCs w:val="18"/>
              </w:rPr>
            </w:pPr>
            <w:r w:rsidRPr="003F0DE3">
              <w:rPr>
                <w:rFonts w:ascii="Arial" w:hAnsi="Arial" w:cs="Arial"/>
                <w:sz w:val="18"/>
                <w:szCs w:val="18"/>
              </w:rPr>
              <w:t>Capsule 250 mg (as dihydrochloride)</w:t>
            </w:r>
          </w:p>
          <w:p w14:paraId="524B9E40" w14:textId="77777777" w:rsidR="003F0DE3" w:rsidRPr="003F0DE3" w:rsidRDefault="003F0DE3" w:rsidP="003F0DE3">
            <w:pPr>
              <w:rPr>
                <w:rFonts w:ascii="Arial" w:hAnsi="Arial" w:cs="Arial"/>
                <w:sz w:val="18"/>
                <w:szCs w:val="18"/>
              </w:rPr>
            </w:pPr>
          </w:p>
          <w:p w14:paraId="3A02E2C7" w14:textId="4EE4BEB4" w:rsidR="003F0DE3" w:rsidRPr="003F0DE3" w:rsidRDefault="003F0DE3" w:rsidP="003F0DE3">
            <w:pPr>
              <w:rPr>
                <w:rFonts w:ascii="Arial" w:hAnsi="Arial" w:cs="Arial"/>
                <w:sz w:val="18"/>
                <w:szCs w:val="18"/>
              </w:rPr>
            </w:pPr>
            <w:r w:rsidRPr="003F0DE3">
              <w:rPr>
                <w:rFonts w:ascii="Arial" w:hAnsi="Arial" w:cs="Arial"/>
                <w:sz w:val="18"/>
                <w:szCs w:val="18"/>
              </w:rPr>
              <w:t>Waymade</w:t>
            </w:r>
            <w:r>
              <w:rPr>
                <w:rFonts w:ascii="Arial" w:hAnsi="Arial" w:cs="Arial"/>
                <w:sz w:val="18"/>
                <w:szCs w:val="18"/>
              </w:rPr>
              <w:t>®</w:t>
            </w:r>
          </w:p>
          <w:p w14:paraId="1BC2CADB" w14:textId="77777777" w:rsidR="003F0DE3" w:rsidRPr="003F0DE3" w:rsidRDefault="003F0DE3" w:rsidP="003F0DE3">
            <w:pPr>
              <w:rPr>
                <w:rFonts w:ascii="Arial" w:hAnsi="Arial" w:cs="Arial"/>
                <w:sz w:val="18"/>
                <w:szCs w:val="18"/>
              </w:rPr>
            </w:pPr>
          </w:p>
          <w:p w14:paraId="1AECEFE1" w14:textId="77777777" w:rsidR="003F0DE3" w:rsidRPr="003F0DE3" w:rsidRDefault="003F0DE3" w:rsidP="003F0DE3">
            <w:pPr>
              <w:rPr>
                <w:rFonts w:ascii="Arial" w:hAnsi="Arial" w:cs="Arial"/>
                <w:sz w:val="18"/>
                <w:szCs w:val="18"/>
              </w:rPr>
            </w:pPr>
            <w:r w:rsidRPr="003F0DE3">
              <w:rPr>
                <w:rFonts w:ascii="Arial" w:hAnsi="Arial" w:cs="Arial"/>
                <w:sz w:val="18"/>
                <w:szCs w:val="18"/>
              </w:rPr>
              <w:t>Clinect Pty Ltd</w:t>
            </w:r>
          </w:p>
          <w:p w14:paraId="0EBB46AF" w14:textId="77777777" w:rsidR="003F0DE3" w:rsidRPr="003F0DE3" w:rsidRDefault="003F0DE3" w:rsidP="003F0DE3">
            <w:pPr>
              <w:rPr>
                <w:rFonts w:ascii="Arial" w:hAnsi="Arial" w:cs="Arial"/>
                <w:sz w:val="18"/>
                <w:szCs w:val="18"/>
              </w:rPr>
            </w:pPr>
          </w:p>
          <w:p w14:paraId="1626F5AE" w14:textId="4193670A" w:rsidR="003F0DE3" w:rsidRPr="003F0DE3" w:rsidRDefault="003F0DE3" w:rsidP="003F0DE3">
            <w:pPr>
              <w:rPr>
                <w:rFonts w:ascii="Arial" w:hAnsi="Arial" w:cs="Arial"/>
                <w:sz w:val="18"/>
                <w:szCs w:val="18"/>
              </w:rPr>
            </w:pPr>
            <w:r w:rsidRPr="003F0DE3">
              <w:rPr>
                <w:rFonts w:ascii="Arial" w:hAnsi="Arial" w:cs="Arial"/>
                <w:sz w:val="18"/>
                <w:szCs w:val="18"/>
              </w:rPr>
              <w:t>(Matters arising)</w:t>
            </w:r>
          </w:p>
        </w:tc>
        <w:tc>
          <w:tcPr>
            <w:tcW w:w="619" w:type="pct"/>
            <w:tcBorders>
              <w:top w:val="single" w:sz="4" w:space="0" w:color="auto"/>
              <w:left w:val="single" w:sz="4" w:space="0" w:color="auto"/>
              <w:right w:val="single" w:sz="4" w:space="0" w:color="auto"/>
            </w:tcBorders>
            <w:shd w:val="clear" w:color="auto" w:fill="auto"/>
            <w:vAlign w:val="center"/>
          </w:tcPr>
          <w:p w14:paraId="6FABDAB7" w14:textId="37EA7A5A" w:rsidR="003F0DE3" w:rsidRPr="003F0DE3" w:rsidRDefault="003F0DE3" w:rsidP="000A5A82">
            <w:pPr>
              <w:widowControl w:val="0"/>
              <w:jc w:val="center"/>
              <w:rPr>
                <w:rFonts w:ascii="Arial" w:hAnsi="Arial" w:cs="Arial"/>
                <w:snapToGrid w:val="0"/>
                <w:sz w:val="18"/>
                <w:szCs w:val="18"/>
                <w:lang w:eastAsia="en-US"/>
              </w:rPr>
            </w:pPr>
            <w:r w:rsidRPr="003F0DE3">
              <w:rPr>
                <w:rFonts w:ascii="Arial" w:hAnsi="Arial" w:cs="Arial"/>
                <w:snapToGrid w:val="0"/>
                <w:sz w:val="18"/>
                <w:szCs w:val="18"/>
                <w:lang w:eastAsia="en-US"/>
              </w:rPr>
              <w:lastRenderedPageBreak/>
              <w:t>Wilson disease</w:t>
            </w:r>
          </w:p>
        </w:tc>
        <w:tc>
          <w:tcPr>
            <w:tcW w:w="862" w:type="pct"/>
            <w:tcBorders>
              <w:top w:val="single" w:sz="4" w:space="0" w:color="auto"/>
              <w:left w:val="nil"/>
              <w:right w:val="single" w:sz="4" w:space="0" w:color="auto"/>
            </w:tcBorders>
            <w:shd w:val="clear" w:color="auto" w:fill="auto"/>
            <w:tcMar>
              <w:top w:w="28" w:type="dxa"/>
              <w:bottom w:w="28" w:type="dxa"/>
            </w:tcMar>
            <w:vAlign w:val="center"/>
          </w:tcPr>
          <w:p w14:paraId="2EF29BC3" w14:textId="27B22610" w:rsidR="003F0DE3" w:rsidRPr="003F0DE3" w:rsidRDefault="003F0DE3" w:rsidP="007414B9">
            <w:pPr>
              <w:pStyle w:val="ListParagraph"/>
              <w:ind w:left="0"/>
              <w:rPr>
                <w:rFonts w:ascii="Arial" w:hAnsi="Arial" w:cs="Arial"/>
                <w:snapToGrid w:val="0"/>
                <w:sz w:val="18"/>
                <w:szCs w:val="18"/>
                <w:lang w:eastAsia="en-US"/>
              </w:rPr>
            </w:pPr>
            <w:r w:rsidRPr="003F0DE3">
              <w:rPr>
                <w:rFonts w:ascii="Arial" w:hAnsi="Arial" w:cs="Arial"/>
                <w:snapToGrid w:val="0"/>
                <w:sz w:val="18"/>
                <w:szCs w:val="18"/>
                <w:lang w:eastAsia="en-US"/>
              </w:rPr>
              <w:t xml:space="preserve">Resubmission to request a General Schedule Authority Required listing for the treatment of patients with </w:t>
            </w:r>
            <w:r w:rsidRPr="003F0DE3">
              <w:rPr>
                <w:rFonts w:ascii="Arial" w:hAnsi="Arial" w:cs="Arial"/>
                <w:snapToGrid w:val="0"/>
                <w:sz w:val="18"/>
                <w:szCs w:val="18"/>
                <w:lang w:eastAsia="en-US"/>
              </w:rPr>
              <w:lastRenderedPageBreak/>
              <w:t>Wilson disease who are intolerant to penicillamine.</w:t>
            </w:r>
          </w:p>
        </w:tc>
        <w:tc>
          <w:tcPr>
            <w:tcW w:w="545" w:type="pct"/>
            <w:tcBorders>
              <w:top w:val="single" w:sz="4" w:space="0" w:color="auto"/>
              <w:left w:val="single" w:sz="4" w:space="0" w:color="auto"/>
              <w:right w:val="single" w:sz="4" w:space="0" w:color="auto"/>
            </w:tcBorders>
            <w:shd w:val="clear" w:color="auto" w:fill="auto"/>
            <w:vAlign w:val="center"/>
          </w:tcPr>
          <w:p w14:paraId="2C4E564B" w14:textId="577C3223" w:rsidR="003F0DE3" w:rsidRDefault="003F0DE3" w:rsidP="000A5A82">
            <w:pPr>
              <w:pStyle w:val="ListParagraph"/>
              <w:ind w:left="0"/>
              <w:jc w:val="center"/>
              <w:rPr>
                <w:rFonts w:ascii="Arial" w:hAnsi="Arial" w:cs="Arial"/>
                <w:snapToGrid w:val="0"/>
                <w:sz w:val="18"/>
                <w:szCs w:val="18"/>
                <w:lang w:eastAsia="en-US"/>
              </w:rPr>
            </w:pPr>
            <w:r>
              <w:rPr>
                <w:rFonts w:ascii="Arial" w:hAnsi="Arial" w:cs="Arial"/>
                <w:snapToGrid w:val="0"/>
                <w:sz w:val="18"/>
                <w:szCs w:val="18"/>
                <w:lang w:eastAsia="en-US"/>
              </w:rPr>
              <w:lastRenderedPageBreak/>
              <w:t>Recommended</w:t>
            </w:r>
          </w:p>
        </w:tc>
        <w:tc>
          <w:tcPr>
            <w:tcW w:w="2113" w:type="pct"/>
            <w:tcBorders>
              <w:top w:val="single" w:sz="4" w:space="0" w:color="auto"/>
            </w:tcBorders>
            <w:shd w:val="clear" w:color="auto" w:fill="auto"/>
            <w:vAlign w:val="center"/>
          </w:tcPr>
          <w:p w14:paraId="5451358A" w14:textId="350A3207" w:rsidR="003F0DE3" w:rsidRPr="003F0DE3" w:rsidRDefault="001B5C7A" w:rsidP="00635314">
            <w:pPr>
              <w:spacing w:after="120"/>
              <w:rPr>
                <w:rFonts w:ascii="Arial" w:hAnsi="Arial" w:cs="Arial"/>
                <w:color w:val="000000"/>
                <w:sz w:val="18"/>
                <w:szCs w:val="18"/>
              </w:rPr>
            </w:pPr>
            <w:r>
              <w:rPr>
                <w:rFonts w:ascii="Arial" w:hAnsi="Arial" w:cs="Arial"/>
                <w:color w:val="000000"/>
                <w:sz w:val="18"/>
                <w:szCs w:val="18"/>
              </w:rPr>
              <w:t>T</w:t>
            </w:r>
            <w:r w:rsidR="003F0DE3" w:rsidRPr="003F0DE3">
              <w:rPr>
                <w:rFonts w:ascii="Arial" w:hAnsi="Arial" w:cs="Arial"/>
                <w:color w:val="000000"/>
                <w:sz w:val="18"/>
                <w:szCs w:val="18"/>
              </w:rPr>
              <w:t>he PBAC recommended the PBS listing of trientine dihydrochloride for the treatment of patients with Wilson disease who are intolerant to penicillamine/D-penicillamine. The PBAC considered that the price offered in the revised pricing proposal was acceptable.</w:t>
            </w:r>
          </w:p>
        </w:tc>
      </w:tr>
    </w:tbl>
    <w:p w14:paraId="4081BEC2" w14:textId="635180E2" w:rsidR="00AC2F56" w:rsidRPr="001D4E5E" w:rsidRDefault="00AC2F56">
      <w:pPr>
        <w:rPr>
          <w:rFonts w:asciiTheme="minorHAnsi" w:hAnsiTheme="minorHAnsi" w:cstheme="minorHAnsi"/>
          <w:sz w:val="18"/>
          <w:szCs w:val="18"/>
          <w:lang w:val="en-US"/>
        </w:rPr>
      </w:pPr>
    </w:p>
    <w:p w14:paraId="50C821D7" w14:textId="55F695CA" w:rsidR="003835EB" w:rsidRDefault="003835EB">
      <w:pPr>
        <w:rPr>
          <w:rFonts w:asciiTheme="minorHAnsi" w:hAnsiTheme="minorHAnsi" w:cstheme="minorHAnsi"/>
          <w:sz w:val="18"/>
          <w:szCs w:val="18"/>
          <w:lang w:val="en-US"/>
        </w:rPr>
      </w:pPr>
      <w:r>
        <w:rPr>
          <w:rFonts w:asciiTheme="minorHAnsi" w:hAnsiTheme="minorHAnsi" w:cstheme="minorHAnsi"/>
          <w:sz w:val="18"/>
          <w:szCs w:val="18"/>
          <w:lang w:val="en-US"/>
        </w:rPr>
        <w:br w:type="page"/>
      </w:r>
    </w:p>
    <w:p w14:paraId="3DCF312E" w14:textId="51DED862" w:rsidR="00ED6AE3" w:rsidRDefault="00ED6AE3">
      <w:pPr>
        <w:rPr>
          <w:rFonts w:ascii="Arial" w:hAnsi="Arial" w:cs="Arial"/>
          <w:i/>
          <w:iCs/>
          <w:sz w:val="18"/>
          <w:szCs w:val="18"/>
        </w:rPr>
      </w:pPr>
      <w:r>
        <w:rPr>
          <w:rFonts w:ascii="Arial" w:hAnsi="Arial" w:cs="Arial"/>
          <w:i/>
          <w:iCs/>
          <w:sz w:val="18"/>
          <w:szCs w:val="18"/>
        </w:rPr>
        <w:lastRenderedPageBreak/>
        <w:t>Non-s</w:t>
      </w:r>
      <w:r w:rsidRPr="00ED6AE3">
        <w:rPr>
          <w:rFonts w:ascii="Arial" w:hAnsi="Arial" w:cs="Arial"/>
          <w:i/>
          <w:iCs/>
          <w:sz w:val="18"/>
          <w:szCs w:val="18"/>
        </w:rPr>
        <w:t>ubmission items</w:t>
      </w:r>
    </w:p>
    <w:p w14:paraId="305BBCEA" w14:textId="77777777" w:rsidR="00ED6AE3" w:rsidRDefault="00ED6AE3">
      <w:pPr>
        <w:rPr>
          <w:rFonts w:asciiTheme="minorHAnsi" w:hAnsiTheme="minorHAnsi" w:cstheme="minorHAnsi"/>
          <w:sz w:val="18"/>
          <w:szCs w:val="18"/>
          <w:lang w:val="en-US"/>
        </w:rPr>
      </w:pPr>
    </w:p>
    <w:tbl>
      <w:tblPr>
        <w:tblW w:w="5003" w:type="pct"/>
        <w:tblLayout w:type="fixed"/>
        <w:tblLook w:val="04A0" w:firstRow="1" w:lastRow="0" w:firstColumn="1" w:lastColumn="0" w:noHBand="0" w:noVBand="1"/>
      </w:tblPr>
      <w:tblGrid>
        <w:gridCol w:w="2688"/>
        <w:gridCol w:w="1700"/>
        <w:gridCol w:w="2691"/>
        <w:gridCol w:w="1703"/>
        <w:gridCol w:w="6615"/>
      </w:tblGrid>
      <w:tr w:rsidR="003835EB" w:rsidRPr="00A159CA" w14:paraId="6ADE83BF" w14:textId="77777777" w:rsidTr="000A5A82">
        <w:trPr>
          <w:cantSplit/>
          <w:trHeight w:val="58"/>
          <w:tblHeader/>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5E0B65F2" w14:textId="77777777" w:rsidR="003835EB" w:rsidRPr="00A159CA" w:rsidRDefault="003835EB" w:rsidP="000A5A82">
            <w:pPr>
              <w:keepLines/>
              <w:widowControl w:val="0"/>
              <w:spacing w:after="120"/>
              <w:rPr>
                <w:rFonts w:ascii="Arial" w:hAnsi="Arial" w:cs="Arial"/>
                <w:b/>
                <w:sz w:val="18"/>
                <w:szCs w:val="18"/>
              </w:rPr>
            </w:pPr>
            <w:bookmarkStart w:id="0" w:name="_Hlk84500855"/>
            <w:r w:rsidRPr="00A159CA">
              <w:rPr>
                <w:rFonts w:ascii="Arial" w:hAnsi="Arial" w:cs="Arial"/>
                <w:b/>
                <w:sz w:val="18"/>
                <w:szCs w:val="18"/>
              </w:rPr>
              <w:t>DRUG NAME, FORM(S), STRENGTH(S), SPONSOR, TYPE OF SUBMISSION</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6328A465" w14:textId="581DD7E1" w:rsidR="003835EB" w:rsidRPr="00A159CA" w:rsidRDefault="003835EB" w:rsidP="00874475">
            <w:pPr>
              <w:keepLines/>
              <w:widowControl w:val="0"/>
              <w:spacing w:after="120"/>
              <w:jc w:val="center"/>
              <w:rPr>
                <w:rFonts w:ascii="Arial" w:hAnsi="Arial" w:cs="Arial"/>
                <w:b/>
                <w:sz w:val="18"/>
                <w:szCs w:val="18"/>
              </w:rPr>
            </w:pPr>
            <w:r w:rsidRPr="00A159CA">
              <w:rPr>
                <w:rFonts w:ascii="Arial" w:hAnsi="Arial" w:cs="Arial"/>
                <w:b/>
                <w:sz w:val="18"/>
                <w:szCs w:val="18"/>
              </w:rPr>
              <w:t>DRUG TYPE AND USE</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9379879" w14:textId="77777777" w:rsidR="003835EB" w:rsidRPr="00A159CA" w:rsidRDefault="003835EB" w:rsidP="007648A0">
            <w:pPr>
              <w:keepLines/>
              <w:widowControl w:val="0"/>
              <w:spacing w:after="120"/>
              <w:jc w:val="center"/>
              <w:rPr>
                <w:rFonts w:ascii="Arial" w:hAnsi="Arial" w:cs="Arial"/>
                <w:b/>
                <w:sz w:val="18"/>
                <w:szCs w:val="18"/>
              </w:rPr>
            </w:pPr>
            <w:r w:rsidRPr="00A159CA">
              <w:rPr>
                <w:rFonts w:ascii="Arial" w:hAnsi="Arial" w:cs="Arial"/>
                <w:b/>
                <w:sz w:val="18"/>
                <w:szCs w:val="18"/>
              </w:rPr>
              <w:t>LISTING REQUESTED BY SPONSOR / PURPOSE OF SUBMISSION</w:t>
            </w:r>
          </w:p>
        </w:tc>
        <w:tc>
          <w:tcPr>
            <w:tcW w:w="27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94810" w14:textId="7E2818FB" w:rsidR="003835EB" w:rsidRPr="00A159CA" w:rsidRDefault="003835EB" w:rsidP="007648A0">
            <w:pPr>
              <w:keepLines/>
              <w:spacing w:after="120"/>
              <w:jc w:val="center"/>
              <w:rPr>
                <w:rFonts w:ascii="Arial" w:hAnsi="Arial" w:cs="Arial"/>
                <w:b/>
                <w:sz w:val="18"/>
                <w:szCs w:val="18"/>
              </w:rPr>
            </w:pPr>
            <w:r w:rsidRPr="00A159CA">
              <w:rPr>
                <w:rFonts w:ascii="Arial" w:hAnsi="Arial" w:cs="Arial"/>
                <w:b/>
                <w:sz w:val="18"/>
                <w:szCs w:val="18"/>
              </w:rPr>
              <w:t>PBAC OUTCOME</w:t>
            </w:r>
          </w:p>
        </w:tc>
      </w:tr>
      <w:tr w:rsidR="00205445" w:rsidRPr="00D2401D" w14:paraId="1E4FD751" w14:textId="77777777" w:rsidTr="002C77D1">
        <w:trPr>
          <w:cantSplit/>
          <w:trHeight w:val="58"/>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B1A1F93" w14:textId="737A621D" w:rsidR="00205445" w:rsidRDefault="00205445" w:rsidP="00062335">
            <w:pPr>
              <w:rPr>
                <w:rFonts w:ascii="Arial" w:hAnsi="Arial" w:cs="Arial"/>
                <w:sz w:val="18"/>
                <w:szCs w:val="18"/>
              </w:rPr>
            </w:pPr>
            <w:r>
              <w:rPr>
                <w:rFonts w:ascii="Arial" w:hAnsi="Arial" w:cs="Arial"/>
                <w:sz w:val="18"/>
                <w:szCs w:val="18"/>
              </w:rPr>
              <w:t>MELANOMA SEQUENCING OF TREATMENT</w:t>
            </w:r>
          </w:p>
          <w:p w14:paraId="3912E999" w14:textId="25985E30" w:rsidR="00205445" w:rsidRDefault="00205445" w:rsidP="00062335">
            <w:pPr>
              <w:rPr>
                <w:rFonts w:ascii="Arial" w:hAnsi="Arial" w:cs="Arial"/>
                <w:sz w:val="18"/>
                <w:szCs w:val="18"/>
              </w:rPr>
            </w:pPr>
          </w:p>
          <w:p w14:paraId="6162157A" w14:textId="064054AF" w:rsidR="00205445" w:rsidRDefault="00205445" w:rsidP="00062335">
            <w:pPr>
              <w:rPr>
                <w:rFonts w:ascii="Arial" w:hAnsi="Arial" w:cs="Arial"/>
                <w:sz w:val="18"/>
                <w:szCs w:val="18"/>
              </w:rPr>
            </w:pPr>
            <w:r>
              <w:rPr>
                <w:rFonts w:ascii="Arial" w:hAnsi="Arial" w:cs="Arial"/>
                <w:sz w:val="18"/>
                <w:szCs w:val="18"/>
              </w:rPr>
              <w:t>Various brands</w:t>
            </w:r>
          </w:p>
          <w:p w14:paraId="6CFD6C1A" w14:textId="512919EE" w:rsidR="00205445" w:rsidRDefault="00205445" w:rsidP="00062335">
            <w:pPr>
              <w:rPr>
                <w:rFonts w:ascii="Arial" w:hAnsi="Arial" w:cs="Arial"/>
                <w:sz w:val="18"/>
                <w:szCs w:val="18"/>
              </w:rPr>
            </w:pPr>
          </w:p>
          <w:p w14:paraId="30D49C4C" w14:textId="00BF1148" w:rsidR="00205445" w:rsidRDefault="00205445" w:rsidP="00062335">
            <w:pPr>
              <w:rPr>
                <w:rFonts w:ascii="Arial" w:hAnsi="Arial" w:cs="Arial"/>
                <w:sz w:val="18"/>
                <w:szCs w:val="18"/>
              </w:rPr>
            </w:pPr>
            <w:r>
              <w:rPr>
                <w:rFonts w:ascii="Arial" w:hAnsi="Arial" w:cs="Arial"/>
                <w:sz w:val="18"/>
                <w:szCs w:val="18"/>
              </w:rPr>
              <w:t>Various sponsors</w:t>
            </w:r>
          </w:p>
          <w:p w14:paraId="3D06A4F0" w14:textId="42F2645A" w:rsidR="00205445" w:rsidRDefault="00205445" w:rsidP="00062335">
            <w:pPr>
              <w:rPr>
                <w:rFonts w:ascii="Arial" w:hAnsi="Arial" w:cs="Arial"/>
                <w:sz w:val="18"/>
                <w:szCs w:val="18"/>
              </w:rPr>
            </w:pPr>
          </w:p>
          <w:p w14:paraId="51D2DB21" w14:textId="4C17F13D" w:rsidR="00205445" w:rsidRDefault="00205445" w:rsidP="00062335">
            <w:pPr>
              <w:rPr>
                <w:rFonts w:ascii="Arial" w:hAnsi="Arial" w:cs="Arial"/>
                <w:sz w:val="18"/>
                <w:szCs w:val="18"/>
              </w:rPr>
            </w:pPr>
            <w:r>
              <w:rPr>
                <w:rFonts w:ascii="Arial" w:hAnsi="Arial" w:cs="Arial"/>
                <w:sz w:val="18"/>
                <w:szCs w:val="18"/>
              </w:rPr>
              <w:t>(Change to PBS listing)</w:t>
            </w:r>
          </w:p>
          <w:p w14:paraId="0E4CDE5D" w14:textId="543A0B5D" w:rsidR="00205445" w:rsidRPr="00FF3385" w:rsidRDefault="00205445" w:rsidP="00062335">
            <w:pPr>
              <w:rPr>
                <w:rFonts w:ascii="Arial" w:hAnsi="Arial" w:cs="Arial"/>
                <w:sz w:val="18"/>
                <w:szCs w:val="18"/>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35FB59E5" w14:textId="6D905C1E" w:rsidR="00205445" w:rsidRPr="00FF3385" w:rsidRDefault="00205445" w:rsidP="00952ADE">
            <w:pPr>
              <w:keepLines/>
              <w:widowControl w:val="0"/>
              <w:spacing w:after="120"/>
              <w:jc w:val="center"/>
              <w:rPr>
                <w:rFonts w:ascii="Arial" w:hAnsi="Arial" w:cs="Arial"/>
                <w:sz w:val="18"/>
                <w:szCs w:val="18"/>
              </w:rPr>
            </w:pPr>
            <w:r w:rsidRPr="00205445">
              <w:rPr>
                <w:rFonts w:ascii="Arial" w:hAnsi="Arial" w:cs="Arial"/>
                <w:sz w:val="18"/>
                <w:szCs w:val="18"/>
              </w:rPr>
              <w:t>Immunotherapies and BRAF inhibitors in metastatic melanoma</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6B4844E" w14:textId="13F2A83F" w:rsidR="00205445" w:rsidRPr="00FF3385" w:rsidRDefault="00205445" w:rsidP="00FF3385">
            <w:pPr>
              <w:keepLines/>
              <w:widowControl w:val="0"/>
              <w:spacing w:after="120"/>
              <w:rPr>
                <w:rFonts w:ascii="Arial" w:hAnsi="Arial" w:cs="Arial"/>
                <w:snapToGrid w:val="0"/>
                <w:sz w:val="18"/>
                <w:szCs w:val="18"/>
                <w:lang w:eastAsia="en-US"/>
              </w:rPr>
            </w:pPr>
            <w:r w:rsidRPr="00205445">
              <w:rPr>
                <w:rFonts w:ascii="Arial" w:hAnsi="Arial" w:cs="Arial"/>
                <w:snapToGrid w:val="0"/>
                <w:sz w:val="18"/>
                <w:szCs w:val="18"/>
                <w:lang w:eastAsia="en-US"/>
              </w:rPr>
              <w:t>To review the sequencing of immunotherapies and BRAF inhibitors in metastatic melanoma.</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56445D35" w14:textId="21B8CA3A" w:rsidR="00205445" w:rsidRDefault="00205445" w:rsidP="000A5A82">
            <w:pPr>
              <w:keepLines/>
              <w:spacing w:after="120"/>
              <w:jc w:val="center"/>
              <w:rPr>
                <w:rFonts w:ascii="Arial" w:hAnsi="Arial" w:cs="Arial"/>
                <w:color w:val="000000"/>
                <w:sz w:val="18"/>
                <w:szCs w:val="21"/>
                <w:shd w:val="clear" w:color="auto" w:fill="FFFFFF"/>
              </w:rPr>
            </w:pPr>
            <w:r>
              <w:rPr>
                <w:rFonts w:ascii="Arial" w:hAnsi="Arial" w:cs="Arial"/>
                <w:color w:val="000000"/>
                <w:sz w:val="18"/>
                <w:szCs w:val="21"/>
                <w:shd w:val="clear" w:color="auto" w:fill="FFFFFF"/>
              </w:rPr>
              <w:t>Noted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4BC57434" w14:textId="1C4FECA6" w:rsidR="00205445" w:rsidRPr="00205445" w:rsidRDefault="00205445" w:rsidP="00205445">
            <w:pPr>
              <w:keepLines/>
              <w:spacing w:after="120"/>
              <w:rPr>
                <w:rFonts w:ascii="Arial" w:hAnsi="Arial" w:cs="Arial"/>
                <w:color w:val="000000"/>
                <w:sz w:val="18"/>
                <w:szCs w:val="21"/>
                <w:shd w:val="clear" w:color="auto" w:fill="FFFFFF"/>
              </w:rPr>
            </w:pPr>
            <w:r w:rsidRPr="00205445">
              <w:rPr>
                <w:rFonts w:ascii="Arial" w:hAnsi="Arial" w:cs="Arial"/>
                <w:color w:val="000000"/>
                <w:sz w:val="18"/>
                <w:szCs w:val="21"/>
                <w:shd w:val="clear" w:color="auto" w:fill="FFFFFF"/>
              </w:rPr>
              <w:t>The PBAC noted that the sponsor of nivolumab with ipilimumab, Bristol-Myers Squibb, provided the requested data relating to the DREAMSeq and SECOMBIT trials regarding the sequencing of immunotherapies and BRAF-inhibitors in the treatment of BRAF 600 mutant positive (BRAF+) metastatic melanoma.</w:t>
            </w:r>
          </w:p>
          <w:p w14:paraId="17B88EED" w14:textId="52FFDBDB" w:rsidR="00205445" w:rsidRPr="00FF3385" w:rsidRDefault="00205445" w:rsidP="00205445">
            <w:pPr>
              <w:keepLines/>
              <w:spacing w:after="120"/>
              <w:rPr>
                <w:rFonts w:ascii="Arial" w:hAnsi="Arial" w:cs="Arial"/>
                <w:color w:val="000000"/>
                <w:sz w:val="18"/>
                <w:szCs w:val="21"/>
                <w:shd w:val="clear" w:color="auto" w:fill="FFFFFF"/>
              </w:rPr>
            </w:pPr>
            <w:r w:rsidRPr="00205445">
              <w:rPr>
                <w:rFonts w:ascii="Arial" w:hAnsi="Arial" w:cs="Arial"/>
                <w:color w:val="000000"/>
                <w:sz w:val="18"/>
                <w:szCs w:val="21"/>
                <w:shd w:val="clear" w:color="auto" w:fill="FFFFFF"/>
              </w:rPr>
              <w:t>The PBAC noted that the recommendation at the November 2019 meeting to expand the restrictions for immunotherapies and BRAF-inhibitors to allow clinicians to choose the optimal sequencing of therapy based on their patient’s individual circumstances was supported by the new trial data provided.</w:t>
            </w:r>
          </w:p>
        </w:tc>
      </w:tr>
      <w:tr w:rsidR="00062335" w:rsidRPr="00D2401D" w14:paraId="6933D7F3" w14:textId="77777777" w:rsidTr="000A5A82">
        <w:trPr>
          <w:cantSplit/>
          <w:trHeight w:val="58"/>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42D6C18" w14:textId="77777777" w:rsidR="00FF3385" w:rsidRPr="00FF3385" w:rsidRDefault="00FF3385" w:rsidP="00062335">
            <w:pPr>
              <w:rPr>
                <w:rFonts w:ascii="Arial" w:hAnsi="Arial" w:cs="Arial"/>
                <w:sz w:val="18"/>
                <w:szCs w:val="18"/>
              </w:rPr>
            </w:pPr>
            <w:r w:rsidRPr="00FF3385">
              <w:rPr>
                <w:rFonts w:ascii="Arial" w:hAnsi="Arial" w:cs="Arial"/>
                <w:sz w:val="18"/>
                <w:szCs w:val="18"/>
              </w:rPr>
              <w:lastRenderedPageBreak/>
              <w:t xml:space="preserve">NICOTINE REPLACEMENT THERAPY </w:t>
            </w:r>
          </w:p>
          <w:p w14:paraId="18714F46" w14:textId="77777777" w:rsidR="00FF3385" w:rsidRPr="00FF3385" w:rsidRDefault="00FF3385" w:rsidP="00062335">
            <w:pPr>
              <w:rPr>
                <w:rFonts w:ascii="Arial" w:hAnsi="Arial" w:cs="Arial"/>
                <w:sz w:val="18"/>
                <w:szCs w:val="18"/>
              </w:rPr>
            </w:pPr>
          </w:p>
          <w:p w14:paraId="3E3DC864" w14:textId="677BEE49" w:rsidR="00FF3385" w:rsidRPr="00FF3385" w:rsidRDefault="00FF3385" w:rsidP="00062335">
            <w:pPr>
              <w:rPr>
                <w:rFonts w:ascii="Arial" w:hAnsi="Arial" w:cs="Arial"/>
                <w:sz w:val="18"/>
                <w:szCs w:val="18"/>
              </w:rPr>
            </w:pPr>
            <w:r w:rsidRPr="00FF3385">
              <w:rPr>
                <w:rFonts w:ascii="Arial" w:hAnsi="Arial" w:cs="Arial"/>
                <w:sz w:val="18"/>
                <w:szCs w:val="18"/>
              </w:rPr>
              <w:t xml:space="preserve">Various forms </w:t>
            </w:r>
          </w:p>
          <w:p w14:paraId="479CDA9F" w14:textId="77777777" w:rsidR="00FF3385" w:rsidRPr="00FF3385" w:rsidRDefault="00FF3385" w:rsidP="00062335">
            <w:pPr>
              <w:rPr>
                <w:rFonts w:ascii="Arial" w:hAnsi="Arial" w:cs="Arial"/>
                <w:sz w:val="18"/>
                <w:szCs w:val="18"/>
              </w:rPr>
            </w:pPr>
          </w:p>
          <w:p w14:paraId="2CA4515A" w14:textId="77777777" w:rsidR="00FF3385" w:rsidRPr="00FF3385" w:rsidRDefault="00FF3385" w:rsidP="00062335">
            <w:pPr>
              <w:rPr>
                <w:rFonts w:ascii="Arial" w:hAnsi="Arial" w:cs="Arial"/>
                <w:sz w:val="18"/>
                <w:szCs w:val="18"/>
              </w:rPr>
            </w:pPr>
            <w:r w:rsidRPr="00FF3385">
              <w:rPr>
                <w:rFonts w:ascii="Arial" w:hAnsi="Arial" w:cs="Arial"/>
                <w:sz w:val="18"/>
                <w:szCs w:val="18"/>
              </w:rPr>
              <w:t xml:space="preserve">Various sponsors </w:t>
            </w:r>
          </w:p>
          <w:p w14:paraId="2636483D" w14:textId="77777777" w:rsidR="00FF3385" w:rsidRPr="00FF3385" w:rsidRDefault="00FF3385" w:rsidP="00062335">
            <w:pPr>
              <w:rPr>
                <w:rFonts w:ascii="Arial" w:hAnsi="Arial" w:cs="Arial"/>
                <w:sz w:val="18"/>
                <w:szCs w:val="18"/>
              </w:rPr>
            </w:pPr>
          </w:p>
          <w:p w14:paraId="7C359984" w14:textId="141ADCBC" w:rsidR="00FF3385" w:rsidRDefault="00FF3385" w:rsidP="00062335">
            <w:pPr>
              <w:rPr>
                <w:rFonts w:ascii="Arial" w:hAnsi="Arial" w:cs="Arial"/>
                <w:sz w:val="18"/>
                <w:szCs w:val="18"/>
              </w:rPr>
            </w:pPr>
            <w:r w:rsidRPr="00FF3385">
              <w:rPr>
                <w:rFonts w:ascii="Arial" w:hAnsi="Arial" w:cs="Arial"/>
                <w:sz w:val="18"/>
                <w:szCs w:val="18"/>
              </w:rPr>
              <w:t xml:space="preserve">BUPROPION </w:t>
            </w:r>
          </w:p>
          <w:p w14:paraId="0FB33BF1" w14:textId="77777777" w:rsidR="00FF3385" w:rsidRDefault="00FF3385" w:rsidP="00062335">
            <w:pPr>
              <w:rPr>
                <w:rFonts w:ascii="Arial" w:hAnsi="Arial" w:cs="Arial"/>
                <w:sz w:val="18"/>
                <w:szCs w:val="18"/>
              </w:rPr>
            </w:pPr>
          </w:p>
          <w:p w14:paraId="001A6FF9" w14:textId="6592CDDE" w:rsidR="00FF3385" w:rsidRPr="00FF3385" w:rsidRDefault="00FF3385" w:rsidP="00062335">
            <w:pPr>
              <w:rPr>
                <w:rFonts w:ascii="Arial" w:hAnsi="Arial" w:cs="Arial"/>
                <w:sz w:val="18"/>
                <w:szCs w:val="18"/>
              </w:rPr>
            </w:pPr>
            <w:r w:rsidRPr="00FF3385">
              <w:rPr>
                <w:rFonts w:ascii="Arial" w:hAnsi="Arial" w:cs="Arial"/>
                <w:sz w:val="18"/>
                <w:szCs w:val="18"/>
              </w:rPr>
              <w:t xml:space="preserve">VARENICLINE </w:t>
            </w:r>
          </w:p>
          <w:p w14:paraId="4FC4800D" w14:textId="77777777" w:rsidR="00FF3385" w:rsidRPr="00FF3385" w:rsidRDefault="00FF3385" w:rsidP="00062335">
            <w:pPr>
              <w:rPr>
                <w:rFonts w:ascii="Arial" w:hAnsi="Arial" w:cs="Arial"/>
                <w:sz w:val="18"/>
                <w:szCs w:val="18"/>
              </w:rPr>
            </w:pPr>
          </w:p>
          <w:p w14:paraId="58DF6403" w14:textId="77777777" w:rsidR="00FF3385" w:rsidRPr="00FF3385" w:rsidRDefault="00FF3385" w:rsidP="00062335">
            <w:pPr>
              <w:rPr>
                <w:rFonts w:ascii="Arial" w:hAnsi="Arial" w:cs="Arial"/>
                <w:sz w:val="18"/>
                <w:szCs w:val="18"/>
              </w:rPr>
            </w:pPr>
            <w:r w:rsidRPr="00FF3385">
              <w:rPr>
                <w:rFonts w:ascii="Arial" w:hAnsi="Arial" w:cs="Arial"/>
                <w:sz w:val="18"/>
                <w:szCs w:val="18"/>
              </w:rPr>
              <w:t xml:space="preserve">All listed brands </w:t>
            </w:r>
          </w:p>
          <w:p w14:paraId="3B46DC73" w14:textId="77777777" w:rsidR="00FF3385" w:rsidRPr="00FF3385" w:rsidRDefault="00FF3385" w:rsidP="00062335">
            <w:pPr>
              <w:rPr>
                <w:rFonts w:ascii="Arial" w:hAnsi="Arial" w:cs="Arial"/>
                <w:sz w:val="18"/>
                <w:szCs w:val="18"/>
              </w:rPr>
            </w:pPr>
          </w:p>
          <w:p w14:paraId="695911ED" w14:textId="77777777" w:rsidR="00FF3385" w:rsidRPr="00FF3385" w:rsidRDefault="00FF3385" w:rsidP="00062335">
            <w:pPr>
              <w:rPr>
                <w:rFonts w:ascii="Arial" w:hAnsi="Arial" w:cs="Arial"/>
                <w:sz w:val="18"/>
                <w:szCs w:val="18"/>
              </w:rPr>
            </w:pPr>
            <w:r w:rsidRPr="00FF3385">
              <w:rPr>
                <w:rFonts w:ascii="Arial" w:hAnsi="Arial" w:cs="Arial"/>
                <w:sz w:val="18"/>
                <w:szCs w:val="18"/>
              </w:rPr>
              <w:t xml:space="preserve">Various sponsors </w:t>
            </w:r>
          </w:p>
          <w:p w14:paraId="51DDC16B" w14:textId="77777777" w:rsidR="00FF3385" w:rsidRPr="00FF3385" w:rsidRDefault="00FF3385" w:rsidP="00062335">
            <w:pPr>
              <w:rPr>
                <w:rFonts w:ascii="Arial" w:hAnsi="Arial" w:cs="Arial"/>
                <w:sz w:val="18"/>
                <w:szCs w:val="18"/>
              </w:rPr>
            </w:pPr>
          </w:p>
          <w:p w14:paraId="60891A2D" w14:textId="19119069" w:rsidR="00062335" w:rsidRDefault="00FF3385" w:rsidP="00062335">
            <w:pPr>
              <w:rPr>
                <w:rFonts w:ascii="Arial" w:hAnsi="Arial" w:cs="Arial"/>
                <w:sz w:val="18"/>
                <w:szCs w:val="18"/>
              </w:rPr>
            </w:pPr>
            <w:r w:rsidRPr="00FF3385">
              <w:rPr>
                <w:rFonts w:ascii="Arial" w:hAnsi="Arial" w:cs="Arial"/>
                <w:sz w:val="18"/>
                <w:szCs w:val="18"/>
              </w:rPr>
              <w:t>(Post-market Review)</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06BE12BB" w14:textId="2A4535C3" w:rsidR="00062335" w:rsidRPr="00FF3385" w:rsidRDefault="00FF3385" w:rsidP="00952ADE">
            <w:pPr>
              <w:keepLines/>
              <w:widowControl w:val="0"/>
              <w:spacing w:after="120"/>
              <w:jc w:val="center"/>
              <w:rPr>
                <w:rFonts w:ascii="Arial" w:hAnsi="Arial" w:cs="Arial"/>
                <w:sz w:val="18"/>
                <w:szCs w:val="18"/>
              </w:rPr>
            </w:pPr>
            <w:r w:rsidRPr="00FF3385">
              <w:rPr>
                <w:rFonts w:ascii="Arial" w:hAnsi="Arial" w:cs="Arial"/>
                <w:sz w:val="18"/>
                <w:szCs w:val="18"/>
              </w:rPr>
              <w:t>Smoking cessation therapy for nicotine dependence</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537A660" w14:textId="7D46B1CF" w:rsidR="00FF3385" w:rsidRPr="00FF3385" w:rsidRDefault="00FF3385" w:rsidP="00FF3385">
            <w:pPr>
              <w:keepLines/>
              <w:widowControl w:val="0"/>
              <w:spacing w:after="120"/>
              <w:rPr>
                <w:rFonts w:ascii="Arial" w:hAnsi="Arial" w:cs="Arial"/>
                <w:snapToGrid w:val="0"/>
                <w:sz w:val="18"/>
                <w:szCs w:val="18"/>
                <w:lang w:eastAsia="en-US"/>
              </w:rPr>
            </w:pPr>
            <w:r w:rsidRPr="00FF3385">
              <w:rPr>
                <w:rFonts w:ascii="Arial" w:hAnsi="Arial" w:cs="Arial"/>
                <w:snapToGrid w:val="0"/>
                <w:sz w:val="18"/>
                <w:szCs w:val="18"/>
                <w:lang w:eastAsia="en-US"/>
              </w:rPr>
              <w:t xml:space="preserve">To consider the findings of the Post-market Review </w:t>
            </w:r>
            <w:r w:rsidR="00FC24A5">
              <w:rPr>
                <w:rFonts w:ascii="Arial" w:hAnsi="Arial" w:cs="Arial"/>
                <w:snapToGrid w:val="0"/>
                <w:sz w:val="18"/>
                <w:szCs w:val="18"/>
                <w:lang w:eastAsia="en-US"/>
              </w:rPr>
              <w:t xml:space="preserve">(PMR) </w:t>
            </w:r>
            <w:r w:rsidRPr="00FF3385">
              <w:rPr>
                <w:rFonts w:ascii="Arial" w:hAnsi="Arial" w:cs="Arial"/>
                <w:snapToGrid w:val="0"/>
                <w:sz w:val="18"/>
                <w:szCs w:val="18"/>
                <w:lang w:eastAsia="en-US"/>
              </w:rPr>
              <w:t>of medicines for smoking cessation.</w:t>
            </w:r>
          </w:p>
          <w:p w14:paraId="52F69BDF" w14:textId="77777777" w:rsidR="00FF3385" w:rsidRPr="00FF3385" w:rsidRDefault="00FF3385" w:rsidP="00FF3385">
            <w:pPr>
              <w:keepLines/>
              <w:widowControl w:val="0"/>
              <w:spacing w:after="120"/>
              <w:rPr>
                <w:rFonts w:ascii="Arial" w:hAnsi="Arial" w:cs="Arial"/>
                <w:snapToGrid w:val="0"/>
                <w:sz w:val="18"/>
                <w:szCs w:val="18"/>
                <w:lang w:eastAsia="en-US"/>
              </w:rPr>
            </w:pPr>
          </w:p>
          <w:p w14:paraId="2C9FEFE6" w14:textId="1939467E" w:rsidR="00FC24A5" w:rsidRDefault="00FF3385" w:rsidP="00FF3385">
            <w:pPr>
              <w:keepLines/>
              <w:widowControl w:val="0"/>
              <w:spacing w:after="120"/>
              <w:rPr>
                <w:rFonts w:ascii="Arial" w:hAnsi="Arial" w:cs="Arial"/>
                <w:snapToGrid w:val="0"/>
                <w:sz w:val="18"/>
                <w:szCs w:val="18"/>
                <w:lang w:eastAsia="en-US"/>
              </w:rPr>
            </w:pPr>
            <w:r w:rsidRPr="00FF3385">
              <w:rPr>
                <w:rFonts w:ascii="Arial" w:hAnsi="Arial" w:cs="Arial"/>
                <w:snapToGrid w:val="0"/>
                <w:sz w:val="18"/>
                <w:szCs w:val="18"/>
                <w:lang w:eastAsia="en-US"/>
              </w:rPr>
              <w:t xml:space="preserve">To consider the findings from the </w:t>
            </w:r>
            <w:r w:rsidR="00874475">
              <w:rPr>
                <w:rFonts w:ascii="Arial" w:hAnsi="Arial" w:cs="Arial"/>
                <w:snapToGrid w:val="0"/>
                <w:sz w:val="18"/>
                <w:szCs w:val="18"/>
                <w:lang w:eastAsia="en-US"/>
              </w:rPr>
              <w:t>cost-effectiveness review (</w:t>
            </w:r>
            <w:r w:rsidRPr="00FF3385">
              <w:rPr>
                <w:rFonts w:ascii="Arial" w:hAnsi="Arial" w:cs="Arial"/>
                <w:snapToGrid w:val="0"/>
                <w:sz w:val="18"/>
                <w:szCs w:val="18"/>
                <w:lang w:eastAsia="en-US"/>
              </w:rPr>
              <w:t>CER</w:t>
            </w:r>
            <w:r w:rsidR="00874475">
              <w:rPr>
                <w:rFonts w:ascii="Arial" w:hAnsi="Arial" w:cs="Arial"/>
                <w:snapToGrid w:val="0"/>
                <w:sz w:val="18"/>
                <w:szCs w:val="18"/>
                <w:lang w:eastAsia="en-US"/>
              </w:rPr>
              <w:t>)</w:t>
            </w:r>
            <w:r w:rsidRPr="00FF3385">
              <w:rPr>
                <w:rFonts w:ascii="Arial" w:hAnsi="Arial" w:cs="Arial"/>
                <w:snapToGrid w:val="0"/>
                <w:sz w:val="18"/>
                <w:szCs w:val="18"/>
                <w:lang w:eastAsia="en-US"/>
              </w:rPr>
              <w:t xml:space="preserve"> of combinations of smoking cessation medicines recommended by the Economics Sub</w:t>
            </w:r>
            <w:r w:rsidR="002468CF">
              <w:rPr>
                <w:rFonts w:ascii="Arial" w:hAnsi="Arial" w:cs="Arial"/>
                <w:snapToGrid w:val="0"/>
                <w:sz w:val="18"/>
                <w:szCs w:val="18"/>
                <w:lang w:eastAsia="en-US"/>
              </w:rPr>
              <w:t xml:space="preserve"> </w:t>
            </w:r>
            <w:r w:rsidRPr="00FF3385">
              <w:rPr>
                <w:rFonts w:ascii="Arial" w:hAnsi="Arial" w:cs="Arial"/>
                <w:snapToGrid w:val="0"/>
                <w:sz w:val="18"/>
                <w:szCs w:val="18"/>
                <w:lang w:eastAsia="en-US"/>
              </w:rPr>
              <w:t xml:space="preserve">Committee (ESC) of the PBAC following consideration of the </w:t>
            </w:r>
            <w:r w:rsidR="00FC24A5">
              <w:rPr>
                <w:rFonts w:ascii="Arial" w:hAnsi="Arial" w:cs="Arial"/>
                <w:snapToGrid w:val="0"/>
                <w:sz w:val="18"/>
                <w:szCs w:val="18"/>
                <w:lang w:eastAsia="en-US"/>
              </w:rPr>
              <w:t>PMR</w:t>
            </w:r>
            <w:r w:rsidRPr="00FF3385">
              <w:rPr>
                <w:rFonts w:ascii="Arial" w:hAnsi="Arial" w:cs="Arial"/>
                <w:snapToGrid w:val="0"/>
                <w:sz w:val="18"/>
                <w:szCs w:val="18"/>
                <w:lang w:eastAsia="en-US"/>
              </w:rPr>
              <w:t xml:space="preserve"> in June 2021</w:t>
            </w:r>
            <w:r w:rsidR="00FC24A5">
              <w:rPr>
                <w:rFonts w:ascii="Arial" w:hAnsi="Arial" w:cs="Arial"/>
                <w:snapToGrid w:val="0"/>
                <w:sz w:val="18"/>
                <w:szCs w:val="18"/>
                <w:lang w:eastAsia="en-US"/>
              </w:rPr>
              <w:t>.</w:t>
            </w:r>
          </w:p>
          <w:p w14:paraId="44E1565E" w14:textId="361DB470" w:rsidR="00062335" w:rsidRPr="007F0847" w:rsidRDefault="00FF3385" w:rsidP="00FF3385">
            <w:pPr>
              <w:keepLines/>
              <w:widowControl w:val="0"/>
              <w:spacing w:after="120"/>
              <w:rPr>
                <w:rFonts w:ascii="Arial" w:hAnsi="Arial" w:cs="Arial"/>
                <w:snapToGrid w:val="0"/>
                <w:sz w:val="18"/>
                <w:szCs w:val="18"/>
                <w:lang w:eastAsia="en-US"/>
              </w:rPr>
            </w:pPr>
            <w:r w:rsidRPr="00FF3385">
              <w:rPr>
                <w:rFonts w:ascii="Arial" w:hAnsi="Arial" w:cs="Arial"/>
                <w:snapToGrid w:val="0"/>
                <w:sz w:val="18"/>
                <w:szCs w:val="18"/>
                <w:lang w:eastAsia="en-US"/>
              </w:rPr>
              <w:t xml:space="preserve"> </w:t>
            </w:r>
            <w:hyperlink r:id="rId7" w:history="1">
              <w:r w:rsidRPr="007455AB">
                <w:rPr>
                  <w:rStyle w:val="Hyperlink"/>
                  <w:rFonts w:ascii="Arial" w:hAnsi="Arial" w:cs="Arial"/>
                  <w:snapToGrid w:val="0"/>
                  <w:sz w:val="18"/>
                  <w:szCs w:val="18"/>
                  <w:lang w:eastAsia="en-US"/>
                </w:rPr>
                <w:t>https://www.pbs.gov.au/info/reviews/post-market-review-of-medicines-for-smoking-cessation</w:t>
              </w:r>
            </w:hyperlink>
            <w:r w:rsidR="00874475">
              <w:rPr>
                <w:rStyle w:val="Hyperlink"/>
                <w:rFonts w:ascii="Arial" w:hAnsi="Arial" w:cs="Arial"/>
                <w:snapToGrid w:val="0"/>
                <w:sz w:val="18"/>
                <w:szCs w:val="18"/>
                <w:lang w:eastAsia="en-US"/>
              </w:rPr>
              <w:t>.</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13BB241A" w14:textId="59837BE3" w:rsidR="00062335" w:rsidRDefault="00FF3385" w:rsidP="000A5A82">
            <w:pPr>
              <w:keepLines/>
              <w:spacing w:after="120"/>
              <w:jc w:val="center"/>
              <w:rPr>
                <w:rFonts w:ascii="Arial" w:hAnsi="Arial" w:cs="Arial"/>
                <w:color w:val="000000"/>
                <w:sz w:val="18"/>
                <w:szCs w:val="21"/>
                <w:shd w:val="clear" w:color="auto" w:fill="FFFFFF"/>
              </w:rPr>
            </w:pPr>
            <w:r>
              <w:rPr>
                <w:rFonts w:ascii="Arial" w:hAnsi="Arial" w:cs="Arial"/>
                <w:color w:val="000000"/>
                <w:sz w:val="18"/>
                <w:szCs w:val="21"/>
                <w:shd w:val="clear" w:color="auto" w:fill="FFFFFF"/>
              </w:rPr>
              <w:t>Recommended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11BDFC9D" w14:textId="75E77AE3" w:rsidR="00FF3385" w:rsidRPr="00FF3385" w:rsidRDefault="00FF3385" w:rsidP="00FF3385">
            <w:pPr>
              <w:keepLines/>
              <w:spacing w:after="120"/>
              <w:rPr>
                <w:rFonts w:ascii="Arial" w:hAnsi="Arial" w:cs="Arial"/>
                <w:color w:val="000000"/>
                <w:sz w:val="18"/>
                <w:szCs w:val="21"/>
                <w:shd w:val="clear" w:color="auto" w:fill="FFFFFF"/>
              </w:rPr>
            </w:pPr>
            <w:r w:rsidRPr="00FF3385">
              <w:rPr>
                <w:rFonts w:ascii="Arial" w:hAnsi="Arial" w:cs="Arial"/>
                <w:color w:val="000000"/>
                <w:sz w:val="18"/>
                <w:szCs w:val="21"/>
                <w:shd w:val="clear" w:color="auto" w:fill="FFFFFF"/>
              </w:rPr>
              <w:t>The PBAC noted stakeholder submissions to the Review, sponsor pre-sub-committee responses, one pre-PBAC response, and the ESC and the Drug Utilisation Sub</w:t>
            </w:r>
            <w:r w:rsidR="00874475">
              <w:rPr>
                <w:rFonts w:ascii="Arial" w:hAnsi="Arial" w:cs="Arial"/>
                <w:color w:val="000000"/>
                <w:sz w:val="18"/>
                <w:szCs w:val="21"/>
                <w:shd w:val="clear" w:color="auto" w:fill="FFFFFF"/>
              </w:rPr>
              <w:t xml:space="preserve"> </w:t>
            </w:r>
            <w:r w:rsidRPr="00FF3385">
              <w:rPr>
                <w:rFonts w:ascii="Arial" w:hAnsi="Arial" w:cs="Arial"/>
                <w:color w:val="000000"/>
                <w:sz w:val="18"/>
                <w:szCs w:val="21"/>
                <w:shd w:val="clear" w:color="auto" w:fill="FFFFFF"/>
              </w:rPr>
              <w:t>Committee (DUSC) advice.</w:t>
            </w:r>
          </w:p>
          <w:p w14:paraId="1077DA99" w14:textId="1453CA16" w:rsidR="00FF3385" w:rsidRPr="00FF3385" w:rsidRDefault="00FF3385" w:rsidP="00FF3385">
            <w:pPr>
              <w:keepLines/>
              <w:spacing w:after="120"/>
              <w:rPr>
                <w:rFonts w:ascii="Arial" w:hAnsi="Arial" w:cs="Arial"/>
                <w:color w:val="000000"/>
                <w:sz w:val="18"/>
                <w:szCs w:val="21"/>
                <w:shd w:val="clear" w:color="auto" w:fill="FFFFFF"/>
              </w:rPr>
            </w:pPr>
            <w:r w:rsidRPr="00FF3385">
              <w:rPr>
                <w:rFonts w:ascii="Arial" w:hAnsi="Arial" w:cs="Arial"/>
                <w:color w:val="000000"/>
                <w:sz w:val="18"/>
                <w:szCs w:val="21"/>
                <w:shd w:val="clear" w:color="auto" w:fill="FFFFFF"/>
              </w:rPr>
              <w:t>The PBAC considered both the PMR report and the ‘CER of Combinations of Smoking Cessation Medicines’</w:t>
            </w:r>
            <w:r w:rsidR="00874475">
              <w:rPr>
                <w:rFonts w:ascii="Arial" w:hAnsi="Arial" w:cs="Arial"/>
                <w:color w:val="000000"/>
                <w:sz w:val="18"/>
                <w:szCs w:val="21"/>
                <w:shd w:val="clear" w:color="auto" w:fill="FFFFFF"/>
              </w:rPr>
              <w:t>,</w:t>
            </w:r>
            <w:r w:rsidRPr="00FF3385">
              <w:rPr>
                <w:rFonts w:ascii="Arial" w:hAnsi="Arial" w:cs="Arial"/>
                <w:color w:val="000000"/>
                <w:sz w:val="18"/>
                <w:szCs w:val="21"/>
                <w:shd w:val="clear" w:color="auto" w:fill="FFFFFF"/>
              </w:rPr>
              <w:t xml:space="preserve"> and overall accepted the key findings.</w:t>
            </w:r>
          </w:p>
          <w:p w14:paraId="503220C9" w14:textId="468DE56D" w:rsidR="00FF3385" w:rsidRPr="00FF3385" w:rsidRDefault="00FF3385" w:rsidP="00FF3385">
            <w:pPr>
              <w:keepLines/>
              <w:spacing w:after="120"/>
              <w:rPr>
                <w:rFonts w:ascii="Arial" w:hAnsi="Arial" w:cs="Arial"/>
                <w:color w:val="000000"/>
                <w:sz w:val="18"/>
                <w:szCs w:val="21"/>
                <w:shd w:val="clear" w:color="auto" w:fill="FFFFFF"/>
              </w:rPr>
            </w:pPr>
            <w:r w:rsidRPr="00FF3385">
              <w:rPr>
                <w:rFonts w:ascii="Arial" w:hAnsi="Arial" w:cs="Arial"/>
                <w:color w:val="000000"/>
                <w:sz w:val="18"/>
                <w:szCs w:val="21"/>
                <w:shd w:val="clear" w:color="auto" w:fill="FFFFFF"/>
              </w:rPr>
              <w:t>The PBAC considered the six options proposed by the Review Reference Group and made the following comments and recommendations.</w:t>
            </w:r>
          </w:p>
          <w:p w14:paraId="34A6154F" w14:textId="2542CD5C" w:rsidR="00FF3385" w:rsidRPr="00FF3385" w:rsidRDefault="00FF3385" w:rsidP="00FF3385">
            <w:pPr>
              <w:keepLines/>
              <w:spacing w:after="120"/>
              <w:rPr>
                <w:rFonts w:ascii="Arial" w:hAnsi="Arial" w:cs="Arial"/>
                <w:color w:val="000000"/>
                <w:sz w:val="18"/>
                <w:szCs w:val="21"/>
                <w:shd w:val="clear" w:color="auto" w:fill="FFFFFF"/>
              </w:rPr>
            </w:pPr>
            <w:r w:rsidRPr="00FF3385">
              <w:rPr>
                <w:rFonts w:ascii="Arial" w:hAnsi="Arial" w:cs="Arial"/>
                <w:color w:val="000000"/>
                <w:sz w:val="18"/>
                <w:szCs w:val="21"/>
                <w:shd w:val="clear" w:color="auto" w:fill="FFFFFF"/>
              </w:rPr>
              <w:t xml:space="preserve">The PBAC recommended allowing an additional 12 weeks of PBS-subsidised </w:t>
            </w:r>
            <w:r w:rsidR="00616C7C">
              <w:rPr>
                <w:rFonts w:ascii="Arial" w:hAnsi="Arial" w:cs="Arial"/>
                <w:color w:val="000000"/>
                <w:sz w:val="18"/>
                <w:szCs w:val="21"/>
                <w:shd w:val="clear" w:color="auto" w:fill="FFFFFF"/>
              </w:rPr>
              <w:t>nicotine replacement therapy (</w:t>
            </w:r>
            <w:r w:rsidRPr="00FF3385">
              <w:rPr>
                <w:rFonts w:ascii="Arial" w:hAnsi="Arial" w:cs="Arial"/>
                <w:color w:val="000000"/>
                <w:sz w:val="18"/>
                <w:szCs w:val="21"/>
                <w:shd w:val="clear" w:color="auto" w:fill="FFFFFF"/>
              </w:rPr>
              <w:t>NRT</w:t>
            </w:r>
            <w:r w:rsidR="00616C7C">
              <w:rPr>
                <w:rFonts w:ascii="Arial" w:hAnsi="Arial" w:cs="Arial"/>
                <w:color w:val="000000"/>
                <w:sz w:val="18"/>
                <w:szCs w:val="21"/>
                <w:shd w:val="clear" w:color="auto" w:fill="FFFFFF"/>
              </w:rPr>
              <w:t>)</w:t>
            </w:r>
            <w:r w:rsidRPr="00FF3385">
              <w:rPr>
                <w:rFonts w:ascii="Arial" w:hAnsi="Arial" w:cs="Arial"/>
                <w:color w:val="000000"/>
                <w:sz w:val="18"/>
                <w:szCs w:val="21"/>
                <w:shd w:val="clear" w:color="auto" w:fill="FFFFFF"/>
              </w:rPr>
              <w:t xml:space="preserve"> in a 12-month period for:</w:t>
            </w:r>
          </w:p>
          <w:p w14:paraId="628C4938" w14:textId="0FA3B638" w:rsidR="00FF3385" w:rsidRPr="00616C7C" w:rsidRDefault="00FF3385" w:rsidP="00616C7C">
            <w:pPr>
              <w:pStyle w:val="ListParagraph"/>
              <w:keepLines/>
              <w:numPr>
                <w:ilvl w:val="0"/>
                <w:numId w:val="48"/>
              </w:numPr>
              <w:spacing w:after="120"/>
              <w:rPr>
                <w:rFonts w:ascii="Arial" w:hAnsi="Arial" w:cs="Arial"/>
                <w:color w:val="000000"/>
                <w:sz w:val="18"/>
                <w:szCs w:val="21"/>
                <w:shd w:val="clear" w:color="auto" w:fill="FFFFFF"/>
              </w:rPr>
            </w:pPr>
            <w:r w:rsidRPr="00616C7C">
              <w:rPr>
                <w:rFonts w:ascii="Arial" w:hAnsi="Arial" w:cs="Arial"/>
                <w:color w:val="000000"/>
                <w:sz w:val="18"/>
                <w:szCs w:val="21"/>
                <w:shd w:val="clear" w:color="auto" w:fill="FFFFFF"/>
              </w:rPr>
              <w:t>the re-treatment of patients who had an unsuccessful quit attempt.</w:t>
            </w:r>
          </w:p>
          <w:p w14:paraId="3AE1DB29" w14:textId="59DE10F5" w:rsidR="00FF3385" w:rsidRPr="00616C7C" w:rsidRDefault="00FF3385" w:rsidP="00616C7C">
            <w:pPr>
              <w:pStyle w:val="ListParagraph"/>
              <w:keepLines/>
              <w:numPr>
                <w:ilvl w:val="0"/>
                <w:numId w:val="48"/>
              </w:numPr>
              <w:spacing w:after="120"/>
              <w:rPr>
                <w:rFonts w:ascii="Arial" w:hAnsi="Arial" w:cs="Arial"/>
                <w:color w:val="000000"/>
                <w:sz w:val="18"/>
                <w:szCs w:val="21"/>
                <w:shd w:val="clear" w:color="auto" w:fill="FFFFFF"/>
              </w:rPr>
            </w:pPr>
            <w:r w:rsidRPr="00616C7C">
              <w:rPr>
                <w:rFonts w:ascii="Arial" w:hAnsi="Arial" w:cs="Arial"/>
                <w:color w:val="000000"/>
                <w:sz w:val="18"/>
                <w:szCs w:val="21"/>
                <w:shd w:val="clear" w:color="auto" w:fill="FFFFFF"/>
              </w:rPr>
              <w:t>patients who have ceased smoking during the initial 12 weeks of therapy to prevent relapse.</w:t>
            </w:r>
          </w:p>
          <w:p w14:paraId="2145DCCA" w14:textId="7470197F" w:rsidR="00FF3385" w:rsidRPr="00FF3385" w:rsidRDefault="00FF3385" w:rsidP="00FF3385">
            <w:pPr>
              <w:keepLines/>
              <w:spacing w:after="120"/>
              <w:rPr>
                <w:rFonts w:ascii="Arial" w:hAnsi="Arial" w:cs="Arial"/>
                <w:color w:val="000000"/>
                <w:sz w:val="18"/>
                <w:szCs w:val="21"/>
                <w:shd w:val="clear" w:color="auto" w:fill="FFFFFF"/>
              </w:rPr>
            </w:pPr>
            <w:r w:rsidRPr="00FF3385">
              <w:rPr>
                <w:rFonts w:ascii="Arial" w:hAnsi="Arial" w:cs="Arial"/>
                <w:color w:val="000000"/>
                <w:sz w:val="18"/>
                <w:szCs w:val="21"/>
                <w:shd w:val="clear" w:color="auto" w:fill="FFFFFF"/>
              </w:rPr>
              <w:t xml:space="preserve">The PBAC recommended allowing combinations of </w:t>
            </w:r>
            <w:r w:rsidR="009F16B9">
              <w:rPr>
                <w:rFonts w:ascii="Arial" w:hAnsi="Arial" w:cs="Arial"/>
                <w:color w:val="000000"/>
                <w:sz w:val="18"/>
                <w:szCs w:val="21"/>
                <w:shd w:val="clear" w:color="auto" w:fill="FFFFFF"/>
              </w:rPr>
              <w:t xml:space="preserve">an </w:t>
            </w:r>
            <w:r w:rsidRPr="00FF3385">
              <w:rPr>
                <w:rFonts w:ascii="Arial" w:hAnsi="Arial" w:cs="Arial"/>
                <w:color w:val="000000"/>
                <w:sz w:val="18"/>
                <w:szCs w:val="21"/>
                <w:shd w:val="clear" w:color="auto" w:fill="FFFFFF"/>
              </w:rPr>
              <w:t xml:space="preserve">NRT patch </w:t>
            </w:r>
            <w:r w:rsidR="009F16B9">
              <w:rPr>
                <w:rFonts w:ascii="Arial" w:hAnsi="Arial" w:cs="Arial"/>
                <w:color w:val="000000"/>
                <w:sz w:val="18"/>
                <w:szCs w:val="21"/>
                <w:shd w:val="clear" w:color="auto" w:fill="FFFFFF"/>
              </w:rPr>
              <w:t>with</w:t>
            </w:r>
            <w:r w:rsidR="009F16B9" w:rsidRPr="00FF3385">
              <w:rPr>
                <w:rFonts w:ascii="Arial" w:hAnsi="Arial" w:cs="Arial"/>
                <w:color w:val="000000"/>
                <w:sz w:val="18"/>
                <w:szCs w:val="21"/>
                <w:shd w:val="clear" w:color="auto" w:fill="FFFFFF"/>
              </w:rPr>
              <w:t xml:space="preserve"> </w:t>
            </w:r>
            <w:r w:rsidRPr="00FF3385">
              <w:rPr>
                <w:rFonts w:ascii="Arial" w:hAnsi="Arial" w:cs="Arial"/>
                <w:color w:val="000000"/>
                <w:sz w:val="18"/>
                <w:szCs w:val="21"/>
                <w:shd w:val="clear" w:color="auto" w:fill="FFFFFF"/>
              </w:rPr>
              <w:t>short acting formulations to be used concomitantly on the PBS; but where combination NRT is prescribed, subsidy be limited</w:t>
            </w:r>
            <w:r w:rsidR="009F16B9">
              <w:rPr>
                <w:rFonts w:ascii="Arial" w:hAnsi="Arial" w:cs="Arial"/>
                <w:color w:val="000000"/>
                <w:sz w:val="18"/>
                <w:szCs w:val="21"/>
                <w:shd w:val="clear" w:color="auto" w:fill="FFFFFF"/>
              </w:rPr>
              <w:t xml:space="preserve"> to</w:t>
            </w:r>
            <w:r w:rsidRPr="00FF3385">
              <w:rPr>
                <w:rFonts w:ascii="Arial" w:hAnsi="Arial" w:cs="Arial"/>
                <w:color w:val="000000"/>
                <w:sz w:val="18"/>
                <w:szCs w:val="21"/>
                <w:shd w:val="clear" w:color="auto" w:fill="FFFFFF"/>
              </w:rPr>
              <w:t xml:space="preserve"> up to two different forms. </w:t>
            </w:r>
          </w:p>
          <w:p w14:paraId="3699C726" w14:textId="46A3EEEC" w:rsidR="00FF3385" w:rsidRPr="00FF3385" w:rsidRDefault="00FF3385" w:rsidP="00FF3385">
            <w:pPr>
              <w:keepLines/>
              <w:spacing w:after="120"/>
              <w:rPr>
                <w:rFonts w:ascii="Arial" w:hAnsi="Arial" w:cs="Arial"/>
                <w:color w:val="000000"/>
                <w:sz w:val="18"/>
                <w:szCs w:val="21"/>
                <w:shd w:val="clear" w:color="auto" w:fill="FFFFFF"/>
              </w:rPr>
            </w:pPr>
            <w:r w:rsidRPr="00FF3385">
              <w:rPr>
                <w:rFonts w:ascii="Arial" w:hAnsi="Arial" w:cs="Arial"/>
                <w:color w:val="000000"/>
                <w:sz w:val="18"/>
                <w:szCs w:val="21"/>
                <w:shd w:val="clear" w:color="auto" w:fill="FFFFFF"/>
              </w:rPr>
              <w:t>The PBAC did not recommend allowing combinations of</w:t>
            </w:r>
            <w:r w:rsidR="009F16B9">
              <w:rPr>
                <w:rFonts w:ascii="Arial" w:hAnsi="Arial" w:cs="Arial"/>
                <w:color w:val="000000"/>
                <w:sz w:val="18"/>
                <w:szCs w:val="21"/>
                <w:shd w:val="clear" w:color="auto" w:fill="FFFFFF"/>
              </w:rPr>
              <w:t xml:space="preserve"> PBS</w:t>
            </w:r>
            <w:r w:rsidR="001B5C7A">
              <w:rPr>
                <w:rFonts w:ascii="Arial" w:hAnsi="Arial" w:cs="Arial"/>
                <w:color w:val="000000"/>
                <w:sz w:val="18"/>
                <w:szCs w:val="21"/>
                <w:shd w:val="clear" w:color="auto" w:fill="FFFFFF"/>
              </w:rPr>
              <w:noBreakHyphen/>
            </w:r>
            <w:r w:rsidR="009F16B9">
              <w:rPr>
                <w:rFonts w:ascii="Arial" w:hAnsi="Arial" w:cs="Arial"/>
                <w:color w:val="000000"/>
                <w:sz w:val="18"/>
                <w:szCs w:val="21"/>
                <w:shd w:val="clear" w:color="auto" w:fill="FFFFFF"/>
              </w:rPr>
              <w:t>subsidised</w:t>
            </w:r>
            <w:r w:rsidRPr="00FF3385">
              <w:rPr>
                <w:rFonts w:ascii="Arial" w:hAnsi="Arial" w:cs="Arial"/>
                <w:color w:val="000000"/>
                <w:sz w:val="18"/>
                <w:szCs w:val="21"/>
                <w:shd w:val="clear" w:color="auto" w:fill="FFFFFF"/>
              </w:rPr>
              <w:t xml:space="preserve"> NRT patch formulations to facilitate double patching. The PBAC requested that the </w:t>
            </w:r>
            <w:r w:rsidR="009F16B9">
              <w:rPr>
                <w:rFonts w:ascii="Arial" w:hAnsi="Arial" w:cs="Arial"/>
                <w:color w:val="000000"/>
                <w:sz w:val="18"/>
                <w:szCs w:val="21"/>
                <w:shd w:val="clear" w:color="auto" w:fill="FFFFFF"/>
              </w:rPr>
              <w:t>D</w:t>
            </w:r>
            <w:r w:rsidR="009F16B9" w:rsidRPr="00FF3385">
              <w:rPr>
                <w:rFonts w:ascii="Arial" w:hAnsi="Arial" w:cs="Arial"/>
                <w:color w:val="000000"/>
                <w:sz w:val="18"/>
                <w:szCs w:val="21"/>
                <w:shd w:val="clear" w:color="auto" w:fill="FFFFFF"/>
              </w:rPr>
              <w:t>epartment</w:t>
            </w:r>
            <w:r w:rsidR="001B5C7A">
              <w:rPr>
                <w:rFonts w:ascii="Arial" w:hAnsi="Arial" w:cs="Arial"/>
                <w:color w:val="000000"/>
                <w:sz w:val="18"/>
                <w:szCs w:val="21"/>
                <w:shd w:val="clear" w:color="auto" w:fill="FFFFFF"/>
              </w:rPr>
              <w:t xml:space="preserve"> of Health</w:t>
            </w:r>
            <w:r w:rsidR="009F16B9" w:rsidRPr="00FF3385">
              <w:rPr>
                <w:rFonts w:ascii="Arial" w:hAnsi="Arial" w:cs="Arial"/>
                <w:color w:val="000000"/>
                <w:sz w:val="18"/>
                <w:szCs w:val="21"/>
                <w:shd w:val="clear" w:color="auto" w:fill="FFFFFF"/>
              </w:rPr>
              <w:t xml:space="preserve"> </w:t>
            </w:r>
            <w:r w:rsidRPr="00FF3385">
              <w:rPr>
                <w:rFonts w:ascii="Arial" w:hAnsi="Arial" w:cs="Arial"/>
                <w:color w:val="000000"/>
                <w:sz w:val="18"/>
                <w:szCs w:val="21"/>
                <w:shd w:val="clear" w:color="auto" w:fill="FFFFFF"/>
              </w:rPr>
              <w:t xml:space="preserve">explore options for the PBS subsidy of double patching via an authority required level of restriction to be considered by the </w:t>
            </w:r>
            <w:r w:rsidR="009F16B9">
              <w:rPr>
                <w:rFonts w:ascii="Arial" w:hAnsi="Arial" w:cs="Arial"/>
                <w:color w:val="000000"/>
                <w:sz w:val="18"/>
                <w:szCs w:val="21"/>
                <w:shd w:val="clear" w:color="auto" w:fill="FFFFFF"/>
              </w:rPr>
              <w:t>PBAC</w:t>
            </w:r>
            <w:r w:rsidR="009F16B9" w:rsidRPr="00FF3385">
              <w:rPr>
                <w:rFonts w:ascii="Arial" w:hAnsi="Arial" w:cs="Arial"/>
                <w:color w:val="000000"/>
                <w:sz w:val="18"/>
                <w:szCs w:val="21"/>
                <w:shd w:val="clear" w:color="auto" w:fill="FFFFFF"/>
              </w:rPr>
              <w:t xml:space="preserve"> </w:t>
            </w:r>
            <w:r w:rsidRPr="00FF3385">
              <w:rPr>
                <w:rFonts w:ascii="Arial" w:hAnsi="Arial" w:cs="Arial"/>
                <w:color w:val="000000"/>
                <w:sz w:val="18"/>
                <w:szCs w:val="21"/>
                <w:shd w:val="clear" w:color="auto" w:fill="FFFFFF"/>
              </w:rPr>
              <w:t>at a later date.</w:t>
            </w:r>
          </w:p>
          <w:p w14:paraId="0FD07944" w14:textId="1633B9A0" w:rsidR="00FF3385" w:rsidRPr="00FF3385" w:rsidRDefault="00FF3385" w:rsidP="00FF3385">
            <w:pPr>
              <w:keepLines/>
              <w:spacing w:after="120"/>
              <w:rPr>
                <w:rFonts w:ascii="Arial" w:hAnsi="Arial" w:cs="Arial"/>
                <w:color w:val="000000"/>
                <w:sz w:val="18"/>
                <w:szCs w:val="21"/>
                <w:shd w:val="clear" w:color="auto" w:fill="FFFFFF"/>
              </w:rPr>
            </w:pPr>
            <w:r w:rsidRPr="00FF3385">
              <w:rPr>
                <w:rFonts w:ascii="Arial" w:hAnsi="Arial" w:cs="Arial"/>
                <w:color w:val="000000"/>
                <w:sz w:val="18"/>
                <w:szCs w:val="21"/>
                <w:shd w:val="clear" w:color="auto" w:fill="FFFFFF"/>
              </w:rPr>
              <w:t>The PBAC considered the incremental cost-effectiveness ratio</w:t>
            </w:r>
            <w:r w:rsidR="009672E3">
              <w:rPr>
                <w:rFonts w:ascii="Arial" w:hAnsi="Arial" w:cs="Arial"/>
                <w:color w:val="000000"/>
                <w:sz w:val="18"/>
                <w:szCs w:val="21"/>
                <w:shd w:val="clear" w:color="auto" w:fill="FFFFFF"/>
              </w:rPr>
              <w:t>s</w:t>
            </w:r>
            <w:r w:rsidR="007648A0">
              <w:rPr>
                <w:rFonts w:ascii="Arial" w:hAnsi="Arial" w:cs="Arial"/>
                <w:color w:val="000000"/>
                <w:sz w:val="18"/>
                <w:szCs w:val="21"/>
                <w:shd w:val="clear" w:color="auto" w:fill="FFFFFF"/>
              </w:rPr>
              <w:t xml:space="preserve"> (ICER</w:t>
            </w:r>
            <w:r w:rsidR="009672E3">
              <w:rPr>
                <w:rFonts w:ascii="Arial" w:hAnsi="Arial" w:cs="Arial"/>
                <w:color w:val="000000"/>
                <w:sz w:val="18"/>
                <w:szCs w:val="21"/>
                <w:shd w:val="clear" w:color="auto" w:fill="FFFFFF"/>
              </w:rPr>
              <w:t>s</w:t>
            </w:r>
            <w:r w:rsidR="007648A0">
              <w:rPr>
                <w:rFonts w:ascii="Arial" w:hAnsi="Arial" w:cs="Arial"/>
                <w:color w:val="000000"/>
                <w:sz w:val="18"/>
                <w:szCs w:val="21"/>
                <w:shd w:val="clear" w:color="auto" w:fill="FFFFFF"/>
              </w:rPr>
              <w:t>)</w:t>
            </w:r>
            <w:r w:rsidRPr="00FF3385">
              <w:rPr>
                <w:rFonts w:ascii="Arial" w:hAnsi="Arial" w:cs="Arial"/>
                <w:color w:val="000000"/>
                <w:sz w:val="18"/>
                <w:szCs w:val="21"/>
                <w:shd w:val="clear" w:color="auto" w:fill="FFFFFF"/>
              </w:rPr>
              <w:t xml:space="preserve"> for</w:t>
            </w:r>
            <w:r w:rsidR="00616C7C">
              <w:rPr>
                <w:rFonts w:ascii="Arial" w:hAnsi="Arial" w:cs="Arial"/>
                <w:color w:val="000000"/>
                <w:sz w:val="18"/>
                <w:szCs w:val="21"/>
                <w:shd w:val="clear" w:color="auto" w:fill="FFFFFF"/>
              </w:rPr>
              <w:t xml:space="preserve"> </w:t>
            </w:r>
            <w:r w:rsidR="009672E3">
              <w:rPr>
                <w:rFonts w:ascii="Arial" w:hAnsi="Arial" w:cs="Arial"/>
                <w:color w:val="000000"/>
                <w:sz w:val="18"/>
                <w:szCs w:val="21"/>
                <w:shd w:val="clear" w:color="auto" w:fill="FFFFFF"/>
              </w:rPr>
              <w:t xml:space="preserve">varenicline (VAR) </w:t>
            </w:r>
            <w:r w:rsidR="009672E3" w:rsidRPr="00DB0EDD">
              <w:rPr>
                <w:rFonts w:ascii="Arial" w:hAnsi="Arial" w:cs="Arial"/>
                <w:i/>
                <w:iCs/>
                <w:color w:val="000000"/>
                <w:sz w:val="18"/>
                <w:szCs w:val="21"/>
                <w:shd w:val="clear" w:color="auto" w:fill="FFFFFF"/>
              </w:rPr>
              <w:t>versus</w:t>
            </w:r>
            <w:r w:rsidR="009672E3">
              <w:rPr>
                <w:rFonts w:ascii="Arial" w:hAnsi="Arial" w:cs="Arial"/>
                <w:color w:val="000000"/>
                <w:sz w:val="18"/>
                <w:szCs w:val="21"/>
                <w:shd w:val="clear" w:color="auto" w:fill="FFFFFF"/>
              </w:rPr>
              <w:t xml:space="preserve"> NRT and </w:t>
            </w:r>
            <w:r w:rsidR="00FC24A5">
              <w:rPr>
                <w:rFonts w:ascii="Arial" w:hAnsi="Arial" w:cs="Arial"/>
                <w:color w:val="000000"/>
                <w:sz w:val="18"/>
                <w:szCs w:val="21"/>
                <w:shd w:val="clear" w:color="auto" w:fill="FFFFFF"/>
              </w:rPr>
              <w:t xml:space="preserve">combination </w:t>
            </w:r>
            <w:r w:rsidR="00FC24A5" w:rsidRPr="00FC24A5">
              <w:rPr>
                <w:rFonts w:ascii="Arial" w:hAnsi="Arial" w:cs="Arial"/>
                <w:color w:val="000000"/>
                <w:sz w:val="18"/>
                <w:szCs w:val="21"/>
                <w:shd w:val="clear" w:color="auto" w:fill="FFFFFF"/>
              </w:rPr>
              <w:t>VAR</w:t>
            </w:r>
            <w:r w:rsidR="009672E3">
              <w:rPr>
                <w:rFonts w:ascii="Arial" w:hAnsi="Arial" w:cs="Arial"/>
                <w:color w:val="000000"/>
                <w:sz w:val="18"/>
                <w:szCs w:val="21"/>
                <w:shd w:val="clear" w:color="auto" w:fill="FFFFFF"/>
              </w:rPr>
              <w:t>+</w:t>
            </w:r>
            <w:r w:rsidR="00FC24A5" w:rsidRPr="00FC24A5">
              <w:rPr>
                <w:rFonts w:ascii="Arial" w:hAnsi="Arial" w:cs="Arial"/>
                <w:color w:val="000000"/>
                <w:sz w:val="18"/>
                <w:szCs w:val="21"/>
                <w:shd w:val="clear" w:color="auto" w:fill="FFFFFF"/>
              </w:rPr>
              <w:t xml:space="preserve">NRT </w:t>
            </w:r>
            <w:r w:rsidR="00FC24A5" w:rsidRPr="00FC24A5">
              <w:rPr>
                <w:rFonts w:ascii="Arial" w:hAnsi="Arial" w:cs="Arial"/>
                <w:i/>
                <w:iCs/>
                <w:color w:val="000000"/>
                <w:sz w:val="18"/>
                <w:szCs w:val="21"/>
                <w:shd w:val="clear" w:color="auto" w:fill="FFFFFF"/>
              </w:rPr>
              <w:t>versus</w:t>
            </w:r>
            <w:r w:rsidR="00FC24A5" w:rsidRPr="00FC24A5">
              <w:rPr>
                <w:rFonts w:ascii="Arial" w:hAnsi="Arial" w:cs="Arial"/>
                <w:color w:val="000000"/>
                <w:sz w:val="18"/>
                <w:szCs w:val="21"/>
                <w:shd w:val="clear" w:color="auto" w:fill="FFFFFF"/>
              </w:rPr>
              <w:t xml:space="preserve"> VAR and NRT as monotherapy</w:t>
            </w:r>
            <w:r w:rsidR="009672E3">
              <w:rPr>
                <w:rFonts w:ascii="Arial" w:hAnsi="Arial" w:cs="Arial"/>
                <w:color w:val="000000"/>
                <w:sz w:val="18"/>
                <w:szCs w:val="21"/>
                <w:shd w:val="clear" w:color="auto" w:fill="FFFFFF"/>
              </w:rPr>
              <w:t xml:space="preserve"> </w:t>
            </w:r>
            <w:r w:rsidRPr="00FF3385">
              <w:rPr>
                <w:rFonts w:ascii="Arial" w:hAnsi="Arial" w:cs="Arial"/>
                <w:color w:val="000000"/>
                <w:sz w:val="18"/>
                <w:szCs w:val="21"/>
                <w:shd w:val="clear" w:color="auto" w:fill="FFFFFF"/>
              </w:rPr>
              <w:t>high</w:t>
            </w:r>
            <w:r w:rsidR="009672E3">
              <w:rPr>
                <w:rFonts w:ascii="Arial" w:hAnsi="Arial" w:cs="Arial"/>
                <w:color w:val="000000"/>
                <w:sz w:val="18"/>
                <w:szCs w:val="21"/>
                <w:shd w:val="clear" w:color="auto" w:fill="FFFFFF"/>
              </w:rPr>
              <w:t>,</w:t>
            </w:r>
            <w:r w:rsidRPr="00FF3385">
              <w:rPr>
                <w:rFonts w:ascii="Arial" w:hAnsi="Arial" w:cs="Arial"/>
                <w:color w:val="000000"/>
                <w:sz w:val="18"/>
                <w:szCs w:val="21"/>
                <w:shd w:val="clear" w:color="auto" w:fill="FFFFFF"/>
              </w:rPr>
              <w:t xml:space="preserve"> and therefore did not recommend subsidising VAR+NRT</w:t>
            </w:r>
            <w:r w:rsidR="009672E3">
              <w:rPr>
                <w:rFonts w:ascii="Arial" w:hAnsi="Arial" w:cs="Arial"/>
                <w:color w:val="000000"/>
                <w:sz w:val="18"/>
                <w:szCs w:val="21"/>
                <w:shd w:val="clear" w:color="auto" w:fill="FFFFFF"/>
              </w:rPr>
              <w:t xml:space="preserve"> </w:t>
            </w:r>
            <w:r w:rsidRPr="00FF3385">
              <w:rPr>
                <w:rFonts w:ascii="Arial" w:hAnsi="Arial" w:cs="Arial"/>
                <w:color w:val="000000"/>
                <w:sz w:val="18"/>
                <w:szCs w:val="21"/>
                <w:shd w:val="clear" w:color="auto" w:fill="FFFFFF"/>
              </w:rPr>
              <w:t xml:space="preserve">on the PBS. The PBAC </w:t>
            </w:r>
            <w:r w:rsidR="00875F0B">
              <w:rPr>
                <w:rFonts w:ascii="Arial" w:hAnsi="Arial" w:cs="Arial"/>
                <w:color w:val="000000"/>
                <w:sz w:val="18"/>
                <w:szCs w:val="21"/>
                <w:shd w:val="clear" w:color="auto" w:fill="FFFFFF"/>
              </w:rPr>
              <w:t>request</w:t>
            </w:r>
            <w:r w:rsidR="009672E3">
              <w:rPr>
                <w:rFonts w:ascii="Arial" w:hAnsi="Arial" w:cs="Arial"/>
                <w:color w:val="000000"/>
                <w:sz w:val="18"/>
                <w:szCs w:val="21"/>
                <w:shd w:val="clear" w:color="auto" w:fill="FFFFFF"/>
              </w:rPr>
              <w:t xml:space="preserve">ed that the </w:t>
            </w:r>
            <w:r w:rsidR="0070657E">
              <w:rPr>
                <w:rFonts w:ascii="Arial" w:hAnsi="Arial" w:cs="Arial"/>
                <w:color w:val="000000"/>
                <w:sz w:val="18"/>
                <w:szCs w:val="21"/>
                <w:shd w:val="clear" w:color="auto" w:fill="FFFFFF"/>
              </w:rPr>
              <w:t xml:space="preserve">Department </w:t>
            </w:r>
            <w:r w:rsidR="000270D0">
              <w:rPr>
                <w:rFonts w:ascii="Arial" w:hAnsi="Arial" w:cs="Arial"/>
                <w:color w:val="000000"/>
                <w:sz w:val="18"/>
                <w:szCs w:val="21"/>
                <w:shd w:val="clear" w:color="auto" w:fill="FFFFFF"/>
              </w:rPr>
              <w:t>consider</w:t>
            </w:r>
            <w:r w:rsidR="00875F0B">
              <w:rPr>
                <w:rFonts w:ascii="Arial" w:hAnsi="Arial" w:cs="Arial"/>
                <w:color w:val="000000"/>
                <w:sz w:val="18"/>
                <w:szCs w:val="21"/>
                <w:shd w:val="clear" w:color="auto" w:fill="FFFFFF"/>
              </w:rPr>
              <w:t xml:space="preserve"> </w:t>
            </w:r>
            <w:r w:rsidRPr="00FF3385">
              <w:rPr>
                <w:rFonts w:ascii="Arial" w:hAnsi="Arial" w:cs="Arial"/>
                <w:color w:val="000000"/>
                <w:sz w:val="18"/>
                <w:szCs w:val="21"/>
                <w:shd w:val="clear" w:color="auto" w:fill="FFFFFF"/>
              </w:rPr>
              <w:t>the impact of different pricing options to reduce the ICER</w:t>
            </w:r>
            <w:r w:rsidR="009672E3">
              <w:rPr>
                <w:rFonts w:ascii="Arial" w:hAnsi="Arial" w:cs="Arial"/>
                <w:color w:val="000000"/>
                <w:sz w:val="18"/>
                <w:szCs w:val="21"/>
                <w:shd w:val="clear" w:color="auto" w:fill="FFFFFF"/>
              </w:rPr>
              <w:t>s</w:t>
            </w:r>
            <w:r w:rsidRPr="00FF3385">
              <w:rPr>
                <w:rFonts w:ascii="Arial" w:hAnsi="Arial" w:cs="Arial"/>
                <w:color w:val="000000"/>
                <w:sz w:val="18"/>
                <w:szCs w:val="21"/>
                <w:shd w:val="clear" w:color="auto" w:fill="FFFFFF"/>
              </w:rPr>
              <w:t xml:space="preserve"> for VAR </w:t>
            </w:r>
            <w:r w:rsidRPr="007128AF">
              <w:rPr>
                <w:rFonts w:ascii="Arial" w:hAnsi="Arial" w:cs="Arial"/>
                <w:i/>
                <w:iCs/>
                <w:color w:val="000000"/>
                <w:sz w:val="18"/>
                <w:szCs w:val="21"/>
                <w:shd w:val="clear" w:color="auto" w:fill="FFFFFF"/>
              </w:rPr>
              <w:t>versus</w:t>
            </w:r>
            <w:r w:rsidRPr="00FF3385">
              <w:rPr>
                <w:rFonts w:ascii="Arial" w:hAnsi="Arial" w:cs="Arial"/>
                <w:color w:val="000000"/>
                <w:sz w:val="18"/>
                <w:szCs w:val="21"/>
                <w:shd w:val="clear" w:color="auto" w:fill="FFFFFF"/>
              </w:rPr>
              <w:t xml:space="preserve"> NRT and VAR+NRT </w:t>
            </w:r>
            <w:r w:rsidRPr="007128AF">
              <w:rPr>
                <w:rFonts w:ascii="Arial" w:hAnsi="Arial" w:cs="Arial"/>
                <w:i/>
                <w:iCs/>
                <w:color w:val="000000"/>
                <w:sz w:val="18"/>
                <w:szCs w:val="21"/>
                <w:shd w:val="clear" w:color="auto" w:fill="FFFFFF"/>
              </w:rPr>
              <w:t>versus</w:t>
            </w:r>
            <w:r w:rsidRPr="00FF3385">
              <w:rPr>
                <w:rFonts w:ascii="Arial" w:hAnsi="Arial" w:cs="Arial"/>
                <w:color w:val="000000"/>
                <w:sz w:val="18"/>
                <w:szCs w:val="21"/>
                <w:shd w:val="clear" w:color="auto" w:fill="FFFFFF"/>
              </w:rPr>
              <w:t xml:space="preserve"> </w:t>
            </w:r>
            <w:r w:rsidR="0053481E" w:rsidRPr="00FF3385">
              <w:rPr>
                <w:rFonts w:ascii="Arial" w:hAnsi="Arial" w:cs="Arial"/>
                <w:color w:val="000000"/>
                <w:sz w:val="18"/>
                <w:szCs w:val="21"/>
                <w:shd w:val="clear" w:color="auto" w:fill="FFFFFF"/>
              </w:rPr>
              <w:t>VAR</w:t>
            </w:r>
            <w:r w:rsidR="0053481E">
              <w:rPr>
                <w:rFonts w:ascii="Arial" w:hAnsi="Arial" w:cs="Arial"/>
                <w:color w:val="000000"/>
                <w:sz w:val="18"/>
                <w:szCs w:val="21"/>
                <w:shd w:val="clear" w:color="auto" w:fill="FFFFFF"/>
              </w:rPr>
              <w:t xml:space="preserve"> and</w:t>
            </w:r>
            <w:r w:rsidRPr="00FF3385">
              <w:rPr>
                <w:rFonts w:ascii="Arial" w:hAnsi="Arial" w:cs="Arial"/>
                <w:color w:val="000000"/>
                <w:sz w:val="18"/>
                <w:szCs w:val="21"/>
                <w:shd w:val="clear" w:color="auto" w:fill="FFFFFF"/>
              </w:rPr>
              <w:t xml:space="preserve"> bring </w:t>
            </w:r>
            <w:r w:rsidR="000270D0">
              <w:rPr>
                <w:rFonts w:ascii="Arial" w:hAnsi="Arial" w:cs="Arial"/>
                <w:color w:val="000000"/>
                <w:sz w:val="18"/>
                <w:szCs w:val="21"/>
                <w:shd w:val="clear" w:color="auto" w:fill="FFFFFF"/>
              </w:rPr>
              <w:t>any additional</w:t>
            </w:r>
            <w:r w:rsidRPr="00FF3385">
              <w:rPr>
                <w:rFonts w:ascii="Arial" w:hAnsi="Arial" w:cs="Arial"/>
                <w:color w:val="000000"/>
                <w:sz w:val="18"/>
                <w:szCs w:val="21"/>
                <w:shd w:val="clear" w:color="auto" w:fill="FFFFFF"/>
              </w:rPr>
              <w:t xml:space="preserve"> analyses and estimates of PBS expenditure to </w:t>
            </w:r>
            <w:r w:rsidR="009672E3">
              <w:rPr>
                <w:rFonts w:ascii="Arial" w:hAnsi="Arial" w:cs="Arial"/>
                <w:color w:val="000000"/>
                <w:sz w:val="18"/>
                <w:szCs w:val="21"/>
                <w:shd w:val="clear" w:color="auto" w:fill="FFFFFF"/>
              </w:rPr>
              <w:t xml:space="preserve">the </w:t>
            </w:r>
            <w:r w:rsidRPr="00FF3385">
              <w:rPr>
                <w:rFonts w:ascii="Arial" w:hAnsi="Arial" w:cs="Arial"/>
                <w:color w:val="000000"/>
                <w:sz w:val="18"/>
                <w:szCs w:val="21"/>
                <w:shd w:val="clear" w:color="auto" w:fill="FFFFFF"/>
              </w:rPr>
              <w:t>PBAC once supply of the originator brand of VAR is re-instated.</w:t>
            </w:r>
          </w:p>
          <w:p w14:paraId="732C6C49" w14:textId="179EDC17" w:rsidR="00FF3385" w:rsidRPr="00FF3385" w:rsidRDefault="00FF3385" w:rsidP="00FF3385">
            <w:pPr>
              <w:keepLines/>
              <w:spacing w:after="120"/>
              <w:rPr>
                <w:rFonts w:ascii="Arial" w:hAnsi="Arial" w:cs="Arial"/>
                <w:color w:val="000000"/>
                <w:sz w:val="18"/>
                <w:szCs w:val="21"/>
                <w:shd w:val="clear" w:color="auto" w:fill="FFFFFF"/>
              </w:rPr>
            </w:pPr>
            <w:r w:rsidRPr="00FF3385">
              <w:rPr>
                <w:rFonts w:ascii="Arial" w:hAnsi="Arial" w:cs="Arial"/>
                <w:color w:val="000000"/>
                <w:sz w:val="18"/>
                <w:szCs w:val="21"/>
                <w:shd w:val="clear" w:color="auto" w:fill="FFFFFF"/>
              </w:rPr>
              <w:t>The PBAC supported</w:t>
            </w:r>
            <w:r w:rsidR="001B5C7A">
              <w:rPr>
                <w:rFonts w:ascii="Arial" w:hAnsi="Arial" w:cs="Arial"/>
                <w:color w:val="000000"/>
                <w:sz w:val="18"/>
                <w:szCs w:val="21"/>
                <w:shd w:val="clear" w:color="auto" w:fill="FFFFFF"/>
              </w:rPr>
              <w:t xml:space="preserve"> the prospect of</w:t>
            </w:r>
            <w:r w:rsidRPr="00FF3385">
              <w:rPr>
                <w:rFonts w:ascii="Arial" w:hAnsi="Arial" w:cs="Arial"/>
                <w:color w:val="000000"/>
                <w:sz w:val="18"/>
                <w:szCs w:val="21"/>
                <w:shd w:val="clear" w:color="auto" w:fill="FFFFFF"/>
              </w:rPr>
              <w:t xml:space="preserve"> an education campaign targeting prescribers to raise awareness of the improved effectiveness of smoking cessation pharmacotherapies when provided in combination with comprehensive support and counselling.</w:t>
            </w:r>
          </w:p>
          <w:p w14:paraId="4C99383B" w14:textId="26CCB5E5" w:rsidR="00FF3385" w:rsidRPr="00FF3385" w:rsidRDefault="00FF3385" w:rsidP="00FF3385">
            <w:pPr>
              <w:keepLines/>
              <w:spacing w:after="120"/>
              <w:rPr>
                <w:rFonts w:ascii="Arial" w:hAnsi="Arial" w:cs="Arial"/>
                <w:color w:val="000000"/>
                <w:sz w:val="18"/>
                <w:szCs w:val="21"/>
                <w:shd w:val="clear" w:color="auto" w:fill="FFFFFF"/>
              </w:rPr>
            </w:pPr>
            <w:r w:rsidRPr="00FF3385">
              <w:rPr>
                <w:rFonts w:ascii="Arial" w:hAnsi="Arial" w:cs="Arial"/>
                <w:color w:val="000000"/>
                <w:sz w:val="18"/>
                <w:szCs w:val="21"/>
                <w:shd w:val="clear" w:color="auto" w:fill="FFFFFF"/>
              </w:rPr>
              <w:t>The PBAC advised that it would remain open to submissions from sponsors to list inhaler and mouth spray</w:t>
            </w:r>
            <w:r w:rsidR="0053481E">
              <w:rPr>
                <w:rFonts w:ascii="Arial" w:hAnsi="Arial" w:cs="Arial"/>
                <w:color w:val="000000"/>
                <w:sz w:val="18"/>
                <w:szCs w:val="21"/>
                <w:shd w:val="clear" w:color="auto" w:fill="FFFFFF"/>
              </w:rPr>
              <w:t xml:space="preserve"> NRT</w:t>
            </w:r>
            <w:r w:rsidRPr="00FF3385">
              <w:rPr>
                <w:rFonts w:ascii="Arial" w:hAnsi="Arial" w:cs="Arial"/>
                <w:color w:val="000000"/>
                <w:sz w:val="18"/>
                <w:szCs w:val="21"/>
                <w:shd w:val="clear" w:color="auto" w:fill="FFFFFF"/>
              </w:rPr>
              <w:t xml:space="preserve"> formulations on a cost-minimisation basis to the currently listed NRT gum and lozenge products.</w:t>
            </w:r>
          </w:p>
          <w:p w14:paraId="0D64A5A8" w14:textId="65AB54B0" w:rsidR="00062335" w:rsidRPr="00062335" w:rsidRDefault="00FF3385" w:rsidP="00FF3385">
            <w:pPr>
              <w:keepLines/>
              <w:spacing w:after="120"/>
              <w:rPr>
                <w:rFonts w:ascii="Arial" w:hAnsi="Arial" w:cs="Arial"/>
                <w:color w:val="000000"/>
                <w:sz w:val="18"/>
                <w:szCs w:val="21"/>
                <w:shd w:val="clear" w:color="auto" w:fill="FFFFFF"/>
              </w:rPr>
            </w:pPr>
            <w:r w:rsidRPr="00FF3385">
              <w:rPr>
                <w:rFonts w:ascii="Arial" w:hAnsi="Arial" w:cs="Arial"/>
                <w:color w:val="000000"/>
                <w:sz w:val="18"/>
                <w:szCs w:val="21"/>
                <w:shd w:val="clear" w:color="auto" w:fill="FFFFFF"/>
              </w:rPr>
              <w:t xml:space="preserve">The PBAC </w:t>
            </w:r>
            <w:r w:rsidR="00AD3D7D">
              <w:rPr>
                <w:rFonts w:ascii="Arial" w:hAnsi="Arial" w:cs="Arial"/>
                <w:color w:val="000000"/>
                <w:sz w:val="18"/>
                <w:szCs w:val="21"/>
                <w:shd w:val="clear" w:color="auto" w:fill="FFFFFF"/>
              </w:rPr>
              <w:t>requested</w:t>
            </w:r>
            <w:r w:rsidRPr="00FF3385">
              <w:rPr>
                <w:rFonts w:ascii="Arial" w:hAnsi="Arial" w:cs="Arial"/>
                <w:color w:val="000000"/>
                <w:sz w:val="18"/>
                <w:szCs w:val="21"/>
                <w:shd w:val="clear" w:color="auto" w:fill="FFFFFF"/>
              </w:rPr>
              <w:t xml:space="preserve"> follow-up with Queensland Quitline regarding the evaluation of the ‘Intensive Quit Support Program’ to explore if there are other </w:t>
            </w:r>
            <w:r w:rsidRPr="00FF3385">
              <w:rPr>
                <w:rFonts w:ascii="Arial" w:hAnsi="Arial" w:cs="Arial"/>
                <w:color w:val="000000"/>
                <w:sz w:val="18"/>
                <w:szCs w:val="21"/>
                <w:shd w:val="clear" w:color="auto" w:fill="FFFFFF"/>
              </w:rPr>
              <w:lastRenderedPageBreak/>
              <w:t xml:space="preserve">effective ways of providing access to government funded NRT in addition to the current PBS and </w:t>
            </w:r>
            <w:r w:rsidR="007648A0">
              <w:rPr>
                <w:rFonts w:ascii="Arial" w:hAnsi="Arial" w:cs="Arial"/>
                <w:color w:val="000000"/>
                <w:sz w:val="18"/>
                <w:szCs w:val="21"/>
                <w:shd w:val="clear" w:color="auto" w:fill="FFFFFF"/>
              </w:rPr>
              <w:t>S</w:t>
            </w:r>
            <w:r w:rsidR="007648A0" w:rsidRPr="00FF3385">
              <w:rPr>
                <w:rFonts w:ascii="Arial" w:hAnsi="Arial" w:cs="Arial"/>
                <w:color w:val="000000"/>
                <w:sz w:val="18"/>
                <w:szCs w:val="21"/>
                <w:shd w:val="clear" w:color="auto" w:fill="FFFFFF"/>
              </w:rPr>
              <w:t xml:space="preserve">ection </w:t>
            </w:r>
            <w:r w:rsidRPr="00FF3385">
              <w:rPr>
                <w:rFonts w:ascii="Arial" w:hAnsi="Arial" w:cs="Arial"/>
                <w:color w:val="000000"/>
                <w:sz w:val="18"/>
                <w:szCs w:val="21"/>
                <w:shd w:val="clear" w:color="auto" w:fill="FFFFFF"/>
              </w:rPr>
              <w:t>100 arrangements. The PBAC noted that access to NRT should not be contingent on specific or state-based government programs and considered that whilst the program evaluation by Queensland Health may be positive, it should not limit other ways of accessing NRT for consumers.</w:t>
            </w:r>
          </w:p>
        </w:tc>
      </w:tr>
      <w:tr w:rsidR="00EF74BA" w:rsidRPr="00D2401D" w14:paraId="44EDF77D" w14:textId="77777777" w:rsidTr="002C77D1">
        <w:trPr>
          <w:cantSplit/>
          <w:trHeight w:val="58"/>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8764DF4" w14:textId="5B6ED356" w:rsidR="00EF74BA" w:rsidRDefault="007F0847" w:rsidP="0087764A">
            <w:pPr>
              <w:rPr>
                <w:rFonts w:ascii="Arial" w:hAnsi="Arial" w:cs="Arial"/>
                <w:sz w:val="18"/>
                <w:szCs w:val="18"/>
              </w:rPr>
            </w:pPr>
            <w:r>
              <w:rPr>
                <w:rFonts w:ascii="Arial" w:hAnsi="Arial" w:cs="Arial"/>
                <w:sz w:val="18"/>
                <w:szCs w:val="18"/>
              </w:rPr>
              <w:lastRenderedPageBreak/>
              <w:t>ROMIPLOSTIM</w:t>
            </w:r>
          </w:p>
          <w:p w14:paraId="45AE6E6C" w14:textId="4FCEF974" w:rsidR="007F0847" w:rsidRDefault="007F0847" w:rsidP="0087764A">
            <w:pPr>
              <w:rPr>
                <w:rFonts w:ascii="Arial" w:hAnsi="Arial" w:cs="Arial"/>
                <w:sz w:val="18"/>
                <w:szCs w:val="18"/>
              </w:rPr>
            </w:pPr>
          </w:p>
          <w:p w14:paraId="1BDBA893" w14:textId="77777777" w:rsidR="007F0847" w:rsidRPr="007F0847" w:rsidRDefault="007F0847" w:rsidP="007F0847">
            <w:pPr>
              <w:rPr>
                <w:rFonts w:ascii="Arial" w:hAnsi="Arial" w:cs="Arial"/>
                <w:sz w:val="18"/>
                <w:szCs w:val="18"/>
              </w:rPr>
            </w:pPr>
            <w:r w:rsidRPr="007F0847">
              <w:rPr>
                <w:rFonts w:ascii="Arial" w:hAnsi="Arial" w:cs="Arial"/>
                <w:sz w:val="18"/>
                <w:szCs w:val="18"/>
              </w:rPr>
              <w:t>Powder for injection 375 micrograms</w:t>
            </w:r>
          </w:p>
          <w:p w14:paraId="54DEC9B2" w14:textId="6AA5B4F5" w:rsidR="007F0847" w:rsidRDefault="007F0847" w:rsidP="007F0847">
            <w:pPr>
              <w:rPr>
                <w:rFonts w:ascii="Arial" w:hAnsi="Arial" w:cs="Arial"/>
                <w:sz w:val="18"/>
                <w:szCs w:val="18"/>
              </w:rPr>
            </w:pPr>
            <w:r w:rsidRPr="007F0847">
              <w:rPr>
                <w:rFonts w:ascii="Arial" w:hAnsi="Arial" w:cs="Arial"/>
                <w:sz w:val="18"/>
                <w:szCs w:val="18"/>
              </w:rPr>
              <w:t>Powder for injection 625 micrograms</w:t>
            </w:r>
          </w:p>
          <w:p w14:paraId="721C14E9" w14:textId="3A5B1CCA" w:rsidR="007F0847" w:rsidRDefault="007F0847" w:rsidP="007F0847">
            <w:pPr>
              <w:rPr>
                <w:rFonts w:ascii="Arial" w:hAnsi="Arial" w:cs="Arial"/>
                <w:sz w:val="18"/>
                <w:szCs w:val="18"/>
              </w:rPr>
            </w:pPr>
          </w:p>
          <w:p w14:paraId="546C4BD2" w14:textId="365659A8" w:rsidR="007F0847" w:rsidRDefault="007F0847" w:rsidP="007F0847">
            <w:pPr>
              <w:rPr>
                <w:rFonts w:ascii="Arial" w:hAnsi="Arial" w:cs="Arial"/>
                <w:sz w:val="18"/>
                <w:szCs w:val="18"/>
              </w:rPr>
            </w:pPr>
            <w:r>
              <w:rPr>
                <w:rFonts w:ascii="Arial" w:hAnsi="Arial" w:cs="Arial"/>
                <w:sz w:val="18"/>
                <w:szCs w:val="18"/>
              </w:rPr>
              <w:t>Nplate®</w:t>
            </w:r>
          </w:p>
          <w:p w14:paraId="29BA4B50" w14:textId="6AE80843" w:rsidR="007F0847" w:rsidRDefault="007F0847" w:rsidP="007F0847">
            <w:pPr>
              <w:rPr>
                <w:rFonts w:ascii="Arial" w:hAnsi="Arial" w:cs="Arial"/>
                <w:sz w:val="18"/>
                <w:szCs w:val="18"/>
              </w:rPr>
            </w:pPr>
          </w:p>
          <w:p w14:paraId="6291E820" w14:textId="7FF7F5C0" w:rsidR="007F0847" w:rsidRDefault="007F0847" w:rsidP="007F0847">
            <w:pPr>
              <w:rPr>
                <w:rFonts w:ascii="Arial" w:hAnsi="Arial" w:cs="Arial"/>
                <w:sz w:val="18"/>
                <w:szCs w:val="18"/>
              </w:rPr>
            </w:pPr>
            <w:r>
              <w:rPr>
                <w:rFonts w:ascii="Arial" w:hAnsi="Arial" w:cs="Arial"/>
                <w:sz w:val="18"/>
                <w:szCs w:val="18"/>
              </w:rPr>
              <w:t>Amgen Australia Pty Limited</w:t>
            </w:r>
          </w:p>
          <w:p w14:paraId="5C6DDC16" w14:textId="7DA12AB4" w:rsidR="007F0847" w:rsidRDefault="007F0847" w:rsidP="007F0847">
            <w:pPr>
              <w:rPr>
                <w:rFonts w:ascii="Arial" w:hAnsi="Arial" w:cs="Arial"/>
                <w:sz w:val="18"/>
                <w:szCs w:val="18"/>
              </w:rPr>
            </w:pPr>
          </w:p>
          <w:p w14:paraId="2AF03F1E" w14:textId="34CAFF02" w:rsidR="007F0847" w:rsidRPr="007F0847" w:rsidRDefault="007F0847" w:rsidP="007F0847">
            <w:pPr>
              <w:rPr>
                <w:rFonts w:ascii="Arial" w:hAnsi="Arial" w:cs="Arial"/>
                <w:sz w:val="18"/>
                <w:szCs w:val="18"/>
              </w:rPr>
            </w:pPr>
            <w:r>
              <w:rPr>
                <w:rFonts w:ascii="Arial" w:hAnsi="Arial" w:cs="Arial"/>
                <w:sz w:val="18"/>
                <w:szCs w:val="18"/>
              </w:rPr>
              <w:t>ELTROMBOPAG</w:t>
            </w:r>
          </w:p>
          <w:p w14:paraId="01EC97A5" w14:textId="77777777" w:rsidR="007F0847" w:rsidRPr="007F0847" w:rsidRDefault="007F0847" w:rsidP="007F0847">
            <w:pPr>
              <w:rPr>
                <w:rFonts w:ascii="Arial" w:hAnsi="Arial" w:cs="Arial"/>
                <w:sz w:val="18"/>
                <w:szCs w:val="18"/>
              </w:rPr>
            </w:pPr>
          </w:p>
          <w:p w14:paraId="6C825095" w14:textId="77777777" w:rsidR="007F0847" w:rsidRPr="007F0847" w:rsidRDefault="007F0847" w:rsidP="007F0847">
            <w:pPr>
              <w:rPr>
                <w:rFonts w:ascii="Arial" w:hAnsi="Arial" w:cs="Arial"/>
                <w:sz w:val="18"/>
                <w:szCs w:val="18"/>
              </w:rPr>
            </w:pPr>
            <w:r w:rsidRPr="007F0847">
              <w:rPr>
                <w:rFonts w:ascii="Arial" w:hAnsi="Arial" w:cs="Arial"/>
                <w:sz w:val="18"/>
                <w:szCs w:val="18"/>
              </w:rPr>
              <w:t>Tablet 25 mg (as olamine)</w:t>
            </w:r>
          </w:p>
          <w:p w14:paraId="5244B746" w14:textId="669BC527" w:rsidR="007F0847" w:rsidRDefault="007F0847" w:rsidP="007F0847">
            <w:pPr>
              <w:rPr>
                <w:rFonts w:ascii="Arial" w:hAnsi="Arial" w:cs="Arial"/>
                <w:sz w:val="18"/>
                <w:szCs w:val="18"/>
              </w:rPr>
            </w:pPr>
            <w:r w:rsidRPr="007F0847">
              <w:rPr>
                <w:rFonts w:ascii="Arial" w:hAnsi="Arial" w:cs="Arial"/>
                <w:sz w:val="18"/>
                <w:szCs w:val="18"/>
              </w:rPr>
              <w:t>Tablet 50 mg (as olamine)</w:t>
            </w:r>
          </w:p>
          <w:p w14:paraId="00E7537F" w14:textId="457AD8F2" w:rsidR="007F0847" w:rsidRDefault="007F0847" w:rsidP="007F0847">
            <w:pPr>
              <w:rPr>
                <w:rFonts w:ascii="Arial" w:hAnsi="Arial" w:cs="Arial"/>
                <w:sz w:val="18"/>
                <w:szCs w:val="18"/>
              </w:rPr>
            </w:pPr>
          </w:p>
          <w:p w14:paraId="14E1A365" w14:textId="4880A2BB" w:rsidR="007F0847" w:rsidRDefault="007F0847" w:rsidP="007F0847">
            <w:pPr>
              <w:rPr>
                <w:rFonts w:ascii="Arial" w:hAnsi="Arial" w:cs="Arial"/>
                <w:sz w:val="18"/>
                <w:szCs w:val="18"/>
              </w:rPr>
            </w:pPr>
            <w:r>
              <w:rPr>
                <w:rFonts w:ascii="Arial" w:hAnsi="Arial" w:cs="Arial"/>
                <w:sz w:val="18"/>
                <w:szCs w:val="18"/>
              </w:rPr>
              <w:t>Revolade®</w:t>
            </w:r>
          </w:p>
          <w:p w14:paraId="09EFAD57" w14:textId="4AD98812" w:rsidR="007F0847" w:rsidRDefault="007F0847" w:rsidP="007F0847">
            <w:pPr>
              <w:rPr>
                <w:rFonts w:ascii="Arial" w:hAnsi="Arial" w:cs="Arial"/>
                <w:sz w:val="18"/>
                <w:szCs w:val="18"/>
              </w:rPr>
            </w:pPr>
          </w:p>
          <w:p w14:paraId="1645ED7D" w14:textId="2933E16E" w:rsidR="007F0847" w:rsidRDefault="007F0847" w:rsidP="007F0847">
            <w:pPr>
              <w:rPr>
                <w:rFonts w:ascii="Arial" w:hAnsi="Arial" w:cs="Arial"/>
                <w:sz w:val="18"/>
                <w:szCs w:val="18"/>
              </w:rPr>
            </w:pPr>
            <w:r>
              <w:rPr>
                <w:rFonts w:ascii="Arial" w:hAnsi="Arial" w:cs="Arial"/>
                <w:sz w:val="18"/>
                <w:szCs w:val="18"/>
              </w:rPr>
              <w:t>Novartis Pharmaceuticals Australia Pty Limited</w:t>
            </w:r>
          </w:p>
          <w:p w14:paraId="465BF880" w14:textId="5159218A" w:rsidR="007F0847" w:rsidRDefault="007F0847" w:rsidP="007F0847">
            <w:pPr>
              <w:rPr>
                <w:rFonts w:ascii="Arial" w:hAnsi="Arial" w:cs="Arial"/>
                <w:sz w:val="18"/>
                <w:szCs w:val="18"/>
              </w:rPr>
            </w:pPr>
          </w:p>
          <w:p w14:paraId="2130EFDB" w14:textId="15CD04B6" w:rsidR="007F0847" w:rsidRDefault="007F0847" w:rsidP="0087764A">
            <w:pPr>
              <w:rPr>
                <w:rFonts w:ascii="Arial" w:hAnsi="Arial" w:cs="Arial"/>
                <w:sz w:val="18"/>
                <w:szCs w:val="18"/>
              </w:rPr>
            </w:pPr>
            <w:r>
              <w:rPr>
                <w:rFonts w:ascii="Arial" w:hAnsi="Arial" w:cs="Arial"/>
                <w:sz w:val="18"/>
                <w:szCs w:val="18"/>
              </w:rPr>
              <w:t>(Change to</w:t>
            </w:r>
            <w:r w:rsidR="00616C7C">
              <w:rPr>
                <w:rFonts w:ascii="Arial" w:hAnsi="Arial" w:cs="Arial"/>
                <w:sz w:val="18"/>
                <w:szCs w:val="18"/>
              </w:rPr>
              <w:t xml:space="preserve"> PBS</w:t>
            </w:r>
            <w:r>
              <w:rPr>
                <w:rFonts w:ascii="Arial" w:hAnsi="Arial" w:cs="Arial"/>
                <w:sz w:val="18"/>
                <w:szCs w:val="18"/>
              </w:rPr>
              <w:t xml:space="preserve"> listing)</w:t>
            </w:r>
          </w:p>
          <w:p w14:paraId="440ECE84" w14:textId="6F3F7FB3" w:rsidR="007F0847" w:rsidRPr="00D2401D" w:rsidRDefault="007F0847" w:rsidP="007F0847">
            <w:pPr>
              <w:rPr>
                <w:rFonts w:ascii="Arial" w:hAnsi="Arial" w:cs="Arial"/>
                <w:sz w:val="18"/>
                <w:szCs w:val="18"/>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07156AD5" w14:textId="46C8A65D" w:rsidR="00EF74BA" w:rsidRDefault="007F0847" w:rsidP="00952ADE">
            <w:pPr>
              <w:keepLines/>
              <w:widowControl w:val="0"/>
              <w:spacing w:after="120"/>
              <w:jc w:val="center"/>
              <w:rPr>
                <w:rFonts w:ascii="Arial" w:hAnsi="Arial" w:cs="Arial"/>
                <w:sz w:val="18"/>
                <w:szCs w:val="18"/>
              </w:rPr>
            </w:pPr>
            <w:r w:rsidRPr="007F0847">
              <w:rPr>
                <w:rFonts w:ascii="Arial" w:hAnsi="Arial" w:cs="Arial"/>
                <w:sz w:val="18"/>
                <w:szCs w:val="18"/>
              </w:rPr>
              <w:t>Thrombopoietin-receptor agonists (TPO-</w:t>
            </w:r>
            <w:r w:rsidR="007648A0" w:rsidRPr="007F0847">
              <w:rPr>
                <w:rFonts w:ascii="Arial" w:hAnsi="Arial" w:cs="Arial"/>
                <w:sz w:val="18"/>
                <w:szCs w:val="18"/>
              </w:rPr>
              <w:t>R</w:t>
            </w:r>
            <w:r w:rsidR="007648A0">
              <w:rPr>
                <w:rFonts w:ascii="Arial" w:hAnsi="Arial" w:cs="Arial"/>
                <w:sz w:val="18"/>
                <w:szCs w:val="18"/>
              </w:rPr>
              <w:t>A</w:t>
            </w:r>
            <w:r w:rsidR="007648A0" w:rsidRPr="007F0847">
              <w:rPr>
                <w:rFonts w:ascii="Arial" w:hAnsi="Arial" w:cs="Arial"/>
                <w:sz w:val="18"/>
                <w:szCs w:val="18"/>
              </w:rPr>
              <w:t>s</w:t>
            </w:r>
            <w:r w:rsidRPr="007F0847">
              <w:rPr>
                <w:rFonts w:ascii="Arial" w:hAnsi="Arial" w:cs="Arial"/>
                <w:sz w:val="18"/>
                <w:szCs w:val="18"/>
              </w:rPr>
              <w:t>) for primary immune thrombocytopenia (ITP)</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BB02ECA" w14:textId="7DE5BD8F" w:rsidR="00EF74BA" w:rsidRPr="006A1809" w:rsidRDefault="007F0847" w:rsidP="007F0847">
            <w:pPr>
              <w:keepLines/>
              <w:widowControl w:val="0"/>
              <w:spacing w:after="120"/>
              <w:rPr>
                <w:rFonts w:ascii="Arial" w:hAnsi="Arial" w:cs="Arial"/>
                <w:snapToGrid w:val="0"/>
                <w:sz w:val="18"/>
                <w:szCs w:val="18"/>
                <w:lang w:eastAsia="en-US"/>
              </w:rPr>
            </w:pPr>
            <w:r w:rsidRPr="007F0847">
              <w:rPr>
                <w:rFonts w:ascii="Arial" w:hAnsi="Arial" w:cs="Arial"/>
                <w:snapToGrid w:val="0"/>
                <w:sz w:val="18"/>
                <w:szCs w:val="18"/>
                <w:lang w:eastAsia="en-US"/>
              </w:rPr>
              <w:t>To review the PBS restrictions for romiplostim and</w:t>
            </w:r>
            <w:r w:rsidR="00062335">
              <w:rPr>
                <w:rFonts w:ascii="Arial" w:hAnsi="Arial" w:cs="Arial"/>
                <w:snapToGrid w:val="0"/>
                <w:sz w:val="18"/>
                <w:szCs w:val="18"/>
                <w:lang w:eastAsia="en-US"/>
              </w:rPr>
              <w:t xml:space="preserve"> </w:t>
            </w:r>
            <w:r w:rsidRPr="007F0847">
              <w:rPr>
                <w:rFonts w:ascii="Arial" w:hAnsi="Arial" w:cs="Arial"/>
                <w:snapToGrid w:val="0"/>
                <w:sz w:val="18"/>
                <w:szCs w:val="18"/>
                <w:lang w:eastAsia="en-US"/>
              </w:rPr>
              <w:t>eltrombopag</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1197F177" w14:textId="0DD47A0B" w:rsidR="00EF74BA" w:rsidRDefault="00062335" w:rsidP="000A5A82">
            <w:pPr>
              <w:keepLines/>
              <w:spacing w:after="120"/>
              <w:jc w:val="center"/>
              <w:rPr>
                <w:rFonts w:ascii="Arial" w:hAnsi="Arial" w:cs="Arial"/>
                <w:color w:val="000000"/>
                <w:sz w:val="18"/>
                <w:szCs w:val="21"/>
                <w:shd w:val="clear" w:color="auto" w:fill="FFFFFF"/>
              </w:rPr>
            </w:pPr>
            <w:r>
              <w:rPr>
                <w:rFonts w:ascii="Arial" w:hAnsi="Arial" w:cs="Arial"/>
                <w:color w:val="000000"/>
                <w:sz w:val="18"/>
                <w:szCs w:val="21"/>
                <w:shd w:val="clear" w:color="auto" w:fill="FFFFFF"/>
              </w:rPr>
              <w:t>Recommended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7662A37D" w14:textId="3245A125" w:rsidR="00062335" w:rsidRPr="00062335" w:rsidRDefault="00062335" w:rsidP="00062335">
            <w:pPr>
              <w:keepLines/>
              <w:spacing w:after="120"/>
              <w:rPr>
                <w:rFonts w:ascii="Arial" w:hAnsi="Arial" w:cs="Arial"/>
                <w:color w:val="000000"/>
                <w:sz w:val="18"/>
                <w:szCs w:val="21"/>
                <w:shd w:val="clear" w:color="auto" w:fill="FFFFFF"/>
              </w:rPr>
            </w:pPr>
            <w:r w:rsidRPr="00062335">
              <w:rPr>
                <w:rFonts w:ascii="Arial" w:hAnsi="Arial" w:cs="Arial"/>
                <w:color w:val="000000"/>
                <w:sz w:val="18"/>
                <w:szCs w:val="21"/>
                <w:shd w:val="clear" w:color="auto" w:fill="FFFFFF"/>
              </w:rPr>
              <w:t xml:space="preserve">The PBAC recommended </w:t>
            </w:r>
            <w:r w:rsidR="001B5C7A">
              <w:rPr>
                <w:rFonts w:ascii="Arial" w:hAnsi="Arial" w:cs="Arial"/>
                <w:color w:val="000000"/>
                <w:sz w:val="18"/>
                <w:szCs w:val="21"/>
                <w:shd w:val="clear" w:color="auto" w:fill="FFFFFF"/>
              </w:rPr>
              <w:t>changes</w:t>
            </w:r>
            <w:r w:rsidR="001B5C7A" w:rsidRPr="00062335">
              <w:rPr>
                <w:rFonts w:ascii="Arial" w:hAnsi="Arial" w:cs="Arial"/>
                <w:color w:val="000000"/>
                <w:sz w:val="18"/>
                <w:szCs w:val="21"/>
                <w:shd w:val="clear" w:color="auto" w:fill="FFFFFF"/>
              </w:rPr>
              <w:t xml:space="preserve"> </w:t>
            </w:r>
            <w:r w:rsidRPr="00062335">
              <w:rPr>
                <w:rFonts w:ascii="Arial" w:hAnsi="Arial" w:cs="Arial"/>
                <w:color w:val="000000"/>
                <w:sz w:val="18"/>
                <w:szCs w:val="21"/>
                <w:shd w:val="clear" w:color="auto" w:fill="FFFFFF"/>
              </w:rPr>
              <w:t>to the restrictions of romiplostim and eltrombopag on the PBS to align with current treatment guidelines. The PBAC recommended that:</w:t>
            </w:r>
          </w:p>
          <w:p w14:paraId="4126F6BC" w14:textId="3E12F4DA" w:rsidR="00062335" w:rsidRPr="00062335" w:rsidRDefault="00062335" w:rsidP="00062335">
            <w:pPr>
              <w:pStyle w:val="ListParagraph"/>
              <w:keepLines/>
              <w:numPr>
                <w:ilvl w:val="0"/>
                <w:numId w:val="48"/>
              </w:numPr>
              <w:spacing w:after="120"/>
              <w:rPr>
                <w:rFonts w:ascii="Arial" w:hAnsi="Arial" w:cs="Arial"/>
                <w:color w:val="000000"/>
                <w:sz w:val="18"/>
                <w:szCs w:val="21"/>
                <w:shd w:val="clear" w:color="auto" w:fill="FFFFFF"/>
              </w:rPr>
            </w:pPr>
            <w:r w:rsidRPr="00062335">
              <w:rPr>
                <w:rFonts w:ascii="Arial" w:hAnsi="Arial" w:cs="Arial"/>
                <w:color w:val="000000"/>
                <w:sz w:val="18"/>
                <w:szCs w:val="21"/>
                <w:shd w:val="clear" w:color="auto" w:fill="FFFFFF"/>
              </w:rPr>
              <w:t>switching between eltrombopag and romiplostim be allowed at any time and wording in the restriction about switching within 24 weeks be removed to mitigate any confusion among prescribers</w:t>
            </w:r>
            <w:r w:rsidR="007648A0">
              <w:rPr>
                <w:rFonts w:ascii="Arial" w:hAnsi="Arial" w:cs="Arial"/>
                <w:color w:val="000000"/>
                <w:sz w:val="18"/>
                <w:szCs w:val="21"/>
                <w:shd w:val="clear" w:color="auto" w:fill="FFFFFF"/>
              </w:rPr>
              <w:t>;</w:t>
            </w:r>
          </w:p>
          <w:p w14:paraId="0ED45BBF" w14:textId="784831DF" w:rsidR="00062335" w:rsidRPr="00062335" w:rsidRDefault="00062335" w:rsidP="00062335">
            <w:pPr>
              <w:pStyle w:val="ListParagraph"/>
              <w:keepLines/>
              <w:numPr>
                <w:ilvl w:val="0"/>
                <w:numId w:val="48"/>
              </w:numPr>
              <w:spacing w:after="120"/>
              <w:rPr>
                <w:rFonts w:ascii="Arial" w:hAnsi="Arial" w:cs="Arial"/>
                <w:color w:val="000000"/>
                <w:sz w:val="18"/>
                <w:szCs w:val="21"/>
                <w:shd w:val="clear" w:color="auto" w:fill="FFFFFF"/>
              </w:rPr>
            </w:pPr>
            <w:r w:rsidRPr="00062335">
              <w:rPr>
                <w:rFonts w:ascii="Arial" w:hAnsi="Arial" w:cs="Arial"/>
                <w:color w:val="000000"/>
                <w:sz w:val="18"/>
                <w:szCs w:val="21"/>
                <w:shd w:val="clear" w:color="auto" w:fill="FFFFFF"/>
              </w:rPr>
              <w:t>the requirement for prior splenectomy or contraindication to splenectomy use be removed</w:t>
            </w:r>
            <w:r w:rsidR="007648A0">
              <w:rPr>
                <w:rFonts w:ascii="Arial" w:hAnsi="Arial" w:cs="Arial"/>
                <w:color w:val="000000"/>
                <w:sz w:val="18"/>
                <w:szCs w:val="21"/>
                <w:shd w:val="clear" w:color="auto" w:fill="FFFFFF"/>
              </w:rPr>
              <w:t>;</w:t>
            </w:r>
          </w:p>
          <w:p w14:paraId="03D072E0" w14:textId="533D08B4" w:rsidR="00062335" w:rsidRPr="00062335" w:rsidRDefault="00062335" w:rsidP="00062335">
            <w:pPr>
              <w:pStyle w:val="ListParagraph"/>
              <w:keepLines/>
              <w:numPr>
                <w:ilvl w:val="0"/>
                <w:numId w:val="48"/>
              </w:numPr>
              <w:spacing w:after="120"/>
              <w:rPr>
                <w:rFonts w:ascii="Arial" w:hAnsi="Arial" w:cs="Arial"/>
                <w:color w:val="000000"/>
                <w:sz w:val="18"/>
                <w:szCs w:val="21"/>
                <w:shd w:val="clear" w:color="auto" w:fill="FFFFFF"/>
              </w:rPr>
            </w:pPr>
            <w:r w:rsidRPr="00062335">
              <w:rPr>
                <w:rFonts w:ascii="Arial" w:hAnsi="Arial" w:cs="Arial"/>
                <w:color w:val="000000"/>
                <w:sz w:val="18"/>
                <w:szCs w:val="21"/>
                <w:shd w:val="clear" w:color="auto" w:fill="FFFFFF"/>
              </w:rPr>
              <w:t>children be included in the updated restrictions by removing age limits</w:t>
            </w:r>
            <w:r w:rsidR="007648A0">
              <w:rPr>
                <w:rFonts w:ascii="Arial" w:hAnsi="Arial" w:cs="Arial"/>
                <w:color w:val="000000"/>
                <w:sz w:val="18"/>
                <w:szCs w:val="21"/>
                <w:shd w:val="clear" w:color="auto" w:fill="FFFFFF"/>
              </w:rPr>
              <w:t>;</w:t>
            </w:r>
          </w:p>
          <w:p w14:paraId="6ED3AF99" w14:textId="0BFF173B" w:rsidR="00062335" w:rsidRPr="00062335" w:rsidRDefault="00062335" w:rsidP="00062335">
            <w:pPr>
              <w:pStyle w:val="ListParagraph"/>
              <w:keepLines/>
              <w:numPr>
                <w:ilvl w:val="0"/>
                <w:numId w:val="48"/>
              </w:numPr>
              <w:spacing w:after="120"/>
              <w:rPr>
                <w:rFonts w:ascii="Arial" w:hAnsi="Arial" w:cs="Arial"/>
                <w:color w:val="000000"/>
                <w:sz w:val="18"/>
                <w:szCs w:val="21"/>
                <w:shd w:val="clear" w:color="auto" w:fill="FFFFFF"/>
              </w:rPr>
            </w:pPr>
            <w:r w:rsidRPr="00062335">
              <w:rPr>
                <w:rFonts w:ascii="Arial" w:hAnsi="Arial" w:cs="Arial"/>
                <w:color w:val="000000"/>
                <w:sz w:val="18"/>
                <w:szCs w:val="21"/>
                <w:shd w:val="clear" w:color="auto" w:fill="FFFFFF"/>
              </w:rPr>
              <w:t xml:space="preserve">restrictions on platelet count specified in continuing treatment be removed, and treatment be allowed to continue if the patient can maintain </w:t>
            </w:r>
            <w:r w:rsidR="007648A0">
              <w:rPr>
                <w:rFonts w:ascii="Arial" w:hAnsi="Arial" w:cs="Arial"/>
                <w:color w:val="000000"/>
                <w:sz w:val="18"/>
                <w:szCs w:val="21"/>
                <w:shd w:val="clear" w:color="auto" w:fill="FFFFFF"/>
              </w:rPr>
              <w:t xml:space="preserve">a </w:t>
            </w:r>
            <w:r w:rsidRPr="00062335">
              <w:rPr>
                <w:rFonts w:ascii="Arial" w:hAnsi="Arial" w:cs="Arial"/>
                <w:color w:val="000000"/>
                <w:sz w:val="18"/>
                <w:szCs w:val="21"/>
                <w:shd w:val="clear" w:color="auto" w:fill="FFFFFF"/>
              </w:rPr>
              <w:t>platelet count sufficient to prevent clinically significant bleeding</w:t>
            </w:r>
            <w:r w:rsidR="007648A0">
              <w:rPr>
                <w:rFonts w:ascii="Arial" w:hAnsi="Arial" w:cs="Arial"/>
                <w:color w:val="000000"/>
                <w:sz w:val="18"/>
                <w:szCs w:val="21"/>
                <w:shd w:val="clear" w:color="auto" w:fill="FFFFFF"/>
              </w:rPr>
              <w:t>;</w:t>
            </w:r>
          </w:p>
          <w:p w14:paraId="10FFEB2E" w14:textId="2E603CA5" w:rsidR="00EF74BA" w:rsidRPr="00062335" w:rsidRDefault="00062335" w:rsidP="00062335">
            <w:pPr>
              <w:pStyle w:val="ListParagraph"/>
              <w:keepLines/>
              <w:numPr>
                <w:ilvl w:val="0"/>
                <w:numId w:val="48"/>
              </w:numPr>
              <w:spacing w:after="120"/>
              <w:rPr>
                <w:rFonts w:ascii="Arial" w:hAnsi="Arial" w:cs="Arial"/>
                <w:color w:val="000000"/>
                <w:sz w:val="18"/>
                <w:szCs w:val="21"/>
                <w:shd w:val="clear" w:color="auto" w:fill="FFFFFF"/>
              </w:rPr>
            </w:pPr>
            <w:r w:rsidRPr="00062335">
              <w:rPr>
                <w:rFonts w:ascii="Arial" w:hAnsi="Arial" w:cs="Arial"/>
                <w:color w:val="000000"/>
                <w:sz w:val="18"/>
                <w:szCs w:val="21"/>
                <w:shd w:val="clear" w:color="auto" w:fill="FFFFFF"/>
              </w:rPr>
              <w:t>the requirement to stipulate toxicity to corticosteroid and immunoglobulin be removed.</w:t>
            </w:r>
          </w:p>
        </w:tc>
      </w:tr>
      <w:bookmarkEnd w:id="0"/>
    </w:tbl>
    <w:p w14:paraId="34534BB3" w14:textId="3AF18415" w:rsidR="00952ADE" w:rsidRDefault="00952ADE">
      <w:pPr>
        <w:rPr>
          <w:rFonts w:asciiTheme="minorHAnsi" w:hAnsiTheme="minorHAnsi" w:cstheme="minorHAnsi"/>
          <w:sz w:val="18"/>
          <w:szCs w:val="18"/>
          <w:lang w:val="en-US"/>
        </w:rPr>
      </w:pPr>
    </w:p>
    <w:p w14:paraId="4E516232" w14:textId="77777777" w:rsidR="003835EB" w:rsidRDefault="003835EB">
      <w:pPr>
        <w:rPr>
          <w:rFonts w:asciiTheme="minorHAnsi" w:hAnsiTheme="minorHAnsi" w:cstheme="minorHAnsi"/>
          <w:sz w:val="18"/>
          <w:szCs w:val="18"/>
          <w:lang w:val="en-US"/>
        </w:rPr>
      </w:pPr>
    </w:p>
    <w:p w14:paraId="662F0672" w14:textId="351735AE" w:rsidR="00952ADE" w:rsidRDefault="00952ADE">
      <w:pPr>
        <w:rPr>
          <w:rFonts w:asciiTheme="minorHAnsi" w:hAnsiTheme="minorHAnsi" w:cstheme="minorHAnsi"/>
          <w:sz w:val="18"/>
          <w:szCs w:val="18"/>
          <w:lang w:val="en-US"/>
        </w:rPr>
      </w:pPr>
    </w:p>
    <w:p w14:paraId="61FCBCC1" w14:textId="37E214A4" w:rsidR="00952ADE" w:rsidRDefault="00952ADE">
      <w:pPr>
        <w:rPr>
          <w:rFonts w:asciiTheme="minorHAnsi" w:hAnsiTheme="minorHAnsi" w:cstheme="minorHAnsi"/>
          <w:sz w:val="18"/>
          <w:szCs w:val="18"/>
          <w:lang w:val="en-US"/>
        </w:rPr>
      </w:pPr>
    </w:p>
    <w:p w14:paraId="44B18B02" w14:textId="6A2E930E" w:rsidR="00952ADE" w:rsidRDefault="00952ADE">
      <w:pPr>
        <w:rPr>
          <w:rFonts w:asciiTheme="minorHAnsi" w:hAnsiTheme="minorHAnsi" w:cstheme="minorHAnsi"/>
          <w:sz w:val="18"/>
          <w:szCs w:val="18"/>
          <w:lang w:val="en-US"/>
        </w:rPr>
      </w:pPr>
    </w:p>
    <w:p w14:paraId="12A4F9AF" w14:textId="2330F347" w:rsidR="003835EB" w:rsidRDefault="003835EB">
      <w:pPr>
        <w:rPr>
          <w:rFonts w:asciiTheme="minorHAnsi" w:hAnsiTheme="minorHAnsi" w:cstheme="minorHAnsi"/>
          <w:sz w:val="18"/>
          <w:szCs w:val="18"/>
          <w:lang w:val="en-US"/>
        </w:rPr>
      </w:pPr>
      <w:r>
        <w:rPr>
          <w:rFonts w:asciiTheme="minorHAnsi" w:hAnsiTheme="minorHAnsi" w:cstheme="minorHAnsi"/>
          <w:sz w:val="18"/>
          <w:szCs w:val="18"/>
          <w:lang w:val="en-US"/>
        </w:rPr>
        <w:br w:type="page"/>
      </w:r>
    </w:p>
    <w:p w14:paraId="6CE3C41E" w14:textId="5E1C6509" w:rsidR="00640C80" w:rsidRPr="001D4E5E" w:rsidRDefault="005A0A21" w:rsidP="00EF3B9C">
      <w:pPr>
        <w:rPr>
          <w:rFonts w:ascii="Arial" w:hAnsi="Arial" w:cs="Arial"/>
          <w:b/>
          <w:sz w:val="18"/>
          <w:szCs w:val="18"/>
          <w:lang w:val="en-US"/>
        </w:rPr>
      </w:pPr>
      <w:r w:rsidRPr="001D4E5E">
        <w:rPr>
          <w:rFonts w:ascii="Arial" w:hAnsi="Arial" w:cs="Arial"/>
          <w:b/>
          <w:sz w:val="18"/>
          <w:szCs w:val="18"/>
          <w:lang w:val="en-US"/>
        </w:rPr>
        <w:lastRenderedPageBreak/>
        <w:t>Resubmission pathways</w:t>
      </w:r>
    </w:p>
    <w:p w14:paraId="025CE011" w14:textId="77777777" w:rsidR="005A0A21" w:rsidRPr="001D4E5E" w:rsidRDefault="005A0A21" w:rsidP="00640C80">
      <w:pPr>
        <w:tabs>
          <w:tab w:val="left" w:pos="5210"/>
        </w:tabs>
        <w:rPr>
          <w:rFonts w:asciiTheme="minorHAnsi" w:hAnsiTheme="minorHAnsi" w:cstheme="minorHAnsi"/>
          <w:b/>
          <w:sz w:val="18"/>
          <w:szCs w:val="18"/>
          <w:lang w:val="en-US"/>
        </w:rPr>
      </w:pPr>
    </w:p>
    <w:tbl>
      <w:tblPr>
        <w:tblW w:w="4701" w:type="pct"/>
        <w:tblInd w:w="416" w:type="dxa"/>
        <w:tblCellMar>
          <w:left w:w="0" w:type="dxa"/>
          <w:right w:w="0" w:type="dxa"/>
        </w:tblCellMar>
        <w:tblLook w:val="04A0" w:firstRow="1" w:lastRow="0" w:firstColumn="1" w:lastColumn="0" w:noHBand="0" w:noVBand="1"/>
      </w:tblPr>
      <w:tblGrid>
        <w:gridCol w:w="2068"/>
        <w:gridCol w:w="12390"/>
      </w:tblGrid>
      <w:tr w:rsidR="004A3371" w:rsidRPr="00687774" w14:paraId="1B32CA1F" w14:textId="77777777" w:rsidTr="004A3371">
        <w:tc>
          <w:tcPr>
            <w:tcW w:w="1445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6822E31" w14:textId="77777777" w:rsidR="004A3371" w:rsidRPr="001D4E5E" w:rsidRDefault="004A3371">
            <w:pPr>
              <w:rPr>
                <w:rFonts w:ascii="Arial" w:hAnsi="Arial" w:cs="Arial"/>
                <w:sz w:val="18"/>
                <w:szCs w:val="18"/>
              </w:rPr>
            </w:pPr>
            <w:r w:rsidRPr="001D4E5E">
              <w:rPr>
                <w:rFonts w:ascii="Arial" w:hAnsi="Arial" w:cs="Arial"/>
                <w:color w:val="333333"/>
                <w:sz w:val="18"/>
                <w:szCs w:val="18"/>
              </w:rPr>
              <w:t xml:space="preserve">*There are four different resubmission pathways available to applicants following a ‘not recommended’ PBAC outcome. Resubmission pathways are not available for submissions that receive a positive recommendation from the PBAC. </w:t>
            </w:r>
            <w:r w:rsidRPr="001D4E5E">
              <w:rPr>
                <w:rFonts w:ascii="Arial" w:hAnsi="Arial" w:cs="Arial"/>
                <w:sz w:val="18"/>
                <w:szCs w:val="18"/>
              </w:rPr>
              <w:t>The resubmission pathways are classified into the following categories:</w:t>
            </w:r>
          </w:p>
        </w:tc>
      </w:tr>
      <w:tr w:rsidR="004A3371" w:rsidRPr="00687774" w14:paraId="5A78A628"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680C335" w14:textId="77777777" w:rsidR="004A3371" w:rsidRPr="001D4E5E" w:rsidRDefault="004A3371">
            <w:pPr>
              <w:spacing w:after="160" w:line="252" w:lineRule="auto"/>
              <w:contextualSpacing/>
              <w:rPr>
                <w:rFonts w:ascii="Arial" w:hAnsi="Arial" w:cs="Arial"/>
                <w:b/>
                <w:bCs/>
                <w:sz w:val="18"/>
                <w:szCs w:val="18"/>
              </w:rPr>
            </w:pPr>
            <w:r w:rsidRPr="001D4E5E">
              <w:rPr>
                <w:rFonts w:ascii="Arial" w:hAnsi="Arial" w:cs="Arial"/>
                <w:b/>
                <w:bCs/>
                <w:sz w:val="18"/>
                <w:szCs w:val="18"/>
              </w:rPr>
              <w:t>Standard re-entry</w:t>
            </w:r>
          </w:p>
          <w:p w14:paraId="14CD87B9" w14:textId="77777777" w:rsidR="004A3371" w:rsidRPr="001D4E5E" w:rsidRDefault="004A3371">
            <w:pPr>
              <w:spacing w:line="252" w:lineRule="auto"/>
              <w:rPr>
                <w:rFonts w:ascii="Arial" w:hAnsi="Arial" w:cs="Arial"/>
                <w:b/>
                <w:bCs/>
                <w:sz w:val="18"/>
                <w:szCs w:val="18"/>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BDC71EA" w14:textId="77777777" w:rsidR="004A3371" w:rsidRPr="001D4E5E" w:rsidRDefault="004A3371">
            <w:pPr>
              <w:autoSpaceDE w:val="0"/>
              <w:autoSpaceDN w:val="0"/>
              <w:rPr>
                <w:rFonts w:ascii="Arial" w:hAnsi="Arial" w:cs="Arial"/>
                <w:color w:val="000000"/>
                <w:sz w:val="18"/>
                <w:szCs w:val="18"/>
              </w:rPr>
            </w:pPr>
            <w:r w:rsidRPr="001D4E5E">
              <w:rPr>
                <w:rFonts w:ascii="Arial" w:hAnsi="Arial" w:cs="Arial"/>
                <w:color w:val="000000"/>
                <w:sz w:val="18"/>
                <w:szCs w:val="18"/>
              </w:rPr>
              <w:t xml:space="preserve">The Standard Re-entry Pathway is the default pathway for resubmissions and also applies where: </w:t>
            </w:r>
          </w:p>
          <w:p w14:paraId="430AF034" w14:textId="77777777" w:rsidR="004A3371" w:rsidRPr="001D4E5E" w:rsidRDefault="004A3371" w:rsidP="004A3371">
            <w:pPr>
              <w:pStyle w:val="ListParagraph"/>
              <w:numPr>
                <w:ilvl w:val="0"/>
                <w:numId w:val="46"/>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an applicant chooses not to accept the PBAC nominated resubmission pathway; or </w:t>
            </w:r>
          </w:p>
          <w:p w14:paraId="15ADDEB3" w14:textId="3C3608FE" w:rsidR="004A3371" w:rsidRPr="001D4E5E" w:rsidRDefault="004A3371" w:rsidP="004A3371">
            <w:pPr>
              <w:pStyle w:val="ListParagraph"/>
              <w:numPr>
                <w:ilvl w:val="0"/>
                <w:numId w:val="46"/>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an Early Re-entry or Early Resolution Pathway has been nominated by the PBAC and an applicant decides to address issues other than those identified by the PBAC (including a subset of issues); or </w:t>
            </w:r>
          </w:p>
          <w:p w14:paraId="4A452A68" w14:textId="4740DC48" w:rsidR="004A3371" w:rsidRPr="001D4E5E" w:rsidRDefault="004A3371" w:rsidP="00F1210C">
            <w:pPr>
              <w:pStyle w:val="ListParagraph"/>
              <w:numPr>
                <w:ilvl w:val="0"/>
                <w:numId w:val="46"/>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an applicant decides to lodge later than the allowable timelines for the other pathways. </w:t>
            </w:r>
          </w:p>
        </w:tc>
      </w:tr>
      <w:tr w:rsidR="004A3371" w:rsidRPr="00687774" w14:paraId="46BDFCAF"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18B2638" w14:textId="77777777" w:rsidR="004A3371" w:rsidRPr="001D4E5E" w:rsidRDefault="004A3371">
            <w:pPr>
              <w:spacing w:after="160" w:line="252" w:lineRule="auto"/>
              <w:contextualSpacing/>
              <w:rPr>
                <w:rFonts w:ascii="Arial" w:hAnsi="Arial" w:cs="Arial"/>
                <w:b/>
                <w:bCs/>
                <w:sz w:val="18"/>
                <w:szCs w:val="18"/>
                <w:lang w:eastAsia="en-US"/>
              </w:rPr>
            </w:pPr>
            <w:r w:rsidRPr="001D4E5E">
              <w:rPr>
                <w:rFonts w:ascii="Arial" w:hAnsi="Arial" w:cs="Arial"/>
                <w:b/>
                <w:bCs/>
                <w:sz w:val="18"/>
                <w:szCs w:val="18"/>
              </w:rPr>
              <w:t>Early re-entry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2461C72" w14:textId="77777777" w:rsidR="004A3371" w:rsidRPr="001D4E5E" w:rsidRDefault="004A3371">
            <w:pPr>
              <w:spacing w:after="160" w:line="252" w:lineRule="auto"/>
              <w:contextualSpacing/>
              <w:rPr>
                <w:rFonts w:ascii="Arial" w:hAnsi="Arial" w:cs="Arial"/>
                <w:color w:val="000000"/>
                <w:sz w:val="18"/>
                <w:szCs w:val="18"/>
              </w:rPr>
            </w:pPr>
            <w:r w:rsidRPr="001D4E5E">
              <w:rPr>
                <w:rFonts w:ascii="Arial" w:hAnsi="Arial" w:cs="Arial"/>
                <w:sz w:val="18"/>
                <w:szCs w:val="18"/>
              </w:rPr>
              <w:t>An Early Re-entry Pathway may be nominated by the PBAC where the PBAC considers that the remaining issues could be easily resolved and the medicine or vaccine does not represent HATV for the proposed population. Applicants who accept this pathway are eligible for PBAC consideration at the immediate next meeting.</w:t>
            </w:r>
          </w:p>
        </w:tc>
      </w:tr>
      <w:tr w:rsidR="004A3371" w:rsidRPr="00687774" w14:paraId="1A2475F2"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193930E" w14:textId="77777777" w:rsidR="004A3371" w:rsidRPr="001D4E5E" w:rsidRDefault="004A3371">
            <w:pPr>
              <w:spacing w:line="252" w:lineRule="auto"/>
              <w:rPr>
                <w:rFonts w:ascii="Arial" w:hAnsi="Arial" w:cs="Arial"/>
                <w:b/>
                <w:bCs/>
                <w:sz w:val="18"/>
                <w:szCs w:val="18"/>
                <w:lang w:eastAsia="en-US"/>
              </w:rPr>
            </w:pPr>
            <w:r w:rsidRPr="001D4E5E">
              <w:rPr>
                <w:rFonts w:ascii="Arial" w:hAnsi="Arial" w:cs="Arial"/>
                <w:b/>
                <w:bCs/>
                <w:sz w:val="18"/>
                <w:szCs w:val="18"/>
              </w:rPr>
              <w:t>Early resolution pathway</w:t>
            </w:r>
          </w:p>
          <w:p w14:paraId="157D2C85" w14:textId="77777777" w:rsidR="004A3371" w:rsidRPr="001D4E5E" w:rsidRDefault="004A3371">
            <w:pPr>
              <w:rPr>
                <w:rFonts w:ascii="Arial" w:hAnsi="Arial" w:cs="Arial"/>
                <w:sz w:val="18"/>
                <w:szCs w:val="18"/>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21B924" w14:textId="77777777" w:rsidR="004A3371" w:rsidRPr="001D4E5E" w:rsidRDefault="004A3371">
            <w:pPr>
              <w:autoSpaceDE w:val="0"/>
              <w:autoSpaceDN w:val="0"/>
              <w:rPr>
                <w:rFonts w:ascii="Arial" w:hAnsi="Arial" w:cs="Arial"/>
                <w:color w:val="000000"/>
                <w:sz w:val="18"/>
                <w:szCs w:val="18"/>
              </w:rPr>
            </w:pPr>
            <w:r w:rsidRPr="001D4E5E">
              <w:rPr>
                <w:rFonts w:ascii="Arial" w:hAnsi="Arial" w:cs="Arial"/>
                <w:color w:val="000000"/>
                <w:sz w:val="18"/>
                <w:szCs w:val="18"/>
              </w:rPr>
              <w:t xml:space="preserve">For medicines or vaccines deemed by the PBAC to represent High Added Therapeutic Value (HATV) AND where the PBAC considers that the remaining issues could be easily resolved, including when: </w:t>
            </w:r>
          </w:p>
          <w:p w14:paraId="6EC882B7" w14:textId="77777777" w:rsidR="004A3371" w:rsidRPr="001D4E5E" w:rsidRDefault="004A3371" w:rsidP="004A3371">
            <w:pPr>
              <w:pStyle w:val="ListParagraph"/>
              <w:numPr>
                <w:ilvl w:val="0"/>
                <w:numId w:val="47"/>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new clinical study data requiring evaluation is not considered necessary by the PBAC to support new clinical claims to be made in the resubmission; and </w:t>
            </w:r>
          </w:p>
          <w:p w14:paraId="1D4B869E" w14:textId="77777777" w:rsidR="004A3371" w:rsidRPr="001D4E5E" w:rsidRDefault="004A3371" w:rsidP="004A3371">
            <w:pPr>
              <w:pStyle w:val="ListParagraph"/>
              <w:numPr>
                <w:ilvl w:val="0"/>
                <w:numId w:val="47"/>
              </w:numPr>
              <w:autoSpaceDE w:val="0"/>
              <w:autoSpaceDN w:val="0"/>
              <w:spacing w:after="120"/>
              <w:contextualSpacing w:val="0"/>
              <w:rPr>
                <w:rFonts w:ascii="Arial" w:hAnsi="Arial" w:cs="Arial"/>
                <w:color w:val="000000"/>
                <w:sz w:val="18"/>
                <w:szCs w:val="18"/>
              </w:rPr>
            </w:pPr>
            <w:r w:rsidRPr="001D4E5E">
              <w:rPr>
                <w:rFonts w:ascii="Arial" w:hAnsi="Arial" w:cs="Arial"/>
                <w:color w:val="000000"/>
                <w:sz w:val="18"/>
                <w:szCs w:val="18"/>
              </w:rPr>
              <w:t xml:space="preserve">a revised model structure or input variable changes (beyond those specified by the PBAC) are not necessary to support any new economic claims, or to estimate the utilisation and financial impacts to be made in the resubmission. </w:t>
            </w:r>
          </w:p>
          <w:p w14:paraId="757810AB" w14:textId="77777777" w:rsidR="004A3371" w:rsidRPr="001D4E5E" w:rsidRDefault="004A3371">
            <w:pPr>
              <w:pStyle w:val="NormalWeb"/>
              <w:spacing w:before="0" w:beforeAutospacing="0" w:after="0" w:afterAutospacing="0"/>
              <w:rPr>
                <w:rFonts w:ascii="Arial" w:hAnsi="Arial" w:cs="Arial"/>
                <w:sz w:val="18"/>
                <w:szCs w:val="18"/>
              </w:rPr>
            </w:pPr>
            <w:r w:rsidRPr="001D4E5E">
              <w:rPr>
                <w:rFonts w:ascii="Arial" w:hAnsi="Arial" w:cs="Arial"/>
                <w:sz w:val="18"/>
                <w:szCs w:val="18"/>
              </w:rPr>
              <w:t xml:space="preserve">Applicants who accept this pathway are eligible for PBAC consideration out-of-session (before the main meeting), unless the department, in consultation with the PBAC Chair, identifies an unexpected issue such that the resubmission needs consideration at the next main PBAC meeting. </w:t>
            </w:r>
          </w:p>
        </w:tc>
      </w:tr>
      <w:tr w:rsidR="004A3371" w:rsidRPr="00687774" w14:paraId="1CF59836"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3CD8847" w14:textId="77777777" w:rsidR="004A3371" w:rsidRPr="001D4E5E" w:rsidRDefault="004A3371">
            <w:pPr>
              <w:rPr>
                <w:rFonts w:ascii="Arial" w:hAnsi="Arial" w:cs="Arial"/>
                <w:sz w:val="18"/>
                <w:szCs w:val="18"/>
              </w:rPr>
            </w:pPr>
            <w:r w:rsidRPr="001D4E5E">
              <w:rPr>
                <w:rFonts w:ascii="Arial" w:hAnsi="Arial" w:cs="Arial"/>
                <w:b/>
                <w:bCs/>
                <w:sz w:val="18"/>
                <w:szCs w:val="18"/>
              </w:rPr>
              <w:t>Facilitated resolution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F1CA94" w14:textId="77777777" w:rsidR="004A3371" w:rsidRPr="001D4E5E" w:rsidRDefault="004A3371">
            <w:pPr>
              <w:autoSpaceDE w:val="0"/>
              <w:autoSpaceDN w:val="0"/>
              <w:rPr>
                <w:rFonts w:ascii="Arial" w:hAnsi="Arial" w:cs="Arial"/>
                <w:b/>
                <w:bCs/>
                <w:sz w:val="18"/>
                <w:szCs w:val="18"/>
                <w:highlight w:val="green"/>
              </w:rPr>
            </w:pPr>
            <w:r w:rsidRPr="001D4E5E">
              <w:rPr>
                <w:rFonts w:ascii="Arial" w:hAnsi="Arial" w:cs="Arial"/>
                <w:color w:val="000000"/>
                <w:sz w:val="18"/>
                <w:szCs w:val="18"/>
              </w:rPr>
              <w:t>A Facilitated Resolution Pathway may be nominated by the PBAC where the PBAC considers the issues for resolution could be explored through a workshop AND where the medicine or vaccine meets the HATV criteria. Applicants who accept this pathway are eligible for a solution-focussed workshop with one or more members of the PBAC. The workshop agenda will be based on the issues for resolution outlined in the PBAC Minutes. This can be further clarified during the post-PBAC meeting with the Chair.</w:t>
            </w:r>
          </w:p>
        </w:tc>
      </w:tr>
    </w:tbl>
    <w:p w14:paraId="4455E1A3" w14:textId="1C843216" w:rsidR="00AD3477" w:rsidRPr="001D4E5E" w:rsidRDefault="00AD3477" w:rsidP="004A3371">
      <w:pPr>
        <w:tabs>
          <w:tab w:val="left" w:pos="5210"/>
        </w:tabs>
        <w:rPr>
          <w:rFonts w:asciiTheme="minorHAnsi" w:hAnsiTheme="minorHAnsi" w:cstheme="minorHAnsi"/>
          <w:sz w:val="18"/>
          <w:szCs w:val="18"/>
          <w:lang w:val="en-US"/>
        </w:rPr>
      </w:pPr>
    </w:p>
    <w:sectPr w:rsidR="00AD3477" w:rsidRPr="001D4E5E" w:rsidSect="0025761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F910F" w14:textId="77777777" w:rsidR="00762FCA" w:rsidRDefault="00762FCA">
      <w:r>
        <w:separator/>
      </w:r>
    </w:p>
  </w:endnote>
  <w:endnote w:type="continuationSeparator" w:id="0">
    <w:p w14:paraId="0B94B43F" w14:textId="77777777" w:rsidR="00762FCA" w:rsidRDefault="0076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67BCB" w14:textId="77777777" w:rsidR="00762FCA" w:rsidRDefault="00762FCA"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762FCA" w:rsidRDefault="00762FCA"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9180A" w14:textId="5187CDB7" w:rsidR="00762FCA" w:rsidRPr="00287C89" w:rsidRDefault="00762FCA"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3E3EC0">
      <w:rPr>
        <w:rStyle w:val="PageNumber"/>
        <w:rFonts w:ascii="Arial" w:hAnsi="Arial" w:cs="Arial"/>
        <w:noProof/>
      </w:rPr>
      <w:t>5</w:t>
    </w:r>
    <w:r w:rsidRPr="00287C89">
      <w:rPr>
        <w:rStyle w:val="PageNumber"/>
        <w:rFonts w:ascii="Arial" w:hAnsi="Arial" w:cs="Arial"/>
      </w:rPr>
      <w:fldChar w:fldCharType="end"/>
    </w:r>
  </w:p>
  <w:p w14:paraId="5DEC0542" w14:textId="77777777" w:rsidR="00762FCA" w:rsidRDefault="00762FCA" w:rsidP="00FE2A81">
    <w:pPr>
      <w:pStyle w:val="Footer"/>
      <w:ind w:right="360"/>
    </w:pPr>
  </w:p>
  <w:p w14:paraId="429295B6" w14:textId="77777777" w:rsidR="00762FCA" w:rsidRDefault="00762FCA"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FDB06" w14:textId="77777777" w:rsidR="00FD6399" w:rsidRDefault="00FD6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1AF80" w14:textId="77777777" w:rsidR="00762FCA" w:rsidRDefault="00762FCA">
      <w:r>
        <w:separator/>
      </w:r>
    </w:p>
  </w:footnote>
  <w:footnote w:type="continuationSeparator" w:id="0">
    <w:p w14:paraId="7F846E8F" w14:textId="77777777" w:rsidR="00762FCA" w:rsidRDefault="0076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3FE02" w14:textId="77777777" w:rsidR="00FD6399" w:rsidRDefault="00FD63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86D89" w14:textId="77777777" w:rsidR="00762FCA" w:rsidRPr="00571206" w:rsidRDefault="00762FCA" w:rsidP="00571206">
    <w:pPr>
      <w:autoSpaceDE w:val="0"/>
      <w:autoSpaceDN w:val="0"/>
      <w:adjustRightInd w:val="0"/>
      <w:rPr>
        <w:rFonts w:ascii="Arial" w:hAnsi="Arial" w:cs="Arial"/>
        <w:color w:val="000000"/>
        <w:sz w:val="24"/>
        <w:szCs w:val="24"/>
      </w:rPr>
    </w:pPr>
  </w:p>
  <w:p w14:paraId="117035EF" w14:textId="1E14CCFB" w:rsidR="00762FCA" w:rsidRDefault="00762FCA" w:rsidP="00571206">
    <w:pPr>
      <w:pStyle w:val="Header"/>
      <w:jc w:val="center"/>
      <w:rPr>
        <w:rFonts w:ascii="Arial" w:hAnsi="Arial" w:cs="Arial"/>
        <w:b/>
      </w:rPr>
    </w:pPr>
    <w:r w:rsidRPr="00571206">
      <w:rPr>
        <w:rFonts w:ascii="Arial" w:hAnsi="Arial" w:cs="Arial"/>
        <w:color w:val="000000"/>
        <w:sz w:val="24"/>
        <w:szCs w:val="24"/>
      </w:rPr>
      <w:t xml:space="preserve"> </w:t>
    </w:r>
    <w:r w:rsidRPr="00571206">
      <w:rPr>
        <w:rFonts w:ascii="Arial" w:hAnsi="Arial" w:cs="Arial"/>
        <w:b/>
        <w:bCs/>
        <w:color w:val="000000"/>
      </w:rPr>
      <w:t xml:space="preserve">PHARMACEUTICAL BENEFITS ADVISORY COMMITTEE (PBAC) MEETING </w:t>
    </w:r>
    <w:r w:rsidRPr="0071356F">
      <w:rPr>
        <w:rFonts w:ascii="Arial" w:hAnsi="Arial" w:cs="Arial"/>
        <w:b/>
      </w:rPr>
      <w:t>OUTCOMES</w:t>
    </w:r>
  </w:p>
  <w:p w14:paraId="69737A53" w14:textId="4935FE59" w:rsidR="00762FCA" w:rsidRDefault="00874475" w:rsidP="00571206">
    <w:pPr>
      <w:pStyle w:val="Header"/>
      <w:jc w:val="center"/>
      <w:rPr>
        <w:rFonts w:ascii="Arial" w:hAnsi="Arial" w:cs="Arial"/>
        <w:b/>
      </w:rPr>
    </w:pPr>
    <w:r>
      <w:rPr>
        <w:rFonts w:ascii="Arial" w:hAnsi="Arial" w:cs="Arial"/>
        <w:b/>
      </w:rPr>
      <w:t xml:space="preserve">MAY 2022 </w:t>
    </w:r>
    <w:r w:rsidR="00762FCA">
      <w:rPr>
        <w:rFonts w:ascii="Arial" w:hAnsi="Arial" w:cs="Arial"/>
        <w:b/>
      </w:rPr>
      <w:t>PBAC</w:t>
    </w:r>
    <w:r>
      <w:rPr>
        <w:rFonts w:ascii="Arial" w:hAnsi="Arial" w:cs="Arial"/>
        <w:b/>
      </w:rPr>
      <w:t xml:space="preserve"> INTRACYCLE</w:t>
    </w:r>
    <w:r w:rsidR="00762FCA">
      <w:rPr>
        <w:rFonts w:ascii="Arial" w:hAnsi="Arial" w:cs="Arial"/>
        <w:b/>
      </w:rPr>
      <w:t xml:space="preserve"> MEETING</w:t>
    </w:r>
  </w:p>
  <w:p w14:paraId="0E28AC1B" w14:textId="77777777" w:rsidR="00762FCA" w:rsidRPr="0071356F" w:rsidRDefault="00762FCA" w:rsidP="0071356F">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BCA4E" w14:textId="77777777" w:rsidR="00FD6399" w:rsidRDefault="00FD6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19552A6"/>
    <w:multiLevelType w:val="hybridMultilevel"/>
    <w:tmpl w:val="08AC294E"/>
    <w:lvl w:ilvl="0" w:tplc="BBA2D2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5321D"/>
    <w:multiLevelType w:val="hybridMultilevel"/>
    <w:tmpl w:val="902C696C"/>
    <w:lvl w:ilvl="0" w:tplc="785C05E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AD1CFB"/>
    <w:multiLevelType w:val="hybridMultilevel"/>
    <w:tmpl w:val="F2844B36"/>
    <w:lvl w:ilvl="0" w:tplc="D10E7B6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413B67"/>
    <w:multiLevelType w:val="hybridMultilevel"/>
    <w:tmpl w:val="232E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410BE4"/>
    <w:multiLevelType w:val="hybridMultilevel"/>
    <w:tmpl w:val="F6D83D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D1F15"/>
    <w:multiLevelType w:val="hybridMultilevel"/>
    <w:tmpl w:val="F6189D7C"/>
    <w:lvl w:ilvl="0" w:tplc="31341FC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54A8B"/>
    <w:multiLevelType w:val="hybridMultilevel"/>
    <w:tmpl w:val="DB5CF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B754780"/>
    <w:multiLevelType w:val="hybridMultilevel"/>
    <w:tmpl w:val="88C8F8E4"/>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8" w15:restartNumberingAfterBreak="0">
    <w:nsid w:val="3BE75950"/>
    <w:multiLevelType w:val="hybridMultilevel"/>
    <w:tmpl w:val="15F0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8D7906"/>
    <w:multiLevelType w:val="hybridMultilevel"/>
    <w:tmpl w:val="499C7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F030CD8"/>
    <w:multiLevelType w:val="hybridMultilevel"/>
    <w:tmpl w:val="87BCA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16745C0"/>
    <w:multiLevelType w:val="hybridMultilevel"/>
    <w:tmpl w:val="28E436AC"/>
    <w:lvl w:ilvl="0" w:tplc="3B4C541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3" w15:restartNumberingAfterBreak="0">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5"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7" w15:restartNumberingAfterBreak="0">
    <w:nsid w:val="52DC7837"/>
    <w:multiLevelType w:val="hybridMultilevel"/>
    <w:tmpl w:val="489E5A8C"/>
    <w:lvl w:ilvl="0" w:tplc="AD3C8AE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5B1360"/>
    <w:multiLevelType w:val="hybridMultilevel"/>
    <w:tmpl w:val="718C8A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94066C"/>
    <w:multiLevelType w:val="hybridMultilevel"/>
    <w:tmpl w:val="9A80C8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3" w15:restartNumberingAfterBreak="0">
    <w:nsid w:val="5D3B7667"/>
    <w:multiLevelType w:val="hybridMultilevel"/>
    <w:tmpl w:val="8326B8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A428E5"/>
    <w:multiLevelType w:val="hybridMultilevel"/>
    <w:tmpl w:val="1F8CA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D0D4E35"/>
    <w:multiLevelType w:val="hybridMultilevel"/>
    <w:tmpl w:val="8A7C4DAE"/>
    <w:lvl w:ilvl="0" w:tplc="A96E8B7C">
      <w:numFmt w:val="bullet"/>
      <w:lvlText w:val="-"/>
      <w:lvlJc w:val="left"/>
      <w:pPr>
        <w:ind w:left="1069" w:hanging="360"/>
      </w:pPr>
      <w:rPr>
        <w:rFonts w:ascii="Arial" w:eastAsia="Times New Roman" w:hAnsi="Arial" w:cs="Arial"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0" w15:restartNumberingAfterBreak="0">
    <w:nsid w:val="6D122374"/>
    <w:multiLevelType w:val="hybridMultilevel"/>
    <w:tmpl w:val="B44A314A"/>
    <w:lvl w:ilvl="0" w:tplc="785C05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103EB6"/>
    <w:multiLevelType w:val="hybridMultilevel"/>
    <w:tmpl w:val="3DA08E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3" w15:restartNumberingAfterBreak="0">
    <w:nsid w:val="784D033C"/>
    <w:multiLevelType w:val="multilevel"/>
    <w:tmpl w:val="072691B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4A0C22"/>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6" w15:restartNumberingAfterBreak="0">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6"/>
  </w:num>
  <w:num w:numId="3">
    <w:abstractNumId w:val="35"/>
  </w:num>
  <w:num w:numId="4">
    <w:abstractNumId w:val="25"/>
  </w:num>
  <w:num w:numId="5">
    <w:abstractNumId w:val="13"/>
  </w:num>
  <w:num w:numId="6">
    <w:abstractNumId w:val="6"/>
  </w:num>
  <w:num w:numId="7">
    <w:abstractNumId w:val="37"/>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1"/>
  </w:num>
  <w:num w:numId="11">
    <w:abstractNumId w:val="30"/>
  </w:num>
  <w:num w:numId="12">
    <w:abstractNumId w:val="32"/>
  </w:num>
  <w:num w:numId="13">
    <w:abstractNumId w:val="8"/>
  </w:num>
  <w:num w:numId="14">
    <w:abstractNumId w:val="31"/>
  </w:num>
  <w:num w:numId="15">
    <w:abstractNumId w:val="34"/>
  </w:num>
  <w:num w:numId="16">
    <w:abstractNumId w:val="26"/>
  </w:num>
  <w:num w:numId="17">
    <w:abstractNumId w:val="45"/>
  </w:num>
  <w:num w:numId="18">
    <w:abstractNumId w:val="47"/>
  </w:num>
  <w:num w:numId="19">
    <w:abstractNumId w:val="5"/>
  </w:num>
  <w:num w:numId="20">
    <w:abstractNumId w:val="14"/>
  </w:num>
  <w:num w:numId="21">
    <w:abstractNumId w:val="16"/>
  </w:num>
  <w:num w:numId="22">
    <w:abstractNumId w:val="43"/>
  </w:num>
  <w:num w:numId="23">
    <w:abstractNumId w:val="4"/>
  </w:num>
  <w:num w:numId="24">
    <w:abstractNumId w:val="19"/>
  </w:num>
  <w:num w:numId="25">
    <w:abstractNumId w:val="11"/>
  </w:num>
  <w:num w:numId="26">
    <w:abstractNumId w:val="9"/>
  </w:num>
  <w:num w:numId="27">
    <w:abstractNumId w:val="21"/>
  </w:num>
  <w:num w:numId="28">
    <w:abstractNumId w:val="23"/>
  </w:num>
  <w:num w:numId="29">
    <w:abstractNumId w:val="20"/>
  </w:num>
  <w:num w:numId="30">
    <w:abstractNumId w:val="46"/>
  </w:num>
  <w:num w:numId="31">
    <w:abstractNumId w:val="17"/>
  </w:num>
  <w:num w:numId="32">
    <w:abstractNumId w:val="39"/>
  </w:num>
  <w:num w:numId="33">
    <w:abstractNumId w:val="44"/>
  </w:num>
  <w:num w:numId="34">
    <w:abstractNumId w:val="42"/>
  </w:num>
  <w:num w:numId="35">
    <w:abstractNumId w:val="3"/>
  </w:num>
  <w:num w:numId="36">
    <w:abstractNumId w:val="40"/>
  </w:num>
  <w:num w:numId="37">
    <w:abstractNumId w:val="2"/>
  </w:num>
  <w:num w:numId="38">
    <w:abstractNumId w:val="18"/>
  </w:num>
  <w:num w:numId="39">
    <w:abstractNumId w:val="1"/>
  </w:num>
  <w:num w:numId="40">
    <w:abstractNumId w:val="28"/>
  </w:num>
  <w:num w:numId="41">
    <w:abstractNumId w:val="7"/>
  </w:num>
  <w:num w:numId="42">
    <w:abstractNumId w:val="33"/>
  </w:num>
  <w:num w:numId="43">
    <w:abstractNumId w:val="29"/>
  </w:num>
  <w:num w:numId="44">
    <w:abstractNumId w:val="38"/>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6BB1"/>
    <w:rsid w:val="0000733C"/>
    <w:rsid w:val="000074BD"/>
    <w:rsid w:val="00007D69"/>
    <w:rsid w:val="000102AF"/>
    <w:rsid w:val="00010379"/>
    <w:rsid w:val="00010886"/>
    <w:rsid w:val="00010920"/>
    <w:rsid w:val="0001152D"/>
    <w:rsid w:val="000118E3"/>
    <w:rsid w:val="00011EA7"/>
    <w:rsid w:val="000120D3"/>
    <w:rsid w:val="00012806"/>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2BDB"/>
    <w:rsid w:val="00022BF5"/>
    <w:rsid w:val="0002300F"/>
    <w:rsid w:val="0002305C"/>
    <w:rsid w:val="00023228"/>
    <w:rsid w:val="00023817"/>
    <w:rsid w:val="0002401C"/>
    <w:rsid w:val="00024248"/>
    <w:rsid w:val="000245BC"/>
    <w:rsid w:val="0002470A"/>
    <w:rsid w:val="0002564D"/>
    <w:rsid w:val="00025967"/>
    <w:rsid w:val="00025F56"/>
    <w:rsid w:val="000270D0"/>
    <w:rsid w:val="0002716D"/>
    <w:rsid w:val="00027346"/>
    <w:rsid w:val="00030320"/>
    <w:rsid w:val="00030A49"/>
    <w:rsid w:val="0003174F"/>
    <w:rsid w:val="00031946"/>
    <w:rsid w:val="000322EC"/>
    <w:rsid w:val="00032AB9"/>
    <w:rsid w:val="00033D0B"/>
    <w:rsid w:val="00034086"/>
    <w:rsid w:val="00034121"/>
    <w:rsid w:val="000350A9"/>
    <w:rsid w:val="00035472"/>
    <w:rsid w:val="000365B0"/>
    <w:rsid w:val="00036CF7"/>
    <w:rsid w:val="00037175"/>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50B"/>
    <w:rsid w:val="00051AF5"/>
    <w:rsid w:val="0005661F"/>
    <w:rsid w:val="00057006"/>
    <w:rsid w:val="000575B4"/>
    <w:rsid w:val="000601EA"/>
    <w:rsid w:val="000603CB"/>
    <w:rsid w:val="0006084C"/>
    <w:rsid w:val="000608FE"/>
    <w:rsid w:val="000615B0"/>
    <w:rsid w:val="00061E01"/>
    <w:rsid w:val="00062335"/>
    <w:rsid w:val="0006239E"/>
    <w:rsid w:val="0006295A"/>
    <w:rsid w:val="000643D0"/>
    <w:rsid w:val="00065195"/>
    <w:rsid w:val="000672D3"/>
    <w:rsid w:val="0006744F"/>
    <w:rsid w:val="00067A06"/>
    <w:rsid w:val="00067B98"/>
    <w:rsid w:val="00067E91"/>
    <w:rsid w:val="00070204"/>
    <w:rsid w:val="00070612"/>
    <w:rsid w:val="000714CE"/>
    <w:rsid w:val="00071D67"/>
    <w:rsid w:val="00072584"/>
    <w:rsid w:val="000728AC"/>
    <w:rsid w:val="00072F02"/>
    <w:rsid w:val="00074126"/>
    <w:rsid w:val="0007567B"/>
    <w:rsid w:val="00075B7E"/>
    <w:rsid w:val="00076287"/>
    <w:rsid w:val="00076297"/>
    <w:rsid w:val="00077F45"/>
    <w:rsid w:val="00080510"/>
    <w:rsid w:val="00081153"/>
    <w:rsid w:val="0008136C"/>
    <w:rsid w:val="00081DCD"/>
    <w:rsid w:val="00082053"/>
    <w:rsid w:val="00082507"/>
    <w:rsid w:val="000834C8"/>
    <w:rsid w:val="00083789"/>
    <w:rsid w:val="00083792"/>
    <w:rsid w:val="000839D5"/>
    <w:rsid w:val="00083A63"/>
    <w:rsid w:val="00083BE8"/>
    <w:rsid w:val="00083E6A"/>
    <w:rsid w:val="00084012"/>
    <w:rsid w:val="00084264"/>
    <w:rsid w:val="000842BB"/>
    <w:rsid w:val="00084824"/>
    <w:rsid w:val="00084CED"/>
    <w:rsid w:val="00084D37"/>
    <w:rsid w:val="000855C9"/>
    <w:rsid w:val="00085F9C"/>
    <w:rsid w:val="00086013"/>
    <w:rsid w:val="0008687E"/>
    <w:rsid w:val="000868A3"/>
    <w:rsid w:val="00086D66"/>
    <w:rsid w:val="000872FA"/>
    <w:rsid w:val="00090385"/>
    <w:rsid w:val="00090D21"/>
    <w:rsid w:val="00090F42"/>
    <w:rsid w:val="00091262"/>
    <w:rsid w:val="00091269"/>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5A82"/>
    <w:rsid w:val="000A64C7"/>
    <w:rsid w:val="000A7C8A"/>
    <w:rsid w:val="000A7F23"/>
    <w:rsid w:val="000B1170"/>
    <w:rsid w:val="000B1811"/>
    <w:rsid w:val="000B1A6E"/>
    <w:rsid w:val="000B21DD"/>
    <w:rsid w:val="000B2350"/>
    <w:rsid w:val="000B2F97"/>
    <w:rsid w:val="000B3004"/>
    <w:rsid w:val="000B3043"/>
    <w:rsid w:val="000B34FA"/>
    <w:rsid w:val="000B3688"/>
    <w:rsid w:val="000B36FE"/>
    <w:rsid w:val="000B372D"/>
    <w:rsid w:val="000B38D3"/>
    <w:rsid w:val="000B5120"/>
    <w:rsid w:val="000B5B24"/>
    <w:rsid w:val="000B6487"/>
    <w:rsid w:val="000B7A91"/>
    <w:rsid w:val="000B7F45"/>
    <w:rsid w:val="000C040A"/>
    <w:rsid w:val="000C0497"/>
    <w:rsid w:val="000C0E21"/>
    <w:rsid w:val="000C1A94"/>
    <w:rsid w:val="000C1BA1"/>
    <w:rsid w:val="000C219D"/>
    <w:rsid w:val="000C22B0"/>
    <w:rsid w:val="000C2786"/>
    <w:rsid w:val="000C2E72"/>
    <w:rsid w:val="000C2FFA"/>
    <w:rsid w:val="000C3369"/>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E84"/>
    <w:rsid w:val="000E21D8"/>
    <w:rsid w:val="000E2360"/>
    <w:rsid w:val="000E2C73"/>
    <w:rsid w:val="000E2C8F"/>
    <w:rsid w:val="000E2EA3"/>
    <w:rsid w:val="000E31F7"/>
    <w:rsid w:val="000E4B3E"/>
    <w:rsid w:val="000E539F"/>
    <w:rsid w:val="000E6CF9"/>
    <w:rsid w:val="000E73BD"/>
    <w:rsid w:val="000F069C"/>
    <w:rsid w:val="000F0B27"/>
    <w:rsid w:val="000F1D4F"/>
    <w:rsid w:val="000F26BE"/>
    <w:rsid w:val="000F2E82"/>
    <w:rsid w:val="000F305F"/>
    <w:rsid w:val="000F3A4F"/>
    <w:rsid w:val="000F3D50"/>
    <w:rsid w:val="000F5D35"/>
    <w:rsid w:val="000F5DDE"/>
    <w:rsid w:val="000F7390"/>
    <w:rsid w:val="001000EA"/>
    <w:rsid w:val="00100B0B"/>
    <w:rsid w:val="0010191D"/>
    <w:rsid w:val="001025E7"/>
    <w:rsid w:val="0010275F"/>
    <w:rsid w:val="0010316E"/>
    <w:rsid w:val="001038BB"/>
    <w:rsid w:val="00103F76"/>
    <w:rsid w:val="00105880"/>
    <w:rsid w:val="00107038"/>
    <w:rsid w:val="00107219"/>
    <w:rsid w:val="001074AC"/>
    <w:rsid w:val="001101E1"/>
    <w:rsid w:val="00110379"/>
    <w:rsid w:val="001103CF"/>
    <w:rsid w:val="00111F4C"/>
    <w:rsid w:val="00112561"/>
    <w:rsid w:val="001129E8"/>
    <w:rsid w:val="00112BA9"/>
    <w:rsid w:val="00112E20"/>
    <w:rsid w:val="0011385A"/>
    <w:rsid w:val="00113C76"/>
    <w:rsid w:val="00114588"/>
    <w:rsid w:val="001149B9"/>
    <w:rsid w:val="00114A58"/>
    <w:rsid w:val="00114D12"/>
    <w:rsid w:val="00115629"/>
    <w:rsid w:val="001158B6"/>
    <w:rsid w:val="00115B67"/>
    <w:rsid w:val="00116F1A"/>
    <w:rsid w:val="001171CB"/>
    <w:rsid w:val="00117210"/>
    <w:rsid w:val="0011744C"/>
    <w:rsid w:val="00120FAC"/>
    <w:rsid w:val="00121311"/>
    <w:rsid w:val="00121A8E"/>
    <w:rsid w:val="00121BF6"/>
    <w:rsid w:val="00124D80"/>
    <w:rsid w:val="001267DB"/>
    <w:rsid w:val="001275A6"/>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15A"/>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5D66"/>
    <w:rsid w:val="00146059"/>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C15"/>
    <w:rsid w:val="00153EE1"/>
    <w:rsid w:val="0015402E"/>
    <w:rsid w:val="001546E8"/>
    <w:rsid w:val="00154828"/>
    <w:rsid w:val="00155698"/>
    <w:rsid w:val="00155BC9"/>
    <w:rsid w:val="00155C11"/>
    <w:rsid w:val="00157D22"/>
    <w:rsid w:val="00157F62"/>
    <w:rsid w:val="001600EB"/>
    <w:rsid w:val="0016039F"/>
    <w:rsid w:val="00160423"/>
    <w:rsid w:val="00161C25"/>
    <w:rsid w:val="00161CD7"/>
    <w:rsid w:val="0016312E"/>
    <w:rsid w:val="00163182"/>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0894"/>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97D0D"/>
    <w:rsid w:val="001A0DC8"/>
    <w:rsid w:val="001A14F5"/>
    <w:rsid w:val="001A1777"/>
    <w:rsid w:val="001A1A8A"/>
    <w:rsid w:val="001A2649"/>
    <w:rsid w:val="001A307D"/>
    <w:rsid w:val="001A3986"/>
    <w:rsid w:val="001A3E19"/>
    <w:rsid w:val="001A4242"/>
    <w:rsid w:val="001A48FD"/>
    <w:rsid w:val="001A6DEF"/>
    <w:rsid w:val="001A7A6A"/>
    <w:rsid w:val="001A7A87"/>
    <w:rsid w:val="001B049D"/>
    <w:rsid w:val="001B04E4"/>
    <w:rsid w:val="001B0553"/>
    <w:rsid w:val="001B0636"/>
    <w:rsid w:val="001B1577"/>
    <w:rsid w:val="001B16C3"/>
    <w:rsid w:val="001B1838"/>
    <w:rsid w:val="001B1C67"/>
    <w:rsid w:val="001B2234"/>
    <w:rsid w:val="001B3984"/>
    <w:rsid w:val="001B3FE9"/>
    <w:rsid w:val="001B46AE"/>
    <w:rsid w:val="001B5009"/>
    <w:rsid w:val="001B54F0"/>
    <w:rsid w:val="001B5950"/>
    <w:rsid w:val="001B5C7A"/>
    <w:rsid w:val="001B5DCE"/>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4E5E"/>
    <w:rsid w:val="001D600F"/>
    <w:rsid w:val="001D6843"/>
    <w:rsid w:val="001D79BC"/>
    <w:rsid w:val="001E092F"/>
    <w:rsid w:val="001E0947"/>
    <w:rsid w:val="001E152C"/>
    <w:rsid w:val="001E17F9"/>
    <w:rsid w:val="001E24EA"/>
    <w:rsid w:val="001E25FF"/>
    <w:rsid w:val="001E35D6"/>
    <w:rsid w:val="001E411C"/>
    <w:rsid w:val="001E5979"/>
    <w:rsid w:val="001E5C38"/>
    <w:rsid w:val="001E70C9"/>
    <w:rsid w:val="001E776D"/>
    <w:rsid w:val="001E77D9"/>
    <w:rsid w:val="001E79E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7E3"/>
    <w:rsid w:val="00201885"/>
    <w:rsid w:val="002028FF"/>
    <w:rsid w:val="0020322B"/>
    <w:rsid w:val="002032C8"/>
    <w:rsid w:val="00203A75"/>
    <w:rsid w:val="0020409B"/>
    <w:rsid w:val="00205445"/>
    <w:rsid w:val="00205901"/>
    <w:rsid w:val="00205C7C"/>
    <w:rsid w:val="002060A5"/>
    <w:rsid w:val="002068F5"/>
    <w:rsid w:val="002070E4"/>
    <w:rsid w:val="0020721C"/>
    <w:rsid w:val="002072C3"/>
    <w:rsid w:val="00207813"/>
    <w:rsid w:val="0020790A"/>
    <w:rsid w:val="00207E86"/>
    <w:rsid w:val="00210594"/>
    <w:rsid w:val="00210F65"/>
    <w:rsid w:val="002114F0"/>
    <w:rsid w:val="0021261D"/>
    <w:rsid w:val="00212939"/>
    <w:rsid w:val="00212B8B"/>
    <w:rsid w:val="0021371C"/>
    <w:rsid w:val="002139E7"/>
    <w:rsid w:val="002144A1"/>
    <w:rsid w:val="002147A6"/>
    <w:rsid w:val="00214D4B"/>
    <w:rsid w:val="00214DAE"/>
    <w:rsid w:val="00215739"/>
    <w:rsid w:val="002157B5"/>
    <w:rsid w:val="00216869"/>
    <w:rsid w:val="0021720D"/>
    <w:rsid w:val="0022016A"/>
    <w:rsid w:val="00220F03"/>
    <w:rsid w:val="00220F49"/>
    <w:rsid w:val="00221057"/>
    <w:rsid w:val="002212CB"/>
    <w:rsid w:val="002215AD"/>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DBA"/>
    <w:rsid w:val="00234FCD"/>
    <w:rsid w:val="00234FD9"/>
    <w:rsid w:val="00236374"/>
    <w:rsid w:val="00236F49"/>
    <w:rsid w:val="00237E07"/>
    <w:rsid w:val="00237F8D"/>
    <w:rsid w:val="002400A1"/>
    <w:rsid w:val="00240222"/>
    <w:rsid w:val="002411C9"/>
    <w:rsid w:val="0024218B"/>
    <w:rsid w:val="002425FE"/>
    <w:rsid w:val="00242CD9"/>
    <w:rsid w:val="0024349D"/>
    <w:rsid w:val="00243967"/>
    <w:rsid w:val="0024424C"/>
    <w:rsid w:val="002444C2"/>
    <w:rsid w:val="00244BE9"/>
    <w:rsid w:val="0024530D"/>
    <w:rsid w:val="00245A74"/>
    <w:rsid w:val="002468CF"/>
    <w:rsid w:val="00246A8F"/>
    <w:rsid w:val="0024727D"/>
    <w:rsid w:val="00247783"/>
    <w:rsid w:val="00250912"/>
    <w:rsid w:val="00250DBA"/>
    <w:rsid w:val="00251087"/>
    <w:rsid w:val="00251294"/>
    <w:rsid w:val="002519D8"/>
    <w:rsid w:val="00251AD5"/>
    <w:rsid w:val="002523E5"/>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5FE9"/>
    <w:rsid w:val="0026773E"/>
    <w:rsid w:val="00267F1F"/>
    <w:rsid w:val="0027218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922"/>
    <w:rsid w:val="00281B0A"/>
    <w:rsid w:val="00282CDE"/>
    <w:rsid w:val="00283073"/>
    <w:rsid w:val="0028348A"/>
    <w:rsid w:val="00283D2B"/>
    <w:rsid w:val="00285478"/>
    <w:rsid w:val="0028663C"/>
    <w:rsid w:val="00287C89"/>
    <w:rsid w:val="002905B5"/>
    <w:rsid w:val="002911D8"/>
    <w:rsid w:val="00293203"/>
    <w:rsid w:val="0029329A"/>
    <w:rsid w:val="00293A15"/>
    <w:rsid w:val="00295693"/>
    <w:rsid w:val="002960C3"/>
    <w:rsid w:val="002969C0"/>
    <w:rsid w:val="002972D4"/>
    <w:rsid w:val="00297AEF"/>
    <w:rsid w:val="00297F02"/>
    <w:rsid w:val="002A06E1"/>
    <w:rsid w:val="002A21E8"/>
    <w:rsid w:val="002A3220"/>
    <w:rsid w:val="002A3596"/>
    <w:rsid w:val="002A37BE"/>
    <w:rsid w:val="002A3AA9"/>
    <w:rsid w:val="002A58F4"/>
    <w:rsid w:val="002A5AA2"/>
    <w:rsid w:val="002A5C85"/>
    <w:rsid w:val="002A5C87"/>
    <w:rsid w:val="002A5D50"/>
    <w:rsid w:val="002A5DE5"/>
    <w:rsid w:val="002A6503"/>
    <w:rsid w:val="002A659A"/>
    <w:rsid w:val="002A7542"/>
    <w:rsid w:val="002A7BE8"/>
    <w:rsid w:val="002B09C6"/>
    <w:rsid w:val="002B0F52"/>
    <w:rsid w:val="002B1071"/>
    <w:rsid w:val="002B129B"/>
    <w:rsid w:val="002B29E2"/>
    <w:rsid w:val="002B3708"/>
    <w:rsid w:val="002B4D46"/>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C77D1"/>
    <w:rsid w:val="002C7D3C"/>
    <w:rsid w:val="002D012B"/>
    <w:rsid w:val="002D04DB"/>
    <w:rsid w:val="002D0DDF"/>
    <w:rsid w:val="002D17A5"/>
    <w:rsid w:val="002D1AC7"/>
    <w:rsid w:val="002D347E"/>
    <w:rsid w:val="002D3D17"/>
    <w:rsid w:val="002D42A0"/>
    <w:rsid w:val="002D440D"/>
    <w:rsid w:val="002D4C8C"/>
    <w:rsid w:val="002D4EF6"/>
    <w:rsid w:val="002D545A"/>
    <w:rsid w:val="002D550B"/>
    <w:rsid w:val="002D59E5"/>
    <w:rsid w:val="002D5C23"/>
    <w:rsid w:val="002D5CBC"/>
    <w:rsid w:val="002D5DC3"/>
    <w:rsid w:val="002D6B4D"/>
    <w:rsid w:val="002E0FD6"/>
    <w:rsid w:val="002E1388"/>
    <w:rsid w:val="002E16E6"/>
    <w:rsid w:val="002E1B83"/>
    <w:rsid w:val="002E1C1F"/>
    <w:rsid w:val="002E2688"/>
    <w:rsid w:val="002E307D"/>
    <w:rsid w:val="002E34A3"/>
    <w:rsid w:val="002E36E1"/>
    <w:rsid w:val="002E3E6F"/>
    <w:rsid w:val="002E3F75"/>
    <w:rsid w:val="002E45B7"/>
    <w:rsid w:val="002E4721"/>
    <w:rsid w:val="002E486A"/>
    <w:rsid w:val="002E4DB5"/>
    <w:rsid w:val="002E4DC4"/>
    <w:rsid w:val="002E5281"/>
    <w:rsid w:val="002E546B"/>
    <w:rsid w:val="002E5E0E"/>
    <w:rsid w:val="002E5E2F"/>
    <w:rsid w:val="002E5F1C"/>
    <w:rsid w:val="002E5F3E"/>
    <w:rsid w:val="002E736D"/>
    <w:rsid w:val="002F0875"/>
    <w:rsid w:val="002F0884"/>
    <w:rsid w:val="002F1A5B"/>
    <w:rsid w:val="002F1B87"/>
    <w:rsid w:val="002F3470"/>
    <w:rsid w:val="002F4CA2"/>
    <w:rsid w:val="002F51B3"/>
    <w:rsid w:val="002F527B"/>
    <w:rsid w:val="002F5306"/>
    <w:rsid w:val="002F5570"/>
    <w:rsid w:val="002F5792"/>
    <w:rsid w:val="002F5C9A"/>
    <w:rsid w:val="002F6254"/>
    <w:rsid w:val="002F6432"/>
    <w:rsid w:val="002F64A0"/>
    <w:rsid w:val="002F69EB"/>
    <w:rsid w:val="002F6D11"/>
    <w:rsid w:val="002F6D5A"/>
    <w:rsid w:val="002F6FC4"/>
    <w:rsid w:val="002F7255"/>
    <w:rsid w:val="002F7D6F"/>
    <w:rsid w:val="00300450"/>
    <w:rsid w:val="003005AA"/>
    <w:rsid w:val="00300E4E"/>
    <w:rsid w:val="00300EA5"/>
    <w:rsid w:val="003022B8"/>
    <w:rsid w:val="003023C4"/>
    <w:rsid w:val="003023EB"/>
    <w:rsid w:val="003026B9"/>
    <w:rsid w:val="00302C73"/>
    <w:rsid w:val="003035B2"/>
    <w:rsid w:val="00303733"/>
    <w:rsid w:val="00303A2F"/>
    <w:rsid w:val="00303C94"/>
    <w:rsid w:val="00304BF7"/>
    <w:rsid w:val="00304F0A"/>
    <w:rsid w:val="00304FE8"/>
    <w:rsid w:val="0030527B"/>
    <w:rsid w:val="00305FA4"/>
    <w:rsid w:val="00310015"/>
    <w:rsid w:val="00310992"/>
    <w:rsid w:val="00311387"/>
    <w:rsid w:val="00311EEA"/>
    <w:rsid w:val="0031351E"/>
    <w:rsid w:val="00313537"/>
    <w:rsid w:val="003135CD"/>
    <w:rsid w:val="003138AC"/>
    <w:rsid w:val="00313C59"/>
    <w:rsid w:val="00314373"/>
    <w:rsid w:val="00314425"/>
    <w:rsid w:val="003146EE"/>
    <w:rsid w:val="003153EA"/>
    <w:rsid w:val="00316745"/>
    <w:rsid w:val="00316D1E"/>
    <w:rsid w:val="00320015"/>
    <w:rsid w:val="00320263"/>
    <w:rsid w:val="003209C7"/>
    <w:rsid w:val="00320AB2"/>
    <w:rsid w:val="003219EA"/>
    <w:rsid w:val="003225D5"/>
    <w:rsid w:val="0032271E"/>
    <w:rsid w:val="003229A0"/>
    <w:rsid w:val="0032312C"/>
    <w:rsid w:val="003232F1"/>
    <w:rsid w:val="0032378E"/>
    <w:rsid w:val="00323C12"/>
    <w:rsid w:val="00323D04"/>
    <w:rsid w:val="003243CB"/>
    <w:rsid w:val="003245FB"/>
    <w:rsid w:val="003250E2"/>
    <w:rsid w:val="0032569E"/>
    <w:rsid w:val="00326522"/>
    <w:rsid w:val="003270BF"/>
    <w:rsid w:val="0032768B"/>
    <w:rsid w:val="00327A0C"/>
    <w:rsid w:val="003301A3"/>
    <w:rsid w:val="00330353"/>
    <w:rsid w:val="0033063D"/>
    <w:rsid w:val="00331DCA"/>
    <w:rsid w:val="00332129"/>
    <w:rsid w:val="0033322F"/>
    <w:rsid w:val="00334912"/>
    <w:rsid w:val="00335779"/>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1851"/>
    <w:rsid w:val="00362461"/>
    <w:rsid w:val="003628AA"/>
    <w:rsid w:val="00362D37"/>
    <w:rsid w:val="00363DA3"/>
    <w:rsid w:val="00364D63"/>
    <w:rsid w:val="00365105"/>
    <w:rsid w:val="0036579C"/>
    <w:rsid w:val="003657E7"/>
    <w:rsid w:val="00365E78"/>
    <w:rsid w:val="00366857"/>
    <w:rsid w:val="00370449"/>
    <w:rsid w:val="003708DD"/>
    <w:rsid w:val="00370EE0"/>
    <w:rsid w:val="003713B0"/>
    <w:rsid w:val="00371B3D"/>
    <w:rsid w:val="00372F44"/>
    <w:rsid w:val="00374783"/>
    <w:rsid w:val="003750B5"/>
    <w:rsid w:val="00375135"/>
    <w:rsid w:val="00377224"/>
    <w:rsid w:val="00377360"/>
    <w:rsid w:val="0037737B"/>
    <w:rsid w:val="003777B8"/>
    <w:rsid w:val="00377BAD"/>
    <w:rsid w:val="00381DCB"/>
    <w:rsid w:val="00381F87"/>
    <w:rsid w:val="003821D7"/>
    <w:rsid w:val="003835EB"/>
    <w:rsid w:val="00383FF3"/>
    <w:rsid w:val="00384485"/>
    <w:rsid w:val="00384833"/>
    <w:rsid w:val="00384B1C"/>
    <w:rsid w:val="00384EA5"/>
    <w:rsid w:val="0038505C"/>
    <w:rsid w:val="00385BBE"/>
    <w:rsid w:val="00385D5C"/>
    <w:rsid w:val="00386843"/>
    <w:rsid w:val="00386C4E"/>
    <w:rsid w:val="00386E5D"/>
    <w:rsid w:val="00387E97"/>
    <w:rsid w:val="003901EF"/>
    <w:rsid w:val="003902C1"/>
    <w:rsid w:val="00390919"/>
    <w:rsid w:val="00390A7C"/>
    <w:rsid w:val="00390A91"/>
    <w:rsid w:val="00390AFB"/>
    <w:rsid w:val="0039142B"/>
    <w:rsid w:val="00391A35"/>
    <w:rsid w:val="00391E07"/>
    <w:rsid w:val="00393110"/>
    <w:rsid w:val="00393DD4"/>
    <w:rsid w:val="003946AC"/>
    <w:rsid w:val="00395338"/>
    <w:rsid w:val="00395600"/>
    <w:rsid w:val="00395B97"/>
    <w:rsid w:val="00397340"/>
    <w:rsid w:val="00397572"/>
    <w:rsid w:val="003A074E"/>
    <w:rsid w:val="003A08F1"/>
    <w:rsid w:val="003A1CFF"/>
    <w:rsid w:val="003A2BB7"/>
    <w:rsid w:val="003A312D"/>
    <w:rsid w:val="003A3C93"/>
    <w:rsid w:val="003A4AB4"/>
    <w:rsid w:val="003A4C61"/>
    <w:rsid w:val="003A546F"/>
    <w:rsid w:val="003A565B"/>
    <w:rsid w:val="003A5C29"/>
    <w:rsid w:val="003A5DEB"/>
    <w:rsid w:val="003A5F75"/>
    <w:rsid w:val="003A61D4"/>
    <w:rsid w:val="003A6240"/>
    <w:rsid w:val="003A648B"/>
    <w:rsid w:val="003A6A14"/>
    <w:rsid w:val="003A72E4"/>
    <w:rsid w:val="003A7535"/>
    <w:rsid w:val="003A7616"/>
    <w:rsid w:val="003A799B"/>
    <w:rsid w:val="003A7D18"/>
    <w:rsid w:val="003B00C2"/>
    <w:rsid w:val="003B07D1"/>
    <w:rsid w:val="003B0A3B"/>
    <w:rsid w:val="003B1AF6"/>
    <w:rsid w:val="003B1B75"/>
    <w:rsid w:val="003B2FBC"/>
    <w:rsid w:val="003B32CC"/>
    <w:rsid w:val="003B35CB"/>
    <w:rsid w:val="003B4DA2"/>
    <w:rsid w:val="003B4DDF"/>
    <w:rsid w:val="003B4E68"/>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983"/>
    <w:rsid w:val="003D5D05"/>
    <w:rsid w:val="003D5ECA"/>
    <w:rsid w:val="003D5FB6"/>
    <w:rsid w:val="003D6CBF"/>
    <w:rsid w:val="003D72CC"/>
    <w:rsid w:val="003D7D05"/>
    <w:rsid w:val="003E03C3"/>
    <w:rsid w:val="003E067B"/>
    <w:rsid w:val="003E11A4"/>
    <w:rsid w:val="003E1AD1"/>
    <w:rsid w:val="003E230A"/>
    <w:rsid w:val="003E236D"/>
    <w:rsid w:val="003E2E8C"/>
    <w:rsid w:val="003E3009"/>
    <w:rsid w:val="003E308A"/>
    <w:rsid w:val="003E367A"/>
    <w:rsid w:val="003E37A4"/>
    <w:rsid w:val="003E3EC0"/>
    <w:rsid w:val="003E4136"/>
    <w:rsid w:val="003E4E45"/>
    <w:rsid w:val="003E61CB"/>
    <w:rsid w:val="003E7AFC"/>
    <w:rsid w:val="003E7C04"/>
    <w:rsid w:val="003E7FDA"/>
    <w:rsid w:val="003F01F7"/>
    <w:rsid w:val="003F0570"/>
    <w:rsid w:val="003F0D15"/>
    <w:rsid w:val="003F0DE3"/>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087"/>
    <w:rsid w:val="00403EDA"/>
    <w:rsid w:val="00403F44"/>
    <w:rsid w:val="0040409C"/>
    <w:rsid w:val="00404A45"/>
    <w:rsid w:val="00405576"/>
    <w:rsid w:val="004058B8"/>
    <w:rsid w:val="00405B3F"/>
    <w:rsid w:val="00406113"/>
    <w:rsid w:val="004063C4"/>
    <w:rsid w:val="004072FC"/>
    <w:rsid w:val="004074CB"/>
    <w:rsid w:val="00407D7D"/>
    <w:rsid w:val="00407EDD"/>
    <w:rsid w:val="00410247"/>
    <w:rsid w:val="00410B00"/>
    <w:rsid w:val="00410B24"/>
    <w:rsid w:val="00410E12"/>
    <w:rsid w:val="00410E3B"/>
    <w:rsid w:val="00410E7B"/>
    <w:rsid w:val="004115C8"/>
    <w:rsid w:val="00411A4D"/>
    <w:rsid w:val="00413BE9"/>
    <w:rsid w:val="00413E03"/>
    <w:rsid w:val="00414E73"/>
    <w:rsid w:val="00415367"/>
    <w:rsid w:val="004161C2"/>
    <w:rsid w:val="004170A6"/>
    <w:rsid w:val="004176BC"/>
    <w:rsid w:val="004177A1"/>
    <w:rsid w:val="00417CB0"/>
    <w:rsid w:val="00417FB8"/>
    <w:rsid w:val="00420584"/>
    <w:rsid w:val="00421048"/>
    <w:rsid w:val="00422A93"/>
    <w:rsid w:val="00422BB1"/>
    <w:rsid w:val="00424D21"/>
    <w:rsid w:val="00424F3C"/>
    <w:rsid w:val="00425C24"/>
    <w:rsid w:val="004273BF"/>
    <w:rsid w:val="004311FF"/>
    <w:rsid w:val="004314B6"/>
    <w:rsid w:val="00432447"/>
    <w:rsid w:val="00432D97"/>
    <w:rsid w:val="00432F21"/>
    <w:rsid w:val="00433964"/>
    <w:rsid w:val="00433CF6"/>
    <w:rsid w:val="004349D9"/>
    <w:rsid w:val="0043544F"/>
    <w:rsid w:val="004362C0"/>
    <w:rsid w:val="00436425"/>
    <w:rsid w:val="004364E6"/>
    <w:rsid w:val="00436B27"/>
    <w:rsid w:val="0043712E"/>
    <w:rsid w:val="004400BC"/>
    <w:rsid w:val="004412E8"/>
    <w:rsid w:val="00441947"/>
    <w:rsid w:val="00443331"/>
    <w:rsid w:val="00443561"/>
    <w:rsid w:val="00443591"/>
    <w:rsid w:val="00444C04"/>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471"/>
    <w:rsid w:val="00454D4D"/>
    <w:rsid w:val="00454F1D"/>
    <w:rsid w:val="00455817"/>
    <w:rsid w:val="00455982"/>
    <w:rsid w:val="00455AE4"/>
    <w:rsid w:val="00457034"/>
    <w:rsid w:val="00457BAA"/>
    <w:rsid w:val="00460981"/>
    <w:rsid w:val="004609DE"/>
    <w:rsid w:val="00461DC0"/>
    <w:rsid w:val="00462787"/>
    <w:rsid w:val="004628F0"/>
    <w:rsid w:val="00462D54"/>
    <w:rsid w:val="00462D63"/>
    <w:rsid w:val="00463886"/>
    <w:rsid w:val="00464E03"/>
    <w:rsid w:val="00464F36"/>
    <w:rsid w:val="0046568B"/>
    <w:rsid w:val="00466121"/>
    <w:rsid w:val="00466912"/>
    <w:rsid w:val="004670C3"/>
    <w:rsid w:val="00467686"/>
    <w:rsid w:val="00467792"/>
    <w:rsid w:val="004679AB"/>
    <w:rsid w:val="00471665"/>
    <w:rsid w:val="0047195F"/>
    <w:rsid w:val="00471A9E"/>
    <w:rsid w:val="00471B86"/>
    <w:rsid w:val="00472227"/>
    <w:rsid w:val="00472E9C"/>
    <w:rsid w:val="004732E6"/>
    <w:rsid w:val="00474927"/>
    <w:rsid w:val="00474FBE"/>
    <w:rsid w:val="0047540F"/>
    <w:rsid w:val="00475B4D"/>
    <w:rsid w:val="00476F8F"/>
    <w:rsid w:val="004772FF"/>
    <w:rsid w:val="00480310"/>
    <w:rsid w:val="0048048A"/>
    <w:rsid w:val="00481705"/>
    <w:rsid w:val="00481966"/>
    <w:rsid w:val="00482044"/>
    <w:rsid w:val="00482254"/>
    <w:rsid w:val="004823C6"/>
    <w:rsid w:val="00482F51"/>
    <w:rsid w:val="00483166"/>
    <w:rsid w:val="0048365C"/>
    <w:rsid w:val="004837B4"/>
    <w:rsid w:val="00484915"/>
    <w:rsid w:val="00484EEF"/>
    <w:rsid w:val="004853D8"/>
    <w:rsid w:val="0048589F"/>
    <w:rsid w:val="00486552"/>
    <w:rsid w:val="00486AEA"/>
    <w:rsid w:val="00486EEE"/>
    <w:rsid w:val="0048735B"/>
    <w:rsid w:val="004875E6"/>
    <w:rsid w:val="00487AD4"/>
    <w:rsid w:val="00490275"/>
    <w:rsid w:val="00490628"/>
    <w:rsid w:val="0049071D"/>
    <w:rsid w:val="0049103F"/>
    <w:rsid w:val="00491532"/>
    <w:rsid w:val="00491F80"/>
    <w:rsid w:val="0049239D"/>
    <w:rsid w:val="004925C9"/>
    <w:rsid w:val="00493577"/>
    <w:rsid w:val="0049362A"/>
    <w:rsid w:val="004942A0"/>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71"/>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4E4F"/>
    <w:rsid w:val="004B50CC"/>
    <w:rsid w:val="004B5825"/>
    <w:rsid w:val="004B6415"/>
    <w:rsid w:val="004B64FA"/>
    <w:rsid w:val="004B758A"/>
    <w:rsid w:val="004B7F9F"/>
    <w:rsid w:val="004C06CE"/>
    <w:rsid w:val="004C099B"/>
    <w:rsid w:val="004C0BAC"/>
    <w:rsid w:val="004C0DB4"/>
    <w:rsid w:val="004C10A2"/>
    <w:rsid w:val="004C13F1"/>
    <w:rsid w:val="004C16F5"/>
    <w:rsid w:val="004C33E8"/>
    <w:rsid w:val="004C4A96"/>
    <w:rsid w:val="004C4E5F"/>
    <w:rsid w:val="004C5875"/>
    <w:rsid w:val="004C5F28"/>
    <w:rsid w:val="004C5FC2"/>
    <w:rsid w:val="004C6997"/>
    <w:rsid w:val="004C6CDB"/>
    <w:rsid w:val="004C723F"/>
    <w:rsid w:val="004C7C36"/>
    <w:rsid w:val="004C7D16"/>
    <w:rsid w:val="004D0132"/>
    <w:rsid w:val="004D080F"/>
    <w:rsid w:val="004D138E"/>
    <w:rsid w:val="004D185E"/>
    <w:rsid w:val="004D2556"/>
    <w:rsid w:val="004D29F9"/>
    <w:rsid w:val="004D4B61"/>
    <w:rsid w:val="004D606D"/>
    <w:rsid w:val="004D6B20"/>
    <w:rsid w:val="004D6C2F"/>
    <w:rsid w:val="004D71FE"/>
    <w:rsid w:val="004D72CE"/>
    <w:rsid w:val="004D7A80"/>
    <w:rsid w:val="004D7CA3"/>
    <w:rsid w:val="004E0388"/>
    <w:rsid w:val="004E04C7"/>
    <w:rsid w:val="004E0894"/>
    <w:rsid w:val="004E135A"/>
    <w:rsid w:val="004E1C50"/>
    <w:rsid w:val="004E20EE"/>
    <w:rsid w:val="004E23BB"/>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78C"/>
    <w:rsid w:val="004F3B34"/>
    <w:rsid w:val="004F3E23"/>
    <w:rsid w:val="004F4767"/>
    <w:rsid w:val="004F498A"/>
    <w:rsid w:val="004F51B2"/>
    <w:rsid w:val="004F59C4"/>
    <w:rsid w:val="004F5D65"/>
    <w:rsid w:val="004F70F8"/>
    <w:rsid w:val="004F7230"/>
    <w:rsid w:val="004F7D65"/>
    <w:rsid w:val="004F7D7B"/>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2DD"/>
    <w:rsid w:val="00507403"/>
    <w:rsid w:val="00507430"/>
    <w:rsid w:val="005101E5"/>
    <w:rsid w:val="00511D75"/>
    <w:rsid w:val="00511FF2"/>
    <w:rsid w:val="00512232"/>
    <w:rsid w:val="00513B7E"/>
    <w:rsid w:val="00514597"/>
    <w:rsid w:val="005150AB"/>
    <w:rsid w:val="0051520F"/>
    <w:rsid w:val="005159F9"/>
    <w:rsid w:val="0051769B"/>
    <w:rsid w:val="0052052F"/>
    <w:rsid w:val="00520571"/>
    <w:rsid w:val="00522C8A"/>
    <w:rsid w:val="00523AF8"/>
    <w:rsid w:val="00523F57"/>
    <w:rsid w:val="00523F8F"/>
    <w:rsid w:val="005248F8"/>
    <w:rsid w:val="00524E1E"/>
    <w:rsid w:val="0052565F"/>
    <w:rsid w:val="0052654A"/>
    <w:rsid w:val="00526E9C"/>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481E"/>
    <w:rsid w:val="00534AF9"/>
    <w:rsid w:val="00535189"/>
    <w:rsid w:val="005356B6"/>
    <w:rsid w:val="00535D75"/>
    <w:rsid w:val="00535FF9"/>
    <w:rsid w:val="0053609B"/>
    <w:rsid w:val="0053655A"/>
    <w:rsid w:val="00536ECF"/>
    <w:rsid w:val="0053740F"/>
    <w:rsid w:val="00537BDF"/>
    <w:rsid w:val="00540D9E"/>
    <w:rsid w:val="0054171A"/>
    <w:rsid w:val="005420CF"/>
    <w:rsid w:val="00542C2A"/>
    <w:rsid w:val="0054337D"/>
    <w:rsid w:val="005438E3"/>
    <w:rsid w:val="00543CAC"/>
    <w:rsid w:val="005440E4"/>
    <w:rsid w:val="0054438F"/>
    <w:rsid w:val="00545BEC"/>
    <w:rsid w:val="005468A5"/>
    <w:rsid w:val="00546A1D"/>
    <w:rsid w:val="00546C8E"/>
    <w:rsid w:val="00546CB9"/>
    <w:rsid w:val="00546E83"/>
    <w:rsid w:val="00547725"/>
    <w:rsid w:val="00550292"/>
    <w:rsid w:val="005506E5"/>
    <w:rsid w:val="00551309"/>
    <w:rsid w:val="00552426"/>
    <w:rsid w:val="00552F1A"/>
    <w:rsid w:val="0055363B"/>
    <w:rsid w:val="00553693"/>
    <w:rsid w:val="005536D5"/>
    <w:rsid w:val="00553934"/>
    <w:rsid w:val="00553B71"/>
    <w:rsid w:val="00554C4D"/>
    <w:rsid w:val="00555C08"/>
    <w:rsid w:val="00556A43"/>
    <w:rsid w:val="0056087F"/>
    <w:rsid w:val="0056121A"/>
    <w:rsid w:val="00562195"/>
    <w:rsid w:val="0056261D"/>
    <w:rsid w:val="00562918"/>
    <w:rsid w:val="00563269"/>
    <w:rsid w:val="00564169"/>
    <w:rsid w:val="00564643"/>
    <w:rsid w:val="00564772"/>
    <w:rsid w:val="00566518"/>
    <w:rsid w:val="005669DA"/>
    <w:rsid w:val="00567613"/>
    <w:rsid w:val="00571206"/>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2FA1"/>
    <w:rsid w:val="005843DF"/>
    <w:rsid w:val="005860BC"/>
    <w:rsid w:val="00587129"/>
    <w:rsid w:val="0058725A"/>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050E"/>
    <w:rsid w:val="005A0A21"/>
    <w:rsid w:val="005A118A"/>
    <w:rsid w:val="005A1897"/>
    <w:rsid w:val="005A252B"/>
    <w:rsid w:val="005A3B97"/>
    <w:rsid w:val="005A45EC"/>
    <w:rsid w:val="005A4A89"/>
    <w:rsid w:val="005A55F6"/>
    <w:rsid w:val="005A57D4"/>
    <w:rsid w:val="005A5C31"/>
    <w:rsid w:val="005A5DB4"/>
    <w:rsid w:val="005A600A"/>
    <w:rsid w:val="005A6020"/>
    <w:rsid w:val="005A74D9"/>
    <w:rsid w:val="005A7E88"/>
    <w:rsid w:val="005B01F4"/>
    <w:rsid w:val="005B05BE"/>
    <w:rsid w:val="005B0692"/>
    <w:rsid w:val="005B07C7"/>
    <w:rsid w:val="005B1B4F"/>
    <w:rsid w:val="005B2564"/>
    <w:rsid w:val="005B2E53"/>
    <w:rsid w:val="005B2F26"/>
    <w:rsid w:val="005B3076"/>
    <w:rsid w:val="005B389B"/>
    <w:rsid w:val="005B4B88"/>
    <w:rsid w:val="005B4C25"/>
    <w:rsid w:val="005B52D8"/>
    <w:rsid w:val="005B57E9"/>
    <w:rsid w:val="005B5DAD"/>
    <w:rsid w:val="005B659A"/>
    <w:rsid w:val="005B65CA"/>
    <w:rsid w:val="005B79C6"/>
    <w:rsid w:val="005C04C0"/>
    <w:rsid w:val="005C0912"/>
    <w:rsid w:val="005C1B46"/>
    <w:rsid w:val="005C1F7E"/>
    <w:rsid w:val="005C2057"/>
    <w:rsid w:val="005C20A0"/>
    <w:rsid w:val="005C2EF2"/>
    <w:rsid w:val="005C3AE2"/>
    <w:rsid w:val="005C4264"/>
    <w:rsid w:val="005C5258"/>
    <w:rsid w:val="005C57F7"/>
    <w:rsid w:val="005C76FD"/>
    <w:rsid w:val="005C7A6D"/>
    <w:rsid w:val="005C7DC3"/>
    <w:rsid w:val="005D0DAF"/>
    <w:rsid w:val="005D0E2B"/>
    <w:rsid w:val="005D14A4"/>
    <w:rsid w:val="005D18AB"/>
    <w:rsid w:val="005D1D83"/>
    <w:rsid w:val="005D2E2B"/>
    <w:rsid w:val="005D3D10"/>
    <w:rsid w:val="005D63D9"/>
    <w:rsid w:val="005D6652"/>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5D25"/>
    <w:rsid w:val="006072E8"/>
    <w:rsid w:val="006079DC"/>
    <w:rsid w:val="00607C2D"/>
    <w:rsid w:val="006103A4"/>
    <w:rsid w:val="00610922"/>
    <w:rsid w:val="00611250"/>
    <w:rsid w:val="00611D8D"/>
    <w:rsid w:val="006122E2"/>
    <w:rsid w:val="006125AA"/>
    <w:rsid w:val="00613E9D"/>
    <w:rsid w:val="0061423C"/>
    <w:rsid w:val="0061427C"/>
    <w:rsid w:val="00615DED"/>
    <w:rsid w:val="00615FAB"/>
    <w:rsid w:val="006169BB"/>
    <w:rsid w:val="00616C7C"/>
    <w:rsid w:val="00616F11"/>
    <w:rsid w:val="006177F0"/>
    <w:rsid w:val="0062005F"/>
    <w:rsid w:val="00620165"/>
    <w:rsid w:val="006201DC"/>
    <w:rsid w:val="00620985"/>
    <w:rsid w:val="00620BD5"/>
    <w:rsid w:val="00621B17"/>
    <w:rsid w:val="00622289"/>
    <w:rsid w:val="00622543"/>
    <w:rsid w:val="0062261D"/>
    <w:rsid w:val="00622643"/>
    <w:rsid w:val="00623312"/>
    <w:rsid w:val="0062351E"/>
    <w:rsid w:val="00623E92"/>
    <w:rsid w:val="00623E93"/>
    <w:rsid w:val="00624322"/>
    <w:rsid w:val="006243BE"/>
    <w:rsid w:val="00624406"/>
    <w:rsid w:val="006248E3"/>
    <w:rsid w:val="00625D3D"/>
    <w:rsid w:val="00625DB6"/>
    <w:rsid w:val="00626280"/>
    <w:rsid w:val="00626CAC"/>
    <w:rsid w:val="00627AD4"/>
    <w:rsid w:val="00630F33"/>
    <w:rsid w:val="006312A4"/>
    <w:rsid w:val="006312F8"/>
    <w:rsid w:val="006313C9"/>
    <w:rsid w:val="006317D2"/>
    <w:rsid w:val="00631C0F"/>
    <w:rsid w:val="006337EA"/>
    <w:rsid w:val="006348ED"/>
    <w:rsid w:val="00635314"/>
    <w:rsid w:val="006355E6"/>
    <w:rsid w:val="00635EFB"/>
    <w:rsid w:val="00636A18"/>
    <w:rsid w:val="00636C52"/>
    <w:rsid w:val="0063771E"/>
    <w:rsid w:val="006406A6"/>
    <w:rsid w:val="00640A5A"/>
    <w:rsid w:val="00640C80"/>
    <w:rsid w:val="00640E6C"/>
    <w:rsid w:val="00642351"/>
    <w:rsid w:val="006424F7"/>
    <w:rsid w:val="00642A2C"/>
    <w:rsid w:val="00642C32"/>
    <w:rsid w:val="006433D0"/>
    <w:rsid w:val="00643467"/>
    <w:rsid w:val="00643A31"/>
    <w:rsid w:val="00643AAE"/>
    <w:rsid w:val="00643C71"/>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29B8"/>
    <w:rsid w:val="00672F3E"/>
    <w:rsid w:val="00673BF2"/>
    <w:rsid w:val="00673C58"/>
    <w:rsid w:val="0067494B"/>
    <w:rsid w:val="00674DB0"/>
    <w:rsid w:val="00675296"/>
    <w:rsid w:val="0067649E"/>
    <w:rsid w:val="006766B8"/>
    <w:rsid w:val="00677143"/>
    <w:rsid w:val="006807E1"/>
    <w:rsid w:val="00680DE4"/>
    <w:rsid w:val="0068116A"/>
    <w:rsid w:val="006823D9"/>
    <w:rsid w:val="00682434"/>
    <w:rsid w:val="00683367"/>
    <w:rsid w:val="00683B8F"/>
    <w:rsid w:val="006841B1"/>
    <w:rsid w:val="0068436A"/>
    <w:rsid w:val="0068523F"/>
    <w:rsid w:val="006855A0"/>
    <w:rsid w:val="006861C4"/>
    <w:rsid w:val="00686C23"/>
    <w:rsid w:val="00687033"/>
    <w:rsid w:val="00687774"/>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80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0A3"/>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6470"/>
    <w:rsid w:val="006C75FA"/>
    <w:rsid w:val="006C7FAC"/>
    <w:rsid w:val="006D002D"/>
    <w:rsid w:val="006D0421"/>
    <w:rsid w:val="006D047B"/>
    <w:rsid w:val="006D1D18"/>
    <w:rsid w:val="006D20CB"/>
    <w:rsid w:val="006D2594"/>
    <w:rsid w:val="006D2BD4"/>
    <w:rsid w:val="006D3530"/>
    <w:rsid w:val="006D3BF4"/>
    <w:rsid w:val="006D407D"/>
    <w:rsid w:val="006D477F"/>
    <w:rsid w:val="006D47BC"/>
    <w:rsid w:val="006D4ACA"/>
    <w:rsid w:val="006D53AB"/>
    <w:rsid w:val="006D5843"/>
    <w:rsid w:val="006D6871"/>
    <w:rsid w:val="006D6CA2"/>
    <w:rsid w:val="006D71D3"/>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533D"/>
    <w:rsid w:val="006F6D3E"/>
    <w:rsid w:val="006F6DDA"/>
    <w:rsid w:val="006F7041"/>
    <w:rsid w:val="006F726F"/>
    <w:rsid w:val="0070068B"/>
    <w:rsid w:val="00700990"/>
    <w:rsid w:val="00700CF4"/>
    <w:rsid w:val="007016BE"/>
    <w:rsid w:val="007025A3"/>
    <w:rsid w:val="007030B9"/>
    <w:rsid w:val="00703181"/>
    <w:rsid w:val="007042E7"/>
    <w:rsid w:val="007044EC"/>
    <w:rsid w:val="00704571"/>
    <w:rsid w:val="007048F0"/>
    <w:rsid w:val="00705362"/>
    <w:rsid w:val="0070604E"/>
    <w:rsid w:val="0070657E"/>
    <w:rsid w:val="0070718C"/>
    <w:rsid w:val="00711526"/>
    <w:rsid w:val="0071165C"/>
    <w:rsid w:val="00711CAD"/>
    <w:rsid w:val="0071201B"/>
    <w:rsid w:val="007128AF"/>
    <w:rsid w:val="0071320C"/>
    <w:rsid w:val="0071356F"/>
    <w:rsid w:val="00714166"/>
    <w:rsid w:val="007153F0"/>
    <w:rsid w:val="007154CF"/>
    <w:rsid w:val="007159A1"/>
    <w:rsid w:val="00716812"/>
    <w:rsid w:val="007171DB"/>
    <w:rsid w:val="00717651"/>
    <w:rsid w:val="0071796A"/>
    <w:rsid w:val="00717A8D"/>
    <w:rsid w:val="00717BF6"/>
    <w:rsid w:val="00717C21"/>
    <w:rsid w:val="00717F9F"/>
    <w:rsid w:val="00720493"/>
    <w:rsid w:val="00720B9E"/>
    <w:rsid w:val="00721887"/>
    <w:rsid w:val="00721CC5"/>
    <w:rsid w:val="007224ED"/>
    <w:rsid w:val="00722FD8"/>
    <w:rsid w:val="0072366C"/>
    <w:rsid w:val="00724291"/>
    <w:rsid w:val="00724D0C"/>
    <w:rsid w:val="0072590A"/>
    <w:rsid w:val="00725996"/>
    <w:rsid w:val="00725F93"/>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4B9"/>
    <w:rsid w:val="00741968"/>
    <w:rsid w:val="00741BDD"/>
    <w:rsid w:val="00741F62"/>
    <w:rsid w:val="007423E9"/>
    <w:rsid w:val="00743A58"/>
    <w:rsid w:val="00743D1C"/>
    <w:rsid w:val="00743D29"/>
    <w:rsid w:val="0074406C"/>
    <w:rsid w:val="00744146"/>
    <w:rsid w:val="00744B1B"/>
    <w:rsid w:val="00745153"/>
    <w:rsid w:val="00745844"/>
    <w:rsid w:val="007460ED"/>
    <w:rsid w:val="0074661C"/>
    <w:rsid w:val="00746A2F"/>
    <w:rsid w:val="007472EF"/>
    <w:rsid w:val="00747669"/>
    <w:rsid w:val="0074771E"/>
    <w:rsid w:val="00751097"/>
    <w:rsid w:val="00751E1F"/>
    <w:rsid w:val="0075296E"/>
    <w:rsid w:val="00752F33"/>
    <w:rsid w:val="0075319C"/>
    <w:rsid w:val="007531A5"/>
    <w:rsid w:val="007535E3"/>
    <w:rsid w:val="00753FCB"/>
    <w:rsid w:val="007542B1"/>
    <w:rsid w:val="007550FE"/>
    <w:rsid w:val="00755EE8"/>
    <w:rsid w:val="00756609"/>
    <w:rsid w:val="007566A7"/>
    <w:rsid w:val="007567D2"/>
    <w:rsid w:val="00756E30"/>
    <w:rsid w:val="0075707E"/>
    <w:rsid w:val="00757941"/>
    <w:rsid w:val="00762FCA"/>
    <w:rsid w:val="007639A5"/>
    <w:rsid w:val="00763CC7"/>
    <w:rsid w:val="00763EE9"/>
    <w:rsid w:val="00764375"/>
    <w:rsid w:val="007648A0"/>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4C1"/>
    <w:rsid w:val="00783873"/>
    <w:rsid w:val="007847D1"/>
    <w:rsid w:val="00784924"/>
    <w:rsid w:val="00785B0C"/>
    <w:rsid w:val="00785D82"/>
    <w:rsid w:val="0078647B"/>
    <w:rsid w:val="00786ED4"/>
    <w:rsid w:val="0078716F"/>
    <w:rsid w:val="007873C8"/>
    <w:rsid w:val="0078793D"/>
    <w:rsid w:val="00790F50"/>
    <w:rsid w:val="00791374"/>
    <w:rsid w:val="00791B21"/>
    <w:rsid w:val="0079263D"/>
    <w:rsid w:val="00792B66"/>
    <w:rsid w:val="0079352C"/>
    <w:rsid w:val="00793B34"/>
    <w:rsid w:val="00793B84"/>
    <w:rsid w:val="00793D87"/>
    <w:rsid w:val="00793F00"/>
    <w:rsid w:val="00794795"/>
    <w:rsid w:val="007949E6"/>
    <w:rsid w:val="00794CC2"/>
    <w:rsid w:val="00794D98"/>
    <w:rsid w:val="00794F29"/>
    <w:rsid w:val="00795A2A"/>
    <w:rsid w:val="007964B5"/>
    <w:rsid w:val="007969EA"/>
    <w:rsid w:val="007972FB"/>
    <w:rsid w:val="007977AD"/>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FF1"/>
    <w:rsid w:val="007B3F86"/>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C685F"/>
    <w:rsid w:val="007D069C"/>
    <w:rsid w:val="007D1AFD"/>
    <w:rsid w:val="007D1E73"/>
    <w:rsid w:val="007D23C4"/>
    <w:rsid w:val="007D2FC8"/>
    <w:rsid w:val="007D310A"/>
    <w:rsid w:val="007D408D"/>
    <w:rsid w:val="007D4CD5"/>
    <w:rsid w:val="007D52A7"/>
    <w:rsid w:val="007D619D"/>
    <w:rsid w:val="007D658F"/>
    <w:rsid w:val="007D6B04"/>
    <w:rsid w:val="007D6D6F"/>
    <w:rsid w:val="007D6E6D"/>
    <w:rsid w:val="007D6F5D"/>
    <w:rsid w:val="007D7604"/>
    <w:rsid w:val="007D7729"/>
    <w:rsid w:val="007D7AA9"/>
    <w:rsid w:val="007E075D"/>
    <w:rsid w:val="007E0D86"/>
    <w:rsid w:val="007E170B"/>
    <w:rsid w:val="007E18BA"/>
    <w:rsid w:val="007E18FA"/>
    <w:rsid w:val="007E1DF2"/>
    <w:rsid w:val="007E2888"/>
    <w:rsid w:val="007E2BA4"/>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0847"/>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06F"/>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601"/>
    <w:rsid w:val="00821E84"/>
    <w:rsid w:val="00822005"/>
    <w:rsid w:val="0082256B"/>
    <w:rsid w:val="00822609"/>
    <w:rsid w:val="00822B0C"/>
    <w:rsid w:val="00822C45"/>
    <w:rsid w:val="0082377B"/>
    <w:rsid w:val="008241E4"/>
    <w:rsid w:val="00824394"/>
    <w:rsid w:val="00824912"/>
    <w:rsid w:val="00824F1A"/>
    <w:rsid w:val="00825B07"/>
    <w:rsid w:val="008265E8"/>
    <w:rsid w:val="00826634"/>
    <w:rsid w:val="00826C0C"/>
    <w:rsid w:val="00827175"/>
    <w:rsid w:val="00827E75"/>
    <w:rsid w:val="00830810"/>
    <w:rsid w:val="008309CF"/>
    <w:rsid w:val="00830AF8"/>
    <w:rsid w:val="00830B5F"/>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37C5C"/>
    <w:rsid w:val="00840350"/>
    <w:rsid w:val="00840409"/>
    <w:rsid w:val="0084055F"/>
    <w:rsid w:val="0084098C"/>
    <w:rsid w:val="008411FD"/>
    <w:rsid w:val="0084138C"/>
    <w:rsid w:val="00842584"/>
    <w:rsid w:val="008429DB"/>
    <w:rsid w:val="00842BA8"/>
    <w:rsid w:val="0084324E"/>
    <w:rsid w:val="00844B2A"/>
    <w:rsid w:val="00844ED2"/>
    <w:rsid w:val="0084562E"/>
    <w:rsid w:val="008470E8"/>
    <w:rsid w:val="0084736D"/>
    <w:rsid w:val="008479BC"/>
    <w:rsid w:val="00847C79"/>
    <w:rsid w:val="00850A19"/>
    <w:rsid w:val="0085106C"/>
    <w:rsid w:val="008514EC"/>
    <w:rsid w:val="00851F31"/>
    <w:rsid w:val="0085233E"/>
    <w:rsid w:val="008524F7"/>
    <w:rsid w:val="00852A9A"/>
    <w:rsid w:val="00852F34"/>
    <w:rsid w:val="008534FA"/>
    <w:rsid w:val="00853616"/>
    <w:rsid w:val="00853704"/>
    <w:rsid w:val="00853C23"/>
    <w:rsid w:val="00853EFD"/>
    <w:rsid w:val="0085413E"/>
    <w:rsid w:val="00854674"/>
    <w:rsid w:val="00854784"/>
    <w:rsid w:val="00854C8E"/>
    <w:rsid w:val="00856542"/>
    <w:rsid w:val="0085729A"/>
    <w:rsid w:val="008575ED"/>
    <w:rsid w:val="00857F3D"/>
    <w:rsid w:val="00860F08"/>
    <w:rsid w:val="008612F5"/>
    <w:rsid w:val="00861F9D"/>
    <w:rsid w:val="0086307F"/>
    <w:rsid w:val="008639AD"/>
    <w:rsid w:val="00863C1F"/>
    <w:rsid w:val="00866BCC"/>
    <w:rsid w:val="00870856"/>
    <w:rsid w:val="0087157B"/>
    <w:rsid w:val="00872B3A"/>
    <w:rsid w:val="00873845"/>
    <w:rsid w:val="00874475"/>
    <w:rsid w:val="00875F0B"/>
    <w:rsid w:val="00876522"/>
    <w:rsid w:val="00876AE3"/>
    <w:rsid w:val="008775DB"/>
    <w:rsid w:val="0087764A"/>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6995"/>
    <w:rsid w:val="00887227"/>
    <w:rsid w:val="008900AA"/>
    <w:rsid w:val="00890427"/>
    <w:rsid w:val="008905B4"/>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A21"/>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6709"/>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D7D36"/>
    <w:rsid w:val="008E02E0"/>
    <w:rsid w:val="008E0670"/>
    <w:rsid w:val="008E114F"/>
    <w:rsid w:val="008E1153"/>
    <w:rsid w:val="008E1D76"/>
    <w:rsid w:val="008E2594"/>
    <w:rsid w:val="008E2DD0"/>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55D1"/>
    <w:rsid w:val="008F6537"/>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4513"/>
    <w:rsid w:val="0093661E"/>
    <w:rsid w:val="00936789"/>
    <w:rsid w:val="00936EF5"/>
    <w:rsid w:val="009372E1"/>
    <w:rsid w:val="00937FBA"/>
    <w:rsid w:val="009417AC"/>
    <w:rsid w:val="0094325C"/>
    <w:rsid w:val="00945766"/>
    <w:rsid w:val="009457AC"/>
    <w:rsid w:val="00945B1E"/>
    <w:rsid w:val="0094609D"/>
    <w:rsid w:val="00946484"/>
    <w:rsid w:val="00946970"/>
    <w:rsid w:val="00946B28"/>
    <w:rsid w:val="00947447"/>
    <w:rsid w:val="00947B1C"/>
    <w:rsid w:val="009510F9"/>
    <w:rsid w:val="009516DD"/>
    <w:rsid w:val="00951D77"/>
    <w:rsid w:val="00951F1A"/>
    <w:rsid w:val="00952ADE"/>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3644"/>
    <w:rsid w:val="00964583"/>
    <w:rsid w:val="00964775"/>
    <w:rsid w:val="00964ACE"/>
    <w:rsid w:val="009659F8"/>
    <w:rsid w:val="009660FF"/>
    <w:rsid w:val="009664CB"/>
    <w:rsid w:val="00966CC0"/>
    <w:rsid w:val="009671A1"/>
    <w:rsid w:val="009672E3"/>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6765"/>
    <w:rsid w:val="00987DF4"/>
    <w:rsid w:val="00987FDA"/>
    <w:rsid w:val="00990175"/>
    <w:rsid w:val="00991ED6"/>
    <w:rsid w:val="009920A0"/>
    <w:rsid w:val="00992E8A"/>
    <w:rsid w:val="00992E8D"/>
    <w:rsid w:val="009937FD"/>
    <w:rsid w:val="00993A36"/>
    <w:rsid w:val="00994F4D"/>
    <w:rsid w:val="0099582B"/>
    <w:rsid w:val="00995DAF"/>
    <w:rsid w:val="00995FC3"/>
    <w:rsid w:val="00996AA6"/>
    <w:rsid w:val="00997230"/>
    <w:rsid w:val="009A0274"/>
    <w:rsid w:val="009A035E"/>
    <w:rsid w:val="009A18AB"/>
    <w:rsid w:val="009A2D7C"/>
    <w:rsid w:val="009A30FE"/>
    <w:rsid w:val="009A4644"/>
    <w:rsid w:val="009A468E"/>
    <w:rsid w:val="009A48A4"/>
    <w:rsid w:val="009A4908"/>
    <w:rsid w:val="009A4A3E"/>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70"/>
    <w:rsid w:val="009C3AE8"/>
    <w:rsid w:val="009C4087"/>
    <w:rsid w:val="009C4959"/>
    <w:rsid w:val="009C4CFF"/>
    <w:rsid w:val="009C5961"/>
    <w:rsid w:val="009C76A3"/>
    <w:rsid w:val="009C79E5"/>
    <w:rsid w:val="009C7ACB"/>
    <w:rsid w:val="009C7C85"/>
    <w:rsid w:val="009D03F6"/>
    <w:rsid w:val="009D1578"/>
    <w:rsid w:val="009D6353"/>
    <w:rsid w:val="009D6CF0"/>
    <w:rsid w:val="009D6E22"/>
    <w:rsid w:val="009D75A9"/>
    <w:rsid w:val="009D7906"/>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48E"/>
    <w:rsid w:val="009E65CA"/>
    <w:rsid w:val="009E699D"/>
    <w:rsid w:val="009F0A69"/>
    <w:rsid w:val="009F16B9"/>
    <w:rsid w:val="009F1904"/>
    <w:rsid w:val="009F209E"/>
    <w:rsid w:val="009F2446"/>
    <w:rsid w:val="009F2450"/>
    <w:rsid w:val="009F2BF4"/>
    <w:rsid w:val="009F2C12"/>
    <w:rsid w:val="009F2F47"/>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1E64"/>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87D"/>
    <w:rsid w:val="00A20573"/>
    <w:rsid w:val="00A205B6"/>
    <w:rsid w:val="00A207FA"/>
    <w:rsid w:val="00A20C94"/>
    <w:rsid w:val="00A21C4C"/>
    <w:rsid w:val="00A220B7"/>
    <w:rsid w:val="00A227D6"/>
    <w:rsid w:val="00A227E7"/>
    <w:rsid w:val="00A22A71"/>
    <w:rsid w:val="00A22D55"/>
    <w:rsid w:val="00A22F6E"/>
    <w:rsid w:val="00A239DB"/>
    <w:rsid w:val="00A24008"/>
    <w:rsid w:val="00A24078"/>
    <w:rsid w:val="00A2475E"/>
    <w:rsid w:val="00A258E0"/>
    <w:rsid w:val="00A25FCF"/>
    <w:rsid w:val="00A269B5"/>
    <w:rsid w:val="00A26A3F"/>
    <w:rsid w:val="00A2726D"/>
    <w:rsid w:val="00A30627"/>
    <w:rsid w:val="00A30B6C"/>
    <w:rsid w:val="00A30FD5"/>
    <w:rsid w:val="00A31D99"/>
    <w:rsid w:val="00A3244C"/>
    <w:rsid w:val="00A32555"/>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990"/>
    <w:rsid w:val="00A36EBD"/>
    <w:rsid w:val="00A40F98"/>
    <w:rsid w:val="00A42AD8"/>
    <w:rsid w:val="00A43813"/>
    <w:rsid w:val="00A43D47"/>
    <w:rsid w:val="00A440A6"/>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0C15"/>
    <w:rsid w:val="00A6204A"/>
    <w:rsid w:val="00A62093"/>
    <w:rsid w:val="00A6310C"/>
    <w:rsid w:val="00A6316B"/>
    <w:rsid w:val="00A63679"/>
    <w:rsid w:val="00A63A8F"/>
    <w:rsid w:val="00A64389"/>
    <w:rsid w:val="00A64797"/>
    <w:rsid w:val="00A64817"/>
    <w:rsid w:val="00A67F2A"/>
    <w:rsid w:val="00A71CDE"/>
    <w:rsid w:val="00A7252E"/>
    <w:rsid w:val="00A72BBC"/>
    <w:rsid w:val="00A72E18"/>
    <w:rsid w:val="00A730F3"/>
    <w:rsid w:val="00A74BE6"/>
    <w:rsid w:val="00A7557C"/>
    <w:rsid w:val="00A758A4"/>
    <w:rsid w:val="00A75BA0"/>
    <w:rsid w:val="00A768A2"/>
    <w:rsid w:val="00A76A55"/>
    <w:rsid w:val="00A77380"/>
    <w:rsid w:val="00A773B4"/>
    <w:rsid w:val="00A80948"/>
    <w:rsid w:val="00A81811"/>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5D27"/>
    <w:rsid w:val="00A96FC0"/>
    <w:rsid w:val="00A97BFA"/>
    <w:rsid w:val="00AA007C"/>
    <w:rsid w:val="00AA0B30"/>
    <w:rsid w:val="00AA1053"/>
    <w:rsid w:val="00AA1A77"/>
    <w:rsid w:val="00AA25C9"/>
    <w:rsid w:val="00AA3676"/>
    <w:rsid w:val="00AA3726"/>
    <w:rsid w:val="00AA40AA"/>
    <w:rsid w:val="00AA4F09"/>
    <w:rsid w:val="00AA67F0"/>
    <w:rsid w:val="00AA7A72"/>
    <w:rsid w:val="00AA7DCE"/>
    <w:rsid w:val="00AA7F8C"/>
    <w:rsid w:val="00AA7FA5"/>
    <w:rsid w:val="00AB0725"/>
    <w:rsid w:val="00AB0807"/>
    <w:rsid w:val="00AB0FB2"/>
    <w:rsid w:val="00AB10E3"/>
    <w:rsid w:val="00AB18AB"/>
    <w:rsid w:val="00AB1FAD"/>
    <w:rsid w:val="00AB2AF8"/>
    <w:rsid w:val="00AB37FD"/>
    <w:rsid w:val="00AB41AF"/>
    <w:rsid w:val="00AB42BB"/>
    <w:rsid w:val="00AB4316"/>
    <w:rsid w:val="00AB4B6A"/>
    <w:rsid w:val="00AB502F"/>
    <w:rsid w:val="00AB50C3"/>
    <w:rsid w:val="00AB57D9"/>
    <w:rsid w:val="00AB6F61"/>
    <w:rsid w:val="00AB71B1"/>
    <w:rsid w:val="00AB7601"/>
    <w:rsid w:val="00AB7957"/>
    <w:rsid w:val="00AB7A15"/>
    <w:rsid w:val="00AC0BD8"/>
    <w:rsid w:val="00AC1E53"/>
    <w:rsid w:val="00AC2F56"/>
    <w:rsid w:val="00AC42FA"/>
    <w:rsid w:val="00AC455C"/>
    <w:rsid w:val="00AC45CA"/>
    <w:rsid w:val="00AC4D66"/>
    <w:rsid w:val="00AC5C0E"/>
    <w:rsid w:val="00AC5FCE"/>
    <w:rsid w:val="00AC615E"/>
    <w:rsid w:val="00AC62B7"/>
    <w:rsid w:val="00AC6BDA"/>
    <w:rsid w:val="00AC6E20"/>
    <w:rsid w:val="00AC7A38"/>
    <w:rsid w:val="00AD0404"/>
    <w:rsid w:val="00AD07F1"/>
    <w:rsid w:val="00AD20E0"/>
    <w:rsid w:val="00AD2BE1"/>
    <w:rsid w:val="00AD3477"/>
    <w:rsid w:val="00AD3C49"/>
    <w:rsid w:val="00AD3D21"/>
    <w:rsid w:val="00AD3D7D"/>
    <w:rsid w:val="00AD64CC"/>
    <w:rsid w:val="00AD68F8"/>
    <w:rsid w:val="00AD692B"/>
    <w:rsid w:val="00AE0B68"/>
    <w:rsid w:val="00AE0CA2"/>
    <w:rsid w:val="00AE10CD"/>
    <w:rsid w:val="00AE1499"/>
    <w:rsid w:val="00AE2D0A"/>
    <w:rsid w:val="00AE3725"/>
    <w:rsid w:val="00AE3AE0"/>
    <w:rsid w:val="00AE448F"/>
    <w:rsid w:val="00AE4E58"/>
    <w:rsid w:val="00AE4F14"/>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75D"/>
    <w:rsid w:val="00AF5D55"/>
    <w:rsid w:val="00AF605B"/>
    <w:rsid w:val="00AF741B"/>
    <w:rsid w:val="00AF7453"/>
    <w:rsid w:val="00AF7C3D"/>
    <w:rsid w:val="00AF7E72"/>
    <w:rsid w:val="00B00C97"/>
    <w:rsid w:val="00B0115C"/>
    <w:rsid w:val="00B01F83"/>
    <w:rsid w:val="00B0338C"/>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62C"/>
    <w:rsid w:val="00B14CD1"/>
    <w:rsid w:val="00B15491"/>
    <w:rsid w:val="00B1562F"/>
    <w:rsid w:val="00B16D0D"/>
    <w:rsid w:val="00B16D63"/>
    <w:rsid w:val="00B17629"/>
    <w:rsid w:val="00B21D6E"/>
    <w:rsid w:val="00B22C39"/>
    <w:rsid w:val="00B22DE0"/>
    <w:rsid w:val="00B23D2D"/>
    <w:rsid w:val="00B24380"/>
    <w:rsid w:val="00B24FEA"/>
    <w:rsid w:val="00B2540B"/>
    <w:rsid w:val="00B25B94"/>
    <w:rsid w:val="00B25FE6"/>
    <w:rsid w:val="00B2603E"/>
    <w:rsid w:val="00B26397"/>
    <w:rsid w:val="00B26407"/>
    <w:rsid w:val="00B26CD6"/>
    <w:rsid w:val="00B26E49"/>
    <w:rsid w:val="00B27255"/>
    <w:rsid w:val="00B2749B"/>
    <w:rsid w:val="00B2763A"/>
    <w:rsid w:val="00B27A0A"/>
    <w:rsid w:val="00B30160"/>
    <w:rsid w:val="00B3068C"/>
    <w:rsid w:val="00B317DC"/>
    <w:rsid w:val="00B31A2F"/>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0112"/>
    <w:rsid w:val="00B4097F"/>
    <w:rsid w:val="00B410B3"/>
    <w:rsid w:val="00B4136C"/>
    <w:rsid w:val="00B4190C"/>
    <w:rsid w:val="00B41956"/>
    <w:rsid w:val="00B42A22"/>
    <w:rsid w:val="00B43539"/>
    <w:rsid w:val="00B45535"/>
    <w:rsid w:val="00B4553C"/>
    <w:rsid w:val="00B4572C"/>
    <w:rsid w:val="00B459C8"/>
    <w:rsid w:val="00B45BAB"/>
    <w:rsid w:val="00B46975"/>
    <w:rsid w:val="00B472EC"/>
    <w:rsid w:val="00B52046"/>
    <w:rsid w:val="00B5259A"/>
    <w:rsid w:val="00B52CB1"/>
    <w:rsid w:val="00B53B6D"/>
    <w:rsid w:val="00B53C9A"/>
    <w:rsid w:val="00B53D31"/>
    <w:rsid w:val="00B54F0D"/>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519"/>
    <w:rsid w:val="00B64541"/>
    <w:rsid w:val="00B6456D"/>
    <w:rsid w:val="00B64BD0"/>
    <w:rsid w:val="00B64FCD"/>
    <w:rsid w:val="00B65C38"/>
    <w:rsid w:val="00B65CBD"/>
    <w:rsid w:val="00B66802"/>
    <w:rsid w:val="00B67453"/>
    <w:rsid w:val="00B675F7"/>
    <w:rsid w:val="00B677EA"/>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4F32"/>
    <w:rsid w:val="00B952E7"/>
    <w:rsid w:val="00B95B2F"/>
    <w:rsid w:val="00B95E21"/>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3A31"/>
    <w:rsid w:val="00BC406F"/>
    <w:rsid w:val="00BC4C88"/>
    <w:rsid w:val="00BC59CA"/>
    <w:rsid w:val="00BC6970"/>
    <w:rsid w:val="00BC6BA8"/>
    <w:rsid w:val="00BC6D81"/>
    <w:rsid w:val="00BC6F87"/>
    <w:rsid w:val="00BC734E"/>
    <w:rsid w:val="00BC7713"/>
    <w:rsid w:val="00BC7C93"/>
    <w:rsid w:val="00BD0286"/>
    <w:rsid w:val="00BD0A29"/>
    <w:rsid w:val="00BD1B3F"/>
    <w:rsid w:val="00BD33A9"/>
    <w:rsid w:val="00BD33BE"/>
    <w:rsid w:val="00BD3792"/>
    <w:rsid w:val="00BD3C72"/>
    <w:rsid w:val="00BD4E12"/>
    <w:rsid w:val="00BD56F8"/>
    <w:rsid w:val="00BD5D4E"/>
    <w:rsid w:val="00BD5F7E"/>
    <w:rsid w:val="00BD7991"/>
    <w:rsid w:val="00BE0BDD"/>
    <w:rsid w:val="00BE21E3"/>
    <w:rsid w:val="00BE305B"/>
    <w:rsid w:val="00BE5F4E"/>
    <w:rsid w:val="00BE62B2"/>
    <w:rsid w:val="00BE6350"/>
    <w:rsid w:val="00BE67F1"/>
    <w:rsid w:val="00BE7287"/>
    <w:rsid w:val="00BE7C93"/>
    <w:rsid w:val="00BF0362"/>
    <w:rsid w:val="00BF0479"/>
    <w:rsid w:val="00BF0D73"/>
    <w:rsid w:val="00BF1A87"/>
    <w:rsid w:val="00BF1D23"/>
    <w:rsid w:val="00BF1F82"/>
    <w:rsid w:val="00BF2520"/>
    <w:rsid w:val="00BF3470"/>
    <w:rsid w:val="00BF3B94"/>
    <w:rsid w:val="00BF3FF8"/>
    <w:rsid w:val="00BF4C53"/>
    <w:rsid w:val="00BF54DC"/>
    <w:rsid w:val="00BF5748"/>
    <w:rsid w:val="00BF6270"/>
    <w:rsid w:val="00BF67B7"/>
    <w:rsid w:val="00BF770B"/>
    <w:rsid w:val="00BF7802"/>
    <w:rsid w:val="00C01510"/>
    <w:rsid w:val="00C01CEB"/>
    <w:rsid w:val="00C01F6E"/>
    <w:rsid w:val="00C03249"/>
    <w:rsid w:val="00C04BAE"/>
    <w:rsid w:val="00C05896"/>
    <w:rsid w:val="00C0599A"/>
    <w:rsid w:val="00C06C42"/>
    <w:rsid w:val="00C06EB2"/>
    <w:rsid w:val="00C073DA"/>
    <w:rsid w:val="00C07C15"/>
    <w:rsid w:val="00C10B9B"/>
    <w:rsid w:val="00C10C30"/>
    <w:rsid w:val="00C1104C"/>
    <w:rsid w:val="00C11577"/>
    <w:rsid w:val="00C11DC5"/>
    <w:rsid w:val="00C11F13"/>
    <w:rsid w:val="00C11F39"/>
    <w:rsid w:val="00C11F55"/>
    <w:rsid w:val="00C12249"/>
    <w:rsid w:val="00C1250E"/>
    <w:rsid w:val="00C12A29"/>
    <w:rsid w:val="00C138E7"/>
    <w:rsid w:val="00C139A1"/>
    <w:rsid w:val="00C1448C"/>
    <w:rsid w:val="00C14D7A"/>
    <w:rsid w:val="00C16C4B"/>
    <w:rsid w:val="00C17059"/>
    <w:rsid w:val="00C17174"/>
    <w:rsid w:val="00C171C5"/>
    <w:rsid w:val="00C17B44"/>
    <w:rsid w:val="00C17F63"/>
    <w:rsid w:val="00C2041C"/>
    <w:rsid w:val="00C20869"/>
    <w:rsid w:val="00C20DC6"/>
    <w:rsid w:val="00C2113D"/>
    <w:rsid w:val="00C215D1"/>
    <w:rsid w:val="00C21AE1"/>
    <w:rsid w:val="00C223D1"/>
    <w:rsid w:val="00C227C6"/>
    <w:rsid w:val="00C22A5D"/>
    <w:rsid w:val="00C230F6"/>
    <w:rsid w:val="00C23686"/>
    <w:rsid w:val="00C23F8A"/>
    <w:rsid w:val="00C24B05"/>
    <w:rsid w:val="00C25052"/>
    <w:rsid w:val="00C25D31"/>
    <w:rsid w:val="00C262C1"/>
    <w:rsid w:val="00C265D0"/>
    <w:rsid w:val="00C26FE5"/>
    <w:rsid w:val="00C3022B"/>
    <w:rsid w:val="00C30723"/>
    <w:rsid w:val="00C31756"/>
    <w:rsid w:val="00C31F7F"/>
    <w:rsid w:val="00C32186"/>
    <w:rsid w:val="00C335AE"/>
    <w:rsid w:val="00C3427B"/>
    <w:rsid w:val="00C34E1F"/>
    <w:rsid w:val="00C35C70"/>
    <w:rsid w:val="00C35E26"/>
    <w:rsid w:val="00C3626A"/>
    <w:rsid w:val="00C36684"/>
    <w:rsid w:val="00C36F0A"/>
    <w:rsid w:val="00C36F4F"/>
    <w:rsid w:val="00C372CB"/>
    <w:rsid w:val="00C4067A"/>
    <w:rsid w:val="00C41480"/>
    <w:rsid w:val="00C44052"/>
    <w:rsid w:val="00C44368"/>
    <w:rsid w:val="00C46111"/>
    <w:rsid w:val="00C46822"/>
    <w:rsid w:val="00C46CE5"/>
    <w:rsid w:val="00C47960"/>
    <w:rsid w:val="00C47CFC"/>
    <w:rsid w:val="00C50260"/>
    <w:rsid w:val="00C51395"/>
    <w:rsid w:val="00C51553"/>
    <w:rsid w:val="00C518A5"/>
    <w:rsid w:val="00C51A60"/>
    <w:rsid w:val="00C520E4"/>
    <w:rsid w:val="00C52334"/>
    <w:rsid w:val="00C52C65"/>
    <w:rsid w:val="00C53110"/>
    <w:rsid w:val="00C53B12"/>
    <w:rsid w:val="00C5406E"/>
    <w:rsid w:val="00C541B2"/>
    <w:rsid w:val="00C54928"/>
    <w:rsid w:val="00C54A44"/>
    <w:rsid w:val="00C54E2A"/>
    <w:rsid w:val="00C5661F"/>
    <w:rsid w:val="00C57085"/>
    <w:rsid w:val="00C575AF"/>
    <w:rsid w:val="00C576FC"/>
    <w:rsid w:val="00C60361"/>
    <w:rsid w:val="00C60738"/>
    <w:rsid w:val="00C608D7"/>
    <w:rsid w:val="00C60D9F"/>
    <w:rsid w:val="00C6171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19C3"/>
    <w:rsid w:val="00C72DD5"/>
    <w:rsid w:val="00C733A6"/>
    <w:rsid w:val="00C737B0"/>
    <w:rsid w:val="00C73D39"/>
    <w:rsid w:val="00C7675A"/>
    <w:rsid w:val="00C76E9D"/>
    <w:rsid w:val="00C778AB"/>
    <w:rsid w:val="00C816DF"/>
    <w:rsid w:val="00C820EE"/>
    <w:rsid w:val="00C82CD4"/>
    <w:rsid w:val="00C84713"/>
    <w:rsid w:val="00C84758"/>
    <w:rsid w:val="00C853AB"/>
    <w:rsid w:val="00C85F72"/>
    <w:rsid w:val="00C86896"/>
    <w:rsid w:val="00C876E1"/>
    <w:rsid w:val="00C90162"/>
    <w:rsid w:val="00C908A9"/>
    <w:rsid w:val="00C908BE"/>
    <w:rsid w:val="00C90B93"/>
    <w:rsid w:val="00C91507"/>
    <w:rsid w:val="00C940C2"/>
    <w:rsid w:val="00C952E9"/>
    <w:rsid w:val="00C95AC8"/>
    <w:rsid w:val="00C95E95"/>
    <w:rsid w:val="00C9639C"/>
    <w:rsid w:val="00C9760B"/>
    <w:rsid w:val="00C976E0"/>
    <w:rsid w:val="00C9796B"/>
    <w:rsid w:val="00C97C19"/>
    <w:rsid w:val="00CA0174"/>
    <w:rsid w:val="00CA018B"/>
    <w:rsid w:val="00CA05EE"/>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28B"/>
    <w:rsid w:val="00CB3318"/>
    <w:rsid w:val="00CB3628"/>
    <w:rsid w:val="00CB407C"/>
    <w:rsid w:val="00CB46B4"/>
    <w:rsid w:val="00CB4940"/>
    <w:rsid w:val="00CB5D5B"/>
    <w:rsid w:val="00CB6E94"/>
    <w:rsid w:val="00CB7060"/>
    <w:rsid w:val="00CB763C"/>
    <w:rsid w:val="00CB77F2"/>
    <w:rsid w:val="00CB7DD6"/>
    <w:rsid w:val="00CC0438"/>
    <w:rsid w:val="00CC0563"/>
    <w:rsid w:val="00CC140D"/>
    <w:rsid w:val="00CC1E56"/>
    <w:rsid w:val="00CC2270"/>
    <w:rsid w:val="00CC3277"/>
    <w:rsid w:val="00CC385B"/>
    <w:rsid w:val="00CC4207"/>
    <w:rsid w:val="00CC5222"/>
    <w:rsid w:val="00CC5739"/>
    <w:rsid w:val="00CC5775"/>
    <w:rsid w:val="00CC62CD"/>
    <w:rsid w:val="00CC6C6A"/>
    <w:rsid w:val="00CC7881"/>
    <w:rsid w:val="00CC7971"/>
    <w:rsid w:val="00CD0422"/>
    <w:rsid w:val="00CD083E"/>
    <w:rsid w:val="00CD0982"/>
    <w:rsid w:val="00CD124B"/>
    <w:rsid w:val="00CD14D2"/>
    <w:rsid w:val="00CD19CF"/>
    <w:rsid w:val="00CD2987"/>
    <w:rsid w:val="00CD2A22"/>
    <w:rsid w:val="00CD2A3D"/>
    <w:rsid w:val="00CD2EE0"/>
    <w:rsid w:val="00CD3DD5"/>
    <w:rsid w:val="00CD400D"/>
    <w:rsid w:val="00CD40C7"/>
    <w:rsid w:val="00CD5885"/>
    <w:rsid w:val="00CD5D11"/>
    <w:rsid w:val="00CD63D3"/>
    <w:rsid w:val="00CD6924"/>
    <w:rsid w:val="00CD7055"/>
    <w:rsid w:val="00CD7340"/>
    <w:rsid w:val="00CD73E8"/>
    <w:rsid w:val="00CE06B1"/>
    <w:rsid w:val="00CE0944"/>
    <w:rsid w:val="00CE0A76"/>
    <w:rsid w:val="00CE0FEB"/>
    <w:rsid w:val="00CE3120"/>
    <w:rsid w:val="00CE3C60"/>
    <w:rsid w:val="00CE42DB"/>
    <w:rsid w:val="00CE4C6F"/>
    <w:rsid w:val="00CE52CC"/>
    <w:rsid w:val="00CE53F4"/>
    <w:rsid w:val="00CE5510"/>
    <w:rsid w:val="00CE5B5C"/>
    <w:rsid w:val="00CE5B69"/>
    <w:rsid w:val="00CE6071"/>
    <w:rsid w:val="00CE66E3"/>
    <w:rsid w:val="00CE6E72"/>
    <w:rsid w:val="00CE793F"/>
    <w:rsid w:val="00CE7E6F"/>
    <w:rsid w:val="00CF15DD"/>
    <w:rsid w:val="00CF223D"/>
    <w:rsid w:val="00CF2703"/>
    <w:rsid w:val="00CF2824"/>
    <w:rsid w:val="00CF3526"/>
    <w:rsid w:val="00CF3A33"/>
    <w:rsid w:val="00CF3C7D"/>
    <w:rsid w:val="00CF45BF"/>
    <w:rsid w:val="00CF51C1"/>
    <w:rsid w:val="00CF5B47"/>
    <w:rsid w:val="00CF5B54"/>
    <w:rsid w:val="00CF5EE3"/>
    <w:rsid w:val="00CF6C01"/>
    <w:rsid w:val="00CF7105"/>
    <w:rsid w:val="00CF7305"/>
    <w:rsid w:val="00CF7B4C"/>
    <w:rsid w:val="00D005E0"/>
    <w:rsid w:val="00D012FF"/>
    <w:rsid w:val="00D0157B"/>
    <w:rsid w:val="00D01CC4"/>
    <w:rsid w:val="00D01E6B"/>
    <w:rsid w:val="00D02045"/>
    <w:rsid w:val="00D0354D"/>
    <w:rsid w:val="00D0497C"/>
    <w:rsid w:val="00D04F45"/>
    <w:rsid w:val="00D04FAA"/>
    <w:rsid w:val="00D0548B"/>
    <w:rsid w:val="00D05AEE"/>
    <w:rsid w:val="00D05D6E"/>
    <w:rsid w:val="00D0648D"/>
    <w:rsid w:val="00D06EB9"/>
    <w:rsid w:val="00D1153F"/>
    <w:rsid w:val="00D11995"/>
    <w:rsid w:val="00D11CFD"/>
    <w:rsid w:val="00D12432"/>
    <w:rsid w:val="00D12AD9"/>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23D"/>
    <w:rsid w:val="00D35597"/>
    <w:rsid w:val="00D35689"/>
    <w:rsid w:val="00D365FA"/>
    <w:rsid w:val="00D369BC"/>
    <w:rsid w:val="00D37093"/>
    <w:rsid w:val="00D40425"/>
    <w:rsid w:val="00D40BC3"/>
    <w:rsid w:val="00D40D6B"/>
    <w:rsid w:val="00D4129E"/>
    <w:rsid w:val="00D418A3"/>
    <w:rsid w:val="00D41AB6"/>
    <w:rsid w:val="00D42946"/>
    <w:rsid w:val="00D43984"/>
    <w:rsid w:val="00D4459D"/>
    <w:rsid w:val="00D45A14"/>
    <w:rsid w:val="00D46BE9"/>
    <w:rsid w:val="00D46FA2"/>
    <w:rsid w:val="00D47451"/>
    <w:rsid w:val="00D47564"/>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3E14"/>
    <w:rsid w:val="00D64155"/>
    <w:rsid w:val="00D649A1"/>
    <w:rsid w:val="00D64BEA"/>
    <w:rsid w:val="00D65C02"/>
    <w:rsid w:val="00D65CC7"/>
    <w:rsid w:val="00D661D2"/>
    <w:rsid w:val="00D66410"/>
    <w:rsid w:val="00D66550"/>
    <w:rsid w:val="00D66648"/>
    <w:rsid w:val="00D66FDA"/>
    <w:rsid w:val="00D67292"/>
    <w:rsid w:val="00D70C38"/>
    <w:rsid w:val="00D710E5"/>
    <w:rsid w:val="00D71197"/>
    <w:rsid w:val="00D7178C"/>
    <w:rsid w:val="00D72008"/>
    <w:rsid w:val="00D72192"/>
    <w:rsid w:val="00D72D32"/>
    <w:rsid w:val="00D72D49"/>
    <w:rsid w:val="00D731D1"/>
    <w:rsid w:val="00D73645"/>
    <w:rsid w:val="00D73AC1"/>
    <w:rsid w:val="00D73BD2"/>
    <w:rsid w:val="00D73FC4"/>
    <w:rsid w:val="00D73FE8"/>
    <w:rsid w:val="00D74538"/>
    <w:rsid w:val="00D749A0"/>
    <w:rsid w:val="00D749CB"/>
    <w:rsid w:val="00D74C9E"/>
    <w:rsid w:val="00D75F19"/>
    <w:rsid w:val="00D767AE"/>
    <w:rsid w:val="00D77AD8"/>
    <w:rsid w:val="00D80605"/>
    <w:rsid w:val="00D80973"/>
    <w:rsid w:val="00D80BD8"/>
    <w:rsid w:val="00D82A2B"/>
    <w:rsid w:val="00D8301D"/>
    <w:rsid w:val="00D8473E"/>
    <w:rsid w:val="00D86255"/>
    <w:rsid w:val="00D863D1"/>
    <w:rsid w:val="00D872B7"/>
    <w:rsid w:val="00D8798B"/>
    <w:rsid w:val="00D87DCF"/>
    <w:rsid w:val="00D87F5B"/>
    <w:rsid w:val="00D90125"/>
    <w:rsid w:val="00D9057B"/>
    <w:rsid w:val="00D9096B"/>
    <w:rsid w:val="00D90ED1"/>
    <w:rsid w:val="00D91C34"/>
    <w:rsid w:val="00D925C5"/>
    <w:rsid w:val="00D9279F"/>
    <w:rsid w:val="00D948F3"/>
    <w:rsid w:val="00D94E4C"/>
    <w:rsid w:val="00D95709"/>
    <w:rsid w:val="00D958D7"/>
    <w:rsid w:val="00D95D24"/>
    <w:rsid w:val="00D96B2B"/>
    <w:rsid w:val="00D96D46"/>
    <w:rsid w:val="00D97B72"/>
    <w:rsid w:val="00D97CF6"/>
    <w:rsid w:val="00DA0BBE"/>
    <w:rsid w:val="00DA11AE"/>
    <w:rsid w:val="00DA16E5"/>
    <w:rsid w:val="00DA1BE9"/>
    <w:rsid w:val="00DA283D"/>
    <w:rsid w:val="00DA3E12"/>
    <w:rsid w:val="00DA4141"/>
    <w:rsid w:val="00DA417B"/>
    <w:rsid w:val="00DA45BD"/>
    <w:rsid w:val="00DA5000"/>
    <w:rsid w:val="00DA52EB"/>
    <w:rsid w:val="00DA5CD6"/>
    <w:rsid w:val="00DA6868"/>
    <w:rsid w:val="00DA7044"/>
    <w:rsid w:val="00DB0312"/>
    <w:rsid w:val="00DB0EDD"/>
    <w:rsid w:val="00DB115A"/>
    <w:rsid w:val="00DB31DB"/>
    <w:rsid w:val="00DB3213"/>
    <w:rsid w:val="00DB387C"/>
    <w:rsid w:val="00DB42F5"/>
    <w:rsid w:val="00DB43F8"/>
    <w:rsid w:val="00DB46DA"/>
    <w:rsid w:val="00DB5A7F"/>
    <w:rsid w:val="00DB640B"/>
    <w:rsid w:val="00DB656B"/>
    <w:rsid w:val="00DB6A23"/>
    <w:rsid w:val="00DB75BE"/>
    <w:rsid w:val="00DB7D6B"/>
    <w:rsid w:val="00DC00C2"/>
    <w:rsid w:val="00DC01DD"/>
    <w:rsid w:val="00DC29D6"/>
    <w:rsid w:val="00DC2DA2"/>
    <w:rsid w:val="00DC2F60"/>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1BFE"/>
    <w:rsid w:val="00DE367F"/>
    <w:rsid w:val="00DE3E2A"/>
    <w:rsid w:val="00DE4973"/>
    <w:rsid w:val="00DE5469"/>
    <w:rsid w:val="00DE5D83"/>
    <w:rsid w:val="00DE5E85"/>
    <w:rsid w:val="00DE704F"/>
    <w:rsid w:val="00DE7DBA"/>
    <w:rsid w:val="00DE7FB5"/>
    <w:rsid w:val="00DF0953"/>
    <w:rsid w:val="00DF354D"/>
    <w:rsid w:val="00DF3B05"/>
    <w:rsid w:val="00DF44BC"/>
    <w:rsid w:val="00DF46D2"/>
    <w:rsid w:val="00DF5209"/>
    <w:rsid w:val="00DF5300"/>
    <w:rsid w:val="00DF5D59"/>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06D"/>
    <w:rsid w:val="00E06433"/>
    <w:rsid w:val="00E06510"/>
    <w:rsid w:val="00E072B0"/>
    <w:rsid w:val="00E074F2"/>
    <w:rsid w:val="00E07C90"/>
    <w:rsid w:val="00E111E7"/>
    <w:rsid w:val="00E111F8"/>
    <w:rsid w:val="00E12041"/>
    <w:rsid w:val="00E12618"/>
    <w:rsid w:val="00E129DF"/>
    <w:rsid w:val="00E12B5D"/>
    <w:rsid w:val="00E12C2E"/>
    <w:rsid w:val="00E13435"/>
    <w:rsid w:val="00E13F23"/>
    <w:rsid w:val="00E143D4"/>
    <w:rsid w:val="00E14773"/>
    <w:rsid w:val="00E1521D"/>
    <w:rsid w:val="00E154D2"/>
    <w:rsid w:val="00E155E5"/>
    <w:rsid w:val="00E16C08"/>
    <w:rsid w:val="00E16E19"/>
    <w:rsid w:val="00E1769F"/>
    <w:rsid w:val="00E17930"/>
    <w:rsid w:val="00E20164"/>
    <w:rsid w:val="00E21AA6"/>
    <w:rsid w:val="00E21B03"/>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08"/>
    <w:rsid w:val="00E31068"/>
    <w:rsid w:val="00E3123A"/>
    <w:rsid w:val="00E312E5"/>
    <w:rsid w:val="00E31699"/>
    <w:rsid w:val="00E31B79"/>
    <w:rsid w:val="00E32715"/>
    <w:rsid w:val="00E32D36"/>
    <w:rsid w:val="00E334B8"/>
    <w:rsid w:val="00E33C3F"/>
    <w:rsid w:val="00E3511E"/>
    <w:rsid w:val="00E36F8A"/>
    <w:rsid w:val="00E37394"/>
    <w:rsid w:val="00E37A6A"/>
    <w:rsid w:val="00E37CC3"/>
    <w:rsid w:val="00E40479"/>
    <w:rsid w:val="00E40FB5"/>
    <w:rsid w:val="00E41884"/>
    <w:rsid w:val="00E4192C"/>
    <w:rsid w:val="00E41DF6"/>
    <w:rsid w:val="00E420CB"/>
    <w:rsid w:val="00E42BB9"/>
    <w:rsid w:val="00E42FB9"/>
    <w:rsid w:val="00E451B6"/>
    <w:rsid w:val="00E454AD"/>
    <w:rsid w:val="00E45F16"/>
    <w:rsid w:val="00E4671A"/>
    <w:rsid w:val="00E474DE"/>
    <w:rsid w:val="00E47920"/>
    <w:rsid w:val="00E50115"/>
    <w:rsid w:val="00E5019C"/>
    <w:rsid w:val="00E51311"/>
    <w:rsid w:val="00E51D11"/>
    <w:rsid w:val="00E52056"/>
    <w:rsid w:val="00E522E3"/>
    <w:rsid w:val="00E52841"/>
    <w:rsid w:val="00E52FF6"/>
    <w:rsid w:val="00E530E1"/>
    <w:rsid w:val="00E532BD"/>
    <w:rsid w:val="00E53D9D"/>
    <w:rsid w:val="00E54446"/>
    <w:rsid w:val="00E54704"/>
    <w:rsid w:val="00E55CB7"/>
    <w:rsid w:val="00E55DC8"/>
    <w:rsid w:val="00E56479"/>
    <w:rsid w:val="00E567C7"/>
    <w:rsid w:val="00E56821"/>
    <w:rsid w:val="00E569DE"/>
    <w:rsid w:val="00E56F73"/>
    <w:rsid w:val="00E603AF"/>
    <w:rsid w:val="00E604FA"/>
    <w:rsid w:val="00E60FAB"/>
    <w:rsid w:val="00E6133F"/>
    <w:rsid w:val="00E615BD"/>
    <w:rsid w:val="00E61F48"/>
    <w:rsid w:val="00E62A1B"/>
    <w:rsid w:val="00E62B98"/>
    <w:rsid w:val="00E62F16"/>
    <w:rsid w:val="00E631E5"/>
    <w:rsid w:val="00E6329E"/>
    <w:rsid w:val="00E6390E"/>
    <w:rsid w:val="00E63980"/>
    <w:rsid w:val="00E65018"/>
    <w:rsid w:val="00E66EAB"/>
    <w:rsid w:val="00E67339"/>
    <w:rsid w:val="00E6734C"/>
    <w:rsid w:val="00E67560"/>
    <w:rsid w:val="00E67B4D"/>
    <w:rsid w:val="00E67B50"/>
    <w:rsid w:val="00E67EF0"/>
    <w:rsid w:val="00E705EE"/>
    <w:rsid w:val="00E70B72"/>
    <w:rsid w:val="00E70FDA"/>
    <w:rsid w:val="00E7132D"/>
    <w:rsid w:val="00E722A2"/>
    <w:rsid w:val="00E729B9"/>
    <w:rsid w:val="00E730FA"/>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9A5"/>
    <w:rsid w:val="00EA1A5A"/>
    <w:rsid w:val="00EA258D"/>
    <w:rsid w:val="00EA2FC0"/>
    <w:rsid w:val="00EA3F5C"/>
    <w:rsid w:val="00EA4397"/>
    <w:rsid w:val="00EA4816"/>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25BB"/>
    <w:rsid w:val="00EC3785"/>
    <w:rsid w:val="00EC3B2D"/>
    <w:rsid w:val="00EC3E5A"/>
    <w:rsid w:val="00EC458A"/>
    <w:rsid w:val="00EC51A1"/>
    <w:rsid w:val="00EC6178"/>
    <w:rsid w:val="00EC65DD"/>
    <w:rsid w:val="00EC6A56"/>
    <w:rsid w:val="00EC7166"/>
    <w:rsid w:val="00EC75D3"/>
    <w:rsid w:val="00EC7E78"/>
    <w:rsid w:val="00ED06AD"/>
    <w:rsid w:val="00ED0BED"/>
    <w:rsid w:val="00ED1232"/>
    <w:rsid w:val="00ED1A7F"/>
    <w:rsid w:val="00ED22C5"/>
    <w:rsid w:val="00ED3503"/>
    <w:rsid w:val="00ED4DFC"/>
    <w:rsid w:val="00ED4E42"/>
    <w:rsid w:val="00ED5E54"/>
    <w:rsid w:val="00ED6AE3"/>
    <w:rsid w:val="00ED7786"/>
    <w:rsid w:val="00ED7EA9"/>
    <w:rsid w:val="00EE00E5"/>
    <w:rsid w:val="00EE0B31"/>
    <w:rsid w:val="00EE1E9C"/>
    <w:rsid w:val="00EE200B"/>
    <w:rsid w:val="00EE2083"/>
    <w:rsid w:val="00EE20A8"/>
    <w:rsid w:val="00EE2140"/>
    <w:rsid w:val="00EE23BC"/>
    <w:rsid w:val="00EE25D9"/>
    <w:rsid w:val="00EE2AFA"/>
    <w:rsid w:val="00EE433B"/>
    <w:rsid w:val="00EE46D0"/>
    <w:rsid w:val="00EE476D"/>
    <w:rsid w:val="00EE49A6"/>
    <w:rsid w:val="00EE4C73"/>
    <w:rsid w:val="00EE5ACC"/>
    <w:rsid w:val="00EE5C23"/>
    <w:rsid w:val="00EE67FE"/>
    <w:rsid w:val="00EE6BDD"/>
    <w:rsid w:val="00EE703E"/>
    <w:rsid w:val="00EE76F0"/>
    <w:rsid w:val="00EE7B1C"/>
    <w:rsid w:val="00EF02BD"/>
    <w:rsid w:val="00EF17B9"/>
    <w:rsid w:val="00EF1EB9"/>
    <w:rsid w:val="00EF274D"/>
    <w:rsid w:val="00EF2A0D"/>
    <w:rsid w:val="00EF3436"/>
    <w:rsid w:val="00EF34F6"/>
    <w:rsid w:val="00EF355D"/>
    <w:rsid w:val="00EF3725"/>
    <w:rsid w:val="00EF37B5"/>
    <w:rsid w:val="00EF388A"/>
    <w:rsid w:val="00EF3B9C"/>
    <w:rsid w:val="00EF3D14"/>
    <w:rsid w:val="00EF3EEE"/>
    <w:rsid w:val="00EF3F88"/>
    <w:rsid w:val="00EF74BA"/>
    <w:rsid w:val="00EF75A6"/>
    <w:rsid w:val="00F0045E"/>
    <w:rsid w:val="00F006D2"/>
    <w:rsid w:val="00F00724"/>
    <w:rsid w:val="00F00774"/>
    <w:rsid w:val="00F0081B"/>
    <w:rsid w:val="00F01968"/>
    <w:rsid w:val="00F01F95"/>
    <w:rsid w:val="00F0256E"/>
    <w:rsid w:val="00F03681"/>
    <w:rsid w:val="00F03E2F"/>
    <w:rsid w:val="00F04555"/>
    <w:rsid w:val="00F04D9B"/>
    <w:rsid w:val="00F05533"/>
    <w:rsid w:val="00F0588E"/>
    <w:rsid w:val="00F05AB5"/>
    <w:rsid w:val="00F05BC9"/>
    <w:rsid w:val="00F0608B"/>
    <w:rsid w:val="00F0659C"/>
    <w:rsid w:val="00F06776"/>
    <w:rsid w:val="00F06CDD"/>
    <w:rsid w:val="00F06D5D"/>
    <w:rsid w:val="00F10A31"/>
    <w:rsid w:val="00F11AA5"/>
    <w:rsid w:val="00F11E55"/>
    <w:rsid w:val="00F1210C"/>
    <w:rsid w:val="00F128DE"/>
    <w:rsid w:val="00F12DF4"/>
    <w:rsid w:val="00F13400"/>
    <w:rsid w:val="00F1411B"/>
    <w:rsid w:val="00F149A9"/>
    <w:rsid w:val="00F14C07"/>
    <w:rsid w:val="00F14C0C"/>
    <w:rsid w:val="00F14CD6"/>
    <w:rsid w:val="00F154D7"/>
    <w:rsid w:val="00F1585C"/>
    <w:rsid w:val="00F15FFE"/>
    <w:rsid w:val="00F16901"/>
    <w:rsid w:val="00F16FA4"/>
    <w:rsid w:val="00F17267"/>
    <w:rsid w:val="00F21448"/>
    <w:rsid w:val="00F2210C"/>
    <w:rsid w:val="00F231FB"/>
    <w:rsid w:val="00F243C4"/>
    <w:rsid w:val="00F243FF"/>
    <w:rsid w:val="00F25199"/>
    <w:rsid w:val="00F254D8"/>
    <w:rsid w:val="00F26A46"/>
    <w:rsid w:val="00F26F86"/>
    <w:rsid w:val="00F2780A"/>
    <w:rsid w:val="00F30B28"/>
    <w:rsid w:val="00F314EF"/>
    <w:rsid w:val="00F3167E"/>
    <w:rsid w:val="00F332B2"/>
    <w:rsid w:val="00F33DD2"/>
    <w:rsid w:val="00F33E94"/>
    <w:rsid w:val="00F33F0D"/>
    <w:rsid w:val="00F352BD"/>
    <w:rsid w:val="00F3589E"/>
    <w:rsid w:val="00F35DAE"/>
    <w:rsid w:val="00F368F2"/>
    <w:rsid w:val="00F3715D"/>
    <w:rsid w:val="00F37A09"/>
    <w:rsid w:val="00F404BF"/>
    <w:rsid w:val="00F405B4"/>
    <w:rsid w:val="00F40EB5"/>
    <w:rsid w:val="00F40F31"/>
    <w:rsid w:val="00F41380"/>
    <w:rsid w:val="00F41421"/>
    <w:rsid w:val="00F41886"/>
    <w:rsid w:val="00F419C3"/>
    <w:rsid w:val="00F41A80"/>
    <w:rsid w:val="00F41C4B"/>
    <w:rsid w:val="00F43206"/>
    <w:rsid w:val="00F435B6"/>
    <w:rsid w:val="00F43849"/>
    <w:rsid w:val="00F4392C"/>
    <w:rsid w:val="00F448F9"/>
    <w:rsid w:val="00F44EC7"/>
    <w:rsid w:val="00F452E7"/>
    <w:rsid w:val="00F4670C"/>
    <w:rsid w:val="00F467C0"/>
    <w:rsid w:val="00F47C6B"/>
    <w:rsid w:val="00F5002C"/>
    <w:rsid w:val="00F503D2"/>
    <w:rsid w:val="00F505AC"/>
    <w:rsid w:val="00F50603"/>
    <w:rsid w:val="00F50C03"/>
    <w:rsid w:val="00F50F47"/>
    <w:rsid w:val="00F51899"/>
    <w:rsid w:val="00F51E43"/>
    <w:rsid w:val="00F5253A"/>
    <w:rsid w:val="00F5325B"/>
    <w:rsid w:val="00F53AF0"/>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4675"/>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77BCA"/>
    <w:rsid w:val="00F805CA"/>
    <w:rsid w:val="00F807A4"/>
    <w:rsid w:val="00F809ED"/>
    <w:rsid w:val="00F80DD8"/>
    <w:rsid w:val="00F81914"/>
    <w:rsid w:val="00F81B7D"/>
    <w:rsid w:val="00F824D5"/>
    <w:rsid w:val="00F82628"/>
    <w:rsid w:val="00F82BC6"/>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7C4"/>
    <w:rsid w:val="00F96A46"/>
    <w:rsid w:val="00F96BB8"/>
    <w:rsid w:val="00F97647"/>
    <w:rsid w:val="00F97A19"/>
    <w:rsid w:val="00FA068B"/>
    <w:rsid w:val="00FA1B1B"/>
    <w:rsid w:val="00FA2534"/>
    <w:rsid w:val="00FA2BC2"/>
    <w:rsid w:val="00FA37EA"/>
    <w:rsid w:val="00FA381E"/>
    <w:rsid w:val="00FA3DE3"/>
    <w:rsid w:val="00FA52C8"/>
    <w:rsid w:val="00FA54B2"/>
    <w:rsid w:val="00FA5812"/>
    <w:rsid w:val="00FA59CD"/>
    <w:rsid w:val="00FA7990"/>
    <w:rsid w:val="00FA7A7E"/>
    <w:rsid w:val="00FB07FC"/>
    <w:rsid w:val="00FB1180"/>
    <w:rsid w:val="00FB15B5"/>
    <w:rsid w:val="00FB174F"/>
    <w:rsid w:val="00FB1FEB"/>
    <w:rsid w:val="00FB22AB"/>
    <w:rsid w:val="00FB4250"/>
    <w:rsid w:val="00FB5638"/>
    <w:rsid w:val="00FB59AB"/>
    <w:rsid w:val="00FB5A8D"/>
    <w:rsid w:val="00FB6627"/>
    <w:rsid w:val="00FB6721"/>
    <w:rsid w:val="00FB7318"/>
    <w:rsid w:val="00FB77DE"/>
    <w:rsid w:val="00FC0251"/>
    <w:rsid w:val="00FC1102"/>
    <w:rsid w:val="00FC16AD"/>
    <w:rsid w:val="00FC1F94"/>
    <w:rsid w:val="00FC24A5"/>
    <w:rsid w:val="00FC2E23"/>
    <w:rsid w:val="00FC2F54"/>
    <w:rsid w:val="00FC3241"/>
    <w:rsid w:val="00FC3935"/>
    <w:rsid w:val="00FC3BB3"/>
    <w:rsid w:val="00FC3ED9"/>
    <w:rsid w:val="00FC54D5"/>
    <w:rsid w:val="00FC664D"/>
    <w:rsid w:val="00FC737A"/>
    <w:rsid w:val="00FC7844"/>
    <w:rsid w:val="00FC7DBB"/>
    <w:rsid w:val="00FD0A8B"/>
    <w:rsid w:val="00FD1512"/>
    <w:rsid w:val="00FD1AB4"/>
    <w:rsid w:val="00FD1DDF"/>
    <w:rsid w:val="00FD28E8"/>
    <w:rsid w:val="00FD3330"/>
    <w:rsid w:val="00FD3355"/>
    <w:rsid w:val="00FD3CF7"/>
    <w:rsid w:val="00FD472A"/>
    <w:rsid w:val="00FD4FCC"/>
    <w:rsid w:val="00FD522F"/>
    <w:rsid w:val="00FD5A00"/>
    <w:rsid w:val="00FD5F89"/>
    <w:rsid w:val="00FD639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85"/>
    <w:rsid w:val="00FF33BD"/>
    <w:rsid w:val="00FF3C13"/>
    <w:rsid w:val="00FF3CEA"/>
    <w:rsid w:val="00FF3F18"/>
    <w:rsid w:val="00FF4169"/>
    <w:rsid w:val="00FF4B56"/>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o:shapelayout v:ext="edit">
      <o:idmap v:ext="edit" data="1"/>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34"/>
    <w:rsid w:val="001E35D6"/>
    <w:rPr>
      <w:rFonts w:eastAsia="SimSun"/>
      <w:sz w:val="24"/>
      <w:szCs w:val="24"/>
    </w:rPr>
  </w:style>
  <w:style w:type="character" w:customStyle="1" w:styleId="CommentTextChar">
    <w:name w:val="Comment Text Char"/>
    <w:basedOn w:val="DefaultParagraphFont"/>
    <w:link w:val="CommentText"/>
    <w:rsid w:val="00377360"/>
  </w:style>
  <w:style w:type="paragraph" w:styleId="Revision">
    <w:name w:val="Revision"/>
    <w:hidden/>
    <w:uiPriority w:val="99"/>
    <w:semiHidden/>
    <w:rsid w:val="00DA7044"/>
  </w:style>
  <w:style w:type="paragraph" w:customStyle="1" w:styleId="3Bodytext">
    <w:name w:val="3. Body text"/>
    <w:basedOn w:val="ListParagraph"/>
    <w:link w:val="3BodytextChar"/>
    <w:qFormat/>
    <w:rsid w:val="00A205B6"/>
    <w:pPr>
      <w:spacing w:after="120"/>
      <w:ind w:hanging="720"/>
      <w:contextualSpacing w:val="0"/>
    </w:pPr>
    <w:rPr>
      <w:rFonts w:asciiTheme="minorHAnsi" w:eastAsiaTheme="minorHAnsi" w:hAnsiTheme="minorHAnsi" w:cstheme="minorBidi"/>
      <w:szCs w:val="22"/>
    </w:rPr>
  </w:style>
  <w:style w:type="character" w:customStyle="1" w:styleId="3BodytextChar">
    <w:name w:val="3. Body text Char"/>
    <w:basedOn w:val="DefaultParagraphFont"/>
    <w:link w:val="3Bodytext"/>
    <w:rsid w:val="00A205B6"/>
    <w:rPr>
      <w:rFonts w:asciiTheme="minorHAnsi" w:eastAsiaTheme="minorHAnsi" w:hAnsiTheme="minorHAnsi" w:cstheme="minorBidi"/>
      <w:sz w:val="24"/>
      <w:szCs w:val="22"/>
    </w:rPr>
  </w:style>
  <w:style w:type="paragraph" w:customStyle="1" w:styleId="2-SectionHeading">
    <w:name w:val="2-Section Heading"/>
    <w:qFormat/>
    <w:rsid w:val="00A205B6"/>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link w:val="3-BodyTextChar"/>
    <w:qFormat/>
    <w:rsid w:val="00C12A29"/>
    <w:pPr>
      <w:spacing w:after="120"/>
      <w:ind w:hanging="720"/>
      <w:contextualSpacing w:val="0"/>
      <w:jc w:val="both"/>
    </w:pPr>
    <w:rPr>
      <w:rFonts w:asciiTheme="minorHAnsi" w:eastAsia="Times New Roman" w:hAnsiTheme="minorHAnsi" w:cs="Arial"/>
      <w:snapToGrid w:val="0"/>
    </w:rPr>
  </w:style>
  <w:style w:type="character" w:customStyle="1" w:styleId="3-BodyTextChar">
    <w:name w:val="3-Body Text Char"/>
    <w:basedOn w:val="DefaultParagraphFont"/>
    <w:link w:val="3-BodyText"/>
    <w:rsid w:val="00C12A29"/>
    <w:rPr>
      <w:rFonts w:asciiTheme="minorHAnsi" w:hAnsiTheme="minorHAnsi" w:cs="Arial"/>
      <w:snapToGrid w:val="0"/>
      <w:sz w:val="24"/>
      <w:szCs w:val="24"/>
    </w:rPr>
  </w:style>
  <w:style w:type="paragraph" w:customStyle="1" w:styleId="4Bodytextnumbered">
    <w:name w:val="4. Body text numbered"/>
    <w:basedOn w:val="ListParagraph"/>
    <w:qFormat/>
    <w:rsid w:val="00952ADE"/>
    <w:pPr>
      <w:spacing w:after="120"/>
      <w:ind w:hanging="720"/>
      <w:contextualSpacing w:val="0"/>
      <w:jc w:val="both"/>
    </w:pPr>
    <w:rPr>
      <w:rFonts w:asciiTheme="minorHAnsi" w:eastAsiaTheme="minorHAnsi" w:hAnsiTheme="minorHAnsi" w:cstheme="minorBidi"/>
      <w:szCs w:val="22"/>
      <w:lang w:eastAsia="en-US"/>
    </w:rPr>
  </w:style>
  <w:style w:type="paragraph" w:styleId="NoSpacing">
    <w:name w:val="No Spacing"/>
    <w:basedOn w:val="Normal"/>
    <w:link w:val="NoSpacingChar"/>
    <w:uiPriority w:val="1"/>
    <w:qFormat/>
    <w:rsid w:val="00EE2AFA"/>
    <w:pPr>
      <w:jc w:val="both"/>
    </w:pPr>
    <w:rPr>
      <w:rFonts w:asciiTheme="minorHAnsi" w:hAnsiTheme="minorHAnsi" w:cstheme="minorHAnsi"/>
      <w:sz w:val="24"/>
      <w:szCs w:val="24"/>
      <w:lang w:eastAsia="en-US"/>
    </w:rPr>
  </w:style>
  <w:style w:type="character" w:customStyle="1" w:styleId="NoSpacingChar">
    <w:name w:val="No Spacing Char"/>
    <w:basedOn w:val="DefaultParagraphFont"/>
    <w:link w:val="NoSpacing"/>
    <w:uiPriority w:val="1"/>
    <w:rsid w:val="00EE2AFA"/>
    <w:rPr>
      <w:rFonts w:asciiTheme="minorHAnsi" w:hAnsiTheme="minorHAnsi" w:cstheme="minorHAnsi"/>
      <w:sz w:val="24"/>
      <w:szCs w:val="24"/>
      <w:lang w:eastAsia="en-US"/>
    </w:rPr>
  </w:style>
  <w:style w:type="paragraph" w:customStyle="1" w:styleId="2Sections">
    <w:name w:val="2. Sections"/>
    <w:qFormat/>
    <w:rsid w:val="000B2350"/>
    <w:pPr>
      <w:spacing w:before="240" w:after="120"/>
      <w:ind w:left="720" w:hanging="720"/>
      <w:outlineLvl w:val="0"/>
    </w:pPr>
    <w:rPr>
      <w:rFonts w:asciiTheme="minorHAnsi" w:hAnsiTheme="minorHAnsi" w:cs="Arial"/>
      <w:b/>
      <w:snapToGrid w:val="0"/>
      <w:sz w:val="32"/>
      <w:szCs w:val="32"/>
      <w:lang w:eastAsia="en-US"/>
    </w:rPr>
  </w:style>
  <w:style w:type="paragraph" w:customStyle="1" w:styleId="4Bodytext">
    <w:name w:val="4. Body text"/>
    <w:basedOn w:val="4Bodytextnumbered"/>
    <w:link w:val="4BodytextChar"/>
    <w:qFormat/>
    <w:rsid w:val="000B2350"/>
  </w:style>
  <w:style w:type="character" w:customStyle="1" w:styleId="4BodytextChar">
    <w:name w:val="4. Body text Char"/>
    <w:basedOn w:val="DefaultParagraphFont"/>
    <w:link w:val="4Bodytext"/>
    <w:rsid w:val="000B2350"/>
    <w:rPr>
      <w:rFonts w:asciiTheme="minorHAnsi" w:eastAsiaTheme="minorHAnsi" w:hAnsiTheme="minorHAnsi" w:cstheme="minorBidi"/>
      <w:sz w:val="24"/>
      <w:szCs w:val="22"/>
      <w:lang w:eastAsia="en-US"/>
    </w:rPr>
  </w:style>
  <w:style w:type="character" w:styleId="UnresolvedMention">
    <w:name w:val="Unresolved Mention"/>
    <w:basedOn w:val="DefaultParagraphFont"/>
    <w:uiPriority w:val="99"/>
    <w:semiHidden/>
    <w:unhideWhenUsed/>
    <w:rsid w:val="00FF3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8482908">
      <w:bodyDiv w:val="1"/>
      <w:marLeft w:val="0"/>
      <w:marRight w:val="0"/>
      <w:marTop w:val="0"/>
      <w:marBottom w:val="0"/>
      <w:divBdr>
        <w:top w:val="none" w:sz="0" w:space="0" w:color="auto"/>
        <w:left w:val="none" w:sz="0" w:space="0" w:color="auto"/>
        <w:bottom w:val="none" w:sz="0" w:space="0" w:color="auto"/>
        <w:right w:val="none" w:sz="0" w:space="0" w:color="auto"/>
      </w:divBdr>
    </w:div>
    <w:div w:id="42606998">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0035097">
      <w:bodyDiv w:val="1"/>
      <w:marLeft w:val="0"/>
      <w:marRight w:val="0"/>
      <w:marTop w:val="0"/>
      <w:marBottom w:val="0"/>
      <w:divBdr>
        <w:top w:val="none" w:sz="0" w:space="0" w:color="auto"/>
        <w:left w:val="none" w:sz="0" w:space="0" w:color="auto"/>
        <w:bottom w:val="none" w:sz="0" w:space="0" w:color="auto"/>
        <w:right w:val="none" w:sz="0" w:space="0" w:color="auto"/>
      </w:divBdr>
    </w:div>
    <w:div w:id="10223777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5815">
      <w:bodyDiv w:val="1"/>
      <w:marLeft w:val="0"/>
      <w:marRight w:val="0"/>
      <w:marTop w:val="0"/>
      <w:marBottom w:val="0"/>
      <w:divBdr>
        <w:top w:val="none" w:sz="0" w:space="0" w:color="auto"/>
        <w:left w:val="none" w:sz="0" w:space="0" w:color="auto"/>
        <w:bottom w:val="none" w:sz="0" w:space="0" w:color="auto"/>
        <w:right w:val="none" w:sz="0" w:space="0" w:color="auto"/>
      </w:divBdr>
    </w:div>
    <w:div w:id="149106779">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198864661">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1452626">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77833250">
      <w:bodyDiv w:val="1"/>
      <w:marLeft w:val="0"/>
      <w:marRight w:val="0"/>
      <w:marTop w:val="0"/>
      <w:marBottom w:val="0"/>
      <w:divBdr>
        <w:top w:val="none" w:sz="0" w:space="0" w:color="auto"/>
        <w:left w:val="none" w:sz="0" w:space="0" w:color="auto"/>
        <w:bottom w:val="none" w:sz="0" w:space="0" w:color="auto"/>
        <w:right w:val="none" w:sz="0" w:space="0" w:color="auto"/>
      </w:divBdr>
    </w:div>
    <w:div w:id="283926532">
      <w:bodyDiv w:val="1"/>
      <w:marLeft w:val="0"/>
      <w:marRight w:val="0"/>
      <w:marTop w:val="0"/>
      <w:marBottom w:val="0"/>
      <w:divBdr>
        <w:top w:val="none" w:sz="0" w:space="0" w:color="auto"/>
        <w:left w:val="none" w:sz="0" w:space="0" w:color="auto"/>
        <w:bottom w:val="none" w:sz="0" w:space="0" w:color="auto"/>
        <w:right w:val="none" w:sz="0" w:space="0" w:color="auto"/>
      </w:divBdr>
    </w:div>
    <w:div w:id="287126852">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07396148">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205195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244455">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4952081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6630068">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94423005">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2499012">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7374723">
      <w:bodyDiv w:val="1"/>
      <w:marLeft w:val="0"/>
      <w:marRight w:val="0"/>
      <w:marTop w:val="0"/>
      <w:marBottom w:val="0"/>
      <w:divBdr>
        <w:top w:val="none" w:sz="0" w:space="0" w:color="auto"/>
        <w:left w:val="none" w:sz="0" w:space="0" w:color="auto"/>
        <w:bottom w:val="none" w:sz="0" w:space="0" w:color="auto"/>
        <w:right w:val="none" w:sz="0" w:space="0" w:color="auto"/>
      </w:divBdr>
    </w:div>
    <w:div w:id="561140185">
      <w:bodyDiv w:val="1"/>
      <w:marLeft w:val="0"/>
      <w:marRight w:val="0"/>
      <w:marTop w:val="0"/>
      <w:marBottom w:val="0"/>
      <w:divBdr>
        <w:top w:val="none" w:sz="0" w:space="0" w:color="auto"/>
        <w:left w:val="none" w:sz="0" w:space="0" w:color="auto"/>
        <w:bottom w:val="none" w:sz="0" w:space="0" w:color="auto"/>
        <w:right w:val="none" w:sz="0" w:space="0" w:color="auto"/>
      </w:divBdr>
    </w:div>
    <w:div w:id="564026402">
      <w:bodyDiv w:val="1"/>
      <w:marLeft w:val="0"/>
      <w:marRight w:val="0"/>
      <w:marTop w:val="0"/>
      <w:marBottom w:val="0"/>
      <w:divBdr>
        <w:top w:val="none" w:sz="0" w:space="0" w:color="auto"/>
        <w:left w:val="none" w:sz="0" w:space="0" w:color="auto"/>
        <w:bottom w:val="none" w:sz="0" w:space="0" w:color="auto"/>
        <w:right w:val="none" w:sz="0" w:space="0" w:color="auto"/>
      </w:divBdr>
    </w:div>
    <w:div w:id="569852536">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523594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54918750">
      <w:bodyDiv w:val="1"/>
      <w:marLeft w:val="0"/>
      <w:marRight w:val="0"/>
      <w:marTop w:val="0"/>
      <w:marBottom w:val="0"/>
      <w:divBdr>
        <w:top w:val="none" w:sz="0" w:space="0" w:color="auto"/>
        <w:left w:val="none" w:sz="0" w:space="0" w:color="auto"/>
        <w:bottom w:val="none" w:sz="0" w:space="0" w:color="auto"/>
        <w:right w:val="none" w:sz="0" w:space="0" w:color="auto"/>
      </w:divBdr>
    </w:div>
    <w:div w:id="659891731">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65345643">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3647241">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5824613">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5195507">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296281">
      <w:bodyDiv w:val="1"/>
      <w:marLeft w:val="0"/>
      <w:marRight w:val="0"/>
      <w:marTop w:val="0"/>
      <w:marBottom w:val="0"/>
      <w:divBdr>
        <w:top w:val="none" w:sz="0" w:space="0" w:color="auto"/>
        <w:left w:val="none" w:sz="0" w:space="0" w:color="auto"/>
        <w:bottom w:val="none" w:sz="0" w:space="0" w:color="auto"/>
        <w:right w:val="none" w:sz="0" w:space="0" w:color="auto"/>
      </w:divBdr>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290">
      <w:bodyDiv w:val="1"/>
      <w:marLeft w:val="0"/>
      <w:marRight w:val="0"/>
      <w:marTop w:val="0"/>
      <w:marBottom w:val="0"/>
      <w:divBdr>
        <w:top w:val="none" w:sz="0" w:space="0" w:color="auto"/>
        <w:left w:val="none" w:sz="0" w:space="0" w:color="auto"/>
        <w:bottom w:val="none" w:sz="0" w:space="0" w:color="auto"/>
        <w:right w:val="none" w:sz="0" w:space="0" w:color="auto"/>
      </w:divBdr>
    </w:div>
    <w:div w:id="922035327">
      <w:bodyDiv w:val="1"/>
      <w:marLeft w:val="0"/>
      <w:marRight w:val="0"/>
      <w:marTop w:val="0"/>
      <w:marBottom w:val="0"/>
      <w:divBdr>
        <w:top w:val="none" w:sz="0" w:space="0" w:color="auto"/>
        <w:left w:val="none" w:sz="0" w:space="0" w:color="auto"/>
        <w:bottom w:val="none" w:sz="0" w:space="0" w:color="auto"/>
        <w:right w:val="none" w:sz="0" w:space="0" w:color="auto"/>
      </w:divBdr>
    </w:div>
    <w:div w:id="937786799">
      <w:bodyDiv w:val="1"/>
      <w:marLeft w:val="0"/>
      <w:marRight w:val="0"/>
      <w:marTop w:val="0"/>
      <w:marBottom w:val="0"/>
      <w:divBdr>
        <w:top w:val="none" w:sz="0" w:space="0" w:color="auto"/>
        <w:left w:val="none" w:sz="0" w:space="0" w:color="auto"/>
        <w:bottom w:val="none" w:sz="0" w:space="0" w:color="auto"/>
        <w:right w:val="none" w:sz="0" w:space="0" w:color="auto"/>
      </w:divBdr>
    </w:div>
    <w:div w:id="941687883">
      <w:bodyDiv w:val="1"/>
      <w:marLeft w:val="0"/>
      <w:marRight w:val="0"/>
      <w:marTop w:val="0"/>
      <w:marBottom w:val="0"/>
      <w:divBdr>
        <w:top w:val="none" w:sz="0" w:space="0" w:color="auto"/>
        <w:left w:val="none" w:sz="0" w:space="0" w:color="auto"/>
        <w:bottom w:val="none" w:sz="0" w:space="0" w:color="auto"/>
        <w:right w:val="none" w:sz="0" w:space="0" w:color="auto"/>
      </w:divBdr>
    </w:div>
    <w:div w:id="94341450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5256250">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26716762">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1321038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15721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168693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80520609">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5307723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28848946">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54217766">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7607399">
      <w:bodyDiv w:val="1"/>
      <w:marLeft w:val="0"/>
      <w:marRight w:val="0"/>
      <w:marTop w:val="0"/>
      <w:marBottom w:val="0"/>
      <w:divBdr>
        <w:top w:val="none" w:sz="0" w:space="0" w:color="auto"/>
        <w:left w:val="none" w:sz="0" w:space="0" w:color="auto"/>
        <w:bottom w:val="none" w:sz="0" w:space="0" w:color="auto"/>
        <w:right w:val="none" w:sz="0" w:space="0" w:color="auto"/>
      </w:divBdr>
    </w:div>
    <w:div w:id="1735858038">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9563870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3911105">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897741001">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2506673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37121866">
      <w:bodyDiv w:val="1"/>
      <w:marLeft w:val="0"/>
      <w:marRight w:val="0"/>
      <w:marTop w:val="0"/>
      <w:marBottom w:val="0"/>
      <w:divBdr>
        <w:top w:val="none" w:sz="0" w:space="0" w:color="auto"/>
        <w:left w:val="none" w:sz="0" w:space="0" w:color="auto"/>
        <w:bottom w:val="none" w:sz="0" w:space="0" w:color="auto"/>
        <w:right w:val="none" w:sz="0" w:space="0" w:color="auto"/>
      </w:divBdr>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68740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01442702">
      <w:bodyDiv w:val="1"/>
      <w:marLeft w:val="0"/>
      <w:marRight w:val="0"/>
      <w:marTop w:val="0"/>
      <w:marBottom w:val="0"/>
      <w:divBdr>
        <w:top w:val="none" w:sz="0" w:space="0" w:color="auto"/>
        <w:left w:val="none" w:sz="0" w:space="0" w:color="auto"/>
        <w:bottom w:val="none" w:sz="0" w:space="0" w:color="auto"/>
        <w:right w:val="none" w:sz="0" w:space="0" w:color="auto"/>
      </w:divBdr>
    </w:div>
    <w:div w:id="2110613540">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bs.gov.au/info/reviews/post-market-review-of-medicines-for-smoking-cessat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3402</Words>
  <Characters>19907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2022-06-17T04:19:00Z</dcterms:created>
  <dcterms:modified xsi:type="dcterms:W3CDTF">2022-06-17T05:06:00Z</dcterms:modified>
</cp:coreProperties>
</file>