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3"/>
        <w:gridCol w:w="2764"/>
        <w:gridCol w:w="3288"/>
        <w:gridCol w:w="1987"/>
        <w:gridCol w:w="447"/>
        <w:gridCol w:w="3889"/>
      </w:tblGrid>
      <w:tr w:rsidR="00F374F7" w:rsidRPr="00567D48" w14:paraId="2F780D8A" w14:textId="77777777" w:rsidTr="007B41BE">
        <w:trPr>
          <w:cantSplit/>
          <w:tblHeader/>
        </w:trPr>
        <w:tc>
          <w:tcPr>
            <w:tcW w:w="3013" w:type="dxa"/>
            <w:shd w:val="clear" w:color="auto" w:fill="auto"/>
            <w:tcMar>
              <w:top w:w="28" w:type="dxa"/>
              <w:bottom w:w="28" w:type="dxa"/>
            </w:tcMar>
          </w:tcPr>
          <w:p w14:paraId="58BB41E5" w14:textId="46F847AB" w:rsidR="00F374F7" w:rsidRPr="00567D48" w:rsidRDefault="00F374F7" w:rsidP="00F3265E">
            <w:pPr>
              <w:keepLines/>
              <w:widowControl w:val="0"/>
              <w:spacing w:after="120"/>
              <w:ind w:right="-106"/>
              <w:jc w:val="center"/>
              <w:rPr>
                <w:rFonts w:asciiTheme="minorHAnsi" w:hAnsiTheme="minorHAnsi" w:cs="Arial"/>
                <w:b/>
                <w:sz w:val="18"/>
                <w:szCs w:val="18"/>
              </w:rPr>
            </w:pPr>
            <w:r w:rsidRPr="00567D48">
              <w:rPr>
                <w:rFonts w:asciiTheme="minorHAnsi" w:hAnsiTheme="minorHAnsi" w:cs="Arial"/>
                <w:b/>
                <w:sz w:val="18"/>
                <w:szCs w:val="18"/>
              </w:rPr>
              <w:t>DRUG NAME, FORM(S), STRENGTH(S), SPONSOR, TYPE OF SUBMISSION</w:t>
            </w:r>
          </w:p>
        </w:tc>
        <w:tc>
          <w:tcPr>
            <w:tcW w:w="2764" w:type="dxa"/>
            <w:shd w:val="clear" w:color="auto" w:fill="auto"/>
            <w:tcMar>
              <w:top w:w="28" w:type="dxa"/>
              <w:bottom w:w="28" w:type="dxa"/>
            </w:tcMar>
          </w:tcPr>
          <w:p w14:paraId="22DBCABB"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DRUG TYPE AND USE</w:t>
            </w:r>
          </w:p>
          <w:p w14:paraId="64FD3362"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p>
        </w:tc>
        <w:tc>
          <w:tcPr>
            <w:tcW w:w="3288" w:type="dxa"/>
            <w:shd w:val="clear" w:color="auto" w:fill="auto"/>
            <w:tcMar>
              <w:top w:w="28" w:type="dxa"/>
              <w:bottom w:w="28" w:type="dxa"/>
            </w:tcMar>
          </w:tcPr>
          <w:p w14:paraId="60A9336E"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LISTING REQUESTED BY SPONSOR / PURPOSE OF SUBMISSION</w:t>
            </w:r>
          </w:p>
        </w:tc>
        <w:tc>
          <w:tcPr>
            <w:tcW w:w="6323" w:type="dxa"/>
            <w:gridSpan w:val="3"/>
            <w:shd w:val="clear" w:color="auto" w:fill="auto"/>
          </w:tcPr>
          <w:p w14:paraId="5BEF59E0" w14:textId="77777777"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PBAC OUTCOME</w:t>
            </w:r>
          </w:p>
          <w:p w14:paraId="5626F454" w14:textId="542D2F29"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p>
        </w:tc>
      </w:tr>
      <w:tr w:rsidR="001B15BA" w:rsidRPr="00567D48" w14:paraId="0B22D8EA" w14:textId="77777777" w:rsidTr="00315536">
        <w:trPr>
          <w:trHeight w:val="518"/>
        </w:trPr>
        <w:tc>
          <w:tcPr>
            <w:tcW w:w="3013" w:type="dxa"/>
            <w:shd w:val="clear" w:color="auto" w:fill="auto"/>
            <w:tcMar>
              <w:top w:w="28" w:type="dxa"/>
              <w:bottom w:w="28" w:type="dxa"/>
            </w:tcMar>
            <w:vAlign w:val="center"/>
          </w:tcPr>
          <w:p w14:paraId="73DF7CC8" w14:textId="31DB7EB6" w:rsidR="00107D47" w:rsidRDefault="001B15BA" w:rsidP="001B15BA">
            <w:pPr>
              <w:keepLines/>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ADALIMUMAB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r w:rsidR="00107D47">
              <w:rPr>
                <w:rFonts w:asciiTheme="minorHAnsi" w:hAnsiTheme="minorHAnsi" w:cstheme="minorHAnsi"/>
                <w:color w:val="000000"/>
                <w:sz w:val="18"/>
                <w:szCs w:val="18"/>
              </w:rPr>
              <w:t>Injection 40 mg in 0.4 mL pre-filled pen</w:t>
            </w:r>
          </w:p>
          <w:p w14:paraId="46A68F83" w14:textId="273CF937" w:rsidR="001B15BA" w:rsidRPr="001B15BA" w:rsidRDefault="00107D47" w:rsidP="001B15BA">
            <w:pPr>
              <w:keepLines/>
              <w:rPr>
                <w:rFonts w:asciiTheme="minorHAnsi" w:hAnsiTheme="minorHAnsi" w:cstheme="minorHAnsi"/>
                <w:sz w:val="18"/>
                <w:szCs w:val="18"/>
              </w:rPr>
            </w:pPr>
            <w:r>
              <w:rPr>
                <w:rFonts w:asciiTheme="minorHAnsi" w:hAnsiTheme="minorHAnsi" w:cstheme="minorHAnsi"/>
                <w:color w:val="000000"/>
                <w:sz w:val="18"/>
                <w:szCs w:val="18"/>
              </w:rPr>
              <w:t>Injection 40 mg in 0.4 mL pre-filled syringe</w:t>
            </w:r>
            <w:r w:rsidR="001B15BA" w:rsidRPr="001B15BA">
              <w:rPr>
                <w:rFonts w:asciiTheme="minorHAnsi" w:hAnsiTheme="minorHAnsi" w:cstheme="minorHAnsi"/>
                <w:color w:val="000000"/>
                <w:sz w:val="18"/>
                <w:szCs w:val="18"/>
              </w:rPr>
              <w:br/>
            </w:r>
            <w:r w:rsidR="001B15BA" w:rsidRPr="001B15BA">
              <w:rPr>
                <w:rFonts w:asciiTheme="minorHAnsi" w:hAnsiTheme="minorHAnsi" w:cstheme="minorHAnsi"/>
                <w:color w:val="000000"/>
                <w:sz w:val="18"/>
                <w:szCs w:val="18"/>
              </w:rPr>
              <w:br/>
            </w:r>
            <w:proofErr w:type="spellStart"/>
            <w:r w:rsidR="001B15BA" w:rsidRPr="001B15BA">
              <w:rPr>
                <w:rFonts w:asciiTheme="minorHAnsi" w:hAnsiTheme="minorHAnsi" w:cstheme="minorHAnsi"/>
                <w:color w:val="000000"/>
                <w:sz w:val="18"/>
                <w:szCs w:val="18"/>
              </w:rPr>
              <w:t>Yuflyma</w:t>
            </w:r>
            <w:proofErr w:type="spellEnd"/>
            <w:r w:rsidR="001B15BA" w:rsidRPr="001B15BA">
              <w:rPr>
                <w:rFonts w:asciiTheme="minorHAnsi" w:hAnsiTheme="minorHAnsi" w:cstheme="minorHAnsi"/>
                <w:color w:val="000000"/>
                <w:sz w:val="18"/>
                <w:szCs w:val="18"/>
              </w:rPr>
              <w:t>®</w:t>
            </w:r>
            <w:r w:rsidR="001B15BA" w:rsidRPr="001B15BA">
              <w:rPr>
                <w:rFonts w:asciiTheme="minorHAnsi" w:hAnsiTheme="minorHAnsi" w:cstheme="minorHAnsi"/>
                <w:color w:val="000000"/>
                <w:sz w:val="18"/>
                <w:szCs w:val="18"/>
              </w:rPr>
              <w:br/>
            </w:r>
            <w:r w:rsidR="001B15BA" w:rsidRPr="001B15BA">
              <w:rPr>
                <w:rFonts w:asciiTheme="minorHAnsi" w:hAnsiTheme="minorHAnsi" w:cstheme="minorHAnsi"/>
                <w:color w:val="000000"/>
                <w:sz w:val="18"/>
                <w:szCs w:val="18"/>
              </w:rPr>
              <w:br/>
            </w:r>
            <w:proofErr w:type="spellStart"/>
            <w:r w:rsidR="001B15BA" w:rsidRPr="001B15BA">
              <w:rPr>
                <w:rFonts w:asciiTheme="minorHAnsi" w:hAnsiTheme="minorHAnsi" w:cstheme="minorHAnsi"/>
                <w:color w:val="000000"/>
                <w:sz w:val="18"/>
                <w:szCs w:val="18"/>
              </w:rPr>
              <w:t>Celltrion</w:t>
            </w:r>
            <w:proofErr w:type="spellEnd"/>
            <w:r w:rsidR="001B15BA" w:rsidRPr="001B15BA">
              <w:rPr>
                <w:rFonts w:asciiTheme="minorHAnsi" w:hAnsiTheme="minorHAnsi" w:cstheme="minorHAnsi"/>
                <w:color w:val="000000"/>
                <w:sz w:val="18"/>
                <w:szCs w:val="18"/>
              </w:rPr>
              <w:t xml:space="preserve"> Healthcare Australia Pty Ltd</w:t>
            </w:r>
            <w:r w:rsidR="001B15BA" w:rsidRPr="001B15BA">
              <w:rPr>
                <w:rFonts w:asciiTheme="minorHAnsi" w:hAnsiTheme="minorHAnsi" w:cstheme="minorHAnsi"/>
                <w:color w:val="000000"/>
                <w:sz w:val="18"/>
                <w:szCs w:val="18"/>
              </w:rPr>
              <w:br/>
            </w:r>
            <w:r w:rsidR="001B15BA" w:rsidRPr="001B15BA">
              <w:rPr>
                <w:rFonts w:asciiTheme="minorHAnsi" w:hAnsiTheme="minorHAnsi" w:cstheme="minorHAnsi"/>
                <w:color w:val="000000"/>
                <w:sz w:val="18"/>
                <w:szCs w:val="18"/>
              </w:rPr>
              <w:br/>
              <w:t>Category 3 submission</w:t>
            </w:r>
            <w:r w:rsidR="001B15BA" w:rsidRPr="001B15BA">
              <w:rPr>
                <w:rFonts w:asciiTheme="minorHAnsi" w:hAnsiTheme="minorHAnsi" w:cstheme="minorHAnsi"/>
                <w:color w:val="000000"/>
                <w:sz w:val="18"/>
                <w:szCs w:val="18"/>
              </w:rPr>
              <w:br/>
              <w:t>(New PBS listing)</w:t>
            </w:r>
          </w:p>
        </w:tc>
        <w:tc>
          <w:tcPr>
            <w:tcW w:w="2764" w:type="dxa"/>
            <w:shd w:val="clear" w:color="auto" w:fill="auto"/>
            <w:vAlign w:val="center"/>
          </w:tcPr>
          <w:p w14:paraId="7EDC6C7A" w14:textId="45951DA9" w:rsidR="001B15BA" w:rsidRPr="001B15BA" w:rsidRDefault="001B15BA" w:rsidP="001B15BA">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Severe Crohn disease</w:t>
            </w:r>
            <w:r w:rsidRPr="001B15BA">
              <w:rPr>
                <w:rFonts w:asciiTheme="minorHAnsi" w:hAnsiTheme="minorHAnsi" w:cstheme="minorHAnsi"/>
                <w:color w:val="000000"/>
                <w:sz w:val="18"/>
                <w:szCs w:val="18"/>
              </w:rPr>
              <w:br/>
              <w:t>Moderate to severe ulcerative colitis</w:t>
            </w:r>
            <w:r w:rsidRPr="001B15BA">
              <w:rPr>
                <w:rFonts w:asciiTheme="minorHAnsi" w:hAnsiTheme="minorHAnsi" w:cstheme="minorHAnsi"/>
                <w:color w:val="000000"/>
                <w:sz w:val="18"/>
                <w:szCs w:val="18"/>
              </w:rPr>
              <w:br/>
              <w:t>Severe active juvenile</w:t>
            </w:r>
            <w:r w:rsidR="007B3BDC">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idiopathic</w:t>
            </w:r>
            <w:r w:rsidR="007B3BDC">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arthritis</w:t>
            </w:r>
            <w:r w:rsidRPr="001B15BA">
              <w:rPr>
                <w:rFonts w:asciiTheme="minorHAnsi" w:hAnsiTheme="minorHAnsi" w:cstheme="minorHAnsi"/>
                <w:color w:val="000000"/>
                <w:sz w:val="18"/>
                <w:szCs w:val="18"/>
              </w:rPr>
              <w:br/>
              <w:t>Complex refractory fistulising Crohn disease</w:t>
            </w:r>
            <w:r w:rsidRPr="001B15BA">
              <w:rPr>
                <w:rFonts w:asciiTheme="minorHAnsi" w:hAnsiTheme="minorHAnsi" w:cstheme="minorHAnsi"/>
                <w:color w:val="000000"/>
                <w:sz w:val="18"/>
                <w:szCs w:val="18"/>
              </w:rPr>
              <w:br/>
              <w:t>Severe active rheumatoid arthritis</w:t>
            </w:r>
            <w:r w:rsidRPr="001B15BA">
              <w:rPr>
                <w:rFonts w:asciiTheme="minorHAnsi" w:hAnsiTheme="minorHAnsi" w:cstheme="minorHAnsi"/>
                <w:color w:val="000000"/>
                <w:sz w:val="18"/>
                <w:szCs w:val="18"/>
              </w:rPr>
              <w:br/>
              <w:t>Severe psoriatic arthritis</w:t>
            </w:r>
            <w:r w:rsidRPr="001B15BA">
              <w:rPr>
                <w:rFonts w:asciiTheme="minorHAnsi" w:hAnsiTheme="minorHAnsi" w:cstheme="minorHAnsi"/>
                <w:color w:val="000000"/>
                <w:sz w:val="18"/>
                <w:szCs w:val="18"/>
              </w:rPr>
              <w:br/>
              <w:t>Ankylosing spondylitis</w:t>
            </w:r>
            <w:r w:rsidRPr="001B15BA">
              <w:rPr>
                <w:rFonts w:asciiTheme="minorHAnsi" w:hAnsiTheme="minorHAnsi" w:cstheme="minorHAnsi"/>
                <w:color w:val="000000"/>
                <w:sz w:val="18"/>
                <w:szCs w:val="18"/>
              </w:rPr>
              <w:br/>
              <w:t>Severe chronic plaque psoriasis</w:t>
            </w:r>
            <w:r w:rsidRPr="001B15BA">
              <w:rPr>
                <w:rFonts w:asciiTheme="minorHAnsi" w:hAnsiTheme="minorHAnsi" w:cstheme="minorHAnsi"/>
                <w:color w:val="000000"/>
                <w:sz w:val="18"/>
                <w:szCs w:val="18"/>
              </w:rPr>
              <w:br/>
              <w:t>Moderate to severe hidradenitis</w:t>
            </w:r>
            <w:r w:rsidRPr="001B15BA">
              <w:rPr>
                <w:rFonts w:asciiTheme="minorHAnsi" w:hAnsiTheme="minorHAnsi" w:cstheme="minorHAnsi"/>
                <w:color w:val="000000"/>
                <w:sz w:val="18"/>
                <w:szCs w:val="18"/>
              </w:rPr>
              <w:br/>
              <w:t>suppurativa</w:t>
            </w:r>
          </w:p>
        </w:tc>
        <w:tc>
          <w:tcPr>
            <w:tcW w:w="3288" w:type="dxa"/>
            <w:shd w:val="clear" w:color="auto" w:fill="auto"/>
            <w:tcMar>
              <w:top w:w="28" w:type="dxa"/>
              <w:bottom w:w="28" w:type="dxa"/>
            </w:tcMar>
            <w:vAlign w:val="center"/>
          </w:tcPr>
          <w:p w14:paraId="693A86FE" w14:textId="70F17808" w:rsidR="001B15BA" w:rsidRPr="001B15BA" w:rsidRDefault="001B15BA" w:rsidP="001B15BA">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listing of adalimumab biosimilar under the</w:t>
            </w:r>
            <w:r>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same conditions as its reference biologic.</w:t>
            </w:r>
          </w:p>
        </w:tc>
        <w:tc>
          <w:tcPr>
            <w:tcW w:w="1987" w:type="dxa"/>
            <w:shd w:val="clear" w:color="auto" w:fill="auto"/>
            <w:vAlign w:val="center"/>
          </w:tcPr>
          <w:p w14:paraId="0559B616" w14:textId="5547EEC5" w:rsidR="001B15BA" w:rsidRPr="001B15BA" w:rsidRDefault="001B15BA" w:rsidP="001B15BA">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5DAB2E7A" w14:textId="08E99A1F" w:rsidR="001B15BA" w:rsidRPr="001B15BA" w:rsidRDefault="001B15BA" w:rsidP="001B15BA">
            <w:pPr>
              <w:keepLines/>
              <w:rPr>
                <w:rFonts w:asciiTheme="minorHAnsi" w:hAnsiTheme="minorHAnsi" w:cstheme="minorHAnsi"/>
                <w:color w:val="000000"/>
                <w:sz w:val="18"/>
                <w:szCs w:val="18"/>
              </w:rPr>
            </w:pPr>
            <w:r w:rsidRPr="001B15BA">
              <w:rPr>
                <w:rFonts w:asciiTheme="minorHAnsi" w:hAnsiTheme="minorHAnsi" w:cstheme="minorHAnsi"/>
                <w:color w:val="000000"/>
                <w:sz w:val="18"/>
                <w:szCs w:val="18"/>
              </w:rPr>
              <w:t>The PBAC recommended the Authority Required listing of adalimumab (</w:t>
            </w:r>
            <w:proofErr w:type="spellStart"/>
            <w:r w:rsidRPr="001B15BA">
              <w:rPr>
                <w:rFonts w:asciiTheme="minorHAnsi" w:hAnsiTheme="minorHAnsi" w:cstheme="minorHAnsi"/>
                <w:color w:val="000000"/>
                <w:sz w:val="18"/>
                <w:szCs w:val="18"/>
              </w:rPr>
              <w:t>Yuflyma</w:t>
            </w:r>
            <w:proofErr w:type="spellEnd"/>
            <w:r w:rsidRPr="001B15BA">
              <w:rPr>
                <w:rFonts w:asciiTheme="minorHAnsi" w:hAnsiTheme="minorHAnsi" w:cstheme="minorHAnsi"/>
                <w:color w:val="000000"/>
                <w:sz w:val="18"/>
                <w:szCs w:val="18"/>
              </w:rPr>
              <w:t>®) in the form of 40 mg in 0.4</w:t>
            </w:r>
            <w:r w:rsidR="00EF7C48">
              <w:rPr>
                <w:rFonts w:asciiTheme="minorHAnsi" w:hAnsiTheme="minorHAnsi" w:cstheme="minorHAnsi"/>
                <w:color w:val="000000"/>
                <w:sz w:val="18"/>
                <w:szCs w:val="18"/>
              </w:rPr>
              <w:t> </w:t>
            </w:r>
            <w:r w:rsidRPr="001B15BA">
              <w:rPr>
                <w:rFonts w:asciiTheme="minorHAnsi" w:hAnsiTheme="minorHAnsi" w:cstheme="minorHAnsi"/>
                <w:color w:val="000000"/>
                <w:sz w:val="18"/>
                <w:szCs w:val="18"/>
              </w:rPr>
              <w:t xml:space="preserve">mL pre-filled syringe (PFS) and pre-filled pen (PFP) as a biosimilar brand of Humira®. The PBAC’s recommendation for listing was based on, among other matters, its assessment that the cost effectiveness of </w:t>
            </w:r>
            <w:proofErr w:type="spellStart"/>
            <w:r w:rsidRPr="009575BF">
              <w:rPr>
                <w:rFonts w:asciiTheme="minorHAnsi" w:hAnsiTheme="minorHAnsi" w:cstheme="minorHAnsi"/>
                <w:color w:val="000000"/>
                <w:sz w:val="18"/>
                <w:szCs w:val="18"/>
              </w:rPr>
              <w:t>Yuflyma</w:t>
            </w:r>
            <w:proofErr w:type="spellEnd"/>
            <w:r w:rsidR="00030A03"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would be acceptable if it were cost minimised to Humira</w:t>
            </w:r>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for the same indications. The PBAC advised that </w:t>
            </w:r>
            <w:proofErr w:type="spellStart"/>
            <w:r w:rsidRPr="001B15BA">
              <w:rPr>
                <w:rFonts w:asciiTheme="minorHAnsi" w:hAnsiTheme="minorHAnsi" w:cstheme="minorHAnsi"/>
                <w:color w:val="000000"/>
                <w:sz w:val="18"/>
                <w:szCs w:val="18"/>
              </w:rPr>
              <w:t>Yuflyma</w:t>
            </w:r>
            <w:proofErr w:type="spellEnd"/>
            <w:r w:rsidR="00030A03"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Humira</w:t>
            </w:r>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PFS should be treated as equivalent to each other; and </w:t>
            </w:r>
            <w:proofErr w:type="spellStart"/>
            <w:r w:rsidRPr="001B15BA">
              <w:rPr>
                <w:rFonts w:asciiTheme="minorHAnsi" w:hAnsiTheme="minorHAnsi" w:cstheme="minorHAnsi"/>
                <w:color w:val="000000"/>
                <w:sz w:val="18"/>
                <w:szCs w:val="18"/>
              </w:rPr>
              <w:t>Yuflyma</w:t>
            </w:r>
            <w:proofErr w:type="spellEnd"/>
            <w:r w:rsidR="00030A03"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Humira</w:t>
            </w:r>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PFP should be treated as equivalent to each other for the purposes of substitution. The PBAC advised that </w:t>
            </w:r>
            <w:proofErr w:type="spellStart"/>
            <w:r w:rsidRPr="001B15BA">
              <w:rPr>
                <w:rFonts w:asciiTheme="minorHAnsi" w:hAnsiTheme="minorHAnsi" w:cstheme="minorHAnsi"/>
                <w:color w:val="000000"/>
                <w:sz w:val="18"/>
                <w:szCs w:val="18"/>
              </w:rPr>
              <w:t>Yuflyma</w:t>
            </w:r>
            <w:proofErr w:type="spellEnd"/>
            <w:r w:rsidR="00030A03"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w:t>
            </w:r>
            <w:proofErr w:type="spellStart"/>
            <w:r w:rsidRPr="001B15BA">
              <w:rPr>
                <w:rFonts w:asciiTheme="minorHAnsi" w:hAnsiTheme="minorHAnsi" w:cstheme="minorHAnsi"/>
                <w:color w:val="000000"/>
                <w:sz w:val="18"/>
                <w:szCs w:val="18"/>
              </w:rPr>
              <w:t>Amgevita</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t>
            </w:r>
            <w:proofErr w:type="spellStart"/>
            <w:r w:rsidRPr="001B15BA">
              <w:rPr>
                <w:rFonts w:asciiTheme="minorHAnsi" w:hAnsiTheme="minorHAnsi" w:cstheme="minorHAnsi"/>
                <w:color w:val="000000"/>
                <w:sz w:val="18"/>
                <w:szCs w:val="18"/>
              </w:rPr>
              <w:t>Hadlima</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t>
            </w:r>
            <w:proofErr w:type="spellStart"/>
            <w:r w:rsidRPr="001B15BA">
              <w:rPr>
                <w:rFonts w:asciiTheme="minorHAnsi" w:hAnsiTheme="minorHAnsi" w:cstheme="minorHAnsi"/>
                <w:color w:val="000000"/>
                <w:sz w:val="18"/>
                <w:szCs w:val="18"/>
              </w:rPr>
              <w:t>Hyrimoz</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w:t>
            </w:r>
            <w:proofErr w:type="spellStart"/>
            <w:r w:rsidRPr="001B15BA">
              <w:rPr>
                <w:rFonts w:asciiTheme="minorHAnsi" w:hAnsiTheme="minorHAnsi" w:cstheme="minorHAnsi"/>
                <w:color w:val="000000"/>
                <w:sz w:val="18"/>
                <w:szCs w:val="18"/>
              </w:rPr>
              <w:t>Idacio</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PFP should be treated as equivalent to each other; and </w:t>
            </w:r>
            <w:proofErr w:type="spellStart"/>
            <w:r w:rsidRPr="001B15BA">
              <w:rPr>
                <w:rFonts w:asciiTheme="minorHAnsi" w:hAnsiTheme="minorHAnsi" w:cstheme="minorHAnsi"/>
                <w:color w:val="000000"/>
                <w:sz w:val="18"/>
                <w:szCs w:val="18"/>
              </w:rPr>
              <w:t>Yuflyma</w:t>
            </w:r>
            <w:proofErr w:type="spellEnd"/>
            <w:r w:rsidR="00030A03"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w:t>
            </w:r>
            <w:proofErr w:type="spellStart"/>
            <w:r w:rsidRPr="001B15BA">
              <w:rPr>
                <w:rFonts w:asciiTheme="minorHAnsi" w:hAnsiTheme="minorHAnsi" w:cstheme="minorHAnsi"/>
                <w:color w:val="000000"/>
                <w:sz w:val="18"/>
                <w:szCs w:val="18"/>
              </w:rPr>
              <w:t>Amgevita</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t>
            </w:r>
            <w:proofErr w:type="spellStart"/>
            <w:r w:rsidRPr="001B15BA">
              <w:rPr>
                <w:rFonts w:asciiTheme="minorHAnsi" w:hAnsiTheme="minorHAnsi" w:cstheme="minorHAnsi"/>
                <w:color w:val="000000"/>
                <w:sz w:val="18"/>
                <w:szCs w:val="18"/>
              </w:rPr>
              <w:t>Hadlima</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t>
            </w:r>
            <w:proofErr w:type="spellStart"/>
            <w:r w:rsidRPr="001B15BA">
              <w:rPr>
                <w:rFonts w:asciiTheme="minorHAnsi" w:hAnsiTheme="minorHAnsi" w:cstheme="minorHAnsi"/>
                <w:color w:val="000000"/>
                <w:sz w:val="18"/>
                <w:szCs w:val="18"/>
              </w:rPr>
              <w:t>Hyrimoz</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and </w:t>
            </w:r>
            <w:proofErr w:type="spellStart"/>
            <w:r w:rsidRPr="001B15BA">
              <w:rPr>
                <w:rFonts w:asciiTheme="minorHAnsi" w:hAnsiTheme="minorHAnsi" w:cstheme="minorHAnsi"/>
                <w:color w:val="000000"/>
                <w:sz w:val="18"/>
                <w:szCs w:val="18"/>
              </w:rPr>
              <w:t>Idacio</w:t>
            </w:r>
            <w:proofErr w:type="spellEnd"/>
            <w:r w:rsidR="00874E52"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PFS should be treated as equivalent to each other for the purposes of substitution. </w:t>
            </w:r>
          </w:p>
        </w:tc>
      </w:tr>
      <w:tr w:rsidR="001B15BA" w:rsidRPr="00567D48" w14:paraId="649CE2B1" w14:textId="77777777" w:rsidTr="00315536">
        <w:trPr>
          <w:cantSplit/>
          <w:trHeight w:val="2948"/>
        </w:trPr>
        <w:tc>
          <w:tcPr>
            <w:tcW w:w="3013" w:type="dxa"/>
            <w:shd w:val="clear" w:color="auto" w:fill="auto"/>
            <w:tcMar>
              <w:top w:w="28" w:type="dxa"/>
              <w:bottom w:w="28" w:type="dxa"/>
            </w:tcMar>
            <w:vAlign w:val="center"/>
          </w:tcPr>
          <w:p w14:paraId="5BC502B7" w14:textId="16CD6ABA"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t xml:space="preserve">ANIFROLUMAB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300 mg in 2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Saphnelo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AstraZeneca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300613E1" w14:textId="24D76BA2"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Systemic lupus erythematosus</w:t>
            </w:r>
          </w:p>
        </w:tc>
        <w:tc>
          <w:tcPr>
            <w:tcW w:w="3288" w:type="dxa"/>
            <w:shd w:val="clear" w:color="auto" w:fill="auto"/>
            <w:tcMar>
              <w:top w:w="28" w:type="dxa"/>
              <w:bottom w:w="28" w:type="dxa"/>
            </w:tcMar>
            <w:vAlign w:val="center"/>
          </w:tcPr>
          <w:p w14:paraId="743559B4" w14:textId="2B0ADB4C"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bookmarkStart w:id="0" w:name="_Hlk111630899"/>
            <w:r w:rsidRPr="001B15BA">
              <w:rPr>
                <w:rFonts w:asciiTheme="minorHAnsi" w:hAnsiTheme="minorHAnsi" w:cstheme="minorHAnsi"/>
                <w:color w:val="000000"/>
                <w:sz w:val="18"/>
                <w:szCs w:val="18"/>
              </w:rPr>
              <w:t>To request a Section 100 (Highly Specialised Drugs Program) Authority Required listing for the treatment of patients with</w:t>
            </w:r>
            <w:r w:rsidR="009F29FF">
              <w:rPr>
                <w:rFonts w:asciiTheme="minorHAnsi" w:hAnsiTheme="minorHAnsi" w:cstheme="minorHAnsi"/>
                <w:color w:val="000000"/>
                <w:sz w:val="18"/>
                <w:szCs w:val="18"/>
              </w:rPr>
              <w:t xml:space="preserve"> severe</w:t>
            </w:r>
            <w:r w:rsidRPr="001B15BA">
              <w:rPr>
                <w:rFonts w:asciiTheme="minorHAnsi" w:hAnsiTheme="minorHAnsi" w:cstheme="minorHAnsi"/>
                <w:color w:val="000000"/>
                <w:sz w:val="18"/>
                <w:szCs w:val="18"/>
              </w:rPr>
              <w:t xml:space="preserve"> systemic lupus erythematosus with a high degree of disease activity despite standard therapy</w:t>
            </w:r>
            <w:bookmarkEnd w:id="0"/>
            <w:r w:rsidRPr="001B15BA">
              <w:rPr>
                <w:rFonts w:asciiTheme="minorHAnsi" w:hAnsiTheme="minorHAnsi" w:cstheme="minorHAnsi"/>
                <w:color w:val="000000"/>
                <w:sz w:val="18"/>
                <w:szCs w:val="18"/>
              </w:rPr>
              <w:t>.</w:t>
            </w:r>
          </w:p>
        </w:tc>
        <w:tc>
          <w:tcPr>
            <w:tcW w:w="1987" w:type="dxa"/>
            <w:shd w:val="clear" w:color="auto" w:fill="auto"/>
            <w:vAlign w:val="center"/>
          </w:tcPr>
          <w:p w14:paraId="3DBF4CB8" w14:textId="6A3134D2"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0F3B6CDD" w14:textId="1DF9FA5A" w:rsidR="00355FEC" w:rsidRPr="00315536" w:rsidRDefault="00355FEC" w:rsidP="001B15BA">
            <w:pPr>
              <w:pStyle w:val="ListParagraph"/>
              <w:keepLines/>
              <w:ind w:left="0"/>
              <w:rPr>
                <w:rFonts w:asciiTheme="minorHAnsi" w:hAnsiTheme="minorHAnsi" w:cstheme="minorHAnsi"/>
                <w:color w:val="000000"/>
                <w:sz w:val="18"/>
                <w:szCs w:val="18"/>
              </w:rPr>
            </w:pPr>
            <w:r w:rsidRPr="00315536">
              <w:rPr>
                <w:rFonts w:asciiTheme="minorHAnsi" w:hAnsiTheme="minorHAnsi" w:cstheme="minorHAnsi"/>
                <w:color w:val="000000"/>
                <w:sz w:val="18"/>
                <w:szCs w:val="18"/>
              </w:rPr>
              <w:t xml:space="preserve">The PBAC did not recommend the listing of </w:t>
            </w:r>
            <w:proofErr w:type="spellStart"/>
            <w:r w:rsidRPr="00315536">
              <w:rPr>
                <w:rFonts w:asciiTheme="minorHAnsi" w:hAnsiTheme="minorHAnsi" w:cstheme="minorHAnsi"/>
                <w:color w:val="000000"/>
                <w:sz w:val="18"/>
                <w:szCs w:val="18"/>
              </w:rPr>
              <w:t>anifrolumab</w:t>
            </w:r>
            <w:proofErr w:type="spellEnd"/>
            <w:r w:rsidRPr="00315536">
              <w:rPr>
                <w:rFonts w:asciiTheme="minorHAnsi" w:hAnsiTheme="minorHAnsi" w:cstheme="minorHAnsi"/>
                <w:color w:val="000000"/>
                <w:sz w:val="18"/>
                <w:szCs w:val="18"/>
              </w:rPr>
              <w:t xml:space="preserve"> for patients with severe systemic lupus erythematosus who have high disease activity despite standard of care. The PBAC acknowledged there is a clinical need in the requested patient population. However, the PBAC considered the magnitude of benefit was modest and uncertain, and the incremental cost-effectiveness ratio was underestimated and highly uncertain.</w:t>
            </w:r>
            <w:r>
              <w:rPr>
                <w:rFonts w:asciiTheme="minorHAnsi" w:hAnsiTheme="minorHAnsi" w:cstheme="minorHAnsi"/>
                <w:color w:val="000000"/>
                <w:sz w:val="18"/>
                <w:szCs w:val="18"/>
              </w:rPr>
              <w:t xml:space="preserve"> </w:t>
            </w:r>
          </w:p>
          <w:p w14:paraId="6B4E5F6D" w14:textId="77777777" w:rsidR="00355FEC" w:rsidRDefault="00355FEC" w:rsidP="001B15BA">
            <w:pPr>
              <w:pStyle w:val="ListParagraph"/>
              <w:keepLines/>
              <w:ind w:left="0"/>
              <w:rPr>
                <w:rFonts w:asciiTheme="minorHAnsi" w:hAnsiTheme="minorHAnsi" w:cstheme="minorHAnsi"/>
                <w:color w:val="000000"/>
                <w:sz w:val="18"/>
                <w:szCs w:val="18"/>
                <w:u w:val="single"/>
              </w:rPr>
            </w:pPr>
          </w:p>
          <w:p w14:paraId="678C8771" w14:textId="77777777" w:rsidR="001B15BA" w:rsidRDefault="001B15BA" w:rsidP="001B15BA">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6EEF1245" w14:textId="33A9972F" w:rsidR="00DD7D9D" w:rsidRPr="005306B9" w:rsidRDefault="00DD7D9D" w:rsidP="001B15BA">
            <w:pPr>
              <w:pStyle w:val="ListParagraph"/>
              <w:keepLines/>
              <w:ind w:left="0"/>
              <w:rPr>
                <w:rFonts w:asciiTheme="minorHAnsi" w:hAnsiTheme="minorHAnsi" w:cstheme="minorHAnsi"/>
                <w:color w:val="000000"/>
                <w:sz w:val="18"/>
                <w:szCs w:val="18"/>
                <w:highlight w:val="yellow"/>
              </w:rPr>
            </w:pPr>
            <w:r w:rsidRPr="005306B9">
              <w:rPr>
                <w:rFonts w:asciiTheme="minorHAnsi" w:hAnsiTheme="minorHAnsi" w:cstheme="minorHAnsi"/>
                <w:color w:val="000000"/>
                <w:sz w:val="18"/>
                <w:szCs w:val="18"/>
              </w:rPr>
              <w:t>The sponsor had no comment.</w:t>
            </w:r>
          </w:p>
        </w:tc>
      </w:tr>
      <w:tr w:rsidR="001B15BA" w:rsidRPr="00567D48" w14:paraId="4D4C9647" w14:textId="77777777" w:rsidTr="00315536">
        <w:trPr>
          <w:cantSplit/>
          <w:trHeight w:val="2948"/>
        </w:trPr>
        <w:tc>
          <w:tcPr>
            <w:tcW w:w="3013" w:type="dxa"/>
            <w:shd w:val="clear" w:color="auto" w:fill="auto"/>
            <w:tcMar>
              <w:top w:w="28" w:type="dxa"/>
              <w:bottom w:w="28" w:type="dxa"/>
            </w:tcMar>
            <w:vAlign w:val="center"/>
          </w:tcPr>
          <w:p w14:paraId="513D59BA" w14:textId="4CBA7562"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APALUTAMIDE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60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Erlyand</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Janssen-</w:t>
            </w:r>
            <w:proofErr w:type="spellStart"/>
            <w:r w:rsidRPr="001B15BA">
              <w:rPr>
                <w:rFonts w:asciiTheme="minorHAnsi" w:hAnsiTheme="minorHAnsi" w:cstheme="minorHAnsi"/>
                <w:color w:val="000000"/>
                <w:sz w:val="18"/>
                <w:szCs w:val="18"/>
              </w:rPr>
              <w:t>Cilag</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Standard re-entry submission</w:t>
            </w:r>
            <w:r w:rsidRPr="001B15BA">
              <w:rPr>
                <w:rFonts w:asciiTheme="minorHAnsi" w:hAnsiTheme="minorHAnsi" w:cstheme="minorHAnsi"/>
                <w:color w:val="000000"/>
                <w:sz w:val="18"/>
                <w:szCs w:val="18"/>
              </w:rPr>
              <w:br/>
              <w:t>(Change to recommended PBS listing)</w:t>
            </w:r>
          </w:p>
        </w:tc>
        <w:tc>
          <w:tcPr>
            <w:tcW w:w="2764" w:type="dxa"/>
            <w:shd w:val="clear" w:color="auto" w:fill="auto"/>
            <w:vAlign w:val="center"/>
          </w:tcPr>
          <w:p w14:paraId="39A82484" w14:textId="3D29F7FD"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Prostate cancer</w:t>
            </w:r>
          </w:p>
        </w:tc>
        <w:tc>
          <w:tcPr>
            <w:tcW w:w="3288" w:type="dxa"/>
            <w:shd w:val="clear" w:color="auto" w:fill="auto"/>
            <w:tcMar>
              <w:top w:w="28" w:type="dxa"/>
              <w:bottom w:w="28" w:type="dxa"/>
            </w:tcMar>
            <w:vAlign w:val="center"/>
          </w:tcPr>
          <w:p w14:paraId="028D9DAB" w14:textId="5044B8A3"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Resubmission to request a General Schedule Authority Required listing for the treatment of patients with metastatic hormone-sensitive prostate cancer who have low volume disease, or who have high-volume disease and are too frail for chemotherapy.</w:t>
            </w:r>
          </w:p>
        </w:tc>
        <w:tc>
          <w:tcPr>
            <w:tcW w:w="1987" w:type="dxa"/>
            <w:shd w:val="clear" w:color="auto" w:fill="auto"/>
            <w:vAlign w:val="center"/>
          </w:tcPr>
          <w:p w14:paraId="0DE66810" w14:textId="0A044CDB"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5B32F778" w14:textId="000A2E6B" w:rsidR="001B15BA" w:rsidRPr="001B15BA" w:rsidRDefault="00B60C95" w:rsidP="001B15BA">
            <w:pPr>
              <w:pStyle w:val="ListParagraph"/>
              <w:keepLines/>
              <w:ind w:left="0"/>
              <w:rPr>
                <w:rFonts w:asciiTheme="minorHAnsi" w:hAnsiTheme="minorHAnsi" w:cstheme="minorHAnsi"/>
                <w:color w:val="000000"/>
                <w:sz w:val="18"/>
                <w:szCs w:val="18"/>
                <w:highlight w:val="yellow"/>
              </w:rPr>
            </w:pPr>
            <w:r w:rsidRPr="00B60C95">
              <w:rPr>
                <w:rFonts w:asciiTheme="minorHAnsi" w:hAnsiTheme="minorHAnsi" w:cstheme="minorHAnsi"/>
                <w:color w:val="000000"/>
                <w:sz w:val="18"/>
                <w:szCs w:val="18"/>
              </w:rPr>
              <w:t>The PBAC recommended apalutamide for the treatment of metastatic hormone sensitive prostate cancer (</w:t>
            </w:r>
            <w:proofErr w:type="spellStart"/>
            <w:r w:rsidRPr="00B60C95">
              <w:rPr>
                <w:rFonts w:asciiTheme="minorHAnsi" w:hAnsiTheme="minorHAnsi" w:cstheme="minorHAnsi"/>
                <w:color w:val="000000"/>
                <w:sz w:val="18"/>
                <w:szCs w:val="18"/>
              </w:rPr>
              <w:t>mHSPC</w:t>
            </w:r>
            <w:proofErr w:type="spellEnd"/>
            <w:r w:rsidRPr="00B60C95">
              <w:rPr>
                <w:rFonts w:asciiTheme="minorHAnsi" w:hAnsiTheme="minorHAnsi" w:cstheme="minorHAnsi"/>
                <w:color w:val="000000"/>
                <w:sz w:val="18"/>
                <w:szCs w:val="18"/>
              </w:rPr>
              <w:t xml:space="preserve">). The PBAC considered that apalutamide plus androgen deprivation therapy (ADT) provides a moderate clinical benefit for patients with </w:t>
            </w:r>
            <w:proofErr w:type="spellStart"/>
            <w:r w:rsidRPr="00B60C95">
              <w:rPr>
                <w:rFonts w:asciiTheme="minorHAnsi" w:hAnsiTheme="minorHAnsi" w:cstheme="minorHAnsi"/>
                <w:color w:val="000000"/>
                <w:sz w:val="18"/>
                <w:szCs w:val="18"/>
              </w:rPr>
              <w:t>mHSPC</w:t>
            </w:r>
            <w:proofErr w:type="spellEnd"/>
            <w:r w:rsidRPr="00B60C95">
              <w:rPr>
                <w:rFonts w:asciiTheme="minorHAnsi" w:hAnsiTheme="minorHAnsi" w:cstheme="minorHAnsi"/>
                <w:color w:val="000000"/>
                <w:sz w:val="18"/>
                <w:szCs w:val="18"/>
              </w:rPr>
              <w:t xml:space="preserve"> compared to ADT alone. While the resubmission had proposed that apalutamide be used in patients with low volume (LV) disease and those with high volume (HV) disease who were unsuitable for treatment with docetaxel, the PBAC recommended apalutamide for use in patients with </w:t>
            </w:r>
            <w:proofErr w:type="spellStart"/>
            <w:r w:rsidRPr="00B60C95">
              <w:rPr>
                <w:rFonts w:asciiTheme="minorHAnsi" w:hAnsiTheme="minorHAnsi" w:cstheme="minorHAnsi"/>
                <w:color w:val="000000"/>
                <w:sz w:val="18"/>
                <w:szCs w:val="18"/>
              </w:rPr>
              <w:t>mHSPC</w:t>
            </w:r>
            <w:proofErr w:type="spellEnd"/>
            <w:r w:rsidRPr="00B60C95">
              <w:rPr>
                <w:rFonts w:asciiTheme="minorHAnsi" w:hAnsiTheme="minorHAnsi" w:cstheme="minorHAnsi"/>
                <w:color w:val="000000"/>
                <w:sz w:val="18"/>
                <w:szCs w:val="18"/>
              </w:rPr>
              <w:t xml:space="preserve"> regardless of disease volume or suitability for docetaxel. The PBAC noted that although the economic model presented in the resubmission incorporated a number of revisions suggested by the PBAC in November 2021, the overall survival curves were not converged, and the duration of NHA therapy for metastatic castrate resistant prostate cancer (</w:t>
            </w:r>
            <w:proofErr w:type="spellStart"/>
            <w:r w:rsidRPr="00B60C95">
              <w:rPr>
                <w:rFonts w:asciiTheme="minorHAnsi" w:hAnsiTheme="minorHAnsi" w:cstheme="minorHAnsi"/>
                <w:color w:val="000000"/>
                <w:sz w:val="18"/>
                <w:szCs w:val="18"/>
              </w:rPr>
              <w:t>mCRPC</w:t>
            </w:r>
            <w:proofErr w:type="spellEnd"/>
            <w:r w:rsidRPr="00B60C95">
              <w:rPr>
                <w:rFonts w:asciiTheme="minorHAnsi" w:hAnsiTheme="minorHAnsi" w:cstheme="minorHAnsi"/>
                <w:color w:val="000000"/>
                <w:sz w:val="18"/>
                <w:szCs w:val="18"/>
              </w:rPr>
              <w:t>) was potentially overestimated. Incorporating these changes increased the incremental cost-effectiveness ratios (ICERs) and a price reduction is required for apalutamide to be considered cost-effective with ICERs within the range of $</w:t>
            </w:r>
            <w:r w:rsidR="00EF7C48">
              <w:rPr>
                <w:rFonts w:asciiTheme="minorHAnsi" w:hAnsiTheme="minorHAnsi" w:cstheme="minorHAnsi"/>
                <w:color w:val="000000"/>
                <w:sz w:val="18"/>
                <w:szCs w:val="18"/>
              </w:rPr>
              <w:t>35,000 to &lt; $45,000</w:t>
            </w:r>
            <w:r w:rsidRPr="00B60C95">
              <w:rPr>
                <w:rFonts w:asciiTheme="minorHAnsi" w:hAnsiTheme="minorHAnsi" w:cstheme="minorHAnsi"/>
                <w:color w:val="000000"/>
                <w:sz w:val="18"/>
                <w:szCs w:val="18"/>
              </w:rPr>
              <w:t xml:space="preserve"> to $45,000 </w:t>
            </w:r>
            <w:r w:rsidR="00EF7C48">
              <w:rPr>
                <w:rFonts w:asciiTheme="minorHAnsi" w:hAnsiTheme="minorHAnsi" w:cstheme="minorHAnsi"/>
                <w:color w:val="000000"/>
                <w:sz w:val="18"/>
                <w:szCs w:val="18"/>
              </w:rPr>
              <w:t xml:space="preserve">to &lt; $55,000 </w:t>
            </w:r>
            <w:r w:rsidRPr="00B60C95">
              <w:rPr>
                <w:rFonts w:asciiTheme="minorHAnsi" w:hAnsiTheme="minorHAnsi" w:cstheme="minorHAnsi"/>
                <w:color w:val="000000"/>
                <w:sz w:val="18"/>
                <w:szCs w:val="18"/>
              </w:rPr>
              <w:t>per QALY. The PBAC considered that the proposed risk sharing arrangement adequately managed the risk that patients would remain on apalutamide for longer than estimated based on the TITAN trial and the risk that use in patients with HV disease suitable for docetaxel would not be cost-effective.</w:t>
            </w:r>
          </w:p>
        </w:tc>
      </w:tr>
      <w:tr w:rsidR="001B15BA" w:rsidRPr="00567D48" w14:paraId="486B5D5B" w14:textId="77777777" w:rsidTr="00315536">
        <w:trPr>
          <w:cantSplit/>
          <w:trHeight w:val="2948"/>
        </w:trPr>
        <w:tc>
          <w:tcPr>
            <w:tcW w:w="3013" w:type="dxa"/>
            <w:shd w:val="clear" w:color="auto" w:fill="auto"/>
            <w:tcMar>
              <w:top w:w="28" w:type="dxa"/>
              <w:bottom w:w="28" w:type="dxa"/>
            </w:tcMar>
            <w:vAlign w:val="center"/>
          </w:tcPr>
          <w:p w14:paraId="618F1349" w14:textId="75849899"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ASCIMINIB</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20 mg</w:t>
            </w:r>
            <w:r w:rsidRPr="001B15BA">
              <w:rPr>
                <w:rFonts w:asciiTheme="minorHAnsi" w:hAnsiTheme="minorHAnsi" w:cstheme="minorHAnsi"/>
                <w:color w:val="000000"/>
                <w:sz w:val="18"/>
                <w:szCs w:val="18"/>
              </w:rPr>
              <w:br/>
              <w:t>Tablet 40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Scemblix</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Novartis Pharmaceuticals Australia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48E3CFEE" w14:textId="5D186902"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Chronic myeloid leukaemia</w:t>
            </w:r>
          </w:p>
        </w:tc>
        <w:tc>
          <w:tcPr>
            <w:tcW w:w="3288" w:type="dxa"/>
            <w:shd w:val="clear" w:color="auto" w:fill="auto"/>
            <w:tcMar>
              <w:top w:w="28" w:type="dxa"/>
              <w:bottom w:w="28" w:type="dxa"/>
            </w:tcMar>
            <w:vAlign w:val="center"/>
          </w:tcPr>
          <w:p w14:paraId="66ACB354" w14:textId="5850BEEE" w:rsidR="001B15BA" w:rsidRPr="001B15BA" w:rsidRDefault="001B15BA" w:rsidP="001B15BA">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the treatment of patients with Philadelphia chromosome-positive chronic myeloid leukaemia in chronic phase previously treated with two or more tyrosine kinase inhibitors.</w:t>
            </w:r>
          </w:p>
        </w:tc>
        <w:tc>
          <w:tcPr>
            <w:tcW w:w="1987" w:type="dxa"/>
            <w:shd w:val="clear" w:color="auto" w:fill="auto"/>
            <w:vAlign w:val="center"/>
          </w:tcPr>
          <w:p w14:paraId="0A687D81" w14:textId="68DE10E5"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263F061F" w14:textId="3E89D5C4" w:rsidR="0064038A" w:rsidRPr="00315536" w:rsidRDefault="0064038A" w:rsidP="001B15BA">
            <w:pPr>
              <w:pStyle w:val="ListParagraph"/>
              <w:keepLines/>
              <w:ind w:left="0"/>
              <w:rPr>
                <w:rFonts w:asciiTheme="minorHAnsi" w:hAnsiTheme="minorHAnsi" w:cstheme="minorHAnsi"/>
                <w:color w:val="000000"/>
                <w:sz w:val="18"/>
                <w:szCs w:val="18"/>
              </w:rPr>
            </w:pPr>
            <w:r w:rsidRPr="00315536">
              <w:rPr>
                <w:rFonts w:asciiTheme="minorHAnsi" w:hAnsiTheme="minorHAnsi" w:cstheme="minorHAnsi"/>
                <w:color w:val="000000"/>
                <w:sz w:val="18"/>
                <w:szCs w:val="18"/>
              </w:rPr>
              <w:t xml:space="preserve">The PBAC did not recommend the listing of </w:t>
            </w:r>
            <w:proofErr w:type="spellStart"/>
            <w:r w:rsidRPr="00315536">
              <w:rPr>
                <w:rFonts w:asciiTheme="minorHAnsi" w:hAnsiTheme="minorHAnsi" w:cstheme="minorHAnsi"/>
                <w:color w:val="000000"/>
                <w:sz w:val="18"/>
                <w:szCs w:val="18"/>
              </w:rPr>
              <w:t>asciminib</w:t>
            </w:r>
            <w:proofErr w:type="spellEnd"/>
            <w:r w:rsidRPr="00315536">
              <w:rPr>
                <w:rFonts w:asciiTheme="minorHAnsi" w:hAnsiTheme="minorHAnsi" w:cstheme="minorHAnsi"/>
                <w:color w:val="000000"/>
                <w:sz w:val="18"/>
                <w:szCs w:val="18"/>
              </w:rPr>
              <w:t xml:space="preserve"> for the treatment of patients with Philadelphia chromosome-positive chronic myeloid leukaemia in chronic phase, who had been previously treated with two or more tyrosine kinase inhibitors</w:t>
            </w:r>
            <w:r w:rsidR="00E64FA9">
              <w:rPr>
                <w:rFonts w:asciiTheme="minorHAnsi" w:hAnsiTheme="minorHAnsi" w:cstheme="minorHAnsi"/>
                <w:color w:val="000000"/>
                <w:sz w:val="18"/>
                <w:szCs w:val="18"/>
              </w:rPr>
              <w:t xml:space="preserve"> (TKIs)</w:t>
            </w:r>
            <w:r w:rsidRPr="00315536">
              <w:rPr>
                <w:rFonts w:asciiTheme="minorHAnsi" w:hAnsiTheme="minorHAnsi" w:cstheme="minorHAnsi"/>
                <w:color w:val="000000"/>
                <w:sz w:val="18"/>
                <w:szCs w:val="18"/>
              </w:rPr>
              <w:t xml:space="preserve">. The PBAC considered that the claim of non-inferior effectiveness of </w:t>
            </w:r>
            <w:proofErr w:type="spellStart"/>
            <w:r w:rsidRPr="00315536">
              <w:rPr>
                <w:rFonts w:asciiTheme="minorHAnsi" w:hAnsiTheme="minorHAnsi" w:cstheme="minorHAnsi"/>
                <w:color w:val="000000"/>
                <w:sz w:val="18"/>
                <w:szCs w:val="18"/>
              </w:rPr>
              <w:t>asciminib</w:t>
            </w:r>
            <w:proofErr w:type="spellEnd"/>
            <w:r w:rsidRPr="00315536">
              <w:rPr>
                <w:rFonts w:asciiTheme="minorHAnsi" w:hAnsiTheme="minorHAnsi" w:cstheme="minorHAnsi"/>
                <w:color w:val="000000"/>
                <w:sz w:val="18"/>
                <w:szCs w:val="18"/>
              </w:rPr>
              <w:t xml:space="preserve"> compared with nilotinib is likely supported, despite the uncertainty associated with the unanchored, unadjusted indirect treatment comparison. However, it considered that the claim of non-inferior effectiveness of </w:t>
            </w:r>
            <w:proofErr w:type="spellStart"/>
            <w:r w:rsidRPr="00315536">
              <w:rPr>
                <w:rFonts w:asciiTheme="minorHAnsi" w:hAnsiTheme="minorHAnsi" w:cstheme="minorHAnsi"/>
                <w:color w:val="000000"/>
                <w:sz w:val="18"/>
                <w:szCs w:val="18"/>
              </w:rPr>
              <w:t>asciminib</w:t>
            </w:r>
            <w:proofErr w:type="spellEnd"/>
            <w:r w:rsidRPr="00315536">
              <w:rPr>
                <w:rFonts w:asciiTheme="minorHAnsi" w:hAnsiTheme="minorHAnsi" w:cstheme="minorHAnsi"/>
                <w:color w:val="000000"/>
                <w:sz w:val="18"/>
                <w:szCs w:val="18"/>
              </w:rPr>
              <w:t xml:space="preserve"> compared with ponatinib was not supported based on the comparisons presented in the submission. Further, it considered that the available data do not support the claim of superior safety to either nilotinib or ponatinib. The PBAC considered that a reasonable basis for establishing a </w:t>
            </w:r>
            <w:proofErr w:type="gramStart"/>
            <w:r w:rsidRPr="00315536">
              <w:rPr>
                <w:rFonts w:asciiTheme="minorHAnsi" w:hAnsiTheme="minorHAnsi" w:cstheme="minorHAnsi"/>
                <w:color w:val="000000"/>
                <w:sz w:val="18"/>
                <w:szCs w:val="18"/>
              </w:rPr>
              <w:t>cost effective</w:t>
            </w:r>
            <w:proofErr w:type="gramEnd"/>
            <w:r w:rsidRPr="00315536">
              <w:rPr>
                <w:rFonts w:asciiTheme="minorHAnsi" w:hAnsiTheme="minorHAnsi" w:cstheme="minorHAnsi"/>
                <w:color w:val="000000"/>
                <w:sz w:val="18"/>
                <w:szCs w:val="18"/>
              </w:rPr>
              <w:t xml:space="preserve"> price for </w:t>
            </w:r>
            <w:proofErr w:type="spellStart"/>
            <w:r w:rsidRPr="00315536">
              <w:rPr>
                <w:rFonts w:asciiTheme="minorHAnsi" w:hAnsiTheme="minorHAnsi" w:cstheme="minorHAnsi"/>
                <w:color w:val="000000"/>
                <w:sz w:val="18"/>
                <w:szCs w:val="18"/>
              </w:rPr>
              <w:t>asciminib</w:t>
            </w:r>
            <w:proofErr w:type="spellEnd"/>
            <w:r w:rsidRPr="00315536">
              <w:rPr>
                <w:rFonts w:asciiTheme="minorHAnsi" w:hAnsiTheme="minorHAnsi" w:cstheme="minorHAnsi"/>
                <w:color w:val="000000"/>
                <w:sz w:val="18"/>
                <w:szCs w:val="18"/>
              </w:rPr>
              <w:t xml:space="preserve"> would be benchmarking against the second generation TKIs. The PBAC considered the financial estimates to be unreliable.</w:t>
            </w:r>
          </w:p>
          <w:p w14:paraId="10DC5F61" w14:textId="77777777" w:rsidR="0064038A" w:rsidRDefault="0064038A" w:rsidP="001B15BA">
            <w:pPr>
              <w:pStyle w:val="ListParagraph"/>
              <w:keepLines/>
              <w:ind w:left="0"/>
              <w:rPr>
                <w:rFonts w:asciiTheme="minorHAnsi" w:hAnsiTheme="minorHAnsi" w:cstheme="minorHAnsi"/>
                <w:color w:val="000000"/>
                <w:sz w:val="18"/>
                <w:szCs w:val="18"/>
                <w:u w:val="single"/>
              </w:rPr>
            </w:pPr>
          </w:p>
          <w:p w14:paraId="769AB8C4" w14:textId="77777777" w:rsidR="001B15BA" w:rsidRDefault="001B15BA" w:rsidP="001B15BA">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65A36520" w14:textId="0500D62C" w:rsidR="0064038A" w:rsidRPr="001B15BA" w:rsidRDefault="00010B32" w:rsidP="001B15BA">
            <w:pPr>
              <w:pStyle w:val="ListParagraph"/>
              <w:keepLines/>
              <w:ind w:left="0"/>
              <w:rPr>
                <w:rFonts w:asciiTheme="minorHAnsi" w:hAnsiTheme="minorHAnsi" w:cstheme="minorHAnsi"/>
                <w:color w:val="000000"/>
                <w:sz w:val="18"/>
                <w:szCs w:val="18"/>
                <w:highlight w:val="yellow"/>
              </w:rPr>
            </w:pPr>
            <w:r w:rsidRPr="00010B32">
              <w:rPr>
                <w:rFonts w:asciiTheme="minorHAnsi" w:hAnsiTheme="minorHAnsi" w:cstheme="minorHAnsi"/>
                <w:color w:val="000000"/>
                <w:sz w:val="18"/>
                <w:szCs w:val="18"/>
              </w:rPr>
              <w:t xml:space="preserve">Novartis are committed to working with the PBAC to achieve sustainable PBS listing conditions and timely </w:t>
            </w:r>
            <w:proofErr w:type="spellStart"/>
            <w:r w:rsidRPr="00010B32">
              <w:rPr>
                <w:rFonts w:asciiTheme="minorHAnsi" w:hAnsiTheme="minorHAnsi" w:cstheme="minorHAnsi"/>
                <w:color w:val="000000"/>
                <w:sz w:val="18"/>
                <w:szCs w:val="18"/>
              </w:rPr>
              <w:t>Scemblix</w:t>
            </w:r>
            <w:proofErr w:type="spellEnd"/>
            <w:r w:rsidRPr="00010B32">
              <w:rPr>
                <w:rFonts w:asciiTheme="minorHAnsi" w:hAnsiTheme="minorHAnsi" w:cstheme="minorHAnsi"/>
                <w:color w:val="000000"/>
                <w:sz w:val="18"/>
                <w:szCs w:val="18"/>
              </w:rPr>
              <w:t>® (</w:t>
            </w:r>
            <w:proofErr w:type="spellStart"/>
            <w:r w:rsidRPr="00010B32">
              <w:rPr>
                <w:rFonts w:asciiTheme="minorHAnsi" w:hAnsiTheme="minorHAnsi" w:cstheme="minorHAnsi"/>
                <w:color w:val="000000"/>
                <w:sz w:val="18"/>
                <w:szCs w:val="18"/>
              </w:rPr>
              <w:t>asciminib</w:t>
            </w:r>
            <w:proofErr w:type="spellEnd"/>
            <w:r w:rsidRPr="00010B32">
              <w:rPr>
                <w:rFonts w:asciiTheme="minorHAnsi" w:hAnsiTheme="minorHAnsi" w:cstheme="minorHAnsi"/>
                <w:color w:val="000000"/>
                <w:sz w:val="18"/>
                <w:szCs w:val="18"/>
              </w:rPr>
              <w:t>) access for chronic myeloid leukaemia patients</w:t>
            </w:r>
            <w:r>
              <w:rPr>
                <w:rFonts w:asciiTheme="minorHAnsi" w:hAnsiTheme="minorHAnsi" w:cstheme="minorHAnsi"/>
                <w:color w:val="000000"/>
                <w:sz w:val="18"/>
                <w:szCs w:val="18"/>
              </w:rPr>
              <w:t>.</w:t>
            </w:r>
          </w:p>
        </w:tc>
      </w:tr>
      <w:tr w:rsidR="001B15BA" w:rsidRPr="00567D48" w14:paraId="2E3F990E" w14:textId="77777777" w:rsidTr="00C724F5">
        <w:trPr>
          <w:cantSplit/>
          <w:trHeight w:val="2948"/>
        </w:trPr>
        <w:tc>
          <w:tcPr>
            <w:tcW w:w="3013" w:type="dxa"/>
            <w:shd w:val="clear" w:color="auto" w:fill="auto"/>
            <w:tcMar>
              <w:top w:w="28" w:type="dxa"/>
              <w:bottom w:w="28" w:type="dxa"/>
            </w:tcMar>
            <w:vAlign w:val="center"/>
          </w:tcPr>
          <w:p w14:paraId="347A2878" w14:textId="67F6483B"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ATEZOLIZUMAB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840 mg in 14 mL</w:t>
            </w:r>
            <w:r w:rsidRPr="001B15BA">
              <w:rPr>
                <w:rFonts w:asciiTheme="minorHAnsi" w:hAnsiTheme="minorHAnsi" w:cstheme="minorHAnsi"/>
                <w:color w:val="000000"/>
                <w:sz w:val="18"/>
                <w:szCs w:val="18"/>
              </w:rPr>
              <w:br/>
              <w:t>Solution concentrate for I.V. infusion 1200 mg in 20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Tecentriq</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Roche Products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4D6F63E0" w14:textId="241ED831"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Non-small cell lung cancer</w:t>
            </w:r>
            <w:r w:rsidR="00D264D3">
              <w:rPr>
                <w:rFonts w:asciiTheme="minorHAnsi" w:hAnsiTheme="minorHAnsi" w:cstheme="minorHAnsi"/>
                <w:color w:val="000000"/>
                <w:sz w:val="18"/>
                <w:szCs w:val="18"/>
              </w:rPr>
              <w:t xml:space="preserve"> (NSCLC)</w:t>
            </w:r>
          </w:p>
        </w:tc>
        <w:tc>
          <w:tcPr>
            <w:tcW w:w="3288" w:type="dxa"/>
            <w:shd w:val="clear" w:color="auto" w:fill="auto"/>
            <w:tcMar>
              <w:top w:w="28" w:type="dxa"/>
              <w:bottom w:w="28" w:type="dxa"/>
            </w:tcMar>
            <w:vAlign w:val="center"/>
          </w:tcPr>
          <w:p w14:paraId="455771E0" w14:textId="18E3CE69"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 xml:space="preserve">To request a Section 100 (Efficient Funding of Chemotherapy Program) Authority Required listing as adjuvant treatment in patients with programmed cell death ligand-1 (PD-L1) positive Stage II-IIIA </w:t>
            </w:r>
            <w:r w:rsidR="00D264D3">
              <w:rPr>
                <w:rFonts w:asciiTheme="minorHAnsi" w:hAnsiTheme="minorHAnsi" w:cstheme="minorHAnsi"/>
                <w:color w:val="000000"/>
                <w:sz w:val="18"/>
                <w:szCs w:val="18"/>
              </w:rPr>
              <w:t xml:space="preserve">NSCLC </w:t>
            </w:r>
            <w:r w:rsidRPr="001B15BA">
              <w:rPr>
                <w:rFonts w:asciiTheme="minorHAnsi" w:hAnsiTheme="minorHAnsi" w:cstheme="minorHAnsi"/>
                <w:color w:val="000000"/>
                <w:sz w:val="18"/>
                <w:szCs w:val="18"/>
              </w:rPr>
              <w:t>following complete resection and platinum-based chemotherapy.</w:t>
            </w:r>
          </w:p>
        </w:tc>
        <w:tc>
          <w:tcPr>
            <w:tcW w:w="2434" w:type="dxa"/>
            <w:gridSpan w:val="2"/>
            <w:shd w:val="clear" w:color="auto" w:fill="auto"/>
            <w:vAlign w:val="center"/>
          </w:tcPr>
          <w:p w14:paraId="46B86EA0" w14:textId="65AE64E7"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3889" w:type="dxa"/>
            <w:shd w:val="clear" w:color="auto" w:fill="auto"/>
            <w:vAlign w:val="center"/>
          </w:tcPr>
          <w:p w14:paraId="2C78B835" w14:textId="0DA021FF" w:rsidR="001B15BA" w:rsidRPr="001B15BA" w:rsidRDefault="00AC692A" w:rsidP="001B15BA">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 xml:space="preserve">The PBAC recommended the listing of atezolizumab for the adjuvant treatment of patients with Stage II to IIIA non-small cell lung cancer (NSCLC) whose tumours have PD-L1 expression on ≥ 50% of tumour cells and following a complete resection and no progression after platinum-based adjuvant chemotherapy. The PBAC’s recommendation for listing was based on, among other matters, its assessment that the cost-effectiveness of </w:t>
            </w:r>
            <w:r w:rsidR="00D264D3" w:rsidRPr="00AC692A">
              <w:rPr>
                <w:rFonts w:asciiTheme="minorHAnsi" w:hAnsiTheme="minorHAnsi" w:cstheme="minorHAnsi"/>
                <w:color w:val="000000"/>
                <w:sz w:val="18"/>
                <w:szCs w:val="18"/>
              </w:rPr>
              <w:t>atezolizumab</w:t>
            </w:r>
            <w:r w:rsidRPr="00AC692A">
              <w:rPr>
                <w:rFonts w:asciiTheme="minorHAnsi" w:hAnsiTheme="minorHAnsi" w:cstheme="minorHAnsi"/>
                <w:color w:val="000000"/>
                <w:sz w:val="18"/>
                <w:szCs w:val="18"/>
              </w:rPr>
              <w:t xml:space="preserve"> would be acceptable at the price proposed in the submission. The PBAC recommended that the additional expenditure associated with </w:t>
            </w:r>
            <w:r w:rsidR="00D264D3" w:rsidRPr="00AC692A">
              <w:rPr>
                <w:rFonts w:asciiTheme="minorHAnsi" w:hAnsiTheme="minorHAnsi" w:cstheme="minorHAnsi"/>
                <w:color w:val="000000"/>
                <w:sz w:val="18"/>
                <w:szCs w:val="18"/>
              </w:rPr>
              <w:t>atezolizumab</w:t>
            </w:r>
            <w:r w:rsidRPr="00AC692A">
              <w:rPr>
                <w:rFonts w:asciiTheme="minorHAnsi" w:hAnsiTheme="minorHAnsi" w:cstheme="minorHAnsi"/>
                <w:color w:val="000000"/>
                <w:sz w:val="18"/>
                <w:szCs w:val="18"/>
              </w:rPr>
              <w:t xml:space="preserve"> in this population (</w:t>
            </w:r>
            <w:proofErr w:type="gramStart"/>
            <w:r w:rsidRPr="00AC692A">
              <w:rPr>
                <w:rFonts w:asciiTheme="minorHAnsi" w:hAnsiTheme="minorHAnsi" w:cstheme="minorHAnsi"/>
                <w:color w:val="000000"/>
                <w:sz w:val="18"/>
                <w:szCs w:val="18"/>
              </w:rPr>
              <w:t>taking into account</w:t>
            </w:r>
            <w:proofErr w:type="gramEnd"/>
            <w:r w:rsidRPr="00AC692A">
              <w:rPr>
                <w:rFonts w:asciiTheme="minorHAnsi" w:hAnsiTheme="minorHAnsi" w:cstheme="minorHAnsi"/>
                <w:color w:val="000000"/>
                <w:sz w:val="18"/>
                <w:szCs w:val="18"/>
              </w:rPr>
              <w:t xml:space="preserve"> the reduced use of immunotherapy in the advanced/ metastatic setting) could be added to the current risk sharing arrangement in place for immunotherapies for NSCLC.</w:t>
            </w:r>
          </w:p>
        </w:tc>
      </w:tr>
      <w:tr w:rsidR="001B15BA" w:rsidRPr="00567D48" w14:paraId="5EE63AD6" w14:textId="77777777" w:rsidTr="00315536">
        <w:trPr>
          <w:cantSplit/>
          <w:trHeight w:val="2948"/>
        </w:trPr>
        <w:tc>
          <w:tcPr>
            <w:tcW w:w="3013" w:type="dxa"/>
            <w:shd w:val="clear" w:color="auto" w:fill="auto"/>
            <w:tcMar>
              <w:top w:w="28" w:type="dxa"/>
              <w:bottom w:w="28" w:type="dxa"/>
            </w:tcMar>
            <w:vAlign w:val="center"/>
          </w:tcPr>
          <w:p w14:paraId="7444914F" w14:textId="6065AD1E"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AZACITIDINE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200 mg</w:t>
            </w:r>
            <w:r w:rsidRPr="001B15BA">
              <w:rPr>
                <w:rFonts w:asciiTheme="minorHAnsi" w:hAnsiTheme="minorHAnsi" w:cstheme="minorHAnsi"/>
                <w:color w:val="000000"/>
                <w:sz w:val="18"/>
                <w:szCs w:val="18"/>
              </w:rPr>
              <w:br/>
              <w:t>Tablet 300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Onureg</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Celgene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0587772B" w14:textId="29A008FB"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Acute myeloid leukaemia</w:t>
            </w:r>
            <w:r w:rsidR="001C1E19">
              <w:rPr>
                <w:rFonts w:asciiTheme="minorHAnsi" w:hAnsiTheme="minorHAnsi" w:cstheme="minorHAnsi"/>
                <w:color w:val="000000"/>
                <w:sz w:val="18"/>
                <w:szCs w:val="18"/>
              </w:rPr>
              <w:t xml:space="preserve"> (AML)</w:t>
            </w:r>
          </w:p>
        </w:tc>
        <w:tc>
          <w:tcPr>
            <w:tcW w:w="3288" w:type="dxa"/>
            <w:shd w:val="clear" w:color="auto" w:fill="auto"/>
            <w:tcMar>
              <w:top w:w="28" w:type="dxa"/>
              <w:bottom w:w="28" w:type="dxa"/>
            </w:tcMar>
            <w:vAlign w:val="center"/>
          </w:tcPr>
          <w:p w14:paraId="38F35CA7" w14:textId="3EF7EEE3"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 xml:space="preserve">To request a General Schedule Authority Required listing for maintenance therapy in certain patients with </w:t>
            </w:r>
            <w:r w:rsidR="001C1E19">
              <w:rPr>
                <w:rFonts w:asciiTheme="minorHAnsi" w:hAnsiTheme="minorHAnsi" w:cstheme="minorHAnsi"/>
                <w:color w:val="000000"/>
                <w:sz w:val="18"/>
                <w:szCs w:val="18"/>
              </w:rPr>
              <w:t xml:space="preserve">AML </w:t>
            </w:r>
            <w:r w:rsidRPr="001B15BA">
              <w:rPr>
                <w:rFonts w:asciiTheme="minorHAnsi" w:hAnsiTheme="minorHAnsi" w:cstheme="minorHAnsi"/>
                <w:color w:val="000000"/>
                <w:sz w:val="18"/>
                <w:szCs w:val="18"/>
              </w:rPr>
              <w:t>who are not candidates for, including those who choose not to proceed to, haematopoietic stem cell transplantation.</w:t>
            </w:r>
          </w:p>
        </w:tc>
        <w:tc>
          <w:tcPr>
            <w:tcW w:w="1987" w:type="dxa"/>
            <w:shd w:val="clear" w:color="auto" w:fill="auto"/>
            <w:vAlign w:val="center"/>
          </w:tcPr>
          <w:p w14:paraId="6B3636B3" w14:textId="0E8F58B9"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3BC5F214" w14:textId="77777777" w:rsidR="001C1E19" w:rsidRDefault="00355FEC" w:rsidP="001B15BA">
            <w:pPr>
              <w:pStyle w:val="ListParagraph"/>
              <w:keepLines/>
              <w:ind w:left="0"/>
              <w:rPr>
                <w:rFonts w:asciiTheme="minorHAnsi" w:hAnsiTheme="minorHAnsi" w:cstheme="minorHAnsi"/>
                <w:color w:val="000000"/>
                <w:sz w:val="18"/>
                <w:szCs w:val="18"/>
              </w:rPr>
            </w:pPr>
            <w:r w:rsidRPr="00355FEC">
              <w:rPr>
                <w:rFonts w:asciiTheme="minorHAnsi" w:hAnsiTheme="minorHAnsi" w:cstheme="minorHAnsi"/>
                <w:color w:val="000000"/>
                <w:sz w:val="18"/>
                <w:szCs w:val="18"/>
              </w:rPr>
              <w:t xml:space="preserve">The PBAC did not recommend oral </w:t>
            </w:r>
            <w:proofErr w:type="spellStart"/>
            <w:r w:rsidRPr="00355FEC">
              <w:rPr>
                <w:rFonts w:asciiTheme="minorHAnsi" w:hAnsiTheme="minorHAnsi" w:cstheme="minorHAnsi"/>
                <w:color w:val="000000"/>
                <w:sz w:val="18"/>
                <w:szCs w:val="18"/>
              </w:rPr>
              <w:t>azacitidine</w:t>
            </w:r>
            <w:proofErr w:type="spellEnd"/>
            <w:r w:rsidRPr="00355FEC">
              <w:rPr>
                <w:rFonts w:asciiTheme="minorHAnsi" w:hAnsiTheme="minorHAnsi" w:cstheme="minorHAnsi"/>
                <w:color w:val="000000"/>
                <w:sz w:val="18"/>
                <w:szCs w:val="18"/>
              </w:rPr>
              <w:t xml:space="preserve"> as maintenance therapy in patients with acute myeloid leukaemia (AML) who achieve complete remission or complete remission with incomplete blood count recovery following induction chemotherapy with or without consolidation treatment, and who are not candidates for, including those who choose not to proceed to, haematopoietic stem cell transplantation. The PBAC noted the high unmet clinical need for AML treatments and was satisfied that oral </w:t>
            </w:r>
            <w:proofErr w:type="spellStart"/>
            <w:r w:rsidRPr="00355FEC">
              <w:rPr>
                <w:rFonts w:asciiTheme="minorHAnsi" w:hAnsiTheme="minorHAnsi" w:cstheme="minorHAnsi"/>
                <w:color w:val="000000"/>
                <w:sz w:val="18"/>
                <w:szCs w:val="18"/>
              </w:rPr>
              <w:t>azacitidine</w:t>
            </w:r>
            <w:proofErr w:type="spellEnd"/>
            <w:r w:rsidRPr="00355FEC">
              <w:rPr>
                <w:rFonts w:asciiTheme="minorHAnsi" w:hAnsiTheme="minorHAnsi" w:cstheme="minorHAnsi"/>
                <w:color w:val="000000"/>
                <w:sz w:val="18"/>
                <w:szCs w:val="18"/>
              </w:rPr>
              <w:t xml:space="preserve"> provides, for some patients, a significant improvement in efficacy, including improved overall survival and relapse free survival. However, the PBAC considered that changes to the economic model parameters would be required to achieve acceptable incremental cost-effectiveness. Further, the PBAC considered that the financial implications were overestimated. </w:t>
            </w:r>
          </w:p>
          <w:p w14:paraId="6BF7FF24" w14:textId="77777777" w:rsidR="001C1E19" w:rsidRDefault="001C1E19" w:rsidP="001B15BA">
            <w:pPr>
              <w:pStyle w:val="ListParagraph"/>
              <w:keepLines/>
              <w:ind w:left="0"/>
              <w:rPr>
                <w:rFonts w:asciiTheme="minorHAnsi" w:hAnsiTheme="minorHAnsi" w:cstheme="minorHAnsi"/>
                <w:color w:val="000000"/>
                <w:sz w:val="18"/>
                <w:szCs w:val="18"/>
              </w:rPr>
            </w:pPr>
          </w:p>
          <w:p w14:paraId="1111FA84" w14:textId="33E4CF78" w:rsidR="00355FEC" w:rsidRDefault="00355FEC" w:rsidP="001B15BA">
            <w:pPr>
              <w:pStyle w:val="ListParagraph"/>
              <w:keepLines/>
              <w:ind w:left="0"/>
              <w:rPr>
                <w:rFonts w:asciiTheme="minorHAnsi" w:hAnsiTheme="minorHAnsi" w:cstheme="minorHAnsi"/>
                <w:color w:val="000000"/>
                <w:sz w:val="18"/>
                <w:szCs w:val="18"/>
              </w:rPr>
            </w:pPr>
            <w:r w:rsidRPr="00355FEC">
              <w:rPr>
                <w:rFonts w:asciiTheme="minorHAnsi" w:hAnsiTheme="minorHAnsi" w:cstheme="minorHAnsi"/>
                <w:color w:val="000000"/>
                <w:sz w:val="18"/>
                <w:szCs w:val="18"/>
              </w:rPr>
              <w:t>The PBAC nominated the Early Resolution resubmission pathway for this item.</w:t>
            </w:r>
          </w:p>
          <w:p w14:paraId="297C62EC" w14:textId="77777777" w:rsidR="00355FEC" w:rsidRPr="00315536" w:rsidRDefault="00355FEC" w:rsidP="001B15BA">
            <w:pPr>
              <w:pStyle w:val="ListParagraph"/>
              <w:keepLines/>
              <w:ind w:left="0"/>
              <w:rPr>
                <w:rFonts w:asciiTheme="minorHAnsi" w:hAnsiTheme="minorHAnsi" w:cstheme="minorHAnsi"/>
                <w:color w:val="000000"/>
                <w:sz w:val="18"/>
                <w:szCs w:val="18"/>
              </w:rPr>
            </w:pPr>
          </w:p>
          <w:p w14:paraId="6B2E8FD3" w14:textId="77777777" w:rsidR="001B15BA" w:rsidRDefault="001B15BA" w:rsidP="001B15BA">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19DD6E89" w14:textId="2107D268" w:rsidR="00010B32" w:rsidRPr="001B15BA" w:rsidRDefault="00010B32" w:rsidP="001B15BA">
            <w:pPr>
              <w:pStyle w:val="ListParagraph"/>
              <w:keepLines/>
              <w:ind w:left="0"/>
              <w:rPr>
                <w:rFonts w:asciiTheme="minorHAnsi" w:hAnsiTheme="minorHAnsi" w:cstheme="minorHAnsi"/>
                <w:color w:val="000000"/>
                <w:sz w:val="18"/>
                <w:szCs w:val="18"/>
                <w:highlight w:val="yellow"/>
              </w:rPr>
            </w:pPr>
            <w:r w:rsidRPr="00010B32">
              <w:rPr>
                <w:rFonts w:asciiTheme="minorHAnsi" w:hAnsiTheme="minorHAnsi" w:cstheme="minorHAnsi"/>
                <w:color w:val="000000"/>
                <w:sz w:val="18"/>
                <w:szCs w:val="18"/>
              </w:rPr>
              <w:t xml:space="preserve">The Sponsor welcomes the PBAC’s decision to resubmit via an early resolution pathway and looks forward to continuing to work with the PBAC and the Department of Health to provide access of oral </w:t>
            </w:r>
            <w:proofErr w:type="spellStart"/>
            <w:r w:rsidRPr="00010B32">
              <w:rPr>
                <w:rFonts w:asciiTheme="minorHAnsi" w:hAnsiTheme="minorHAnsi" w:cstheme="minorHAnsi"/>
                <w:color w:val="000000"/>
                <w:sz w:val="18"/>
                <w:szCs w:val="18"/>
              </w:rPr>
              <w:t>azacitidine</w:t>
            </w:r>
            <w:proofErr w:type="spellEnd"/>
            <w:r w:rsidRPr="00010B32">
              <w:rPr>
                <w:rFonts w:asciiTheme="minorHAnsi" w:hAnsiTheme="minorHAnsi" w:cstheme="minorHAnsi"/>
                <w:color w:val="000000"/>
                <w:sz w:val="18"/>
                <w:szCs w:val="18"/>
              </w:rPr>
              <w:t xml:space="preserve"> (</w:t>
            </w:r>
            <w:proofErr w:type="spellStart"/>
            <w:r w:rsidRPr="00010B32">
              <w:rPr>
                <w:rFonts w:asciiTheme="minorHAnsi" w:hAnsiTheme="minorHAnsi" w:cstheme="minorHAnsi"/>
                <w:color w:val="000000"/>
                <w:sz w:val="18"/>
                <w:szCs w:val="18"/>
              </w:rPr>
              <w:t>Onureg</w:t>
            </w:r>
            <w:proofErr w:type="spellEnd"/>
            <w:r w:rsidRPr="00010B32">
              <w:rPr>
                <w:rFonts w:asciiTheme="minorHAnsi" w:hAnsiTheme="minorHAnsi" w:cstheme="minorHAnsi"/>
                <w:color w:val="000000"/>
                <w:sz w:val="18"/>
                <w:szCs w:val="18"/>
              </w:rPr>
              <w:t>) to patients.</w:t>
            </w:r>
          </w:p>
        </w:tc>
      </w:tr>
      <w:tr w:rsidR="001B15BA" w:rsidRPr="00567D48" w14:paraId="21433199" w14:textId="77777777" w:rsidTr="00315536">
        <w:trPr>
          <w:cantSplit/>
          <w:trHeight w:val="2948"/>
        </w:trPr>
        <w:tc>
          <w:tcPr>
            <w:tcW w:w="3013" w:type="dxa"/>
            <w:shd w:val="clear" w:color="auto" w:fill="auto"/>
            <w:tcMar>
              <w:top w:w="28" w:type="dxa"/>
              <w:bottom w:w="28" w:type="dxa"/>
            </w:tcMar>
            <w:vAlign w:val="center"/>
          </w:tcPr>
          <w:p w14:paraId="362E85ED" w14:textId="3A1BF70A" w:rsidR="001B15BA" w:rsidRPr="001B15BA" w:rsidRDefault="001B15BA" w:rsidP="001B15BA">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BECLOMETASONE WITH FORMOTEROL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Pressurised inhalation containing </w:t>
            </w:r>
            <w:proofErr w:type="spellStart"/>
            <w:r w:rsidRPr="001B15BA">
              <w:rPr>
                <w:rFonts w:asciiTheme="minorHAnsi" w:hAnsiTheme="minorHAnsi" w:cstheme="minorHAnsi"/>
                <w:color w:val="000000"/>
                <w:sz w:val="18"/>
                <w:szCs w:val="18"/>
              </w:rPr>
              <w:t>beclometasone</w:t>
            </w:r>
            <w:proofErr w:type="spellEnd"/>
            <w:r w:rsidRPr="001B15BA">
              <w:rPr>
                <w:rFonts w:asciiTheme="minorHAnsi" w:hAnsiTheme="minorHAnsi" w:cstheme="minorHAnsi"/>
                <w:color w:val="000000"/>
                <w:sz w:val="18"/>
                <w:szCs w:val="18"/>
              </w:rPr>
              <w:t xml:space="preserve"> dipropionate</w:t>
            </w:r>
            <w:r w:rsidR="00931B23">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200</w:t>
            </w:r>
            <w:r w:rsidR="00931B23">
              <w:rPr>
                <w:rFonts w:asciiTheme="minorHAnsi" w:hAnsiTheme="minorHAnsi" w:cstheme="minorHAnsi"/>
                <w:color w:val="000000"/>
                <w:sz w:val="18"/>
                <w:szCs w:val="18"/>
              </w:rPr>
              <w:t> </w:t>
            </w:r>
            <w:r w:rsidRPr="001B15BA">
              <w:rPr>
                <w:rFonts w:asciiTheme="minorHAnsi" w:hAnsiTheme="minorHAnsi" w:cstheme="minorHAnsi"/>
                <w:color w:val="000000"/>
                <w:sz w:val="18"/>
                <w:szCs w:val="18"/>
              </w:rPr>
              <w:t>micrograms and formoterol fumarate dihydrate 6 micrograms per dose, 120 doses</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Fostair</w:t>
            </w:r>
            <w:proofErr w:type="spellEnd"/>
            <w:r w:rsidRPr="001B15BA">
              <w:rPr>
                <w:rFonts w:asciiTheme="minorHAnsi" w:hAnsiTheme="minorHAnsi" w:cstheme="minorHAnsi"/>
                <w:color w:val="000000"/>
                <w:sz w:val="18"/>
                <w:szCs w:val="18"/>
              </w:rPr>
              <w:t>® 200/6</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Chiesi</w:t>
            </w:r>
            <w:proofErr w:type="spellEnd"/>
            <w:r w:rsidRPr="001B15BA">
              <w:rPr>
                <w:rFonts w:asciiTheme="minorHAnsi" w:hAnsiTheme="minorHAnsi" w:cstheme="minorHAnsi"/>
                <w:color w:val="000000"/>
                <w:sz w:val="18"/>
                <w:szCs w:val="18"/>
              </w:rPr>
              <w:t xml:space="preserve">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31D498FC" w14:textId="02E7301D" w:rsidR="001B15BA" w:rsidRPr="001B15BA" w:rsidRDefault="001B15BA" w:rsidP="001B15BA">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Asthma</w:t>
            </w:r>
          </w:p>
        </w:tc>
        <w:tc>
          <w:tcPr>
            <w:tcW w:w="3288" w:type="dxa"/>
            <w:shd w:val="clear" w:color="auto" w:fill="auto"/>
            <w:tcMar>
              <w:top w:w="28" w:type="dxa"/>
              <w:bottom w:w="28" w:type="dxa"/>
            </w:tcMar>
            <w:vAlign w:val="center"/>
          </w:tcPr>
          <w:p w14:paraId="43FDC4C0" w14:textId="7A7FDA21"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General Schedule Authority Required listing for the treatment of asthma in certain patients previously treated with oral corticosteroids or optimal doses of inhaled corticosteroids.</w:t>
            </w:r>
          </w:p>
        </w:tc>
        <w:tc>
          <w:tcPr>
            <w:tcW w:w="1987" w:type="dxa"/>
            <w:shd w:val="clear" w:color="auto" w:fill="auto"/>
            <w:vAlign w:val="center"/>
          </w:tcPr>
          <w:p w14:paraId="7971E558" w14:textId="568422EC" w:rsidR="001B15BA" w:rsidRPr="001B15BA" w:rsidRDefault="001B15BA" w:rsidP="001B15BA">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21785AE1" w14:textId="08AF705D" w:rsidR="001B15BA" w:rsidRPr="001B15BA" w:rsidRDefault="00347FAD" w:rsidP="001B15BA">
            <w:pPr>
              <w:pStyle w:val="ListParagraph"/>
              <w:keepLines/>
              <w:ind w:left="0"/>
              <w:rPr>
                <w:rFonts w:asciiTheme="minorHAnsi" w:hAnsiTheme="minorHAnsi" w:cstheme="minorHAnsi"/>
                <w:color w:val="000000"/>
                <w:sz w:val="18"/>
                <w:szCs w:val="18"/>
                <w:highlight w:val="yellow"/>
              </w:rPr>
            </w:pPr>
            <w:r w:rsidRPr="00347FAD">
              <w:rPr>
                <w:rFonts w:asciiTheme="minorHAnsi" w:hAnsiTheme="minorHAnsi" w:cstheme="minorHAnsi"/>
                <w:color w:val="000000"/>
                <w:sz w:val="18"/>
                <w:szCs w:val="18"/>
              </w:rPr>
              <w:t xml:space="preserve">The PBAC recommended an Authority Required listing for </w:t>
            </w:r>
            <w:proofErr w:type="spellStart"/>
            <w:r w:rsidRPr="00347FAD">
              <w:rPr>
                <w:rFonts w:asciiTheme="minorHAnsi" w:hAnsiTheme="minorHAnsi" w:cstheme="minorHAnsi"/>
                <w:color w:val="000000"/>
                <w:sz w:val="18"/>
                <w:szCs w:val="18"/>
              </w:rPr>
              <w:t>Fostair</w:t>
            </w:r>
            <w:proofErr w:type="spellEnd"/>
            <w:r w:rsidRPr="00347FAD">
              <w:rPr>
                <w:rFonts w:asciiTheme="minorHAnsi" w:hAnsiTheme="minorHAnsi" w:cstheme="minorHAnsi"/>
                <w:color w:val="000000"/>
                <w:sz w:val="18"/>
                <w:szCs w:val="18"/>
              </w:rPr>
              <w:t xml:space="preserve">® 200/6 µg metered dose inhaler (MDI), a fixed dose combination (FDC) of </w:t>
            </w:r>
            <w:proofErr w:type="spellStart"/>
            <w:r w:rsidRPr="00347FAD">
              <w:rPr>
                <w:rFonts w:asciiTheme="minorHAnsi" w:hAnsiTheme="minorHAnsi" w:cstheme="minorHAnsi"/>
                <w:color w:val="000000"/>
                <w:sz w:val="18"/>
                <w:szCs w:val="18"/>
              </w:rPr>
              <w:t>beclometasone</w:t>
            </w:r>
            <w:proofErr w:type="spellEnd"/>
            <w:r w:rsidRPr="00347FAD">
              <w:rPr>
                <w:rFonts w:asciiTheme="minorHAnsi" w:hAnsiTheme="minorHAnsi" w:cstheme="minorHAnsi"/>
                <w:color w:val="000000"/>
                <w:sz w:val="18"/>
                <w:szCs w:val="18"/>
              </w:rPr>
              <w:t xml:space="preserve"> (BEC), an inhaled corticosteroid (ICS), with formoterol (FOR), a long-acting beta agonist (LABA), as maintenance treatment for asthma. The PBAC considered the claim of non-inferior effectiveness and safety to the FDC of fluticasone propionate with salmeterol (FP/SAL 500/50 µg, two inhalations daily and 250/25 µg, four actuations daily) was reasonable. However, the PBAC considered for purposes of satisfying Section 101(3B) of the </w:t>
            </w:r>
            <w:r w:rsidRPr="00315536">
              <w:rPr>
                <w:rFonts w:asciiTheme="minorHAnsi" w:hAnsiTheme="minorHAnsi" w:cstheme="minorHAnsi"/>
                <w:i/>
                <w:iCs/>
                <w:color w:val="000000"/>
                <w:sz w:val="18"/>
                <w:szCs w:val="18"/>
              </w:rPr>
              <w:t>National Health Act 1953</w:t>
            </w:r>
            <w:r w:rsidRPr="00347FAD">
              <w:rPr>
                <w:rFonts w:asciiTheme="minorHAnsi" w:hAnsiTheme="minorHAnsi" w:cstheme="minorHAnsi"/>
                <w:color w:val="000000"/>
                <w:sz w:val="18"/>
                <w:szCs w:val="18"/>
              </w:rPr>
              <w:t xml:space="preserve">, any high dose ICS with LABA FDCs are relevant alternative therapies. The PBAC’s recommendation for listing was therefore based on, among other matters, its assessment that the cost-effectiveness for BEC/FOR 200/6 </w:t>
            </w:r>
            <w:proofErr w:type="spellStart"/>
            <w:r w:rsidRPr="00347FAD">
              <w:rPr>
                <w:rFonts w:asciiTheme="minorHAnsi" w:hAnsiTheme="minorHAnsi" w:cstheme="minorHAnsi"/>
                <w:color w:val="000000"/>
                <w:sz w:val="18"/>
                <w:szCs w:val="18"/>
              </w:rPr>
              <w:t>μg</w:t>
            </w:r>
            <w:proofErr w:type="spellEnd"/>
            <w:r w:rsidRPr="00347FAD">
              <w:rPr>
                <w:rFonts w:asciiTheme="minorHAnsi" w:hAnsiTheme="minorHAnsi" w:cstheme="minorHAnsi"/>
                <w:color w:val="000000"/>
                <w:sz w:val="18"/>
                <w:szCs w:val="18"/>
              </w:rPr>
              <w:t xml:space="preserve"> would be acceptable if it was cost-minimised against the least costly high dose ICS/LABA FDC.</w:t>
            </w:r>
          </w:p>
        </w:tc>
      </w:tr>
      <w:tr w:rsidR="004A5B38" w:rsidRPr="00567D48" w14:paraId="0E1C8DD4" w14:textId="77777777" w:rsidTr="00C724F5">
        <w:trPr>
          <w:cantSplit/>
          <w:trHeight w:val="376"/>
        </w:trPr>
        <w:tc>
          <w:tcPr>
            <w:tcW w:w="3013" w:type="dxa"/>
            <w:shd w:val="clear" w:color="auto" w:fill="auto"/>
            <w:tcMar>
              <w:top w:w="28" w:type="dxa"/>
              <w:bottom w:w="28" w:type="dxa"/>
            </w:tcMar>
            <w:vAlign w:val="center"/>
          </w:tcPr>
          <w:p w14:paraId="48564AE2" w14:textId="30CC0BCE"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CANNABIDIOL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Oral liquid 100 mg per mL, 100</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Epidyolex</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Chiesi</w:t>
            </w:r>
            <w:proofErr w:type="spellEnd"/>
            <w:r w:rsidRPr="001B15BA">
              <w:rPr>
                <w:rFonts w:asciiTheme="minorHAnsi" w:hAnsiTheme="minorHAnsi" w:cstheme="minorHAnsi"/>
                <w:color w:val="000000"/>
                <w:sz w:val="18"/>
                <w:szCs w:val="18"/>
              </w:rPr>
              <w:t xml:space="preserve">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Early re-entry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318397C5" w14:textId="02C5A6AD"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Lennox-</w:t>
            </w:r>
            <w:proofErr w:type="spellStart"/>
            <w:r w:rsidRPr="001B15BA">
              <w:rPr>
                <w:rFonts w:asciiTheme="minorHAnsi" w:hAnsiTheme="minorHAnsi" w:cstheme="minorHAnsi"/>
                <w:color w:val="000000"/>
                <w:sz w:val="18"/>
                <w:szCs w:val="18"/>
              </w:rPr>
              <w:t>Gastaut</w:t>
            </w:r>
            <w:proofErr w:type="spellEnd"/>
            <w:r w:rsidRPr="001B15BA">
              <w:rPr>
                <w:rFonts w:asciiTheme="minorHAnsi" w:hAnsiTheme="minorHAnsi" w:cstheme="minorHAnsi"/>
                <w:color w:val="000000"/>
                <w:sz w:val="18"/>
                <w:szCs w:val="18"/>
              </w:rPr>
              <w:t xml:space="preserve"> syndrome</w:t>
            </w:r>
            <w:r w:rsidR="001C1E19">
              <w:rPr>
                <w:rFonts w:asciiTheme="minorHAnsi" w:hAnsiTheme="minorHAnsi" w:cstheme="minorHAnsi"/>
                <w:color w:val="000000"/>
                <w:sz w:val="18"/>
                <w:szCs w:val="18"/>
              </w:rPr>
              <w:t xml:space="preserve"> (LGS)</w:t>
            </w:r>
          </w:p>
        </w:tc>
        <w:tc>
          <w:tcPr>
            <w:tcW w:w="3288" w:type="dxa"/>
            <w:shd w:val="clear" w:color="auto" w:fill="auto"/>
            <w:tcMar>
              <w:top w:w="28" w:type="dxa"/>
              <w:bottom w:w="28" w:type="dxa"/>
            </w:tcMar>
            <w:vAlign w:val="center"/>
          </w:tcPr>
          <w:p w14:paraId="206227FA" w14:textId="0196E560"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Resubmission to request a General Schedule Authority Required listing for the adjunctive treatment of seizures in patients with LGS aged 2 years and older.</w:t>
            </w:r>
          </w:p>
        </w:tc>
        <w:tc>
          <w:tcPr>
            <w:tcW w:w="1987" w:type="dxa"/>
            <w:shd w:val="clear" w:color="auto" w:fill="auto"/>
            <w:vAlign w:val="center"/>
          </w:tcPr>
          <w:p w14:paraId="70A45944" w14:textId="793A066C"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tcPr>
          <w:p w14:paraId="7F585F67" w14:textId="0FD156F2" w:rsidR="000171D6" w:rsidRPr="000171D6" w:rsidRDefault="000171D6" w:rsidP="000171D6">
            <w:pPr>
              <w:keepNext/>
              <w:keepLines/>
              <w:rPr>
                <w:rFonts w:asciiTheme="minorHAnsi" w:hAnsiTheme="minorHAnsi" w:cstheme="minorHAnsi"/>
                <w:sz w:val="18"/>
                <w:szCs w:val="18"/>
              </w:rPr>
            </w:pPr>
            <w:r w:rsidRPr="000171D6">
              <w:rPr>
                <w:rFonts w:asciiTheme="minorHAnsi" w:hAnsiTheme="minorHAnsi" w:cstheme="minorHAnsi"/>
                <w:sz w:val="18"/>
                <w:szCs w:val="18"/>
              </w:rPr>
              <w:t>The PBAC did not recommend the listing of cannabidiol for the treatment of LGS in patients who have not achieved adequate seizure control with at least two other anti-epileptic drugs (AEDs), as the incremental cost</w:t>
            </w:r>
            <w:r w:rsidR="003B4EE8">
              <w:rPr>
                <w:rFonts w:asciiTheme="minorHAnsi" w:hAnsiTheme="minorHAnsi" w:cstheme="minorHAnsi"/>
                <w:sz w:val="18"/>
                <w:szCs w:val="18"/>
              </w:rPr>
              <w:t>-</w:t>
            </w:r>
            <w:r w:rsidRPr="000171D6">
              <w:rPr>
                <w:rFonts w:asciiTheme="minorHAnsi" w:hAnsiTheme="minorHAnsi" w:cstheme="minorHAnsi"/>
                <w:sz w:val="18"/>
                <w:szCs w:val="18"/>
              </w:rPr>
              <w:t>effectiveness ratio (ICER) was unacceptably high at the requested price.</w:t>
            </w:r>
          </w:p>
          <w:p w14:paraId="7C50E37B" w14:textId="77777777" w:rsidR="000171D6" w:rsidRPr="000171D6" w:rsidRDefault="000171D6" w:rsidP="000171D6">
            <w:pPr>
              <w:keepNext/>
              <w:keepLines/>
              <w:rPr>
                <w:rFonts w:ascii="Calibri" w:hAnsi="Calibri" w:cstheme="minorHAnsi"/>
                <w:sz w:val="18"/>
                <w:szCs w:val="18"/>
                <w:lang w:eastAsia="en-US"/>
              </w:rPr>
            </w:pPr>
          </w:p>
          <w:p w14:paraId="4633E9A2" w14:textId="77777777" w:rsidR="000171D6" w:rsidRPr="000171D6" w:rsidRDefault="000171D6" w:rsidP="000171D6">
            <w:pPr>
              <w:keepNext/>
              <w:keepLines/>
              <w:rPr>
                <w:rFonts w:asciiTheme="minorHAnsi" w:hAnsiTheme="minorHAnsi" w:cstheme="minorHAnsi"/>
                <w:sz w:val="18"/>
                <w:szCs w:val="18"/>
              </w:rPr>
            </w:pPr>
            <w:r w:rsidRPr="000171D6">
              <w:rPr>
                <w:rFonts w:ascii="Calibri" w:hAnsi="Calibri" w:cstheme="minorHAnsi"/>
                <w:sz w:val="18"/>
                <w:szCs w:val="18"/>
                <w:lang w:eastAsia="en-US"/>
              </w:rPr>
              <w:t xml:space="preserve">The previous submissions were considered in July 2020, November </w:t>
            </w:r>
            <w:proofErr w:type="gramStart"/>
            <w:r w:rsidRPr="000171D6">
              <w:rPr>
                <w:rFonts w:ascii="Calibri" w:hAnsi="Calibri" w:cstheme="minorHAnsi"/>
                <w:sz w:val="18"/>
                <w:szCs w:val="18"/>
                <w:lang w:eastAsia="en-US"/>
              </w:rPr>
              <w:t>2020</w:t>
            </w:r>
            <w:proofErr w:type="gramEnd"/>
            <w:r w:rsidRPr="000171D6">
              <w:rPr>
                <w:rFonts w:ascii="Calibri" w:hAnsi="Calibri" w:cstheme="minorHAnsi"/>
                <w:sz w:val="18"/>
                <w:szCs w:val="18"/>
                <w:lang w:eastAsia="en-US"/>
              </w:rPr>
              <w:t xml:space="preserve"> and March 2022.</w:t>
            </w:r>
          </w:p>
          <w:p w14:paraId="5096C0BF" w14:textId="77777777" w:rsidR="000171D6" w:rsidRPr="000171D6" w:rsidRDefault="000171D6" w:rsidP="000171D6">
            <w:pPr>
              <w:keepNext/>
              <w:keepLines/>
              <w:rPr>
                <w:rFonts w:asciiTheme="minorHAnsi" w:hAnsiTheme="minorHAnsi" w:cstheme="minorHAnsi"/>
                <w:sz w:val="18"/>
                <w:szCs w:val="18"/>
                <w:u w:val="single"/>
              </w:rPr>
            </w:pPr>
          </w:p>
          <w:p w14:paraId="426D3182" w14:textId="77777777" w:rsidR="000171D6" w:rsidRPr="000171D6" w:rsidRDefault="000171D6" w:rsidP="000171D6">
            <w:pPr>
              <w:keepNext/>
              <w:keepLines/>
              <w:rPr>
                <w:rFonts w:asciiTheme="minorHAnsi" w:hAnsiTheme="minorHAnsi" w:cstheme="minorHAnsi"/>
                <w:sz w:val="18"/>
                <w:szCs w:val="18"/>
              </w:rPr>
            </w:pPr>
            <w:r w:rsidRPr="000171D6">
              <w:rPr>
                <w:rFonts w:asciiTheme="minorHAnsi" w:hAnsiTheme="minorHAnsi" w:cstheme="minorHAnsi"/>
                <w:sz w:val="18"/>
                <w:szCs w:val="18"/>
                <w:u w:val="single"/>
              </w:rPr>
              <w:t>Comparator: Standard care</w:t>
            </w:r>
            <w:r w:rsidRPr="000171D6">
              <w:rPr>
                <w:rFonts w:asciiTheme="minorHAnsi" w:hAnsiTheme="minorHAnsi" w:cstheme="minorHAnsi"/>
                <w:color w:val="000000"/>
                <w:sz w:val="18"/>
                <w:szCs w:val="18"/>
                <w:u w:val="single"/>
              </w:rPr>
              <w:t xml:space="preserve"> (</w:t>
            </w:r>
            <w:r w:rsidRPr="000171D6">
              <w:rPr>
                <w:rFonts w:asciiTheme="minorHAnsi" w:hAnsiTheme="minorHAnsi" w:cstheme="minorHAnsi"/>
                <w:sz w:val="18"/>
                <w:szCs w:val="18"/>
                <w:u w:val="single"/>
              </w:rPr>
              <w:t>unchanged from previous submission).</w:t>
            </w:r>
            <w:r w:rsidRPr="000171D6">
              <w:rPr>
                <w:rFonts w:asciiTheme="minorHAnsi" w:hAnsiTheme="minorHAnsi" w:cstheme="minorHAnsi"/>
                <w:sz w:val="18"/>
                <w:szCs w:val="18"/>
              </w:rPr>
              <w:t xml:space="preserve"> </w:t>
            </w:r>
            <w:r w:rsidRPr="000171D6">
              <w:rPr>
                <w:rFonts w:asciiTheme="minorHAnsi" w:hAnsiTheme="minorHAnsi" w:cstheme="minorHAnsi"/>
                <w:sz w:val="18"/>
                <w:szCs w:val="18"/>
              </w:rPr>
              <w:br/>
              <w:t>The PBAC previously considered this was reasonable.</w:t>
            </w:r>
          </w:p>
          <w:p w14:paraId="7211250F" w14:textId="77777777" w:rsidR="000171D6" w:rsidRPr="000171D6" w:rsidRDefault="000171D6" w:rsidP="000171D6">
            <w:pPr>
              <w:keepNext/>
              <w:keepLines/>
              <w:rPr>
                <w:rFonts w:asciiTheme="minorHAnsi" w:hAnsiTheme="minorHAnsi" w:cstheme="minorHAnsi"/>
                <w:color w:val="000000"/>
                <w:sz w:val="18"/>
                <w:szCs w:val="18"/>
              </w:rPr>
            </w:pPr>
          </w:p>
          <w:p w14:paraId="16C7B2AD" w14:textId="77777777" w:rsidR="000171D6" w:rsidRPr="000171D6" w:rsidRDefault="000171D6" w:rsidP="000171D6">
            <w:pPr>
              <w:keepNext/>
              <w:keepLines/>
              <w:rPr>
                <w:rFonts w:asciiTheme="minorHAnsi" w:hAnsiTheme="minorHAnsi" w:cstheme="minorHAnsi"/>
                <w:sz w:val="18"/>
                <w:szCs w:val="18"/>
                <w:u w:val="single"/>
              </w:rPr>
            </w:pPr>
            <w:r w:rsidRPr="000171D6">
              <w:rPr>
                <w:rFonts w:asciiTheme="minorHAnsi" w:hAnsiTheme="minorHAnsi" w:cstheme="minorHAnsi"/>
                <w:sz w:val="18"/>
                <w:szCs w:val="18"/>
                <w:u w:val="single"/>
              </w:rPr>
              <w:t xml:space="preserve">Clinical claim: Cannabidiol plus standard care is superior in terms of comparative effectiveness and inferior comparative safety to placebo plus standard care (unchanged from previous submission). </w:t>
            </w:r>
          </w:p>
          <w:p w14:paraId="7EF32B7C" w14:textId="3B7404A7" w:rsidR="001C1E19" w:rsidRDefault="000171D6" w:rsidP="000171D6">
            <w:pPr>
              <w:keepNext/>
              <w:keepLines/>
              <w:rPr>
                <w:rFonts w:asciiTheme="minorHAnsi" w:hAnsiTheme="minorHAnsi" w:cstheme="minorHAnsi"/>
                <w:sz w:val="18"/>
                <w:szCs w:val="18"/>
                <w:u w:val="single"/>
              </w:rPr>
            </w:pPr>
            <w:r w:rsidRPr="000171D6">
              <w:rPr>
                <w:rFonts w:asciiTheme="minorHAnsi" w:hAnsiTheme="minorHAnsi" w:cstheme="minorHAnsi"/>
                <w:sz w:val="18"/>
                <w:szCs w:val="18"/>
              </w:rPr>
              <w:t xml:space="preserve">The PBAC previously considered that cannabidiol appears to be effective for the treatment of seizures in LGS. </w:t>
            </w:r>
          </w:p>
          <w:p w14:paraId="618A8682" w14:textId="77777777" w:rsidR="00E57111" w:rsidRPr="000171D6" w:rsidRDefault="00E57111" w:rsidP="000171D6">
            <w:pPr>
              <w:keepNext/>
              <w:keepLines/>
              <w:rPr>
                <w:rFonts w:asciiTheme="minorHAnsi" w:hAnsiTheme="minorHAnsi" w:cstheme="minorHAnsi"/>
                <w:sz w:val="18"/>
                <w:szCs w:val="18"/>
                <w:u w:val="single"/>
              </w:rPr>
            </w:pPr>
          </w:p>
          <w:p w14:paraId="6D54701E" w14:textId="77777777" w:rsidR="000171D6" w:rsidRPr="000171D6" w:rsidRDefault="000171D6" w:rsidP="000171D6">
            <w:pPr>
              <w:keepNext/>
              <w:keepLines/>
              <w:rPr>
                <w:rFonts w:asciiTheme="minorHAnsi" w:hAnsiTheme="minorHAnsi" w:cstheme="minorHAnsi"/>
                <w:sz w:val="18"/>
                <w:szCs w:val="18"/>
              </w:rPr>
            </w:pPr>
            <w:r w:rsidRPr="000171D6">
              <w:rPr>
                <w:rFonts w:asciiTheme="minorHAnsi" w:hAnsiTheme="minorHAnsi" w:cstheme="minorHAnsi"/>
                <w:sz w:val="18"/>
                <w:szCs w:val="18"/>
              </w:rPr>
              <w:t>The PBAC previously considered that cannabidiol was of inferior comparative safety to placebo.</w:t>
            </w:r>
          </w:p>
          <w:p w14:paraId="5B5E0F68" w14:textId="77777777" w:rsidR="000171D6" w:rsidRPr="000171D6" w:rsidRDefault="000171D6" w:rsidP="000171D6">
            <w:pPr>
              <w:keepNext/>
              <w:keepLines/>
              <w:rPr>
                <w:rFonts w:asciiTheme="minorHAnsi" w:hAnsiTheme="minorHAnsi" w:cstheme="minorHAnsi"/>
                <w:color w:val="000000"/>
                <w:sz w:val="18"/>
                <w:szCs w:val="18"/>
              </w:rPr>
            </w:pPr>
          </w:p>
          <w:p w14:paraId="4281E0D2" w14:textId="77777777" w:rsidR="000171D6" w:rsidRPr="000171D6" w:rsidRDefault="000171D6" w:rsidP="000171D6">
            <w:pPr>
              <w:keepNext/>
              <w:keepLines/>
              <w:rPr>
                <w:rFonts w:asciiTheme="minorHAnsi" w:hAnsiTheme="minorHAnsi" w:cstheme="minorHAnsi"/>
                <w:sz w:val="18"/>
                <w:szCs w:val="18"/>
                <w:u w:val="single"/>
                <w:lang w:eastAsia="en-US"/>
              </w:rPr>
            </w:pPr>
            <w:r w:rsidRPr="000171D6">
              <w:rPr>
                <w:rFonts w:asciiTheme="minorHAnsi" w:hAnsiTheme="minorHAnsi" w:cstheme="minorHAnsi"/>
                <w:sz w:val="18"/>
                <w:szCs w:val="18"/>
                <w:u w:val="single"/>
                <w:lang w:eastAsia="en-US"/>
              </w:rPr>
              <w:t xml:space="preserve">Economic claim: Cost utility analysis of cannabidiol plus standard care versus placebo plus standard care.  </w:t>
            </w:r>
          </w:p>
          <w:p w14:paraId="0B9AC28A" w14:textId="77777777" w:rsidR="000171D6" w:rsidRPr="000171D6" w:rsidRDefault="000171D6" w:rsidP="000171D6">
            <w:pPr>
              <w:keepNext/>
              <w:keepLines/>
              <w:spacing w:after="120"/>
              <w:rPr>
                <w:rFonts w:asciiTheme="minorHAnsi" w:hAnsiTheme="minorHAnsi" w:cs="Arial"/>
                <w:snapToGrid w:val="0"/>
                <w:color w:val="000000"/>
                <w:sz w:val="18"/>
                <w:szCs w:val="18"/>
              </w:rPr>
            </w:pPr>
            <w:r w:rsidRPr="000171D6">
              <w:rPr>
                <w:rFonts w:asciiTheme="minorHAnsi" w:hAnsiTheme="minorHAnsi" w:cstheme="minorHAnsi"/>
                <w:snapToGrid w:val="0"/>
                <w:sz w:val="18"/>
                <w:szCs w:val="18"/>
                <w:lang w:eastAsia="en-US"/>
              </w:rPr>
              <w:t>The PBAC considered that the ICER of cannabidiol was unacceptably high ($75,000 to &lt; $95,000 per quality adjusted life year gained) at the requested price. The PBAC recalled it had previously considered cannabidiol would be cost-effective for this population with an ICER less than $45,000 to &lt; $55,000 per quality adjusted life year gained (excluding carer utilities).</w:t>
            </w:r>
          </w:p>
          <w:p w14:paraId="5983B26B" w14:textId="7C5F496D" w:rsidR="004A5B38" w:rsidRDefault="000171D6" w:rsidP="00010B32">
            <w:pPr>
              <w:keepNext/>
              <w:keepLines/>
              <w:spacing w:after="120"/>
              <w:rPr>
                <w:rFonts w:asciiTheme="minorHAnsi" w:hAnsiTheme="minorHAnsi" w:cs="Arial"/>
                <w:snapToGrid w:val="0"/>
                <w:color w:val="000000"/>
                <w:sz w:val="18"/>
                <w:szCs w:val="18"/>
              </w:rPr>
            </w:pPr>
            <w:r w:rsidRPr="000171D6">
              <w:rPr>
                <w:rFonts w:asciiTheme="minorHAnsi" w:hAnsiTheme="minorHAnsi" w:cs="Arial"/>
                <w:snapToGrid w:val="0"/>
                <w:color w:val="000000"/>
                <w:sz w:val="18"/>
                <w:szCs w:val="18"/>
                <w:u w:val="single"/>
              </w:rPr>
              <w:t>Sponsor Comment:</w:t>
            </w:r>
            <w:r>
              <w:rPr>
                <w:rFonts w:asciiTheme="minorHAnsi" w:hAnsiTheme="minorHAnsi" w:cs="Arial"/>
                <w:snapToGrid w:val="0"/>
                <w:color w:val="000000"/>
                <w:sz w:val="18"/>
                <w:szCs w:val="18"/>
                <w:u w:val="single"/>
              </w:rPr>
              <w:br/>
            </w:r>
            <w:r w:rsidR="00010B32" w:rsidRPr="005306B9">
              <w:rPr>
                <w:rFonts w:asciiTheme="minorHAnsi" w:hAnsiTheme="minorHAnsi" w:cs="Arial"/>
                <w:snapToGrid w:val="0"/>
                <w:color w:val="000000"/>
                <w:sz w:val="18"/>
                <w:szCs w:val="18"/>
              </w:rPr>
              <w:t xml:space="preserve">The sponsor is extremely disappointed with the PBAC’s conclusions; </w:t>
            </w:r>
            <w:r w:rsidR="007937E7" w:rsidRPr="007937E7">
              <w:rPr>
                <w:rFonts w:asciiTheme="minorHAnsi" w:hAnsiTheme="minorHAnsi" w:cs="Arial"/>
                <w:snapToGrid w:val="0"/>
                <w:color w:val="000000"/>
                <w:sz w:val="18"/>
                <w:szCs w:val="18"/>
              </w:rPr>
              <w:t xml:space="preserve">the sponsor submitted a model which, in the sponsor’s view, was highly conservative, was consistent with PBAC advice (model structure, dose, </w:t>
            </w:r>
            <w:r w:rsidR="007937E7" w:rsidRPr="007937E7">
              <w:rPr>
                <w:rFonts w:asciiTheme="minorHAnsi" w:hAnsiTheme="minorHAnsi" w:cs="Arial"/>
                <w:snapToGrid w:val="0"/>
                <w:color w:val="000000"/>
                <w:sz w:val="18"/>
                <w:szCs w:val="18"/>
              </w:rPr>
              <w:lastRenderedPageBreak/>
              <w:t xml:space="preserve">QoL impact) and resulted in considerable bias against </w:t>
            </w:r>
            <w:proofErr w:type="spellStart"/>
            <w:r w:rsidR="007937E7" w:rsidRPr="007937E7">
              <w:rPr>
                <w:rFonts w:asciiTheme="minorHAnsi" w:hAnsiTheme="minorHAnsi" w:cs="Arial"/>
                <w:snapToGrid w:val="0"/>
                <w:color w:val="000000"/>
                <w:sz w:val="18"/>
                <w:szCs w:val="18"/>
              </w:rPr>
              <w:t>Epidyolex</w:t>
            </w:r>
            <w:proofErr w:type="spellEnd"/>
            <w:r w:rsidR="007937E7">
              <w:rPr>
                <w:rFonts w:asciiTheme="minorHAnsi" w:hAnsiTheme="minorHAnsi" w:cs="Arial"/>
                <w:snapToGrid w:val="0"/>
                <w:color w:val="000000"/>
                <w:sz w:val="18"/>
                <w:szCs w:val="18"/>
              </w:rPr>
              <w:t>.</w:t>
            </w:r>
          </w:p>
          <w:p w14:paraId="6C016F6D" w14:textId="18705291" w:rsidR="00265312" w:rsidRPr="005306B9" w:rsidRDefault="00265312" w:rsidP="00010B32">
            <w:pPr>
              <w:keepNext/>
              <w:keepLines/>
              <w:spacing w:after="120"/>
              <w:rPr>
                <w:rFonts w:asciiTheme="minorHAnsi" w:hAnsiTheme="minorHAnsi" w:cs="Arial"/>
                <w:snapToGrid w:val="0"/>
                <w:color w:val="000000"/>
                <w:sz w:val="18"/>
                <w:szCs w:val="18"/>
              </w:rPr>
            </w:pPr>
            <w:r w:rsidRPr="005306B9">
              <w:rPr>
                <w:rFonts w:asciiTheme="minorHAnsi" w:hAnsiTheme="minorHAnsi" w:cs="Arial"/>
                <w:snapToGrid w:val="0"/>
                <w:color w:val="000000"/>
                <w:sz w:val="18"/>
                <w:szCs w:val="18"/>
              </w:rPr>
              <w:t xml:space="preserve">The sponsor wishes to reiterate the impact of refractory LGS on patients and their families and reiterates the benefit </w:t>
            </w:r>
            <w:proofErr w:type="spellStart"/>
            <w:r w:rsidRPr="005306B9">
              <w:rPr>
                <w:rFonts w:asciiTheme="minorHAnsi" w:hAnsiTheme="minorHAnsi" w:cs="Arial"/>
                <w:snapToGrid w:val="0"/>
                <w:color w:val="000000"/>
                <w:sz w:val="18"/>
                <w:szCs w:val="18"/>
              </w:rPr>
              <w:t>Epidyolex</w:t>
            </w:r>
            <w:proofErr w:type="spellEnd"/>
            <w:r w:rsidRPr="005306B9">
              <w:rPr>
                <w:rFonts w:asciiTheme="minorHAnsi" w:hAnsiTheme="minorHAnsi" w:cs="Arial"/>
                <w:snapToGrid w:val="0"/>
                <w:color w:val="000000"/>
                <w:sz w:val="18"/>
                <w:szCs w:val="18"/>
              </w:rPr>
              <w:t xml:space="preserve"> offers this high need patient group</w:t>
            </w:r>
            <w:r>
              <w:rPr>
                <w:rFonts w:asciiTheme="minorHAnsi" w:hAnsiTheme="minorHAnsi" w:cs="Arial"/>
                <w:snapToGrid w:val="0"/>
                <w:color w:val="000000"/>
                <w:sz w:val="18"/>
                <w:szCs w:val="18"/>
              </w:rPr>
              <w:t>.</w:t>
            </w:r>
          </w:p>
        </w:tc>
      </w:tr>
      <w:tr w:rsidR="004A5B38" w:rsidRPr="00567D48" w14:paraId="69DB0AF7" w14:textId="77777777" w:rsidTr="00315536">
        <w:trPr>
          <w:cantSplit/>
          <w:trHeight w:val="2948"/>
        </w:trPr>
        <w:tc>
          <w:tcPr>
            <w:tcW w:w="3013" w:type="dxa"/>
            <w:shd w:val="clear" w:color="auto" w:fill="D9D9D9" w:themeFill="background1" w:themeFillShade="D9"/>
            <w:tcMar>
              <w:top w:w="28" w:type="dxa"/>
              <w:bottom w:w="28" w:type="dxa"/>
            </w:tcMar>
            <w:vAlign w:val="center"/>
          </w:tcPr>
          <w:p w14:paraId="76EEDECC" w14:textId="055FF173" w:rsidR="004A5B38" w:rsidRPr="001B15BA" w:rsidRDefault="004A5B38" w:rsidP="004A5B38">
            <w:pPr>
              <w:keepLines/>
              <w:rPr>
                <w:rFonts w:asciiTheme="minorHAnsi" w:hAnsiTheme="minorHAnsi" w:cstheme="minorHAnsi"/>
                <w:sz w:val="18"/>
                <w:szCs w:val="18"/>
              </w:rPr>
            </w:pPr>
            <w:r w:rsidRPr="001B15BA">
              <w:rPr>
                <w:rFonts w:asciiTheme="minorHAnsi" w:hAnsiTheme="minorHAnsi" w:cstheme="minorHAnsi"/>
                <w:color w:val="000000"/>
                <w:sz w:val="18"/>
                <w:szCs w:val="18"/>
              </w:rPr>
              <w:lastRenderedPageBreak/>
              <w:t>CEMIPLIMAB</w:t>
            </w:r>
            <w:r>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for I.V. infusion 350 mg in 7</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Libtayo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Sanofi-Aventis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recommended PBS listing)</w:t>
            </w:r>
          </w:p>
        </w:tc>
        <w:tc>
          <w:tcPr>
            <w:tcW w:w="2764" w:type="dxa"/>
            <w:shd w:val="clear" w:color="auto" w:fill="D9D9D9" w:themeFill="background1" w:themeFillShade="D9"/>
            <w:vAlign w:val="center"/>
          </w:tcPr>
          <w:p w14:paraId="44E62042" w14:textId="161AC2BE"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Cervical cancer</w:t>
            </w:r>
          </w:p>
        </w:tc>
        <w:tc>
          <w:tcPr>
            <w:tcW w:w="3288" w:type="dxa"/>
            <w:shd w:val="clear" w:color="auto" w:fill="D9D9D9" w:themeFill="background1" w:themeFillShade="D9"/>
            <w:tcMar>
              <w:top w:w="28" w:type="dxa"/>
              <w:bottom w:w="28" w:type="dxa"/>
            </w:tcMar>
            <w:vAlign w:val="center"/>
          </w:tcPr>
          <w:p w14:paraId="4B707066" w14:textId="49669CCB"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Section 100 (Efficient Funding of Chemotherapy Program) Authority Required listing for the treatment of patients with recurrent or metastatic cervical cancer with disease progression on or after chemotherapy.</w:t>
            </w:r>
          </w:p>
        </w:tc>
        <w:tc>
          <w:tcPr>
            <w:tcW w:w="1987" w:type="dxa"/>
            <w:shd w:val="clear" w:color="auto" w:fill="D9D9D9" w:themeFill="background1" w:themeFillShade="D9"/>
            <w:vAlign w:val="center"/>
          </w:tcPr>
          <w:p w14:paraId="3394CC87" w14:textId="0BE4C68F"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FB50F4">
              <w:rPr>
                <w:rFonts w:asciiTheme="minorHAnsi" w:hAnsiTheme="minorHAnsi" w:cstheme="minorHAnsi"/>
                <w:color w:val="000000"/>
                <w:sz w:val="18"/>
                <w:szCs w:val="18"/>
              </w:rPr>
              <w:t>Not applicable</w:t>
            </w:r>
          </w:p>
        </w:tc>
        <w:tc>
          <w:tcPr>
            <w:tcW w:w="4336" w:type="dxa"/>
            <w:gridSpan w:val="2"/>
            <w:shd w:val="clear" w:color="auto" w:fill="D9D9D9" w:themeFill="background1" w:themeFillShade="D9"/>
            <w:vAlign w:val="center"/>
          </w:tcPr>
          <w:p w14:paraId="6E7717DA" w14:textId="6C421976"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FB50F4">
              <w:rPr>
                <w:rFonts w:asciiTheme="minorHAnsi" w:hAnsiTheme="minorHAnsi" w:cstheme="minorHAnsi"/>
                <w:color w:val="000000"/>
                <w:sz w:val="18"/>
                <w:szCs w:val="18"/>
              </w:rPr>
              <w:t>This submission was withdrawn.</w:t>
            </w:r>
          </w:p>
        </w:tc>
      </w:tr>
      <w:tr w:rsidR="004A5B38" w:rsidRPr="00567D48" w14:paraId="4E8916DE" w14:textId="77777777" w:rsidTr="00315536">
        <w:trPr>
          <w:cantSplit/>
          <w:trHeight w:val="2948"/>
        </w:trPr>
        <w:tc>
          <w:tcPr>
            <w:tcW w:w="3013" w:type="dxa"/>
            <w:shd w:val="clear" w:color="auto" w:fill="D9D9D9" w:themeFill="background1" w:themeFillShade="D9"/>
            <w:tcMar>
              <w:top w:w="28" w:type="dxa"/>
              <w:bottom w:w="28" w:type="dxa"/>
            </w:tcMar>
            <w:vAlign w:val="center"/>
          </w:tcPr>
          <w:p w14:paraId="3DBA5165" w14:textId="22629DDF" w:rsidR="004A5B38" w:rsidRDefault="004A5B38" w:rsidP="004A5B38">
            <w:pPr>
              <w:keepLines/>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DAUNORUBICIN WITH CYTARABINE </w:t>
            </w:r>
          </w:p>
          <w:p w14:paraId="3C4F40E4" w14:textId="77777777" w:rsidR="004A5B38" w:rsidRPr="0036400A" w:rsidRDefault="004A5B38" w:rsidP="004A5B38">
            <w:pPr>
              <w:keepLines/>
              <w:rPr>
                <w:rFonts w:asciiTheme="minorHAnsi" w:hAnsiTheme="minorHAnsi" w:cstheme="minorHAnsi"/>
                <w:color w:val="000000"/>
                <w:sz w:val="18"/>
                <w:szCs w:val="18"/>
              </w:rPr>
            </w:pPr>
          </w:p>
          <w:p w14:paraId="2FD16EB4" w14:textId="77777777" w:rsidR="004A5B38" w:rsidRPr="0036400A" w:rsidRDefault="004A5B38" w:rsidP="004A5B38">
            <w:pPr>
              <w:keepLines/>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Powder for I.V. infusion containing </w:t>
            </w:r>
          </w:p>
          <w:p w14:paraId="1090BA9F" w14:textId="47792C3E" w:rsidR="004A5B38" w:rsidRDefault="004A5B38" w:rsidP="004A5B38">
            <w:pPr>
              <w:keepLines/>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daunorubicin 44 mg and cytarabine 100 mg </w:t>
            </w:r>
          </w:p>
          <w:p w14:paraId="0EA30FF5" w14:textId="77777777" w:rsidR="004A5B38" w:rsidRPr="0036400A" w:rsidRDefault="004A5B38" w:rsidP="004A5B38">
            <w:pPr>
              <w:keepLines/>
              <w:rPr>
                <w:rFonts w:asciiTheme="minorHAnsi" w:hAnsiTheme="minorHAnsi" w:cstheme="minorHAnsi"/>
                <w:color w:val="000000"/>
                <w:sz w:val="18"/>
                <w:szCs w:val="18"/>
              </w:rPr>
            </w:pPr>
          </w:p>
          <w:p w14:paraId="1B542754" w14:textId="20A7DDC8" w:rsidR="004A5B38" w:rsidRDefault="004A5B38" w:rsidP="004A5B38">
            <w:pPr>
              <w:keepLines/>
              <w:rPr>
                <w:rFonts w:asciiTheme="minorHAnsi" w:hAnsiTheme="minorHAnsi" w:cstheme="minorHAnsi"/>
                <w:color w:val="000000"/>
                <w:sz w:val="18"/>
                <w:szCs w:val="18"/>
              </w:rPr>
            </w:pPr>
            <w:proofErr w:type="spellStart"/>
            <w:r w:rsidRPr="0036400A">
              <w:rPr>
                <w:rFonts w:asciiTheme="minorHAnsi" w:hAnsiTheme="minorHAnsi" w:cstheme="minorHAnsi"/>
                <w:color w:val="000000"/>
                <w:sz w:val="18"/>
                <w:szCs w:val="18"/>
              </w:rPr>
              <w:t>Vyxeos</w:t>
            </w:r>
            <w:proofErr w:type="spellEnd"/>
            <w:r w:rsidRPr="0036400A">
              <w:rPr>
                <w:rFonts w:asciiTheme="minorHAnsi" w:hAnsiTheme="minorHAnsi" w:cstheme="minorHAnsi"/>
                <w:color w:val="000000"/>
                <w:sz w:val="18"/>
                <w:szCs w:val="18"/>
              </w:rPr>
              <w:t xml:space="preserve">® </w:t>
            </w:r>
          </w:p>
          <w:p w14:paraId="62F408D6" w14:textId="77777777" w:rsidR="004A5B38" w:rsidRPr="0036400A" w:rsidRDefault="004A5B38" w:rsidP="004A5B38">
            <w:pPr>
              <w:keepLines/>
              <w:rPr>
                <w:rFonts w:asciiTheme="minorHAnsi" w:hAnsiTheme="minorHAnsi" w:cstheme="minorHAnsi"/>
                <w:color w:val="000000"/>
                <w:sz w:val="18"/>
                <w:szCs w:val="18"/>
              </w:rPr>
            </w:pPr>
          </w:p>
          <w:p w14:paraId="06757286" w14:textId="62DFFA97" w:rsidR="004A5B38" w:rsidRDefault="004A5B38" w:rsidP="004A5B38">
            <w:pPr>
              <w:keepLines/>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Jazz Pharmaceuticals ANZ Pty Ltd </w:t>
            </w:r>
          </w:p>
          <w:p w14:paraId="459D5F94" w14:textId="5D0B011C" w:rsidR="004A5B38" w:rsidRDefault="004A5B38" w:rsidP="004A5B38">
            <w:pPr>
              <w:keepLines/>
              <w:rPr>
                <w:rFonts w:asciiTheme="minorHAnsi" w:hAnsiTheme="minorHAnsi" w:cstheme="minorHAnsi"/>
                <w:color w:val="000000"/>
                <w:sz w:val="18"/>
                <w:szCs w:val="18"/>
              </w:rPr>
            </w:pPr>
          </w:p>
          <w:p w14:paraId="0A368257" w14:textId="476B2BA3" w:rsidR="004A5B38" w:rsidRPr="0036400A" w:rsidRDefault="004A5B38" w:rsidP="004A5B38">
            <w:pPr>
              <w:keepLines/>
              <w:rPr>
                <w:rFonts w:asciiTheme="minorHAnsi" w:hAnsiTheme="minorHAnsi" w:cstheme="minorHAnsi"/>
                <w:color w:val="000000"/>
                <w:sz w:val="18"/>
                <w:szCs w:val="18"/>
              </w:rPr>
            </w:pPr>
            <w:r w:rsidRPr="00B35902">
              <w:rPr>
                <w:rFonts w:asciiTheme="minorHAnsi" w:hAnsiTheme="minorHAnsi" w:cstheme="minorHAnsi"/>
                <w:color w:val="000000"/>
                <w:sz w:val="18"/>
                <w:szCs w:val="18"/>
              </w:rPr>
              <w:t>Category 1</w:t>
            </w:r>
            <w:r>
              <w:rPr>
                <w:rFonts w:asciiTheme="minorHAnsi" w:hAnsiTheme="minorHAnsi" w:cstheme="minorHAnsi"/>
                <w:color w:val="000000"/>
                <w:sz w:val="18"/>
                <w:szCs w:val="18"/>
              </w:rPr>
              <w:t xml:space="preserve"> submission</w:t>
            </w:r>
          </w:p>
          <w:p w14:paraId="025554DC" w14:textId="10B54AA4" w:rsidR="004A5B38" w:rsidRPr="001B15BA" w:rsidRDefault="004A5B38" w:rsidP="004A5B38">
            <w:pPr>
              <w:keepLines/>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(New PBS listing) </w:t>
            </w:r>
          </w:p>
        </w:tc>
        <w:tc>
          <w:tcPr>
            <w:tcW w:w="2764" w:type="dxa"/>
            <w:shd w:val="clear" w:color="auto" w:fill="D9D9D9" w:themeFill="background1" w:themeFillShade="D9"/>
            <w:vAlign w:val="center"/>
          </w:tcPr>
          <w:p w14:paraId="1EA52044" w14:textId="64DC4237" w:rsidR="004A5B38" w:rsidRPr="001B15BA" w:rsidRDefault="004A5B38" w:rsidP="004A5B38">
            <w:pPr>
              <w:keepLines/>
              <w:widowControl w:val="0"/>
              <w:rPr>
                <w:rFonts w:asciiTheme="minorHAnsi" w:hAnsiTheme="minorHAnsi" w:cstheme="minorHAnsi"/>
                <w:color w:val="000000"/>
                <w:sz w:val="18"/>
                <w:szCs w:val="18"/>
              </w:rPr>
            </w:pPr>
            <w:r w:rsidRPr="0036400A">
              <w:rPr>
                <w:rFonts w:asciiTheme="minorHAnsi" w:hAnsiTheme="minorHAnsi" w:cstheme="minorHAnsi"/>
                <w:color w:val="000000"/>
                <w:sz w:val="18"/>
                <w:szCs w:val="18"/>
              </w:rPr>
              <w:t xml:space="preserve">Acute myeloid leukemia </w:t>
            </w:r>
          </w:p>
        </w:tc>
        <w:tc>
          <w:tcPr>
            <w:tcW w:w="3288" w:type="dxa"/>
            <w:shd w:val="clear" w:color="auto" w:fill="D9D9D9" w:themeFill="background1" w:themeFillShade="D9"/>
            <w:tcMar>
              <w:top w:w="28" w:type="dxa"/>
              <w:bottom w:w="28" w:type="dxa"/>
            </w:tcMar>
            <w:vAlign w:val="center"/>
          </w:tcPr>
          <w:p w14:paraId="7D56F573" w14:textId="77777777" w:rsidR="004A5B38" w:rsidRPr="00315536" w:rsidRDefault="004A5B38" w:rsidP="00315536">
            <w:pPr>
              <w:keepLines/>
              <w:rPr>
                <w:rFonts w:asciiTheme="minorHAnsi" w:hAnsiTheme="minorHAnsi" w:cstheme="minorHAnsi"/>
                <w:color w:val="000000"/>
                <w:sz w:val="18"/>
                <w:szCs w:val="18"/>
              </w:rPr>
            </w:pPr>
            <w:r w:rsidRPr="00315536">
              <w:rPr>
                <w:rFonts w:asciiTheme="minorHAnsi" w:hAnsiTheme="minorHAnsi" w:cstheme="minorHAnsi"/>
                <w:color w:val="000000"/>
                <w:sz w:val="18"/>
                <w:szCs w:val="18"/>
              </w:rPr>
              <w:t xml:space="preserve">To request a Section 100 (Efficient Funding of Chemotherapy Program) </w:t>
            </w:r>
          </w:p>
          <w:p w14:paraId="5A7BAAE5" w14:textId="5EA22937" w:rsidR="004A5B38" w:rsidRPr="00315536" w:rsidRDefault="004A5B38" w:rsidP="00315536">
            <w:pPr>
              <w:keepLines/>
              <w:rPr>
                <w:rFonts w:asciiTheme="minorHAnsi" w:hAnsiTheme="minorHAnsi" w:cstheme="minorHAnsi"/>
                <w:color w:val="000000"/>
                <w:sz w:val="18"/>
                <w:szCs w:val="18"/>
              </w:rPr>
            </w:pPr>
            <w:r w:rsidRPr="00315536">
              <w:rPr>
                <w:rFonts w:asciiTheme="minorHAnsi" w:hAnsiTheme="minorHAnsi" w:cstheme="minorHAnsi"/>
                <w:color w:val="000000"/>
                <w:sz w:val="18"/>
                <w:szCs w:val="18"/>
              </w:rPr>
              <w:t xml:space="preserve">Restricted Benefit listing for the treatment of therapy-related acute myeloid leukaemia and acute myeloid leukaemia with myelodysplasia-related </w:t>
            </w:r>
          </w:p>
          <w:p w14:paraId="3FD387DA" w14:textId="5557E743" w:rsidR="004A5B38" w:rsidRPr="001B15BA" w:rsidRDefault="004A5B38" w:rsidP="004A5B38">
            <w:pPr>
              <w:pStyle w:val="ListParagraph"/>
              <w:keepLines/>
              <w:ind w:left="0"/>
              <w:rPr>
                <w:rFonts w:asciiTheme="minorHAnsi" w:hAnsiTheme="minorHAnsi" w:cstheme="minorHAnsi"/>
                <w:color w:val="000000"/>
                <w:sz w:val="18"/>
                <w:szCs w:val="18"/>
              </w:rPr>
            </w:pPr>
            <w:r w:rsidRPr="0036400A">
              <w:rPr>
                <w:rFonts w:asciiTheme="minorHAnsi" w:hAnsiTheme="minorHAnsi" w:cstheme="minorHAnsi"/>
                <w:color w:val="000000"/>
                <w:sz w:val="18"/>
                <w:szCs w:val="18"/>
              </w:rPr>
              <w:t>changes.</w:t>
            </w:r>
          </w:p>
        </w:tc>
        <w:tc>
          <w:tcPr>
            <w:tcW w:w="1987" w:type="dxa"/>
            <w:shd w:val="clear" w:color="auto" w:fill="D9D9D9" w:themeFill="background1" w:themeFillShade="D9"/>
            <w:vAlign w:val="center"/>
          </w:tcPr>
          <w:p w14:paraId="310F9B0D" w14:textId="200C45CE" w:rsidR="004A5B38" w:rsidRPr="001B15BA" w:rsidRDefault="004A5B38" w:rsidP="004A5B38">
            <w:pPr>
              <w:pStyle w:val="ListParagraph"/>
              <w:keepLines/>
              <w:ind w:left="0"/>
              <w:rPr>
                <w:rFonts w:asciiTheme="minorHAnsi" w:hAnsiTheme="minorHAnsi" w:cstheme="minorHAnsi"/>
                <w:color w:val="000000"/>
                <w:sz w:val="18"/>
                <w:szCs w:val="18"/>
              </w:rPr>
            </w:pPr>
            <w:r w:rsidRPr="00FB50F4">
              <w:rPr>
                <w:rFonts w:asciiTheme="minorHAnsi" w:hAnsiTheme="minorHAnsi" w:cstheme="minorHAnsi"/>
                <w:color w:val="000000"/>
                <w:sz w:val="18"/>
                <w:szCs w:val="18"/>
              </w:rPr>
              <w:t>Not applicable</w:t>
            </w:r>
          </w:p>
        </w:tc>
        <w:tc>
          <w:tcPr>
            <w:tcW w:w="4336" w:type="dxa"/>
            <w:gridSpan w:val="2"/>
            <w:shd w:val="clear" w:color="auto" w:fill="D9D9D9" w:themeFill="background1" w:themeFillShade="D9"/>
            <w:vAlign w:val="center"/>
          </w:tcPr>
          <w:p w14:paraId="3EBC07EE" w14:textId="504D99D5"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FB50F4">
              <w:rPr>
                <w:rFonts w:asciiTheme="minorHAnsi" w:hAnsiTheme="minorHAnsi" w:cstheme="minorHAnsi"/>
                <w:color w:val="000000"/>
                <w:sz w:val="18"/>
                <w:szCs w:val="18"/>
              </w:rPr>
              <w:t>This submission was withdrawn.</w:t>
            </w:r>
          </w:p>
        </w:tc>
      </w:tr>
      <w:tr w:rsidR="004A5B38" w:rsidRPr="00567D48" w14:paraId="39A1B111" w14:textId="77777777" w:rsidTr="00315536">
        <w:trPr>
          <w:trHeight w:val="2948"/>
        </w:trPr>
        <w:tc>
          <w:tcPr>
            <w:tcW w:w="3013" w:type="dxa"/>
            <w:shd w:val="clear" w:color="auto" w:fill="auto"/>
            <w:tcMar>
              <w:top w:w="28" w:type="dxa"/>
              <w:bottom w:w="28" w:type="dxa"/>
            </w:tcMar>
            <w:vAlign w:val="center"/>
          </w:tcPr>
          <w:p w14:paraId="54853B43" w14:textId="77777777" w:rsidR="004A5B38" w:rsidRDefault="004A5B38" w:rsidP="004A5B38">
            <w:pPr>
              <w:keepLines/>
              <w:rPr>
                <w:rFonts w:asciiTheme="minorHAnsi" w:hAnsiTheme="minorHAnsi" w:cstheme="minorHAnsi"/>
                <w:color w:val="000000"/>
                <w:sz w:val="18"/>
                <w:szCs w:val="18"/>
              </w:rPr>
            </w:pPr>
          </w:p>
          <w:p w14:paraId="4F7312E1" w14:textId="77777777" w:rsidR="004A5B38" w:rsidRDefault="004A5B38" w:rsidP="004A5B38">
            <w:pPr>
              <w:keepLines/>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DUPILUMAB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Injection 200 mg in 1.14 mL single dose </w:t>
            </w:r>
            <w:r w:rsidRPr="001B15BA">
              <w:rPr>
                <w:rFonts w:asciiTheme="minorHAnsi" w:hAnsiTheme="minorHAnsi" w:cstheme="minorHAnsi"/>
                <w:color w:val="000000"/>
                <w:sz w:val="18"/>
                <w:szCs w:val="18"/>
              </w:rPr>
              <w:br/>
              <w:t>pre-filled syringe</w:t>
            </w:r>
            <w:r w:rsidRPr="001B15BA">
              <w:rPr>
                <w:rFonts w:asciiTheme="minorHAnsi" w:hAnsiTheme="minorHAnsi" w:cstheme="minorHAnsi"/>
                <w:color w:val="000000"/>
                <w:sz w:val="18"/>
                <w:szCs w:val="18"/>
              </w:rPr>
              <w:br/>
              <w:t xml:space="preserve">Injection 300 mg in 2 mL single dose </w:t>
            </w:r>
            <w:r w:rsidRPr="001B15BA">
              <w:rPr>
                <w:rFonts w:asciiTheme="minorHAnsi" w:hAnsiTheme="minorHAnsi" w:cstheme="minorHAnsi"/>
                <w:color w:val="000000"/>
                <w:sz w:val="18"/>
                <w:szCs w:val="18"/>
              </w:rPr>
              <w:br/>
              <w:t>pre-filled syringe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Dupixent®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Sanofi-Aventis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3</w:t>
            </w:r>
            <w:r>
              <w:rPr>
                <w:rFonts w:asciiTheme="minorHAnsi" w:hAnsiTheme="minorHAnsi" w:cstheme="minorHAnsi"/>
                <w:color w:val="000000"/>
                <w:sz w:val="18"/>
                <w:szCs w:val="18"/>
              </w:rPr>
              <w:t xml:space="preserve"> submission</w:t>
            </w:r>
            <w:r w:rsidRPr="001B15BA">
              <w:rPr>
                <w:rFonts w:asciiTheme="minorHAnsi" w:hAnsiTheme="minorHAnsi" w:cstheme="minorHAnsi"/>
                <w:color w:val="000000"/>
                <w:sz w:val="18"/>
                <w:szCs w:val="18"/>
              </w:rPr>
              <w:br/>
              <w:t>(Other matters)</w:t>
            </w:r>
          </w:p>
          <w:p w14:paraId="7D1778DF" w14:textId="0C5C63F3" w:rsidR="004A5B38" w:rsidRPr="001B15BA" w:rsidRDefault="004A5B38" w:rsidP="004A5B38">
            <w:pPr>
              <w:keepLines/>
              <w:rPr>
                <w:rFonts w:asciiTheme="minorHAnsi" w:hAnsiTheme="minorHAnsi" w:cstheme="minorHAnsi"/>
                <w:sz w:val="18"/>
                <w:szCs w:val="18"/>
                <w:highlight w:val="yellow"/>
              </w:rPr>
            </w:pPr>
          </w:p>
        </w:tc>
        <w:tc>
          <w:tcPr>
            <w:tcW w:w="2764" w:type="dxa"/>
            <w:shd w:val="clear" w:color="auto" w:fill="auto"/>
            <w:vAlign w:val="center"/>
          </w:tcPr>
          <w:p w14:paraId="08850311" w14:textId="51D7D389"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Chronic severe atopic dermatitis</w:t>
            </w:r>
          </w:p>
        </w:tc>
        <w:tc>
          <w:tcPr>
            <w:tcW w:w="3288" w:type="dxa"/>
            <w:shd w:val="clear" w:color="auto" w:fill="auto"/>
            <w:tcMar>
              <w:top w:w="28" w:type="dxa"/>
              <w:bottom w:w="28" w:type="dxa"/>
            </w:tcMar>
            <w:vAlign w:val="center"/>
          </w:tcPr>
          <w:p w14:paraId="71D366FC" w14:textId="721F6C3F"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the PBAC consider the previously estimated utilisation for chronic severe atopic dermatitis.</w:t>
            </w:r>
          </w:p>
        </w:tc>
        <w:tc>
          <w:tcPr>
            <w:tcW w:w="1987" w:type="dxa"/>
            <w:shd w:val="clear" w:color="auto" w:fill="auto"/>
            <w:vAlign w:val="center"/>
          </w:tcPr>
          <w:p w14:paraId="5622BA25" w14:textId="24406CE7"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70C0240B" w14:textId="11567FFE" w:rsidR="00AF000E" w:rsidRDefault="0081342A" w:rsidP="004A5B38">
            <w:pPr>
              <w:pStyle w:val="ListParagraph"/>
              <w:keepLines/>
              <w:ind w:left="0"/>
              <w:rPr>
                <w:rFonts w:asciiTheme="minorHAnsi" w:hAnsiTheme="minorHAnsi" w:cstheme="minorHAnsi"/>
                <w:color w:val="000000"/>
                <w:sz w:val="18"/>
                <w:szCs w:val="18"/>
              </w:rPr>
            </w:pPr>
            <w:bookmarkStart w:id="1" w:name="_Hlk111453197"/>
            <w:r w:rsidRPr="0081342A">
              <w:rPr>
                <w:rFonts w:asciiTheme="minorHAnsi" w:hAnsiTheme="minorHAnsi" w:cstheme="minorHAnsi"/>
                <w:color w:val="000000"/>
                <w:sz w:val="18"/>
                <w:szCs w:val="18"/>
              </w:rPr>
              <w:t>The PBAC advised that its previous recommendation</w:t>
            </w:r>
            <w:r w:rsidR="00AF000E" w:rsidRPr="00AF000E">
              <w:rPr>
                <w:rFonts w:asciiTheme="minorHAnsi" w:hAnsiTheme="minorHAnsi" w:cstheme="minorHAnsi"/>
                <w:color w:val="000000"/>
                <w:sz w:val="18"/>
                <w:szCs w:val="18"/>
              </w:rPr>
              <w:t>.</w:t>
            </w:r>
            <w:r w:rsidR="00703505">
              <w:t xml:space="preserve"> </w:t>
            </w:r>
            <w:r w:rsidR="00703505" w:rsidRPr="00703505">
              <w:rPr>
                <w:rFonts w:asciiTheme="minorHAnsi" w:hAnsiTheme="minorHAnsi" w:cstheme="minorHAnsi"/>
                <w:color w:val="000000"/>
                <w:sz w:val="18"/>
                <w:szCs w:val="18"/>
              </w:rPr>
              <w:t>regarding the utilisation estimates for dupilumab for the treatment of severe atopic dermatitis in adult and adolescent patients should not be amended. The PBAC considered the proposed revisions to the previously agreed assumptions informing the financial estimates, where the submission’s revised estimates were substantially higher than those previously recommended and agreed by the sponsor for listing on the PBS, were not adequately supported. The PBAC further considered that it would be premature (less than 18 months since PBS listing) to increase the agreed estimates when the available data potentially suggest that, although the initial uptake was more rapid than expected, uptake in new patients is likely to continue to reduce and utilisation over a longer time frame may be considerably less than the submission’s revised estimates.</w:t>
            </w:r>
          </w:p>
          <w:bookmarkEnd w:id="1"/>
          <w:p w14:paraId="644DC086" w14:textId="77777777" w:rsidR="00AF000E" w:rsidRPr="00315536" w:rsidRDefault="00AF000E" w:rsidP="004A5B38">
            <w:pPr>
              <w:pStyle w:val="ListParagraph"/>
              <w:keepLines/>
              <w:ind w:left="0"/>
              <w:rPr>
                <w:rFonts w:asciiTheme="minorHAnsi" w:hAnsiTheme="minorHAnsi" w:cstheme="minorHAnsi"/>
                <w:color w:val="000000"/>
                <w:sz w:val="18"/>
                <w:szCs w:val="18"/>
              </w:rPr>
            </w:pPr>
          </w:p>
          <w:p w14:paraId="2A070E02"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0D4C0D2A" w14:textId="54876DF4" w:rsidR="009A2533" w:rsidRPr="001B15BA" w:rsidRDefault="009A2533" w:rsidP="004A5B38">
            <w:pPr>
              <w:pStyle w:val="ListParagraph"/>
              <w:keepLines/>
              <w:ind w:left="0"/>
              <w:rPr>
                <w:rFonts w:asciiTheme="minorHAnsi" w:hAnsiTheme="minorHAnsi" w:cstheme="minorHAnsi"/>
                <w:color w:val="000000"/>
                <w:sz w:val="18"/>
                <w:szCs w:val="18"/>
              </w:rPr>
            </w:pPr>
            <w:r w:rsidRPr="009A2533">
              <w:rPr>
                <w:rFonts w:asciiTheme="minorHAnsi" w:hAnsiTheme="minorHAnsi" w:cstheme="minorHAnsi"/>
                <w:color w:val="000000"/>
                <w:sz w:val="18"/>
                <w:szCs w:val="18"/>
              </w:rPr>
              <w:t>The Sponsor is disappointed with this outcome and considers that, in light of the recognised challenges with estimating utilisation for the first new treatment in over 20 years in a patient population with high unmet clinical need, a revision of the current utilisation estimates is both timely and appropriate. Sanofi will continue to work with the PBAC and the Department of Health and Aged Care in good faith to resolve this matter.</w:t>
            </w:r>
          </w:p>
        </w:tc>
      </w:tr>
      <w:tr w:rsidR="004A5B38" w:rsidRPr="00567D48" w14:paraId="26F1A4E1" w14:textId="77777777" w:rsidTr="00315536">
        <w:trPr>
          <w:cantSplit/>
          <w:trHeight w:val="2948"/>
        </w:trPr>
        <w:tc>
          <w:tcPr>
            <w:tcW w:w="3013" w:type="dxa"/>
            <w:shd w:val="clear" w:color="auto" w:fill="auto"/>
            <w:tcMar>
              <w:top w:w="28" w:type="dxa"/>
              <w:bottom w:w="28" w:type="dxa"/>
            </w:tcMar>
            <w:vAlign w:val="center"/>
          </w:tcPr>
          <w:p w14:paraId="0E736B06" w14:textId="20E9B78A"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EPTINEZUMAB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100 mg in 1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Vyepti</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Lundbeck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w:t>
            </w:r>
            <w:r>
              <w:rPr>
                <w:rFonts w:asciiTheme="minorHAnsi" w:hAnsiTheme="minorHAnsi" w:cstheme="minorHAnsi"/>
                <w:color w:val="000000"/>
                <w:sz w:val="18"/>
                <w:szCs w:val="18"/>
              </w:rPr>
              <w:t xml:space="preserve">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7CDD756E" w14:textId="3EDB81C3"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Chronic migraine</w:t>
            </w:r>
          </w:p>
        </w:tc>
        <w:tc>
          <w:tcPr>
            <w:tcW w:w="3288" w:type="dxa"/>
            <w:shd w:val="clear" w:color="auto" w:fill="auto"/>
            <w:tcMar>
              <w:top w:w="28" w:type="dxa"/>
              <w:bottom w:w="28" w:type="dxa"/>
            </w:tcMar>
            <w:vAlign w:val="center"/>
          </w:tcPr>
          <w:p w14:paraId="56EEFC43" w14:textId="4F591520"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the treatment of chronic migraine.</w:t>
            </w:r>
          </w:p>
        </w:tc>
        <w:tc>
          <w:tcPr>
            <w:tcW w:w="1987" w:type="dxa"/>
            <w:shd w:val="clear" w:color="auto" w:fill="auto"/>
            <w:vAlign w:val="center"/>
          </w:tcPr>
          <w:p w14:paraId="2950878F" w14:textId="47A5B650"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116D3E09" w14:textId="133E2316"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 xml:space="preserve">The PBAC recommended the Authority Required listing of </w:t>
            </w:r>
            <w:proofErr w:type="spellStart"/>
            <w:r w:rsidRPr="00AC692A">
              <w:rPr>
                <w:rFonts w:asciiTheme="minorHAnsi" w:hAnsiTheme="minorHAnsi" w:cstheme="minorHAnsi"/>
                <w:color w:val="000000"/>
                <w:sz w:val="18"/>
                <w:szCs w:val="18"/>
              </w:rPr>
              <w:t>eptinezumab</w:t>
            </w:r>
            <w:proofErr w:type="spellEnd"/>
            <w:r w:rsidRPr="00AC692A">
              <w:rPr>
                <w:rFonts w:asciiTheme="minorHAnsi" w:hAnsiTheme="minorHAnsi" w:cstheme="minorHAnsi"/>
                <w:color w:val="000000"/>
                <w:sz w:val="18"/>
                <w:szCs w:val="18"/>
              </w:rPr>
              <w:t xml:space="preserve"> for the treatment of chronic migraine in patients who have experienced an inadequate response, </w:t>
            </w:r>
            <w:proofErr w:type="gramStart"/>
            <w:r w:rsidRPr="00AC692A">
              <w:rPr>
                <w:rFonts w:asciiTheme="minorHAnsi" w:hAnsiTheme="minorHAnsi" w:cstheme="minorHAnsi"/>
                <w:color w:val="000000"/>
                <w:sz w:val="18"/>
                <w:szCs w:val="18"/>
              </w:rPr>
              <w:t>intolerance</w:t>
            </w:r>
            <w:proofErr w:type="gramEnd"/>
            <w:r w:rsidRPr="00AC692A">
              <w:rPr>
                <w:rFonts w:asciiTheme="minorHAnsi" w:hAnsiTheme="minorHAnsi" w:cstheme="minorHAnsi"/>
                <w:color w:val="000000"/>
                <w:sz w:val="18"/>
                <w:szCs w:val="18"/>
              </w:rPr>
              <w:t xml:space="preserve"> or a contraindication to at least three prophylactic migraine medications. The PBAC’s recommendation for listing was based on, among other matters, its assessment that the cost-effectiveness of </w:t>
            </w:r>
            <w:proofErr w:type="spellStart"/>
            <w:r w:rsidRPr="00AC692A">
              <w:rPr>
                <w:rFonts w:asciiTheme="minorHAnsi" w:hAnsiTheme="minorHAnsi" w:cstheme="minorHAnsi"/>
                <w:color w:val="000000"/>
                <w:sz w:val="18"/>
                <w:szCs w:val="18"/>
              </w:rPr>
              <w:t>eptinezumab</w:t>
            </w:r>
            <w:proofErr w:type="spellEnd"/>
            <w:r w:rsidRPr="00AC692A">
              <w:rPr>
                <w:rFonts w:asciiTheme="minorHAnsi" w:hAnsiTheme="minorHAnsi" w:cstheme="minorHAnsi"/>
                <w:color w:val="000000"/>
                <w:sz w:val="18"/>
                <w:szCs w:val="18"/>
              </w:rPr>
              <w:t xml:space="preserve"> would be acceptable if it were cost-minimised against the lowest cost alternative. The PBAC considered it was appropriate for </w:t>
            </w:r>
            <w:proofErr w:type="spellStart"/>
            <w:r w:rsidRPr="00AC692A">
              <w:rPr>
                <w:rFonts w:asciiTheme="minorHAnsi" w:hAnsiTheme="minorHAnsi" w:cstheme="minorHAnsi"/>
                <w:color w:val="000000"/>
                <w:sz w:val="18"/>
                <w:szCs w:val="18"/>
              </w:rPr>
              <w:t>eptinezumab</w:t>
            </w:r>
            <w:proofErr w:type="spellEnd"/>
            <w:r w:rsidRPr="00AC692A">
              <w:rPr>
                <w:rFonts w:asciiTheme="minorHAnsi" w:hAnsiTheme="minorHAnsi" w:cstheme="minorHAnsi"/>
                <w:color w:val="000000"/>
                <w:sz w:val="18"/>
                <w:szCs w:val="18"/>
              </w:rPr>
              <w:t xml:space="preserve"> to be added to the risk sharing arrangement in place for </w:t>
            </w:r>
            <w:proofErr w:type="spellStart"/>
            <w:r w:rsidRPr="00AC692A">
              <w:rPr>
                <w:rFonts w:asciiTheme="minorHAnsi" w:hAnsiTheme="minorHAnsi" w:cstheme="minorHAnsi"/>
                <w:color w:val="000000"/>
                <w:sz w:val="18"/>
                <w:szCs w:val="18"/>
              </w:rPr>
              <w:t>galcanezumab</w:t>
            </w:r>
            <w:proofErr w:type="spellEnd"/>
            <w:r w:rsidRPr="00AC692A">
              <w:rPr>
                <w:rFonts w:asciiTheme="minorHAnsi" w:hAnsiTheme="minorHAnsi" w:cstheme="minorHAnsi"/>
                <w:color w:val="000000"/>
                <w:sz w:val="18"/>
                <w:szCs w:val="18"/>
              </w:rPr>
              <w:t xml:space="preserve"> and </w:t>
            </w:r>
            <w:proofErr w:type="spellStart"/>
            <w:r w:rsidRPr="00AC692A">
              <w:rPr>
                <w:rFonts w:asciiTheme="minorHAnsi" w:hAnsiTheme="minorHAnsi" w:cstheme="minorHAnsi"/>
                <w:color w:val="000000"/>
                <w:sz w:val="18"/>
                <w:szCs w:val="18"/>
              </w:rPr>
              <w:t>fremanezumab</w:t>
            </w:r>
            <w:proofErr w:type="spellEnd"/>
            <w:r w:rsidRPr="00AC692A">
              <w:rPr>
                <w:rFonts w:asciiTheme="minorHAnsi" w:hAnsiTheme="minorHAnsi" w:cstheme="minorHAnsi"/>
                <w:color w:val="000000"/>
                <w:sz w:val="18"/>
                <w:szCs w:val="18"/>
              </w:rPr>
              <w:t xml:space="preserve"> with no increase in expenditure caps.</w:t>
            </w:r>
          </w:p>
        </w:tc>
      </w:tr>
      <w:tr w:rsidR="004A5B38" w:rsidRPr="00567D48" w14:paraId="2548894E" w14:textId="77777777" w:rsidTr="00315536">
        <w:trPr>
          <w:cantSplit/>
          <w:trHeight w:val="2948"/>
        </w:trPr>
        <w:tc>
          <w:tcPr>
            <w:tcW w:w="3013" w:type="dxa"/>
            <w:shd w:val="clear" w:color="auto" w:fill="auto"/>
            <w:tcMar>
              <w:top w:w="28" w:type="dxa"/>
              <w:bottom w:w="28" w:type="dxa"/>
            </w:tcMar>
            <w:vAlign w:val="center"/>
          </w:tcPr>
          <w:p w14:paraId="0B7E3248" w14:textId="3276E61A"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ESKETAMINE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Nasal spray solution 28 mg in 0.2</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Spravato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Janssen-</w:t>
            </w:r>
            <w:proofErr w:type="spellStart"/>
            <w:r w:rsidRPr="001B15BA">
              <w:rPr>
                <w:rFonts w:asciiTheme="minorHAnsi" w:hAnsiTheme="minorHAnsi" w:cstheme="minorHAnsi"/>
                <w:color w:val="000000"/>
                <w:sz w:val="18"/>
                <w:szCs w:val="18"/>
              </w:rPr>
              <w:t>Cilag</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Standard re-entry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035BAAF8" w14:textId="24A95470"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Depression</w:t>
            </w:r>
          </w:p>
        </w:tc>
        <w:tc>
          <w:tcPr>
            <w:tcW w:w="3288" w:type="dxa"/>
            <w:shd w:val="clear" w:color="auto" w:fill="auto"/>
            <w:tcMar>
              <w:top w:w="28" w:type="dxa"/>
              <w:bottom w:w="28" w:type="dxa"/>
            </w:tcMar>
            <w:vAlign w:val="center"/>
          </w:tcPr>
          <w:p w14:paraId="6EBA99A6" w14:textId="50DF921F"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Resubmission to request a Section 100 (Highly Specialised Drugs Program) Authority Required listing for the treatment of treatment-resistant depression.</w:t>
            </w:r>
          </w:p>
        </w:tc>
        <w:tc>
          <w:tcPr>
            <w:tcW w:w="1987" w:type="dxa"/>
            <w:shd w:val="clear" w:color="auto" w:fill="auto"/>
            <w:vAlign w:val="center"/>
          </w:tcPr>
          <w:p w14:paraId="07A55FEE" w14:textId="0814BF8A"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7F1A7267" w14:textId="1A5D54D0" w:rsidR="00AF000E" w:rsidRPr="00AF000E" w:rsidRDefault="00AF000E" w:rsidP="00AF000E">
            <w:pPr>
              <w:snapToGrid w:val="0"/>
              <w:spacing w:after="120"/>
              <w:rPr>
                <w:rFonts w:asciiTheme="minorHAnsi" w:hAnsiTheme="minorHAnsi" w:cstheme="minorHAnsi"/>
                <w:sz w:val="18"/>
                <w:szCs w:val="18"/>
              </w:rPr>
            </w:pPr>
            <w:r w:rsidRPr="00AF000E">
              <w:rPr>
                <w:rFonts w:asciiTheme="minorHAnsi" w:hAnsiTheme="minorHAnsi" w:cstheme="minorHAnsi"/>
                <w:sz w:val="18"/>
                <w:szCs w:val="18"/>
              </w:rPr>
              <w:t xml:space="preserve">The PBAC did not recommend the PBS listing of </w:t>
            </w:r>
            <w:proofErr w:type="spellStart"/>
            <w:r w:rsidRPr="00AF000E">
              <w:rPr>
                <w:rFonts w:asciiTheme="minorHAnsi" w:hAnsiTheme="minorHAnsi" w:cstheme="minorHAnsi"/>
                <w:sz w:val="18"/>
                <w:szCs w:val="18"/>
              </w:rPr>
              <w:t>esketamine</w:t>
            </w:r>
            <w:proofErr w:type="spellEnd"/>
            <w:r w:rsidRPr="00AF000E">
              <w:rPr>
                <w:rFonts w:asciiTheme="minorHAnsi" w:hAnsiTheme="minorHAnsi" w:cstheme="minorHAnsi"/>
                <w:sz w:val="18"/>
                <w:szCs w:val="18"/>
              </w:rPr>
              <w:t xml:space="preserve"> for the treatment of treatment-resistant depression (TRD), in patients who have failed at least two prior oral antidepressants (OADs). The </w:t>
            </w:r>
            <w:r w:rsidR="006538F2">
              <w:rPr>
                <w:rFonts w:asciiTheme="minorHAnsi" w:hAnsiTheme="minorHAnsi" w:cstheme="minorHAnsi"/>
                <w:sz w:val="18"/>
                <w:szCs w:val="18"/>
              </w:rPr>
              <w:t xml:space="preserve">PBAC </w:t>
            </w:r>
            <w:r w:rsidRPr="00AF000E">
              <w:rPr>
                <w:rFonts w:asciiTheme="minorHAnsi" w:hAnsiTheme="minorHAnsi" w:cstheme="minorHAnsi"/>
                <w:sz w:val="18"/>
                <w:szCs w:val="18"/>
              </w:rPr>
              <w:t>considered there was a moderate to high clinical need for alternative treatment options for TRD, however considered a number of issues remained unresolved in the resubmission, including the wording of the restriction, when it would be appropriate to reduce or discontinue treatment, structure and inputs to the economic model and substantially overestimated financial impact.</w:t>
            </w:r>
          </w:p>
          <w:p w14:paraId="34A3E349"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PBAC acknowledged that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may be an appropriate treatment option after an inadequate response to only two prior OADs for some patients; however, considered that for most patients,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should be considered after additional options had been trialled or considered. </w:t>
            </w:r>
          </w:p>
          <w:p w14:paraId="0E5349C1" w14:textId="77777777" w:rsidR="00AF000E" w:rsidRPr="00AF000E" w:rsidRDefault="00AF000E" w:rsidP="00AF000E">
            <w:pPr>
              <w:snapToGrid w:val="0"/>
              <w:spacing w:after="120"/>
              <w:rPr>
                <w:rFonts w:asciiTheme="minorHAnsi" w:hAnsiTheme="minorHAnsi" w:cstheme="minorHAnsi"/>
                <w:sz w:val="18"/>
                <w:szCs w:val="18"/>
              </w:rPr>
            </w:pPr>
            <w:r w:rsidRPr="00AF000E">
              <w:rPr>
                <w:rFonts w:asciiTheme="minorHAnsi" w:hAnsiTheme="minorHAnsi" w:cstheme="minorHAnsi"/>
                <w:sz w:val="18"/>
                <w:szCs w:val="18"/>
              </w:rPr>
              <w:t xml:space="preserve">The PBAC acknowledged the input from patients, </w:t>
            </w:r>
            <w:proofErr w:type="gramStart"/>
            <w:r w:rsidRPr="00AF000E">
              <w:rPr>
                <w:rFonts w:asciiTheme="minorHAnsi" w:hAnsiTheme="minorHAnsi" w:cstheme="minorHAnsi"/>
                <w:sz w:val="18"/>
                <w:szCs w:val="18"/>
              </w:rPr>
              <w:t>clinicians</w:t>
            </w:r>
            <w:proofErr w:type="gramEnd"/>
            <w:r w:rsidRPr="00AF000E">
              <w:rPr>
                <w:rFonts w:asciiTheme="minorHAnsi" w:hAnsiTheme="minorHAnsi" w:cstheme="minorHAnsi"/>
                <w:sz w:val="18"/>
                <w:szCs w:val="18"/>
              </w:rPr>
              <w:t xml:space="preserve"> and organisations, many of whom highlighted the severe impacts of TRD on everyday life and described how </w:t>
            </w:r>
            <w:proofErr w:type="spellStart"/>
            <w:r w:rsidRPr="00AF000E">
              <w:rPr>
                <w:rFonts w:asciiTheme="minorHAnsi" w:hAnsiTheme="minorHAnsi" w:cstheme="minorHAnsi"/>
                <w:sz w:val="18"/>
                <w:szCs w:val="18"/>
              </w:rPr>
              <w:t>esketamine</w:t>
            </w:r>
            <w:proofErr w:type="spellEnd"/>
            <w:r w:rsidRPr="00AF000E">
              <w:rPr>
                <w:rFonts w:asciiTheme="minorHAnsi" w:hAnsiTheme="minorHAnsi" w:cstheme="minorHAnsi"/>
                <w:sz w:val="18"/>
                <w:szCs w:val="18"/>
              </w:rPr>
              <w:t xml:space="preserve"> (and ketamine) treatment had been transformative and restored hope in their lives. </w:t>
            </w:r>
          </w:p>
          <w:p w14:paraId="2C41299C"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previous submission was considered in July 2021. </w:t>
            </w:r>
          </w:p>
          <w:p w14:paraId="5AE61DDC"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The PBAC nominated the standard re-entry pathway for this item.</w:t>
            </w:r>
          </w:p>
          <w:p w14:paraId="4914791B" w14:textId="77777777" w:rsidR="00AF000E" w:rsidRPr="00AF000E" w:rsidRDefault="00AF000E" w:rsidP="00AF000E">
            <w:pPr>
              <w:snapToGrid w:val="0"/>
              <w:spacing w:after="120"/>
              <w:rPr>
                <w:rFonts w:asciiTheme="minorHAnsi" w:hAnsiTheme="minorHAnsi" w:cstheme="minorHAnsi"/>
                <w:sz w:val="18"/>
                <w:szCs w:val="18"/>
                <w:u w:val="single"/>
                <w:lang w:val="en-GB" w:eastAsia="en-US"/>
              </w:rPr>
            </w:pPr>
            <w:r w:rsidRPr="00AF000E">
              <w:rPr>
                <w:rFonts w:asciiTheme="minorHAnsi" w:hAnsiTheme="minorHAnsi" w:cstheme="minorHAnsi"/>
                <w:sz w:val="18"/>
                <w:szCs w:val="18"/>
                <w:u w:val="single"/>
                <w:lang w:val="en-GB" w:eastAsia="en-US"/>
              </w:rPr>
              <w:t xml:space="preserve">Comparator: Placebo (+ a new OAD) </w:t>
            </w:r>
          </w:p>
          <w:p w14:paraId="3176E823" w14:textId="095E56C5"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The PBAC reaffirmed its previously expressed view (in July 2021) that the nominated comparator</w:t>
            </w:r>
            <w:r w:rsidR="00C02B42">
              <w:rPr>
                <w:rFonts w:asciiTheme="minorHAnsi" w:hAnsiTheme="minorHAnsi" w:cstheme="minorHAnsi"/>
                <w:sz w:val="18"/>
                <w:szCs w:val="18"/>
                <w:lang w:val="en-GB" w:eastAsia="en-US"/>
              </w:rPr>
              <w:t xml:space="preserve"> </w:t>
            </w:r>
            <w:r w:rsidR="00C02B42" w:rsidRPr="00C02B42">
              <w:rPr>
                <w:rFonts w:asciiTheme="minorHAnsi" w:hAnsiTheme="minorHAnsi" w:cstheme="minorHAnsi"/>
                <w:sz w:val="18"/>
                <w:szCs w:val="18"/>
                <w:lang w:val="en-GB" w:eastAsia="en-US"/>
              </w:rPr>
              <w:t>was reasonable</w:t>
            </w:r>
            <w:r w:rsidRPr="00AF000E">
              <w:rPr>
                <w:rFonts w:asciiTheme="minorHAnsi" w:hAnsiTheme="minorHAnsi" w:cstheme="minorHAnsi"/>
                <w:sz w:val="18"/>
                <w:szCs w:val="18"/>
                <w:lang w:val="en-GB" w:eastAsia="en-US"/>
              </w:rPr>
              <w:t>.</w:t>
            </w:r>
          </w:p>
          <w:p w14:paraId="39B44CB3" w14:textId="77777777" w:rsidR="00AF000E" w:rsidRPr="00AF000E" w:rsidRDefault="00AF000E" w:rsidP="00AF000E">
            <w:pPr>
              <w:snapToGrid w:val="0"/>
              <w:spacing w:after="120"/>
              <w:rPr>
                <w:rFonts w:asciiTheme="minorHAnsi" w:hAnsiTheme="minorHAnsi" w:cstheme="minorHAnsi"/>
                <w:sz w:val="18"/>
                <w:szCs w:val="18"/>
                <w:u w:val="single"/>
                <w:lang w:val="en-GB" w:eastAsia="en-US"/>
              </w:rPr>
            </w:pPr>
            <w:r w:rsidRPr="00AF000E">
              <w:rPr>
                <w:rFonts w:asciiTheme="minorHAnsi" w:hAnsiTheme="minorHAnsi" w:cstheme="minorHAnsi"/>
                <w:sz w:val="18"/>
                <w:szCs w:val="18"/>
                <w:u w:val="single"/>
                <w:lang w:val="en-GB" w:eastAsia="en-US"/>
              </w:rPr>
              <w:t>Clinical claim: superior effectiveness and inferior safety compared with placebo (+ a new OAD)</w:t>
            </w:r>
          </w:p>
          <w:p w14:paraId="54EF3B87"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The PBAC noted no new clinical evidence was provided in the resubmission.</w:t>
            </w:r>
          </w:p>
          <w:p w14:paraId="78CB9556"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lastRenderedPageBreak/>
              <w:t xml:space="preserve">The PBAC considered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likely provided at least a moderate benefit for some patients, however considered that for a proportion of patients there may be no clinical benefit from treatment with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with added toxicity.</w:t>
            </w:r>
          </w:p>
          <w:p w14:paraId="352D08A4" w14:textId="77777777" w:rsidR="00AF000E" w:rsidRPr="00AF000E" w:rsidRDefault="00AF000E" w:rsidP="00AF000E">
            <w:pPr>
              <w:snapToGrid w:val="0"/>
              <w:spacing w:after="120"/>
              <w:rPr>
                <w:rFonts w:asciiTheme="minorHAnsi" w:hAnsiTheme="minorHAnsi" w:cstheme="minorHAnsi"/>
                <w:sz w:val="18"/>
                <w:szCs w:val="18"/>
                <w:u w:val="single"/>
                <w:lang w:val="en-GB" w:eastAsia="en-US"/>
              </w:rPr>
            </w:pPr>
            <w:r w:rsidRPr="00AF000E">
              <w:rPr>
                <w:rFonts w:asciiTheme="minorHAnsi" w:hAnsiTheme="minorHAnsi" w:cstheme="minorHAnsi"/>
                <w:sz w:val="18"/>
                <w:szCs w:val="18"/>
                <w:u w:val="single"/>
                <w:lang w:val="en-GB" w:eastAsia="en-US"/>
              </w:rPr>
              <w:t>Economic claim: cost-utility versus placebo</w:t>
            </w:r>
          </w:p>
          <w:p w14:paraId="1BB153EC" w14:textId="77777777" w:rsidR="00AF000E" w:rsidRPr="00AF000E" w:rsidRDefault="00AF000E" w:rsidP="00AF000E">
            <w:pPr>
              <w:snapToGrid w:val="0"/>
              <w:spacing w:after="120"/>
              <w:rPr>
                <w:rFonts w:asciiTheme="minorHAnsi" w:hAnsiTheme="minorHAnsi" w:cstheme="minorHAnsi"/>
                <w:sz w:val="18"/>
                <w:szCs w:val="18"/>
                <w:lang w:val="en-GB"/>
              </w:rPr>
            </w:pPr>
            <w:r w:rsidRPr="00AF000E">
              <w:rPr>
                <w:rFonts w:asciiTheme="minorHAnsi" w:hAnsiTheme="minorHAnsi" w:cstheme="minorHAnsi"/>
                <w:sz w:val="18"/>
                <w:szCs w:val="18"/>
                <w:lang w:val="en-GB"/>
              </w:rPr>
              <w:t xml:space="preserve">The PBAC noted a number of key changes were made to the economic model based on the previous </w:t>
            </w:r>
            <w:proofErr w:type="gramStart"/>
            <w:r w:rsidRPr="00AF000E">
              <w:rPr>
                <w:rFonts w:asciiTheme="minorHAnsi" w:hAnsiTheme="minorHAnsi" w:cstheme="minorHAnsi"/>
                <w:sz w:val="18"/>
                <w:szCs w:val="18"/>
                <w:lang w:val="en-GB"/>
              </w:rPr>
              <w:t>consideration</w:t>
            </w:r>
            <w:proofErr w:type="gramEnd"/>
            <w:r w:rsidRPr="00AF000E">
              <w:rPr>
                <w:rFonts w:asciiTheme="minorHAnsi" w:hAnsiTheme="minorHAnsi" w:cstheme="minorHAnsi"/>
                <w:sz w:val="18"/>
                <w:szCs w:val="18"/>
                <w:lang w:val="en-GB"/>
              </w:rPr>
              <w:t xml:space="preserve"> but a number of issues remained outstanding. </w:t>
            </w:r>
          </w:p>
          <w:p w14:paraId="7CED3E20" w14:textId="77777777" w:rsidR="00AF000E" w:rsidRPr="00AF000E" w:rsidRDefault="00AF000E" w:rsidP="00AF000E">
            <w:pPr>
              <w:snapToGrid w:val="0"/>
              <w:spacing w:after="120"/>
              <w:rPr>
                <w:rFonts w:asciiTheme="minorHAnsi" w:hAnsiTheme="minorHAnsi" w:cstheme="minorHAnsi"/>
                <w:sz w:val="18"/>
                <w:szCs w:val="18"/>
                <w:lang w:val="en-GB"/>
              </w:rPr>
            </w:pPr>
            <w:r w:rsidRPr="00AF000E">
              <w:rPr>
                <w:rFonts w:asciiTheme="minorHAnsi" w:hAnsiTheme="minorHAnsi" w:cstheme="minorHAnsi"/>
                <w:sz w:val="18"/>
                <w:szCs w:val="18"/>
                <w:lang w:val="en-GB"/>
              </w:rPr>
              <w:t>The PBAC noted the base case economic model in the resubmission resulted in an ICER of $45,000 to &lt; $55,000 per QALY gained.</w:t>
            </w:r>
          </w:p>
          <w:p w14:paraId="34755713" w14:textId="0970FEE7" w:rsidR="00AF000E" w:rsidRPr="00AF000E" w:rsidRDefault="00AF000E" w:rsidP="00AF000E">
            <w:pPr>
              <w:snapToGrid w:val="0"/>
              <w:spacing w:after="120"/>
              <w:rPr>
                <w:rFonts w:asciiTheme="minorHAnsi" w:hAnsiTheme="minorHAnsi" w:cstheme="minorHAnsi"/>
                <w:sz w:val="18"/>
                <w:szCs w:val="18"/>
                <w:lang w:val="en-GB"/>
              </w:rPr>
            </w:pPr>
            <w:r w:rsidRPr="00AF000E">
              <w:rPr>
                <w:rFonts w:asciiTheme="minorHAnsi" w:hAnsiTheme="minorHAnsi" w:cstheme="minorHAnsi"/>
                <w:sz w:val="18"/>
                <w:szCs w:val="18"/>
                <w:lang w:val="en-GB"/>
              </w:rPr>
              <w:t xml:space="preserve">The PBAC noted the results were sensitive to </w:t>
            </w:r>
            <w:proofErr w:type="gramStart"/>
            <w:r w:rsidRPr="00AF000E">
              <w:rPr>
                <w:rFonts w:asciiTheme="minorHAnsi" w:hAnsiTheme="minorHAnsi" w:cstheme="minorHAnsi"/>
                <w:sz w:val="18"/>
                <w:szCs w:val="18"/>
                <w:lang w:val="en-GB"/>
              </w:rPr>
              <w:t>a number of</w:t>
            </w:r>
            <w:proofErr w:type="gramEnd"/>
            <w:r w:rsidRPr="00AF000E">
              <w:rPr>
                <w:rFonts w:asciiTheme="minorHAnsi" w:hAnsiTheme="minorHAnsi" w:cstheme="minorHAnsi"/>
                <w:sz w:val="18"/>
                <w:szCs w:val="18"/>
                <w:lang w:val="en-GB"/>
              </w:rPr>
              <w:t xml:space="preserve"> inputs and assumptions and sensitivity analyses resulted in a very wide range of ICERs. The PBAC considered the cost effectiveness of </w:t>
            </w:r>
            <w:proofErr w:type="spellStart"/>
            <w:r w:rsidRPr="00AF000E">
              <w:rPr>
                <w:rFonts w:asciiTheme="minorHAnsi" w:hAnsiTheme="minorHAnsi" w:cstheme="minorHAnsi"/>
                <w:sz w:val="18"/>
                <w:szCs w:val="18"/>
                <w:lang w:val="en-GB"/>
              </w:rPr>
              <w:t>esketamine</w:t>
            </w:r>
            <w:proofErr w:type="spellEnd"/>
            <w:r w:rsidRPr="00AF000E">
              <w:rPr>
                <w:rFonts w:asciiTheme="minorHAnsi" w:hAnsiTheme="minorHAnsi" w:cstheme="minorHAnsi"/>
                <w:sz w:val="18"/>
                <w:szCs w:val="18"/>
                <w:lang w:val="en-GB"/>
              </w:rPr>
              <w:t xml:space="preserve"> remained highly uncertain and not cost-effective. </w:t>
            </w:r>
          </w:p>
          <w:p w14:paraId="149A3AB6" w14:textId="77777777" w:rsidR="00AF000E" w:rsidRPr="00AF000E" w:rsidRDefault="00AF000E" w:rsidP="00AF000E">
            <w:pPr>
              <w:snapToGrid w:val="0"/>
              <w:spacing w:after="120"/>
              <w:rPr>
                <w:rFonts w:asciiTheme="minorHAnsi" w:hAnsiTheme="minorHAnsi" w:cstheme="minorHAnsi"/>
                <w:sz w:val="18"/>
                <w:szCs w:val="18"/>
                <w:lang w:val="en-GB"/>
              </w:rPr>
            </w:pPr>
            <w:r w:rsidRPr="00AF000E">
              <w:rPr>
                <w:rFonts w:asciiTheme="minorHAnsi" w:hAnsiTheme="minorHAnsi" w:cstheme="minorHAnsi"/>
                <w:sz w:val="18"/>
                <w:szCs w:val="18"/>
                <w:lang w:val="en-GB"/>
              </w:rPr>
              <w:t xml:space="preserve">The PBAC noted the cost of administration of </w:t>
            </w:r>
            <w:proofErr w:type="spellStart"/>
            <w:r w:rsidRPr="00AF000E">
              <w:rPr>
                <w:rFonts w:asciiTheme="minorHAnsi" w:hAnsiTheme="minorHAnsi" w:cstheme="minorHAnsi"/>
                <w:sz w:val="18"/>
                <w:szCs w:val="18"/>
                <w:lang w:val="en-GB"/>
              </w:rPr>
              <w:t>esketemine</w:t>
            </w:r>
            <w:proofErr w:type="spellEnd"/>
            <w:r w:rsidRPr="00AF000E">
              <w:rPr>
                <w:rFonts w:asciiTheme="minorHAnsi" w:hAnsiTheme="minorHAnsi" w:cstheme="minorHAnsi"/>
                <w:sz w:val="18"/>
                <w:szCs w:val="18"/>
                <w:lang w:val="en-GB"/>
              </w:rPr>
              <w:t xml:space="preserve"> remained highly uncertain, particularly in the absence of an MBS item or alternative method to estimate the cost of administration and monitoring in practice.</w:t>
            </w:r>
          </w:p>
          <w:p w14:paraId="7BCB248A" w14:textId="77777777" w:rsidR="00AF000E" w:rsidRPr="00AF000E" w:rsidRDefault="00AF000E" w:rsidP="00AF000E">
            <w:pPr>
              <w:snapToGrid w:val="0"/>
              <w:spacing w:after="120"/>
              <w:rPr>
                <w:rFonts w:asciiTheme="minorHAnsi" w:hAnsiTheme="minorHAnsi" w:cstheme="minorHAnsi"/>
                <w:sz w:val="18"/>
                <w:szCs w:val="18"/>
                <w:u w:val="single"/>
                <w:lang w:val="en-GB" w:eastAsia="en-US"/>
              </w:rPr>
            </w:pPr>
            <w:r w:rsidRPr="00AF000E">
              <w:rPr>
                <w:rFonts w:asciiTheme="minorHAnsi" w:hAnsiTheme="minorHAnsi" w:cstheme="minorHAnsi"/>
                <w:sz w:val="18"/>
                <w:szCs w:val="18"/>
                <w:u w:val="single"/>
                <w:lang w:val="en-GB" w:eastAsia="en-US"/>
              </w:rPr>
              <w:t xml:space="preserve">Utilisation of </w:t>
            </w:r>
            <w:proofErr w:type="spellStart"/>
            <w:r w:rsidRPr="00AF000E">
              <w:rPr>
                <w:rFonts w:asciiTheme="minorHAnsi" w:hAnsiTheme="minorHAnsi" w:cstheme="minorHAnsi"/>
                <w:sz w:val="18"/>
                <w:szCs w:val="18"/>
                <w:u w:val="single"/>
                <w:lang w:val="en-GB" w:eastAsia="en-US"/>
              </w:rPr>
              <w:t>esketemine</w:t>
            </w:r>
            <w:proofErr w:type="spellEnd"/>
            <w:r w:rsidRPr="00AF000E">
              <w:rPr>
                <w:rFonts w:asciiTheme="minorHAnsi" w:hAnsiTheme="minorHAnsi" w:cstheme="minorHAnsi"/>
                <w:sz w:val="18"/>
                <w:szCs w:val="18"/>
                <w:u w:val="single"/>
                <w:lang w:val="en-GB" w:eastAsia="en-US"/>
              </w:rPr>
              <w:t xml:space="preserve"> in practice and equity of access issues:</w:t>
            </w:r>
          </w:p>
          <w:p w14:paraId="3B45CCD3"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PBAC noted the net cost to the PBS/ RPBS of listing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was estimated to be $500 million to &lt; 600 million over the first six years of listing.</w:t>
            </w:r>
          </w:p>
          <w:p w14:paraId="7FCF9CE1"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PBAC noted the resubmission estimated 500 to &lt; 5,000 patients would initiate treatment with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in year 1, increasing to 500 to &lt; 5,000 in year 2 and 5,000 to &lt; 10,000 in year 6</w:t>
            </w:r>
          </w:p>
          <w:p w14:paraId="5AC268F6" w14:textId="6ABABF90"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PBAC considered the estimated number of patients likely to initiate treatment with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xml:space="preserve"> was not </w:t>
            </w:r>
            <w:r w:rsidRPr="00AF000E">
              <w:rPr>
                <w:rFonts w:asciiTheme="minorHAnsi" w:hAnsiTheme="minorHAnsi" w:cstheme="minorHAnsi"/>
                <w:sz w:val="18"/>
                <w:szCs w:val="18"/>
                <w:lang w:val="en-GB" w:eastAsia="en-US"/>
              </w:rPr>
              <w:lastRenderedPageBreak/>
              <w:t>well justified and likely to be substantially overestimated.</w:t>
            </w:r>
          </w:p>
          <w:p w14:paraId="6F417DB5" w14:textId="77777777" w:rsidR="00AF000E" w:rsidRPr="00AF000E" w:rsidRDefault="00AF000E" w:rsidP="00AF000E">
            <w:pPr>
              <w:snapToGrid w:val="0"/>
              <w:spacing w:after="120"/>
              <w:rPr>
                <w:rFonts w:asciiTheme="minorHAnsi" w:hAnsiTheme="minorHAnsi" w:cstheme="minorHAnsi"/>
                <w:sz w:val="18"/>
                <w:szCs w:val="18"/>
                <w:lang w:val="en-GB" w:eastAsia="en-US"/>
              </w:rPr>
            </w:pPr>
            <w:r w:rsidRPr="00AF000E">
              <w:rPr>
                <w:rFonts w:asciiTheme="minorHAnsi" w:hAnsiTheme="minorHAnsi" w:cstheme="minorHAnsi"/>
                <w:sz w:val="18"/>
                <w:szCs w:val="18"/>
                <w:lang w:val="en-GB" w:eastAsia="en-US"/>
              </w:rPr>
              <w:t xml:space="preserve">The PBAC noted </w:t>
            </w:r>
            <w:proofErr w:type="gramStart"/>
            <w:r w:rsidRPr="00AF000E">
              <w:rPr>
                <w:rFonts w:asciiTheme="minorHAnsi" w:hAnsiTheme="minorHAnsi" w:cstheme="minorHAnsi"/>
                <w:sz w:val="18"/>
                <w:szCs w:val="18"/>
                <w:lang w:val="en-GB" w:eastAsia="en-US"/>
              </w:rPr>
              <w:t>a number of</w:t>
            </w:r>
            <w:proofErr w:type="gramEnd"/>
            <w:r w:rsidRPr="00AF000E">
              <w:rPr>
                <w:rFonts w:asciiTheme="minorHAnsi" w:hAnsiTheme="minorHAnsi" w:cstheme="minorHAnsi"/>
                <w:sz w:val="18"/>
                <w:szCs w:val="18"/>
                <w:lang w:val="en-GB" w:eastAsia="en-US"/>
              </w:rPr>
              <w:t xml:space="preserve"> aspects of treatment, including access to psychiatrists, access to accredited treatment centres, patient reluctance given the monitoring requirements and nature of the treatment and out of pocket costs, may limit the uptake of </w:t>
            </w:r>
            <w:proofErr w:type="spellStart"/>
            <w:r w:rsidRPr="00AF000E">
              <w:rPr>
                <w:rFonts w:asciiTheme="minorHAnsi" w:hAnsiTheme="minorHAnsi" w:cstheme="minorHAnsi"/>
                <w:sz w:val="18"/>
                <w:szCs w:val="18"/>
                <w:lang w:val="en-GB" w:eastAsia="en-US"/>
              </w:rPr>
              <w:t>esketamine</w:t>
            </w:r>
            <w:proofErr w:type="spellEnd"/>
            <w:r w:rsidRPr="00AF000E">
              <w:rPr>
                <w:rFonts w:asciiTheme="minorHAnsi" w:hAnsiTheme="minorHAnsi" w:cstheme="minorHAnsi"/>
                <w:sz w:val="18"/>
                <w:szCs w:val="18"/>
                <w:lang w:val="en-GB" w:eastAsia="en-US"/>
              </w:rPr>
              <w:t>. Additionally, the PBAC noted the estimated eligible patient population was based on the minimum prior exposure (i.e., at least two prior OADs) rather than the expected prior exposure (i.e., two to five prior OADs) which would overestimate the eligible population.</w:t>
            </w:r>
          </w:p>
          <w:p w14:paraId="3E806883" w14:textId="77777777" w:rsidR="00AF000E" w:rsidRPr="00AF000E" w:rsidRDefault="00AF000E" w:rsidP="00AF000E">
            <w:pPr>
              <w:keepLines/>
              <w:jc w:val="both"/>
              <w:rPr>
                <w:rFonts w:asciiTheme="minorHAnsi" w:eastAsia="SimSun" w:hAnsiTheme="minorHAnsi" w:cstheme="minorHAnsi"/>
                <w:snapToGrid w:val="0"/>
                <w:color w:val="000000"/>
                <w:sz w:val="18"/>
                <w:szCs w:val="18"/>
                <w:lang w:val="en-GB"/>
              </w:rPr>
            </w:pPr>
            <w:r w:rsidRPr="00AF000E">
              <w:rPr>
                <w:rFonts w:asciiTheme="minorHAnsi" w:eastAsia="SimSun" w:hAnsiTheme="minorHAnsi" w:cstheme="minorHAnsi"/>
                <w:snapToGrid w:val="0"/>
                <w:color w:val="000000"/>
                <w:sz w:val="18"/>
                <w:szCs w:val="18"/>
                <w:lang w:val="en-GB"/>
              </w:rPr>
              <w:t xml:space="preserve">The PBAC considered it would be appropriate for a stakeholder meeting to be convened to further refine the PBS restriction, discuss potential issues related to access, discuss the likely extent of </w:t>
            </w:r>
            <w:proofErr w:type="gramStart"/>
            <w:r w:rsidRPr="00AF000E">
              <w:rPr>
                <w:rFonts w:asciiTheme="minorHAnsi" w:eastAsia="SimSun" w:hAnsiTheme="minorHAnsi" w:cstheme="minorHAnsi"/>
                <w:snapToGrid w:val="0"/>
                <w:color w:val="000000"/>
                <w:sz w:val="18"/>
                <w:szCs w:val="18"/>
                <w:lang w:val="en-GB"/>
              </w:rPr>
              <w:t>use</w:t>
            </w:r>
            <w:proofErr w:type="gramEnd"/>
            <w:r w:rsidRPr="00AF000E">
              <w:rPr>
                <w:rFonts w:asciiTheme="minorHAnsi" w:eastAsia="SimSun" w:hAnsiTheme="minorHAnsi" w:cstheme="minorHAnsi"/>
                <w:snapToGrid w:val="0"/>
                <w:color w:val="000000"/>
                <w:sz w:val="18"/>
                <w:szCs w:val="18"/>
                <w:lang w:val="en-GB"/>
              </w:rPr>
              <w:t xml:space="preserve"> and discuss what additional information might be required to support the PBS listing of </w:t>
            </w:r>
            <w:proofErr w:type="spellStart"/>
            <w:r w:rsidRPr="00AF000E">
              <w:rPr>
                <w:rFonts w:asciiTheme="minorHAnsi" w:eastAsia="SimSun" w:hAnsiTheme="minorHAnsi" w:cstheme="minorHAnsi"/>
                <w:snapToGrid w:val="0"/>
                <w:color w:val="000000"/>
                <w:sz w:val="18"/>
                <w:szCs w:val="18"/>
                <w:lang w:val="en-GB"/>
              </w:rPr>
              <w:t>esketamine</w:t>
            </w:r>
            <w:proofErr w:type="spellEnd"/>
            <w:r w:rsidRPr="00AF000E">
              <w:rPr>
                <w:rFonts w:asciiTheme="minorHAnsi" w:eastAsia="SimSun" w:hAnsiTheme="minorHAnsi" w:cstheme="minorHAnsi"/>
                <w:snapToGrid w:val="0"/>
                <w:color w:val="000000"/>
                <w:sz w:val="18"/>
                <w:szCs w:val="18"/>
                <w:lang w:val="en-GB"/>
              </w:rPr>
              <w:t>.</w:t>
            </w:r>
          </w:p>
          <w:p w14:paraId="5F3648D2" w14:textId="77777777" w:rsidR="00AF000E" w:rsidRPr="00AF000E" w:rsidRDefault="00AF000E" w:rsidP="00AF000E">
            <w:pPr>
              <w:keepLines/>
              <w:jc w:val="both"/>
              <w:rPr>
                <w:rFonts w:asciiTheme="minorHAnsi" w:hAnsiTheme="minorHAnsi" w:cstheme="minorHAnsi"/>
                <w:color w:val="000000"/>
                <w:sz w:val="18"/>
                <w:szCs w:val="18"/>
              </w:rPr>
            </w:pPr>
          </w:p>
          <w:p w14:paraId="40949B52" w14:textId="77777777" w:rsidR="00AF000E" w:rsidRPr="00AF000E" w:rsidRDefault="00AF000E" w:rsidP="00AF000E">
            <w:pPr>
              <w:keepLines/>
              <w:spacing w:after="120"/>
              <w:rPr>
                <w:rFonts w:asciiTheme="minorHAnsi" w:hAnsiTheme="minorHAnsi" w:cstheme="minorHAnsi"/>
                <w:snapToGrid w:val="0"/>
                <w:color w:val="000000"/>
                <w:sz w:val="18"/>
                <w:szCs w:val="18"/>
                <w:u w:val="single"/>
              </w:rPr>
            </w:pPr>
            <w:r w:rsidRPr="00AF000E">
              <w:rPr>
                <w:rFonts w:asciiTheme="minorHAnsi" w:hAnsiTheme="minorHAnsi" w:cstheme="minorHAnsi"/>
                <w:snapToGrid w:val="0"/>
                <w:color w:val="000000"/>
                <w:sz w:val="18"/>
                <w:szCs w:val="18"/>
                <w:u w:val="single"/>
              </w:rPr>
              <w:t>Sponsor Comment:</w:t>
            </w:r>
          </w:p>
          <w:p w14:paraId="6E5DF337" w14:textId="1D176B32" w:rsidR="004A5B38" w:rsidRPr="001B15BA" w:rsidRDefault="00493EB8" w:rsidP="004A5B38">
            <w:pPr>
              <w:pStyle w:val="ListParagraph"/>
              <w:keepLines/>
              <w:ind w:left="0"/>
              <w:rPr>
                <w:rFonts w:asciiTheme="minorHAnsi" w:hAnsiTheme="minorHAnsi" w:cstheme="minorHAnsi"/>
                <w:color w:val="000000"/>
                <w:sz w:val="18"/>
                <w:szCs w:val="18"/>
                <w:highlight w:val="yellow"/>
              </w:rPr>
            </w:pPr>
            <w:r w:rsidRPr="00493EB8">
              <w:rPr>
                <w:rFonts w:asciiTheme="minorHAnsi" w:hAnsiTheme="minorHAnsi" w:cstheme="minorHAnsi"/>
                <w:color w:val="000000"/>
                <w:sz w:val="18"/>
                <w:szCs w:val="18"/>
              </w:rPr>
              <w:t xml:space="preserve">Janssen are disappointed that the PBAC did not recommend </w:t>
            </w:r>
            <w:proofErr w:type="spellStart"/>
            <w:r w:rsidRPr="00493EB8">
              <w:rPr>
                <w:rFonts w:asciiTheme="minorHAnsi" w:hAnsiTheme="minorHAnsi" w:cstheme="minorHAnsi"/>
                <w:color w:val="000000"/>
                <w:sz w:val="18"/>
                <w:szCs w:val="18"/>
              </w:rPr>
              <w:t>esketamine</w:t>
            </w:r>
            <w:proofErr w:type="spellEnd"/>
            <w:r w:rsidRPr="00493EB8">
              <w:rPr>
                <w:rFonts w:asciiTheme="minorHAnsi" w:hAnsiTheme="minorHAnsi" w:cstheme="minorHAnsi"/>
                <w:color w:val="000000"/>
                <w:sz w:val="18"/>
                <w:szCs w:val="18"/>
              </w:rPr>
              <w:t xml:space="preserve"> but welcome the PBAC’s consideration that there is a need for treatment options for treatment resistant depression, their understanding of the severe impact of treatment resistant depression on daily life and their acceptance of the clinically meaningful benefits of </w:t>
            </w:r>
            <w:proofErr w:type="spellStart"/>
            <w:r w:rsidRPr="00493EB8">
              <w:rPr>
                <w:rFonts w:asciiTheme="minorHAnsi" w:hAnsiTheme="minorHAnsi" w:cstheme="minorHAnsi"/>
                <w:color w:val="000000"/>
                <w:sz w:val="18"/>
                <w:szCs w:val="18"/>
              </w:rPr>
              <w:t>esketamine</w:t>
            </w:r>
            <w:proofErr w:type="spellEnd"/>
            <w:r w:rsidRPr="00493EB8">
              <w:rPr>
                <w:rFonts w:asciiTheme="minorHAnsi" w:hAnsiTheme="minorHAnsi" w:cstheme="minorHAnsi"/>
                <w:color w:val="000000"/>
                <w:sz w:val="18"/>
                <w:szCs w:val="18"/>
              </w:rPr>
              <w:t>. Janssen agree with the PBAC that a Stakeholder meeting would be useful to help discuss some of the remaining issues and help move towards reimbursement of this important treatment for patients. Janssen looks forward to working with the PBAC to bring SPRAVATO® (</w:t>
            </w:r>
            <w:proofErr w:type="spellStart"/>
            <w:r w:rsidRPr="00493EB8">
              <w:rPr>
                <w:rFonts w:asciiTheme="minorHAnsi" w:hAnsiTheme="minorHAnsi" w:cstheme="minorHAnsi"/>
                <w:color w:val="000000"/>
                <w:sz w:val="18"/>
                <w:szCs w:val="18"/>
              </w:rPr>
              <w:t>esketamine</w:t>
            </w:r>
            <w:proofErr w:type="spellEnd"/>
            <w:r w:rsidRPr="00493EB8">
              <w:rPr>
                <w:rFonts w:asciiTheme="minorHAnsi" w:hAnsiTheme="minorHAnsi" w:cstheme="minorHAnsi"/>
                <w:color w:val="000000"/>
                <w:sz w:val="18"/>
                <w:szCs w:val="18"/>
              </w:rPr>
              <w:t xml:space="preserve"> hydrochloride) to Australian patients in a timely way.</w:t>
            </w:r>
          </w:p>
        </w:tc>
      </w:tr>
      <w:tr w:rsidR="004A5B38" w:rsidRPr="00567D48" w14:paraId="03F13613" w14:textId="77777777" w:rsidTr="00315536">
        <w:trPr>
          <w:cantSplit/>
          <w:trHeight w:val="2948"/>
        </w:trPr>
        <w:tc>
          <w:tcPr>
            <w:tcW w:w="3013" w:type="dxa"/>
            <w:shd w:val="clear" w:color="auto" w:fill="auto"/>
            <w:tcMar>
              <w:top w:w="28" w:type="dxa"/>
              <w:bottom w:w="28" w:type="dxa"/>
            </w:tcMar>
            <w:vAlign w:val="center"/>
          </w:tcPr>
          <w:p w14:paraId="6A63A88C" w14:textId="3F044D8E"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EVOLOCUMAB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140 mg in 1 mL single use</w:t>
            </w:r>
            <w:r w:rsidRPr="001B15BA">
              <w:rPr>
                <w:rFonts w:asciiTheme="minorHAnsi" w:hAnsiTheme="minorHAnsi" w:cstheme="minorHAnsi"/>
                <w:color w:val="000000"/>
                <w:sz w:val="18"/>
                <w:szCs w:val="18"/>
              </w:rPr>
              <w:br/>
              <w:t>pre-filled pen</w:t>
            </w:r>
            <w:r w:rsidRPr="001B15BA">
              <w:rPr>
                <w:rFonts w:asciiTheme="minorHAnsi" w:hAnsiTheme="minorHAnsi" w:cstheme="minorHAnsi"/>
                <w:color w:val="000000"/>
                <w:sz w:val="18"/>
                <w:szCs w:val="18"/>
              </w:rPr>
              <w:br/>
              <w:t>Injection 420 mg in 3.5 mL single use</w:t>
            </w:r>
            <w:r w:rsidRPr="001B15BA">
              <w:rPr>
                <w:rFonts w:asciiTheme="minorHAnsi" w:hAnsiTheme="minorHAnsi" w:cstheme="minorHAnsi"/>
                <w:color w:val="000000"/>
                <w:sz w:val="18"/>
                <w:szCs w:val="18"/>
              </w:rPr>
              <w:br/>
              <w:t>pre-filled cartridge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Repatha®</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Amgen Australia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0C45F115" w14:textId="299E6DEC"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Hypercholesterolaemia</w:t>
            </w:r>
          </w:p>
        </w:tc>
        <w:tc>
          <w:tcPr>
            <w:tcW w:w="3288" w:type="dxa"/>
            <w:shd w:val="clear" w:color="auto" w:fill="auto"/>
            <w:tcMar>
              <w:top w:w="28" w:type="dxa"/>
              <w:bottom w:w="28" w:type="dxa"/>
            </w:tcMar>
            <w:vAlign w:val="center"/>
          </w:tcPr>
          <w:p w14:paraId="723E6D85" w14:textId="17604F19"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 xml:space="preserve">To request a change to the low-density lipoprotein cholesterol criterion on the existing PBS </w:t>
            </w:r>
            <w:proofErr w:type="spellStart"/>
            <w:r w:rsidRPr="001B15BA">
              <w:rPr>
                <w:rFonts w:asciiTheme="minorHAnsi" w:hAnsiTheme="minorHAnsi" w:cstheme="minorHAnsi"/>
                <w:color w:val="000000"/>
                <w:sz w:val="18"/>
                <w:szCs w:val="18"/>
              </w:rPr>
              <w:t>evolocumab</w:t>
            </w:r>
            <w:proofErr w:type="spellEnd"/>
            <w:r w:rsidRPr="001B15BA">
              <w:rPr>
                <w:rFonts w:asciiTheme="minorHAnsi" w:hAnsiTheme="minorHAnsi" w:cstheme="minorHAnsi"/>
                <w:color w:val="000000"/>
                <w:sz w:val="18"/>
                <w:szCs w:val="18"/>
              </w:rPr>
              <w:t xml:space="preserve"> listings for hypercholesterolaemia from 2.6 mmol/L to 1.8 mmol/L, and also to extend the existing listings to allow general practitioners to initiate treatment in consultation with a specialist physician.</w:t>
            </w:r>
          </w:p>
        </w:tc>
        <w:tc>
          <w:tcPr>
            <w:tcW w:w="1987" w:type="dxa"/>
            <w:shd w:val="clear" w:color="auto" w:fill="auto"/>
            <w:vAlign w:val="center"/>
          </w:tcPr>
          <w:p w14:paraId="5FFC7EAD" w14:textId="4A400ADC"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0CC37CBD" w14:textId="5A3F8ADA" w:rsidR="004A5B38" w:rsidRDefault="004A5B38" w:rsidP="004A5B38">
            <w:pPr>
              <w:keepLines/>
              <w:rPr>
                <w:rFonts w:asciiTheme="minorHAnsi" w:hAnsiTheme="minorHAnsi" w:cstheme="minorHAnsi"/>
                <w:color w:val="000000"/>
                <w:sz w:val="18"/>
                <w:szCs w:val="18"/>
              </w:rPr>
            </w:pPr>
            <w:r w:rsidRPr="00AC692A">
              <w:rPr>
                <w:rFonts w:asciiTheme="minorHAnsi" w:hAnsiTheme="minorHAnsi" w:cstheme="minorHAnsi"/>
                <w:color w:val="000000"/>
                <w:sz w:val="18"/>
                <w:szCs w:val="18"/>
              </w:rPr>
              <w:t xml:space="preserve">The PBAC recommended extending the existing PBS listings for </w:t>
            </w:r>
            <w:proofErr w:type="spellStart"/>
            <w:r w:rsidRPr="00AC692A">
              <w:rPr>
                <w:rFonts w:asciiTheme="minorHAnsi" w:hAnsiTheme="minorHAnsi" w:cstheme="minorHAnsi"/>
                <w:color w:val="000000"/>
                <w:sz w:val="18"/>
                <w:szCs w:val="18"/>
              </w:rPr>
              <w:t>evolocumab</w:t>
            </w:r>
            <w:proofErr w:type="spellEnd"/>
            <w:r w:rsidRPr="00AC692A">
              <w:rPr>
                <w:rFonts w:asciiTheme="minorHAnsi" w:hAnsiTheme="minorHAnsi" w:cstheme="minorHAnsi"/>
                <w:color w:val="000000"/>
                <w:sz w:val="18"/>
                <w:szCs w:val="18"/>
              </w:rPr>
              <w:t xml:space="preserve"> for hypercholesterolaemia, to include patients who have a</w:t>
            </w:r>
            <w:r>
              <w:rPr>
                <w:rFonts w:asciiTheme="minorHAnsi" w:hAnsiTheme="minorHAnsi" w:cstheme="minorHAnsi"/>
                <w:color w:val="000000"/>
                <w:sz w:val="18"/>
                <w:szCs w:val="18"/>
              </w:rPr>
              <w:t xml:space="preserve"> </w:t>
            </w:r>
            <w:proofErr w:type="gramStart"/>
            <w:r>
              <w:rPr>
                <w:rFonts w:asciiTheme="minorHAnsi" w:hAnsiTheme="minorHAnsi" w:cstheme="minorHAnsi"/>
                <w:color w:val="000000"/>
                <w:sz w:val="18"/>
                <w:szCs w:val="18"/>
              </w:rPr>
              <w:t>l</w:t>
            </w:r>
            <w:r w:rsidRPr="001B61CA">
              <w:rPr>
                <w:rFonts w:asciiTheme="minorHAnsi" w:hAnsiTheme="minorHAnsi" w:cstheme="minorHAnsi"/>
                <w:color w:val="000000"/>
                <w:sz w:val="18"/>
                <w:szCs w:val="18"/>
              </w:rPr>
              <w:t xml:space="preserve">ow </w:t>
            </w:r>
            <w:r>
              <w:rPr>
                <w:rFonts w:asciiTheme="minorHAnsi" w:hAnsiTheme="minorHAnsi" w:cstheme="minorHAnsi"/>
                <w:color w:val="000000"/>
                <w:sz w:val="18"/>
                <w:szCs w:val="18"/>
              </w:rPr>
              <w:t>d</w:t>
            </w:r>
            <w:r w:rsidRPr="001B61CA">
              <w:rPr>
                <w:rFonts w:asciiTheme="minorHAnsi" w:hAnsiTheme="minorHAnsi" w:cstheme="minorHAnsi"/>
                <w:color w:val="000000"/>
                <w:sz w:val="18"/>
                <w:szCs w:val="18"/>
              </w:rPr>
              <w:t>ensity</w:t>
            </w:r>
            <w:proofErr w:type="gramEnd"/>
            <w:r w:rsidRPr="001B61CA">
              <w:rPr>
                <w:rFonts w:asciiTheme="minorHAnsi" w:hAnsiTheme="minorHAnsi" w:cstheme="minorHAnsi"/>
                <w:color w:val="000000"/>
                <w:sz w:val="18"/>
                <w:szCs w:val="18"/>
              </w:rPr>
              <w:t xml:space="preserve"> </w:t>
            </w:r>
            <w:r>
              <w:rPr>
                <w:rFonts w:asciiTheme="minorHAnsi" w:hAnsiTheme="minorHAnsi" w:cstheme="minorHAnsi"/>
                <w:color w:val="000000"/>
                <w:sz w:val="18"/>
                <w:szCs w:val="18"/>
              </w:rPr>
              <w:t>l</w:t>
            </w:r>
            <w:r w:rsidRPr="001B61CA">
              <w:rPr>
                <w:rFonts w:asciiTheme="minorHAnsi" w:hAnsiTheme="minorHAnsi" w:cstheme="minorHAnsi"/>
                <w:color w:val="000000"/>
                <w:sz w:val="18"/>
                <w:szCs w:val="18"/>
              </w:rPr>
              <w:t xml:space="preserve">ipoprotein </w:t>
            </w:r>
            <w:r>
              <w:rPr>
                <w:rFonts w:asciiTheme="minorHAnsi" w:hAnsiTheme="minorHAnsi" w:cstheme="minorHAnsi"/>
                <w:color w:val="000000"/>
                <w:sz w:val="18"/>
                <w:szCs w:val="18"/>
              </w:rPr>
              <w:t>c</w:t>
            </w:r>
            <w:r w:rsidRPr="001B61CA">
              <w:rPr>
                <w:rFonts w:asciiTheme="minorHAnsi" w:hAnsiTheme="minorHAnsi" w:cstheme="minorHAnsi"/>
                <w:color w:val="000000"/>
                <w:sz w:val="18"/>
                <w:szCs w:val="18"/>
              </w:rPr>
              <w:t>holesterol</w:t>
            </w:r>
            <w:r w:rsidRPr="00AC692A">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AC692A">
              <w:rPr>
                <w:rFonts w:asciiTheme="minorHAnsi" w:hAnsiTheme="minorHAnsi" w:cstheme="minorHAnsi"/>
                <w:color w:val="000000"/>
                <w:sz w:val="18"/>
                <w:szCs w:val="18"/>
              </w:rPr>
              <w:t>LDL-C</w:t>
            </w:r>
            <w:r>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level between 1.8 and 2.6 mmol/L despite optimised treatment with statins and ezetimibe, and to allow initial prescribing by any medical practitioner in consultation with a specialist physician. The PBAC </w:t>
            </w:r>
            <w:r w:rsidR="000D79EB">
              <w:rPr>
                <w:rFonts w:asciiTheme="minorHAnsi" w:hAnsiTheme="minorHAnsi" w:cstheme="minorHAnsi"/>
                <w:color w:val="000000"/>
                <w:sz w:val="18"/>
                <w:szCs w:val="18"/>
              </w:rPr>
              <w:t>wa</w:t>
            </w:r>
            <w:r w:rsidRPr="00AC692A">
              <w:rPr>
                <w:rFonts w:asciiTheme="minorHAnsi" w:hAnsiTheme="minorHAnsi" w:cstheme="minorHAnsi"/>
                <w:color w:val="000000"/>
                <w:sz w:val="18"/>
                <w:szCs w:val="18"/>
              </w:rPr>
              <w:t xml:space="preserve">s satisfied that </w:t>
            </w:r>
            <w:proofErr w:type="spellStart"/>
            <w:r w:rsidRPr="00AC692A">
              <w:rPr>
                <w:rFonts w:asciiTheme="minorHAnsi" w:hAnsiTheme="minorHAnsi" w:cstheme="minorHAnsi"/>
                <w:color w:val="000000"/>
                <w:sz w:val="18"/>
                <w:szCs w:val="18"/>
              </w:rPr>
              <w:t>evolocumab</w:t>
            </w:r>
            <w:proofErr w:type="spellEnd"/>
            <w:r w:rsidRPr="00AC692A">
              <w:rPr>
                <w:rFonts w:asciiTheme="minorHAnsi" w:hAnsiTheme="minorHAnsi" w:cstheme="minorHAnsi"/>
                <w:color w:val="000000"/>
                <w:sz w:val="18"/>
                <w:szCs w:val="18"/>
              </w:rPr>
              <w:t xml:space="preserve"> provides, for some patients, a significant improvement in efficacy over optimised background treatment, in the extended population. The PBAC advised that the expanded LDL-C criteria were consistent with current international clinical guidelines and the expanded prescriber criteria would reduce current equity and access issues associated with initiation only by specialists. The PBAC also advised that the listing would be cost-effective at a reduced price (resulting in an incremental cost-effectiveness ratio of $15,000 to &lt; $25,000), but that no increases to the current expenditure caps under the existing </w:t>
            </w:r>
            <w:r>
              <w:rPr>
                <w:rFonts w:asciiTheme="minorHAnsi" w:hAnsiTheme="minorHAnsi" w:cstheme="minorHAnsi"/>
                <w:color w:val="000000"/>
                <w:sz w:val="18"/>
                <w:szCs w:val="18"/>
              </w:rPr>
              <w:t>r</w:t>
            </w:r>
            <w:r w:rsidRPr="00AC692A">
              <w:rPr>
                <w:rFonts w:asciiTheme="minorHAnsi" w:hAnsiTheme="minorHAnsi" w:cstheme="minorHAnsi"/>
                <w:color w:val="000000"/>
                <w:sz w:val="18"/>
                <w:szCs w:val="18"/>
              </w:rPr>
              <w:t xml:space="preserve">isk </w:t>
            </w:r>
            <w:r>
              <w:rPr>
                <w:rFonts w:asciiTheme="minorHAnsi" w:hAnsiTheme="minorHAnsi" w:cstheme="minorHAnsi"/>
                <w:color w:val="000000"/>
                <w:sz w:val="18"/>
                <w:szCs w:val="18"/>
              </w:rPr>
              <w:t>s</w:t>
            </w:r>
            <w:r w:rsidRPr="00AC692A">
              <w:rPr>
                <w:rFonts w:asciiTheme="minorHAnsi" w:hAnsiTheme="minorHAnsi" w:cstheme="minorHAnsi"/>
                <w:color w:val="000000"/>
                <w:sz w:val="18"/>
                <w:szCs w:val="18"/>
              </w:rPr>
              <w:t xml:space="preserve">haring </w:t>
            </w:r>
            <w:r>
              <w:rPr>
                <w:rFonts w:asciiTheme="minorHAnsi" w:hAnsiTheme="minorHAnsi" w:cstheme="minorHAnsi"/>
                <w:color w:val="000000"/>
                <w:sz w:val="18"/>
                <w:szCs w:val="18"/>
              </w:rPr>
              <w:t>a</w:t>
            </w:r>
            <w:r w:rsidRPr="00AC692A">
              <w:rPr>
                <w:rFonts w:asciiTheme="minorHAnsi" w:hAnsiTheme="minorHAnsi" w:cstheme="minorHAnsi"/>
                <w:color w:val="000000"/>
                <w:sz w:val="18"/>
                <w:szCs w:val="18"/>
              </w:rPr>
              <w:t>rrangement were justified.</w:t>
            </w:r>
          </w:p>
          <w:p w14:paraId="356FCCAE" w14:textId="77777777" w:rsidR="004A5B38" w:rsidRPr="00AC692A" w:rsidRDefault="004A5B38" w:rsidP="004A5B38">
            <w:pPr>
              <w:keepLines/>
              <w:rPr>
                <w:rFonts w:asciiTheme="minorHAnsi" w:hAnsiTheme="minorHAnsi" w:cstheme="minorHAnsi"/>
                <w:color w:val="000000"/>
                <w:sz w:val="18"/>
                <w:szCs w:val="18"/>
              </w:rPr>
            </w:pPr>
          </w:p>
          <w:p w14:paraId="74949A52" w14:textId="429518A8" w:rsidR="004A5B38" w:rsidRPr="001B15BA" w:rsidRDefault="004A5B38" w:rsidP="004A5B38">
            <w:pPr>
              <w:keepLines/>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 xml:space="preserve">The PBAC noted that it had previously considered relevant clinical evidence with respect to alirocumab, and recommended that these changes flow on to alirocumab listings, at established pricing relativities with </w:t>
            </w:r>
            <w:proofErr w:type="spellStart"/>
            <w:r w:rsidRPr="00AC692A">
              <w:rPr>
                <w:rFonts w:asciiTheme="minorHAnsi" w:hAnsiTheme="minorHAnsi" w:cstheme="minorHAnsi"/>
                <w:color w:val="000000"/>
                <w:sz w:val="18"/>
                <w:szCs w:val="18"/>
              </w:rPr>
              <w:t>evolocumab</w:t>
            </w:r>
            <w:proofErr w:type="spellEnd"/>
            <w:r w:rsidRPr="00AC692A">
              <w:rPr>
                <w:rFonts w:asciiTheme="minorHAnsi" w:hAnsiTheme="minorHAnsi" w:cstheme="minorHAnsi"/>
                <w:color w:val="000000"/>
                <w:sz w:val="18"/>
                <w:szCs w:val="18"/>
              </w:rPr>
              <w:t>.</w:t>
            </w:r>
          </w:p>
        </w:tc>
      </w:tr>
      <w:tr w:rsidR="004A5B38" w:rsidRPr="00567D48" w14:paraId="2748A100" w14:textId="77777777" w:rsidTr="00315536">
        <w:trPr>
          <w:cantSplit/>
          <w:trHeight w:val="2948"/>
        </w:trPr>
        <w:tc>
          <w:tcPr>
            <w:tcW w:w="3013" w:type="dxa"/>
            <w:shd w:val="clear" w:color="auto" w:fill="auto"/>
            <w:tcMar>
              <w:top w:w="28" w:type="dxa"/>
              <w:bottom w:w="28" w:type="dxa"/>
            </w:tcMar>
            <w:vAlign w:val="center"/>
          </w:tcPr>
          <w:p w14:paraId="26AEF7DA" w14:textId="77DC2930"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FINERENONE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10 mg</w:t>
            </w:r>
            <w:r w:rsidRPr="001B15BA">
              <w:rPr>
                <w:rFonts w:asciiTheme="minorHAnsi" w:hAnsiTheme="minorHAnsi" w:cstheme="minorHAnsi"/>
                <w:color w:val="000000"/>
                <w:sz w:val="18"/>
                <w:szCs w:val="18"/>
              </w:rPr>
              <w:br/>
              <w:t>Tablet 20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Kerendia</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Bayer Australia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21671E52" w14:textId="2CC01077"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Diabetic kidney disease</w:t>
            </w:r>
          </w:p>
        </w:tc>
        <w:tc>
          <w:tcPr>
            <w:tcW w:w="3288" w:type="dxa"/>
            <w:shd w:val="clear" w:color="auto" w:fill="auto"/>
            <w:tcMar>
              <w:top w:w="28" w:type="dxa"/>
              <w:bottom w:w="28" w:type="dxa"/>
            </w:tcMar>
            <w:vAlign w:val="center"/>
          </w:tcPr>
          <w:p w14:paraId="0C02E524" w14:textId="7B232A3C"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patients with diabetic kidney disease.</w:t>
            </w:r>
          </w:p>
        </w:tc>
        <w:tc>
          <w:tcPr>
            <w:tcW w:w="1987" w:type="dxa"/>
            <w:shd w:val="clear" w:color="auto" w:fill="auto"/>
            <w:vAlign w:val="center"/>
          </w:tcPr>
          <w:p w14:paraId="661D5624" w14:textId="04B3A406"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25C07C53" w14:textId="255A4A60" w:rsidR="00AF000E" w:rsidRPr="00315536" w:rsidRDefault="00AF000E" w:rsidP="00AF000E">
            <w:pPr>
              <w:rPr>
                <w:rFonts w:ascii="Calibri" w:hAnsi="Calibri" w:cs="Calibri"/>
                <w:color w:val="000000"/>
                <w:sz w:val="18"/>
                <w:szCs w:val="18"/>
              </w:rPr>
            </w:pPr>
            <w:r w:rsidRPr="00315536">
              <w:rPr>
                <w:rFonts w:ascii="Calibri" w:hAnsi="Calibri" w:cs="Calibri"/>
                <w:color w:val="000000"/>
                <w:sz w:val="18"/>
                <w:szCs w:val="18"/>
              </w:rPr>
              <w:t xml:space="preserve">The PBAC did not recommend the PBS listing of </w:t>
            </w:r>
            <w:proofErr w:type="spellStart"/>
            <w:r w:rsidRPr="00315536">
              <w:rPr>
                <w:rFonts w:ascii="Calibri" w:hAnsi="Calibri" w:cs="Calibri"/>
                <w:color w:val="000000"/>
                <w:sz w:val="18"/>
                <w:szCs w:val="18"/>
              </w:rPr>
              <w:t>finerenone</w:t>
            </w:r>
            <w:proofErr w:type="spellEnd"/>
            <w:r w:rsidRPr="00315536">
              <w:rPr>
                <w:rFonts w:ascii="Calibri" w:hAnsi="Calibri" w:cs="Calibri"/>
                <w:color w:val="000000"/>
                <w:sz w:val="18"/>
                <w:szCs w:val="18"/>
              </w:rPr>
              <w:t xml:space="preserve"> for the treatment of diabetic kidney disease. </w:t>
            </w:r>
            <w:r w:rsidR="00C856EF" w:rsidRPr="00C856EF">
              <w:rPr>
                <w:rFonts w:ascii="Calibri" w:hAnsi="Calibri" w:cs="Calibri"/>
                <w:color w:val="000000"/>
                <w:sz w:val="18"/>
                <w:szCs w:val="18"/>
              </w:rPr>
              <w:t xml:space="preserve">The PBAC had low confidence (due to imprecision and heterogeneity) in the clinical evidence presented for </w:t>
            </w:r>
            <w:proofErr w:type="spellStart"/>
            <w:r w:rsidR="00C856EF" w:rsidRPr="00C856EF">
              <w:rPr>
                <w:rFonts w:ascii="Calibri" w:hAnsi="Calibri" w:cs="Calibri"/>
                <w:color w:val="000000"/>
                <w:sz w:val="18"/>
                <w:szCs w:val="18"/>
              </w:rPr>
              <w:t>finerenone</w:t>
            </w:r>
            <w:proofErr w:type="spellEnd"/>
            <w:r w:rsidR="00C856EF" w:rsidRPr="00C856EF">
              <w:rPr>
                <w:rFonts w:ascii="Calibri" w:hAnsi="Calibri" w:cs="Calibri"/>
                <w:color w:val="000000"/>
                <w:sz w:val="18"/>
                <w:szCs w:val="18"/>
              </w:rPr>
              <w:t>, particularly in the incremental benefit achieved over and above standard of care (including ACE</w:t>
            </w:r>
            <w:r w:rsidR="00D0534B">
              <w:rPr>
                <w:rFonts w:ascii="Calibri" w:hAnsi="Calibri" w:cs="Calibri"/>
                <w:color w:val="000000"/>
                <w:sz w:val="18"/>
                <w:szCs w:val="18"/>
              </w:rPr>
              <w:t xml:space="preserve"> </w:t>
            </w:r>
            <w:r w:rsidR="00C856EF" w:rsidRPr="00C856EF">
              <w:rPr>
                <w:rFonts w:ascii="Calibri" w:hAnsi="Calibri" w:cs="Calibri"/>
                <w:color w:val="000000"/>
                <w:sz w:val="18"/>
                <w:szCs w:val="18"/>
              </w:rPr>
              <w:t>i</w:t>
            </w:r>
            <w:r w:rsidR="00D0534B">
              <w:rPr>
                <w:rFonts w:ascii="Calibri" w:hAnsi="Calibri" w:cs="Calibri"/>
                <w:color w:val="000000"/>
                <w:sz w:val="18"/>
                <w:szCs w:val="18"/>
              </w:rPr>
              <w:t>nhibitor</w:t>
            </w:r>
            <w:r w:rsidR="00C856EF" w:rsidRPr="00C856EF">
              <w:rPr>
                <w:rFonts w:ascii="Calibri" w:hAnsi="Calibri" w:cs="Calibri"/>
                <w:color w:val="000000"/>
                <w:sz w:val="18"/>
                <w:szCs w:val="18"/>
              </w:rPr>
              <w:t>/</w:t>
            </w:r>
            <w:r w:rsidR="00D0534B" w:rsidRPr="00D0534B">
              <w:rPr>
                <w:rFonts w:ascii="Calibri" w:hAnsi="Calibri" w:cs="Calibri"/>
                <w:color w:val="000000"/>
                <w:sz w:val="18"/>
                <w:szCs w:val="18"/>
              </w:rPr>
              <w:t>Angiotensin II receptor blocker</w:t>
            </w:r>
            <w:r w:rsidR="00C856EF" w:rsidRPr="00C856EF">
              <w:rPr>
                <w:rFonts w:ascii="Calibri" w:hAnsi="Calibri" w:cs="Calibri"/>
                <w:color w:val="000000"/>
                <w:sz w:val="18"/>
                <w:szCs w:val="18"/>
              </w:rPr>
              <w:t xml:space="preserve"> and </w:t>
            </w:r>
            <w:r w:rsidR="00D0534B" w:rsidRPr="00D0534B">
              <w:rPr>
                <w:rFonts w:ascii="Calibri" w:hAnsi="Calibri" w:cs="Calibri"/>
                <w:color w:val="000000"/>
                <w:sz w:val="18"/>
                <w:szCs w:val="18"/>
              </w:rPr>
              <w:t>sodium–glucose co-transporter-2 (SGLT2) inhibitor</w:t>
            </w:r>
            <w:r w:rsidR="00D0534B">
              <w:rPr>
                <w:rFonts w:ascii="Calibri" w:hAnsi="Calibri" w:cs="Calibri"/>
                <w:color w:val="000000"/>
                <w:sz w:val="18"/>
                <w:szCs w:val="18"/>
              </w:rPr>
              <w:t xml:space="preserve"> </w:t>
            </w:r>
            <w:r w:rsidR="00C856EF" w:rsidRPr="00C856EF">
              <w:rPr>
                <w:rFonts w:ascii="Calibri" w:hAnsi="Calibri" w:cs="Calibri"/>
                <w:color w:val="000000"/>
                <w:sz w:val="18"/>
                <w:szCs w:val="18"/>
              </w:rPr>
              <w:t xml:space="preserve">treatment). </w:t>
            </w:r>
            <w:r w:rsidRPr="00315536">
              <w:rPr>
                <w:rFonts w:ascii="Calibri" w:hAnsi="Calibri" w:cs="Calibri"/>
                <w:color w:val="000000"/>
                <w:sz w:val="18"/>
                <w:szCs w:val="18"/>
              </w:rPr>
              <w:t xml:space="preserve">It also considered that </w:t>
            </w:r>
            <w:proofErr w:type="spellStart"/>
            <w:r w:rsidRPr="00315536">
              <w:rPr>
                <w:rFonts w:ascii="Calibri" w:hAnsi="Calibri" w:cs="Calibri"/>
                <w:color w:val="000000"/>
                <w:sz w:val="18"/>
                <w:szCs w:val="18"/>
              </w:rPr>
              <w:t>finerenone</w:t>
            </w:r>
            <w:proofErr w:type="spellEnd"/>
            <w:r w:rsidRPr="00315536">
              <w:rPr>
                <w:rFonts w:ascii="Calibri" w:hAnsi="Calibri" w:cs="Calibri"/>
                <w:color w:val="000000"/>
                <w:sz w:val="18"/>
                <w:szCs w:val="18"/>
              </w:rPr>
              <w:t xml:space="preserve"> had a more limited role in clinical practice than had been suggested by the submission. The PBAC considered the economic model was unreliable, and had likely underestimated the incremental cost-effectiveness ratio, which appeared to be well above that previously accepted for similar conditions.</w:t>
            </w:r>
          </w:p>
          <w:p w14:paraId="73EF1098" w14:textId="77777777" w:rsidR="00AF000E" w:rsidRPr="00315536" w:rsidRDefault="00AF000E" w:rsidP="00AF000E">
            <w:pPr>
              <w:rPr>
                <w:rFonts w:ascii="Calibri" w:hAnsi="Calibri" w:cs="Calibri"/>
                <w:color w:val="000000"/>
                <w:sz w:val="18"/>
                <w:szCs w:val="18"/>
              </w:rPr>
            </w:pPr>
          </w:p>
          <w:p w14:paraId="541FEDA8" w14:textId="7CCD3494" w:rsidR="00657AE2" w:rsidRDefault="00AF000E" w:rsidP="00AF000E">
            <w:pPr>
              <w:rPr>
                <w:rFonts w:ascii="Calibri" w:hAnsi="Calibri" w:cs="Calibri"/>
                <w:color w:val="000000"/>
                <w:sz w:val="18"/>
                <w:szCs w:val="18"/>
              </w:rPr>
            </w:pPr>
            <w:r w:rsidRPr="00315536">
              <w:rPr>
                <w:rFonts w:ascii="Calibri" w:hAnsi="Calibri" w:cs="Calibri"/>
                <w:color w:val="000000"/>
                <w:sz w:val="18"/>
                <w:szCs w:val="18"/>
              </w:rPr>
              <w:t xml:space="preserve">The PBAC considered that </w:t>
            </w:r>
            <w:proofErr w:type="spellStart"/>
            <w:r w:rsidRPr="00315536">
              <w:rPr>
                <w:rFonts w:ascii="Calibri" w:hAnsi="Calibri" w:cs="Calibri"/>
                <w:color w:val="000000"/>
                <w:sz w:val="18"/>
                <w:szCs w:val="18"/>
              </w:rPr>
              <w:t>finerenone</w:t>
            </w:r>
            <w:proofErr w:type="spellEnd"/>
            <w:r w:rsidRPr="00315536">
              <w:rPr>
                <w:rFonts w:ascii="Calibri" w:hAnsi="Calibri" w:cs="Calibri"/>
                <w:color w:val="000000"/>
                <w:sz w:val="18"/>
                <w:szCs w:val="18"/>
              </w:rPr>
              <w:t xml:space="preserve"> likely had a more limited place in therapy than had been proposed in the submission, and that a claim of comparable safety to standard of care was not adequately supported by the data presented in the submission.</w:t>
            </w:r>
          </w:p>
          <w:p w14:paraId="0E9C034F" w14:textId="77777777" w:rsidR="00657AE2" w:rsidRDefault="00657AE2" w:rsidP="00AF000E">
            <w:pPr>
              <w:rPr>
                <w:rFonts w:ascii="Calibri" w:hAnsi="Calibri" w:cs="Calibri"/>
                <w:color w:val="000000"/>
                <w:sz w:val="18"/>
                <w:szCs w:val="18"/>
              </w:rPr>
            </w:pPr>
          </w:p>
          <w:p w14:paraId="6DF8BBCF" w14:textId="67ED1DC5" w:rsidR="00AF000E" w:rsidRPr="00315536" w:rsidRDefault="00AF000E" w:rsidP="00AF000E">
            <w:pPr>
              <w:rPr>
                <w:rFonts w:ascii="Calibri" w:hAnsi="Calibri" w:cs="Calibri"/>
                <w:color w:val="000000"/>
                <w:sz w:val="18"/>
                <w:szCs w:val="18"/>
              </w:rPr>
            </w:pPr>
            <w:r w:rsidRPr="00315536">
              <w:rPr>
                <w:rFonts w:ascii="Calibri" w:hAnsi="Calibri" w:cs="Calibri"/>
                <w:color w:val="000000"/>
                <w:sz w:val="18"/>
                <w:szCs w:val="18"/>
              </w:rPr>
              <w:t xml:space="preserve">The PBAC considered that the financial estimates presented in the submission were overestimated and that an alternate approach for estimating the eligible patient population be considered. </w:t>
            </w:r>
          </w:p>
          <w:p w14:paraId="7B294D46" w14:textId="77777777" w:rsidR="00657AE2" w:rsidRDefault="00657AE2" w:rsidP="00AF000E">
            <w:pPr>
              <w:rPr>
                <w:rFonts w:ascii="Calibri" w:hAnsi="Calibri" w:cs="Calibri"/>
                <w:color w:val="000000"/>
                <w:sz w:val="18"/>
                <w:szCs w:val="18"/>
              </w:rPr>
            </w:pPr>
          </w:p>
          <w:p w14:paraId="200C5A35" w14:textId="1237A107" w:rsidR="00AF000E" w:rsidRPr="00315536" w:rsidRDefault="00AF000E" w:rsidP="00AF000E">
            <w:pPr>
              <w:rPr>
                <w:rFonts w:ascii="Calibri" w:hAnsi="Calibri" w:cs="Calibri"/>
                <w:color w:val="000000"/>
                <w:sz w:val="18"/>
                <w:szCs w:val="18"/>
              </w:rPr>
            </w:pPr>
            <w:r w:rsidRPr="00315536">
              <w:rPr>
                <w:rFonts w:ascii="Calibri" w:hAnsi="Calibri" w:cs="Calibri"/>
                <w:color w:val="000000"/>
                <w:sz w:val="18"/>
                <w:szCs w:val="18"/>
              </w:rPr>
              <w:t>The PBAC nominated the standard re-entry resubmission pathway for this item.</w:t>
            </w:r>
          </w:p>
          <w:p w14:paraId="0FFE95D5" w14:textId="77777777" w:rsidR="00AF000E" w:rsidRPr="00315536" w:rsidRDefault="00AF000E" w:rsidP="004A5B38">
            <w:pPr>
              <w:pStyle w:val="ListParagraph"/>
              <w:keepLines/>
              <w:ind w:left="0"/>
              <w:rPr>
                <w:rFonts w:asciiTheme="minorHAnsi" w:hAnsiTheme="minorHAnsi" w:cstheme="minorHAnsi"/>
                <w:color w:val="000000"/>
                <w:sz w:val="18"/>
                <w:szCs w:val="18"/>
              </w:rPr>
            </w:pPr>
          </w:p>
          <w:p w14:paraId="77BB74AA"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556A63">
              <w:rPr>
                <w:rFonts w:asciiTheme="minorHAnsi" w:hAnsiTheme="minorHAnsi" w:cstheme="minorHAnsi"/>
                <w:color w:val="000000"/>
                <w:sz w:val="18"/>
                <w:szCs w:val="18"/>
                <w:u w:val="single"/>
              </w:rPr>
              <w:t>Sponsor Comment:</w:t>
            </w:r>
          </w:p>
          <w:p w14:paraId="0E7E8889" w14:textId="2C5AA5BD" w:rsidR="00B80645" w:rsidRPr="00B80645" w:rsidRDefault="00B80645" w:rsidP="004A5B38">
            <w:pPr>
              <w:pStyle w:val="ListParagraph"/>
              <w:keepLines/>
              <w:ind w:left="0"/>
              <w:rPr>
                <w:rFonts w:asciiTheme="minorHAnsi" w:hAnsiTheme="minorHAnsi" w:cstheme="minorHAnsi"/>
                <w:color w:val="000000"/>
                <w:sz w:val="18"/>
                <w:szCs w:val="18"/>
                <w:highlight w:val="yellow"/>
              </w:rPr>
            </w:pPr>
            <w:r w:rsidRPr="00B80645">
              <w:rPr>
                <w:rFonts w:asciiTheme="minorHAnsi" w:hAnsiTheme="minorHAnsi" w:cstheme="minorHAnsi"/>
                <w:color w:val="000000"/>
                <w:sz w:val="18"/>
                <w:szCs w:val="18"/>
              </w:rPr>
              <w:t xml:space="preserve">Bayer is disappointed by the PBAC’s decision not to recommend </w:t>
            </w:r>
            <w:proofErr w:type="spellStart"/>
            <w:r w:rsidRPr="00B80645">
              <w:rPr>
                <w:rFonts w:asciiTheme="minorHAnsi" w:hAnsiTheme="minorHAnsi" w:cstheme="minorHAnsi"/>
                <w:color w:val="000000"/>
                <w:sz w:val="18"/>
                <w:szCs w:val="18"/>
              </w:rPr>
              <w:t>Finerenone</w:t>
            </w:r>
            <w:proofErr w:type="spellEnd"/>
            <w:r w:rsidRPr="00B80645">
              <w:rPr>
                <w:rFonts w:asciiTheme="minorHAnsi" w:hAnsiTheme="minorHAnsi" w:cstheme="minorHAnsi"/>
                <w:color w:val="000000"/>
                <w:sz w:val="18"/>
                <w:szCs w:val="18"/>
              </w:rPr>
              <w:t xml:space="preserve"> for the treatment of diabetes kidney disease. Bayer remains committed to working with the PBAC to find a pathway forward to bring this treatment to Australian patients in a timely manner</w:t>
            </w:r>
            <w:r>
              <w:rPr>
                <w:rFonts w:asciiTheme="minorHAnsi" w:hAnsiTheme="minorHAnsi" w:cstheme="minorHAnsi"/>
                <w:color w:val="000000"/>
                <w:sz w:val="18"/>
                <w:szCs w:val="18"/>
              </w:rPr>
              <w:t>.</w:t>
            </w:r>
          </w:p>
        </w:tc>
      </w:tr>
      <w:tr w:rsidR="004A5B38" w:rsidRPr="00567D48" w14:paraId="3BD2C0F7" w14:textId="77777777" w:rsidTr="00315536">
        <w:trPr>
          <w:cantSplit/>
          <w:trHeight w:val="2948"/>
        </w:trPr>
        <w:tc>
          <w:tcPr>
            <w:tcW w:w="3013" w:type="dxa"/>
            <w:shd w:val="clear" w:color="auto" w:fill="auto"/>
            <w:tcMar>
              <w:top w:w="28" w:type="dxa"/>
              <w:bottom w:w="28" w:type="dxa"/>
            </w:tcMar>
            <w:vAlign w:val="center"/>
          </w:tcPr>
          <w:p w14:paraId="1DDD84A3" w14:textId="0F6BFBC1"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HUMAN MENOPAUSAL GONADOTROPHIN</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600 I.U. in 0.96 mL pre-filled multi-dose pen</w:t>
            </w:r>
            <w:r w:rsidRPr="001B15BA">
              <w:rPr>
                <w:rFonts w:asciiTheme="minorHAnsi" w:hAnsiTheme="minorHAnsi" w:cstheme="minorHAnsi"/>
                <w:color w:val="000000"/>
                <w:sz w:val="18"/>
                <w:szCs w:val="18"/>
              </w:rPr>
              <w:br/>
              <w:t>Injection 1200 I.U. in 1.92 mL pre-filled multi-dose pen</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Menopur</w:t>
            </w:r>
            <w:proofErr w:type="spellEnd"/>
            <w:r w:rsidRPr="001B15BA">
              <w:rPr>
                <w:rFonts w:asciiTheme="minorHAnsi" w:hAnsiTheme="minorHAnsi" w:cstheme="minorHAnsi"/>
                <w:color w:val="000000"/>
                <w:sz w:val="18"/>
                <w:szCs w:val="18"/>
              </w:rPr>
              <w:t>® 600</w:t>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Menopur</w:t>
            </w:r>
            <w:proofErr w:type="spellEnd"/>
            <w:r w:rsidRPr="001B15BA">
              <w:rPr>
                <w:rFonts w:asciiTheme="minorHAnsi" w:hAnsiTheme="minorHAnsi" w:cstheme="minorHAnsi"/>
                <w:color w:val="000000"/>
                <w:sz w:val="18"/>
                <w:szCs w:val="18"/>
              </w:rPr>
              <w:t>® 1200</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Ferring Pharmaceuticals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4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563628C5" w14:textId="00732554"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Assisted Reproductive Technology</w:t>
            </w:r>
          </w:p>
        </w:tc>
        <w:tc>
          <w:tcPr>
            <w:tcW w:w="3288" w:type="dxa"/>
            <w:shd w:val="clear" w:color="auto" w:fill="auto"/>
            <w:tcMar>
              <w:top w:w="28" w:type="dxa"/>
              <w:bottom w:w="28" w:type="dxa"/>
            </w:tcMar>
            <w:vAlign w:val="center"/>
          </w:tcPr>
          <w:p w14:paraId="76C6F94F" w14:textId="2AA12314"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 xml:space="preserve">To request Section 100 (IVF Program) listing of a new form under the same conditions as the currently listed form of human menopausal gonadotrophin. </w:t>
            </w:r>
          </w:p>
        </w:tc>
        <w:tc>
          <w:tcPr>
            <w:tcW w:w="1987" w:type="dxa"/>
            <w:shd w:val="clear" w:color="auto" w:fill="auto"/>
            <w:vAlign w:val="center"/>
          </w:tcPr>
          <w:p w14:paraId="4A57538B" w14:textId="558F770D"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132CE17A" w14:textId="085A3828" w:rsidR="004A5B38" w:rsidRPr="001B15BA" w:rsidRDefault="004A5B38" w:rsidP="004A5B38">
            <w:pPr>
              <w:pStyle w:val="ListParagraph"/>
              <w:keepLines/>
              <w:ind w:left="0"/>
              <w:rPr>
                <w:rFonts w:asciiTheme="minorHAnsi" w:hAnsiTheme="minorHAnsi" w:cstheme="minorHAnsi"/>
                <w:color w:val="000000"/>
                <w:sz w:val="18"/>
                <w:szCs w:val="18"/>
              </w:rPr>
            </w:pPr>
            <w:r w:rsidRPr="001B15BA">
              <w:rPr>
                <w:rFonts w:asciiTheme="minorHAnsi" w:hAnsiTheme="minorHAnsi" w:cstheme="minorHAnsi"/>
                <w:color w:val="000000"/>
                <w:sz w:val="18"/>
                <w:szCs w:val="18"/>
              </w:rPr>
              <w:t>The PBAC recommended the listing of 600 I.U and 1200</w:t>
            </w:r>
            <w:r w:rsidR="00657AE2">
              <w:rPr>
                <w:rFonts w:asciiTheme="minorHAnsi" w:hAnsiTheme="minorHAnsi" w:cstheme="minorHAnsi"/>
                <w:color w:val="000000"/>
                <w:sz w:val="18"/>
                <w:szCs w:val="18"/>
              </w:rPr>
              <w:t> </w:t>
            </w:r>
            <w:r w:rsidRPr="001B15BA">
              <w:rPr>
                <w:rFonts w:asciiTheme="minorHAnsi" w:hAnsiTheme="minorHAnsi" w:cstheme="minorHAnsi"/>
                <w:color w:val="000000"/>
                <w:sz w:val="18"/>
                <w:szCs w:val="18"/>
              </w:rPr>
              <w:t xml:space="preserve">I.U pre-filled multi-dose pen forms of human menopausal gonadotrophin on the basis that it should be available under the Section 100 (In Vitro Fertilisation Program) as Authority Required benefits for Assisted Reproductive Technology. </w:t>
            </w:r>
          </w:p>
        </w:tc>
      </w:tr>
      <w:tr w:rsidR="004A5B38" w:rsidRPr="00567D48" w14:paraId="5E1AC7F0" w14:textId="77777777" w:rsidTr="00315536">
        <w:trPr>
          <w:cantSplit/>
          <w:trHeight w:val="2948"/>
        </w:trPr>
        <w:tc>
          <w:tcPr>
            <w:tcW w:w="3013" w:type="dxa"/>
            <w:shd w:val="clear" w:color="auto" w:fill="auto"/>
            <w:tcMar>
              <w:top w:w="28" w:type="dxa"/>
              <w:bottom w:w="28" w:type="dxa"/>
            </w:tcMar>
            <w:vAlign w:val="center"/>
          </w:tcPr>
          <w:p w14:paraId="20459B10" w14:textId="0FE2B73C"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t>LEUPRORELIN ACETATE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Suspension for subcutaneous injection (modified release) containing 45 mg of leuprorelin acetate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Eligard</w:t>
            </w:r>
            <w:proofErr w:type="spellEnd"/>
            <w:r w:rsidRPr="001B15BA">
              <w:rPr>
                <w:rFonts w:asciiTheme="minorHAnsi" w:hAnsiTheme="minorHAnsi" w:cstheme="minorHAnsi"/>
                <w:color w:val="000000"/>
                <w:sz w:val="18"/>
                <w:szCs w:val="18"/>
              </w:rPr>
              <w:t>® 6 month</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Mundipharma</w:t>
            </w:r>
            <w:proofErr w:type="spellEnd"/>
            <w:r w:rsidRPr="001B15BA">
              <w:rPr>
                <w:rFonts w:asciiTheme="minorHAnsi" w:hAnsiTheme="minorHAnsi" w:cstheme="minorHAnsi"/>
                <w:color w:val="000000"/>
                <w:sz w:val="18"/>
                <w:szCs w:val="18"/>
              </w:rPr>
              <w:t xml:space="preserve">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295A73D4" w14:textId="0DB42D9B"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Central precocious puberty</w:t>
            </w:r>
          </w:p>
        </w:tc>
        <w:tc>
          <w:tcPr>
            <w:tcW w:w="3288" w:type="dxa"/>
            <w:shd w:val="clear" w:color="auto" w:fill="auto"/>
            <w:tcMar>
              <w:top w:w="28" w:type="dxa"/>
              <w:bottom w:w="28" w:type="dxa"/>
            </w:tcMar>
            <w:vAlign w:val="center"/>
          </w:tcPr>
          <w:p w14:paraId="0E1A5CA4" w14:textId="2A37A2A5"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General Schedule Restricted Benefit listing for the treatment of central precocious puberty.</w:t>
            </w:r>
          </w:p>
        </w:tc>
        <w:tc>
          <w:tcPr>
            <w:tcW w:w="1987" w:type="dxa"/>
            <w:shd w:val="clear" w:color="auto" w:fill="auto"/>
            <w:vAlign w:val="center"/>
          </w:tcPr>
          <w:p w14:paraId="2460C424" w14:textId="1DDDB204"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7F973B95" w14:textId="47D9E1EE" w:rsidR="004A5B38" w:rsidRPr="00AC692A" w:rsidRDefault="004A5B38" w:rsidP="004A5B38">
            <w:pPr>
              <w:keepLines/>
              <w:rPr>
                <w:rFonts w:asciiTheme="minorHAnsi" w:hAnsiTheme="minorHAnsi" w:cstheme="minorHAnsi"/>
                <w:color w:val="000000"/>
                <w:sz w:val="18"/>
                <w:szCs w:val="18"/>
              </w:rPr>
            </w:pPr>
            <w:r w:rsidRPr="00AC692A">
              <w:rPr>
                <w:rFonts w:asciiTheme="minorHAnsi" w:hAnsiTheme="minorHAnsi" w:cstheme="minorHAnsi"/>
                <w:color w:val="000000"/>
                <w:sz w:val="18"/>
                <w:szCs w:val="18"/>
              </w:rPr>
              <w:t>The PBAC recommended the listing of leuprorelin acetate 45 mg syringe for the treatment of central precocious puberty (CPP) on a cost-minimisation basis to leuprorelin acetate 30 mg modified release injection (</w:t>
            </w:r>
            <w:proofErr w:type="spellStart"/>
            <w:r w:rsidRPr="00AC692A">
              <w:rPr>
                <w:rFonts w:asciiTheme="minorHAnsi" w:hAnsiTheme="minorHAnsi" w:cstheme="minorHAnsi"/>
                <w:color w:val="000000"/>
                <w:sz w:val="18"/>
                <w:szCs w:val="18"/>
              </w:rPr>
              <w:t>Lucrin</w:t>
            </w:r>
            <w:proofErr w:type="spellEnd"/>
            <w:r w:rsidRPr="00AC692A">
              <w:rPr>
                <w:rFonts w:asciiTheme="minorHAnsi" w:hAnsiTheme="minorHAnsi" w:cstheme="minorHAnsi"/>
                <w:color w:val="000000"/>
                <w:sz w:val="18"/>
                <w:szCs w:val="18"/>
              </w:rPr>
              <w:t xml:space="preserve"> Paediatric®). In making this recommendation, the PBAC considered that </w:t>
            </w:r>
            <w:proofErr w:type="spellStart"/>
            <w:r w:rsidRPr="00AC692A">
              <w:rPr>
                <w:rFonts w:asciiTheme="minorHAnsi" w:hAnsiTheme="minorHAnsi" w:cstheme="minorHAnsi"/>
                <w:color w:val="000000"/>
                <w:sz w:val="18"/>
                <w:szCs w:val="18"/>
              </w:rPr>
              <w:t>Eligard</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6 month was non-inferior in effectiveness and safety to </w:t>
            </w:r>
            <w:proofErr w:type="spellStart"/>
            <w:r w:rsidRPr="00AC692A">
              <w:rPr>
                <w:rFonts w:asciiTheme="minorHAnsi" w:hAnsiTheme="minorHAnsi" w:cstheme="minorHAnsi"/>
                <w:color w:val="000000"/>
                <w:sz w:val="18"/>
                <w:szCs w:val="18"/>
              </w:rPr>
              <w:t>Lucrin</w:t>
            </w:r>
            <w:proofErr w:type="spellEnd"/>
            <w:r w:rsidRPr="00AC692A">
              <w:rPr>
                <w:rFonts w:asciiTheme="minorHAnsi" w:hAnsiTheme="minorHAnsi" w:cstheme="minorHAnsi"/>
                <w:color w:val="000000"/>
                <w:sz w:val="18"/>
                <w:szCs w:val="18"/>
              </w:rPr>
              <w:t xml:space="preserve"> Paediatric® and triptorelin </w:t>
            </w:r>
            <w:proofErr w:type="spellStart"/>
            <w:r w:rsidRPr="00AC692A">
              <w:rPr>
                <w:rFonts w:asciiTheme="minorHAnsi" w:hAnsiTheme="minorHAnsi" w:cstheme="minorHAnsi"/>
                <w:color w:val="000000"/>
                <w:sz w:val="18"/>
                <w:szCs w:val="18"/>
              </w:rPr>
              <w:t>embonate</w:t>
            </w:r>
            <w:proofErr w:type="spellEnd"/>
            <w:r w:rsidRPr="00AC692A">
              <w:rPr>
                <w:rFonts w:asciiTheme="minorHAnsi" w:hAnsiTheme="minorHAnsi" w:cstheme="minorHAnsi"/>
                <w:color w:val="000000"/>
                <w:sz w:val="18"/>
                <w:szCs w:val="18"/>
              </w:rPr>
              <w:t xml:space="preserve"> (</w:t>
            </w:r>
            <w:proofErr w:type="spellStart"/>
            <w:r w:rsidRPr="00AC692A">
              <w:rPr>
                <w:rFonts w:asciiTheme="minorHAnsi" w:hAnsiTheme="minorHAnsi" w:cstheme="minorHAnsi"/>
                <w:color w:val="000000"/>
                <w:sz w:val="18"/>
                <w:szCs w:val="18"/>
              </w:rPr>
              <w:t>Diphereline</w:t>
            </w:r>
            <w:proofErr w:type="spellEnd"/>
            <w:r w:rsidRPr="00AC692A">
              <w:rPr>
                <w:rFonts w:asciiTheme="minorHAnsi" w:hAnsiTheme="minorHAnsi" w:cstheme="minorHAnsi"/>
                <w:color w:val="000000"/>
                <w:sz w:val="18"/>
                <w:szCs w:val="18"/>
              </w:rPr>
              <w:t xml:space="preserve">®) for the treatment of CPP. The PBAC considered that the </w:t>
            </w:r>
            <w:proofErr w:type="spellStart"/>
            <w:r w:rsidRPr="00AC692A">
              <w:rPr>
                <w:rFonts w:asciiTheme="minorHAnsi" w:hAnsiTheme="minorHAnsi" w:cstheme="minorHAnsi"/>
                <w:color w:val="000000"/>
                <w:sz w:val="18"/>
                <w:szCs w:val="18"/>
              </w:rPr>
              <w:t>equi</w:t>
            </w:r>
            <w:proofErr w:type="spellEnd"/>
            <w:r w:rsidRPr="00AC692A">
              <w:rPr>
                <w:rFonts w:asciiTheme="minorHAnsi" w:hAnsiTheme="minorHAnsi" w:cstheme="minorHAnsi"/>
                <w:color w:val="000000"/>
                <w:sz w:val="18"/>
                <w:szCs w:val="18"/>
              </w:rPr>
              <w:t>-effective doses over a 1-year period were:</w:t>
            </w:r>
          </w:p>
          <w:p w14:paraId="67D5CCEC" w14:textId="1E4B2C65" w:rsidR="004A5B38" w:rsidRPr="00AC692A" w:rsidRDefault="004A5B38" w:rsidP="004A5B38">
            <w:pPr>
              <w:keepLines/>
              <w:rPr>
                <w:rFonts w:asciiTheme="minorHAnsi" w:hAnsiTheme="minorHAnsi" w:cstheme="minorHAnsi"/>
                <w:color w:val="000000"/>
                <w:sz w:val="18"/>
                <w:szCs w:val="18"/>
              </w:rPr>
            </w:pPr>
            <w:r w:rsidRPr="00AC692A">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AC692A">
              <w:rPr>
                <w:rFonts w:asciiTheme="minorHAnsi" w:hAnsiTheme="minorHAnsi" w:cstheme="minorHAnsi"/>
                <w:color w:val="000000"/>
                <w:sz w:val="18"/>
                <w:szCs w:val="18"/>
              </w:rPr>
              <w:t xml:space="preserve">2 injections of </w:t>
            </w:r>
            <w:proofErr w:type="spellStart"/>
            <w:r w:rsidRPr="00AC692A">
              <w:rPr>
                <w:rFonts w:asciiTheme="minorHAnsi" w:hAnsiTheme="minorHAnsi" w:cstheme="minorHAnsi"/>
                <w:color w:val="000000"/>
                <w:sz w:val="18"/>
                <w:szCs w:val="18"/>
              </w:rPr>
              <w:t>Eligard</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6 month (45 mg) ≡ 4 injections of </w:t>
            </w:r>
            <w:proofErr w:type="spellStart"/>
            <w:r w:rsidRPr="00AC692A">
              <w:rPr>
                <w:rFonts w:asciiTheme="minorHAnsi" w:hAnsiTheme="minorHAnsi" w:cstheme="minorHAnsi"/>
                <w:color w:val="000000"/>
                <w:sz w:val="18"/>
                <w:szCs w:val="18"/>
              </w:rPr>
              <w:t>Lucrin</w:t>
            </w:r>
            <w:proofErr w:type="spellEnd"/>
            <w:r w:rsidRPr="00AC692A">
              <w:rPr>
                <w:rFonts w:asciiTheme="minorHAnsi" w:hAnsiTheme="minorHAnsi" w:cstheme="minorHAnsi"/>
                <w:color w:val="000000"/>
                <w:sz w:val="18"/>
                <w:szCs w:val="18"/>
              </w:rPr>
              <w:t xml:space="preserve"> Paediatric® </w:t>
            </w:r>
          </w:p>
          <w:p w14:paraId="2F515446" w14:textId="2A0CFC4F"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AC692A">
              <w:rPr>
                <w:rFonts w:asciiTheme="minorHAnsi" w:hAnsiTheme="minorHAnsi" w:cstheme="minorHAnsi"/>
                <w:color w:val="000000"/>
                <w:sz w:val="18"/>
                <w:szCs w:val="18"/>
              </w:rPr>
              <w:t xml:space="preserve">2 injections of </w:t>
            </w:r>
            <w:proofErr w:type="spellStart"/>
            <w:r w:rsidRPr="00AC692A">
              <w:rPr>
                <w:rFonts w:asciiTheme="minorHAnsi" w:hAnsiTheme="minorHAnsi" w:cstheme="minorHAnsi"/>
                <w:color w:val="000000"/>
                <w:sz w:val="18"/>
                <w:szCs w:val="18"/>
              </w:rPr>
              <w:t>Eligard</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6 month (45 mg) ≡ 2 injections of </w:t>
            </w:r>
            <w:proofErr w:type="spellStart"/>
            <w:r w:rsidRPr="00AC692A">
              <w:rPr>
                <w:rFonts w:asciiTheme="minorHAnsi" w:hAnsiTheme="minorHAnsi" w:cstheme="minorHAnsi"/>
                <w:color w:val="000000"/>
                <w:sz w:val="18"/>
                <w:szCs w:val="18"/>
              </w:rPr>
              <w:t>Diphereline</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(22.5 mg)</w:t>
            </w:r>
          </w:p>
        </w:tc>
      </w:tr>
      <w:tr w:rsidR="004A5B38" w:rsidRPr="00567D48" w14:paraId="469BDF78" w14:textId="77777777" w:rsidTr="00315536">
        <w:trPr>
          <w:cantSplit/>
          <w:trHeight w:val="2948"/>
        </w:trPr>
        <w:tc>
          <w:tcPr>
            <w:tcW w:w="3013" w:type="dxa"/>
            <w:shd w:val="clear" w:color="auto" w:fill="auto"/>
            <w:tcMar>
              <w:top w:w="28" w:type="dxa"/>
              <w:bottom w:w="28" w:type="dxa"/>
            </w:tcMar>
            <w:vAlign w:val="center"/>
          </w:tcPr>
          <w:p w14:paraId="0A89DA23" w14:textId="3CA5DA94"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MIDAZOLAM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Oromucosal</w:t>
            </w:r>
            <w:proofErr w:type="spellEnd"/>
            <w:r w:rsidRPr="001B15BA">
              <w:rPr>
                <w:rFonts w:asciiTheme="minorHAnsi" w:hAnsiTheme="minorHAnsi" w:cstheme="minorHAnsi"/>
                <w:color w:val="000000"/>
                <w:sz w:val="18"/>
                <w:szCs w:val="18"/>
              </w:rPr>
              <w:t xml:space="preserve"> solution in pre-filled syringe 2.5 mg in 0.25 mL</w:t>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Oromucosal</w:t>
            </w:r>
            <w:proofErr w:type="spellEnd"/>
            <w:r w:rsidRPr="001B15BA">
              <w:rPr>
                <w:rFonts w:asciiTheme="minorHAnsi" w:hAnsiTheme="minorHAnsi" w:cstheme="minorHAnsi"/>
                <w:color w:val="000000"/>
                <w:sz w:val="18"/>
                <w:szCs w:val="18"/>
              </w:rPr>
              <w:t xml:space="preserve"> solution in pre-filled syringe 5 mg in 0.5 mL</w:t>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Oromucosal</w:t>
            </w:r>
            <w:proofErr w:type="spellEnd"/>
            <w:r w:rsidRPr="001B15BA">
              <w:rPr>
                <w:rFonts w:asciiTheme="minorHAnsi" w:hAnsiTheme="minorHAnsi" w:cstheme="minorHAnsi"/>
                <w:color w:val="000000"/>
                <w:sz w:val="18"/>
                <w:szCs w:val="18"/>
              </w:rPr>
              <w:t xml:space="preserve"> solution in pre-filled syringe 7.5 mg in 0.75 mL</w:t>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Oromucosal</w:t>
            </w:r>
            <w:proofErr w:type="spellEnd"/>
            <w:r w:rsidRPr="001B15BA">
              <w:rPr>
                <w:rFonts w:asciiTheme="minorHAnsi" w:hAnsiTheme="minorHAnsi" w:cstheme="minorHAnsi"/>
                <w:color w:val="000000"/>
                <w:sz w:val="18"/>
                <w:szCs w:val="18"/>
              </w:rPr>
              <w:t xml:space="preserve"> solution in pre-filled syringe 10 mg in 1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Zyamis</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Clinect</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65822EE7" w14:textId="12C44905"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Epilepsy</w:t>
            </w:r>
          </w:p>
        </w:tc>
        <w:tc>
          <w:tcPr>
            <w:tcW w:w="3288" w:type="dxa"/>
            <w:shd w:val="clear" w:color="auto" w:fill="auto"/>
            <w:tcMar>
              <w:top w:w="28" w:type="dxa"/>
              <w:bottom w:w="28" w:type="dxa"/>
            </w:tcMar>
            <w:vAlign w:val="center"/>
          </w:tcPr>
          <w:p w14:paraId="4E4E4AFA" w14:textId="0E3F8231"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the treatment of generalised convulsive status epilepticus.</w:t>
            </w:r>
          </w:p>
        </w:tc>
        <w:tc>
          <w:tcPr>
            <w:tcW w:w="1987" w:type="dxa"/>
            <w:shd w:val="clear" w:color="auto" w:fill="auto"/>
            <w:vAlign w:val="center"/>
          </w:tcPr>
          <w:p w14:paraId="2C9F4AB6" w14:textId="7E9BA6A6"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3247665D" w14:textId="77777777" w:rsidR="00657AE2" w:rsidRDefault="004A5B38" w:rsidP="004A5B38">
            <w:pPr>
              <w:pStyle w:val="ListParagraph"/>
              <w:keepLines/>
              <w:ind w:left="0"/>
              <w:rPr>
                <w:rFonts w:asciiTheme="minorHAnsi" w:hAnsiTheme="minorHAnsi" w:cstheme="minorHAnsi"/>
                <w:color w:val="000000"/>
                <w:sz w:val="18"/>
                <w:szCs w:val="18"/>
              </w:rPr>
            </w:pPr>
            <w:r w:rsidRPr="00A05CC6">
              <w:rPr>
                <w:rFonts w:asciiTheme="minorHAnsi" w:hAnsiTheme="minorHAnsi" w:cstheme="minorHAnsi"/>
                <w:color w:val="000000"/>
                <w:sz w:val="18"/>
                <w:szCs w:val="18"/>
              </w:rPr>
              <w:t xml:space="preserve">The PBAC did not recommended midazolam </w:t>
            </w:r>
            <w:proofErr w:type="spellStart"/>
            <w:r w:rsidRPr="00A05CC6">
              <w:rPr>
                <w:rFonts w:asciiTheme="minorHAnsi" w:hAnsiTheme="minorHAnsi" w:cstheme="minorHAnsi"/>
                <w:color w:val="000000"/>
                <w:sz w:val="18"/>
                <w:szCs w:val="18"/>
              </w:rPr>
              <w:t>oromucosal</w:t>
            </w:r>
            <w:proofErr w:type="spellEnd"/>
            <w:r w:rsidRPr="00A05CC6">
              <w:rPr>
                <w:rFonts w:asciiTheme="minorHAnsi" w:hAnsiTheme="minorHAnsi" w:cstheme="minorHAnsi"/>
                <w:color w:val="000000"/>
                <w:sz w:val="18"/>
                <w:szCs w:val="18"/>
              </w:rPr>
              <w:t xml:space="preserve"> solution for the treatment of generalised convulsive status epilepticus. The PBAC considered that the proposed population was not well defined, and that expert clinical advice would be needed to refine the PBS restriction. The PBAC noted that a number of benefits were described in the consumer comments, the ESC </w:t>
            </w:r>
            <w:proofErr w:type="gramStart"/>
            <w:r w:rsidRPr="00A05CC6">
              <w:rPr>
                <w:rFonts w:asciiTheme="minorHAnsi" w:hAnsiTheme="minorHAnsi" w:cstheme="minorHAnsi"/>
                <w:color w:val="000000"/>
                <w:sz w:val="18"/>
                <w:szCs w:val="18"/>
              </w:rPr>
              <w:t>advice</w:t>
            </w:r>
            <w:proofErr w:type="gramEnd"/>
            <w:r w:rsidRPr="00A05CC6">
              <w:rPr>
                <w:rFonts w:asciiTheme="minorHAnsi" w:hAnsiTheme="minorHAnsi" w:cstheme="minorHAnsi"/>
                <w:color w:val="000000"/>
                <w:sz w:val="18"/>
                <w:szCs w:val="18"/>
              </w:rPr>
              <w:t xml:space="preserve"> and the submission documents, including reduced time to administration of the dose, reduced risk of incorrect dosing and ease of administration for carers during the acute stressful situation of a seizure. However, the PBAC considered that the proposed price was not justified by the submission and that a price reduction would be required to achieve a cost-effective listing. The PBAC considered that revised financial estimates would be required to incorporate changes to the restriction and price, and that a risk sharing arrangement would be required due to uncertain financial estimates. </w:t>
            </w:r>
          </w:p>
          <w:p w14:paraId="387D4203" w14:textId="77777777" w:rsidR="00657AE2" w:rsidRDefault="00657AE2" w:rsidP="004A5B38">
            <w:pPr>
              <w:pStyle w:val="ListParagraph"/>
              <w:keepLines/>
              <w:ind w:left="0"/>
              <w:rPr>
                <w:rFonts w:asciiTheme="minorHAnsi" w:hAnsiTheme="minorHAnsi" w:cstheme="minorHAnsi"/>
                <w:color w:val="000000"/>
                <w:sz w:val="18"/>
                <w:szCs w:val="18"/>
              </w:rPr>
            </w:pPr>
          </w:p>
          <w:p w14:paraId="0B8FCCAA" w14:textId="666DC871" w:rsidR="004A5B38" w:rsidRDefault="004A5B38" w:rsidP="004A5B38">
            <w:pPr>
              <w:pStyle w:val="ListParagraph"/>
              <w:keepLines/>
              <w:ind w:left="0"/>
              <w:rPr>
                <w:rFonts w:asciiTheme="minorHAnsi" w:hAnsiTheme="minorHAnsi" w:cstheme="minorHAnsi"/>
                <w:color w:val="000000"/>
                <w:sz w:val="18"/>
                <w:szCs w:val="18"/>
              </w:rPr>
            </w:pPr>
            <w:r w:rsidRPr="00A05CC6">
              <w:rPr>
                <w:rFonts w:asciiTheme="minorHAnsi" w:hAnsiTheme="minorHAnsi" w:cstheme="minorHAnsi"/>
                <w:color w:val="000000"/>
                <w:sz w:val="18"/>
                <w:szCs w:val="18"/>
              </w:rPr>
              <w:t>The PBAC nominated the Early Re-entry resubmission pathway for this item.</w:t>
            </w:r>
          </w:p>
          <w:p w14:paraId="1683D92F" w14:textId="77777777" w:rsidR="00B10BEF" w:rsidRDefault="00B10BEF" w:rsidP="004A5B38">
            <w:pPr>
              <w:pStyle w:val="ListParagraph"/>
              <w:keepLines/>
              <w:ind w:left="0"/>
              <w:rPr>
                <w:rFonts w:asciiTheme="minorHAnsi" w:hAnsiTheme="minorHAnsi" w:cstheme="minorHAnsi"/>
                <w:color w:val="000000"/>
                <w:sz w:val="18"/>
                <w:szCs w:val="18"/>
              </w:rPr>
            </w:pPr>
          </w:p>
          <w:p w14:paraId="78B3BF8A" w14:textId="550EAE7D" w:rsidR="00B10BEF" w:rsidRDefault="00B10BEF" w:rsidP="004A5B38">
            <w:pPr>
              <w:pStyle w:val="ListParagraph"/>
              <w:keepLines/>
              <w:ind w:left="0"/>
              <w:rPr>
                <w:rFonts w:asciiTheme="minorHAnsi" w:hAnsiTheme="minorHAnsi" w:cs="Arial"/>
                <w:snapToGrid w:val="0"/>
                <w:color w:val="000000"/>
                <w:sz w:val="18"/>
                <w:szCs w:val="18"/>
                <w:u w:val="single"/>
              </w:rPr>
            </w:pPr>
            <w:r w:rsidRPr="000171D6">
              <w:rPr>
                <w:rFonts w:asciiTheme="minorHAnsi" w:hAnsiTheme="minorHAnsi" w:cs="Arial"/>
                <w:snapToGrid w:val="0"/>
                <w:color w:val="000000"/>
                <w:sz w:val="18"/>
                <w:szCs w:val="18"/>
                <w:u w:val="single"/>
              </w:rPr>
              <w:t>Sponsor Comment:</w:t>
            </w:r>
          </w:p>
          <w:p w14:paraId="7602058D" w14:textId="2AFCF20D" w:rsidR="00B10BEF" w:rsidRPr="00A05CC6" w:rsidRDefault="00913EF4" w:rsidP="004A5B38">
            <w:pPr>
              <w:pStyle w:val="ListParagraph"/>
              <w:keepLines/>
              <w:ind w:left="0"/>
              <w:rPr>
                <w:rFonts w:asciiTheme="minorHAnsi" w:hAnsiTheme="minorHAnsi" w:cstheme="minorHAnsi"/>
                <w:color w:val="000000"/>
                <w:sz w:val="18"/>
                <w:szCs w:val="18"/>
              </w:rPr>
            </w:pPr>
            <w:proofErr w:type="spellStart"/>
            <w:r w:rsidRPr="005306B9">
              <w:rPr>
                <w:rFonts w:asciiTheme="minorHAnsi" w:hAnsiTheme="minorHAnsi" w:cs="Arial"/>
                <w:snapToGrid w:val="0"/>
                <w:color w:val="000000"/>
                <w:sz w:val="18"/>
                <w:szCs w:val="18"/>
              </w:rPr>
              <w:t>Clinect</w:t>
            </w:r>
            <w:proofErr w:type="spellEnd"/>
            <w:r w:rsidRPr="005306B9">
              <w:rPr>
                <w:rFonts w:asciiTheme="minorHAnsi" w:hAnsiTheme="minorHAnsi" w:cs="Arial"/>
                <w:snapToGrid w:val="0"/>
                <w:color w:val="000000"/>
                <w:sz w:val="18"/>
                <w:szCs w:val="18"/>
              </w:rPr>
              <w:t xml:space="preserve"> will continue to work with the PBAC to provide access to </w:t>
            </w:r>
            <w:proofErr w:type="spellStart"/>
            <w:r w:rsidRPr="005306B9">
              <w:rPr>
                <w:rFonts w:asciiTheme="minorHAnsi" w:hAnsiTheme="minorHAnsi" w:cs="Arial"/>
                <w:snapToGrid w:val="0"/>
                <w:color w:val="000000"/>
                <w:sz w:val="18"/>
                <w:szCs w:val="18"/>
              </w:rPr>
              <w:t>Zyamis</w:t>
            </w:r>
            <w:proofErr w:type="spellEnd"/>
            <w:r w:rsidRPr="005306B9">
              <w:rPr>
                <w:rFonts w:asciiTheme="minorHAnsi" w:hAnsiTheme="minorHAnsi" w:cs="Arial"/>
                <w:snapToGrid w:val="0"/>
                <w:color w:val="000000"/>
                <w:sz w:val="18"/>
                <w:szCs w:val="18"/>
              </w:rPr>
              <w:t>® for this patient group.</w:t>
            </w:r>
          </w:p>
        </w:tc>
      </w:tr>
      <w:tr w:rsidR="004A5B38" w:rsidRPr="00567D48" w14:paraId="5EC245EB" w14:textId="77777777" w:rsidTr="00315536">
        <w:trPr>
          <w:cantSplit/>
          <w:trHeight w:val="2948"/>
        </w:trPr>
        <w:tc>
          <w:tcPr>
            <w:tcW w:w="3013" w:type="dxa"/>
            <w:shd w:val="clear" w:color="auto" w:fill="auto"/>
            <w:tcMar>
              <w:top w:w="28" w:type="dxa"/>
              <w:bottom w:w="28" w:type="dxa"/>
            </w:tcMar>
            <w:vAlign w:val="center"/>
          </w:tcPr>
          <w:p w14:paraId="70384D83" w14:textId="0F70434F"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NATALIZUMAB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300 mg in 15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Tysabri®</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Biogen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Committee secretariat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3B029E50" w14:textId="17657262"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Multiple sclerosis</w:t>
            </w:r>
          </w:p>
        </w:tc>
        <w:tc>
          <w:tcPr>
            <w:tcW w:w="3288" w:type="dxa"/>
            <w:shd w:val="clear" w:color="auto" w:fill="auto"/>
            <w:tcMar>
              <w:top w:w="28" w:type="dxa"/>
              <w:bottom w:w="28" w:type="dxa"/>
            </w:tcMar>
            <w:vAlign w:val="center"/>
          </w:tcPr>
          <w:p w14:paraId="6E80497D" w14:textId="55B6533F"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removal of the clinical criterion which requires neurologists prescribing natalizumab under the PBS to be registered with the Tysabri Australian Prescribing Program.</w:t>
            </w:r>
          </w:p>
        </w:tc>
        <w:tc>
          <w:tcPr>
            <w:tcW w:w="1987" w:type="dxa"/>
            <w:shd w:val="clear" w:color="auto" w:fill="auto"/>
            <w:vAlign w:val="center"/>
          </w:tcPr>
          <w:p w14:paraId="4A9025DD" w14:textId="19D34E65"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17096707" w14:textId="52EFB5DA"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1B15BA">
              <w:rPr>
                <w:rFonts w:asciiTheme="minorHAnsi" w:hAnsiTheme="minorHAnsi" w:cstheme="minorHAnsi"/>
                <w:color w:val="000000"/>
                <w:sz w:val="18"/>
                <w:szCs w:val="18"/>
              </w:rPr>
              <w:t>The PBAC recommended removing the prescribing instruction ‘Neurologists prescribing natalizumab under the PBS listing must be registered with the Tysabri</w:t>
            </w:r>
            <w:r w:rsidR="00657AE2" w:rsidRPr="001B15BA">
              <w:rPr>
                <w:rFonts w:asciiTheme="minorHAnsi" w:hAnsiTheme="minorHAnsi" w:cstheme="minorHAnsi"/>
                <w:color w:val="000000"/>
                <w:sz w:val="18"/>
                <w:szCs w:val="18"/>
              </w:rPr>
              <w:t>®</w:t>
            </w:r>
            <w:r w:rsidR="00657AE2">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 xml:space="preserve">Australian Prescribing Program’ from the circumstances under which natalizumab (Tysabri®) is available on the PBS for the treatment of clinically definite relapsing-remitting multiple sclerosis. </w:t>
            </w:r>
          </w:p>
        </w:tc>
      </w:tr>
      <w:tr w:rsidR="004A5B38" w:rsidRPr="00567D48" w14:paraId="654C8FE5" w14:textId="77777777" w:rsidTr="00315536">
        <w:trPr>
          <w:cantSplit/>
          <w:trHeight w:val="2948"/>
        </w:trPr>
        <w:tc>
          <w:tcPr>
            <w:tcW w:w="3013" w:type="dxa"/>
            <w:shd w:val="clear" w:color="auto" w:fill="auto"/>
            <w:tcMar>
              <w:top w:w="28" w:type="dxa"/>
              <w:bottom w:w="28" w:type="dxa"/>
            </w:tcMar>
            <w:vAlign w:val="center"/>
          </w:tcPr>
          <w:p w14:paraId="0DB62D14" w14:textId="41BF33D6"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t xml:space="preserve">NIVOLUMAB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concentrate for I.V. infusion 40 mg in 4 mL</w:t>
            </w:r>
            <w:r w:rsidRPr="001B15BA">
              <w:rPr>
                <w:rFonts w:asciiTheme="minorHAnsi" w:hAnsiTheme="minorHAnsi" w:cstheme="minorHAnsi"/>
                <w:color w:val="000000"/>
                <w:sz w:val="18"/>
                <w:szCs w:val="18"/>
              </w:rPr>
              <w:br/>
              <w:t>Injection concentrate for I.V. infusion 100 mg in 10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Opdivo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Bristol-Myers Squibb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20EC0F6A" w14:textId="302DD537"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Urothelial carcinoma</w:t>
            </w:r>
          </w:p>
        </w:tc>
        <w:tc>
          <w:tcPr>
            <w:tcW w:w="3288" w:type="dxa"/>
            <w:shd w:val="clear" w:color="auto" w:fill="auto"/>
            <w:tcMar>
              <w:top w:w="28" w:type="dxa"/>
              <w:bottom w:w="28" w:type="dxa"/>
            </w:tcMar>
            <w:vAlign w:val="center"/>
          </w:tcPr>
          <w:p w14:paraId="1B18235C" w14:textId="241BD466"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Section 100 (Efficient Funding of Chemotherapy Program) Authority Required listing for adjuvant treatment of patients who have undergone radical resection of muscle invasive urothelial carcinoma originating in the bladder or upper urinary tract (renal pelvis or ureter) and are at high risk of recurrence.</w:t>
            </w:r>
          </w:p>
        </w:tc>
        <w:tc>
          <w:tcPr>
            <w:tcW w:w="1987" w:type="dxa"/>
            <w:shd w:val="clear" w:color="auto" w:fill="auto"/>
            <w:vAlign w:val="center"/>
          </w:tcPr>
          <w:p w14:paraId="08114FB3" w14:textId="322478A0"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2960CDE9" w14:textId="7E9896DB" w:rsidR="00AF000E" w:rsidRDefault="00AF000E" w:rsidP="004A5B38">
            <w:pPr>
              <w:pStyle w:val="ListParagraph"/>
              <w:keepLines/>
              <w:ind w:left="0"/>
              <w:rPr>
                <w:rFonts w:asciiTheme="minorHAnsi" w:hAnsiTheme="minorHAnsi" w:cstheme="minorHAnsi"/>
                <w:color w:val="000000"/>
                <w:sz w:val="18"/>
                <w:szCs w:val="18"/>
              </w:rPr>
            </w:pPr>
            <w:r w:rsidRPr="00AF000E">
              <w:rPr>
                <w:rFonts w:asciiTheme="minorHAnsi" w:hAnsiTheme="minorHAnsi" w:cstheme="minorHAnsi"/>
                <w:color w:val="000000"/>
                <w:sz w:val="18"/>
                <w:szCs w:val="18"/>
              </w:rPr>
              <w:t>The PBAC did not recommend the listing of nivolumab for adjuvant treatment of patients who have undergone radical resection of muscle invasive urothelial carcinoma originating in the bladder or upper urinary tract (renal pelvis or ureter) and are at high risk of recurrence. The PBAC considered that, while a small improvement in disease free survival was demonstrated with nivolumab compared to placebo in the overall trial population, there was a strong suggestion that a benefit was observed only in patients who had received prior neoadjuvant platinum-based chemotherapy. The PBAC also noted the impact of nivolumab on overall survival was unknown. The PBAC considered that the incremental cost-effectiveness ratio was uncertain and likely underestimated, and that revisions to the structure and inputs for the economic model are required.</w:t>
            </w:r>
          </w:p>
          <w:p w14:paraId="3EE04379" w14:textId="77777777" w:rsidR="00AF000E" w:rsidRPr="00315536" w:rsidRDefault="00AF000E" w:rsidP="004A5B38">
            <w:pPr>
              <w:pStyle w:val="ListParagraph"/>
              <w:keepLines/>
              <w:ind w:left="0"/>
              <w:rPr>
                <w:rFonts w:asciiTheme="minorHAnsi" w:hAnsiTheme="minorHAnsi" w:cstheme="minorHAnsi"/>
                <w:color w:val="000000"/>
                <w:sz w:val="18"/>
                <w:szCs w:val="18"/>
              </w:rPr>
            </w:pPr>
          </w:p>
          <w:p w14:paraId="14C13D1A"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1B2B4040" w14:textId="08C152A4" w:rsidR="006409F7" w:rsidRPr="001B15BA" w:rsidRDefault="006409F7" w:rsidP="004A5B38">
            <w:pPr>
              <w:pStyle w:val="ListParagraph"/>
              <w:keepLines/>
              <w:ind w:left="0"/>
              <w:rPr>
                <w:rFonts w:asciiTheme="minorHAnsi" w:hAnsiTheme="minorHAnsi" w:cstheme="minorHAnsi"/>
                <w:color w:val="000000"/>
                <w:sz w:val="18"/>
                <w:szCs w:val="18"/>
              </w:rPr>
            </w:pPr>
            <w:r w:rsidRPr="006409F7">
              <w:rPr>
                <w:rFonts w:asciiTheme="minorHAnsi" w:hAnsiTheme="minorHAnsi" w:cstheme="minorHAnsi"/>
                <w:color w:val="000000"/>
                <w:sz w:val="18"/>
                <w:szCs w:val="18"/>
              </w:rPr>
              <w:t>The Sponsor is committed to working with the PBAC to bring nivolumab for the adjuvant treatment of patients with high-risk muscle invasive urothelial carcinoma to Australian patients in a timely manner.</w:t>
            </w:r>
          </w:p>
        </w:tc>
      </w:tr>
      <w:tr w:rsidR="004A5B38" w:rsidRPr="00567D48" w14:paraId="22373921" w14:textId="77777777" w:rsidTr="00315536">
        <w:trPr>
          <w:cantSplit/>
          <w:trHeight w:val="2948"/>
        </w:trPr>
        <w:tc>
          <w:tcPr>
            <w:tcW w:w="3013" w:type="dxa"/>
            <w:shd w:val="clear" w:color="auto" w:fill="auto"/>
            <w:tcMar>
              <w:top w:w="28" w:type="dxa"/>
              <w:bottom w:w="28" w:type="dxa"/>
            </w:tcMar>
            <w:vAlign w:val="center"/>
          </w:tcPr>
          <w:p w14:paraId="383D7F11" w14:textId="5F346AF0"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NIVOLUMAB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concentrate for I.V. infusion 40 mg in 4 mL</w:t>
            </w:r>
            <w:r w:rsidRPr="001B15BA">
              <w:rPr>
                <w:rFonts w:asciiTheme="minorHAnsi" w:hAnsiTheme="minorHAnsi" w:cstheme="minorHAnsi"/>
                <w:color w:val="000000"/>
                <w:sz w:val="18"/>
                <w:szCs w:val="18"/>
              </w:rPr>
              <w:br/>
              <w:t>Injection concentrate for I.V. infusion 100 mg in 10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Opdivo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Bristol-Myers Squibb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2A40905C" w14:textId="7EBCDB57"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Oesophageal carcinoma or gastroesophageal junction carcinoma</w:t>
            </w:r>
          </w:p>
        </w:tc>
        <w:tc>
          <w:tcPr>
            <w:tcW w:w="3288" w:type="dxa"/>
            <w:shd w:val="clear" w:color="auto" w:fill="auto"/>
            <w:tcMar>
              <w:top w:w="28" w:type="dxa"/>
              <w:bottom w:w="28" w:type="dxa"/>
            </w:tcMar>
            <w:vAlign w:val="center"/>
          </w:tcPr>
          <w:p w14:paraId="09EEE374" w14:textId="227B9694"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Section 100 (Efficient Funding of Chemotherapy Program) Authority Required listing for the adjuvant treatment of patients with oesophageal carcinoma or gastroesophageal junction carcinoma who have previously received platinum-based chemoradiotherapy and surgery.</w:t>
            </w:r>
          </w:p>
        </w:tc>
        <w:tc>
          <w:tcPr>
            <w:tcW w:w="1987" w:type="dxa"/>
            <w:shd w:val="clear" w:color="auto" w:fill="auto"/>
            <w:vAlign w:val="center"/>
          </w:tcPr>
          <w:p w14:paraId="2C989E4D" w14:textId="5EBDC164"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480FE8B9" w14:textId="036413B1" w:rsidR="00AF000E" w:rsidRPr="00315536" w:rsidRDefault="00AF000E" w:rsidP="00315536">
            <w:pPr>
              <w:keepLines/>
              <w:rPr>
                <w:rFonts w:asciiTheme="minorHAnsi" w:hAnsiTheme="minorHAnsi" w:cstheme="minorHAnsi"/>
                <w:color w:val="000000"/>
                <w:sz w:val="18"/>
                <w:szCs w:val="18"/>
              </w:rPr>
            </w:pPr>
            <w:r w:rsidRPr="00315536">
              <w:rPr>
                <w:rFonts w:asciiTheme="minorHAnsi" w:hAnsiTheme="minorHAnsi" w:cstheme="minorHAnsi"/>
                <w:color w:val="000000"/>
                <w:sz w:val="18"/>
                <w:szCs w:val="18"/>
              </w:rPr>
              <w:t>The PBAC did not recommend the listing of nivolumab for the adjuvant treatment of patients with oesophageal carcinoma (O</w:t>
            </w:r>
            <w:r w:rsidR="001511D3">
              <w:rPr>
                <w:rFonts w:asciiTheme="minorHAnsi" w:hAnsiTheme="minorHAnsi" w:cstheme="minorHAnsi"/>
                <w:color w:val="000000"/>
                <w:sz w:val="18"/>
                <w:szCs w:val="18"/>
              </w:rPr>
              <w:t>C</w:t>
            </w:r>
            <w:r w:rsidRPr="00315536">
              <w:rPr>
                <w:rFonts w:asciiTheme="minorHAnsi" w:hAnsiTheme="minorHAnsi" w:cstheme="minorHAnsi"/>
                <w:color w:val="000000"/>
                <w:sz w:val="18"/>
                <w:szCs w:val="18"/>
              </w:rPr>
              <w:t xml:space="preserve">) or gastroesophageal junction carcinoma (GOJC) who have previously received platinum-based chemoradiotherapy and surgery. The PBAC considered nivolumab provided moderate clinical benefit over ‘watch and wait’ surveillance in terms of </w:t>
            </w:r>
            <w:proofErr w:type="gramStart"/>
            <w:r w:rsidRPr="00315536">
              <w:rPr>
                <w:rFonts w:asciiTheme="minorHAnsi" w:hAnsiTheme="minorHAnsi" w:cstheme="minorHAnsi"/>
                <w:color w:val="000000"/>
                <w:sz w:val="18"/>
                <w:szCs w:val="18"/>
              </w:rPr>
              <w:t>disease free</w:t>
            </w:r>
            <w:proofErr w:type="gramEnd"/>
            <w:r w:rsidRPr="00315536">
              <w:rPr>
                <w:rFonts w:asciiTheme="minorHAnsi" w:hAnsiTheme="minorHAnsi" w:cstheme="minorHAnsi"/>
                <w:color w:val="000000"/>
                <w:sz w:val="18"/>
                <w:szCs w:val="18"/>
              </w:rPr>
              <w:t xml:space="preserve"> survival, however it was uncertain if it provided an overall survival benefit as clinical data for this outcome was unavailable. The PBAC considered the </w:t>
            </w:r>
            <w:r w:rsidR="00BD4F07">
              <w:rPr>
                <w:rFonts w:asciiTheme="minorHAnsi" w:hAnsiTheme="minorHAnsi" w:cstheme="minorHAnsi"/>
                <w:color w:val="000000"/>
                <w:sz w:val="18"/>
                <w:szCs w:val="18"/>
              </w:rPr>
              <w:t>incremental cost-effectiveness ratio</w:t>
            </w:r>
            <w:r w:rsidR="00E05420">
              <w:rPr>
                <w:rFonts w:asciiTheme="minorHAnsi" w:hAnsiTheme="minorHAnsi" w:cstheme="minorHAnsi"/>
                <w:color w:val="000000"/>
                <w:sz w:val="18"/>
                <w:szCs w:val="18"/>
              </w:rPr>
              <w:t xml:space="preserve"> (ICER)</w:t>
            </w:r>
            <w:r w:rsidR="00BD4F07">
              <w:rPr>
                <w:rFonts w:asciiTheme="minorHAnsi" w:hAnsiTheme="minorHAnsi" w:cstheme="minorHAnsi"/>
                <w:color w:val="000000"/>
                <w:sz w:val="18"/>
                <w:szCs w:val="18"/>
              </w:rPr>
              <w:t xml:space="preserve"> </w:t>
            </w:r>
            <w:r w:rsidRPr="00315536">
              <w:rPr>
                <w:rFonts w:asciiTheme="minorHAnsi" w:hAnsiTheme="minorHAnsi" w:cstheme="minorHAnsi"/>
                <w:color w:val="000000"/>
                <w:sz w:val="18"/>
                <w:szCs w:val="18"/>
              </w:rPr>
              <w:t xml:space="preserve">presented in the submission was highly uncertain and likely to be substantially underestimated. The PBAC considered the estimated number of patients likely to be treated was </w:t>
            </w:r>
            <w:proofErr w:type="gramStart"/>
            <w:r w:rsidRPr="00315536">
              <w:rPr>
                <w:rFonts w:asciiTheme="minorHAnsi" w:hAnsiTheme="minorHAnsi" w:cstheme="minorHAnsi"/>
                <w:color w:val="000000"/>
                <w:sz w:val="18"/>
                <w:szCs w:val="18"/>
              </w:rPr>
              <w:t>reasonable</w:t>
            </w:r>
            <w:proofErr w:type="gramEnd"/>
            <w:r w:rsidRPr="00315536">
              <w:rPr>
                <w:rFonts w:asciiTheme="minorHAnsi" w:hAnsiTheme="minorHAnsi" w:cstheme="minorHAnsi"/>
                <w:color w:val="000000"/>
                <w:sz w:val="18"/>
                <w:szCs w:val="18"/>
              </w:rPr>
              <w:t xml:space="preserve"> but the financial estimates should account for reduced use of immunotherapy in the advanced/metastatic treatment setting. The PBAC considered the outstanding issues could be resolved in a resubmission with a conservative economic model and a price reduction to achieve an acceptable ICER.</w:t>
            </w:r>
          </w:p>
          <w:p w14:paraId="255FCDB6" w14:textId="77777777" w:rsidR="00AF000E" w:rsidRPr="00315536" w:rsidRDefault="00AF000E" w:rsidP="00AF000E">
            <w:pPr>
              <w:pStyle w:val="ListParagraph"/>
              <w:keepLines/>
              <w:rPr>
                <w:rFonts w:asciiTheme="minorHAnsi" w:hAnsiTheme="minorHAnsi" w:cstheme="minorHAnsi"/>
                <w:color w:val="000000"/>
                <w:sz w:val="18"/>
                <w:szCs w:val="18"/>
              </w:rPr>
            </w:pPr>
          </w:p>
          <w:p w14:paraId="7B3A2DC7" w14:textId="47183D8F" w:rsidR="00AF000E" w:rsidRPr="00315536" w:rsidRDefault="00AF000E" w:rsidP="00AF000E">
            <w:pPr>
              <w:pStyle w:val="ListParagraph"/>
              <w:keepLines/>
              <w:ind w:left="0"/>
              <w:rPr>
                <w:rFonts w:asciiTheme="minorHAnsi" w:hAnsiTheme="minorHAnsi" w:cstheme="minorHAnsi"/>
                <w:color w:val="000000"/>
                <w:sz w:val="18"/>
                <w:szCs w:val="18"/>
              </w:rPr>
            </w:pPr>
            <w:r w:rsidRPr="00315536">
              <w:rPr>
                <w:rFonts w:asciiTheme="minorHAnsi" w:hAnsiTheme="minorHAnsi" w:cstheme="minorHAnsi"/>
                <w:color w:val="000000"/>
                <w:sz w:val="18"/>
                <w:szCs w:val="18"/>
              </w:rPr>
              <w:t>The PBAC nominated the Early Re-entry resubmission pathway for this item.</w:t>
            </w:r>
          </w:p>
          <w:p w14:paraId="07FE6D92" w14:textId="77777777" w:rsidR="00AF000E" w:rsidRPr="00315536" w:rsidRDefault="00AF000E" w:rsidP="00AF000E">
            <w:pPr>
              <w:pStyle w:val="ListParagraph"/>
              <w:keepLines/>
              <w:ind w:left="0"/>
              <w:rPr>
                <w:rFonts w:asciiTheme="minorHAnsi" w:hAnsiTheme="minorHAnsi" w:cstheme="minorHAnsi"/>
                <w:color w:val="000000"/>
                <w:sz w:val="18"/>
                <w:szCs w:val="18"/>
              </w:rPr>
            </w:pPr>
          </w:p>
          <w:p w14:paraId="7D3175B2"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556A63">
              <w:rPr>
                <w:rFonts w:asciiTheme="minorHAnsi" w:hAnsiTheme="minorHAnsi" w:cstheme="minorHAnsi"/>
                <w:color w:val="000000"/>
                <w:sz w:val="18"/>
                <w:szCs w:val="18"/>
                <w:u w:val="single"/>
              </w:rPr>
              <w:t>Sponsor Comment:</w:t>
            </w:r>
          </w:p>
          <w:p w14:paraId="75FDBC8C" w14:textId="2C06C7AB" w:rsidR="00AF4979" w:rsidRPr="00694430" w:rsidRDefault="00AF4979" w:rsidP="004A5B38">
            <w:pPr>
              <w:pStyle w:val="ListParagraph"/>
              <w:keepLines/>
              <w:ind w:left="0"/>
              <w:rPr>
                <w:rFonts w:asciiTheme="minorHAnsi" w:hAnsiTheme="minorHAnsi" w:cstheme="minorHAnsi"/>
                <w:color w:val="000000"/>
                <w:sz w:val="18"/>
                <w:szCs w:val="18"/>
              </w:rPr>
            </w:pPr>
            <w:r w:rsidRPr="00694430">
              <w:rPr>
                <w:rFonts w:asciiTheme="minorHAnsi" w:hAnsiTheme="minorHAnsi" w:cstheme="minorHAnsi"/>
                <w:color w:val="000000"/>
                <w:sz w:val="18"/>
                <w:szCs w:val="18"/>
              </w:rPr>
              <w:t>The Sponsor welcomes the PBAC's decision to resubmit via an early re-entry pathway and looks forward to continuing to work with the PBAC and the Department of Health to provide access of nivolumab for the adjuvant treatment of patients with oesophageal carcinoma (OC) or gastro-oesophageal junction carcinoma (GOJC) who have received previous platinum based chemoradiotherapy (CRT) and surgery.</w:t>
            </w:r>
          </w:p>
        </w:tc>
      </w:tr>
      <w:tr w:rsidR="004A5B38" w:rsidRPr="00567D48" w14:paraId="11F15CDD" w14:textId="77777777" w:rsidTr="00315536">
        <w:trPr>
          <w:cantSplit/>
          <w:trHeight w:val="2948"/>
        </w:trPr>
        <w:tc>
          <w:tcPr>
            <w:tcW w:w="3013" w:type="dxa"/>
            <w:shd w:val="clear" w:color="auto" w:fill="auto"/>
            <w:tcMar>
              <w:top w:w="28" w:type="dxa"/>
              <w:bottom w:w="28" w:type="dxa"/>
            </w:tcMar>
            <w:vAlign w:val="center"/>
          </w:tcPr>
          <w:p w14:paraId="73989EFC" w14:textId="07581EF0" w:rsidR="004A5B38" w:rsidRPr="001B15BA" w:rsidRDefault="004A5B38" w:rsidP="004A5B38">
            <w:pPr>
              <w:keepLines/>
              <w:rPr>
                <w:rFonts w:asciiTheme="minorHAnsi" w:hAnsiTheme="minorHAnsi" w:cstheme="minorHAnsi"/>
                <w:sz w:val="18"/>
                <w:szCs w:val="18"/>
              </w:rPr>
            </w:pPr>
            <w:r w:rsidRPr="001B15BA">
              <w:rPr>
                <w:rFonts w:asciiTheme="minorHAnsi" w:hAnsiTheme="minorHAnsi" w:cstheme="minorHAnsi"/>
                <w:color w:val="000000"/>
                <w:sz w:val="18"/>
                <w:szCs w:val="18"/>
              </w:rPr>
              <w:lastRenderedPageBreak/>
              <w:t xml:space="preserve">OLAPARIB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100 mg</w:t>
            </w:r>
            <w:r w:rsidRPr="001B15BA">
              <w:rPr>
                <w:rFonts w:asciiTheme="minorHAnsi" w:hAnsiTheme="minorHAnsi" w:cstheme="minorHAnsi"/>
                <w:color w:val="000000"/>
                <w:sz w:val="18"/>
                <w:szCs w:val="18"/>
              </w:rPr>
              <w:br/>
              <w:t>Tablet 150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Lynparza®</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AstraZeneca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41180E2D" w14:textId="6820CA0B"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Ovarian cancer</w:t>
            </w:r>
          </w:p>
        </w:tc>
        <w:tc>
          <w:tcPr>
            <w:tcW w:w="3288" w:type="dxa"/>
            <w:shd w:val="clear" w:color="auto" w:fill="auto"/>
            <w:tcMar>
              <w:top w:w="28" w:type="dxa"/>
              <w:bottom w:w="28" w:type="dxa"/>
            </w:tcMar>
            <w:vAlign w:val="center"/>
          </w:tcPr>
          <w:p w14:paraId="52E4AC16" w14:textId="43E67802"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General Schedule Authority Required listing for use in combination with bevacizumab for maintenance therapy in patients with newly diagnosed homologous recombination deficiency (HRD) positive BRCA wild type advanced epithelial ovarian, fallopian tube or primary peritoneal cancer.</w:t>
            </w:r>
          </w:p>
        </w:tc>
        <w:tc>
          <w:tcPr>
            <w:tcW w:w="1987" w:type="dxa"/>
            <w:shd w:val="clear" w:color="auto" w:fill="auto"/>
            <w:vAlign w:val="center"/>
          </w:tcPr>
          <w:p w14:paraId="29AABCBB" w14:textId="612231F5"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2F974958" w14:textId="60F06BEE" w:rsidR="00AF000E" w:rsidRDefault="00AF000E" w:rsidP="004A5B38">
            <w:pPr>
              <w:keepLines/>
              <w:rPr>
                <w:rFonts w:asciiTheme="minorHAnsi" w:hAnsiTheme="minorHAnsi" w:cstheme="minorHAnsi"/>
                <w:color w:val="000000"/>
                <w:sz w:val="18"/>
                <w:szCs w:val="18"/>
              </w:rPr>
            </w:pPr>
            <w:r w:rsidRPr="00AF000E">
              <w:rPr>
                <w:rFonts w:asciiTheme="minorHAnsi" w:hAnsiTheme="minorHAnsi" w:cstheme="minorHAnsi"/>
                <w:color w:val="000000"/>
                <w:sz w:val="18"/>
                <w:szCs w:val="18"/>
              </w:rPr>
              <w:t xml:space="preserve">The PBAC did not recommend </w:t>
            </w:r>
            <w:proofErr w:type="spellStart"/>
            <w:r w:rsidRPr="00AF000E">
              <w:rPr>
                <w:rFonts w:asciiTheme="minorHAnsi" w:hAnsiTheme="minorHAnsi" w:cstheme="minorHAnsi"/>
                <w:color w:val="000000"/>
                <w:sz w:val="18"/>
                <w:szCs w:val="18"/>
              </w:rPr>
              <w:t>olaparib</w:t>
            </w:r>
            <w:proofErr w:type="spellEnd"/>
            <w:r w:rsidRPr="00AF000E">
              <w:rPr>
                <w:rFonts w:asciiTheme="minorHAnsi" w:hAnsiTheme="minorHAnsi" w:cstheme="minorHAnsi"/>
                <w:color w:val="000000"/>
                <w:sz w:val="18"/>
                <w:szCs w:val="18"/>
              </w:rPr>
              <w:t xml:space="preserve"> for use in combination with bevacizumab for maintenance therapy in patients with newly diagnosed HRD positive BRCA wild type advanced epithelial ovarian, fallopian tube or primary peritoneal cancer. The PBAC considered that a clinical claim of superior efficacy was supported for </w:t>
            </w:r>
            <w:proofErr w:type="spellStart"/>
            <w:r w:rsidRPr="00AF000E">
              <w:rPr>
                <w:rFonts w:asciiTheme="minorHAnsi" w:hAnsiTheme="minorHAnsi" w:cstheme="minorHAnsi"/>
                <w:color w:val="000000"/>
                <w:sz w:val="18"/>
                <w:szCs w:val="18"/>
              </w:rPr>
              <w:t>olaparib</w:t>
            </w:r>
            <w:proofErr w:type="spellEnd"/>
            <w:r w:rsidRPr="00AF000E">
              <w:rPr>
                <w:rFonts w:asciiTheme="minorHAnsi" w:hAnsiTheme="minorHAnsi" w:cstheme="minorHAnsi"/>
                <w:color w:val="000000"/>
                <w:sz w:val="18"/>
                <w:szCs w:val="18"/>
              </w:rPr>
              <w:t xml:space="preserve"> with bevacizumab in the HRD positive group, compared with bevacizumab alone. The PBAC considered that </w:t>
            </w:r>
            <w:proofErr w:type="spellStart"/>
            <w:r w:rsidRPr="00AF000E">
              <w:rPr>
                <w:rFonts w:asciiTheme="minorHAnsi" w:hAnsiTheme="minorHAnsi" w:cstheme="minorHAnsi"/>
                <w:color w:val="000000"/>
                <w:sz w:val="18"/>
                <w:szCs w:val="18"/>
              </w:rPr>
              <w:t>olaparib</w:t>
            </w:r>
            <w:proofErr w:type="spellEnd"/>
            <w:r w:rsidRPr="00AF000E">
              <w:rPr>
                <w:rFonts w:asciiTheme="minorHAnsi" w:hAnsiTheme="minorHAnsi" w:cstheme="minorHAnsi"/>
                <w:color w:val="000000"/>
                <w:sz w:val="18"/>
                <w:szCs w:val="18"/>
              </w:rPr>
              <w:t xml:space="preserve"> with bevacizumab was inferior compared with bevacizumab alone in terms of safety. The PBAC considered that revisions to the inputs for the economic model were required so that they were consistent with those previously accepted by the PBAC for </w:t>
            </w:r>
            <w:proofErr w:type="spellStart"/>
            <w:r w:rsidRPr="00AF000E">
              <w:rPr>
                <w:rFonts w:asciiTheme="minorHAnsi" w:hAnsiTheme="minorHAnsi" w:cstheme="minorHAnsi"/>
                <w:color w:val="000000"/>
                <w:sz w:val="18"/>
                <w:szCs w:val="18"/>
              </w:rPr>
              <w:t>olaparib</w:t>
            </w:r>
            <w:proofErr w:type="spellEnd"/>
            <w:r w:rsidRPr="00AF000E">
              <w:rPr>
                <w:rFonts w:asciiTheme="minorHAnsi" w:hAnsiTheme="minorHAnsi" w:cstheme="minorHAnsi"/>
                <w:color w:val="000000"/>
                <w:sz w:val="18"/>
                <w:szCs w:val="18"/>
              </w:rPr>
              <w:t xml:space="preserve"> monotherapy in the </w:t>
            </w:r>
            <w:proofErr w:type="spellStart"/>
            <w:r w:rsidRPr="00AF000E">
              <w:rPr>
                <w:rFonts w:asciiTheme="minorHAnsi" w:hAnsiTheme="minorHAnsi" w:cstheme="minorHAnsi"/>
                <w:color w:val="000000"/>
                <w:sz w:val="18"/>
                <w:szCs w:val="18"/>
              </w:rPr>
              <w:t>BRCAm</w:t>
            </w:r>
            <w:proofErr w:type="spellEnd"/>
            <w:r w:rsidRPr="00AF000E">
              <w:rPr>
                <w:rFonts w:asciiTheme="minorHAnsi" w:hAnsiTheme="minorHAnsi" w:cstheme="minorHAnsi"/>
                <w:color w:val="000000"/>
                <w:sz w:val="18"/>
                <w:szCs w:val="18"/>
              </w:rPr>
              <w:t xml:space="preserve"> group and with these revisions the </w:t>
            </w:r>
            <w:r w:rsidR="00462516">
              <w:rPr>
                <w:rFonts w:asciiTheme="minorHAnsi" w:hAnsiTheme="minorHAnsi" w:cstheme="minorHAnsi"/>
                <w:color w:val="000000"/>
                <w:sz w:val="18"/>
                <w:szCs w:val="18"/>
              </w:rPr>
              <w:t>incremental cost-effectiveness ratio</w:t>
            </w:r>
            <w:r w:rsidRPr="00AF000E">
              <w:rPr>
                <w:rFonts w:asciiTheme="minorHAnsi" w:hAnsiTheme="minorHAnsi" w:cstheme="minorHAnsi"/>
                <w:color w:val="000000"/>
                <w:sz w:val="18"/>
                <w:szCs w:val="18"/>
              </w:rPr>
              <w:t xml:space="preserve"> would increase substantially and hence a price reduction would be required for the proposed listing to be considered acceptably cost effective. </w:t>
            </w:r>
          </w:p>
          <w:p w14:paraId="53B06EE2" w14:textId="77777777" w:rsidR="00AF000E" w:rsidRDefault="00AF000E" w:rsidP="004A5B38">
            <w:pPr>
              <w:keepLines/>
              <w:rPr>
                <w:rFonts w:asciiTheme="minorHAnsi" w:hAnsiTheme="minorHAnsi" w:cstheme="minorHAnsi"/>
                <w:color w:val="000000"/>
                <w:sz w:val="18"/>
                <w:szCs w:val="18"/>
              </w:rPr>
            </w:pPr>
          </w:p>
          <w:p w14:paraId="023C1E9D" w14:textId="77777777" w:rsidR="00556A63" w:rsidRDefault="00AF000E" w:rsidP="004A5B38">
            <w:pPr>
              <w:keepLines/>
              <w:rPr>
                <w:rFonts w:asciiTheme="minorHAnsi" w:hAnsiTheme="minorHAnsi" w:cstheme="minorHAnsi"/>
                <w:color w:val="000000"/>
                <w:sz w:val="18"/>
                <w:szCs w:val="18"/>
              </w:rPr>
            </w:pPr>
            <w:r w:rsidRPr="00AF000E">
              <w:rPr>
                <w:rFonts w:asciiTheme="minorHAnsi" w:hAnsiTheme="minorHAnsi" w:cstheme="minorHAnsi"/>
                <w:color w:val="000000"/>
                <w:sz w:val="18"/>
                <w:szCs w:val="18"/>
              </w:rPr>
              <w:t xml:space="preserve">The PBAC nominated the Early Re-entry re-submission pathway for this item. </w:t>
            </w:r>
          </w:p>
          <w:p w14:paraId="5E55E6B8" w14:textId="77777777" w:rsidR="00556A63" w:rsidRDefault="00556A63" w:rsidP="004A5B38">
            <w:pPr>
              <w:keepLines/>
              <w:rPr>
                <w:rFonts w:asciiTheme="minorHAnsi" w:hAnsiTheme="minorHAnsi" w:cstheme="minorHAnsi"/>
                <w:color w:val="000000"/>
                <w:sz w:val="18"/>
                <w:szCs w:val="18"/>
              </w:rPr>
            </w:pPr>
          </w:p>
          <w:p w14:paraId="08C2742E" w14:textId="58E798BB" w:rsidR="00AF000E" w:rsidRDefault="00AF000E" w:rsidP="004A5B38">
            <w:pPr>
              <w:keepLines/>
              <w:rPr>
                <w:rFonts w:asciiTheme="minorHAnsi" w:hAnsiTheme="minorHAnsi" w:cstheme="minorHAnsi"/>
                <w:color w:val="000000"/>
                <w:sz w:val="18"/>
                <w:szCs w:val="18"/>
              </w:rPr>
            </w:pPr>
            <w:r w:rsidRPr="00AF000E">
              <w:rPr>
                <w:rFonts w:asciiTheme="minorHAnsi" w:hAnsiTheme="minorHAnsi" w:cstheme="minorHAnsi"/>
                <w:color w:val="000000"/>
                <w:sz w:val="18"/>
                <w:szCs w:val="18"/>
              </w:rPr>
              <w:t xml:space="preserve">The PBAC noted uncertainties regarding </w:t>
            </w:r>
            <w:r w:rsidR="00462516">
              <w:rPr>
                <w:rFonts w:asciiTheme="minorHAnsi" w:hAnsiTheme="minorHAnsi" w:cstheme="minorHAnsi"/>
                <w:color w:val="000000"/>
                <w:sz w:val="18"/>
                <w:szCs w:val="18"/>
              </w:rPr>
              <w:t xml:space="preserve">the </w:t>
            </w:r>
            <w:r w:rsidRPr="00AF000E">
              <w:rPr>
                <w:rFonts w:asciiTheme="minorHAnsi" w:hAnsiTheme="minorHAnsi" w:cstheme="minorHAnsi"/>
                <w:color w:val="000000"/>
                <w:sz w:val="18"/>
                <w:szCs w:val="18"/>
              </w:rPr>
              <w:t>proposed HRD testing require MSAC advice.</w:t>
            </w:r>
          </w:p>
          <w:p w14:paraId="71D015E7" w14:textId="77777777" w:rsidR="00AF000E" w:rsidRPr="00315536" w:rsidRDefault="00AF000E" w:rsidP="004A5B38">
            <w:pPr>
              <w:keepLines/>
              <w:rPr>
                <w:rFonts w:asciiTheme="minorHAnsi" w:hAnsiTheme="minorHAnsi" w:cstheme="minorHAnsi"/>
                <w:color w:val="000000"/>
                <w:sz w:val="18"/>
                <w:szCs w:val="18"/>
              </w:rPr>
            </w:pPr>
          </w:p>
          <w:p w14:paraId="05ADDA43" w14:textId="77777777" w:rsidR="004A5B38" w:rsidRDefault="004A5B38" w:rsidP="004A5B38">
            <w:pPr>
              <w:keepLines/>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16172BA0" w14:textId="43C90456" w:rsidR="00125CB8" w:rsidRPr="001B15BA" w:rsidRDefault="00CC3EBF" w:rsidP="004A5B38">
            <w:pPr>
              <w:keepLines/>
              <w:rPr>
                <w:rFonts w:asciiTheme="minorHAnsi" w:hAnsiTheme="minorHAnsi" w:cstheme="minorHAnsi"/>
                <w:color w:val="000000"/>
                <w:sz w:val="18"/>
                <w:szCs w:val="18"/>
              </w:rPr>
            </w:pPr>
            <w:r>
              <w:rPr>
                <w:rFonts w:asciiTheme="minorHAnsi" w:hAnsiTheme="minorHAnsi" w:cstheme="minorHAnsi"/>
                <w:color w:val="000000"/>
                <w:sz w:val="18"/>
                <w:szCs w:val="18"/>
              </w:rPr>
              <w:t xml:space="preserve">The sponsor had no comment. </w:t>
            </w:r>
          </w:p>
        </w:tc>
      </w:tr>
      <w:tr w:rsidR="004A5B38" w:rsidRPr="00567D48" w14:paraId="4F6B80D5" w14:textId="77777777" w:rsidTr="00315536">
        <w:trPr>
          <w:cantSplit/>
          <w:trHeight w:val="2948"/>
        </w:trPr>
        <w:tc>
          <w:tcPr>
            <w:tcW w:w="3013" w:type="dxa"/>
            <w:shd w:val="clear" w:color="auto" w:fill="auto"/>
            <w:tcMar>
              <w:top w:w="28" w:type="dxa"/>
              <w:bottom w:w="28" w:type="dxa"/>
            </w:tcMar>
            <w:vAlign w:val="center"/>
          </w:tcPr>
          <w:p w14:paraId="59D22535" w14:textId="49C15E6C"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PEGCETACOPLAN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Solution for subcutaneous </w:t>
            </w:r>
            <w:proofErr w:type="gramStart"/>
            <w:r w:rsidRPr="001B15BA">
              <w:rPr>
                <w:rFonts w:asciiTheme="minorHAnsi" w:hAnsiTheme="minorHAnsi" w:cstheme="minorHAnsi"/>
                <w:color w:val="000000"/>
                <w:sz w:val="18"/>
                <w:szCs w:val="18"/>
              </w:rPr>
              <w:t>infusion  1,080</w:t>
            </w:r>
            <w:proofErr w:type="gramEnd"/>
            <w:r w:rsidRPr="001B15BA">
              <w:rPr>
                <w:rFonts w:asciiTheme="minorHAnsi" w:hAnsiTheme="minorHAnsi" w:cstheme="minorHAnsi"/>
                <w:color w:val="000000"/>
                <w:sz w:val="18"/>
                <w:szCs w:val="18"/>
              </w:rPr>
              <w:t xml:space="preserve"> mg in 20 mL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Empaveli</w:t>
            </w:r>
            <w:proofErr w:type="spellEnd"/>
            <w:r w:rsidR="00AD7E1C">
              <w:rPr>
                <w:rFonts w:asciiTheme="minorHAnsi" w:hAnsiTheme="minorHAnsi" w:cstheme="minorHAnsi"/>
                <w:color w:val="000000"/>
                <w:sz w:val="18"/>
                <w:szCs w:val="18"/>
              </w:rPr>
              <w:t>®</w:t>
            </w:r>
            <w:r w:rsidRPr="001B15BA">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Swedish Orphan </w:t>
            </w:r>
            <w:proofErr w:type="spellStart"/>
            <w:r w:rsidRPr="001B15BA">
              <w:rPr>
                <w:rFonts w:asciiTheme="minorHAnsi" w:hAnsiTheme="minorHAnsi" w:cstheme="minorHAnsi"/>
                <w:color w:val="000000"/>
                <w:sz w:val="18"/>
                <w:szCs w:val="18"/>
              </w:rPr>
              <w:t>Biovitrum</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Early re-entry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6DEA3F16" w14:textId="3D986C1C"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Paroxysmal nocturnal haemoglobinuria</w:t>
            </w:r>
          </w:p>
        </w:tc>
        <w:tc>
          <w:tcPr>
            <w:tcW w:w="3288" w:type="dxa"/>
            <w:shd w:val="clear" w:color="auto" w:fill="auto"/>
            <w:tcMar>
              <w:top w:w="28" w:type="dxa"/>
              <w:bottom w:w="28" w:type="dxa"/>
            </w:tcMar>
            <w:vAlign w:val="center"/>
          </w:tcPr>
          <w:p w14:paraId="4E833138" w14:textId="0DFD3036"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Resubmission to request a Section 100 (Highly Specialised Drugs Program) Authority Required listing for the treatment of adults with paroxysmal nocturnal haemoglobinuria who have an inadequate clinical response to complement component 5 (C5) inhibitor treatment.</w:t>
            </w:r>
          </w:p>
        </w:tc>
        <w:tc>
          <w:tcPr>
            <w:tcW w:w="1987" w:type="dxa"/>
            <w:shd w:val="clear" w:color="auto" w:fill="auto"/>
            <w:vAlign w:val="center"/>
          </w:tcPr>
          <w:p w14:paraId="1A03FF7F" w14:textId="47D04B1B"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319F36E6" w14:textId="76657B63" w:rsidR="001C4FF2" w:rsidRDefault="004A5B38" w:rsidP="004A5B38">
            <w:pPr>
              <w:keepLines/>
              <w:rPr>
                <w:rFonts w:asciiTheme="minorHAnsi" w:hAnsiTheme="minorHAnsi" w:cstheme="minorHAnsi"/>
                <w:color w:val="000000"/>
                <w:sz w:val="18"/>
                <w:szCs w:val="18"/>
              </w:rPr>
            </w:pPr>
            <w:r w:rsidRPr="00D126CF">
              <w:rPr>
                <w:rFonts w:asciiTheme="minorHAnsi" w:hAnsiTheme="minorHAnsi" w:cstheme="minorHAnsi"/>
                <w:color w:val="000000"/>
                <w:sz w:val="18"/>
                <w:szCs w:val="18"/>
              </w:rPr>
              <w:t>The PBAC recommended the Section 100</w:t>
            </w:r>
            <w:r>
              <w:rPr>
                <w:rFonts w:asciiTheme="minorHAnsi" w:hAnsiTheme="minorHAnsi" w:cstheme="minorHAnsi"/>
                <w:color w:val="000000"/>
                <w:sz w:val="18"/>
                <w:szCs w:val="18"/>
              </w:rPr>
              <w:t xml:space="preserve"> </w:t>
            </w:r>
            <w:r w:rsidRPr="001B15BA">
              <w:rPr>
                <w:rFonts w:asciiTheme="minorHAnsi" w:hAnsiTheme="minorHAnsi" w:cstheme="minorHAnsi"/>
                <w:color w:val="000000"/>
                <w:sz w:val="18"/>
                <w:szCs w:val="18"/>
              </w:rPr>
              <w:t>(Highly Specialised Drugs Program)</w:t>
            </w:r>
            <w:r w:rsidRPr="00D126CF">
              <w:rPr>
                <w:rFonts w:asciiTheme="minorHAnsi" w:hAnsiTheme="minorHAnsi" w:cstheme="minorHAnsi"/>
                <w:color w:val="000000"/>
                <w:sz w:val="18"/>
                <w:szCs w:val="18"/>
              </w:rPr>
              <w:t xml:space="preserve">, Authority Required listing for </w:t>
            </w:r>
            <w:proofErr w:type="spellStart"/>
            <w:r w:rsidRPr="00D126CF">
              <w:rPr>
                <w:rFonts w:asciiTheme="minorHAnsi" w:hAnsiTheme="minorHAnsi" w:cstheme="minorHAnsi"/>
                <w:color w:val="000000"/>
                <w:sz w:val="18"/>
                <w:szCs w:val="18"/>
              </w:rPr>
              <w:t>pegcetacoplan</w:t>
            </w:r>
            <w:proofErr w:type="spellEnd"/>
            <w:r w:rsidRPr="00D126CF">
              <w:rPr>
                <w:rFonts w:asciiTheme="minorHAnsi" w:hAnsiTheme="minorHAnsi" w:cstheme="minorHAnsi"/>
                <w:color w:val="000000"/>
                <w:sz w:val="18"/>
                <w:szCs w:val="18"/>
              </w:rPr>
              <w:t xml:space="preserve"> for the treatment of adults with paroxysmal nocturnal haemoglobinuria (PNH) who have inadequate clinical response or are intolerant to treatment with eculizumab or </w:t>
            </w:r>
            <w:proofErr w:type="spellStart"/>
            <w:r w:rsidRPr="00D126CF">
              <w:rPr>
                <w:rFonts w:asciiTheme="minorHAnsi" w:hAnsiTheme="minorHAnsi" w:cstheme="minorHAnsi"/>
                <w:color w:val="000000"/>
                <w:sz w:val="18"/>
                <w:szCs w:val="18"/>
              </w:rPr>
              <w:t>ravulizumab</w:t>
            </w:r>
            <w:proofErr w:type="spellEnd"/>
            <w:r w:rsidRPr="00D126CF">
              <w:rPr>
                <w:rFonts w:asciiTheme="minorHAnsi" w:hAnsiTheme="minorHAnsi" w:cstheme="minorHAnsi"/>
                <w:color w:val="000000"/>
                <w:sz w:val="18"/>
                <w:szCs w:val="18"/>
              </w:rPr>
              <w:t>.</w:t>
            </w:r>
            <w:r w:rsidR="005913B9">
              <w:rPr>
                <w:rFonts w:asciiTheme="minorHAnsi" w:hAnsiTheme="minorHAnsi" w:cstheme="minorHAnsi"/>
                <w:color w:val="000000"/>
                <w:sz w:val="18"/>
                <w:szCs w:val="18"/>
              </w:rPr>
              <w:t xml:space="preserve"> </w:t>
            </w:r>
            <w:r w:rsidRPr="00D126CF">
              <w:rPr>
                <w:rFonts w:asciiTheme="minorHAnsi" w:hAnsiTheme="minorHAnsi" w:cstheme="minorHAnsi"/>
                <w:color w:val="000000"/>
                <w:sz w:val="18"/>
                <w:szCs w:val="18"/>
              </w:rPr>
              <w:t xml:space="preserve">The PBAC’s recommendation for listing was based on, among other matters, its assessment that the cost-effectiveness of </w:t>
            </w:r>
            <w:proofErr w:type="spellStart"/>
            <w:r w:rsidRPr="00D126CF">
              <w:rPr>
                <w:rFonts w:asciiTheme="minorHAnsi" w:hAnsiTheme="minorHAnsi" w:cstheme="minorHAnsi"/>
                <w:color w:val="000000"/>
                <w:sz w:val="18"/>
                <w:szCs w:val="18"/>
              </w:rPr>
              <w:t>pegcetacoplan</w:t>
            </w:r>
            <w:proofErr w:type="spellEnd"/>
            <w:r w:rsidRPr="00D126CF">
              <w:rPr>
                <w:rFonts w:asciiTheme="minorHAnsi" w:hAnsiTheme="minorHAnsi" w:cstheme="minorHAnsi"/>
                <w:color w:val="000000"/>
                <w:sz w:val="18"/>
                <w:szCs w:val="18"/>
              </w:rPr>
              <w:t xml:space="preserve"> would be acceptable if it were cost-minimised against </w:t>
            </w:r>
            <w:proofErr w:type="spellStart"/>
            <w:r w:rsidRPr="00D126CF">
              <w:rPr>
                <w:rFonts w:asciiTheme="minorHAnsi" w:hAnsiTheme="minorHAnsi" w:cstheme="minorHAnsi"/>
                <w:color w:val="000000"/>
                <w:sz w:val="18"/>
                <w:szCs w:val="18"/>
              </w:rPr>
              <w:t>ravulizumab</w:t>
            </w:r>
            <w:proofErr w:type="spellEnd"/>
            <w:r w:rsidR="001C4FF2">
              <w:rPr>
                <w:rFonts w:asciiTheme="minorHAnsi" w:hAnsiTheme="minorHAnsi" w:cstheme="minorHAnsi"/>
                <w:color w:val="000000"/>
                <w:sz w:val="18"/>
                <w:szCs w:val="18"/>
              </w:rPr>
              <w:t>.</w:t>
            </w:r>
            <w:r w:rsidRPr="00D126CF">
              <w:rPr>
                <w:rFonts w:asciiTheme="minorHAnsi" w:hAnsiTheme="minorHAnsi" w:cstheme="minorHAnsi"/>
                <w:color w:val="000000"/>
                <w:sz w:val="18"/>
                <w:szCs w:val="18"/>
              </w:rPr>
              <w:t xml:space="preserve"> </w:t>
            </w:r>
            <w:r w:rsidR="001C4FF2" w:rsidRPr="001C4FF2">
              <w:rPr>
                <w:rFonts w:asciiTheme="minorHAnsi" w:hAnsiTheme="minorHAnsi" w:cstheme="minorHAnsi"/>
                <w:color w:val="000000"/>
                <w:sz w:val="18"/>
                <w:szCs w:val="18"/>
              </w:rPr>
              <w:t xml:space="preserve">The PBAC recommended </w:t>
            </w:r>
            <w:proofErr w:type="spellStart"/>
            <w:r w:rsidR="001C4FF2" w:rsidRPr="001C4FF2">
              <w:rPr>
                <w:rFonts w:asciiTheme="minorHAnsi" w:hAnsiTheme="minorHAnsi" w:cstheme="minorHAnsi"/>
                <w:color w:val="000000"/>
                <w:sz w:val="18"/>
                <w:szCs w:val="18"/>
              </w:rPr>
              <w:t>pegcetacoplan</w:t>
            </w:r>
            <w:proofErr w:type="spellEnd"/>
            <w:r w:rsidR="001C4FF2" w:rsidRPr="001C4FF2">
              <w:rPr>
                <w:rFonts w:asciiTheme="minorHAnsi" w:hAnsiTheme="minorHAnsi" w:cstheme="minorHAnsi"/>
                <w:color w:val="000000"/>
                <w:sz w:val="18"/>
                <w:szCs w:val="18"/>
              </w:rPr>
              <w:t xml:space="preserve"> be included in the current risk sharing arrangement for eculizumab and </w:t>
            </w:r>
            <w:proofErr w:type="spellStart"/>
            <w:r w:rsidR="001C4FF2" w:rsidRPr="001C4FF2">
              <w:rPr>
                <w:rFonts w:asciiTheme="minorHAnsi" w:hAnsiTheme="minorHAnsi" w:cstheme="minorHAnsi"/>
                <w:color w:val="000000"/>
                <w:sz w:val="18"/>
                <w:szCs w:val="18"/>
              </w:rPr>
              <w:t>ravulizumab</w:t>
            </w:r>
            <w:proofErr w:type="spellEnd"/>
            <w:r w:rsidR="001C4FF2" w:rsidRPr="001C4FF2">
              <w:rPr>
                <w:rFonts w:asciiTheme="minorHAnsi" w:hAnsiTheme="minorHAnsi" w:cstheme="minorHAnsi"/>
                <w:color w:val="000000"/>
                <w:sz w:val="18"/>
                <w:szCs w:val="18"/>
              </w:rPr>
              <w:t>.</w:t>
            </w:r>
          </w:p>
          <w:p w14:paraId="61E76EE2" w14:textId="77777777" w:rsidR="00FE2F6A" w:rsidRPr="00D126CF" w:rsidRDefault="00FE2F6A" w:rsidP="004A5B38">
            <w:pPr>
              <w:keepLines/>
              <w:rPr>
                <w:rFonts w:asciiTheme="minorHAnsi" w:hAnsiTheme="minorHAnsi" w:cstheme="minorHAnsi"/>
                <w:color w:val="000000"/>
                <w:sz w:val="18"/>
                <w:szCs w:val="18"/>
              </w:rPr>
            </w:pPr>
          </w:p>
          <w:p w14:paraId="266D6FEC" w14:textId="250A6936"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D126CF">
              <w:rPr>
                <w:rFonts w:asciiTheme="minorHAnsi" w:hAnsiTheme="minorHAnsi" w:cstheme="minorHAnsi"/>
                <w:color w:val="000000"/>
                <w:sz w:val="18"/>
                <w:szCs w:val="18"/>
              </w:rPr>
              <w:t xml:space="preserve">The PBAC recommended potential flow on changes to the PBS restrictions for eculizumab to allow switching from PBS subsidised </w:t>
            </w:r>
            <w:proofErr w:type="spellStart"/>
            <w:r w:rsidRPr="00D126CF">
              <w:rPr>
                <w:rFonts w:asciiTheme="minorHAnsi" w:hAnsiTheme="minorHAnsi" w:cstheme="minorHAnsi"/>
                <w:color w:val="000000"/>
                <w:sz w:val="18"/>
                <w:szCs w:val="18"/>
              </w:rPr>
              <w:t>pegcetacoplan</w:t>
            </w:r>
            <w:proofErr w:type="spellEnd"/>
            <w:r w:rsidRPr="00D126CF">
              <w:rPr>
                <w:rFonts w:asciiTheme="minorHAnsi" w:hAnsiTheme="minorHAnsi" w:cstheme="minorHAnsi"/>
                <w:color w:val="000000"/>
                <w:sz w:val="18"/>
                <w:szCs w:val="18"/>
              </w:rPr>
              <w:t xml:space="preserve"> for pregnancy and for eculizumab and </w:t>
            </w:r>
            <w:proofErr w:type="spellStart"/>
            <w:r w:rsidRPr="00D126CF">
              <w:rPr>
                <w:rFonts w:asciiTheme="minorHAnsi" w:hAnsiTheme="minorHAnsi" w:cstheme="minorHAnsi"/>
                <w:color w:val="000000"/>
                <w:sz w:val="18"/>
                <w:szCs w:val="18"/>
              </w:rPr>
              <w:t>ravulizumab</w:t>
            </w:r>
            <w:proofErr w:type="spellEnd"/>
            <w:r w:rsidRPr="00D126CF">
              <w:rPr>
                <w:rFonts w:asciiTheme="minorHAnsi" w:hAnsiTheme="minorHAnsi" w:cstheme="minorHAnsi"/>
                <w:color w:val="000000"/>
                <w:sz w:val="18"/>
                <w:szCs w:val="18"/>
              </w:rPr>
              <w:t xml:space="preserve"> to allow return for patients who are intolerant/resistant to </w:t>
            </w:r>
            <w:proofErr w:type="spellStart"/>
            <w:r w:rsidRPr="00D126CF">
              <w:rPr>
                <w:rFonts w:asciiTheme="minorHAnsi" w:hAnsiTheme="minorHAnsi" w:cstheme="minorHAnsi"/>
                <w:color w:val="000000"/>
                <w:sz w:val="18"/>
                <w:szCs w:val="18"/>
              </w:rPr>
              <w:t>pegcetacoplan</w:t>
            </w:r>
            <w:proofErr w:type="spellEnd"/>
            <w:r w:rsidRPr="00D126CF">
              <w:rPr>
                <w:rFonts w:asciiTheme="minorHAnsi" w:hAnsiTheme="minorHAnsi" w:cstheme="minorHAnsi"/>
                <w:color w:val="000000"/>
                <w:sz w:val="18"/>
                <w:szCs w:val="18"/>
              </w:rPr>
              <w:t>.</w:t>
            </w:r>
          </w:p>
        </w:tc>
      </w:tr>
      <w:tr w:rsidR="004A5B38" w:rsidRPr="00567D48" w14:paraId="06F068C3" w14:textId="77777777" w:rsidTr="00315536">
        <w:trPr>
          <w:cantSplit/>
          <w:trHeight w:val="2948"/>
        </w:trPr>
        <w:tc>
          <w:tcPr>
            <w:tcW w:w="3013" w:type="dxa"/>
            <w:shd w:val="clear" w:color="auto" w:fill="auto"/>
            <w:tcMar>
              <w:top w:w="28" w:type="dxa"/>
              <w:bottom w:w="28" w:type="dxa"/>
            </w:tcMar>
            <w:vAlign w:val="center"/>
          </w:tcPr>
          <w:p w14:paraId="6FC06C85" w14:textId="78F75CFD"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PEGVALIASE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for injection 2.5 mg in 0.5 mL</w:t>
            </w:r>
            <w:r w:rsidRPr="001B15BA">
              <w:rPr>
                <w:rFonts w:asciiTheme="minorHAnsi" w:hAnsiTheme="minorHAnsi" w:cstheme="minorHAnsi"/>
                <w:color w:val="000000"/>
                <w:sz w:val="18"/>
                <w:szCs w:val="18"/>
              </w:rPr>
              <w:br/>
              <w:t>Solution for injection 10 mg in 0.5 mL</w:t>
            </w:r>
            <w:r w:rsidRPr="001B15BA">
              <w:rPr>
                <w:rFonts w:asciiTheme="minorHAnsi" w:hAnsiTheme="minorHAnsi" w:cstheme="minorHAnsi"/>
                <w:color w:val="000000"/>
                <w:sz w:val="18"/>
                <w:szCs w:val="18"/>
              </w:rPr>
              <w:br/>
              <w:t>Solution for injection 20 mg in 1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Palynziq®</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BioMarin Pharmaceutical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44101876" w14:textId="12223DE0"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 xml:space="preserve">Phenylketonuria </w:t>
            </w:r>
          </w:p>
        </w:tc>
        <w:tc>
          <w:tcPr>
            <w:tcW w:w="3288" w:type="dxa"/>
            <w:shd w:val="clear" w:color="auto" w:fill="auto"/>
            <w:tcMar>
              <w:top w:w="28" w:type="dxa"/>
              <w:bottom w:w="28" w:type="dxa"/>
            </w:tcMar>
            <w:vAlign w:val="center"/>
          </w:tcPr>
          <w:p w14:paraId="3887414E" w14:textId="5EFF4160"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 xml:space="preserve">To request a General Schedule Authority Required listing for the treatment of hyperphenylalaninemia due to phenylketonuria in patients aged 16 years and over who are not responsive to </w:t>
            </w:r>
            <w:proofErr w:type="spellStart"/>
            <w:r w:rsidRPr="001B15BA">
              <w:rPr>
                <w:rFonts w:asciiTheme="minorHAnsi" w:hAnsiTheme="minorHAnsi" w:cstheme="minorHAnsi"/>
                <w:color w:val="000000"/>
                <w:sz w:val="18"/>
                <w:szCs w:val="18"/>
              </w:rPr>
              <w:t>sapropterin</w:t>
            </w:r>
            <w:proofErr w:type="spellEnd"/>
            <w:r w:rsidRPr="001B15BA">
              <w:rPr>
                <w:rFonts w:asciiTheme="minorHAnsi" w:hAnsiTheme="minorHAnsi" w:cstheme="minorHAnsi"/>
                <w:color w:val="000000"/>
                <w:sz w:val="18"/>
                <w:szCs w:val="18"/>
              </w:rPr>
              <w:t>.</w:t>
            </w:r>
          </w:p>
        </w:tc>
        <w:tc>
          <w:tcPr>
            <w:tcW w:w="1987" w:type="dxa"/>
            <w:shd w:val="clear" w:color="auto" w:fill="auto"/>
            <w:vAlign w:val="center"/>
          </w:tcPr>
          <w:p w14:paraId="37E13064" w14:textId="0A83CED1"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1EAFC6E0" w14:textId="61F2E82B" w:rsidR="00A439B7" w:rsidRPr="00315536" w:rsidRDefault="00A439B7" w:rsidP="00315536">
            <w:pPr>
              <w:keepLines/>
              <w:rPr>
                <w:rFonts w:asciiTheme="minorHAnsi" w:hAnsiTheme="minorHAnsi" w:cstheme="minorHAnsi"/>
                <w:color w:val="000000"/>
                <w:sz w:val="18"/>
                <w:szCs w:val="18"/>
              </w:rPr>
            </w:pPr>
            <w:r w:rsidRPr="00315536">
              <w:rPr>
                <w:rFonts w:asciiTheme="minorHAnsi" w:hAnsiTheme="minorHAnsi" w:cstheme="minorHAnsi"/>
                <w:color w:val="000000"/>
                <w:sz w:val="18"/>
                <w:szCs w:val="18"/>
              </w:rPr>
              <w:t xml:space="preserve">The PBAC did not recommend </w:t>
            </w:r>
            <w:proofErr w:type="spellStart"/>
            <w:r w:rsidRPr="00315536">
              <w:rPr>
                <w:rFonts w:asciiTheme="minorHAnsi" w:hAnsiTheme="minorHAnsi" w:cstheme="minorHAnsi"/>
                <w:color w:val="000000"/>
                <w:sz w:val="18"/>
                <w:szCs w:val="18"/>
              </w:rPr>
              <w:t>pegvaliase</w:t>
            </w:r>
            <w:proofErr w:type="spellEnd"/>
            <w:r w:rsidRPr="00315536">
              <w:rPr>
                <w:rFonts w:asciiTheme="minorHAnsi" w:hAnsiTheme="minorHAnsi" w:cstheme="minorHAnsi"/>
                <w:color w:val="000000"/>
                <w:sz w:val="18"/>
                <w:szCs w:val="18"/>
              </w:rPr>
              <w:t xml:space="preserve"> for the treatment of hyperphenylalaninemia (HPA) due to phenylketonuria (PKU) in patients aged 16 years and over who are not responsive to </w:t>
            </w:r>
            <w:proofErr w:type="spellStart"/>
            <w:r w:rsidRPr="00315536">
              <w:rPr>
                <w:rFonts w:asciiTheme="minorHAnsi" w:hAnsiTheme="minorHAnsi" w:cstheme="minorHAnsi"/>
                <w:color w:val="000000"/>
                <w:sz w:val="18"/>
                <w:szCs w:val="18"/>
              </w:rPr>
              <w:t>sapropterin</w:t>
            </w:r>
            <w:proofErr w:type="spellEnd"/>
            <w:r w:rsidRPr="00315536">
              <w:rPr>
                <w:rFonts w:asciiTheme="minorHAnsi" w:hAnsiTheme="minorHAnsi" w:cstheme="minorHAnsi"/>
                <w:color w:val="000000"/>
                <w:sz w:val="18"/>
                <w:szCs w:val="18"/>
              </w:rPr>
              <w:t xml:space="preserve">. The PBAC considered there was a high clinical need in a small patient population, but that the sponsor’s proposal to restrict use to patients who are not responsive to </w:t>
            </w:r>
            <w:proofErr w:type="spellStart"/>
            <w:r w:rsidRPr="00315536">
              <w:rPr>
                <w:rFonts w:asciiTheme="minorHAnsi" w:hAnsiTheme="minorHAnsi" w:cstheme="minorHAnsi"/>
                <w:color w:val="000000"/>
                <w:sz w:val="18"/>
                <w:szCs w:val="18"/>
              </w:rPr>
              <w:t>sapropterin</w:t>
            </w:r>
            <w:proofErr w:type="spellEnd"/>
            <w:r w:rsidRPr="00315536">
              <w:rPr>
                <w:rFonts w:asciiTheme="minorHAnsi" w:hAnsiTheme="minorHAnsi" w:cstheme="minorHAnsi"/>
                <w:color w:val="000000"/>
                <w:sz w:val="18"/>
                <w:szCs w:val="18"/>
              </w:rPr>
              <w:t xml:space="preserve"> was inequitable and not clinically appropriate. The PBAC also considered the magnitude of the benefit of </w:t>
            </w:r>
            <w:proofErr w:type="spellStart"/>
            <w:r w:rsidRPr="00315536">
              <w:rPr>
                <w:rFonts w:asciiTheme="minorHAnsi" w:hAnsiTheme="minorHAnsi" w:cstheme="minorHAnsi"/>
                <w:color w:val="000000"/>
                <w:sz w:val="18"/>
                <w:szCs w:val="18"/>
              </w:rPr>
              <w:t>pegvaliase</w:t>
            </w:r>
            <w:proofErr w:type="spellEnd"/>
            <w:r w:rsidRPr="00315536">
              <w:rPr>
                <w:rFonts w:asciiTheme="minorHAnsi" w:hAnsiTheme="minorHAnsi" w:cstheme="minorHAnsi"/>
                <w:color w:val="000000"/>
                <w:sz w:val="18"/>
                <w:szCs w:val="18"/>
              </w:rPr>
              <w:t xml:space="preserve"> was unclear, and that the cost effectiveness was </w:t>
            </w:r>
            <w:proofErr w:type="gramStart"/>
            <w:r w:rsidRPr="00315536">
              <w:rPr>
                <w:rFonts w:asciiTheme="minorHAnsi" w:hAnsiTheme="minorHAnsi" w:cstheme="minorHAnsi"/>
                <w:color w:val="000000"/>
                <w:sz w:val="18"/>
                <w:szCs w:val="18"/>
              </w:rPr>
              <w:t>uncertain</w:t>
            </w:r>
            <w:proofErr w:type="gramEnd"/>
            <w:r w:rsidRPr="00315536">
              <w:rPr>
                <w:rFonts w:asciiTheme="minorHAnsi" w:hAnsiTheme="minorHAnsi" w:cstheme="minorHAnsi"/>
                <w:color w:val="000000"/>
                <w:sz w:val="18"/>
                <w:szCs w:val="18"/>
              </w:rPr>
              <w:t xml:space="preserve"> and the </w:t>
            </w:r>
            <w:r w:rsidR="00417F47">
              <w:rPr>
                <w:rFonts w:asciiTheme="minorHAnsi" w:hAnsiTheme="minorHAnsi" w:cstheme="minorHAnsi"/>
                <w:color w:val="000000"/>
                <w:sz w:val="18"/>
                <w:szCs w:val="18"/>
              </w:rPr>
              <w:t>incremental cost-effectiveness ratio</w:t>
            </w:r>
            <w:r w:rsidRPr="00315536">
              <w:rPr>
                <w:rFonts w:asciiTheme="minorHAnsi" w:hAnsiTheme="minorHAnsi" w:cstheme="minorHAnsi"/>
                <w:color w:val="000000"/>
                <w:sz w:val="18"/>
                <w:szCs w:val="18"/>
              </w:rPr>
              <w:t xml:space="preserve"> was exceptionally high at the price proposed. </w:t>
            </w:r>
          </w:p>
          <w:p w14:paraId="586D54CB" w14:textId="77777777" w:rsidR="00A439B7" w:rsidRPr="00A439B7" w:rsidRDefault="00A439B7" w:rsidP="00A439B7">
            <w:pPr>
              <w:pStyle w:val="ListParagraph"/>
              <w:keepLines/>
              <w:rPr>
                <w:rFonts w:asciiTheme="minorHAnsi" w:hAnsiTheme="minorHAnsi" w:cstheme="minorHAnsi"/>
                <w:color w:val="000000"/>
                <w:sz w:val="18"/>
                <w:szCs w:val="18"/>
              </w:rPr>
            </w:pPr>
          </w:p>
          <w:p w14:paraId="3BA62025" w14:textId="3A6597C6" w:rsidR="00A439B7" w:rsidRDefault="00A439B7" w:rsidP="00A439B7">
            <w:pPr>
              <w:pStyle w:val="ListParagraph"/>
              <w:keepLines/>
              <w:ind w:left="0"/>
              <w:rPr>
                <w:rFonts w:asciiTheme="minorHAnsi" w:hAnsiTheme="minorHAnsi" w:cstheme="minorHAnsi"/>
                <w:color w:val="000000"/>
                <w:sz w:val="18"/>
                <w:szCs w:val="18"/>
              </w:rPr>
            </w:pPr>
            <w:r w:rsidRPr="00A439B7">
              <w:rPr>
                <w:rFonts w:asciiTheme="minorHAnsi" w:hAnsiTheme="minorHAnsi" w:cstheme="minorHAnsi"/>
                <w:color w:val="000000"/>
                <w:sz w:val="18"/>
                <w:szCs w:val="18"/>
              </w:rPr>
              <w:t xml:space="preserve">The PBAC acknowledged the meaningful consumer support and engagement with regards to the submissions for </w:t>
            </w:r>
            <w:proofErr w:type="spellStart"/>
            <w:r w:rsidRPr="00A439B7">
              <w:rPr>
                <w:rFonts w:asciiTheme="minorHAnsi" w:hAnsiTheme="minorHAnsi" w:cstheme="minorHAnsi"/>
                <w:color w:val="000000"/>
                <w:sz w:val="18"/>
                <w:szCs w:val="18"/>
              </w:rPr>
              <w:t>pegvaliase</w:t>
            </w:r>
            <w:proofErr w:type="spellEnd"/>
            <w:r w:rsidRPr="00A439B7">
              <w:rPr>
                <w:rFonts w:asciiTheme="minorHAnsi" w:hAnsiTheme="minorHAnsi" w:cstheme="minorHAnsi"/>
                <w:color w:val="000000"/>
                <w:sz w:val="18"/>
                <w:szCs w:val="18"/>
              </w:rPr>
              <w:t xml:space="preserve"> </w:t>
            </w:r>
            <w:r w:rsidR="00130019">
              <w:rPr>
                <w:rFonts w:asciiTheme="minorHAnsi" w:hAnsiTheme="minorHAnsi" w:cstheme="minorHAnsi"/>
                <w:color w:val="000000"/>
                <w:sz w:val="18"/>
                <w:szCs w:val="18"/>
              </w:rPr>
              <w:t xml:space="preserve">and </w:t>
            </w:r>
            <w:proofErr w:type="spellStart"/>
            <w:r w:rsidR="00130019">
              <w:rPr>
                <w:rFonts w:asciiTheme="minorHAnsi" w:hAnsiTheme="minorHAnsi" w:cstheme="minorHAnsi"/>
                <w:color w:val="000000"/>
                <w:sz w:val="18"/>
                <w:szCs w:val="18"/>
              </w:rPr>
              <w:t>saproterin</w:t>
            </w:r>
            <w:proofErr w:type="spellEnd"/>
            <w:r w:rsidR="00130019">
              <w:rPr>
                <w:rFonts w:asciiTheme="minorHAnsi" w:hAnsiTheme="minorHAnsi" w:cstheme="minorHAnsi"/>
                <w:color w:val="000000"/>
                <w:sz w:val="18"/>
                <w:szCs w:val="18"/>
              </w:rPr>
              <w:t xml:space="preserve">, </w:t>
            </w:r>
            <w:r w:rsidRPr="00A439B7">
              <w:rPr>
                <w:rFonts w:asciiTheme="minorHAnsi" w:hAnsiTheme="minorHAnsi" w:cstheme="minorHAnsi"/>
                <w:color w:val="000000"/>
                <w:sz w:val="18"/>
                <w:szCs w:val="18"/>
              </w:rPr>
              <w:t xml:space="preserve">which was also considered at the July 2022 PBAC meeting. Consumers outlined the very high clinical need for effective treatments for this condition given the impacts of high phenylalanine levels on cognitive function and psychiatric well-being. Consumers also outlined the burden of current management which involves a very restrictive diet, and the need for effective treatments that may allow patients to increase their dietary protein intake to a sustainable level. The PBAC considered that consumer input was valuable in establishing the clinical need and clinical place for </w:t>
            </w:r>
            <w:proofErr w:type="spellStart"/>
            <w:r w:rsidRPr="00A439B7">
              <w:rPr>
                <w:rFonts w:asciiTheme="minorHAnsi" w:hAnsiTheme="minorHAnsi" w:cstheme="minorHAnsi"/>
                <w:color w:val="000000"/>
                <w:sz w:val="18"/>
                <w:szCs w:val="18"/>
              </w:rPr>
              <w:t>pegvaliase</w:t>
            </w:r>
            <w:proofErr w:type="spellEnd"/>
            <w:r w:rsidRPr="00A439B7">
              <w:rPr>
                <w:rFonts w:asciiTheme="minorHAnsi" w:hAnsiTheme="minorHAnsi" w:cstheme="minorHAnsi"/>
                <w:color w:val="000000"/>
                <w:sz w:val="18"/>
                <w:szCs w:val="18"/>
              </w:rPr>
              <w:t>.</w:t>
            </w:r>
          </w:p>
          <w:p w14:paraId="57C175DC" w14:textId="77777777" w:rsidR="00A439B7" w:rsidRPr="00315536" w:rsidRDefault="00A439B7" w:rsidP="00A439B7">
            <w:pPr>
              <w:pStyle w:val="ListParagraph"/>
              <w:keepLines/>
              <w:ind w:left="0"/>
              <w:rPr>
                <w:rFonts w:asciiTheme="minorHAnsi" w:hAnsiTheme="minorHAnsi" w:cstheme="minorHAnsi"/>
                <w:color w:val="000000"/>
                <w:sz w:val="18"/>
                <w:szCs w:val="18"/>
              </w:rPr>
            </w:pPr>
          </w:p>
          <w:p w14:paraId="655F8F04"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550A4B1D" w14:textId="5351643D" w:rsidR="003C457C" w:rsidRPr="001B15BA" w:rsidRDefault="003C457C" w:rsidP="004A5B38">
            <w:pPr>
              <w:pStyle w:val="ListParagraph"/>
              <w:keepLines/>
              <w:ind w:left="0"/>
              <w:rPr>
                <w:rFonts w:asciiTheme="minorHAnsi" w:hAnsiTheme="minorHAnsi" w:cstheme="minorHAnsi"/>
                <w:color w:val="000000"/>
                <w:sz w:val="18"/>
                <w:szCs w:val="18"/>
                <w:highlight w:val="yellow"/>
              </w:rPr>
            </w:pPr>
            <w:r w:rsidRPr="003C457C">
              <w:rPr>
                <w:rFonts w:asciiTheme="minorHAnsi" w:hAnsiTheme="minorHAnsi" w:cstheme="minorHAnsi"/>
                <w:color w:val="000000"/>
                <w:sz w:val="18"/>
                <w:szCs w:val="18"/>
              </w:rPr>
              <w:t xml:space="preserve">BioMarin thanks the PBAC for acknowledging the high clinical need in this small patient population, and looks forward to working with the PBAC to identify the appropriate place for </w:t>
            </w:r>
            <w:proofErr w:type="spellStart"/>
            <w:r w:rsidRPr="003C457C">
              <w:rPr>
                <w:rFonts w:asciiTheme="minorHAnsi" w:hAnsiTheme="minorHAnsi" w:cstheme="minorHAnsi"/>
                <w:color w:val="000000"/>
                <w:sz w:val="18"/>
                <w:szCs w:val="18"/>
              </w:rPr>
              <w:t>pegvaliase</w:t>
            </w:r>
            <w:proofErr w:type="spellEnd"/>
            <w:r w:rsidRPr="003C457C">
              <w:rPr>
                <w:rFonts w:asciiTheme="minorHAnsi" w:hAnsiTheme="minorHAnsi" w:cstheme="minorHAnsi"/>
                <w:color w:val="000000"/>
                <w:sz w:val="18"/>
                <w:szCs w:val="18"/>
              </w:rPr>
              <w:t xml:space="preserve"> in the treatment of PKU, so that it can be made available on the PBS.</w:t>
            </w:r>
          </w:p>
        </w:tc>
      </w:tr>
      <w:tr w:rsidR="004A5B38" w:rsidRPr="00567D48" w14:paraId="2EC70EBE" w14:textId="77777777" w:rsidTr="00315536">
        <w:trPr>
          <w:cantSplit/>
          <w:trHeight w:val="2948"/>
        </w:trPr>
        <w:tc>
          <w:tcPr>
            <w:tcW w:w="3013" w:type="dxa"/>
            <w:shd w:val="clear" w:color="auto" w:fill="auto"/>
            <w:tcMar>
              <w:top w:w="28" w:type="dxa"/>
              <w:bottom w:w="28" w:type="dxa"/>
            </w:tcMar>
            <w:vAlign w:val="center"/>
          </w:tcPr>
          <w:p w14:paraId="51F9C8DB" w14:textId="2DAF510D"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PEMBROLIZUMAB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100 mg in 4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Keytruda®</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Merck Sharp &amp; Dohme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3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6228A90D" w14:textId="77777777" w:rsidR="009305AF" w:rsidRDefault="004A5B38" w:rsidP="004A5B38">
            <w:pPr>
              <w:keepLines/>
              <w:widowControl w:val="0"/>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Urothelial cancer </w:t>
            </w:r>
          </w:p>
          <w:p w14:paraId="4F5F7447" w14:textId="77777777" w:rsidR="009305AF" w:rsidRDefault="004A5B38" w:rsidP="004A5B38">
            <w:pPr>
              <w:keepLines/>
              <w:widowControl w:val="0"/>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Colorectal cancer </w:t>
            </w:r>
          </w:p>
          <w:p w14:paraId="462D9163" w14:textId="77777777" w:rsidR="009305AF" w:rsidRDefault="004A5B38" w:rsidP="004A5B38">
            <w:pPr>
              <w:keepLines/>
              <w:widowControl w:val="0"/>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Primary Mediastinal B-cell Lymphoma </w:t>
            </w:r>
          </w:p>
          <w:p w14:paraId="769B6C1F" w14:textId="1BFCA408"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Classical Hodgkin Lymphoma</w:t>
            </w:r>
          </w:p>
        </w:tc>
        <w:tc>
          <w:tcPr>
            <w:tcW w:w="3288" w:type="dxa"/>
            <w:shd w:val="clear" w:color="auto" w:fill="auto"/>
            <w:tcMar>
              <w:top w:w="28" w:type="dxa"/>
              <w:bottom w:w="28" w:type="dxa"/>
            </w:tcMar>
            <w:vAlign w:val="center"/>
          </w:tcPr>
          <w:p w14:paraId="438FD70D" w14:textId="2764FC94"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 xml:space="preserve">To request addition of a new dosing regimen of 400 mg every 6 weeks (Q6W) for pembrolizumab for urothelial cancer, colorectal cancer, primary mediastinal B-cell </w:t>
            </w:r>
            <w:proofErr w:type="gramStart"/>
            <w:r w:rsidRPr="001B15BA">
              <w:rPr>
                <w:rFonts w:asciiTheme="minorHAnsi" w:hAnsiTheme="minorHAnsi" w:cstheme="minorHAnsi"/>
                <w:color w:val="000000"/>
                <w:sz w:val="18"/>
                <w:szCs w:val="18"/>
              </w:rPr>
              <w:t>lymphoma</w:t>
            </w:r>
            <w:proofErr w:type="gramEnd"/>
            <w:r w:rsidRPr="001B15BA">
              <w:rPr>
                <w:rFonts w:asciiTheme="minorHAnsi" w:hAnsiTheme="minorHAnsi" w:cstheme="minorHAnsi"/>
                <w:color w:val="000000"/>
                <w:sz w:val="18"/>
                <w:szCs w:val="18"/>
              </w:rPr>
              <w:t xml:space="preserve"> and classical </w:t>
            </w:r>
            <w:r w:rsidR="009305AF">
              <w:rPr>
                <w:rFonts w:asciiTheme="minorHAnsi" w:hAnsiTheme="minorHAnsi" w:cstheme="minorHAnsi"/>
                <w:color w:val="000000"/>
                <w:sz w:val="18"/>
                <w:szCs w:val="18"/>
              </w:rPr>
              <w:t>H</w:t>
            </w:r>
            <w:r w:rsidRPr="001B15BA">
              <w:rPr>
                <w:rFonts w:asciiTheme="minorHAnsi" w:hAnsiTheme="minorHAnsi" w:cstheme="minorHAnsi"/>
                <w:color w:val="000000"/>
                <w:sz w:val="18"/>
                <w:szCs w:val="18"/>
              </w:rPr>
              <w:t xml:space="preserve">odgkin lymphoma indications. The submission also requested that Q6W dosing be extended to potential future pembrolizumab listings for squamous cell carcinoma of the head and neck (SCCHN) and oesophageal carcinoma which were considered by PBAC at its March 2022 meeting. </w:t>
            </w:r>
          </w:p>
        </w:tc>
        <w:tc>
          <w:tcPr>
            <w:tcW w:w="1987" w:type="dxa"/>
            <w:shd w:val="clear" w:color="auto" w:fill="auto"/>
            <w:vAlign w:val="center"/>
          </w:tcPr>
          <w:p w14:paraId="0039D5E2" w14:textId="1FA52E6C"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45CEEF81" w14:textId="6A445203" w:rsidR="004A5B38" w:rsidRPr="001B15BA" w:rsidRDefault="004A5B38" w:rsidP="004A5B38">
            <w:pPr>
              <w:pStyle w:val="ListParagraph"/>
              <w:keepLines/>
              <w:ind w:left="0"/>
              <w:rPr>
                <w:rFonts w:asciiTheme="minorHAnsi" w:hAnsiTheme="minorHAnsi" w:cstheme="minorHAnsi"/>
                <w:color w:val="000000"/>
                <w:sz w:val="18"/>
                <w:szCs w:val="18"/>
              </w:rPr>
            </w:pPr>
            <w:r w:rsidRPr="00B60C95">
              <w:rPr>
                <w:rFonts w:asciiTheme="minorHAnsi" w:hAnsiTheme="minorHAnsi" w:cstheme="minorHAnsi"/>
                <w:color w:val="000000"/>
                <w:sz w:val="18"/>
                <w:szCs w:val="18"/>
              </w:rPr>
              <w:t>The PBAC recommended the addition of 400</w:t>
            </w:r>
            <w:r>
              <w:rPr>
                <w:rFonts w:asciiTheme="minorHAnsi" w:hAnsiTheme="minorHAnsi" w:cstheme="minorHAnsi"/>
                <w:color w:val="000000"/>
                <w:sz w:val="18"/>
                <w:szCs w:val="18"/>
              </w:rPr>
              <w:t> </w:t>
            </w:r>
            <w:r w:rsidRPr="00B60C95">
              <w:rPr>
                <w:rFonts w:asciiTheme="minorHAnsi" w:hAnsiTheme="minorHAnsi" w:cstheme="minorHAnsi"/>
                <w:color w:val="000000"/>
                <w:sz w:val="18"/>
                <w:szCs w:val="18"/>
              </w:rPr>
              <w:t>mg Q6W pembrolizumab dosing regimen for all existing and recommended pembrolizumab PBS listings. The PBAC recommended to combine Initial and Continuing treatment phases into one listing for all pembrolizumab indications except for Stage IV (metastatic) non-small cell lung cancer (NSCLC), Resected stage IIIB, IIIC, IIID malignant melanoma and Unresectable stage III, IV malignant melanoma. Further, the PBAC advised pembrolizumab for the treatment of primary mediastinal B-cell lymphoma and classical Hodgkin’s lymphoma be moved to streamlined authority to be aligned with other lymphoma treatments. The PBAC considered there would be savings to the Government due to the reduced administration and dispensing costs from the fewer scripts dispensed for the Q6W dosing regimen compared to the Q3W dosing regimen.</w:t>
            </w:r>
          </w:p>
        </w:tc>
      </w:tr>
      <w:tr w:rsidR="004A5B38" w:rsidRPr="00567D48" w14:paraId="01B90FB2" w14:textId="77777777" w:rsidTr="00315536">
        <w:trPr>
          <w:cantSplit/>
          <w:trHeight w:val="2948"/>
        </w:trPr>
        <w:tc>
          <w:tcPr>
            <w:tcW w:w="3013" w:type="dxa"/>
            <w:shd w:val="clear" w:color="auto" w:fill="auto"/>
            <w:tcMar>
              <w:top w:w="28" w:type="dxa"/>
              <w:bottom w:w="28" w:type="dxa"/>
            </w:tcMar>
            <w:vAlign w:val="center"/>
          </w:tcPr>
          <w:p w14:paraId="643FCAB8" w14:textId="0E081BB6"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t>POLYETHYLENE GLYCOL 400 WITH PROPYLENE GLYCOL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Eye drops 4 mg-3 mg per mL, 15</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Optix</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Petrus Pharmaceuticals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Committee secretariat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7E50F09F" w14:textId="33CD4A77"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Severe dry eye syndrome, including Sjogren's syndrome</w:t>
            </w:r>
          </w:p>
        </w:tc>
        <w:tc>
          <w:tcPr>
            <w:tcW w:w="3288" w:type="dxa"/>
            <w:shd w:val="clear" w:color="auto" w:fill="auto"/>
            <w:tcMar>
              <w:top w:w="28" w:type="dxa"/>
              <w:bottom w:w="28" w:type="dxa"/>
            </w:tcMar>
            <w:vAlign w:val="center"/>
          </w:tcPr>
          <w:p w14:paraId="022C06AA" w14:textId="61369C7B"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 xml:space="preserve">To request a General Schedule Restricted Benefit listing of a new brand under the same conditions as the currently listed brand of polyethylene glycol 400 with propylene glycol. </w:t>
            </w:r>
          </w:p>
        </w:tc>
        <w:tc>
          <w:tcPr>
            <w:tcW w:w="1987" w:type="dxa"/>
            <w:shd w:val="clear" w:color="auto" w:fill="auto"/>
            <w:vAlign w:val="center"/>
          </w:tcPr>
          <w:p w14:paraId="6E0867D2" w14:textId="2691DA69"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5383C8BE" w14:textId="5BD4C021"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The PBAC recommended the listing of a new generic brand of polyethylene glycol 400 with propylene glycol eye drops (</w:t>
            </w:r>
            <w:proofErr w:type="spellStart"/>
            <w:r w:rsidRPr="00AC692A">
              <w:rPr>
                <w:rFonts w:asciiTheme="minorHAnsi" w:hAnsiTheme="minorHAnsi" w:cstheme="minorHAnsi"/>
                <w:color w:val="000000"/>
                <w:sz w:val="18"/>
                <w:szCs w:val="18"/>
              </w:rPr>
              <w:t>Optix</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under the same circumstances as the PBS-listed Systane® eye drops, for the treatment of severe dry eye syndrome, including Sjogren's syndrome. The PBAC advised that </w:t>
            </w:r>
            <w:proofErr w:type="spellStart"/>
            <w:r w:rsidRPr="00AC692A">
              <w:rPr>
                <w:rFonts w:asciiTheme="minorHAnsi" w:hAnsiTheme="minorHAnsi" w:cstheme="minorHAnsi"/>
                <w:color w:val="000000"/>
                <w:sz w:val="18"/>
                <w:szCs w:val="18"/>
              </w:rPr>
              <w:t>Optix</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and Systane</w:t>
            </w:r>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should be marked as equivalent in the Schedule of Pharmaceutical Benefits for the purposes of substitution. The PBAC noted that the listing of </w:t>
            </w:r>
            <w:proofErr w:type="spellStart"/>
            <w:r w:rsidRPr="00AC692A">
              <w:rPr>
                <w:rFonts w:asciiTheme="minorHAnsi" w:hAnsiTheme="minorHAnsi" w:cstheme="minorHAnsi"/>
                <w:color w:val="000000"/>
                <w:sz w:val="18"/>
                <w:szCs w:val="18"/>
              </w:rPr>
              <w:t>Optix</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was estimated to result in a net cost saving to the PBS/RPBS over the forward estimates.</w:t>
            </w:r>
          </w:p>
        </w:tc>
      </w:tr>
      <w:tr w:rsidR="004A5B38" w:rsidRPr="00567D48" w14:paraId="40E4BB59" w14:textId="77777777" w:rsidTr="00315536">
        <w:trPr>
          <w:cantSplit/>
          <w:trHeight w:val="2948"/>
        </w:trPr>
        <w:tc>
          <w:tcPr>
            <w:tcW w:w="3013" w:type="dxa"/>
            <w:shd w:val="clear" w:color="auto" w:fill="auto"/>
            <w:tcMar>
              <w:top w:w="28" w:type="dxa"/>
              <w:bottom w:w="28" w:type="dxa"/>
            </w:tcMar>
            <w:vAlign w:val="center"/>
          </w:tcPr>
          <w:p w14:paraId="1EDB5AE9" w14:textId="5149E974"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PROGESTERONE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Pessary 400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Cyclogest</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Gedeon Richter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603B53A4" w14:textId="2EDFB921"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Infertility</w:t>
            </w:r>
          </w:p>
        </w:tc>
        <w:tc>
          <w:tcPr>
            <w:tcW w:w="3288" w:type="dxa"/>
            <w:shd w:val="clear" w:color="auto" w:fill="auto"/>
            <w:tcMar>
              <w:top w:w="28" w:type="dxa"/>
              <w:bottom w:w="28" w:type="dxa"/>
            </w:tcMar>
            <w:vAlign w:val="center"/>
          </w:tcPr>
          <w:p w14:paraId="5F04A0DB" w14:textId="2445115E"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Section 100 (IVF Program) Authority Required listing for luteal phase support as part of an assisted reproductive technology treatment cycle for infertile women.</w:t>
            </w:r>
          </w:p>
        </w:tc>
        <w:tc>
          <w:tcPr>
            <w:tcW w:w="1987" w:type="dxa"/>
            <w:shd w:val="clear" w:color="auto" w:fill="auto"/>
            <w:vAlign w:val="center"/>
          </w:tcPr>
          <w:p w14:paraId="4F9BC913" w14:textId="31FDC254"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47531880" w14:textId="21B3BCC1" w:rsidR="004D7964" w:rsidRDefault="004A5B38" w:rsidP="004A5B38">
            <w:pPr>
              <w:pStyle w:val="ListParagraph"/>
              <w:keepLines/>
              <w:ind w:left="0"/>
              <w:rPr>
                <w:rFonts w:asciiTheme="minorHAnsi" w:hAnsiTheme="minorHAnsi" w:cstheme="minorHAnsi"/>
                <w:color w:val="000000"/>
                <w:sz w:val="18"/>
                <w:szCs w:val="18"/>
              </w:rPr>
            </w:pPr>
            <w:r w:rsidRPr="00AC692A">
              <w:rPr>
                <w:rFonts w:asciiTheme="minorHAnsi" w:hAnsiTheme="minorHAnsi" w:cstheme="minorHAnsi"/>
                <w:color w:val="000000"/>
                <w:sz w:val="18"/>
                <w:szCs w:val="18"/>
              </w:rPr>
              <w:t>The PBAC recommended the Authority Required listing of progesterone 400 mg pessary (</w:t>
            </w:r>
            <w:proofErr w:type="spellStart"/>
            <w:r w:rsidRPr="00AC692A">
              <w:rPr>
                <w:rFonts w:asciiTheme="minorHAnsi" w:hAnsiTheme="minorHAnsi" w:cstheme="minorHAnsi"/>
                <w:color w:val="000000"/>
                <w:sz w:val="18"/>
                <w:szCs w:val="18"/>
              </w:rPr>
              <w:t>Cyclogest</w:t>
            </w:r>
            <w:proofErr w:type="spellEnd"/>
            <w:r w:rsidRPr="00AC692A">
              <w:rPr>
                <w:rFonts w:asciiTheme="minorHAnsi" w:hAnsiTheme="minorHAnsi" w:cstheme="minorHAnsi"/>
                <w:color w:val="000000"/>
                <w:sz w:val="18"/>
                <w:szCs w:val="18"/>
              </w:rPr>
              <w:t xml:space="preserve">®) on the basis it should be available only under special arrangements covered under the PBS Section 100 – IVF Program for the treatment of infertile women who require luteal phase support as part of an Assisted Reproductive Technology treatment cycle. The PBAC’s recommendation for listing was based on, among other matters, its assessment, that the cost-effectiveness of </w:t>
            </w:r>
            <w:proofErr w:type="spellStart"/>
            <w:r w:rsidRPr="00AC692A">
              <w:rPr>
                <w:rFonts w:asciiTheme="minorHAnsi" w:hAnsiTheme="minorHAnsi" w:cstheme="minorHAnsi"/>
                <w:color w:val="000000"/>
                <w:sz w:val="18"/>
                <w:szCs w:val="18"/>
              </w:rPr>
              <w:t>Cyclogest</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would be acceptable if it were cost-minimised against the least costly progesterone for luteal phase support currently listed on the PBS. </w:t>
            </w:r>
          </w:p>
          <w:p w14:paraId="76C8E7F3" w14:textId="77777777" w:rsidR="004D7964" w:rsidRDefault="004D7964" w:rsidP="004A5B38">
            <w:pPr>
              <w:pStyle w:val="ListParagraph"/>
              <w:keepLines/>
              <w:ind w:left="0"/>
              <w:rPr>
                <w:rFonts w:asciiTheme="minorHAnsi" w:hAnsiTheme="minorHAnsi" w:cstheme="minorHAnsi"/>
                <w:color w:val="000000"/>
                <w:sz w:val="18"/>
                <w:szCs w:val="18"/>
              </w:rPr>
            </w:pPr>
          </w:p>
          <w:p w14:paraId="3E4E4181" w14:textId="77777777" w:rsidR="004D7964" w:rsidRDefault="004A5B38" w:rsidP="004A5B38">
            <w:pPr>
              <w:pStyle w:val="ListParagraph"/>
              <w:keepLines/>
              <w:ind w:left="0"/>
              <w:rPr>
                <w:rFonts w:asciiTheme="minorHAnsi" w:hAnsiTheme="minorHAnsi" w:cstheme="minorHAnsi"/>
                <w:color w:val="000000"/>
                <w:sz w:val="18"/>
                <w:szCs w:val="18"/>
              </w:rPr>
            </w:pPr>
            <w:r w:rsidRPr="00AC692A">
              <w:rPr>
                <w:rFonts w:asciiTheme="minorHAnsi" w:hAnsiTheme="minorHAnsi" w:cstheme="minorHAnsi"/>
                <w:color w:val="000000"/>
                <w:sz w:val="18"/>
                <w:szCs w:val="18"/>
              </w:rPr>
              <w:t xml:space="preserve">The PBAC considered the </w:t>
            </w:r>
            <w:proofErr w:type="spellStart"/>
            <w:r w:rsidRPr="00AC692A">
              <w:rPr>
                <w:rFonts w:asciiTheme="minorHAnsi" w:hAnsiTheme="minorHAnsi" w:cstheme="minorHAnsi"/>
                <w:color w:val="000000"/>
                <w:sz w:val="18"/>
                <w:szCs w:val="18"/>
              </w:rPr>
              <w:t>equi</w:t>
            </w:r>
            <w:proofErr w:type="spellEnd"/>
            <w:r w:rsidRPr="00AC692A">
              <w:rPr>
                <w:rFonts w:asciiTheme="minorHAnsi" w:hAnsiTheme="minorHAnsi" w:cstheme="minorHAnsi"/>
                <w:color w:val="000000"/>
                <w:sz w:val="18"/>
                <w:szCs w:val="18"/>
              </w:rPr>
              <w:t xml:space="preserve">-effective doses to be: </w:t>
            </w:r>
            <w:proofErr w:type="spellStart"/>
            <w:r w:rsidRPr="00AC692A">
              <w:rPr>
                <w:rFonts w:asciiTheme="minorHAnsi" w:hAnsiTheme="minorHAnsi" w:cstheme="minorHAnsi"/>
                <w:color w:val="000000"/>
                <w:sz w:val="18"/>
                <w:szCs w:val="18"/>
              </w:rPr>
              <w:t>Cyclogest</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400 mg BID ≡ </w:t>
            </w:r>
            <w:proofErr w:type="spellStart"/>
            <w:r w:rsidRPr="00AC692A">
              <w:rPr>
                <w:rFonts w:asciiTheme="minorHAnsi" w:hAnsiTheme="minorHAnsi" w:cstheme="minorHAnsi"/>
                <w:color w:val="000000"/>
                <w:sz w:val="18"/>
                <w:szCs w:val="18"/>
              </w:rPr>
              <w:t>Crinone</w:t>
            </w:r>
            <w:proofErr w:type="spellEnd"/>
            <w:r w:rsidRPr="00AC692A">
              <w:rPr>
                <w:rFonts w:asciiTheme="minorHAnsi" w:hAnsiTheme="minorHAnsi" w:cstheme="minorHAnsi"/>
                <w:color w:val="000000"/>
                <w:sz w:val="18"/>
                <w:szCs w:val="18"/>
              </w:rPr>
              <w:t xml:space="preserve">® 8% (90 mg) QD and </w:t>
            </w:r>
            <w:proofErr w:type="spellStart"/>
            <w:r w:rsidRPr="00AC692A">
              <w:rPr>
                <w:rFonts w:asciiTheme="minorHAnsi" w:hAnsiTheme="minorHAnsi" w:cstheme="minorHAnsi"/>
                <w:color w:val="000000"/>
                <w:sz w:val="18"/>
                <w:szCs w:val="18"/>
              </w:rPr>
              <w:t>Cyclogest</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400 mg BID ≡ </w:t>
            </w:r>
            <w:proofErr w:type="spellStart"/>
            <w:r w:rsidRPr="00AC692A">
              <w:rPr>
                <w:rFonts w:asciiTheme="minorHAnsi" w:hAnsiTheme="minorHAnsi" w:cstheme="minorHAnsi"/>
                <w:color w:val="000000"/>
                <w:sz w:val="18"/>
                <w:szCs w:val="18"/>
              </w:rPr>
              <w:t>Utrogestan</w:t>
            </w:r>
            <w:proofErr w:type="spellEnd"/>
            <w:r w:rsidRPr="00AC692A">
              <w:rPr>
                <w:rFonts w:asciiTheme="minorHAnsi" w:hAnsiTheme="minorHAnsi" w:cstheme="minorHAnsi"/>
                <w:color w:val="000000"/>
                <w:sz w:val="18"/>
                <w:szCs w:val="18"/>
              </w:rPr>
              <w:t xml:space="preserve">® 200 mg TID. </w:t>
            </w:r>
          </w:p>
          <w:p w14:paraId="6C03B69B" w14:textId="77777777" w:rsidR="004D7964" w:rsidRDefault="004D7964" w:rsidP="004A5B38">
            <w:pPr>
              <w:pStyle w:val="ListParagraph"/>
              <w:keepLines/>
              <w:ind w:left="0"/>
              <w:rPr>
                <w:rFonts w:asciiTheme="minorHAnsi" w:hAnsiTheme="minorHAnsi" w:cstheme="minorHAnsi"/>
                <w:color w:val="000000"/>
                <w:sz w:val="18"/>
                <w:szCs w:val="18"/>
              </w:rPr>
            </w:pPr>
          </w:p>
          <w:p w14:paraId="267DBDBD" w14:textId="5432873B" w:rsidR="004A5B38" w:rsidRPr="001B15BA" w:rsidRDefault="004A5B38" w:rsidP="004A5B38">
            <w:pPr>
              <w:pStyle w:val="ListParagraph"/>
              <w:keepLines/>
              <w:ind w:left="0"/>
              <w:rPr>
                <w:rFonts w:asciiTheme="minorHAnsi" w:hAnsiTheme="minorHAnsi" w:cstheme="minorHAnsi"/>
                <w:color w:val="000000"/>
                <w:sz w:val="18"/>
                <w:szCs w:val="18"/>
              </w:rPr>
            </w:pPr>
            <w:r w:rsidRPr="00AC692A">
              <w:rPr>
                <w:rFonts w:asciiTheme="minorHAnsi" w:hAnsiTheme="minorHAnsi" w:cstheme="minorHAnsi"/>
                <w:color w:val="000000"/>
                <w:sz w:val="18"/>
                <w:szCs w:val="18"/>
              </w:rPr>
              <w:t xml:space="preserve">The PBAC considered that the claim of non-inferior comparative effectiveness and safety to </w:t>
            </w:r>
            <w:proofErr w:type="spellStart"/>
            <w:r w:rsidRPr="00AC692A">
              <w:rPr>
                <w:rFonts w:asciiTheme="minorHAnsi" w:hAnsiTheme="minorHAnsi" w:cstheme="minorHAnsi"/>
                <w:color w:val="000000"/>
                <w:sz w:val="18"/>
                <w:szCs w:val="18"/>
              </w:rPr>
              <w:t>Crinone</w:t>
            </w:r>
            <w:proofErr w:type="spellEnd"/>
            <w:r w:rsidRPr="001B15BA">
              <w:rPr>
                <w:rFonts w:asciiTheme="minorHAnsi" w:hAnsiTheme="minorHAnsi" w:cstheme="minorHAnsi"/>
                <w:color w:val="000000"/>
                <w:sz w:val="18"/>
                <w:szCs w:val="18"/>
              </w:rPr>
              <w:t>®</w:t>
            </w:r>
            <w:r w:rsidRPr="00AC692A">
              <w:rPr>
                <w:rFonts w:asciiTheme="minorHAnsi" w:hAnsiTheme="minorHAnsi" w:cstheme="minorHAnsi"/>
                <w:color w:val="000000"/>
                <w:sz w:val="18"/>
                <w:szCs w:val="18"/>
              </w:rPr>
              <w:t xml:space="preserve"> was reasonable. The PBAC </w:t>
            </w:r>
            <w:r w:rsidR="004D7964">
              <w:rPr>
                <w:rFonts w:asciiTheme="minorHAnsi" w:hAnsiTheme="minorHAnsi" w:cstheme="minorHAnsi"/>
                <w:color w:val="000000"/>
                <w:sz w:val="18"/>
                <w:szCs w:val="18"/>
              </w:rPr>
              <w:t>recommended</w:t>
            </w:r>
            <w:r w:rsidR="004D7964" w:rsidRPr="00AC692A">
              <w:rPr>
                <w:rFonts w:asciiTheme="minorHAnsi" w:hAnsiTheme="minorHAnsi" w:cstheme="minorHAnsi"/>
                <w:color w:val="000000"/>
                <w:sz w:val="18"/>
                <w:szCs w:val="18"/>
              </w:rPr>
              <w:t xml:space="preserve"> </w:t>
            </w:r>
            <w:r w:rsidRPr="00AC692A">
              <w:rPr>
                <w:rFonts w:asciiTheme="minorHAnsi" w:hAnsiTheme="minorHAnsi" w:cstheme="minorHAnsi"/>
                <w:color w:val="000000"/>
                <w:sz w:val="18"/>
                <w:szCs w:val="18"/>
              </w:rPr>
              <w:t>the Administrative Advice ‘No increase in the maximum number of repeats may be authorised’ be flowed on to other listings under the PBS Section 100 – IVF Program to align with the Section 100 – IVF Program policy.</w:t>
            </w:r>
          </w:p>
        </w:tc>
      </w:tr>
      <w:tr w:rsidR="004A5B38" w:rsidRPr="00567D48" w14:paraId="67FF131F" w14:textId="77777777" w:rsidTr="00315536">
        <w:trPr>
          <w:cantSplit/>
          <w:trHeight w:val="2948"/>
        </w:trPr>
        <w:tc>
          <w:tcPr>
            <w:tcW w:w="3013" w:type="dxa"/>
            <w:shd w:val="clear" w:color="auto" w:fill="auto"/>
            <w:tcMar>
              <w:top w:w="28" w:type="dxa"/>
              <w:bottom w:w="28" w:type="dxa"/>
            </w:tcMar>
            <w:vAlign w:val="center"/>
          </w:tcPr>
          <w:p w14:paraId="0FD9EBD8" w14:textId="4B450C4A"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RELATLIMAB WITH NIVOLUMAB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Injection concentrate for I.V. infusion containing 80 mg </w:t>
            </w:r>
            <w:proofErr w:type="spellStart"/>
            <w:r w:rsidRPr="001B15BA">
              <w:rPr>
                <w:rFonts w:asciiTheme="minorHAnsi" w:hAnsiTheme="minorHAnsi" w:cstheme="minorHAnsi"/>
                <w:color w:val="000000"/>
                <w:sz w:val="18"/>
                <w:szCs w:val="18"/>
              </w:rPr>
              <w:t>relatlimab</w:t>
            </w:r>
            <w:proofErr w:type="spellEnd"/>
            <w:r w:rsidRPr="001B15BA">
              <w:rPr>
                <w:rFonts w:asciiTheme="minorHAnsi" w:hAnsiTheme="minorHAnsi" w:cstheme="minorHAnsi"/>
                <w:color w:val="000000"/>
                <w:sz w:val="18"/>
                <w:szCs w:val="18"/>
              </w:rPr>
              <w:t xml:space="preserve"> and 240</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mg nivolumab in 20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Opdualag</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Bristol-Myers Squibb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363972BE" w14:textId="121D3BD2"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Melanoma</w:t>
            </w:r>
          </w:p>
        </w:tc>
        <w:tc>
          <w:tcPr>
            <w:tcW w:w="3288" w:type="dxa"/>
            <w:shd w:val="clear" w:color="auto" w:fill="auto"/>
            <w:tcMar>
              <w:top w:w="28" w:type="dxa"/>
              <w:bottom w:w="28" w:type="dxa"/>
            </w:tcMar>
            <w:vAlign w:val="center"/>
          </w:tcPr>
          <w:p w14:paraId="54F3C27B" w14:textId="7DEADF5B"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Section 100 (Efficient Funding of Chemotherapy Program) Authority Required listing for the treatment of Stage III or IV metastatic melanoma.</w:t>
            </w:r>
          </w:p>
        </w:tc>
        <w:tc>
          <w:tcPr>
            <w:tcW w:w="1987" w:type="dxa"/>
            <w:shd w:val="clear" w:color="auto" w:fill="auto"/>
            <w:vAlign w:val="center"/>
          </w:tcPr>
          <w:p w14:paraId="2678D242" w14:textId="7ACC0FA3"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04FE5BFD" w14:textId="05AA225E" w:rsidR="004A5B38" w:rsidRDefault="004A5B38" w:rsidP="004A5B38">
            <w:pPr>
              <w:pStyle w:val="ListParagraph"/>
              <w:keepLines/>
              <w:ind w:left="0"/>
              <w:rPr>
                <w:rFonts w:asciiTheme="minorHAnsi" w:hAnsiTheme="minorHAnsi" w:cstheme="minorHAnsi"/>
                <w:color w:val="000000"/>
                <w:sz w:val="18"/>
                <w:szCs w:val="18"/>
              </w:rPr>
            </w:pPr>
            <w:r w:rsidRPr="00DB06ED">
              <w:rPr>
                <w:rFonts w:asciiTheme="minorHAnsi" w:hAnsiTheme="minorHAnsi" w:cstheme="minorHAnsi"/>
                <w:color w:val="000000"/>
                <w:sz w:val="18"/>
                <w:szCs w:val="18"/>
              </w:rPr>
              <w:t xml:space="preserve">The PBAC did not recommend the listing of </w:t>
            </w:r>
            <w:proofErr w:type="spellStart"/>
            <w:r w:rsidRPr="00DB06ED">
              <w:rPr>
                <w:rFonts w:asciiTheme="minorHAnsi" w:hAnsiTheme="minorHAnsi" w:cstheme="minorHAnsi"/>
                <w:color w:val="000000"/>
                <w:sz w:val="18"/>
                <w:szCs w:val="18"/>
              </w:rPr>
              <w:t>relatlimab</w:t>
            </w:r>
            <w:proofErr w:type="spellEnd"/>
            <w:r w:rsidRPr="00DB06ED">
              <w:rPr>
                <w:rFonts w:asciiTheme="minorHAnsi" w:hAnsiTheme="minorHAnsi" w:cstheme="minorHAnsi"/>
                <w:color w:val="000000"/>
                <w:sz w:val="18"/>
                <w:szCs w:val="18"/>
              </w:rPr>
              <w:t xml:space="preserve"> with nivolumab (RELA+NIVO) fixed dose combination product for the treatment of patients with unresectable Stage III or IV malignant melanoma. The PBAC considered that there is a low clinical need for RELA+NIVO as there are existing effective treatment options available on the PBS (programmed cell death protein 1 (PD-1) monotherapy (nivolumab and pembrolizumab) and combination therapy (nivolumab plus ipilimumab)</w:t>
            </w:r>
            <w:r w:rsidR="004D7964">
              <w:rPr>
                <w:rFonts w:asciiTheme="minorHAnsi" w:hAnsiTheme="minorHAnsi" w:cstheme="minorHAnsi"/>
                <w:color w:val="000000"/>
                <w:sz w:val="18"/>
                <w:szCs w:val="18"/>
              </w:rPr>
              <w:t>)</w:t>
            </w:r>
            <w:r w:rsidRPr="00DB06ED">
              <w:rPr>
                <w:rFonts w:asciiTheme="minorHAnsi" w:hAnsiTheme="minorHAnsi" w:cstheme="minorHAnsi"/>
                <w:color w:val="000000"/>
                <w:sz w:val="18"/>
                <w:szCs w:val="18"/>
              </w:rPr>
              <w:t>. The PBAC considered that the nominated primary comparator of nivolumab monotherapy was not appropriate and that the cost utility analysis versus nivolumab monotherapy was therefore not informative. The PBAC noted that the estimated financial impact of RELA+NIVO was high and uncertain.</w:t>
            </w:r>
          </w:p>
          <w:p w14:paraId="18D98D57" w14:textId="77777777" w:rsidR="00B10BEF" w:rsidRDefault="00B10BEF" w:rsidP="004A5B38">
            <w:pPr>
              <w:pStyle w:val="ListParagraph"/>
              <w:keepLines/>
              <w:ind w:left="0"/>
              <w:rPr>
                <w:rFonts w:asciiTheme="minorHAnsi" w:hAnsiTheme="minorHAnsi" w:cstheme="minorHAnsi"/>
                <w:color w:val="000000"/>
                <w:sz w:val="18"/>
                <w:szCs w:val="18"/>
              </w:rPr>
            </w:pPr>
          </w:p>
          <w:p w14:paraId="2B08C7ED" w14:textId="77777777" w:rsidR="00B10BEF" w:rsidRDefault="00B10BEF" w:rsidP="004A5B38">
            <w:pPr>
              <w:pStyle w:val="ListParagraph"/>
              <w:keepLines/>
              <w:ind w:left="0"/>
              <w:rPr>
                <w:rFonts w:asciiTheme="minorHAnsi" w:hAnsiTheme="minorHAnsi" w:cs="Arial"/>
                <w:snapToGrid w:val="0"/>
                <w:color w:val="000000"/>
                <w:sz w:val="18"/>
                <w:szCs w:val="18"/>
                <w:u w:val="single"/>
              </w:rPr>
            </w:pPr>
            <w:r w:rsidRPr="000171D6">
              <w:rPr>
                <w:rFonts w:asciiTheme="minorHAnsi" w:hAnsiTheme="minorHAnsi" w:cs="Arial"/>
                <w:snapToGrid w:val="0"/>
                <w:color w:val="000000"/>
                <w:sz w:val="18"/>
                <w:szCs w:val="18"/>
                <w:u w:val="single"/>
              </w:rPr>
              <w:t>Sponsor Comment:</w:t>
            </w:r>
          </w:p>
          <w:p w14:paraId="04270532" w14:textId="4998609B" w:rsidR="00B10BEF" w:rsidRPr="00DB06ED" w:rsidRDefault="00BE7964" w:rsidP="004A5B38">
            <w:pPr>
              <w:pStyle w:val="ListParagraph"/>
              <w:keepLines/>
              <w:ind w:left="0"/>
              <w:rPr>
                <w:rFonts w:asciiTheme="minorHAnsi" w:hAnsiTheme="minorHAnsi" w:cstheme="minorHAnsi"/>
                <w:color w:val="000000"/>
                <w:sz w:val="18"/>
                <w:szCs w:val="18"/>
              </w:rPr>
            </w:pPr>
            <w:r w:rsidRPr="00BE7964">
              <w:rPr>
                <w:rFonts w:asciiTheme="minorHAnsi" w:hAnsiTheme="minorHAnsi" w:cstheme="minorHAnsi"/>
                <w:color w:val="000000"/>
                <w:sz w:val="18"/>
                <w:szCs w:val="18"/>
              </w:rPr>
              <w:t xml:space="preserve">The Sponsor is committed to working with the PBAC to bring </w:t>
            </w:r>
            <w:proofErr w:type="spellStart"/>
            <w:r w:rsidRPr="00BE7964">
              <w:rPr>
                <w:rFonts w:asciiTheme="minorHAnsi" w:hAnsiTheme="minorHAnsi" w:cstheme="minorHAnsi"/>
                <w:color w:val="000000"/>
                <w:sz w:val="18"/>
                <w:szCs w:val="18"/>
              </w:rPr>
              <w:t>relatlimab</w:t>
            </w:r>
            <w:proofErr w:type="spellEnd"/>
            <w:r w:rsidRPr="00BE7964">
              <w:rPr>
                <w:rFonts w:asciiTheme="minorHAnsi" w:hAnsiTheme="minorHAnsi" w:cstheme="minorHAnsi"/>
                <w:color w:val="000000"/>
                <w:sz w:val="18"/>
                <w:szCs w:val="18"/>
              </w:rPr>
              <w:t xml:space="preserve"> in combination with nivolumab for treatment of metastatic melanoma to Australian patients in a timely manner.</w:t>
            </w:r>
          </w:p>
        </w:tc>
      </w:tr>
      <w:tr w:rsidR="004A5B38" w:rsidRPr="00567D48" w14:paraId="2942BBFA" w14:textId="77777777" w:rsidTr="00315536">
        <w:trPr>
          <w:cantSplit/>
          <w:trHeight w:val="2948"/>
        </w:trPr>
        <w:tc>
          <w:tcPr>
            <w:tcW w:w="3013" w:type="dxa"/>
            <w:shd w:val="clear" w:color="auto" w:fill="auto"/>
            <w:tcMar>
              <w:top w:w="28" w:type="dxa"/>
              <w:bottom w:w="28" w:type="dxa"/>
            </w:tcMar>
            <w:vAlign w:val="center"/>
          </w:tcPr>
          <w:p w14:paraId="36875BAE" w14:textId="6E4CAD33"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t xml:space="preserve">RISANKIZUMAB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Solution concentrate for I.V. infusion 600 mg in 10 mL</w:t>
            </w:r>
            <w:r w:rsidRPr="001B15BA">
              <w:rPr>
                <w:rFonts w:asciiTheme="minorHAnsi" w:hAnsiTheme="minorHAnsi" w:cstheme="minorHAnsi"/>
                <w:color w:val="000000"/>
                <w:sz w:val="18"/>
                <w:szCs w:val="18"/>
              </w:rPr>
              <w:br/>
              <w:t>Injection 360 mg in 2.4 mL in pre-filled cartridge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Skyrizi</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AbbVie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01D4F22A" w14:textId="583929BC"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Crohn disease</w:t>
            </w:r>
          </w:p>
        </w:tc>
        <w:tc>
          <w:tcPr>
            <w:tcW w:w="3288" w:type="dxa"/>
            <w:shd w:val="clear" w:color="auto" w:fill="auto"/>
            <w:tcMar>
              <w:top w:w="28" w:type="dxa"/>
              <w:bottom w:w="28" w:type="dxa"/>
            </w:tcMar>
            <w:vAlign w:val="center"/>
          </w:tcPr>
          <w:p w14:paraId="615AE177" w14:textId="427273EA"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General Schedule Authority Required listings for the treatment of severe Crohn disease and for complex refractory fistulising Crohn disease.</w:t>
            </w:r>
          </w:p>
        </w:tc>
        <w:tc>
          <w:tcPr>
            <w:tcW w:w="1987" w:type="dxa"/>
            <w:shd w:val="clear" w:color="auto" w:fill="auto"/>
            <w:vAlign w:val="center"/>
          </w:tcPr>
          <w:p w14:paraId="76887283" w14:textId="74756DC0"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Deferred</w:t>
            </w:r>
          </w:p>
        </w:tc>
        <w:tc>
          <w:tcPr>
            <w:tcW w:w="4336" w:type="dxa"/>
            <w:gridSpan w:val="2"/>
            <w:shd w:val="clear" w:color="auto" w:fill="auto"/>
            <w:vAlign w:val="center"/>
          </w:tcPr>
          <w:p w14:paraId="21AFE296" w14:textId="54956F19" w:rsidR="00A439B7" w:rsidRPr="0027062D" w:rsidRDefault="00A439B7" w:rsidP="0027062D">
            <w:pPr>
              <w:keepLines/>
              <w:rPr>
                <w:rFonts w:asciiTheme="minorHAnsi" w:hAnsiTheme="minorHAnsi" w:cstheme="minorHAnsi"/>
                <w:color w:val="000000"/>
                <w:sz w:val="18"/>
                <w:szCs w:val="18"/>
              </w:rPr>
            </w:pPr>
            <w:r w:rsidRPr="0027062D">
              <w:rPr>
                <w:rFonts w:asciiTheme="minorHAnsi" w:hAnsiTheme="minorHAnsi" w:cstheme="minorHAnsi"/>
                <w:color w:val="000000"/>
                <w:sz w:val="18"/>
                <w:szCs w:val="18"/>
              </w:rPr>
              <w:t xml:space="preserve">The PBAC deferred making its decision on whether to recommend the listing of </w:t>
            </w:r>
            <w:proofErr w:type="spellStart"/>
            <w:r w:rsidRPr="0027062D">
              <w:rPr>
                <w:rFonts w:asciiTheme="minorHAnsi" w:hAnsiTheme="minorHAnsi" w:cstheme="minorHAnsi"/>
                <w:color w:val="000000"/>
                <w:sz w:val="18"/>
                <w:szCs w:val="18"/>
              </w:rPr>
              <w:t>risankizumab</w:t>
            </w:r>
            <w:proofErr w:type="spellEnd"/>
            <w:r w:rsidRPr="0027062D">
              <w:rPr>
                <w:rFonts w:asciiTheme="minorHAnsi" w:hAnsiTheme="minorHAnsi" w:cstheme="minorHAnsi"/>
                <w:color w:val="000000"/>
                <w:sz w:val="18"/>
                <w:szCs w:val="18"/>
              </w:rPr>
              <w:t xml:space="preserve"> for the treatment of severe Crohn’s disease, as a TGA Delegate’s Overview was not available at the time of PBAC consideration.</w:t>
            </w:r>
          </w:p>
          <w:p w14:paraId="73945048" w14:textId="77777777" w:rsidR="00A439B7" w:rsidRPr="00A439B7" w:rsidRDefault="00A439B7" w:rsidP="00A439B7">
            <w:pPr>
              <w:pStyle w:val="ListParagraph"/>
              <w:keepLines/>
              <w:rPr>
                <w:rFonts w:asciiTheme="minorHAnsi" w:hAnsiTheme="minorHAnsi" w:cstheme="minorHAnsi"/>
                <w:color w:val="000000"/>
                <w:sz w:val="18"/>
                <w:szCs w:val="18"/>
              </w:rPr>
            </w:pPr>
          </w:p>
          <w:p w14:paraId="326457EC" w14:textId="1F81DA1F" w:rsidR="00A439B7" w:rsidRDefault="00A439B7" w:rsidP="00A439B7">
            <w:pPr>
              <w:pStyle w:val="ListParagraph"/>
              <w:keepLines/>
              <w:ind w:left="0"/>
              <w:rPr>
                <w:rFonts w:asciiTheme="minorHAnsi" w:hAnsiTheme="minorHAnsi" w:cstheme="minorHAnsi"/>
                <w:color w:val="000000"/>
                <w:sz w:val="18"/>
                <w:szCs w:val="18"/>
              </w:rPr>
            </w:pPr>
            <w:r w:rsidRPr="00A439B7">
              <w:rPr>
                <w:rFonts w:asciiTheme="minorHAnsi" w:hAnsiTheme="minorHAnsi" w:cstheme="minorHAnsi"/>
                <w:color w:val="000000"/>
                <w:sz w:val="18"/>
                <w:szCs w:val="18"/>
              </w:rPr>
              <w:t xml:space="preserve">The PBAC noted the requested listing for severe, refractory </w:t>
            </w:r>
            <w:proofErr w:type="spellStart"/>
            <w:r w:rsidRPr="00A439B7">
              <w:rPr>
                <w:rFonts w:asciiTheme="minorHAnsi" w:hAnsiTheme="minorHAnsi" w:cstheme="minorHAnsi"/>
                <w:color w:val="000000"/>
                <w:sz w:val="18"/>
                <w:szCs w:val="18"/>
              </w:rPr>
              <w:t>fistulating</w:t>
            </w:r>
            <w:proofErr w:type="spellEnd"/>
            <w:r w:rsidRPr="00A439B7">
              <w:rPr>
                <w:rFonts w:asciiTheme="minorHAnsi" w:hAnsiTheme="minorHAnsi" w:cstheme="minorHAnsi"/>
                <w:color w:val="000000"/>
                <w:sz w:val="18"/>
                <w:szCs w:val="18"/>
              </w:rPr>
              <w:t xml:space="preserve"> Crohn’s disease was withdrawn by the sponsor prior to its July 2022 meeting.</w:t>
            </w:r>
          </w:p>
          <w:p w14:paraId="5399AB1B" w14:textId="77777777" w:rsidR="00A439B7" w:rsidRPr="0027062D" w:rsidRDefault="00A439B7" w:rsidP="00A439B7">
            <w:pPr>
              <w:pStyle w:val="ListParagraph"/>
              <w:keepLines/>
              <w:ind w:left="0"/>
              <w:rPr>
                <w:rFonts w:asciiTheme="minorHAnsi" w:hAnsiTheme="minorHAnsi" w:cstheme="minorHAnsi"/>
                <w:color w:val="000000"/>
                <w:sz w:val="18"/>
                <w:szCs w:val="18"/>
              </w:rPr>
            </w:pPr>
          </w:p>
          <w:p w14:paraId="0A3390DE"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6B9E0C17" w14:textId="46ADCD9A" w:rsidR="00CC3EBF" w:rsidRPr="00CC3EBF" w:rsidRDefault="00CC3EBF" w:rsidP="004A5B38">
            <w:pPr>
              <w:pStyle w:val="ListParagraph"/>
              <w:keepLines/>
              <w:ind w:left="0"/>
              <w:rPr>
                <w:rFonts w:asciiTheme="minorHAnsi" w:hAnsiTheme="minorHAnsi" w:cstheme="minorHAnsi"/>
                <w:color w:val="000000"/>
                <w:sz w:val="18"/>
                <w:szCs w:val="18"/>
              </w:rPr>
            </w:pPr>
            <w:r w:rsidRPr="00E128D7">
              <w:rPr>
                <w:rFonts w:asciiTheme="minorHAnsi" w:hAnsiTheme="minorHAnsi" w:cstheme="minorHAnsi"/>
                <w:color w:val="000000"/>
                <w:sz w:val="18"/>
                <w:szCs w:val="18"/>
              </w:rPr>
              <w:t>The sponsor had no comment.</w:t>
            </w:r>
          </w:p>
        </w:tc>
      </w:tr>
      <w:tr w:rsidR="004A5B38" w:rsidRPr="00567D48" w14:paraId="3C61E7DA" w14:textId="77777777" w:rsidTr="00E128D7">
        <w:trPr>
          <w:cantSplit/>
          <w:trHeight w:val="1191"/>
        </w:trPr>
        <w:tc>
          <w:tcPr>
            <w:tcW w:w="3013" w:type="dxa"/>
            <w:shd w:val="clear" w:color="auto" w:fill="auto"/>
            <w:tcMar>
              <w:top w:w="28" w:type="dxa"/>
              <w:bottom w:w="28" w:type="dxa"/>
            </w:tcMar>
            <w:vAlign w:val="center"/>
          </w:tcPr>
          <w:p w14:paraId="0093EBD3" w14:textId="5821E8CA"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ROMOSOZUMAB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105 mg in 1.17 mL single use pre-filled syringe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Evenity</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Amgen Australia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Standard re-entry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45CAA24B" w14:textId="376E1745"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Osteoporosis</w:t>
            </w:r>
          </w:p>
        </w:tc>
        <w:tc>
          <w:tcPr>
            <w:tcW w:w="3288" w:type="dxa"/>
            <w:shd w:val="clear" w:color="auto" w:fill="auto"/>
            <w:tcMar>
              <w:top w:w="28" w:type="dxa"/>
              <w:bottom w:w="28" w:type="dxa"/>
            </w:tcMar>
            <w:vAlign w:val="center"/>
          </w:tcPr>
          <w:p w14:paraId="09C0EA45" w14:textId="74FA9208"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Resubmission to request a General Schedule Authority Required listing for the first-line treatment of patients with severe osteoporosis at very high risk of fracture. The submission also requests an expansion to the current second-line PBS listing by removing the requirement for patients to have had two or more fractures and by reducing the Bone Mineral Density T-score threshold from ≤</w:t>
            </w:r>
            <w:r w:rsidR="00605829">
              <w:rPr>
                <w:rFonts w:asciiTheme="minorHAnsi" w:hAnsiTheme="minorHAnsi" w:cstheme="minorHAnsi"/>
                <w:color w:val="000000"/>
                <w:sz w:val="18"/>
                <w:szCs w:val="18"/>
              </w:rPr>
              <w:t> </w:t>
            </w:r>
            <w:r w:rsidRPr="001B15BA">
              <w:rPr>
                <w:rFonts w:asciiTheme="minorHAnsi" w:hAnsiTheme="minorHAnsi" w:cstheme="minorHAnsi"/>
                <w:color w:val="000000"/>
                <w:sz w:val="18"/>
                <w:szCs w:val="18"/>
              </w:rPr>
              <w:t xml:space="preserve">-3 to ≤ -2.5.  </w:t>
            </w:r>
          </w:p>
        </w:tc>
        <w:tc>
          <w:tcPr>
            <w:tcW w:w="1987" w:type="dxa"/>
            <w:shd w:val="clear" w:color="auto" w:fill="auto"/>
            <w:vAlign w:val="center"/>
          </w:tcPr>
          <w:p w14:paraId="48E821E6" w14:textId="455C99F8"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30914F2B" w14:textId="6BC86D7B" w:rsidR="00A439B7" w:rsidRPr="00A439B7" w:rsidRDefault="00A439B7" w:rsidP="00A439B7">
            <w:pPr>
              <w:keepNext/>
              <w:keepLines/>
              <w:jc w:val="both"/>
              <w:rPr>
                <w:rFonts w:ascii="Calibri" w:hAnsi="Calibri" w:cs="Calibri"/>
                <w:color w:val="000000"/>
                <w:sz w:val="18"/>
                <w:szCs w:val="18"/>
              </w:rPr>
            </w:pPr>
            <w:r w:rsidRPr="00A439B7">
              <w:rPr>
                <w:rFonts w:ascii="Calibri" w:hAnsi="Calibri" w:cs="Calibri"/>
                <w:color w:val="000000"/>
                <w:sz w:val="18"/>
                <w:szCs w:val="18"/>
              </w:rPr>
              <w:t xml:space="preserve">The PBAC did not recommend </w:t>
            </w:r>
            <w:proofErr w:type="spellStart"/>
            <w:r w:rsidRPr="00A439B7">
              <w:rPr>
                <w:rFonts w:ascii="Calibri" w:hAnsi="Calibri" w:cs="Calibri"/>
                <w:color w:val="000000"/>
                <w:sz w:val="18"/>
                <w:szCs w:val="18"/>
              </w:rPr>
              <w:t>romosozumab</w:t>
            </w:r>
            <w:proofErr w:type="spellEnd"/>
            <w:r w:rsidRPr="00A439B7">
              <w:rPr>
                <w:rFonts w:ascii="Calibri" w:hAnsi="Calibri" w:cs="Calibri"/>
                <w:color w:val="000000"/>
                <w:sz w:val="18"/>
                <w:szCs w:val="18"/>
              </w:rPr>
              <w:t xml:space="preserve"> for the treatment of severe osteoporosis in the first line setting, and an expanded listing in the second line setting as the incremental cost</w:t>
            </w:r>
            <w:r w:rsidR="00605829">
              <w:rPr>
                <w:rFonts w:ascii="Calibri" w:hAnsi="Calibri" w:cs="Calibri"/>
                <w:color w:val="000000"/>
                <w:sz w:val="18"/>
                <w:szCs w:val="18"/>
              </w:rPr>
              <w:t>-</w:t>
            </w:r>
            <w:r w:rsidRPr="00A439B7">
              <w:rPr>
                <w:rFonts w:ascii="Calibri" w:hAnsi="Calibri" w:cs="Calibri"/>
                <w:color w:val="000000"/>
                <w:sz w:val="18"/>
                <w:szCs w:val="18"/>
              </w:rPr>
              <w:t xml:space="preserve">effectiveness ratio (ICER) was not acceptable as proposed and unacceptably high at the requested price and the financial estimates were highly uncertain. </w:t>
            </w:r>
          </w:p>
          <w:p w14:paraId="5196FF23" w14:textId="77777777" w:rsidR="00A439B7" w:rsidRPr="00A439B7" w:rsidRDefault="00A439B7" w:rsidP="00A439B7">
            <w:pPr>
              <w:keepNext/>
              <w:keepLines/>
              <w:jc w:val="both"/>
              <w:rPr>
                <w:rFonts w:ascii="Calibri" w:hAnsi="Calibri" w:cs="Calibri"/>
                <w:color w:val="000000"/>
                <w:sz w:val="18"/>
                <w:szCs w:val="18"/>
              </w:rPr>
            </w:pPr>
          </w:p>
          <w:p w14:paraId="28C6B0E1" w14:textId="77777777" w:rsidR="00A439B7" w:rsidRPr="00A439B7" w:rsidRDefault="00A439B7" w:rsidP="00A439B7">
            <w:pPr>
              <w:keepNext/>
              <w:keepLines/>
              <w:snapToGrid w:val="0"/>
              <w:spacing w:after="120"/>
              <w:rPr>
                <w:rFonts w:ascii="Calibri" w:hAnsi="Calibri" w:cs="Calibri"/>
                <w:color w:val="000000"/>
                <w:sz w:val="18"/>
                <w:szCs w:val="18"/>
              </w:rPr>
            </w:pPr>
            <w:r w:rsidRPr="00A439B7">
              <w:rPr>
                <w:rFonts w:ascii="Calibri" w:hAnsi="Calibri" w:cs="Calibri"/>
                <w:color w:val="000000"/>
                <w:sz w:val="18"/>
                <w:szCs w:val="18"/>
              </w:rPr>
              <w:t xml:space="preserve">The previous submissions were considered in November 2018, July </w:t>
            </w:r>
            <w:proofErr w:type="gramStart"/>
            <w:r w:rsidRPr="00A439B7">
              <w:rPr>
                <w:rFonts w:ascii="Calibri" w:hAnsi="Calibri" w:cs="Calibri"/>
                <w:color w:val="000000"/>
                <w:sz w:val="18"/>
                <w:szCs w:val="18"/>
              </w:rPr>
              <w:t>2019</w:t>
            </w:r>
            <w:proofErr w:type="gramEnd"/>
            <w:r w:rsidRPr="00A439B7">
              <w:rPr>
                <w:rFonts w:ascii="Calibri" w:hAnsi="Calibri" w:cs="Calibri"/>
                <w:color w:val="000000"/>
                <w:sz w:val="18"/>
                <w:szCs w:val="18"/>
              </w:rPr>
              <w:t xml:space="preserve"> and March 2020</w:t>
            </w:r>
          </w:p>
          <w:p w14:paraId="697C6AB9" w14:textId="77777777" w:rsidR="00A439B7" w:rsidRPr="00A439B7" w:rsidRDefault="00A439B7" w:rsidP="00A439B7">
            <w:pPr>
              <w:keepNext/>
              <w:keepLines/>
              <w:jc w:val="both"/>
              <w:rPr>
                <w:rFonts w:ascii="Calibri" w:hAnsi="Calibri" w:cs="Calibri"/>
                <w:color w:val="000000"/>
                <w:sz w:val="18"/>
                <w:szCs w:val="18"/>
                <w:u w:val="single"/>
              </w:rPr>
            </w:pPr>
            <w:r w:rsidRPr="00A439B7">
              <w:rPr>
                <w:rFonts w:ascii="Calibri" w:hAnsi="Calibri" w:cs="Calibri"/>
                <w:color w:val="000000"/>
                <w:sz w:val="18"/>
                <w:szCs w:val="18"/>
                <w:u w:val="single"/>
              </w:rPr>
              <w:t xml:space="preserve">Comparator: Alendronate </w:t>
            </w:r>
          </w:p>
          <w:p w14:paraId="43C8656D" w14:textId="77777777" w:rsidR="00A439B7" w:rsidRPr="00A439B7" w:rsidRDefault="00A439B7" w:rsidP="00A439B7">
            <w:pPr>
              <w:keepNext/>
              <w:keepLines/>
              <w:jc w:val="both"/>
              <w:rPr>
                <w:rFonts w:ascii="Calibri" w:hAnsi="Calibri" w:cs="Calibri"/>
                <w:color w:val="000000"/>
                <w:sz w:val="18"/>
                <w:szCs w:val="18"/>
              </w:rPr>
            </w:pPr>
            <w:r w:rsidRPr="00A439B7">
              <w:rPr>
                <w:rFonts w:ascii="Calibri" w:hAnsi="Calibri" w:cs="Calibri"/>
                <w:color w:val="000000"/>
                <w:sz w:val="18"/>
                <w:szCs w:val="18"/>
              </w:rPr>
              <w:t xml:space="preserve">The PBAC considered that alendronate, as a proxy for anti-resorptive therapy, was appropriate as the nominated comparator. </w:t>
            </w:r>
          </w:p>
          <w:p w14:paraId="79E7D5A5" w14:textId="77777777" w:rsidR="00A439B7" w:rsidRPr="00A439B7" w:rsidRDefault="00A439B7" w:rsidP="00A439B7">
            <w:pPr>
              <w:keepNext/>
              <w:keepLines/>
              <w:jc w:val="both"/>
              <w:rPr>
                <w:rFonts w:ascii="Calibri" w:hAnsi="Calibri" w:cs="Calibri"/>
                <w:color w:val="000000"/>
                <w:sz w:val="18"/>
                <w:szCs w:val="18"/>
              </w:rPr>
            </w:pPr>
          </w:p>
          <w:p w14:paraId="4DFC0CFB" w14:textId="77777777" w:rsidR="00A439B7" w:rsidRPr="00A439B7" w:rsidRDefault="00A439B7" w:rsidP="00A439B7">
            <w:pPr>
              <w:keepNext/>
              <w:keepLines/>
              <w:jc w:val="both"/>
              <w:rPr>
                <w:rFonts w:ascii="Calibri" w:hAnsi="Calibri" w:cs="Calibri"/>
                <w:color w:val="000000"/>
                <w:sz w:val="18"/>
                <w:szCs w:val="18"/>
                <w:u w:val="single"/>
              </w:rPr>
            </w:pPr>
            <w:r w:rsidRPr="00A439B7">
              <w:rPr>
                <w:rFonts w:ascii="Calibri" w:hAnsi="Calibri" w:cs="Calibri"/>
                <w:color w:val="000000"/>
                <w:sz w:val="18"/>
                <w:szCs w:val="18"/>
                <w:u w:val="single"/>
              </w:rPr>
              <w:t xml:space="preserve">Clinical claim: </w:t>
            </w:r>
            <w:proofErr w:type="spellStart"/>
            <w:r w:rsidRPr="00A439B7">
              <w:rPr>
                <w:rFonts w:ascii="Calibri" w:hAnsi="Calibri" w:cs="Calibri"/>
                <w:color w:val="000000"/>
                <w:sz w:val="18"/>
                <w:szCs w:val="18"/>
                <w:u w:val="single"/>
              </w:rPr>
              <w:t>Romosozumab</w:t>
            </w:r>
            <w:proofErr w:type="spellEnd"/>
            <w:r w:rsidRPr="00A439B7">
              <w:rPr>
                <w:rFonts w:ascii="Calibri" w:hAnsi="Calibri" w:cs="Calibri"/>
                <w:color w:val="000000"/>
                <w:sz w:val="18"/>
                <w:szCs w:val="18"/>
                <w:u w:val="single"/>
              </w:rPr>
              <w:t xml:space="preserve"> is superior in terms of efficacy and inferior in terms of safety compared to alendronate.</w:t>
            </w:r>
          </w:p>
          <w:p w14:paraId="4074C055" w14:textId="77777777" w:rsidR="00A439B7" w:rsidRPr="00A439B7" w:rsidRDefault="00A439B7" w:rsidP="00A439B7">
            <w:pPr>
              <w:keepNext/>
              <w:keepLines/>
              <w:spacing w:after="120"/>
              <w:jc w:val="both"/>
              <w:rPr>
                <w:rFonts w:ascii="Calibri" w:hAnsi="Calibri" w:cs="Calibri"/>
                <w:color w:val="000000"/>
                <w:sz w:val="18"/>
                <w:szCs w:val="18"/>
              </w:rPr>
            </w:pPr>
            <w:r w:rsidRPr="00A439B7">
              <w:rPr>
                <w:rFonts w:ascii="Calibri" w:hAnsi="Calibri" w:cs="Calibri"/>
                <w:color w:val="000000"/>
                <w:sz w:val="18"/>
                <w:szCs w:val="18"/>
              </w:rPr>
              <w:t>The PBAC considered the claim of superior comparative effectiveness was reasonable for the first line setting and unclear for the second line setting. However, the PBAC considered the magnitude of benefit was uncertain.</w:t>
            </w:r>
          </w:p>
          <w:p w14:paraId="5A0348C8" w14:textId="77777777" w:rsidR="00A439B7" w:rsidRPr="00A439B7" w:rsidRDefault="00A439B7" w:rsidP="00A439B7">
            <w:pPr>
              <w:keepNext/>
              <w:keepLines/>
              <w:spacing w:after="120"/>
              <w:jc w:val="both"/>
              <w:rPr>
                <w:rFonts w:ascii="Calibri" w:hAnsi="Calibri" w:cs="Calibri"/>
                <w:color w:val="000000"/>
                <w:sz w:val="18"/>
                <w:szCs w:val="18"/>
              </w:rPr>
            </w:pPr>
            <w:r w:rsidRPr="00A439B7">
              <w:rPr>
                <w:rFonts w:ascii="Calibri" w:hAnsi="Calibri" w:cs="Calibri"/>
                <w:color w:val="000000"/>
                <w:sz w:val="18"/>
                <w:szCs w:val="18"/>
              </w:rPr>
              <w:t>The PBAC considered that the claim of inferior comparative safety was reasonable.</w:t>
            </w:r>
          </w:p>
          <w:p w14:paraId="25988BAE" w14:textId="4F0B1A48" w:rsidR="00A439B7" w:rsidRPr="00A439B7" w:rsidRDefault="00A439B7" w:rsidP="00A439B7">
            <w:pPr>
              <w:keepNext/>
              <w:keepLines/>
              <w:jc w:val="both"/>
              <w:rPr>
                <w:rFonts w:ascii="Calibri" w:hAnsi="Calibri" w:cs="Calibri"/>
                <w:color w:val="000000"/>
                <w:sz w:val="18"/>
                <w:szCs w:val="18"/>
              </w:rPr>
            </w:pPr>
            <w:r w:rsidRPr="00A439B7">
              <w:rPr>
                <w:rFonts w:ascii="Calibri" w:hAnsi="Calibri" w:cs="Calibri"/>
                <w:color w:val="000000"/>
                <w:sz w:val="18"/>
                <w:szCs w:val="18"/>
                <w:u w:val="single"/>
              </w:rPr>
              <w:t xml:space="preserve">Economic claim: Cost utility analysis of </w:t>
            </w:r>
            <w:proofErr w:type="spellStart"/>
            <w:r w:rsidRPr="00A439B7">
              <w:rPr>
                <w:rFonts w:ascii="Calibri" w:hAnsi="Calibri" w:cs="Calibri"/>
                <w:color w:val="000000"/>
                <w:sz w:val="18"/>
                <w:szCs w:val="18"/>
                <w:u w:val="single"/>
              </w:rPr>
              <w:t>romosozumab</w:t>
            </w:r>
            <w:proofErr w:type="spellEnd"/>
            <w:r w:rsidRPr="00A439B7">
              <w:rPr>
                <w:rFonts w:ascii="Calibri" w:hAnsi="Calibri" w:cs="Calibri"/>
                <w:color w:val="000000"/>
                <w:sz w:val="18"/>
                <w:szCs w:val="18"/>
                <w:u w:val="single"/>
              </w:rPr>
              <w:t xml:space="preserve"> versus alendronate.</w:t>
            </w:r>
          </w:p>
          <w:p w14:paraId="6833677A" w14:textId="77777777" w:rsidR="00A439B7" w:rsidRPr="00A439B7" w:rsidRDefault="00A439B7" w:rsidP="00A439B7">
            <w:pPr>
              <w:keepNext/>
              <w:keepLines/>
              <w:spacing w:after="120"/>
              <w:rPr>
                <w:rFonts w:ascii="Calibri" w:hAnsi="Calibri" w:cs="Calibri"/>
                <w:color w:val="000000"/>
                <w:sz w:val="18"/>
                <w:szCs w:val="18"/>
              </w:rPr>
            </w:pPr>
            <w:r w:rsidRPr="00A439B7">
              <w:rPr>
                <w:rFonts w:ascii="Calibri" w:hAnsi="Calibri" w:cs="Calibri"/>
                <w:color w:val="000000"/>
                <w:sz w:val="18"/>
                <w:szCs w:val="18"/>
              </w:rPr>
              <w:t xml:space="preserve">The PBAC considered that the ICER of </w:t>
            </w:r>
            <w:proofErr w:type="spellStart"/>
            <w:r w:rsidRPr="00A439B7">
              <w:rPr>
                <w:rFonts w:ascii="Calibri" w:hAnsi="Calibri" w:cs="Calibri"/>
                <w:color w:val="000000"/>
                <w:sz w:val="18"/>
                <w:szCs w:val="18"/>
              </w:rPr>
              <w:t>romosozumab</w:t>
            </w:r>
            <w:proofErr w:type="spellEnd"/>
            <w:r w:rsidRPr="00A439B7">
              <w:rPr>
                <w:rFonts w:ascii="Calibri" w:hAnsi="Calibri" w:cs="Calibri"/>
                <w:color w:val="000000"/>
                <w:sz w:val="18"/>
                <w:szCs w:val="18"/>
              </w:rPr>
              <w:t xml:space="preserve"> was unacceptably high ($55,000 to &lt; $75,000 per quality adjusted life year) at the requested price. The PBAC considered the cost-effectiveness of </w:t>
            </w:r>
            <w:proofErr w:type="spellStart"/>
            <w:r w:rsidRPr="00A439B7">
              <w:rPr>
                <w:rFonts w:ascii="Calibri" w:hAnsi="Calibri" w:cs="Calibri"/>
                <w:color w:val="000000"/>
                <w:sz w:val="18"/>
                <w:szCs w:val="18"/>
              </w:rPr>
              <w:t>romosozumab</w:t>
            </w:r>
            <w:proofErr w:type="spellEnd"/>
            <w:r w:rsidRPr="00A439B7">
              <w:rPr>
                <w:rFonts w:ascii="Calibri" w:hAnsi="Calibri" w:cs="Calibri"/>
                <w:color w:val="000000"/>
                <w:sz w:val="18"/>
                <w:szCs w:val="18"/>
              </w:rPr>
              <w:t xml:space="preserve"> in the expanded second line setting was unable to be adequately assessed using the data presented.</w:t>
            </w:r>
          </w:p>
          <w:p w14:paraId="09B39F70" w14:textId="77777777" w:rsidR="004A5B38" w:rsidRDefault="00A439B7" w:rsidP="00A439B7">
            <w:pPr>
              <w:pStyle w:val="ListParagraph"/>
              <w:keepLines/>
              <w:ind w:left="0"/>
              <w:rPr>
                <w:rFonts w:ascii="Calibri" w:eastAsia="Times New Roman" w:hAnsi="Calibri" w:cs="Calibri"/>
                <w:color w:val="000000"/>
                <w:sz w:val="18"/>
                <w:szCs w:val="18"/>
              </w:rPr>
            </w:pPr>
            <w:r w:rsidRPr="00A439B7">
              <w:rPr>
                <w:rFonts w:ascii="Calibri" w:eastAsia="Times New Roman" w:hAnsi="Calibri" w:cs="Calibri"/>
                <w:color w:val="000000"/>
                <w:sz w:val="18"/>
                <w:szCs w:val="18"/>
                <w:u w:val="single"/>
              </w:rPr>
              <w:t>Sponsor Comment</w:t>
            </w:r>
            <w:r w:rsidRPr="00A439B7">
              <w:rPr>
                <w:rFonts w:ascii="Calibri" w:eastAsia="Times New Roman" w:hAnsi="Calibri" w:cs="Calibri"/>
                <w:color w:val="000000"/>
                <w:sz w:val="18"/>
                <w:szCs w:val="18"/>
              </w:rPr>
              <w:t>:</w:t>
            </w:r>
          </w:p>
          <w:p w14:paraId="0C693D50" w14:textId="5DAD2671" w:rsidR="00D66EFB" w:rsidRPr="001B15BA" w:rsidRDefault="00D66EFB" w:rsidP="00A439B7">
            <w:pPr>
              <w:pStyle w:val="ListParagraph"/>
              <w:keepLines/>
              <w:ind w:left="0"/>
              <w:rPr>
                <w:rFonts w:asciiTheme="minorHAnsi" w:hAnsiTheme="minorHAnsi" w:cstheme="minorHAnsi"/>
                <w:color w:val="000000"/>
                <w:sz w:val="18"/>
                <w:szCs w:val="18"/>
              </w:rPr>
            </w:pPr>
            <w:r w:rsidRPr="00D66EFB">
              <w:rPr>
                <w:rFonts w:asciiTheme="minorHAnsi" w:hAnsiTheme="minorHAnsi" w:cstheme="minorHAnsi"/>
                <w:color w:val="000000"/>
                <w:sz w:val="18"/>
                <w:szCs w:val="18"/>
              </w:rPr>
              <w:t xml:space="preserve">Amgen is disappointed with this outcome and will continue to work with the PBAC to provide improved access to </w:t>
            </w:r>
            <w:proofErr w:type="spellStart"/>
            <w:r w:rsidRPr="00D66EFB">
              <w:rPr>
                <w:rFonts w:asciiTheme="minorHAnsi" w:hAnsiTheme="minorHAnsi" w:cstheme="minorHAnsi"/>
                <w:color w:val="000000"/>
                <w:sz w:val="18"/>
                <w:szCs w:val="18"/>
              </w:rPr>
              <w:t>romosozumab</w:t>
            </w:r>
            <w:proofErr w:type="spellEnd"/>
            <w:r w:rsidRPr="00D66EFB">
              <w:rPr>
                <w:rFonts w:asciiTheme="minorHAnsi" w:hAnsiTheme="minorHAnsi" w:cstheme="minorHAnsi"/>
                <w:color w:val="000000"/>
                <w:sz w:val="18"/>
                <w:szCs w:val="18"/>
              </w:rPr>
              <w:t xml:space="preserve">. Amgen wishes to note that the ICER for 1st-line use of </w:t>
            </w:r>
            <w:proofErr w:type="spellStart"/>
            <w:r w:rsidRPr="00D66EFB">
              <w:rPr>
                <w:rFonts w:asciiTheme="minorHAnsi" w:hAnsiTheme="minorHAnsi" w:cstheme="minorHAnsi"/>
                <w:color w:val="000000"/>
                <w:sz w:val="18"/>
                <w:szCs w:val="18"/>
              </w:rPr>
              <w:t>romosozumab</w:t>
            </w:r>
            <w:proofErr w:type="spellEnd"/>
            <w:r w:rsidRPr="00D66EFB">
              <w:rPr>
                <w:rFonts w:asciiTheme="minorHAnsi" w:hAnsiTheme="minorHAnsi" w:cstheme="minorHAnsi"/>
                <w:color w:val="000000"/>
                <w:sz w:val="18"/>
                <w:szCs w:val="18"/>
              </w:rPr>
              <w:t xml:space="preserve"> vs alendronate in </w:t>
            </w:r>
            <w:r w:rsidRPr="00D66EFB">
              <w:rPr>
                <w:rFonts w:asciiTheme="minorHAnsi" w:hAnsiTheme="minorHAnsi" w:cstheme="minorHAnsi"/>
                <w:color w:val="000000"/>
                <w:sz w:val="18"/>
                <w:szCs w:val="18"/>
              </w:rPr>
              <w:lastRenderedPageBreak/>
              <w:t xml:space="preserve">the submission base case was $35,000 to &lt; $45,000 per quality adjusted life year. Amgen would also like to thank all of the healthcare professionals, professional societies, patient organisations and consumers for their support of the </w:t>
            </w:r>
            <w:proofErr w:type="spellStart"/>
            <w:r w:rsidRPr="00D66EFB">
              <w:rPr>
                <w:rFonts w:asciiTheme="minorHAnsi" w:hAnsiTheme="minorHAnsi" w:cstheme="minorHAnsi"/>
                <w:color w:val="000000"/>
                <w:sz w:val="18"/>
                <w:szCs w:val="18"/>
              </w:rPr>
              <w:t>romosozumab</w:t>
            </w:r>
            <w:proofErr w:type="spellEnd"/>
            <w:r w:rsidRPr="00D66EFB">
              <w:rPr>
                <w:rFonts w:asciiTheme="minorHAnsi" w:hAnsiTheme="minorHAnsi" w:cstheme="minorHAnsi"/>
                <w:color w:val="000000"/>
                <w:sz w:val="18"/>
                <w:szCs w:val="18"/>
              </w:rPr>
              <w:t xml:space="preserve"> submission.</w:t>
            </w:r>
          </w:p>
        </w:tc>
      </w:tr>
      <w:tr w:rsidR="004A5B38" w:rsidRPr="00567D48" w14:paraId="66722DC3" w14:textId="77777777" w:rsidTr="00315536">
        <w:trPr>
          <w:cantSplit/>
          <w:trHeight w:val="2948"/>
        </w:trPr>
        <w:tc>
          <w:tcPr>
            <w:tcW w:w="3013" w:type="dxa"/>
            <w:shd w:val="clear" w:color="auto" w:fill="auto"/>
            <w:tcMar>
              <w:top w:w="28" w:type="dxa"/>
              <w:bottom w:w="28" w:type="dxa"/>
            </w:tcMar>
            <w:vAlign w:val="center"/>
          </w:tcPr>
          <w:p w14:paraId="634EC439" w14:textId="319EB411"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RUXOLITINIB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5 mg</w:t>
            </w:r>
            <w:r w:rsidRPr="001B15BA">
              <w:rPr>
                <w:rFonts w:asciiTheme="minorHAnsi" w:hAnsiTheme="minorHAnsi" w:cstheme="minorHAnsi"/>
                <w:color w:val="000000"/>
                <w:sz w:val="18"/>
                <w:szCs w:val="18"/>
              </w:rPr>
              <w:br/>
              <w:t>Tablet 10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Jakavi</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Novartis Pharmaceuticals Australia Pty Limited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5FCAA00A" w14:textId="220A1281"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Graft versus host disease</w:t>
            </w:r>
          </w:p>
        </w:tc>
        <w:tc>
          <w:tcPr>
            <w:tcW w:w="3288" w:type="dxa"/>
            <w:shd w:val="clear" w:color="auto" w:fill="auto"/>
            <w:tcMar>
              <w:top w:w="28" w:type="dxa"/>
              <w:bottom w:w="28" w:type="dxa"/>
            </w:tcMar>
            <w:vAlign w:val="center"/>
          </w:tcPr>
          <w:p w14:paraId="7B6A7798" w14:textId="3D913CA2"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Section 100 (Highly Specialised Drugs Program) Authority Required listing for the treatment of patients aged 12 years and older with Grade II to Grade IV acute graft versus host disease (GVHD) or moderate to severe chronic GVHD who are refractory to, dependent on or intolerant of corticosteroids.</w:t>
            </w:r>
          </w:p>
        </w:tc>
        <w:tc>
          <w:tcPr>
            <w:tcW w:w="1987" w:type="dxa"/>
            <w:shd w:val="clear" w:color="auto" w:fill="auto"/>
            <w:vAlign w:val="center"/>
          </w:tcPr>
          <w:p w14:paraId="3E7B0BDD" w14:textId="2791429E"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7DEF674C" w14:textId="77777777" w:rsidR="004A5B38" w:rsidRPr="00AC692A" w:rsidRDefault="004A5B38" w:rsidP="004A5B38">
            <w:pPr>
              <w:keepLines/>
              <w:rPr>
                <w:rFonts w:asciiTheme="minorHAnsi" w:hAnsiTheme="minorHAnsi" w:cstheme="minorHAnsi"/>
                <w:color w:val="000000"/>
                <w:sz w:val="18"/>
                <w:szCs w:val="18"/>
              </w:rPr>
            </w:pPr>
            <w:r w:rsidRPr="00AC692A">
              <w:rPr>
                <w:rFonts w:asciiTheme="minorHAnsi" w:hAnsiTheme="minorHAnsi" w:cstheme="minorHAnsi"/>
                <w:color w:val="000000"/>
                <w:sz w:val="18"/>
                <w:szCs w:val="18"/>
              </w:rPr>
              <w:t xml:space="preserve">The PBAC recommended the listing of </w:t>
            </w:r>
            <w:proofErr w:type="spellStart"/>
            <w:r w:rsidRPr="00AC692A">
              <w:rPr>
                <w:rFonts w:asciiTheme="minorHAnsi" w:hAnsiTheme="minorHAnsi" w:cstheme="minorHAnsi"/>
                <w:color w:val="000000"/>
                <w:sz w:val="18"/>
                <w:szCs w:val="18"/>
              </w:rPr>
              <w:t>ruxolitinib</w:t>
            </w:r>
            <w:proofErr w:type="spellEnd"/>
            <w:r w:rsidRPr="00AC692A">
              <w:rPr>
                <w:rFonts w:asciiTheme="minorHAnsi" w:hAnsiTheme="minorHAnsi" w:cstheme="minorHAnsi"/>
                <w:color w:val="000000"/>
                <w:sz w:val="18"/>
                <w:szCs w:val="18"/>
              </w:rPr>
              <w:t xml:space="preserve"> for the treatment of acute graft versus host disease (</w:t>
            </w:r>
            <w:proofErr w:type="spellStart"/>
            <w:r w:rsidRPr="00AC692A">
              <w:rPr>
                <w:rFonts w:asciiTheme="minorHAnsi" w:hAnsiTheme="minorHAnsi" w:cstheme="minorHAnsi"/>
                <w:color w:val="000000"/>
                <w:sz w:val="18"/>
                <w:szCs w:val="18"/>
              </w:rPr>
              <w:t>aGVHD</w:t>
            </w:r>
            <w:proofErr w:type="spellEnd"/>
            <w:r w:rsidRPr="00AC692A">
              <w:rPr>
                <w:rFonts w:asciiTheme="minorHAnsi" w:hAnsiTheme="minorHAnsi" w:cstheme="minorHAnsi"/>
                <w:color w:val="000000"/>
                <w:sz w:val="18"/>
                <w:szCs w:val="18"/>
              </w:rPr>
              <w:t xml:space="preserve">). The PBAC was satisfied that </w:t>
            </w:r>
            <w:proofErr w:type="spellStart"/>
            <w:r w:rsidRPr="00AC692A">
              <w:rPr>
                <w:rFonts w:asciiTheme="minorHAnsi" w:hAnsiTheme="minorHAnsi" w:cstheme="minorHAnsi"/>
                <w:color w:val="000000"/>
                <w:sz w:val="18"/>
                <w:szCs w:val="18"/>
              </w:rPr>
              <w:t>ruxolitinib</w:t>
            </w:r>
            <w:proofErr w:type="spellEnd"/>
            <w:r w:rsidRPr="00AC692A">
              <w:rPr>
                <w:rFonts w:asciiTheme="minorHAnsi" w:hAnsiTheme="minorHAnsi" w:cstheme="minorHAnsi"/>
                <w:color w:val="000000"/>
                <w:sz w:val="18"/>
                <w:szCs w:val="18"/>
              </w:rPr>
              <w:t xml:space="preserve"> provides, for some patients, a significant improvement in efficacy, including an improvement in overall response rate (ORR), compared with best available therapy (BAT), and noted that the need for effective treatments in this therapeutic area was high. The PBAC considered that </w:t>
            </w:r>
            <w:proofErr w:type="spellStart"/>
            <w:r w:rsidRPr="00AC692A">
              <w:rPr>
                <w:rFonts w:asciiTheme="minorHAnsi" w:hAnsiTheme="minorHAnsi" w:cstheme="minorHAnsi"/>
                <w:color w:val="000000"/>
                <w:sz w:val="18"/>
                <w:szCs w:val="18"/>
              </w:rPr>
              <w:t>ruxolitinib</w:t>
            </w:r>
            <w:proofErr w:type="spellEnd"/>
            <w:r w:rsidRPr="00AC692A">
              <w:rPr>
                <w:rFonts w:asciiTheme="minorHAnsi" w:hAnsiTheme="minorHAnsi" w:cstheme="minorHAnsi"/>
                <w:color w:val="000000"/>
                <w:sz w:val="18"/>
                <w:szCs w:val="18"/>
              </w:rPr>
              <w:t xml:space="preserve"> would be cost effective with some minor changes to the model presented and that the financial impact of listing would be modest.</w:t>
            </w:r>
          </w:p>
          <w:p w14:paraId="645AD8C6" w14:textId="77777777" w:rsidR="004A5B38" w:rsidRPr="00AC692A" w:rsidRDefault="004A5B38" w:rsidP="004A5B38">
            <w:pPr>
              <w:pStyle w:val="ListParagraph"/>
              <w:keepLines/>
              <w:rPr>
                <w:rFonts w:asciiTheme="minorHAnsi" w:hAnsiTheme="minorHAnsi" w:cstheme="minorHAnsi"/>
                <w:color w:val="000000"/>
                <w:sz w:val="18"/>
                <w:szCs w:val="18"/>
              </w:rPr>
            </w:pPr>
          </w:p>
          <w:p w14:paraId="1182EAB0" w14:textId="4279E2C0"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 xml:space="preserve">The PBAC did not recommend the listing of </w:t>
            </w:r>
            <w:proofErr w:type="spellStart"/>
            <w:r w:rsidRPr="00AC692A">
              <w:rPr>
                <w:rFonts w:asciiTheme="minorHAnsi" w:hAnsiTheme="minorHAnsi" w:cstheme="minorHAnsi"/>
                <w:color w:val="000000"/>
                <w:sz w:val="18"/>
                <w:szCs w:val="18"/>
              </w:rPr>
              <w:t>ruxolitinib</w:t>
            </w:r>
            <w:proofErr w:type="spellEnd"/>
            <w:r w:rsidRPr="00AC692A">
              <w:rPr>
                <w:rFonts w:asciiTheme="minorHAnsi" w:hAnsiTheme="minorHAnsi" w:cstheme="minorHAnsi"/>
                <w:color w:val="000000"/>
                <w:sz w:val="18"/>
                <w:szCs w:val="18"/>
              </w:rPr>
              <w:t xml:space="preserve"> for the treatment of chronic graft versus host disease (</w:t>
            </w:r>
            <w:proofErr w:type="spellStart"/>
            <w:r w:rsidRPr="00AC692A">
              <w:rPr>
                <w:rFonts w:asciiTheme="minorHAnsi" w:hAnsiTheme="minorHAnsi" w:cstheme="minorHAnsi"/>
                <w:color w:val="000000"/>
                <w:sz w:val="18"/>
                <w:szCs w:val="18"/>
              </w:rPr>
              <w:t>cGVHD</w:t>
            </w:r>
            <w:proofErr w:type="spellEnd"/>
            <w:r w:rsidRPr="00AC692A">
              <w:rPr>
                <w:rFonts w:asciiTheme="minorHAnsi" w:hAnsiTheme="minorHAnsi" w:cstheme="minorHAnsi"/>
                <w:color w:val="000000"/>
                <w:sz w:val="18"/>
                <w:szCs w:val="18"/>
              </w:rPr>
              <w:t xml:space="preserve">). The PBAC was satisfied that </w:t>
            </w:r>
            <w:proofErr w:type="spellStart"/>
            <w:r w:rsidRPr="00AC692A">
              <w:rPr>
                <w:rFonts w:asciiTheme="minorHAnsi" w:hAnsiTheme="minorHAnsi" w:cstheme="minorHAnsi"/>
                <w:color w:val="000000"/>
                <w:sz w:val="18"/>
                <w:szCs w:val="18"/>
              </w:rPr>
              <w:t>ruxolitinib</w:t>
            </w:r>
            <w:proofErr w:type="spellEnd"/>
            <w:r w:rsidRPr="00AC692A">
              <w:rPr>
                <w:rFonts w:asciiTheme="minorHAnsi" w:hAnsiTheme="minorHAnsi" w:cstheme="minorHAnsi"/>
                <w:color w:val="000000"/>
                <w:sz w:val="18"/>
                <w:szCs w:val="18"/>
              </w:rPr>
              <w:t xml:space="preserve"> provides, for some patients, a significant improvement in efficacy, including an improvement in ORR, compared with BAT. However, the PBAC considered that changes to the economic model inputs would be required to achieve acceptable incremental cost-effectiveness. Further the PBAC considered that the financial estimates provided in the pre-PBAC response were overestimated. Noting that the need for effective treatments was high, the PBAC nominated the Early Resolution resubmission pathway for this item.</w:t>
            </w:r>
          </w:p>
        </w:tc>
      </w:tr>
      <w:tr w:rsidR="004A5B38" w:rsidRPr="00567D48" w14:paraId="0F616E07" w14:textId="77777777" w:rsidTr="00315536">
        <w:trPr>
          <w:cantSplit/>
          <w:trHeight w:val="376"/>
        </w:trPr>
        <w:tc>
          <w:tcPr>
            <w:tcW w:w="3013" w:type="dxa"/>
            <w:shd w:val="clear" w:color="auto" w:fill="auto"/>
            <w:tcMar>
              <w:top w:w="28" w:type="dxa"/>
              <w:bottom w:w="28" w:type="dxa"/>
            </w:tcMar>
            <w:vAlign w:val="center"/>
          </w:tcPr>
          <w:p w14:paraId="5385F06D" w14:textId="6E670DDD" w:rsidR="004A5B38" w:rsidRPr="001B15BA" w:rsidRDefault="004A5B38" w:rsidP="004A5B38">
            <w:pPr>
              <w:keepLines/>
              <w:rPr>
                <w:rFonts w:asciiTheme="minorHAnsi" w:hAnsiTheme="minorHAnsi" w:cstheme="minorHAnsi"/>
                <w:color w:val="000000"/>
                <w:sz w:val="18"/>
                <w:szCs w:val="18"/>
              </w:rPr>
            </w:pPr>
            <w:r w:rsidRPr="001B15BA">
              <w:rPr>
                <w:rFonts w:asciiTheme="minorHAnsi" w:hAnsiTheme="minorHAnsi" w:cstheme="minorHAnsi"/>
                <w:color w:val="000000"/>
                <w:sz w:val="18"/>
                <w:szCs w:val="18"/>
              </w:rPr>
              <w:lastRenderedPageBreak/>
              <w:t>SAPROPTERIN</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Tablet (soluble) containing </w:t>
            </w:r>
            <w:proofErr w:type="spellStart"/>
            <w:r w:rsidR="008E04F0">
              <w:rPr>
                <w:rFonts w:asciiTheme="minorHAnsi" w:hAnsiTheme="minorHAnsi" w:cstheme="minorHAnsi"/>
                <w:color w:val="000000"/>
                <w:sz w:val="18"/>
                <w:szCs w:val="18"/>
              </w:rPr>
              <w:t>FTe</w:t>
            </w:r>
            <w:r w:rsidRPr="001B15BA">
              <w:rPr>
                <w:rFonts w:asciiTheme="minorHAnsi" w:hAnsiTheme="minorHAnsi" w:cstheme="minorHAnsi"/>
                <w:color w:val="000000"/>
                <w:sz w:val="18"/>
                <w:szCs w:val="18"/>
              </w:rPr>
              <w:t>sapropterin</w:t>
            </w:r>
            <w:proofErr w:type="spellEnd"/>
            <w:r w:rsidRPr="001B15BA">
              <w:rPr>
                <w:rFonts w:asciiTheme="minorHAnsi" w:hAnsiTheme="minorHAnsi" w:cstheme="minorHAnsi"/>
                <w:color w:val="000000"/>
                <w:sz w:val="18"/>
                <w:szCs w:val="18"/>
              </w:rPr>
              <w:t xml:space="preserve"> dihydrochloride 100 mg</w:t>
            </w:r>
            <w:r w:rsidRPr="001B15BA">
              <w:rPr>
                <w:rFonts w:asciiTheme="minorHAnsi" w:hAnsiTheme="minorHAnsi" w:cstheme="minorHAnsi"/>
                <w:color w:val="000000"/>
                <w:sz w:val="18"/>
                <w:szCs w:val="18"/>
              </w:rPr>
              <w:br/>
              <w:t>Powder for oral solution 500</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mg (as dihydrochloride)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 xml:space="preserve">Kuvan®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BioMarin Pharmaceutical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54656581" w14:textId="68FE412D" w:rsidR="004A5B38" w:rsidRPr="001B15BA" w:rsidRDefault="004A5B38" w:rsidP="004A5B38">
            <w:pPr>
              <w:keepLines/>
              <w:widowControl w:val="0"/>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Phenylketonuria </w:t>
            </w:r>
          </w:p>
        </w:tc>
        <w:tc>
          <w:tcPr>
            <w:tcW w:w="3288" w:type="dxa"/>
            <w:shd w:val="clear" w:color="auto" w:fill="auto"/>
            <w:tcMar>
              <w:top w:w="28" w:type="dxa"/>
              <w:bottom w:w="28" w:type="dxa"/>
            </w:tcMar>
            <w:vAlign w:val="center"/>
          </w:tcPr>
          <w:p w14:paraId="50F3F2E2" w14:textId="0299137D" w:rsidR="004A5B38" w:rsidRPr="001B15BA" w:rsidRDefault="004A5B38" w:rsidP="004A5B38">
            <w:pPr>
              <w:pStyle w:val="ListParagraph"/>
              <w:keepLines/>
              <w:ind w:left="0"/>
              <w:rPr>
                <w:rFonts w:asciiTheme="minorHAnsi" w:hAnsiTheme="minorHAnsi" w:cstheme="minorHAnsi"/>
                <w:color w:val="000000"/>
                <w:sz w:val="18"/>
                <w:szCs w:val="18"/>
              </w:rPr>
            </w:pPr>
            <w:r w:rsidRPr="001B15BA">
              <w:rPr>
                <w:rFonts w:asciiTheme="minorHAnsi" w:hAnsiTheme="minorHAnsi" w:cstheme="minorHAnsi"/>
                <w:color w:val="000000"/>
                <w:sz w:val="18"/>
                <w:szCs w:val="18"/>
              </w:rPr>
              <w:t xml:space="preserve">To request an extension to the current PBS listing for </w:t>
            </w:r>
            <w:proofErr w:type="spellStart"/>
            <w:r w:rsidRPr="001B15BA">
              <w:rPr>
                <w:rFonts w:asciiTheme="minorHAnsi" w:hAnsiTheme="minorHAnsi" w:cstheme="minorHAnsi"/>
                <w:color w:val="000000"/>
                <w:sz w:val="18"/>
                <w:szCs w:val="18"/>
              </w:rPr>
              <w:t>sapropterin</w:t>
            </w:r>
            <w:proofErr w:type="spellEnd"/>
            <w:r w:rsidRPr="001B15BA">
              <w:rPr>
                <w:rFonts w:asciiTheme="minorHAnsi" w:hAnsiTheme="minorHAnsi" w:cstheme="minorHAnsi"/>
                <w:color w:val="000000"/>
                <w:sz w:val="18"/>
                <w:szCs w:val="18"/>
              </w:rPr>
              <w:t xml:space="preserve"> for the treatment of hyperphenylalaninemia due to phenylketonuria to allow adults to be eligible for </w:t>
            </w:r>
            <w:proofErr w:type="spellStart"/>
            <w:r w:rsidRPr="001B15BA">
              <w:rPr>
                <w:rFonts w:asciiTheme="minorHAnsi" w:hAnsiTheme="minorHAnsi" w:cstheme="minorHAnsi"/>
                <w:color w:val="000000"/>
                <w:sz w:val="18"/>
                <w:szCs w:val="18"/>
              </w:rPr>
              <w:t>sapropterin</w:t>
            </w:r>
            <w:proofErr w:type="spellEnd"/>
            <w:r w:rsidRPr="001B15BA">
              <w:rPr>
                <w:rFonts w:asciiTheme="minorHAnsi" w:hAnsiTheme="minorHAnsi" w:cstheme="minorHAnsi"/>
                <w:color w:val="000000"/>
                <w:sz w:val="18"/>
                <w:szCs w:val="18"/>
              </w:rPr>
              <w:t xml:space="preserve"> responsiveness testing and continuing treatment for those who are </w:t>
            </w:r>
            <w:proofErr w:type="spellStart"/>
            <w:r w:rsidRPr="001B15BA">
              <w:rPr>
                <w:rFonts w:asciiTheme="minorHAnsi" w:hAnsiTheme="minorHAnsi" w:cstheme="minorHAnsi"/>
                <w:color w:val="000000"/>
                <w:sz w:val="18"/>
                <w:szCs w:val="18"/>
              </w:rPr>
              <w:t>sapropterin</w:t>
            </w:r>
            <w:proofErr w:type="spellEnd"/>
            <w:r w:rsidRPr="001B15BA">
              <w:rPr>
                <w:rFonts w:asciiTheme="minorHAnsi" w:hAnsiTheme="minorHAnsi" w:cstheme="minorHAnsi"/>
                <w:color w:val="000000"/>
                <w:sz w:val="18"/>
                <w:szCs w:val="18"/>
              </w:rPr>
              <w:t xml:space="preserve"> responsive.</w:t>
            </w:r>
          </w:p>
        </w:tc>
        <w:tc>
          <w:tcPr>
            <w:tcW w:w="1987" w:type="dxa"/>
            <w:shd w:val="clear" w:color="auto" w:fill="auto"/>
            <w:vAlign w:val="center"/>
          </w:tcPr>
          <w:p w14:paraId="39B9ACF5" w14:textId="57DA5185" w:rsidR="004A5B38" w:rsidRPr="001B15BA" w:rsidRDefault="004A5B38" w:rsidP="004A5B38">
            <w:pPr>
              <w:pStyle w:val="ListParagraph"/>
              <w:keepLines/>
              <w:ind w:left="0"/>
              <w:rPr>
                <w:rFonts w:asciiTheme="minorHAnsi" w:hAnsiTheme="minorHAnsi" w:cstheme="minorHAnsi"/>
                <w:color w:val="000000"/>
                <w:sz w:val="18"/>
                <w:szCs w:val="18"/>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31A35352" w14:textId="7732193C" w:rsidR="004A5B38" w:rsidRPr="00B60C95" w:rsidRDefault="004A5B38" w:rsidP="004A5B38">
            <w:pPr>
              <w:keepLines/>
              <w:rPr>
                <w:rFonts w:asciiTheme="minorHAnsi" w:hAnsiTheme="minorHAnsi" w:cstheme="minorHAnsi"/>
                <w:color w:val="000000"/>
                <w:sz w:val="18"/>
                <w:szCs w:val="18"/>
              </w:rPr>
            </w:pPr>
            <w:r w:rsidRPr="00B60C95">
              <w:rPr>
                <w:rFonts w:asciiTheme="minorHAnsi" w:hAnsiTheme="minorHAnsi" w:cstheme="minorHAnsi"/>
                <w:color w:val="000000"/>
                <w:sz w:val="18"/>
                <w:szCs w:val="18"/>
              </w:rPr>
              <w:t xml:space="preserve">The PBAC recommended the listing of </w:t>
            </w:r>
            <w:proofErr w:type="spellStart"/>
            <w:r w:rsidRPr="00B60C95">
              <w:rPr>
                <w:rFonts w:asciiTheme="minorHAnsi" w:hAnsiTheme="minorHAnsi" w:cstheme="minorHAnsi"/>
                <w:color w:val="000000"/>
                <w:sz w:val="18"/>
                <w:szCs w:val="18"/>
              </w:rPr>
              <w:t>sapropterin</w:t>
            </w:r>
            <w:proofErr w:type="spellEnd"/>
            <w:r w:rsidRPr="00B60C95">
              <w:rPr>
                <w:rFonts w:asciiTheme="minorHAnsi" w:hAnsiTheme="minorHAnsi" w:cstheme="minorHAnsi"/>
                <w:color w:val="000000"/>
                <w:sz w:val="18"/>
                <w:szCs w:val="18"/>
              </w:rPr>
              <w:t xml:space="preserve"> for initiation in adult patients with hyperphenylalaninemia (HPA) due to phenylketonuria (PKU). The PBAC was satisfied that </w:t>
            </w:r>
            <w:proofErr w:type="spellStart"/>
            <w:r w:rsidRPr="00B60C95">
              <w:rPr>
                <w:rFonts w:asciiTheme="minorHAnsi" w:hAnsiTheme="minorHAnsi" w:cstheme="minorHAnsi"/>
                <w:color w:val="000000"/>
                <w:sz w:val="18"/>
                <w:szCs w:val="18"/>
              </w:rPr>
              <w:t>sapropterin</w:t>
            </w:r>
            <w:proofErr w:type="spellEnd"/>
            <w:r w:rsidRPr="00B60C95">
              <w:rPr>
                <w:rFonts w:asciiTheme="minorHAnsi" w:hAnsiTheme="minorHAnsi" w:cstheme="minorHAnsi"/>
                <w:color w:val="000000"/>
                <w:sz w:val="18"/>
                <w:szCs w:val="18"/>
              </w:rPr>
              <w:t xml:space="preserve"> provides, for some patients, a significant improvement in efficacy over a phenylalanine-restricted diet alone. The PBAC considered there was a high clinical need in a small patient population. Although difficult to quantify, the PBAC considered </w:t>
            </w:r>
            <w:proofErr w:type="spellStart"/>
            <w:r w:rsidRPr="00B60C95">
              <w:rPr>
                <w:rFonts w:asciiTheme="minorHAnsi" w:hAnsiTheme="minorHAnsi" w:cstheme="minorHAnsi"/>
                <w:color w:val="000000"/>
                <w:sz w:val="18"/>
                <w:szCs w:val="18"/>
              </w:rPr>
              <w:t>sapropterin</w:t>
            </w:r>
            <w:proofErr w:type="spellEnd"/>
            <w:r w:rsidRPr="00B60C95">
              <w:rPr>
                <w:rFonts w:asciiTheme="minorHAnsi" w:hAnsiTheme="minorHAnsi" w:cstheme="minorHAnsi"/>
                <w:color w:val="000000"/>
                <w:sz w:val="18"/>
                <w:szCs w:val="18"/>
              </w:rPr>
              <w:t xml:space="preserve"> use would be expected to lead to improvements in neurological function and increases in dietary protein intake. The PBAC considered the incremental cost-effectiveness ratio was very high at the price proposed by the sponsor and considered that a substantial price reduction would be required to achieve a cost-effective listing for initiation in adult patients. Further, the PBAC considered that a</w:t>
            </w:r>
            <w:r>
              <w:rPr>
                <w:rFonts w:asciiTheme="minorHAnsi" w:hAnsiTheme="minorHAnsi" w:cstheme="minorHAnsi"/>
                <w:color w:val="000000"/>
                <w:sz w:val="18"/>
                <w:szCs w:val="18"/>
              </w:rPr>
              <w:t xml:space="preserve"> risk sharing arrangement</w:t>
            </w:r>
            <w:r w:rsidRPr="00B60C95">
              <w:rPr>
                <w:rFonts w:asciiTheme="minorHAnsi" w:hAnsiTheme="minorHAnsi" w:cstheme="minorHAnsi"/>
                <w:color w:val="000000"/>
                <w:sz w:val="18"/>
                <w:szCs w:val="18"/>
              </w:rPr>
              <w:t xml:space="preserve"> would be required to manage the cost-effectiveness, the uncertain patient population, and the risk of use in patients not continuing to respond. </w:t>
            </w:r>
          </w:p>
          <w:p w14:paraId="0EAD66F1" w14:textId="77777777" w:rsidR="004A5B38" w:rsidRPr="0027062D" w:rsidRDefault="004A5B38" w:rsidP="0027062D">
            <w:pPr>
              <w:keepLines/>
              <w:rPr>
                <w:rFonts w:asciiTheme="minorHAnsi" w:hAnsiTheme="minorHAnsi" w:cstheme="minorHAnsi"/>
                <w:color w:val="000000"/>
                <w:sz w:val="18"/>
                <w:szCs w:val="18"/>
              </w:rPr>
            </w:pPr>
          </w:p>
          <w:p w14:paraId="232CF937" w14:textId="257F33C4" w:rsidR="004A5B38" w:rsidRPr="001B15BA" w:rsidRDefault="004A5B38" w:rsidP="004A5B38">
            <w:pPr>
              <w:pStyle w:val="ListParagraph"/>
              <w:keepLines/>
              <w:ind w:left="0"/>
              <w:rPr>
                <w:rFonts w:asciiTheme="minorHAnsi" w:hAnsiTheme="minorHAnsi" w:cstheme="minorHAnsi"/>
                <w:color w:val="000000"/>
                <w:sz w:val="18"/>
                <w:szCs w:val="18"/>
              </w:rPr>
            </w:pPr>
            <w:r w:rsidRPr="00AC692A">
              <w:rPr>
                <w:rFonts w:asciiTheme="minorHAnsi" w:hAnsiTheme="minorHAnsi" w:cstheme="minorHAnsi"/>
                <w:color w:val="000000"/>
                <w:sz w:val="18"/>
                <w:szCs w:val="18"/>
              </w:rPr>
              <w:t xml:space="preserve">The PBAC acknowledged the meaningful consumer support and engagement with regards to the submissions for </w:t>
            </w:r>
            <w:proofErr w:type="spellStart"/>
            <w:r w:rsidRPr="00AC692A">
              <w:rPr>
                <w:rFonts w:asciiTheme="minorHAnsi" w:hAnsiTheme="minorHAnsi" w:cstheme="minorHAnsi"/>
                <w:color w:val="000000"/>
                <w:sz w:val="18"/>
                <w:szCs w:val="18"/>
              </w:rPr>
              <w:t>sapropterin</w:t>
            </w:r>
            <w:proofErr w:type="spellEnd"/>
            <w:r w:rsidRPr="00AC692A">
              <w:rPr>
                <w:rFonts w:asciiTheme="minorHAnsi" w:hAnsiTheme="minorHAnsi" w:cstheme="minorHAnsi"/>
                <w:color w:val="000000"/>
                <w:sz w:val="18"/>
                <w:szCs w:val="18"/>
              </w:rPr>
              <w:t xml:space="preserve"> and </w:t>
            </w:r>
            <w:proofErr w:type="spellStart"/>
            <w:r w:rsidRPr="00AC692A">
              <w:rPr>
                <w:rFonts w:asciiTheme="minorHAnsi" w:hAnsiTheme="minorHAnsi" w:cstheme="minorHAnsi"/>
                <w:color w:val="000000"/>
                <w:sz w:val="18"/>
                <w:szCs w:val="18"/>
              </w:rPr>
              <w:t>pegvaliase</w:t>
            </w:r>
            <w:proofErr w:type="spellEnd"/>
            <w:r w:rsidRPr="00AC692A">
              <w:rPr>
                <w:rFonts w:asciiTheme="minorHAnsi" w:hAnsiTheme="minorHAnsi" w:cstheme="minorHAnsi"/>
                <w:color w:val="000000"/>
                <w:sz w:val="18"/>
                <w:szCs w:val="18"/>
              </w:rPr>
              <w:t xml:space="preserve">, which was also considered at the July 2022 PBAC meeting. Consumers outlined the very high clinical need for effective treatments for this condition given the impacts of high phenylalanine levels on cognitive function and psychiatric well-being. Consumers also outlined the burden of current management which involves a very restrictive diet, and the need for effective treatments that may allow patients to increase their dietary protein intake to a sustainable level. The PBAC considered that consumer input was valuable in establishing the clinical need for </w:t>
            </w:r>
            <w:proofErr w:type="spellStart"/>
            <w:r w:rsidRPr="00AC692A">
              <w:rPr>
                <w:rFonts w:asciiTheme="minorHAnsi" w:hAnsiTheme="minorHAnsi" w:cstheme="minorHAnsi"/>
                <w:color w:val="000000"/>
                <w:sz w:val="18"/>
                <w:szCs w:val="18"/>
              </w:rPr>
              <w:t>sapropterin</w:t>
            </w:r>
            <w:proofErr w:type="spellEnd"/>
            <w:r w:rsidRPr="00AC692A">
              <w:rPr>
                <w:rFonts w:asciiTheme="minorHAnsi" w:hAnsiTheme="minorHAnsi" w:cstheme="minorHAnsi"/>
                <w:color w:val="000000"/>
                <w:sz w:val="18"/>
                <w:szCs w:val="18"/>
              </w:rPr>
              <w:t xml:space="preserve"> and identifying and describing outcomes that were not well captured in the clinical evidence.</w:t>
            </w:r>
          </w:p>
        </w:tc>
      </w:tr>
      <w:tr w:rsidR="004A5B38" w:rsidRPr="00567D48" w14:paraId="2A467D0F" w14:textId="77777777" w:rsidTr="007A7AE0">
        <w:trPr>
          <w:cantSplit/>
          <w:trHeight w:val="2424"/>
        </w:trPr>
        <w:tc>
          <w:tcPr>
            <w:tcW w:w="3013" w:type="dxa"/>
            <w:shd w:val="clear" w:color="auto" w:fill="D9D9D9" w:themeFill="background1" w:themeFillShade="D9"/>
            <w:tcMar>
              <w:top w:w="28" w:type="dxa"/>
              <w:bottom w:w="28" w:type="dxa"/>
            </w:tcMar>
            <w:vAlign w:val="center"/>
          </w:tcPr>
          <w:p w14:paraId="5C508C52" w14:textId="19A17911" w:rsidR="004A5B38" w:rsidRDefault="004A5B38" w:rsidP="004A5B38">
            <w:pPr>
              <w:keepLines/>
              <w:rPr>
                <w:rFonts w:asciiTheme="minorHAnsi" w:hAnsiTheme="minorHAnsi" w:cstheme="minorHAnsi"/>
                <w:color w:val="000000"/>
                <w:sz w:val="18"/>
                <w:szCs w:val="18"/>
              </w:rPr>
            </w:pPr>
            <w:r w:rsidRPr="00E14EC6">
              <w:rPr>
                <w:rFonts w:asciiTheme="minorHAnsi" w:hAnsiTheme="minorHAnsi" w:cstheme="minorHAnsi"/>
                <w:color w:val="000000"/>
                <w:sz w:val="18"/>
                <w:szCs w:val="18"/>
              </w:rPr>
              <w:lastRenderedPageBreak/>
              <w:t xml:space="preserve">TEZEPELUMAB </w:t>
            </w:r>
          </w:p>
          <w:p w14:paraId="62AE43A3" w14:textId="77777777" w:rsidR="004A5B38" w:rsidRPr="00E14EC6" w:rsidRDefault="004A5B38" w:rsidP="004A5B38">
            <w:pPr>
              <w:keepLines/>
              <w:rPr>
                <w:rFonts w:asciiTheme="minorHAnsi" w:hAnsiTheme="minorHAnsi" w:cstheme="minorHAnsi"/>
                <w:color w:val="000000"/>
                <w:sz w:val="18"/>
                <w:szCs w:val="18"/>
              </w:rPr>
            </w:pPr>
          </w:p>
          <w:p w14:paraId="192415A9" w14:textId="77777777" w:rsidR="004A5B38" w:rsidRPr="00E14EC6" w:rsidRDefault="004A5B38" w:rsidP="004A5B38">
            <w:pPr>
              <w:keepLines/>
              <w:rPr>
                <w:rFonts w:asciiTheme="minorHAnsi" w:hAnsiTheme="minorHAnsi" w:cstheme="minorHAnsi"/>
                <w:color w:val="000000"/>
                <w:sz w:val="18"/>
                <w:szCs w:val="18"/>
              </w:rPr>
            </w:pPr>
            <w:r w:rsidRPr="00E14EC6">
              <w:rPr>
                <w:rFonts w:asciiTheme="minorHAnsi" w:hAnsiTheme="minorHAnsi" w:cstheme="minorHAnsi"/>
                <w:color w:val="000000"/>
                <w:sz w:val="18"/>
                <w:szCs w:val="18"/>
              </w:rPr>
              <w:t xml:space="preserve">Injection 210 mg in 1.91 mL single use </w:t>
            </w:r>
          </w:p>
          <w:p w14:paraId="185FBA9B" w14:textId="5265A279" w:rsidR="004A5B38" w:rsidRDefault="004A5B38" w:rsidP="004A5B38">
            <w:pPr>
              <w:keepLines/>
              <w:rPr>
                <w:rFonts w:asciiTheme="minorHAnsi" w:hAnsiTheme="minorHAnsi" w:cstheme="minorHAnsi"/>
                <w:color w:val="000000"/>
                <w:sz w:val="18"/>
                <w:szCs w:val="18"/>
              </w:rPr>
            </w:pPr>
            <w:r w:rsidRPr="00E14EC6">
              <w:rPr>
                <w:rFonts w:asciiTheme="minorHAnsi" w:hAnsiTheme="minorHAnsi" w:cstheme="minorHAnsi"/>
                <w:color w:val="000000"/>
                <w:sz w:val="18"/>
                <w:szCs w:val="18"/>
              </w:rPr>
              <w:t xml:space="preserve">pre-filled pen </w:t>
            </w:r>
          </w:p>
          <w:p w14:paraId="2016E921" w14:textId="77777777" w:rsidR="004A5B38" w:rsidRPr="00E14EC6" w:rsidRDefault="004A5B38" w:rsidP="004A5B38">
            <w:pPr>
              <w:keepLines/>
              <w:rPr>
                <w:rFonts w:asciiTheme="minorHAnsi" w:hAnsiTheme="minorHAnsi" w:cstheme="minorHAnsi"/>
                <w:color w:val="000000"/>
                <w:sz w:val="18"/>
                <w:szCs w:val="18"/>
              </w:rPr>
            </w:pPr>
          </w:p>
          <w:p w14:paraId="2B86875B" w14:textId="29FA636B" w:rsidR="004A5B38" w:rsidRDefault="004A5B38" w:rsidP="004A5B38">
            <w:pPr>
              <w:keepLines/>
              <w:rPr>
                <w:rFonts w:asciiTheme="minorHAnsi" w:hAnsiTheme="minorHAnsi" w:cstheme="minorHAnsi"/>
                <w:color w:val="000000"/>
                <w:sz w:val="18"/>
                <w:szCs w:val="18"/>
              </w:rPr>
            </w:pPr>
            <w:proofErr w:type="spellStart"/>
            <w:r w:rsidRPr="00E14EC6">
              <w:rPr>
                <w:rFonts w:asciiTheme="minorHAnsi" w:hAnsiTheme="minorHAnsi" w:cstheme="minorHAnsi"/>
                <w:color w:val="000000"/>
                <w:sz w:val="18"/>
                <w:szCs w:val="18"/>
              </w:rPr>
              <w:t>Tezspire</w:t>
            </w:r>
            <w:proofErr w:type="spellEnd"/>
            <w:r w:rsidRPr="00E14EC6">
              <w:rPr>
                <w:rFonts w:asciiTheme="minorHAnsi" w:hAnsiTheme="minorHAnsi" w:cstheme="minorHAnsi"/>
                <w:color w:val="000000"/>
                <w:sz w:val="18"/>
                <w:szCs w:val="18"/>
              </w:rPr>
              <w:t xml:space="preserve">® </w:t>
            </w:r>
          </w:p>
          <w:p w14:paraId="05C4BDD7" w14:textId="77777777" w:rsidR="004A5B38" w:rsidRPr="00E14EC6" w:rsidRDefault="004A5B38" w:rsidP="004A5B38">
            <w:pPr>
              <w:keepLines/>
              <w:rPr>
                <w:rFonts w:asciiTheme="minorHAnsi" w:hAnsiTheme="minorHAnsi" w:cstheme="minorHAnsi"/>
                <w:color w:val="000000"/>
                <w:sz w:val="18"/>
                <w:szCs w:val="18"/>
              </w:rPr>
            </w:pPr>
          </w:p>
          <w:p w14:paraId="630366A1" w14:textId="67B39CE5" w:rsidR="004A5B38" w:rsidRDefault="004A5B38" w:rsidP="004A5B38">
            <w:pPr>
              <w:keepLines/>
              <w:rPr>
                <w:rFonts w:asciiTheme="minorHAnsi" w:hAnsiTheme="minorHAnsi" w:cstheme="minorHAnsi"/>
                <w:color w:val="000000"/>
                <w:sz w:val="18"/>
                <w:szCs w:val="18"/>
              </w:rPr>
            </w:pPr>
            <w:r w:rsidRPr="00E14EC6">
              <w:rPr>
                <w:rFonts w:asciiTheme="minorHAnsi" w:hAnsiTheme="minorHAnsi" w:cstheme="minorHAnsi"/>
                <w:color w:val="000000"/>
                <w:sz w:val="18"/>
                <w:szCs w:val="18"/>
              </w:rPr>
              <w:t xml:space="preserve">AstraZeneca Pty Ltd </w:t>
            </w:r>
          </w:p>
          <w:p w14:paraId="7096FB71" w14:textId="77777777" w:rsidR="004A5B38" w:rsidRPr="00E14EC6" w:rsidRDefault="004A5B38" w:rsidP="004A5B38">
            <w:pPr>
              <w:keepLines/>
              <w:rPr>
                <w:rFonts w:asciiTheme="minorHAnsi" w:hAnsiTheme="minorHAnsi" w:cstheme="minorHAnsi"/>
                <w:color w:val="000000"/>
                <w:sz w:val="18"/>
                <w:szCs w:val="18"/>
              </w:rPr>
            </w:pPr>
          </w:p>
          <w:p w14:paraId="480F48CF" w14:textId="6BD752CC" w:rsidR="004A5B38" w:rsidRPr="001B15BA" w:rsidRDefault="004A5B38" w:rsidP="004A5B38">
            <w:pPr>
              <w:keepLines/>
              <w:rPr>
                <w:rFonts w:asciiTheme="minorHAnsi" w:hAnsiTheme="minorHAnsi" w:cstheme="minorHAnsi"/>
                <w:color w:val="000000"/>
                <w:sz w:val="18"/>
                <w:szCs w:val="18"/>
              </w:rPr>
            </w:pPr>
            <w:r w:rsidRPr="005E1717">
              <w:rPr>
                <w:rFonts w:asciiTheme="minorHAnsi" w:hAnsiTheme="minorHAnsi" w:cstheme="minorHAnsi"/>
                <w:color w:val="000000"/>
                <w:sz w:val="18"/>
                <w:szCs w:val="18"/>
              </w:rPr>
              <w:t>Category 2</w:t>
            </w:r>
            <w:r>
              <w:rPr>
                <w:rFonts w:asciiTheme="minorHAnsi" w:hAnsiTheme="minorHAnsi" w:cstheme="minorHAnsi"/>
                <w:color w:val="000000"/>
                <w:sz w:val="18"/>
                <w:szCs w:val="18"/>
              </w:rPr>
              <w:t xml:space="preserve"> submission</w:t>
            </w:r>
            <w:r>
              <w:rPr>
                <w:rFonts w:asciiTheme="minorHAnsi" w:hAnsiTheme="minorHAnsi" w:cstheme="minorHAnsi"/>
                <w:color w:val="000000"/>
                <w:sz w:val="18"/>
                <w:szCs w:val="18"/>
              </w:rPr>
              <w:br/>
            </w:r>
            <w:r w:rsidRPr="00E14EC6">
              <w:rPr>
                <w:rFonts w:asciiTheme="minorHAnsi" w:hAnsiTheme="minorHAnsi" w:cstheme="minorHAnsi"/>
                <w:color w:val="000000"/>
                <w:sz w:val="18"/>
                <w:szCs w:val="18"/>
              </w:rPr>
              <w:t xml:space="preserve">(New PBS listing) </w:t>
            </w:r>
          </w:p>
        </w:tc>
        <w:tc>
          <w:tcPr>
            <w:tcW w:w="2764" w:type="dxa"/>
            <w:shd w:val="clear" w:color="auto" w:fill="D9D9D9" w:themeFill="background1" w:themeFillShade="D9"/>
            <w:vAlign w:val="center"/>
          </w:tcPr>
          <w:p w14:paraId="0D68FE5A" w14:textId="37C2AEB3" w:rsidR="004A5B38" w:rsidRPr="001B15BA" w:rsidRDefault="004A5B38" w:rsidP="004A5B38">
            <w:pPr>
              <w:keepLines/>
              <w:widowControl w:val="0"/>
              <w:rPr>
                <w:rFonts w:asciiTheme="minorHAnsi" w:hAnsiTheme="minorHAnsi" w:cstheme="minorHAnsi"/>
                <w:color w:val="000000"/>
                <w:sz w:val="18"/>
                <w:szCs w:val="18"/>
              </w:rPr>
            </w:pPr>
            <w:r w:rsidRPr="00E14EC6">
              <w:rPr>
                <w:rFonts w:asciiTheme="minorHAnsi" w:hAnsiTheme="minorHAnsi" w:cstheme="minorHAnsi"/>
                <w:color w:val="000000"/>
                <w:sz w:val="18"/>
                <w:szCs w:val="18"/>
              </w:rPr>
              <w:t>Asthma</w:t>
            </w:r>
          </w:p>
        </w:tc>
        <w:tc>
          <w:tcPr>
            <w:tcW w:w="3288" w:type="dxa"/>
            <w:shd w:val="clear" w:color="auto" w:fill="D9D9D9" w:themeFill="background1" w:themeFillShade="D9"/>
            <w:tcMar>
              <w:top w:w="28" w:type="dxa"/>
              <w:bottom w:w="28" w:type="dxa"/>
            </w:tcMar>
            <w:vAlign w:val="center"/>
          </w:tcPr>
          <w:p w14:paraId="407B38B0" w14:textId="019FEAC6" w:rsidR="004A5B38" w:rsidRPr="0027062D" w:rsidRDefault="004A5B38" w:rsidP="0027062D">
            <w:pPr>
              <w:keepLines/>
              <w:rPr>
                <w:rFonts w:asciiTheme="minorHAnsi" w:hAnsiTheme="minorHAnsi" w:cstheme="minorHAnsi"/>
                <w:color w:val="000000"/>
                <w:sz w:val="18"/>
                <w:szCs w:val="18"/>
              </w:rPr>
            </w:pPr>
            <w:r w:rsidRPr="0027062D">
              <w:rPr>
                <w:rFonts w:asciiTheme="minorHAnsi" w:hAnsiTheme="minorHAnsi" w:cstheme="minorHAnsi"/>
                <w:color w:val="000000"/>
                <w:sz w:val="18"/>
                <w:szCs w:val="18"/>
              </w:rPr>
              <w:t>To request a Section 100 (Highly Specialised Drugs Program) Authority</w:t>
            </w:r>
            <w:r>
              <w:rPr>
                <w:rFonts w:asciiTheme="minorHAnsi" w:hAnsiTheme="minorHAnsi" w:cstheme="minorHAnsi"/>
                <w:color w:val="000000"/>
                <w:sz w:val="18"/>
                <w:szCs w:val="18"/>
              </w:rPr>
              <w:t xml:space="preserve"> </w:t>
            </w:r>
            <w:r w:rsidRPr="0027062D">
              <w:rPr>
                <w:rFonts w:asciiTheme="minorHAnsi" w:hAnsiTheme="minorHAnsi" w:cstheme="minorHAnsi"/>
                <w:color w:val="000000"/>
                <w:sz w:val="18"/>
                <w:szCs w:val="18"/>
              </w:rPr>
              <w:t xml:space="preserve">Required listing for patients with severe uncontrolled allergic and/or </w:t>
            </w:r>
          </w:p>
          <w:p w14:paraId="0FF26B4F" w14:textId="523A7C1F" w:rsidR="004A5B38" w:rsidRPr="001B15BA" w:rsidRDefault="004A5B38" w:rsidP="004A5B38">
            <w:pPr>
              <w:pStyle w:val="ListParagraph"/>
              <w:keepLines/>
              <w:ind w:left="0"/>
              <w:rPr>
                <w:rFonts w:asciiTheme="minorHAnsi" w:hAnsiTheme="minorHAnsi" w:cstheme="minorHAnsi"/>
                <w:color w:val="000000"/>
                <w:sz w:val="18"/>
                <w:szCs w:val="18"/>
              </w:rPr>
            </w:pPr>
            <w:r w:rsidRPr="00E14EC6">
              <w:rPr>
                <w:rFonts w:asciiTheme="minorHAnsi" w:hAnsiTheme="minorHAnsi" w:cstheme="minorHAnsi"/>
                <w:color w:val="000000"/>
                <w:sz w:val="18"/>
                <w:szCs w:val="18"/>
              </w:rPr>
              <w:t>eosinophilic asthma.</w:t>
            </w:r>
          </w:p>
        </w:tc>
        <w:tc>
          <w:tcPr>
            <w:tcW w:w="1987" w:type="dxa"/>
            <w:shd w:val="clear" w:color="auto" w:fill="D9D9D9" w:themeFill="background1" w:themeFillShade="D9"/>
            <w:vAlign w:val="center"/>
          </w:tcPr>
          <w:p w14:paraId="620B7A68" w14:textId="4971C1F6" w:rsidR="004A5B38" w:rsidRPr="001B15BA" w:rsidRDefault="004A5B38" w:rsidP="004A5B38">
            <w:pPr>
              <w:pStyle w:val="ListParagraph"/>
              <w:keepLines/>
              <w:ind w:left="0"/>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336" w:type="dxa"/>
            <w:gridSpan w:val="2"/>
            <w:shd w:val="clear" w:color="auto" w:fill="D9D9D9" w:themeFill="background1" w:themeFillShade="D9"/>
            <w:vAlign w:val="center"/>
          </w:tcPr>
          <w:p w14:paraId="6D63D746" w14:textId="03C50440" w:rsidR="004A5B38" w:rsidRPr="00B60C95" w:rsidRDefault="00274BAA" w:rsidP="008E1DAF">
            <w:pPr>
              <w:pStyle w:val="ListParagraph"/>
              <w:keepLines/>
              <w:ind w:left="0"/>
              <w:rPr>
                <w:rFonts w:asciiTheme="minorHAnsi" w:hAnsiTheme="minorHAnsi" w:cstheme="minorHAnsi"/>
                <w:color w:val="000000"/>
                <w:sz w:val="18"/>
                <w:szCs w:val="18"/>
              </w:rPr>
            </w:pPr>
            <w:r w:rsidRPr="008E1DAF">
              <w:rPr>
                <w:rFonts w:asciiTheme="minorHAnsi" w:hAnsiTheme="minorHAnsi" w:cstheme="minorHAnsi"/>
                <w:color w:val="000000"/>
                <w:sz w:val="18"/>
                <w:szCs w:val="18"/>
              </w:rPr>
              <w:t>Sponsor has subsequently withdrawn their application</w:t>
            </w:r>
          </w:p>
        </w:tc>
      </w:tr>
      <w:tr w:rsidR="004A5B38" w:rsidRPr="00567D48" w14:paraId="054008EC" w14:textId="77777777" w:rsidTr="00315536">
        <w:trPr>
          <w:cantSplit/>
          <w:trHeight w:val="2948"/>
        </w:trPr>
        <w:tc>
          <w:tcPr>
            <w:tcW w:w="3013" w:type="dxa"/>
            <w:shd w:val="clear" w:color="auto" w:fill="auto"/>
            <w:tcMar>
              <w:top w:w="28" w:type="dxa"/>
              <w:bottom w:w="28" w:type="dxa"/>
            </w:tcMar>
            <w:vAlign w:val="center"/>
          </w:tcPr>
          <w:p w14:paraId="1444A385" w14:textId="3D1D2974" w:rsidR="004A5B38" w:rsidRPr="001B15BA" w:rsidRDefault="004A5B38" w:rsidP="004A5B38">
            <w:pPr>
              <w:keepLines/>
              <w:rPr>
                <w:rFonts w:asciiTheme="minorHAnsi" w:hAnsiTheme="minorHAnsi" w:cstheme="minorHAnsi"/>
                <w:sz w:val="18"/>
                <w:szCs w:val="18"/>
                <w:highlight w:val="yellow"/>
              </w:rPr>
            </w:pPr>
            <w:r w:rsidRPr="00BF0CDC">
              <w:rPr>
                <w:rFonts w:asciiTheme="minorHAnsi" w:hAnsiTheme="minorHAnsi" w:cstheme="minorHAnsi"/>
                <w:color w:val="000000"/>
                <w:sz w:val="18"/>
                <w:szCs w:val="18"/>
              </w:rPr>
              <w:t xml:space="preserve">TRASTUZUMAB DERUXTECAN </w:t>
            </w:r>
            <w:r w:rsidRPr="00BF0CDC">
              <w:rPr>
                <w:rFonts w:asciiTheme="minorHAnsi" w:hAnsiTheme="minorHAnsi" w:cstheme="minorHAnsi"/>
                <w:color w:val="000000"/>
                <w:sz w:val="18"/>
                <w:szCs w:val="18"/>
              </w:rPr>
              <w:br/>
            </w:r>
            <w:r w:rsidRPr="00BF0CDC">
              <w:rPr>
                <w:rFonts w:asciiTheme="minorHAnsi" w:hAnsiTheme="minorHAnsi" w:cstheme="minorHAnsi"/>
                <w:color w:val="000000"/>
                <w:sz w:val="18"/>
                <w:szCs w:val="18"/>
              </w:rPr>
              <w:br/>
              <w:t>Powder for I.V. infusion 100</w:t>
            </w:r>
            <w:r>
              <w:rPr>
                <w:rFonts w:asciiTheme="minorHAnsi" w:hAnsiTheme="minorHAnsi" w:cstheme="minorHAnsi"/>
                <w:color w:val="000000"/>
                <w:sz w:val="18"/>
                <w:szCs w:val="18"/>
              </w:rPr>
              <w:t> </w:t>
            </w:r>
            <w:r w:rsidRPr="00BF0CDC">
              <w:rPr>
                <w:rFonts w:asciiTheme="minorHAnsi" w:hAnsiTheme="minorHAnsi" w:cstheme="minorHAnsi"/>
                <w:color w:val="000000"/>
                <w:sz w:val="18"/>
                <w:szCs w:val="18"/>
              </w:rPr>
              <w:t>mg</w:t>
            </w:r>
            <w:r w:rsidRPr="00BF0CDC">
              <w:rPr>
                <w:rFonts w:asciiTheme="minorHAnsi" w:hAnsiTheme="minorHAnsi" w:cstheme="minorHAnsi"/>
                <w:color w:val="000000"/>
                <w:sz w:val="18"/>
                <w:szCs w:val="18"/>
              </w:rPr>
              <w:br/>
            </w:r>
            <w:r w:rsidRPr="00BF0CDC">
              <w:rPr>
                <w:rFonts w:asciiTheme="minorHAnsi" w:hAnsiTheme="minorHAnsi" w:cstheme="minorHAnsi"/>
                <w:color w:val="000000"/>
                <w:sz w:val="18"/>
                <w:szCs w:val="18"/>
              </w:rPr>
              <w:br/>
            </w:r>
            <w:proofErr w:type="spellStart"/>
            <w:r w:rsidRPr="00BF0CDC">
              <w:rPr>
                <w:rFonts w:asciiTheme="minorHAnsi" w:hAnsiTheme="minorHAnsi" w:cstheme="minorHAnsi"/>
                <w:color w:val="000000"/>
                <w:sz w:val="18"/>
                <w:szCs w:val="18"/>
              </w:rPr>
              <w:t>Enhertu</w:t>
            </w:r>
            <w:proofErr w:type="spellEnd"/>
            <w:r w:rsidRPr="00BF0CDC">
              <w:rPr>
                <w:rFonts w:asciiTheme="minorHAnsi" w:hAnsiTheme="minorHAnsi" w:cstheme="minorHAnsi"/>
                <w:color w:val="000000"/>
                <w:sz w:val="18"/>
                <w:szCs w:val="18"/>
              </w:rPr>
              <w:t>®</w:t>
            </w:r>
            <w:r w:rsidRPr="00BF0CDC">
              <w:rPr>
                <w:rFonts w:asciiTheme="minorHAnsi" w:hAnsiTheme="minorHAnsi" w:cstheme="minorHAnsi"/>
                <w:color w:val="000000"/>
                <w:sz w:val="18"/>
                <w:szCs w:val="18"/>
              </w:rPr>
              <w:br/>
            </w:r>
            <w:r w:rsidRPr="00BF0CDC">
              <w:rPr>
                <w:rFonts w:asciiTheme="minorHAnsi" w:hAnsiTheme="minorHAnsi" w:cstheme="minorHAnsi"/>
                <w:color w:val="000000"/>
                <w:sz w:val="18"/>
                <w:szCs w:val="18"/>
              </w:rPr>
              <w:br/>
              <w:t>AstraZeneca Pty Ltd</w:t>
            </w:r>
            <w:r w:rsidRPr="00BF0CDC">
              <w:rPr>
                <w:rFonts w:asciiTheme="minorHAnsi" w:hAnsiTheme="minorHAnsi" w:cstheme="minorHAnsi"/>
                <w:color w:val="000000"/>
                <w:sz w:val="18"/>
                <w:szCs w:val="18"/>
              </w:rPr>
              <w:br/>
            </w:r>
            <w:r w:rsidRPr="00BF0CDC">
              <w:rPr>
                <w:rFonts w:asciiTheme="minorHAnsi" w:hAnsiTheme="minorHAnsi" w:cstheme="minorHAnsi"/>
                <w:color w:val="000000"/>
                <w:sz w:val="18"/>
                <w:szCs w:val="18"/>
              </w:rPr>
              <w:br/>
              <w:t>Category 1 submission</w:t>
            </w:r>
            <w:r w:rsidRPr="00BF0CDC">
              <w:rPr>
                <w:rFonts w:asciiTheme="minorHAnsi" w:hAnsiTheme="minorHAnsi" w:cstheme="minorHAnsi"/>
                <w:color w:val="000000"/>
                <w:sz w:val="18"/>
                <w:szCs w:val="18"/>
              </w:rPr>
              <w:br/>
              <w:t>(New PBS listing)</w:t>
            </w:r>
          </w:p>
        </w:tc>
        <w:tc>
          <w:tcPr>
            <w:tcW w:w="2764" w:type="dxa"/>
            <w:shd w:val="clear" w:color="auto" w:fill="auto"/>
            <w:vAlign w:val="center"/>
          </w:tcPr>
          <w:p w14:paraId="2841D75F" w14:textId="1BFA4BF3"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Breast cancer</w:t>
            </w:r>
          </w:p>
        </w:tc>
        <w:tc>
          <w:tcPr>
            <w:tcW w:w="3288" w:type="dxa"/>
            <w:shd w:val="clear" w:color="auto" w:fill="auto"/>
            <w:tcMar>
              <w:top w:w="28" w:type="dxa"/>
              <w:bottom w:w="28" w:type="dxa"/>
            </w:tcMar>
            <w:vAlign w:val="center"/>
          </w:tcPr>
          <w:p w14:paraId="00F017E1" w14:textId="02E5CC12"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Section 100 (Efficient Funding of Chemotherapy Program) Authority Required listing for the treatment of human epidermal growth factor receptor 2 positive (HER2) metastatic breast cancer in patients whose disease has progressed following treatment with at least one prior HER2-directed regimen in the metastatic setting or whose disease has progressed during or within 6 months following HER2-directed adjuvant treatment.</w:t>
            </w:r>
          </w:p>
        </w:tc>
        <w:tc>
          <w:tcPr>
            <w:tcW w:w="1987" w:type="dxa"/>
            <w:shd w:val="clear" w:color="auto" w:fill="auto"/>
            <w:vAlign w:val="center"/>
          </w:tcPr>
          <w:p w14:paraId="15D0C757" w14:textId="0DE1A7C3"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73D99FCE" w14:textId="0F6E8CA6" w:rsidR="00A439B7" w:rsidRDefault="00A439B7" w:rsidP="004A5B38">
            <w:pPr>
              <w:pStyle w:val="ListParagraph"/>
              <w:keepLines/>
              <w:ind w:left="0"/>
              <w:rPr>
                <w:rFonts w:asciiTheme="minorHAnsi" w:hAnsiTheme="minorHAnsi" w:cstheme="minorHAnsi"/>
                <w:color w:val="000000"/>
                <w:sz w:val="18"/>
                <w:szCs w:val="18"/>
              </w:rPr>
            </w:pPr>
            <w:r w:rsidRPr="00A439B7">
              <w:rPr>
                <w:rFonts w:asciiTheme="minorHAnsi" w:hAnsiTheme="minorHAnsi" w:cstheme="minorHAnsi"/>
                <w:color w:val="000000"/>
                <w:sz w:val="18"/>
                <w:szCs w:val="18"/>
              </w:rPr>
              <w:t xml:space="preserve">The PBAC did not recommend trastuzumab </w:t>
            </w:r>
            <w:proofErr w:type="spellStart"/>
            <w:r w:rsidRPr="00A439B7">
              <w:rPr>
                <w:rFonts w:asciiTheme="minorHAnsi" w:hAnsiTheme="minorHAnsi" w:cstheme="minorHAnsi"/>
                <w:color w:val="000000"/>
                <w:sz w:val="18"/>
                <w:szCs w:val="18"/>
              </w:rPr>
              <w:t>deruxtecan</w:t>
            </w:r>
            <w:proofErr w:type="spellEnd"/>
            <w:r w:rsidRPr="00A439B7">
              <w:rPr>
                <w:rFonts w:asciiTheme="minorHAnsi" w:hAnsiTheme="minorHAnsi" w:cstheme="minorHAnsi"/>
                <w:color w:val="000000"/>
                <w:sz w:val="18"/>
                <w:szCs w:val="18"/>
              </w:rPr>
              <w:t xml:space="preserve"> (T-</w:t>
            </w:r>
            <w:proofErr w:type="spellStart"/>
            <w:r w:rsidRPr="00A439B7">
              <w:rPr>
                <w:rFonts w:asciiTheme="minorHAnsi" w:hAnsiTheme="minorHAnsi" w:cstheme="minorHAnsi"/>
                <w:color w:val="000000"/>
                <w:sz w:val="18"/>
                <w:szCs w:val="18"/>
              </w:rPr>
              <w:t>DXd</w:t>
            </w:r>
            <w:proofErr w:type="spellEnd"/>
            <w:r w:rsidRPr="00A439B7">
              <w:rPr>
                <w:rFonts w:asciiTheme="minorHAnsi" w:hAnsiTheme="minorHAnsi" w:cstheme="minorHAnsi"/>
                <w:color w:val="000000"/>
                <w:sz w:val="18"/>
                <w:szCs w:val="18"/>
              </w:rPr>
              <w:t>) for the treatment of human epidermal growth factor receptor 2 (HER2) positive metastatic breast cancer for patients who have progressed following a prior HER2 directed therapy in the metastatic setting or relapsed during or within 6 months of receiving a HER2 directed therapy in the adjuvant setting. The PBAC considered the evidence presented demonstrated substantial clinical benefit that is likely to translate into clinically meaningful gains in overall survival. The PBAC considered that the incremental cost-effectiveness ratio presented in the submission was unacceptably high and likely underestimated due to an optimistic extrapolation. The PBAC considered a substantial price reduction would be required for T-</w:t>
            </w:r>
            <w:proofErr w:type="spellStart"/>
            <w:r w:rsidRPr="00A439B7">
              <w:rPr>
                <w:rFonts w:asciiTheme="minorHAnsi" w:hAnsiTheme="minorHAnsi" w:cstheme="minorHAnsi"/>
                <w:color w:val="000000"/>
                <w:sz w:val="18"/>
                <w:szCs w:val="18"/>
              </w:rPr>
              <w:t>DXd</w:t>
            </w:r>
            <w:proofErr w:type="spellEnd"/>
            <w:r w:rsidRPr="00A439B7">
              <w:rPr>
                <w:rFonts w:asciiTheme="minorHAnsi" w:hAnsiTheme="minorHAnsi" w:cstheme="minorHAnsi"/>
                <w:color w:val="000000"/>
                <w:sz w:val="18"/>
                <w:szCs w:val="18"/>
              </w:rPr>
              <w:t xml:space="preserve"> to be considered cost-effective. The PBAC also considered that the number of patients likely to be treated was overestimated, and that the financial impact was extremely high at the proposed price.</w:t>
            </w:r>
          </w:p>
          <w:p w14:paraId="1F1683DD" w14:textId="6EADA0D8" w:rsidR="00A439B7" w:rsidRDefault="00A439B7" w:rsidP="004A5B38">
            <w:pPr>
              <w:pStyle w:val="ListParagraph"/>
              <w:keepLines/>
              <w:ind w:left="0"/>
              <w:rPr>
                <w:rFonts w:asciiTheme="minorHAnsi" w:hAnsiTheme="minorHAnsi" w:cstheme="minorHAnsi"/>
                <w:color w:val="000000"/>
                <w:sz w:val="18"/>
                <w:szCs w:val="18"/>
              </w:rPr>
            </w:pPr>
          </w:p>
          <w:p w14:paraId="3A064FF8" w14:textId="77777777" w:rsidR="00A439B7" w:rsidRDefault="00A439B7" w:rsidP="00A439B7">
            <w:pPr>
              <w:pStyle w:val="ListParagraph"/>
              <w:keepLines/>
              <w:ind w:left="0"/>
              <w:rPr>
                <w:rFonts w:asciiTheme="minorHAnsi" w:hAnsiTheme="minorHAnsi" w:cstheme="minorHAnsi"/>
                <w:color w:val="000000"/>
                <w:sz w:val="18"/>
                <w:szCs w:val="18"/>
              </w:rPr>
            </w:pPr>
            <w:r w:rsidRPr="00AF000E">
              <w:rPr>
                <w:rFonts w:asciiTheme="minorHAnsi" w:hAnsiTheme="minorHAnsi" w:cstheme="minorHAnsi"/>
                <w:color w:val="000000"/>
                <w:sz w:val="18"/>
                <w:szCs w:val="18"/>
              </w:rPr>
              <w:t xml:space="preserve">The PBAC nominated the </w:t>
            </w:r>
            <w:r w:rsidRPr="00A439B7">
              <w:rPr>
                <w:rFonts w:asciiTheme="minorHAnsi" w:hAnsiTheme="minorHAnsi" w:cstheme="minorHAnsi"/>
                <w:color w:val="000000"/>
                <w:sz w:val="18"/>
                <w:szCs w:val="18"/>
              </w:rPr>
              <w:t>Early Resolution</w:t>
            </w:r>
          </w:p>
          <w:p w14:paraId="1F511EBA" w14:textId="1F36B463" w:rsidR="00A439B7" w:rsidRDefault="00A439B7" w:rsidP="00A439B7">
            <w:pPr>
              <w:keepLines/>
              <w:rPr>
                <w:rFonts w:asciiTheme="minorHAnsi" w:hAnsiTheme="minorHAnsi" w:cstheme="minorHAnsi"/>
                <w:color w:val="000000"/>
                <w:sz w:val="18"/>
                <w:szCs w:val="18"/>
              </w:rPr>
            </w:pPr>
            <w:r w:rsidRPr="00AF000E">
              <w:rPr>
                <w:rFonts w:asciiTheme="minorHAnsi" w:hAnsiTheme="minorHAnsi" w:cstheme="minorHAnsi"/>
                <w:color w:val="000000"/>
                <w:sz w:val="18"/>
                <w:szCs w:val="18"/>
              </w:rPr>
              <w:t xml:space="preserve">re-submission pathway for this item. </w:t>
            </w:r>
          </w:p>
          <w:p w14:paraId="0EE7D39B" w14:textId="77777777" w:rsidR="00A439B7" w:rsidRPr="0027062D" w:rsidRDefault="00A439B7" w:rsidP="004A5B38">
            <w:pPr>
              <w:pStyle w:val="ListParagraph"/>
              <w:keepLines/>
              <w:ind w:left="0"/>
              <w:rPr>
                <w:rFonts w:asciiTheme="minorHAnsi" w:hAnsiTheme="minorHAnsi" w:cstheme="minorHAnsi"/>
                <w:color w:val="000000"/>
                <w:sz w:val="18"/>
                <w:szCs w:val="18"/>
              </w:rPr>
            </w:pPr>
          </w:p>
          <w:p w14:paraId="08CD0303"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057C1BB8" w14:textId="3BF946EF" w:rsidR="00CC3EBF" w:rsidRPr="001B15BA" w:rsidRDefault="00CC3EBF" w:rsidP="004A5B38">
            <w:pPr>
              <w:pStyle w:val="ListParagraph"/>
              <w:keepLines/>
              <w:ind w:left="0"/>
              <w:rPr>
                <w:rFonts w:asciiTheme="minorHAnsi" w:hAnsiTheme="minorHAnsi" w:cstheme="minorHAnsi"/>
                <w:color w:val="000000"/>
                <w:sz w:val="18"/>
                <w:szCs w:val="18"/>
                <w:highlight w:val="yellow"/>
              </w:rPr>
            </w:pPr>
            <w:r w:rsidRPr="00B801FD">
              <w:rPr>
                <w:rFonts w:asciiTheme="minorHAnsi" w:hAnsiTheme="minorHAnsi" w:cstheme="minorHAnsi"/>
                <w:color w:val="000000"/>
                <w:sz w:val="18"/>
                <w:szCs w:val="18"/>
              </w:rPr>
              <w:t>The sponsor had no comment.</w:t>
            </w:r>
          </w:p>
        </w:tc>
      </w:tr>
      <w:tr w:rsidR="004A5B38" w:rsidRPr="00567D48" w14:paraId="79287577" w14:textId="77777777" w:rsidTr="00315536">
        <w:trPr>
          <w:cantSplit/>
          <w:trHeight w:val="2948"/>
        </w:trPr>
        <w:tc>
          <w:tcPr>
            <w:tcW w:w="3013" w:type="dxa"/>
            <w:shd w:val="clear" w:color="auto" w:fill="auto"/>
            <w:tcMar>
              <w:top w:w="28" w:type="dxa"/>
              <w:bottom w:w="28" w:type="dxa"/>
            </w:tcMar>
            <w:vAlign w:val="center"/>
          </w:tcPr>
          <w:p w14:paraId="3F8122AD" w14:textId="023A490A"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UPADACITINIB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15 mg</w:t>
            </w:r>
            <w:r w:rsidRPr="001B15BA">
              <w:rPr>
                <w:rFonts w:asciiTheme="minorHAnsi" w:hAnsiTheme="minorHAnsi" w:cstheme="minorHAnsi"/>
                <w:color w:val="000000"/>
                <w:sz w:val="18"/>
                <w:szCs w:val="18"/>
              </w:rPr>
              <w:br/>
              <w:t>Tablet 30 mg</w:t>
            </w:r>
            <w:r w:rsidRPr="001B15BA">
              <w:rPr>
                <w:rFonts w:asciiTheme="minorHAnsi" w:hAnsiTheme="minorHAnsi" w:cstheme="minorHAnsi"/>
                <w:color w:val="000000"/>
                <w:sz w:val="18"/>
                <w:szCs w:val="18"/>
              </w:rPr>
              <w:br/>
              <w:t>Tablet 45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Rinvoq</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AbbVie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(Change to PBS listing)</w:t>
            </w:r>
          </w:p>
        </w:tc>
        <w:tc>
          <w:tcPr>
            <w:tcW w:w="2764" w:type="dxa"/>
            <w:shd w:val="clear" w:color="auto" w:fill="auto"/>
            <w:vAlign w:val="center"/>
          </w:tcPr>
          <w:p w14:paraId="581C2867" w14:textId="4B87A3EC"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Ulcerative colitis</w:t>
            </w:r>
          </w:p>
        </w:tc>
        <w:tc>
          <w:tcPr>
            <w:tcW w:w="3288" w:type="dxa"/>
            <w:shd w:val="clear" w:color="auto" w:fill="auto"/>
            <w:tcMar>
              <w:top w:w="28" w:type="dxa"/>
              <w:bottom w:w="28" w:type="dxa"/>
            </w:tcMar>
            <w:vAlign w:val="center"/>
          </w:tcPr>
          <w:p w14:paraId="4B46E44A" w14:textId="42ECC25D"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the treatment of moderate to severe ulcerative colitis, in patients who are contraindicated to, or whose disease has not adequately responded to conventional therapies.</w:t>
            </w:r>
          </w:p>
        </w:tc>
        <w:tc>
          <w:tcPr>
            <w:tcW w:w="1987" w:type="dxa"/>
            <w:shd w:val="clear" w:color="auto" w:fill="auto"/>
            <w:vAlign w:val="center"/>
          </w:tcPr>
          <w:p w14:paraId="79B0C1CC" w14:textId="767D7EDD"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Deferred</w:t>
            </w:r>
          </w:p>
        </w:tc>
        <w:tc>
          <w:tcPr>
            <w:tcW w:w="4336" w:type="dxa"/>
            <w:gridSpan w:val="2"/>
            <w:shd w:val="clear" w:color="auto" w:fill="auto"/>
            <w:vAlign w:val="center"/>
          </w:tcPr>
          <w:p w14:paraId="7B9D3645" w14:textId="3E8D0629" w:rsidR="00A439B7" w:rsidRDefault="00A439B7" w:rsidP="004A5B38">
            <w:pPr>
              <w:pStyle w:val="ListParagraph"/>
              <w:keepLines/>
              <w:ind w:left="0"/>
              <w:rPr>
                <w:rFonts w:asciiTheme="minorHAnsi" w:hAnsiTheme="minorHAnsi" w:cstheme="minorHAnsi"/>
                <w:color w:val="000000"/>
                <w:sz w:val="18"/>
                <w:szCs w:val="18"/>
              </w:rPr>
            </w:pPr>
            <w:r w:rsidRPr="00A439B7">
              <w:rPr>
                <w:rFonts w:asciiTheme="minorHAnsi" w:hAnsiTheme="minorHAnsi" w:cstheme="minorHAnsi"/>
                <w:color w:val="000000"/>
                <w:sz w:val="18"/>
                <w:szCs w:val="18"/>
              </w:rPr>
              <w:t>The PBAC deferred making a recommendation on upadacitinib for the treatment of moderate to severe ulcerative colitis, as a TGA Delegate’s Overview was not available at the time of PBAC consideration.</w:t>
            </w:r>
          </w:p>
          <w:p w14:paraId="078DF39C" w14:textId="77777777" w:rsidR="00A439B7" w:rsidRPr="0027062D" w:rsidRDefault="00A439B7" w:rsidP="004A5B38">
            <w:pPr>
              <w:pStyle w:val="ListParagraph"/>
              <w:keepLines/>
              <w:ind w:left="0"/>
              <w:rPr>
                <w:rFonts w:asciiTheme="minorHAnsi" w:hAnsiTheme="minorHAnsi" w:cstheme="minorHAnsi"/>
                <w:color w:val="000000"/>
                <w:sz w:val="18"/>
                <w:szCs w:val="18"/>
              </w:rPr>
            </w:pPr>
          </w:p>
          <w:p w14:paraId="60EAE0C7" w14:textId="77777777" w:rsidR="004A5B38" w:rsidRDefault="004A5B38" w:rsidP="004A5B38">
            <w:pPr>
              <w:pStyle w:val="ListParagraph"/>
              <w:keepLines/>
              <w:ind w:left="0"/>
              <w:rPr>
                <w:rFonts w:asciiTheme="minorHAnsi" w:hAnsiTheme="minorHAnsi" w:cstheme="minorHAnsi"/>
                <w:color w:val="000000"/>
                <w:sz w:val="18"/>
                <w:szCs w:val="18"/>
                <w:u w:val="single"/>
              </w:rPr>
            </w:pPr>
            <w:r w:rsidRPr="001B15BA">
              <w:rPr>
                <w:rFonts w:asciiTheme="minorHAnsi" w:hAnsiTheme="minorHAnsi" w:cstheme="minorHAnsi"/>
                <w:color w:val="000000"/>
                <w:sz w:val="18"/>
                <w:szCs w:val="18"/>
                <w:u w:val="single"/>
              </w:rPr>
              <w:t>Sponsor Comment:</w:t>
            </w:r>
          </w:p>
          <w:p w14:paraId="0D07A3ED" w14:textId="2DBE1234" w:rsidR="00CC3EBF" w:rsidRPr="001B15BA" w:rsidRDefault="00CC3EBF" w:rsidP="004A5B38">
            <w:pPr>
              <w:pStyle w:val="ListParagraph"/>
              <w:keepLines/>
              <w:ind w:left="0"/>
              <w:rPr>
                <w:rFonts w:asciiTheme="minorHAnsi" w:hAnsiTheme="minorHAnsi" w:cstheme="minorHAnsi"/>
                <w:color w:val="000000"/>
                <w:sz w:val="18"/>
                <w:szCs w:val="18"/>
              </w:rPr>
            </w:pPr>
            <w:r w:rsidRPr="00B801FD">
              <w:rPr>
                <w:rFonts w:asciiTheme="minorHAnsi" w:hAnsiTheme="minorHAnsi" w:cstheme="minorHAnsi"/>
                <w:color w:val="000000"/>
                <w:sz w:val="18"/>
                <w:szCs w:val="18"/>
              </w:rPr>
              <w:t>The sponsor had no comment.</w:t>
            </w:r>
          </w:p>
        </w:tc>
      </w:tr>
      <w:tr w:rsidR="004A5B38" w:rsidRPr="00567D48" w14:paraId="24B09955" w14:textId="77777777" w:rsidTr="00315536">
        <w:trPr>
          <w:cantSplit/>
          <w:trHeight w:val="2948"/>
        </w:trPr>
        <w:tc>
          <w:tcPr>
            <w:tcW w:w="3013" w:type="dxa"/>
            <w:shd w:val="clear" w:color="auto" w:fill="auto"/>
            <w:tcMar>
              <w:top w:w="28" w:type="dxa"/>
              <w:bottom w:w="28" w:type="dxa"/>
            </w:tcMar>
            <w:vAlign w:val="center"/>
          </w:tcPr>
          <w:p w14:paraId="39B30D17" w14:textId="729D8A56" w:rsidR="004A5B38" w:rsidRPr="001B15BA" w:rsidRDefault="004A5B38" w:rsidP="004A5B38">
            <w:pPr>
              <w:keepLines/>
              <w:rPr>
                <w:rFonts w:asciiTheme="minorHAnsi" w:hAnsiTheme="minorHAnsi" w:cstheme="minorHAnsi"/>
                <w:sz w:val="18"/>
                <w:szCs w:val="18"/>
                <w:highlight w:val="yellow"/>
              </w:rPr>
            </w:pPr>
            <w:bookmarkStart w:id="2" w:name="_Hlk110427501"/>
            <w:r w:rsidRPr="001B15BA">
              <w:rPr>
                <w:rFonts w:asciiTheme="minorHAnsi" w:hAnsiTheme="minorHAnsi" w:cstheme="minorHAnsi"/>
                <w:color w:val="000000"/>
                <w:sz w:val="18"/>
                <w:szCs w:val="18"/>
              </w:rPr>
              <w:t xml:space="preserve">USTEKINUMAB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90 mg in 1 mL pre-filled syringe</w:t>
            </w:r>
            <w:r w:rsidRPr="001B15BA">
              <w:rPr>
                <w:rFonts w:asciiTheme="minorHAnsi" w:hAnsiTheme="minorHAnsi" w:cstheme="minorHAnsi"/>
                <w:color w:val="000000"/>
                <w:sz w:val="18"/>
                <w:szCs w:val="18"/>
              </w:rPr>
              <w:br/>
              <w:t>Solution concentrate for I.V. infusion 130</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mg in 26 mL</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Stelara®</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Janssen-</w:t>
            </w:r>
            <w:proofErr w:type="spellStart"/>
            <w:r w:rsidRPr="001B15BA">
              <w:rPr>
                <w:rFonts w:asciiTheme="minorHAnsi" w:hAnsiTheme="minorHAnsi" w:cstheme="minorHAnsi"/>
                <w:color w:val="000000"/>
                <w:sz w:val="18"/>
                <w:szCs w:val="18"/>
              </w:rPr>
              <w:t>Cilag</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2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2509F34A" w14:textId="1D88F8A1"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Ulcerative colitis</w:t>
            </w:r>
          </w:p>
        </w:tc>
        <w:tc>
          <w:tcPr>
            <w:tcW w:w="3288" w:type="dxa"/>
            <w:shd w:val="clear" w:color="auto" w:fill="auto"/>
            <w:tcMar>
              <w:top w:w="28" w:type="dxa"/>
              <w:bottom w:w="28" w:type="dxa"/>
            </w:tcMar>
            <w:vAlign w:val="center"/>
          </w:tcPr>
          <w:p w14:paraId="09C71FC0" w14:textId="331E9810"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General Schedule and Section 100 (Highly Specialised Drugs Program) Authority Required listings for the treatment of moderate to severe ulcerative colitis, in patients who are contraindicated to, or whose disease has not adequately responded to conventional therapies.</w:t>
            </w:r>
          </w:p>
        </w:tc>
        <w:tc>
          <w:tcPr>
            <w:tcW w:w="1987" w:type="dxa"/>
            <w:shd w:val="clear" w:color="auto" w:fill="auto"/>
            <w:vAlign w:val="center"/>
          </w:tcPr>
          <w:p w14:paraId="3719AF44" w14:textId="6449EE27"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3431FFDC" w14:textId="64B9D608" w:rsidR="004A5B38" w:rsidRPr="00AC692A" w:rsidRDefault="004A5B38" w:rsidP="004A5B38">
            <w:pPr>
              <w:keepLines/>
              <w:rPr>
                <w:rFonts w:asciiTheme="minorHAnsi" w:hAnsiTheme="minorHAnsi" w:cstheme="minorHAnsi"/>
                <w:color w:val="000000"/>
                <w:sz w:val="18"/>
                <w:szCs w:val="18"/>
              </w:rPr>
            </w:pPr>
            <w:r w:rsidRPr="00AC692A">
              <w:rPr>
                <w:rFonts w:asciiTheme="minorHAnsi" w:hAnsiTheme="minorHAnsi" w:cstheme="minorHAnsi"/>
                <w:color w:val="000000"/>
                <w:sz w:val="18"/>
                <w:szCs w:val="18"/>
              </w:rPr>
              <w:t>The PBAC recommended the Section 100 (Highly Specialised Drugs Program) (intravenous administration) and General Schedule (subcutaneous administration) listings of ustekinumab (UST) for the treatment of moderate to severe ulcerative colitis (MSUC), on a cost</w:t>
            </w:r>
            <w:r>
              <w:rPr>
                <w:rFonts w:asciiTheme="minorHAnsi" w:hAnsiTheme="minorHAnsi" w:cstheme="minorHAnsi"/>
                <w:color w:val="000000"/>
                <w:sz w:val="18"/>
                <w:szCs w:val="18"/>
              </w:rPr>
              <w:t>-</w:t>
            </w:r>
            <w:r w:rsidRPr="00AC692A">
              <w:rPr>
                <w:rFonts w:asciiTheme="minorHAnsi" w:hAnsiTheme="minorHAnsi" w:cstheme="minorHAnsi"/>
                <w:color w:val="000000"/>
                <w:sz w:val="18"/>
                <w:szCs w:val="18"/>
              </w:rPr>
              <w:t>minimisation basis with the least costly alternative disease modifying anti-rheumatic drug (DMARD) (excluding adalimumab (ADA)). The Committee considered the claim of non-inferior comparative effectiveness and safety to vedolizumab (VDZ) and superior comparative effectiveness to ADA were reasonable. The PBAC’s recommendation was therefore, among other matters, based on its assessment that the cost of UST should be no greater than the cost of the alternative therapies (excluding ADA) over two years.</w:t>
            </w:r>
          </w:p>
          <w:p w14:paraId="5149A9D5" w14:textId="3272C412" w:rsidR="004A5B38" w:rsidRPr="00AC692A" w:rsidRDefault="004A5B38" w:rsidP="004A5B38">
            <w:pPr>
              <w:pStyle w:val="ListParagraph"/>
              <w:keepLines/>
              <w:rPr>
                <w:rFonts w:asciiTheme="minorHAnsi" w:hAnsiTheme="minorHAnsi" w:cstheme="minorHAnsi"/>
                <w:color w:val="000000"/>
                <w:sz w:val="18"/>
                <w:szCs w:val="18"/>
              </w:rPr>
            </w:pPr>
          </w:p>
          <w:p w14:paraId="6F65851D" w14:textId="77D8BC67"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AC692A">
              <w:rPr>
                <w:rFonts w:asciiTheme="minorHAnsi" w:hAnsiTheme="minorHAnsi" w:cstheme="minorHAnsi"/>
                <w:color w:val="000000"/>
                <w:sz w:val="18"/>
                <w:szCs w:val="18"/>
              </w:rPr>
              <w:t>The PBAC noted the flow-on changes to other DMARD listings in MSUC to include UST in the list of eligible treatments in a treatment cycle.</w:t>
            </w:r>
          </w:p>
        </w:tc>
      </w:tr>
      <w:bookmarkEnd w:id="2"/>
      <w:tr w:rsidR="004A5B38" w:rsidRPr="00567D48" w14:paraId="1A2255D6" w14:textId="77777777" w:rsidTr="00315536">
        <w:trPr>
          <w:cantSplit/>
          <w:trHeight w:val="2948"/>
        </w:trPr>
        <w:tc>
          <w:tcPr>
            <w:tcW w:w="3013" w:type="dxa"/>
            <w:shd w:val="clear" w:color="auto" w:fill="auto"/>
            <w:tcMar>
              <w:top w:w="28" w:type="dxa"/>
              <w:bottom w:w="28" w:type="dxa"/>
            </w:tcMar>
            <w:vAlign w:val="center"/>
          </w:tcPr>
          <w:p w14:paraId="4B6DE0E1" w14:textId="2AB6E872"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USTEKINUMAB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Injection 90 mg in 1 mL pre-filled syringe</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Stelara®</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Janssen-</w:t>
            </w:r>
            <w:proofErr w:type="spellStart"/>
            <w:r w:rsidRPr="001B15BA">
              <w:rPr>
                <w:rFonts w:asciiTheme="minorHAnsi" w:hAnsiTheme="minorHAnsi" w:cstheme="minorHAnsi"/>
                <w:color w:val="000000"/>
                <w:sz w:val="18"/>
                <w:szCs w:val="18"/>
              </w:rPr>
              <w:t>Cilag</w:t>
            </w:r>
            <w:proofErr w:type="spellEnd"/>
            <w:r w:rsidRPr="001B15BA">
              <w:rPr>
                <w:rFonts w:asciiTheme="minorHAnsi" w:hAnsiTheme="minorHAnsi" w:cstheme="minorHAnsi"/>
                <w:color w:val="000000"/>
                <w:sz w:val="18"/>
                <w:szCs w:val="18"/>
              </w:rPr>
              <w:t xml:space="preserve">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4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5158F71F" w14:textId="46001A7B"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Severe Crohn disease</w:t>
            </w:r>
            <w:r w:rsidRPr="001B15BA">
              <w:rPr>
                <w:rFonts w:asciiTheme="minorHAnsi" w:hAnsiTheme="minorHAnsi" w:cstheme="minorHAnsi"/>
                <w:color w:val="000000"/>
                <w:sz w:val="18"/>
                <w:szCs w:val="18"/>
              </w:rPr>
              <w:br/>
              <w:t>Severe chronic plaque psoriasis</w:t>
            </w:r>
          </w:p>
        </w:tc>
        <w:tc>
          <w:tcPr>
            <w:tcW w:w="3288" w:type="dxa"/>
            <w:shd w:val="clear" w:color="auto" w:fill="auto"/>
            <w:tcMar>
              <w:top w:w="28" w:type="dxa"/>
              <w:bottom w:w="28" w:type="dxa"/>
            </w:tcMar>
            <w:vAlign w:val="center"/>
          </w:tcPr>
          <w:p w14:paraId="5D0D42DE" w14:textId="3AB8BFB9"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To request a General Schedule Authority Required listing of a new form for the treatment of patients with Crohn disease and chronic plaque psoriasis.</w:t>
            </w:r>
          </w:p>
        </w:tc>
        <w:tc>
          <w:tcPr>
            <w:tcW w:w="1987" w:type="dxa"/>
            <w:shd w:val="clear" w:color="auto" w:fill="auto"/>
            <w:vAlign w:val="center"/>
          </w:tcPr>
          <w:p w14:paraId="60CB19FC" w14:textId="0373CA03" w:rsidR="004A5B38" w:rsidRPr="001B15BA" w:rsidRDefault="004A5B38" w:rsidP="004A5B38">
            <w:pPr>
              <w:pStyle w:val="ListParagraph"/>
              <w:keepLines/>
              <w:ind w:left="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6AB0C27E" w14:textId="1E4FFCB3" w:rsidR="004A5B38" w:rsidRPr="001B15BA" w:rsidRDefault="004A5B38" w:rsidP="004A5B38">
            <w:pPr>
              <w:pStyle w:val="ListParagraph"/>
              <w:keepLines/>
              <w:ind w:left="0"/>
              <w:rPr>
                <w:rFonts w:asciiTheme="minorHAnsi" w:hAnsiTheme="minorHAnsi" w:cstheme="minorHAnsi"/>
                <w:color w:val="000000"/>
                <w:sz w:val="18"/>
                <w:szCs w:val="18"/>
                <w:highlight w:val="yellow"/>
              </w:rPr>
            </w:pPr>
            <w:r w:rsidRPr="001B15BA">
              <w:rPr>
                <w:rFonts w:asciiTheme="minorHAnsi" w:hAnsiTheme="minorHAnsi" w:cstheme="minorHAnsi"/>
                <w:color w:val="000000"/>
                <w:sz w:val="18"/>
                <w:szCs w:val="18"/>
              </w:rPr>
              <w:t xml:space="preserve">The PBAC recommended listing ustekinumab injection 90 mg in 1 mL pre-filled syringe (PFS) for the treatment of patients with Crohn disease and severe chronic plaque psoriasis requiring a 90 mg dose of ustekinumab, under the same circumstances as the current PBS-listed ustekinumab 45 mg vial for these indications. The PBAC considered the </w:t>
            </w:r>
            <w:proofErr w:type="spellStart"/>
            <w:r w:rsidRPr="001B15BA">
              <w:rPr>
                <w:rFonts w:asciiTheme="minorHAnsi" w:hAnsiTheme="minorHAnsi" w:cstheme="minorHAnsi"/>
                <w:color w:val="000000"/>
                <w:sz w:val="18"/>
                <w:szCs w:val="18"/>
              </w:rPr>
              <w:t>equi</w:t>
            </w:r>
            <w:proofErr w:type="spellEnd"/>
            <w:r w:rsidRPr="001B15BA">
              <w:rPr>
                <w:rFonts w:asciiTheme="minorHAnsi" w:hAnsiTheme="minorHAnsi" w:cstheme="minorHAnsi"/>
                <w:color w:val="000000"/>
                <w:sz w:val="18"/>
                <w:szCs w:val="18"/>
              </w:rPr>
              <w:t>-effective doses to be ustekinumab 90 mg PFS and 2 x ustekinumab 45</w:t>
            </w:r>
            <w:r>
              <w:rPr>
                <w:rFonts w:asciiTheme="minorHAnsi" w:hAnsiTheme="minorHAnsi" w:cstheme="minorHAnsi"/>
                <w:color w:val="000000"/>
                <w:sz w:val="18"/>
                <w:szCs w:val="18"/>
              </w:rPr>
              <w:t> </w:t>
            </w:r>
            <w:r w:rsidRPr="001B15BA">
              <w:rPr>
                <w:rFonts w:asciiTheme="minorHAnsi" w:hAnsiTheme="minorHAnsi" w:cstheme="minorHAnsi"/>
                <w:color w:val="000000"/>
                <w:sz w:val="18"/>
                <w:szCs w:val="18"/>
              </w:rPr>
              <w:t>mg vials. The PBAC recommended that ustekinumab 90 mg PFS be listed on a cost-minimisation basis with the least costly biological disease modifying anti-rheumatic drug (</w:t>
            </w:r>
            <w:proofErr w:type="spellStart"/>
            <w:r w:rsidRPr="001B15BA">
              <w:rPr>
                <w:rFonts w:asciiTheme="minorHAnsi" w:hAnsiTheme="minorHAnsi" w:cstheme="minorHAnsi"/>
                <w:color w:val="000000"/>
                <w:sz w:val="18"/>
                <w:szCs w:val="18"/>
              </w:rPr>
              <w:t>bDMARD</w:t>
            </w:r>
            <w:proofErr w:type="spellEnd"/>
            <w:r w:rsidRPr="001B15BA">
              <w:rPr>
                <w:rFonts w:asciiTheme="minorHAnsi" w:hAnsiTheme="minorHAnsi" w:cstheme="minorHAnsi"/>
                <w:color w:val="000000"/>
                <w:sz w:val="18"/>
                <w:szCs w:val="18"/>
              </w:rPr>
              <w:t xml:space="preserve">) for these conditions. The PBAC considered that ustekinumab 90 mg PFS did not satisfy the criteria for a price higher than the lowest cost of other available PBS-listed </w:t>
            </w:r>
            <w:proofErr w:type="spellStart"/>
            <w:r w:rsidRPr="001B15BA">
              <w:rPr>
                <w:rFonts w:asciiTheme="minorHAnsi" w:hAnsiTheme="minorHAnsi" w:cstheme="minorHAnsi"/>
                <w:color w:val="000000"/>
                <w:sz w:val="18"/>
                <w:szCs w:val="18"/>
              </w:rPr>
              <w:t>bDMARDs</w:t>
            </w:r>
            <w:proofErr w:type="spellEnd"/>
            <w:r w:rsidRPr="001B15BA">
              <w:rPr>
                <w:rFonts w:asciiTheme="minorHAnsi" w:hAnsiTheme="minorHAnsi" w:cstheme="minorHAnsi"/>
                <w:color w:val="000000"/>
                <w:sz w:val="18"/>
                <w:szCs w:val="18"/>
              </w:rPr>
              <w:t xml:space="preserve"> for the treatment of Crohn disease and severe chronic plaque psoriasis.</w:t>
            </w:r>
          </w:p>
        </w:tc>
      </w:tr>
      <w:tr w:rsidR="004A5B38" w:rsidRPr="00567D48" w14:paraId="168B0B1A" w14:textId="77777777" w:rsidTr="00315536">
        <w:trPr>
          <w:cantSplit/>
          <w:trHeight w:val="2948"/>
        </w:trPr>
        <w:tc>
          <w:tcPr>
            <w:tcW w:w="3013" w:type="dxa"/>
            <w:shd w:val="clear" w:color="auto" w:fill="auto"/>
            <w:tcMar>
              <w:top w:w="28" w:type="dxa"/>
              <w:bottom w:w="28" w:type="dxa"/>
            </w:tcMar>
            <w:vAlign w:val="center"/>
          </w:tcPr>
          <w:p w14:paraId="62415280" w14:textId="6560C1FE"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VERICIGUAT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Tablet 2.5 mg</w:t>
            </w:r>
            <w:r w:rsidRPr="001B15BA">
              <w:rPr>
                <w:rFonts w:asciiTheme="minorHAnsi" w:hAnsiTheme="minorHAnsi" w:cstheme="minorHAnsi"/>
                <w:color w:val="000000"/>
                <w:sz w:val="18"/>
                <w:szCs w:val="18"/>
              </w:rPr>
              <w:br/>
              <w:t>Tablet 5 mg</w:t>
            </w:r>
            <w:r w:rsidRPr="001B15BA">
              <w:rPr>
                <w:rFonts w:asciiTheme="minorHAnsi" w:hAnsiTheme="minorHAnsi" w:cstheme="minorHAnsi"/>
                <w:color w:val="000000"/>
                <w:sz w:val="18"/>
                <w:szCs w:val="18"/>
              </w:rPr>
              <w:br/>
              <w:t>Tablet 10 mg</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Verquvo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Bayer Australia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Early re-entry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7F06F69A" w14:textId="16A5FCD3" w:rsidR="004A5B38" w:rsidRPr="001B15BA" w:rsidRDefault="004A5B38" w:rsidP="004A5B38">
            <w:pPr>
              <w:keepLines/>
              <w:widowControl w:val="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Chronic heart failure</w:t>
            </w:r>
          </w:p>
        </w:tc>
        <w:tc>
          <w:tcPr>
            <w:tcW w:w="3288" w:type="dxa"/>
            <w:shd w:val="clear" w:color="auto" w:fill="auto"/>
            <w:tcMar>
              <w:top w:w="28" w:type="dxa"/>
              <w:bottom w:w="28" w:type="dxa"/>
            </w:tcMar>
            <w:vAlign w:val="center"/>
          </w:tcPr>
          <w:p w14:paraId="492F66AF" w14:textId="72718315"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Resubmission to request a General Schedule Authority Required listing for the treatment of symptomatic (NYHA class II, III or IV) chronic heart failure in patients with a reduced ejection fraction (left ventricular ejection fraction less than 45%) and who are stabilised after a recent decompensation heart failure event requiring hospitalisation and/or intravenous diuretic therapy.</w:t>
            </w:r>
          </w:p>
        </w:tc>
        <w:tc>
          <w:tcPr>
            <w:tcW w:w="1987" w:type="dxa"/>
            <w:shd w:val="clear" w:color="auto" w:fill="auto"/>
            <w:vAlign w:val="center"/>
          </w:tcPr>
          <w:p w14:paraId="3A83216A" w14:textId="028ECA11"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Recommended</w:t>
            </w:r>
          </w:p>
        </w:tc>
        <w:tc>
          <w:tcPr>
            <w:tcW w:w="4336" w:type="dxa"/>
            <w:gridSpan w:val="2"/>
            <w:shd w:val="clear" w:color="auto" w:fill="auto"/>
            <w:vAlign w:val="center"/>
          </w:tcPr>
          <w:p w14:paraId="1312E157" w14:textId="77BC5E7A" w:rsidR="004A5B38" w:rsidRPr="00B60C95" w:rsidRDefault="004A5B38" w:rsidP="004A5B38">
            <w:pPr>
              <w:keepLines/>
              <w:rPr>
                <w:rFonts w:asciiTheme="minorHAnsi" w:hAnsiTheme="minorHAnsi" w:cstheme="minorHAnsi"/>
                <w:color w:val="000000"/>
                <w:sz w:val="18"/>
                <w:szCs w:val="18"/>
              </w:rPr>
            </w:pPr>
            <w:r w:rsidRPr="00B60C95">
              <w:rPr>
                <w:rFonts w:asciiTheme="minorHAnsi" w:hAnsiTheme="minorHAnsi" w:cstheme="minorHAnsi"/>
                <w:color w:val="000000"/>
                <w:sz w:val="18"/>
                <w:szCs w:val="18"/>
              </w:rPr>
              <w:t xml:space="preserve">The PBAC recommended listing of vericiguat as an Authority Required for the initial restriction and an Authority Required for the continuing restriction, for the treatment of symptomatic (NYHA class II, III or IV) chronic heart failure in patients with a reduced ejection fraction (left ventricular ejection fraction less than 45%) and who are stabilised after a recent decompensation heart failure event requiring hospitalisation and/or intravenous diuretic therapy. </w:t>
            </w:r>
          </w:p>
          <w:p w14:paraId="565B9222" w14:textId="77777777" w:rsidR="004A5B38" w:rsidRPr="00B60C95" w:rsidRDefault="004A5B38" w:rsidP="004A5B38">
            <w:pPr>
              <w:pStyle w:val="ListParagraph"/>
              <w:keepLines/>
              <w:rPr>
                <w:rFonts w:asciiTheme="minorHAnsi" w:hAnsiTheme="minorHAnsi" w:cstheme="minorHAnsi"/>
                <w:color w:val="000000"/>
                <w:sz w:val="18"/>
                <w:szCs w:val="18"/>
              </w:rPr>
            </w:pPr>
          </w:p>
          <w:p w14:paraId="1201FFCA" w14:textId="77777777" w:rsidR="004A5B38" w:rsidRPr="00B60C95" w:rsidRDefault="004A5B38" w:rsidP="004A5B38">
            <w:pPr>
              <w:keepLines/>
              <w:rPr>
                <w:rFonts w:asciiTheme="minorHAnsi" w:hAnsiTheme="minorHAnsi" w:cstheme="minorHAnsi"/>
                <w:color w:val="000000"/>
                <w:sz w:val="18"/>
                <w:szCs w:val="18"/>
              </w:rPr>
            </w:pPr>
            <w:r w:rsidRPr="00B60C95">
              <w:rPr>
                <w:rFonts w:asciiTheme="minorHAnsi" w:hAnsiTheme="minorHAnsi" w:cstheme="minorHAnsi"/>
                <w:color w:val="000000"/>
                <w:sz w:val="18"/>
                <w:szCs w:val="18"/>
              </w:rPr>
              <w:t xml:space="preserve">The PBAC was satisfied that vericiguat, with concomitant use of standard of care therapies, provides a modest improvement in efficacy over standard of care in high-risk patients in a </w:t>
            </w:r>
            <w:proofErr w:type="gramStart"/>
            <w:r w:rsidRPr="00B60C95">
              <w:rPr>
                <w:rFonts w:asciiTheme="minorHAnsi" w:hAnsiTheme="minorHAnsi" w:cstheme="minorHAnsi"/>
                <w:color w:val="000000"/>
                <w:sz w:val="18"/>
                <w:szCs w:val="18"/>
              </w:rPr>
              <w:t>late-line</w:t>
            </w:r>
            <w:proofErr w:type="gramEnd"/>
            <w:r w:rsidRPr="00B60C95">
              <w:rPr>
                <w:rFonts w:asciiTheme="minorHAnsi" w:hAnsiTheme="minorHAnsi" w:cstheme="minorHAnsi"/>
                <w:color w:val="000000"/>
                <w:sz w:val="18"/>
                <w:szCs w:val="18"/>
              </w:rPr>
              <w:t xml:space="preserve"> of therapy.</w:t>
            </w:r>
          </w:p>
          <w:p w14:paraId="71BEAF43" w14:textId="77777777" w:rsidR="004A5B38" w:rsidRPr="00B60C95" w:rsidRDefault="004A5B38" w:rsidP="004A5B38">
            <w:pPr>
              <w:pStyle w:val="ListParagraph"/>
              <w:keepLines/>
              <w:rPr>
                <w:rFonts w:asciiTheme="minorHAnsi" w:hAnsiTheme="minorHAnsi" w:cstheme="minorHAnsi"/>
                <w:color w:val="000000"/>
                <w:sz w:val="18"/>
                <w:szCs w:val="18"/>
              </w:rPr>
            </w:pPr>
          </w:p>
          <w:p w14:paraId="53A5B12E" w14:textId="17326B62" w:rsidR="004A5B38" w:rsidRPr="001B15BA" w:rsidRDefault="004A5B38" w:rsidP="004A5B38">
            <w:pPr>
              <w:pStyle w:val="ListParagraph"/>
              <w:keepLines/>
              <w:ind w:left="0"/>
              <w:rPr>
                <w:rFonts w:asciiTheme="minorHAnsi" w:hAnsiTheme="minorHAnsi" w:cstheme="minorHAnsi"/>
                <w:color w:val="000000"/>
                <w:sz w:val="18"/>
                <w:szCs w:val="18"/>
              </w:rPr>
            </w:pPr>
            <w:r w:rsidRPr="00B60C95">
              <w:rPr>
                <w:rFonts w:asciiTheme="minorHAnsi" w:hAnsiTheme="minorHAnsi" w:cstheme="minorHAnsi"/>
                <w:color w:val="000000"/>
                <w:sz w:val="18"/>
                <w:szCs w:val="18"/>
              </w:rPr>
              <w:t xml:space="preserve">The PBAC considered that the resubmission had addressed the substantive outstanding issues identified at the March 2022 PBAC meeting via its restriction amendments, respecified economic </w:t>
            </w:r>
            <w:proofErr w:type="gramStart"/>
            <w:r w:rsidRPr="00B60C95">
              <w:rPr>
                <w:rFonts w:asciiTheme="minorHAnsi" w:hAnsiTheme="minorHAnsi" w:cstheme="minorHAnsi"/>
                <w:color w:val="000000"/>
                <w:sz w:val="18"/>
                <w:szCs w:val="18"/>
              </w:rPr>
              <w:t>model</w:t>
            </w:r>
            <w:proofErr w:type="gramEnd"/>
            <w:r w:rsidRPr="00B60C95">
              <w:rPr>
                <w:rFonts w:asciiTheme="minorHAnsi" w:hAnsiTheme="minorHAnsi" w:cstheme="minorHAnsi"/>
                <w:color w:val="000000"/>
                <w:sz w:val="18"/>
                <w:szCs w:val="18"/>
              </w:rPr>
              <w:t xml:space="preserve"> and revised financial estimates, which also incorporated the reduced price proposed in the resubmission. The PBAC’s recommendation for listing was based on, among other matters, its assessment that the cost-effectiveness of vericiguat would be acceptable at the price proposed in the resubmission and using the </w:t>
            </w:r>
            <w:r>
              <w:rPr>
                <w:rFonts w:asciiTheme="minorHAnsi" w:hAnsiTheme="minorHAnsi" w:cstheme="minorHAnsi"/>
                <w:color w:val="000000"/>
                <w:sz w:val="18"/>
                <w:szCs w:val="18"/>
              </w:rPr>
              <w:t>intention to treat</w:t>
            </w:r>
            <w:r w:rsidRPr="00B60C95">
              <w:rPr>
                <w:rFonts w:asciiTheme="minorHAnsi" w:hAnsiTheme="minorHAnsi" w:cstheme="minorHAnsi"/>
                <w:color w:val="000000"/>
                <w:sz w:val="18"/>
                <w:szCs w:val="18"/>
              </w:rPr>
              <w:t xml:space="preserve"> population in the VICTORIA trial. The PBAC considered the uptake rate in the estimated PBS usage remained optimistic, however the PBAC acknowledged the uncertainty in estimating the uptake and considered a </w:t>
            </w:r>
            <w:r>
              <w:rPr>
                <w:rFonts w:asciiTheme="minorHAnsi" w:hAnsiTheme="minorHAnsi" w:cstheme="minorHAnsi"/>
                <w:color w:val="000000"/>
                <w:sz w:val="18"/>
                <w:szCs w:val="18"/>
              </w:rPr>
              <w:t>r</w:t>
            </w:r>
            <w:r w:rsidRPr="00B60C95">
              <w:rPr>
                <w:rFonts w:asciiTheme="minorHAnsi" w:hAnsiTheme="minorHAnsi" w:cstheme="minorHAnsi"/>
                <w:color w:val="000000"/>
                <w:sz w:val="18"/>
                <w:szCs w:val="18"/>
              </w:rPr>
              <w:t xml:space="preserve">isk </w:t>
            </w:r>
            <w:r>
              <w:rPr>
                <w:rFonts w:asciiTheme="minorHAnsi" w:hAnsiTheme="minorHAnsi" w:cstheme="minorHAnsi"/>
                <w:color w:val="000000"/>
                <w:sz w:val="18"/>
                <w:szCs w:val="18"/>
              </w:rPr>
              <w:t>s</w:t>
            </w:r>
            <w:r w:rsidRPr="00B60C95">
              <w:rPr>
                <w:rFonts w:asciiTheme="minorHAnsi" w:hAnsiTheme="minorHAnsi" w:cstheme="minorHAnsi"/>
                <w:color w:val="000000"/>
                <w:sz w:val="18"/>
                <w:szCs w:val="18"/>
              </w:rPr>
              <w:t xml:space="preserve">haring </w:t>
            </w:r>
            <w:r>
              <w:rPr>
                <w:rFonts w:asciiTheme="minorHAnsi" w:hAnsiTheme="minorHAnsi" w:cstheme="minorHAnsi"/>
                <w:color w:val="000000"/>
                <w:sz w:val="18"/>
                <w:szCs w:val="18"/>
              </w:rPr>
              <w:t>a</w:t>
            </w:r>
            <w:r w:rsidRPr="00B60C95">
              <w:rPr>
                <w:rFonts w:asciiTheme="minorHAnsi" w:hAnsiTheme="minorHAnsi" w:cstheme="minorHAnsi"/>
                <w:color w:val="000000"/>
                <w:sz w:val="18"/>
                <w:szCs w:val="18"/>
              </w:rPr>
              <w:t>rrangement was appropriate to address any residual uncertainty regarding estimated patient numbers.</w:t>
            </w:r>
          </w:p>
        </w:tc>
      </w:tr>
      <w:tr w:rsidR="004A5B38" w:rsidRPr="00567D48" w14:paraId="4A1010B3" w14:textId="77777777" w:rsidTr="00315536">
        <w:trPr>
          <w:cantSplit/>
          <w:trHeight w:val="2948"/>
        </w:trPr>
        <w:tc>
          <w:tcPr>
            <w:tcW w:w="3013" w:type="dxa"/>
            <w:shd w:val="clear" w:color="auto" w:fill="auto"/>
            <w:tcMar>
              <w:top w:w="28" w:type="dxa"/>
              <w:bottom w:w="28" w:type="dxa"/>
            </w:tcMar>
            <w:vAlign w:val="center"/>
          </w:tcPr>
          <w:p w14:paraId="4423D20D" w14:textId="61BB2C84" w:rsidR="004A5B38" w:rsidRPr="001B15BA" w:rsidRDefault="004A5B38" w:rsidP="004A5B38">
            <w:pPr>
              <w:keepLines/>
              <w:rPr>
                <w:rFonts w:asciiTheme="minorHAnsi" w:hAnsiTheme="minorHAnsi" w:cstheme="minorHAnsi"/>
                <w:sz w:val="18"/>
                <w:szCs w:val="18"/>
                <w:highlight w:val="yellow"/>
              </w:rPr>
            </w:pPr>
            <w:r w:rsidRPr="001B15BA">
              <w:rPr>
                <w:rFonts w:asciiTheme="minorHAnsi" w:hAnsiTheme="minorHAnsi" w:cstheme="minorHAnsi"/>
                <w:color w:val="000000"/>
                <w:sz w:val="18"/>
                <w:szCs w:val="18"/>
              </w:rPr>
              <w:lastRenderedPageBreak/>
              <w:t xml:space="preserve">VOSORITIDE </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Powder for injection 0.4 mg with diluent</w:t>
            </w:r>
            <w:r w:rsidRPr="001B15BA">
              <w:rPr>
                <w:rFonts w:asciiTheme="minorHAnsi" w:hAnsiTheme="minorHAnsi" w:cstheme="minorHAnsi"/>
                <w:color w:val="000000"/>
                <w:sz w:val="18"/>
                <w:szCs w:val="18"/>
              </w:rPr>
              <w:br/>
              <w:t>Powder for injection 0.56 mg with diluent</w:t>
            </w:r>
            <w:r w:rsidRPr="001B15BA">
              <w:rPr>
                <w:rFonts w:asciiTheme="minorHAnsi" w:hAnsiTheme="minorHAnsi" w:cstheme="minorHAnsi"/>
                <w:color w:val="000000"/>
                <w:sz w:val="18"/>
                <w:szCs w:val="18"/>
              </w:rPr>
              <w:br/>
              <w:t>Powder for injection 1.2 mg with diluent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r>
            <w:proofErr w:type="spellStart"/>
            <w:r w:rsidRPr="001B15BA">
              <w:rPr>
                <w:rFonts w:asciiTheme="minorHAnsi" w:hAnsiTheme="minorHAnsi" w:cstheme="minorHAnsi"/>
                <w:color w:val="000000"/>
                <w:sz w:val="18"/>
                <w:szCs w:val="18"/>
              </w:rPr>
              <w:t>Voxzogo</w:t>
            </w:r>
            <w:proofErr w:type="spellEnd"/>
            <w:r w:rsidRPr="001B15BA">
              <w:rPr>
                <w:rFonts w:asciiTheme="minorHAnsi" w:hAnsiTheme="minorHAnsi" w:cstheme="minorHAnsi"/>
                <w:color w:val="000000"/>
                <w:sz w:val="18"/>
                <w:szCs w:val="18"/>
              </w:rPr>
              <w:t>®</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BioMarin Pharmaceutical Australia Pty Ltd</w:t>
            </w:r>
            <w:r w:rsidRPr="001B15BA">
              <w:rPr>
                <w:rFonts w:asciiTheme="minorHAnsi" w:hAnsiTheme="minorHAnsi" w:cstheme="minorHAnsi"/>
                <w:color w:val="000000"/>
                <w:sz w:val="18"/>
                <w:szCs w:val="18"/>
              </w:rPr>
              <w:br/>
            </w:r>
            <w:r w:rsidRPr="001B15BA">
              <w:rPr>
                <w:rFonts w:asciiTheme="minorHAnsi" w:hAnsiTheme="minorHAnsi" w:cstheme="minorHAnsi"/>
                <w:color w:val="000000"/>
                <w:sz w:val="18"/>
                <w:szCs w:val="18"/>
              </w:rPr>
              <w:br/>
              <w:t>Category 1 submission</w:t>
            </w:r>
            <w:r w:rsidRPr="001B15BA">
              <w:rPr>
                <w:rFonts w:asciiTheme="minorHAnsi" w:hAnsiTheme="minorHAnsi" w:cstheme="minorHAnsi"/>
                <w:color w:val="000000"/>
                <w:sz w:val="18"/>
                <w:szCs w:val="18"/>
              </w:rPr>
              <w:br/>
              <w:t>(New PBS listing)</w:t>
            </w:r>
          </w:p>
        </w:tc>
        <w:tc>
          <w:tcPr>
            <w:tcW w:w="2764" w:type="dxa"/>
            <w:shd w:val="clear" w:color="auto" w:fill="auto"/>
            <w:vAlign w:val="center"/>
          </w:tcPr>
          <w:p w14:paraId="2D3E26E6" w14:textId="121A4FD8" w:rsidR="004A5B38" w:rsidRPr="001B15BA" w:rsidRDefault="004A5B38" w:rsidP="004A5B38">
            <w:pPr>
              <w:keepLines/>
              <w:widowControl w:val="0"/>
              <w:rPr>
                <w:rFonts w:asciiTheme="minorHAnsi" w:hAnsiTheme="minorHAnsi" w:cstheme="minorHAnsi"/>
                <w:snapToGrid w:val="0"/>
                <w:sz w:val="18"/>
                <w:szCs w:val="18"/>
                <w:highlight w:val="yellow"/>
                <w:lang w:eastAsia="en-US"/>
              </w:rPr>
            </w:pPr>
            <w:r w:rsidRPr="001B15BA">
              <w:rPr>
                <w:rFonts w:asciiTheme="minorHAnsi" w:hAnsiTheme="minorHAnsi" w:cstheme="minorHAnsi"/>
                <w:color w:val="000000"/>
                <w:sz w:val="18"/>
                <w:szCs w:val="18"/>
              </w:rPr>
              <w:t>Achondroplasia</w:t>
            </w:r>
          </w:p>
        </w:tc>
        <w:tc>
          <w:tcPr>
            <w:tcW w:w="3288" w:type="dxa"/>
            <w:shd w:val="clear" w:color="auto" w:fill="auto"/>
            <w:tcMar>
              <w:top w:w="28" w:type="dxa"/>
              <w:bottom w:w="28" w:type="dxa"/>
            </w:tcMar>
            <w:vAlign w:val="center"/>
          </w:tcPr>
          <w:p w14:paraId="446707CB" w14:textId="42D71E22"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To request a General Schedule Authority Required listing for the treatment of patients with achondroplasia whose epiphyses are not closed.</w:t>
            </w:r>
          </w:p>
        </w:tc>
        <w:tc>
          <w:tcPr>
            <w:tcW w:w="1987" w:type="dxa"/>
            <w:shd w:val="clear" w:color="auto" w:fill="auto"/>
            <w:vAlign w:val="center"/>
          </w:tcPr>
          <w:p w14:paraId="3FA2C01A" w14:textId="47F66875" w:rsidR="004A5B38" w:rsidRPr="001B15BA" w:rsidRDefault="004A5B38" w:rsidP="004A5B38">
            <w:pPr>
              <w:pStyle w:val="ListParagraph"/>
              <w:keepLines/>
              <w:ind w:left="0"/>
              <w:rPr>
                <w:rFonts w:asciiTheme="minorHAnsi" w:hAnsiTheme="minorHAnsi" w:cstheme="minorHAnsi"/>
                <w:snapToGrid w:val="0"/>
                <w:sz w:val="18"/>
                <w:szCs w:val="18"/>
                <w:lang w:eastAsia="en-US"/>
              </w:rPr>
            </w:pPr>
            <w:r w:rsidRPr="001B15BA">
              <w:rPr>
                <w:rFonts w:asciiTheme="minorHAnsi" w:hAnsiTheme="minorHAnsi" w:cstheme="minorHAnsi"/>
                <w:color w:val="000000"/>
                <w:sz w:val="18"/>
                <w:szCs w:val="18"/>
              </w:rPr>
              <w:t>Not Recommended</w:t>
            </w:r>
          </w:p>
        </w:tc>
        <w:tc>
          <w:tcPr>
            <w:tcW w:w="4336" w:type="dxa"/>
            <w:gridSpan w:val="2"/>
            <w:shd w:val="clear" w:color="auto" w:fill="auto"/>
            <w:vAlign w:val="center"/>
          </w:tcPr>
          <w:p w14:paraId="743814A8" w14:textId="66ED2163" w:rsidR="005F405A" w:rsidRDefault="004A5B38" w:rsidP="004A5B38">
            <w:pPr>
              <w:pStyle w:val="ListParagraph"/>
              <w:keepLines/>
              <w:ind w:left="0"/>
              <w:rPr>
                <w:rFonts w:asciiTheme="minorHAnsi" w:hAnsiTheme="minorHAnsi" w:cstheme="minorHAnsi"/>
                <w:color w:val="000000"/>
                <w:sz w:val="18"/>
                <w:szCs w:val="18"/>
              </w:rPr>
            </w:pPr>
            <w:r w:rsidRPr="00D50089">
              <w:rPr>
                <w:rFonts w:asciiTheme="minorHAnsi" w:hAnsiTheme="minorHAnsi" w:cstheme="minorHAnsi"/>
                <w:color w:val="000000"/>
                <w:sz w:val="18"/>
                <w:szCs w:val="18"/>
              </w:rPr>
              <w:t>The PBAC did not recommended vosoritide for the treatment of patients with achondroplasia whose epiphyses are not closed. The PBAC recognised that there are no treatments on the PBS available specifically for this condition, and it considered that the addition of vosoritide offered high added therapeutic value. The PBAC considered that the claim of superior efficacy compared to placebo was well-supported in 5 to &lt;</w:t>
            </w:r>
            <w:proofErr w:type="gramStart"/>
            <w:r w:rsidRPr="00D50089">
              <w:rPr>
                <w:rFonts w:asciiTheme="minorHAnsi" w:hAnsiTheme="minorHAnsi" w:cstheme="minorHAnsi"/>
                <w:color w:val="000000"/>
                <w:sz w:val="18"/>
                <w:szCs w:val="18"/>
              </w:rPr>
              <w:t>18 year old</w:t>
            </w:r>
            <w:proofErr w:type="gramEnd"/>
            <w:r w:rsidRPr="00D50089">
              <w:rPr>
                <w:rFonts w:asciiTheme="minorHAnsi" w:hAnsiTheme="minorHAnsi" w:cstheme="minorHAnsi"/>
                <w:color w:val="000000"/>
                <w:sz w:val="18"/>
                <w:szCs w:val="18"/>
              </w:rPr>
              <w:t xml:space="preserve"> children and uncertain but likely reasonable in children under 5 years old. The PBAC considered that the safety of vosoritide was inferior to placebo. The PBAC considered the</w:t>
            </w:r>
            <w:r>
              <w:rPr>
                <w:rFonts w:asciiTheme="minorHAnsi" w:hAnsiTheme="minorHAnsi" w:cstheme="minorHAnsi"/>
                <w:color w:val="000000"/>
                <w:sz w:val="18"/>
                <w:szCs w:val="18"/>
              </w:rPr>
              <w:t xml:space="preserve"> </w:t>
            </w:r>
            <w:r w:rsidRPr="00B60C95">
              <w:rPr>
                <w:rFonts w:asciiTheme="minorHAnsi" w:hAnsiTheme="minorHAnsi" w:cstheme="minorHAnsi"/>
                <w:color w:val="000000"/>
                <w:sz w:val="18"/>
                <w:szCs w:val="18"/>
              </w:rPr>
              <w:t>incremental cost-effectiveness ratio</w:t>
            </w:r>
            <w:r w:rsidRPr="00D50089">
              <w:rPr>
                <w:rFonts w:asciiTheme="minorHAnsi" w:hAnsiTheme="minorHAnsi" w:cstheme="minorHAnsi"/>
                <w:color w:val="000000"/>
                <w:sz w:val="18"/>
                <w:szCs w:val="18"/>
              </w:rPr>
              <w:t xml:space="preserve"> in this setting was unacceptably high at the proposed price, even in the context of relatively rare diseases. The PBAC considered that a price reduction would be required to achieve a cost-effective listing. </w:t>
            </w:r>
          </w:p>
          <w:p w14:paraId="342BEB07" w14:textId="77777777" w:rsidR="005F405A" w:rsidRDefault="005F405A" w:rsidP="004A5B38">
            <w:pPr>
              <w:pStyle w:val="ListParagraph"/>
              <w:keepLines/>
              <w:ind w:left="0"/>
              <w:rPr>
                <w:rFonts w:asciiTheme="minorHAnsi" w:hAnsiTheme="minorHAnsi" w:cstheme="minorHAnsi"/>
                <w:color w:val="000000"/>
                <w:sz w:val="18"/>
                <w:szCs w:val="18"/>
              </w:rPr>
            </w:pPr>
          </w:p>
          <w:p w14:paraId="62386C38" w14:textId="106BF0D9" w:rsidR="004A5B38" w:rsidRDefault="004A5B38" w:rsidP="004A5B38">
            <w:pPr>
              <w:pStyle w:val="ListParagraph"/>
              <w:keepLines/>
              <w:ind w:left="0"/>
              <w:rPr>
                <w:rFonts w:asciiTheme="minorHAnsi" w:hAnsiTheme="minorHAnsi" w:cstheme="minorHAnsi"/>
                <w:color w:val="000000"/>
                <w:sz w:val="18"/>
                <w:szCs w:val="18"/>
              </w:rPr>
            </w:pPr>
            <w:r w:rsidRPr="00D50089">
              <w:rPr>
                <w:rFonts w:asciiTheme="minorHAnsi" w:hAnsiTheme="minorHAnsi" w:cstheme="minorHAnsi"/>
                <w:color w:val="000000"/>
                <w:sz w:val="18"/>
                <w:szCs w:val="18"/>
              </w:rPr>
              <w:t>The PBAC nominated the Early Resolution resubmission pathway for this item.</w:t>
            </w:r>
          </w:p>
          <w:p w14:paraId="74BA3B37" w14:textId="277EA445" w:rsidR="00B10BEF" w:rsidRDefault="00B10BEF" w:rsidP="004A5B38">
            <w:pPr>
              <w:pStyle w:val="ListParagraph"/>
              <w:keepLines/>
              <w:ind w:left="0"/>
              <w:rPr>
                <w:rFonts w:asciiTheme="minorHAnsi" w:hAnsiTheme="minorHAnsi" w:cstheme="minorHAnsi"/>
                <w:color w:val="000000"/>
                <w:sz w:val="18"/>
                <w:szCs w:val="18"/>
              </w:rPr>
            </w:pPr>
          </w:p>
          <w:p w14:paraId="4070A523" w14:textId="050915B3" w:rsidR="00B10BEF" w:rsidRDefault="00B10BEF" w:rsidP="004A5B38">
            <w:pPr>
              <w:pStyle w:val="ListParagraph"/>
              <w:keepLines/>
              <w:ind w:left="0"/>
              <w:rPr>
                <w:rFonts w:asciiTheme="minorHAnsi" w:hAnsiTheme="minorHAnsi" w:cs="Arial"/>
                <w:snapToGrid w:val="0"/>
                <w:color w:val="000000"/>
                <w:sz w:val="18"/>
                <w:szCs w:val="18"/>
                <w:u w:val="single"/>
              </w:rPr>
            </w:pPr>
            <w:r w:rsidRPr="000171D6">
              <w:rPr>
                <w:rFonts w:asciiTheme="minorHAnsi" w:hAnsiTheme="minorHAnsi" w:cs="Arial"/>
                <w:snapToGrid w:val="0"/>
                <w:color w:val="000000"/>
                <w:sz w:val="18"/>
                <w:szCs w:val="18"/>
                <w:u w:val="single"/>
              </w:rPr>
              <w:t>Sponsor Comment:</w:t>
            </w:r>
          </w:p>
          <w:p w14:paraId="48923537" w14:textId="18A1F269" w:rsidR="00E66CF4" w:rsidRDefault="00E66CF4" w:rsidP="004A5B38">
            <w:pPr>
              <w:pStyle w:val="ListParagraph"/>
              <w:keepLines/>
              <w:ind w:left="0"/>
              <w:rPr>
                <w:rFonts w:asciiTheme="minorHAnsi" w:hAnsiTheme="minorHAnsi" w:cstheme="minorHAnsi"/>
                <w:color w:val="000000"/>
                <w:sz w:val="18"/>
                <w:szCs w:val="18"/>
              </w:rPr>
            </w:pPr>
            <w:r w:rsidRPr="00E66CF4">
              <w:rPr>
                <w:rFonts w:asciiTheme="minorHAnsi" w:hAnsiTheme="minorHAnsi" w:cstheme="minorHAnsi"/>
                <w:color w:val="000000"/>
                <w:sz w:val="18"/>
                <w:szCs w:val="18"/>
              </w:rPr>
              <w:t>BioMarin welcomes the opportunity for early resolution and is committed to working with PBAC to make this important treatment available to Australian children with achondroplasia.</w:t>
            </w:r>
          </w:p>
          <w:p w14:paraId="61B0789D" w14:textId="299C8580" w:rsidR="00B10BEF" w:rsidRPr="00D50089" w:rsidRDefault="00B10BEF" w:rsidP="004A5B38">
            <w:pPr>
              <w:pStyle w:val="ListParagraph"/>
              <w:keepLines/>
              <w:ind w:left="0"/>
              <w:rPr>
                <w:rFonts w:asciiTheme="minorHAnsi" w:hAnsiTheme="minorHAnsi" w:cstheme="minorHAnsi"/>
                <w:color w:val="000000"/>
                <w:sz w:val="18"/>
                <w:szCs w:val="18"/>
              </w:rPr>
            </w:pPr>
          </w:p>
        </w:tc>
      </w:tr>
    </w:tbl>
    <w:p w14:paraId="6E704BBA" w14:textId="77777777" w:rsidR="001B15BA" w:rsidRDefault="001B15BA"/>
    <w:p w14:paraId="36A477BC" w14:textId="15A31897" w:rsidR="00FB3935" w:rsidRDefault="00FB3935" w:rsidP="00EF3B9C">
      <w:pPr>
        <w:rPr>
          <w:rFonts w:ascii="Arial" w:hAnsi="Arial" w:cs="Arial"/>
          <w:b/>
          <w:sz w:val="18"/>
          <w:szCs w:val="18"/>
          <w:lang w:val="en-US"/>
        </w:rPr>
      </w:pPr>
    </w:p>
    <w:p w14:paraId="2CF311E1" w14:textId="4F960C14" w:rsidR="007F1C7A" w:rsidRDefault="007F1C7A">
      <w:pPr>
        <w:rPr>
          <w:rFonts w:ascii="Arial" w:hAnsi="Arial" w:cs="Arial"/>
          <w:b/>
          <w:sz w:val="18"/>
          <w:szCs w:val="18"/>
          <w:lang w:val="en-US"/>
        </w:rPr>
      </w:pPr>
      <w:r>
        <w:rPr>
          <w:rFonts w:ascii="Arial" w:hAnsi="Arial" w:cs="Arial"/>
          <w:b/>
          <w:sz w:val="18"/>
          <w:szCs w:val="18"/>
          <w:lang w:val="en-US"/>
        </w:rPr>
        <w:br w:type="page"/>
      </w:r>
    </w:p>
    <w:tbl>
      <w:tblPr>
        <w:tblW w:w="5002" w:type="pct"/>
        <w:tblLayout w:type="fixed"/>
        <w:tblLook w:val="04A0" w:firstRow="1" w:lastRow="0" w:firstColumn="1" w:lastColumn="0" w:noHBand="0" w:noVBand="1"/>
      </w:tblPr>
      <w:tblGrid>
        <w:gridCol w:w="3824"/>
        <w:gridCol w:w="3827"/>
        <w:gridCol w:w="3685"/>
        <w:gridCol w:w="4058"/>
      </w:tblGrid>
      <w:tr w:rsidR="00155809" w:rsidRPr="00567D48"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lastRenderedPageBreak/>
              <w:t>DRUG NAME, FORM(S), STRENGTH(S</w:t>
            </w:r>
            <w:proofErr w:type="gramStart"/>
            <w:r w:rsidRPr="00567D48">
              <w:rPr>
                <w:rFonts w:asciiTheme="minorHAnsi" w:hAnsiTheme="minorHAnsi" w:cs="Arial"/>
                <w:b/>
                <w:bCs/>
                <w:snapToGrid w:val="0"/>
                <w:color w:val="000000"/>
              </w:rPr>
              <w:t>)</w:t>
            </w:r>
            <w:proofErr w:type="gramEnd"/>
            <w:r w:rsidRPr="00567D48">
              <w:rPr>
                <w:rFonts w:asciiTheme="minorHAnsi" w:hAnsiTheme="minorHAnsi" w:cs="Arial"/>
                <w:b/>
                <w:bCs/>
                <w:snapToGrid w:val="0"/>
                <w:color w:val="000000"/>
              </w:rPr>
              <w:t xml:space="preserve">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PBAC OUTCOME</w:t>
            </w:r>
          </w:p>
        </w:tc>
      </w:tr>
      <w:tr w:rsidR="00D85797" w:rsidRPr="00567D48" w14:paraId="408FF98A"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FAD53FB" w14:textId="1BEF42B9"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BEVACIZUMAB</w:t>
            </w:r>
          </w:p>
          <w:p w14:paraId="5F3F07F4" w14:textId="77777777" w:rsidR="00264650" w:rsidRPr="00DB0ED0" w:rsidRDefault="00264650" w:rsidP="0027062D">
            <w:pPr>
              <w:contextualSpacing/>
              <w:rPr>
                <w:rFonts w:asciiTheme="minorHAnsi" w:hAnsiTheme="minorHAnsi" w:cstheme="minorHAnsi"/>
                <w:sz w:val="18"/>
                <w:szCs w:val="18"/>
              </w:rPr>
            </w:pPr>
          </w:p>
          <w:p w14:paraId="677BAC55" w14:textId="77777777"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Solution for I.V. infusion 100 mg in 4 mL</w:t>
            </w:r>
          </w:p>
          <w:p w14:paraId="0E8F254E" w14:textId="10210C90"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Solution for I.V. infusion 400 mg in 16 mL</w:t>
            </w:r>
          </w:p>
          <w:p w14:paraId="5EEB9986" w14:textId="77777777" w:rsidR="00264650" w:rsidRPr="00DB0ED0" w:rsidRDefault="00264650" w:rsidP="00DB0ED0">
            <w:pPr>
              <w:contextualSpacing/>
              <w:jc w:val="center"/>
              <w:rPr>
                <w:rFonts w:asciiTheme="minorHAnsi" w:hAnsiTheme="minorHAnsi" w:cstheme="minorHAnsi"/>
                <w:sz w:val="18"/>
                <w:szCs w:val="18"/>
              </w:rPr>
            </w:pPr>
          </w:p>
          <w:p w14:paraId="2496CE72" w14:textId="0F6D7FC7" w:rsid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Zirabev</w:t>
            </w:r>
            <w:proofErr w:type="spellEnd"/>
            <w:r w:rsidRPr="00DB0ED0">
              <w:rPr>
                <w:rFonts w:asciiTheme="minorHAnsi" w:hAnsiTheme="minorHAnsi" w:cstheme="minorHAnsi"/>
                <w:sz w:val="18"/>
                <w:szCs w:val="18"/>
              </w:rPr>
              <w:t>®</w:t>
            </w:r>
          </w:p>
          <w:p w14:paraId="76CB9D74" w14:textId="77777777" w:rsidR="00264650" w:rsidRPr="00DB0ED0" w:rsidRDefault="00264650" w:rsidP="00DB0ED0">
            <w:pPr>
              <w:contextualSpacing/>
              <w:jc w:val="center"/>
              <w:rPr>
                <w:rFonts w:asciiTheme="minorHAnsi" w:hAnsiTheme="minorHAnsi" w:cstheme="minorHAnsi"/>
                <w:sz w:val="18"/>
                <w:szCs w:val="18"/>
              </w:rPr>
            </w:pPr>
          </w:p>
          <w:p w14:paraId="6C9EC299" w14:textId="487AAC3A" w:rsidR="00D85797" w:rsidRPr="00D5001E" w:rsidRDefault="00DB0ED0" w:rsidP="00DB0ED0">
            <w:pPr>
              <w:widowControl w:val="0"/>
              <w:spacing w:after="120"/>
              <w:jc w:val="center"/>
              <w:rPr>
                <w:rFonts w:asciiTheme="minorHAnsi" w:hAnsiTheme="minorHAnsi" w:cstheme="minorHAnsi"/>
                <w:snapToGrid w:val="0"/>
                <w:sz w:val="18"/>
                <w:szCs w:val="18"/>
              </w:rPr>
            </w:pPr>
            <w:r w:rsidRPr="00DB0ED0">
              <w:rPr>
                <w:rFonts w:asciiTheme="minorHAnsi" w:hAnsiTheme="minorHAnsi" w:cstheme="minorHAnsi"/>
                <w:sz w:val="18"/>
                <w:szCs w:val="18"/>
              </w:rPr>
              <w:t>Pfizer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5758DF64" w:rsidR="00D85797" w:rsidRPr="00D5001E" w:rsidRDefault="00DB0ED0">
            <w:pPr>
              <w:widowControl w:val="0"/>
              <w:spacing w:after="120"/>
              <w:jc w:val="center"/>
              <w:rPr>
                <w:rFonts w:asciiTheme="minorHAnsi" w:hAnsiTheme="minorHAnsi" w:cstheme="minorHAnsi"/>
                <w:snapToGrid w:val="0"/>
                <w:sz w:val="18"/>
                <w:szCs w:val="18"/>
              </w:rPr>
            </w:pPr>
            <w:r w:rsidRPr="00DB0ED0">
              <w:rPr>
                <w:rFonts w:asciiTheme="minorHAnsi" w:hAnsiTheme="minorHAnsi" w:cstheme="minorHAnsi"/>
                <w:sz w:val="18"/>
                <w:szCs w:val="18"/>
              </w:rPr>
              <w:t xml:space="preserve">Metastatic colorectal cancer, advanced, </w:t>
            </w:r>
            <w:proofErr w:type="gramStart"/>
            <w:r w:rsidRPr="00DB0ED0">
              <w:rPr>
                <w:rFonts w:asciiTheme="minorHAnsi" w:hAnsiTheme="minorHAnsi" w:cstheme="minorHAnsi"/>
                <w:sz w:val="18"/>
                <w:szCs w:val="18"/>
              </w:rPr>
              <w:t>metastatic</w:t>
            </w:r>
            <w:proofErr w:type="gramEnd"/>
            <w:r w:rsidRPr="00DB0ED0">
              <w:rPr>
                <w:rFonts w:asciiTheme="minorHAnsi" w:hAnsiTheme="minorHAnsi" w:cstheme="minorHAnsi"/>
                <w:sz w:val="18"/>
                <w:szCs w:val="18"/>
              </w:rPr>
              <w:t xml:space="preserve"> or recurrent non-squamous non-small cell lung cancer, relapsed or recurrent glioblastoma, epithelial ovarian, fallopian tube or primary peritoneal cancer, cervical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0A14A474" w:rsidR="00D85797" w:rsidRPr="00D5001E" w:rsidRDefault="00D85797">
            <w:pPr>
              <w:widowControl w:val="0"/>
              <w:spacing w:after="120"/>
              <w:jc w:val="center"/>
              <w:rPr>
                <w:rFonts w:asciiTheme="minorHAnsi" w:hAnsiTheme="minorHAnsi" w:cstheme="minorHAnsi"/>
                <w:bCs/>
                <w:snapToGrid w:val="0"/>
                <w:color w:val="000000"/>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714D8494" w:rsidR="00D85797" w:rsidRPr="00D5001E" w:rsidRDefault="002F3A0F">
            <w:pPr>
              <w:widowControl w:val="0"/>
              <w:spacing w:after="120"/>
              <w:jc w:val="center"/>
              <w:rPr>
                <w:rFonts w:asciiTheme="minorHAnsi" w:hAnsiTheme="minorHAnsi" w:cstheme="minorHAnsi"/>
                <w:bCs/>
                <w:snapToGrid w:val="0"/>
                <w:sz w:val="18"/>
                <w:szCs w:val="18"/>
              </w:rPr>
            </w:pPr>
            <w:r w:rsidRPr="002F3A0F">
              <w:rPr>
                <w:rFonts w:asciiTheme="minorHAnsi" w:hAnsiTheme="minorHAnsi" w:cstheme="minorHAnsi"/>
                <w:bCs/>
                <w:snapToGrid w:val="0"/>
                <w:sz w:val="18"/>
                <w:szCs w:val="18"/>
              </w:rPr>
              <w:t>Recommendation extended 12 months (if listing process has not commenced by the end of July</w:t>
            </w:r>
            <w:r w:rsidR="009A0E15">
              <w:rPr>
                <w:rFonts w:asciiTheme="minorHAnsi" w:hAnsiTheme="minorHAnsi" w:cstheme="minorHAnsi"/>
                <w:bCs/>
                <w:snapToGrid w:val="0"/>
                <w:sz w:val="18"/>
                <w:szCs w:val="18"/>
              </w:rPr>
              <w:t> </w:t>
            </w:r>
            <w:r w:rsidRPr="002F3A0F">
              <w:rPr>
                <w:rFonts w:asciiTheme="minorHAnsi" w:hAnsiTheme="minorHAnsi" w:cstheme="minorHAnsi"/>
                <w:bCs/>
                <w:snapToGrid w:val="0"/>
                <w:sz w:val="18"/>
                <w:szCs w:val="18"/>
              </w:rPr>
              <w:t>2023 the sponsor will be asked to justify the recommendation again).</w:t>
            </w:r>
          </w:p>
        </w:tc>
      </w:tr>
      <w:tr w:rsidR="00D85797" w:rsidRPr="00567D48" w14:paraId="6B5DB65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60D5D11" w14:textId="7C6452C3"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BIMATOPROST</w:t>
            </w:r>
          </w:p>
          <w:p w14:paraId="2FC80B23" w14:textId="77777777" w:rsidR="00264650" w:rsidRPr="00DB0ED0" w:rsidRDefault="00264650" w:rsidP="00DB0ED0">
            <w:pPr>
              <w:contextualSpacing/>
              <w:jc w:val="center"/>
              <w:rPr>
                <w:rFonts w:asciiTheme="minorHAnsi" w:hAnsiTheme="minorHAnsi" w:cstheme="minorHAnsi"/>
                <w:sz w:val="18"/>
                <w:szCs w:val="18"/>
              </w:rPr>
            </w:pPr>
          </w:p>
          <w:p w14:paraId="69B82C77" w14:textId="286000C7"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300 micrograms per mL, 3 mL</w:t>
            </w:r>
          </w:p>
          <w:p w14:paraId="59DF63BB" w14:textId="77777777" w:rsidR="00264650" w:rsidRPr="00DB0ED0" w:rsidRDefault="00264650" w:rsidP="0027062D">
            <w:pPr>
              <w:contextualSpacing/>
              <w:rPr>
                <w:rFonts w:asciiTheme="minorHAnsi" w:hAnsiTheme="minorHAnsi" w:cstheme="minorHAnsi"/>
                <w:sz w:val="18"/>
                <w:szCs w:val="18"/>
              </w:rPr>
            </w:pPr>
          </w:p>
          <w:p w14:paraId="598EC285" w14:textId="6A01EB73" w:rsid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Vizo</w:t>
            </w:r>
            <w:proofErr w:type="spellEnd"/>
            <w:r w:rsidRPr="00DB0ED0">
              <w:rPr>
                <w:rFonts w:asciiTheme="minorHAnsi" w:hAnsiTheme="minorHAnsi" w:cstheme="minorHAnsi"/>
                <w:sz w:val="18"/>
                <w:szCs w:val="18"/>
              </w:rPr>
              <w:t xml:space="preserve">-PF </w:t>
            </w:r>
            <w:proofErr w:type="spellStart"/>
            <w:r w:rsidRPr="00DB0ED0">
              <w:rPr>
                <w:rFonts w:asciiTheme="minorHAnsi" w:hAnsiTheme="minorHAnsi" w:cstheme="minorHAnsi"/>
                <w:sz w:val="18"/>
                <w:szCs w:val="18"/>
              </w:rPr>
              <w:t>Bimatoprost</w:t>
            </w:r>
            <w:proofErr w:type="spellEnd"/>
            <w:r w:rsidRPr="00DB0ED0">
              <w:rPr>
                <w:rFonts w:asciiTheme="minorHAnsi" w:hAnsiTheme="minorHAnsi" w:cstheme="minorHAnsi"/>
                <w:sz w:val="18"/>
                <w:szCs w:val="18"/>
              </w:rPr>
              <w:t>®</w:t>
            </w:r>
          </w:p>
          <w:p w14:paraId="66B297E8" w14:textId="77777777" w:rsidR="00264650" w:rsidRPr="00DB0ED0" w:rsidRDefault="00264650" w:rsidP="00DB0ED0">
            <w:pPr>
              <w:contextualSpacing/>
              <w:jc w:val="center"/>
              <w:rPr>
                <w:rFonts w:asciiTheme="minorHAnsi" w:hAnsiTheme="minorHAnsi" w:cstheme="minorHAnsi"/>
                <w:sz w:val="18"/>
                <w:szCs w:val="18"/>
              </w:rPr>
            </w:pPr>
          </w:p>
          <w:p w14:paraId="3D138D7D" w14:textId="5A6E2EA8" w:rsidR="00D85797" w:rsidRPr="00D5001E" w:rsidRDefault="00DB0ED0" w:rsidP="00DB0ED0">
            <w:pPr>
              <w:widowControl w:val="0"/>
              <w:spacing w:after="120"/>
              <w:jc w:val="center"/>
              <w:rPr>
                <w:rFonts w:asciiTheme="minorHAnsi" w:hAnsiTheme="minorHAnsi" w:cstheme="minorHAnsi"/>
                <w:snapToGrid w:val="0"/>
                <w:color w:val="FF0000"/>
                <w:sz w:val="18"/>
                <w:szCs w:val="18"/>
              </w:rPr>
            </w:pPr>
            <w:r w:rsidRPr="00DB0ED0">
              <w:rPr>
                <w:rFonts w:asciiTheme="minorHAnsi" w:hAnsiTheme="minorHAnsi" w:cstheme="minorHAnsi"/>
                <w:sz w:val="18"/>
                <w:szCs w:val="18"/>
              </w:rPr>
              <w:t>AFT Pharmaceuticals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187DC5CC" w:rsidR="00D85797" w:rsidRPr="00D5001E" w:rsidRDefault="00DB0ED0">
            <w:pPr>
              <w:widowControl w:val="0"/>
              <w:spacing w:after="120"/>
              <w:jc w:val="center"/>
              <w:rPr>
                <w:rFonts w:asciiTheme="minorHAnsi" w:hAnsiTheme="minorHAnsi" w:cstheme="minorHAnsi"/>
                <w:snapToGrid w:val="0"/>
                <w:color w:val="FF0000"/>
                <w:sz w:val="18"/>
                <w:szCs w:val="18"/>
              </w:rPr>
            </w:pPr>
            <w:r w:rsidRPr="00DB0ED0">
              <w:rPr>
                <w:rFonts w:asciiTheme="minorHAnsi" w:hAnsiTheme="minorHAnsi" w:cstheme="minorHAnsi"/>
                <w:sz w:val="18"/>
                <w:szCs w:val="18"/>
              </w:rPr>
              <w:t>Elevated intraocular pressure or open angle glaucoma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20D6C325" w:rsidR="00D85797" w:rsidRPr="00D5001E" w:rsidRDefault="00D85797">
            <w:pPr>
              <w:widowControl w:val="0"/>
              <w:spacing w:after="120"/>
              <w:jc w:val="center"/>
              <w:rPr>
                <w:rFonts w:asciiTheme="minorHAnsi" w:hAnsiTheme="minorHAnsi" w:cstheme="minorHAnsi"/>
                <w:bCs/>
                <w:snapToGrid w:val="0"/>
                <w:color w:val="000000"/>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40937B1E" w:rsidR="00D85797" w:rsidRPr="00D5001E" w:rsidRDefault="002F3A0F">
            <w:pPr>
              <w:widowControl w:val="0"/>
              <w:spacing w:after="120"/>
              <w:jc w:val="center"/>
              <w:rPr>
                <w:rFonts w:asciiTheme="minorHAnsi" w:hAnsiTheme="minorHAnsi" w:cstheme="minorHAnsi"/>
                <w:bCs/>
                <w:snapToGrid w:val="0"/>
                <w:sz w:val="18"/>
                <w:szCs w:val="18"/>
              </w:rPr>
            </w:pPr>
            <w:r w:rsidRPr="002F3A0F">
              <w:rPr>
                <w:rFonts w:asciiTheme="minorHAnsi" w:hAnsiTheme="minorHAnsi" w:cstheme="minorHAnsi"/>
                <w:bCs/>
                <w:snapToGrid w:val="0"/>
                <w:sz w:val="18"/>
                <w:szCs w:val="18"/>
              </w:rPr>
              <w:t>The PBAC advised that the July 2020 recommendation be revoked.</w:t>
            </w:r>
          </w:p>
        </w:tc>
      </w:tr>
      <w:tr w:rsidR="00DB0ED0" w:rsidRPr="00567D48" w14:paraId="65B26D2F"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4077CB9" w14:textId="6C7A8628"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ENOXAPARIN</w:t>
            </w:r>
          </w:p>
          <w:p w14:paraId="3379956F" w14:textId="77777777" w:rsidR="00264650" w:rsidRPr="00DB0ED0" w:rsidRDefault="00264650" w:rsidP="00DB0ED0">
            <w:pPr>
              <w:contextualSpacing/>
              <w:jc w:val="center"/>
              <w:rPr>
                <w:rFonts w:asciiTheme="minorHAnsi" w:hAnsiTheme="minorHAnsi" w:cstheme="minorHAnsi"/>
                <w:sz w:val="18"/>
                <w:szCs w:val="18"/>
              </w:rPr>
            </w:pPr>
          </w:p>
          <w:p w14:paraId="3E48AE7B" w14:textId="77777777"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120 mg/mL injection, 10 x 0.8 mL syringes</w:t>
            </w:r>
          </w:p>
          <w:p w14:paraId="055A8665" w14:textId="0F67A727"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150 mg/mL injection, 10 x 1 mL syringes</w:t>
            </w:r>
          </w:p>
          <w:p w14:paraId="16843692" w14:textId="77777777" w:rsidR="00264650" w:rsidRPr="00DB0ED0" w:rsidRDefault="00264650" w:rsidP="00DB0ED0">
            <w:pPr>
              <w:contextualSpacing/>
              <w:jc w:val="center"/>
              <w:rPr>
                <w:rFonts w:asciiTheme="minorHAnsi" w:hAnsiTheme="minorHAnsi" w:cstheme="minorHAnsi"/>
                <w:sz w:val="18"/>
                <w:szCs w:val="18"/>
              </w:rPr>
            </w:pPr>
          </w:p>
          <w:p w14:paraId="7CE27EC5" w14:textId="77777777"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Clexane Forte®</w:t>
            </w:r>
          </w:p>
          <w:p w14:paraId="1826409B" w14:textId="77777777"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Enoxaparin Winthrop®</w:t>
            </w:r>
          </w:p>
          <w:p w14:paraId="0E8949A9" w14:textId="692E49BE"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Clexane Forte Safety-Lock®</w:t>
            </w:r>
          </w:p>
          <w:p w14:paraId="2FCFDB89" w14:textId="77777777" w:rsidR="00264650" w:rsidRPr="00DB0ED0" w:rsidRDefault="00264650" w:rsidP="00DB0ED0">
            <w:pPr>
              <w:contextualSpacing/>
              <w:jc w:val="center"/>
              <w:rPr>
                <w:rFonts w:asciiTheme="minorHAnsi" w:hAnsiTheme="minorHAnsi" w:cstheme="minorHAnsi"/>
                <w:sz w:val="18"/>
                <w:szCs w:val="18"/>
              </w:rPr>
            </w:pPr>
          </w:p>
          <w:p w14:paraId="3645A09F" w14:textId="08880E73"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82FB661" w14:textId="3E2FB3F5" w:rsidR="00DB0ED0" w:rsidRPr="00DB0ED0" w:rsidRDefault="00DB0ED0" w:rsidP="00DB0ED0">
            <w:pPr>
              <w:widowControl w:val="0"/>
              <w:spacing w:after="120"/>
              <w:jc w:val="center"/>
              <w:rPr>
                <w:rFonts w:asciiTheme="minorHAnsi" w:hAnsiTheme="minorHAnsi" w:cstheme="minorHAnsi"/>
                <w:sz w:val="18"/>
                <w:szCs w:val="18"/>
              </w:rPr>
            </w:pPr>
            <w:r w:rsidRPr="00DB0ED0">
              <w:rPr>
                <w:rFonts w:asciiTheme="minorHAnsi" w:hAnsiTheme="minorHAnsi" w:cstheme="minorHAnsi"/>
                <w:bCs/>
                <w:sz w:val="18"/>
                <w:szCs w:val="18"/>
              </w:rPr>
              <w:t>Thromboembolic disorders in patients undergoing surgery, prophylaxis of venous thromboembolism, prevention of thrombosis during haemodialysis, deep vein thrombosis, unstable angina, non-Q-wave myocardial infarction, acute ST-segment elevation myocardial infarction as an adjunctive to thrombolytic treatment</w:t>
            </w:r>
          </w:p>
        </w:tc>
        <w:tc>
          <w:tcPr>
            <w:tcW w:w="1197" w:type="pct"/>
            <w:tcBorders>
              <w:top w:val="single" w:sz="4" w:space="0" w:color="auto"/>
              <w:left w:val="nil"/>
              <w:bottom w:val="single" w:sz="4" w:space="0" w:color="auto"/>
              <w:right w:val="single" w:sz="4" w:space="0" w:color="auto"/>
            </w:tcBorders>
            <w:shd w:val="clear" w:color="auto" w:fill="auto"/>
            <w:vAlign w:val="center"/>
          </w:tcPr>
          <w:p w14:paraId="49745DB6" w14:textId="7E62973B"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03BEAFC" w14:textId="637C0BBB"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 xml:space="preserve">Recommendation extended </w:t>
            </w:r>
            <w:r w:rsidR="006443DD">
              <w:rPr>
                <w:rFonts w:asciiTheme="minorHAnsi" w:hAnsiTheme="minorHAnsi" w:cstheme="minorHAnsi"/>
                <w:sz w:val="18"/>
                <w:szCs w:val="18"/>
              </w:rPr>
              <w:t xml:space="preserve">for </w:t>
            </w:r>
            <w:r w:rsidRPr="002F3A0F">
              <w:rPr>
                <w:rFonts w:asciiTheme="minorHAnsi" w:hAnsiTheme="minorHAnsi" w:cstheme="minorHAnsi"/>
                <w:sz w:val="18"/>
                <w:szCs w:val="18"/>
              </w:rPr>
              <w:t>6 months (if listing process has not commenced by the end of January</w:t>
            </w:r>
            <w:r w:rsidR="009A0E15">
              <w:rPr>
                <w:rFonts w:asciiTheme="minorHAnsi" w:hAnsiTheme="minorHAnsi" w:cstheme="minorHAnsi"/>
                <w:sz w:val="18"/>
                <w:szCs w:val="18"/>
              </w:rPr>
              <w:t> </w:t>
            </w:r>
            <w:r w:rsidRPr="002F3A0F">
              <w:rPr>
                <w:rFonts w:asciiTheme="minorHAnsi" w:hAnsiTheme="minorHAnsi" w:cstheme="minorHAnsi"/>
                <w:sz w:val="18"/>
                <w:szCs w:val="18"/>
              </w:rPr>
              <w:t>2023 the sponsor will be asked to justify the recommendation again).</w:t>
            </w:r>
          </w:p>
        </w:tc>
      </w:tr>
      <w:tr w:rsidR="00DB0ED0" w:rsidRPr="00567D48" w14:paraId="7A38C97D"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25B93F2" w14:textId="5425E49E"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GLYCOMACROPEPTIDE FORMULA WITH DOCOSAHEXAENOIC ACID WITH LOW P</w:t>
            </w:r>
            <w:r w:rsidRPr="009575BF">
              <w:rPr>
                <w:rFonts w:asciiTheme="minorHAnsi" w:hAnsiTheme="minorHAnsi" w:cstheme="minorHAnsi"/>
                <w:sz w:val="18"/>
                <w:szCs w:val="18"/>
              </w:rPr>
              <w:t>HENYLALANINE</w:t>
            </w:r>
          </w:p>
          <w:p w14:paraId="4CC07709" w14:textId="77777777" w:rsidR="00264650" w:rsidRPr="00DB0ED0" w:rsidRDefault="00264650" w:rsidP="00DB0ED0">
            <w:pPr>
              <w:contextualSpacing/>
              <w:jc w:val="center"/>
              <w:rPr>
                <w:rFonts w:asciiTheme="minorHAnsi" w:hAnsiTheme="minorHAnsi" w:cstheme="minorHAnsi"/>
                <w:sz w:val="18"/>
                <w:szCs w:val="18"/>
              </w:rPr>
            </w:pPr>
          </w:p>
          <w:p w14:paraId="5E47717F" w14:textId="0EA374DB"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Sachets containing oral powder 33.3 g</w:t>
            </w:r>
          </w:p>
          <w:p w14:paraId="2FC6AE35" w14:textId="77777777" w:rsidR="00264650" w:rsidRPr="00DB0ED0" w:rsidRDefault="00264650" w:rsidP="00DB0ED0">
            <w:pPr>
              <w:contextualSpacing/>
              <w:jc w:val="center"/>
              <w:rPr>
                <w:rFonts w:asciiTheme="minorHAnsi" w:hAnsiTheme="minorHAnsi" w:cstheme="minorHAnsi"/>
                <w:sz w:val="18"/>
                <w:szCs w:val="18"/>
              </w:rPr>
            </w:pPr>
          </w:p>
          <w:p w14:paraId="75D9F305" w14:textId="7415E704"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 xml:space="preserve">PKU </w:t>
            </w:r>
            <w:proofErr w:type="spellStart"/>
            <w:r w:rsidRPr="00DB0ED0">
              <w:rPr>
                <w:rFonts w:asciiTheme="minorHAnsi" w:hAnsiTheme="minorHAnsi" w:cstheme="minorHAnsi"/>
                <w:sz w:val="18"/>
                <w:szCs w:val="18"/>
              </w:rPr>
              <w:t>GMPro</w:t>
            </w:r>
            <w:proofErr w:type="spellEnd"/>
            <w:r w:rsidRPr="00DB0ED0">
              <w:rPr>
                <w:rFonts w:asciiTheme="minorHAnsi" w:hAnsiTheme="minorHAnsi" w:cstheme="minorHAnsi"/>
                <w:sz w:val="18"/>
                <w:szCs w:val="18"/>
              </w:rPr>
              <w:t>®</w:t>
            </w:r>
          </w:p>
          <w:p w14:paraId="074C7466" w14:textId="77777777" w:rsidR="00264650" w:rsidRPr="00DB0ED0" w:rsidRDefault="00264650" w:rsidP="00DB0ED0">
            <w:pPr>
              <w:contextualSpacing/>
              <w:jc w:val="center"/>
              <w:rPr>
                <w:rFonts w:asciiTheme="minorHAnsi" w:hAnsiTheme="minorHAnsi" w:cstheme="minorHAnsi"/>
                <w:sz w:val="18"/>
                <w:szCs w:val="18"/>
              </w:rPr>
            </w:pPr>
          </w:p>
          <w:p w14:paraId="2D6D1C58" w14:textId="2DF1F18F" w:rsidR="00DB0ED0" w:rsidRP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Nutricia</w:t>
            </w:r>
            <w:proofErr w:type="spellEnd"/>
            <w:r w:rsidRPr="00DB0ED0">
              <w:rPr>
                <w:rFonts w:asciiTheme="minorHAnsi" w:hAnsiTheme="minorHAnsi" w:cstheme="minorHAnsi"/>
                <w:sz w:val="18"/>
                <w:szCs w:val="18"/>
              </w:rPr>
              <w:t xml:space="preserve">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E5216D" w14:textId="4849216F" w:rsidR="00DB0ED0" w:rsidRPr="00DB0ED0" w:rsidRDefault="00DB0ED0" w:rsidP="00DB0ED0">
            <w:pPr>
              <w:widowControl w:val="0"/>
              <w:spacing w:after="120"/>
              <w:jc w:val="center"/>
              <w:rPr>
                <w:rFonts w:asciiTheme="minorHAnsi" w:hAnsiTheme="minorHAnsi" w:cstheme="minorHAnsi"/>
                <w:sz w:val="18"/>
                <w:szCs w:val="18"/>
              </w:rPr>
            </w:pPr>
            <w:r w:rsidRPr="00DB0ED0">
              <w:rPr>
                <w:rFonts w:asciiTheme="minorHAnsi" w:hAnsiTheme="minorHAnsi" w:cstheme="minorHAnsi"/>
                <w:bCs/>
                <w:sz w:val="18"/>
                <w:szCs w:val="18"/>
              </w:rPr>
              <w:t>Phenylketonuria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403B0C" w14:textId="27509E42"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D261D24" w14:textId="335DCFC9"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November 2018 recommendation be revoked.</w:t>
            </w:r>
          </w:p>
        </w:tc>
      </w:tr>
      <w:tr w:rsidR="00DB0ED0" w:rsidRPr="00567D48" w14:paraId="32B2FE70"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8946CBA" w14:textId="1B1A2EEB"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lastRenderedPageBreak/>
              <w:t>INSULIN ASPART</w:t>
            </w:r>
          </w:p>
          <w:p w14:paraId="5686BA3F" w14:textId="77777777" w:rsidR="00264650" w:rsidRPr="00DB0ED0" w:rsidRDefault="00264650" w:rsidP="00DB0ED0">
            <w:pPr>
              <w:contextualSpacing/>
              <w:jc w:val="center"/>
              <w:rPr>
                <w:rFonts w:asciiTheme="minorHAnsi" w:hAnsiTheme="minorHAnsi" w:cstheme="minorHAnsi"/>
                <w:sz w:val="18"/>
                <w:szCs w:val="18"/>
              </w:rPr>
            </w:pPr>
          </w:p>
          <w:p w14:paraId="311BE766" w14:textId="09A3EAAB"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Injection (human analogue) cartridges, 100 units per mL, 3 mL</w:t>
            </w:r>
          </w:p>
          <w:p w14:paraId="706E452F" w14:textId="77777777" w:rsidR="00264650" w:rsidRPr="00DB0ED0" w:rsidRDefault="00264650" w:rsidP="00DB0ED0">
            <w:pPr>
              <w:contextualSpacing/>
              <w:jc w:val="center"/>
              <w:rPr>
                <w:rFonts w:asciiTheme="minorHAnsi" w:hAnsiTheme="minorHAnsi" w:cstheme="minorHAnsi"/>
                <w:sz w:val="18"/>
                <w:szCs w:val="18"/>
              </w:rPr>
            </w:pPr>
          </w:p>
          <w:p w14:paraId="16890701" w14:textId="51611C93" w:rsid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Fiasp</w:t>
            </w:r>
            <w:proofErr w:type="spellEnd"/>
            <w:r w:rsidRPr="00DB0ED0">
              <w:rPr>
                <w:rFonts w:asciiTheme="minorHAnsi" w:hAnsiTheme="minorHAnsi" w:cstheme="minorHAnsi"/>
                <w:sz w:val="18"/>
                <w:szCs w:val="18"/>
              </w:rPr>
              <w:t>®</w:t>
            </w:r>
          </w:p>
          <w:p w14:paraId="15922106" w14:textId="77777777" w:rsidR="00264650" w:rsidRPr="00DB0ED0" w:rsidRDefault="00264650" w:rsidP="00DB0ED0">
            <w:pPr>
              <w:contextualSpacing/>
              <w:jc w:val="center"/>
              <w:rPr>
                <w:rFonts w:asciiTheme="minorHAnsi" w:hAnsiTheme="minorHAnsi" w:cstheme="minorHAnsi"/>
                <w:sz w:val="18"/>
                <w:szCs w:val="18"/>
              </w:rPr>
            </w:pPr>
          </w:p>
          <w:p w14:paraId="597DE0AA" w14:textId="2E82B476"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Novo Nordisk Pharmaceuticals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D20C894" w14:textId="5A07966B" w:rsidR="00DB0ED0" w:rsidRPr="00DB0ED0" w:rsidRDefault="00DB0ED0" w:rsidP="00DB0ED0">
            <w:pPr>
              <w:widowControl w:val="0"/>
              <w:spacing w:after="120"/>
              <w:jc w:val="center"/>
              <w:rPr>
                <w:rFonts w:asciiTheme="minorHAnsi" w:hAnsiTheme="minorHAnsi" w:cstheme="minorHAnsi"/>
                <w:sz w:val="18"/>
                <w:szCs w:val="18"/>
              </w:rPr>
            </w:pPr>
            <w:r w:rsidRPr="00DB0ED0">
              <w:rPr>
                <w:rFonts w:asciiTheme="minorHAnsi" w:hAnsiTheme="minorHAnsi" w:cstheme="minorHAnsi"/>
                <w:bCs/>
                <w:sz w:val="18"/>
                <w:szCs w:val="18"/>
              </w:rPr>
              <w:t>Diabetes mellitus</w:t>
            </w:r>
          </w:p>
        </w:tc>
        <w:tc>
          <w:tcPr>
            <w:tcW w:w="1197" w:type="pct"/>
            <w:tcBorders>
              <w:top w:val="single" w:sz="4" w:space="0" w:color="auto"/>
              <w:left w:val="nil"/>
              <w:bottom w:val="single" w:sz="4" w:space="0" w:color="auto"/>
              <w:right w:val="single" w:sz="4" w:space="0" w:color="auto"/>
            </w:tcBorders>
            <w:shd w:val="clear" w:color="auto" w:fill="auto"/>
            <w:vAlign w:val="center"/>
          </w:tcPr>
          <w:p w14:paraId="7DBBA20A" w14:textId="5AD40C23"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2445664" w14:textId="6A8C12B7"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recommendation be extended for 6 months (if listing process has not commenced by the end of January 2023 the sponsor will be asked to justify the recommendation again).</w:t>
            </w:r>
          </w:p>
        </w:tc>
      </w:tr>
      <w:tr w:rsidR="00DB0ED0" w:rsidRPr="00567D48" w14:paraId="23ED5D91"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02263B4" w14:textId="2209B30E"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RAMUCIRUMAB</w:t>
            </w:r>
          </w:p>
          <w:p w14:paraId="6926EBB0" w14:textId="77777777" w:rsidR="00264650" w:rsidRPr="00DB0ED0" w:rsidRDefault="00264650" w:rsidP="00DB0ED0">
            <w:pPr>
              <w:contextualSpacing/>
              <w:jc w:val="center"/>
              <w:rPr>
                <w:rFonts w:asciiTheme="minorHAnsi" w:hAnsiTheme="minorHAnsi" w:cstheme="minorHAnsi"/>
                <w:sz w:val="18"/>
                <w:szCs w:val="18"/>
              </w:rPr>
            </w:pPr>
          </w:p>
          <w:p w14:paraId="7257F29D" w14:textId="053C5EDA"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Injection concentrate for I.V. infusion 100</w:t>
            </w:r>
            <w:r w:rsidR="009A0E15">
              <w:rPr>
                <w:rFonts w:asciiTheme="minorHAnsi" w:hAnsiTheme="minorHAnsi" w:cstheme="minorHAnsi"/>
                <w:sz w:val="18"/>
                <w:szCs w:val="18"/>
              </w:rPr>
              <w:t> </w:t>
            </w:r>
            <w:r w:rsidRPr="00DB0ED0">
              <w:rPr>
                <w:rFonts w:asciiTheme="minorHAnsi" w:hAnsiTheme="minorHAnsi" w:cstheme="minorHAnsi"/>
                <w:sz w:val="18"/>
                <w:szCs w:val="18"/>
              </w:rPr>
              <w:t>mg in</w:t>
            </w:r>
            <w:r w:rsidR="009A0E15">
              <w:rPr>
                <w:rFonts w:asciiTheme="minorHAnsi" w:hAnsiTheme="minorHAnsi" w:cstheme="minorHAnsi"/>
                <w:sz w:val="18"/>
                <w:szCs w:val="18"/>
              </w:rPr>
              <w:t> </w:t>
            </w:r>
            <w:r w:rsidRPr="00DB0ED0">
              <w:rPr>
                <w:rFonts w:asciiTheme="minorHAnsi" w:hAnsiTheme="minorHAnsi" w:cstheme="minorHAnsi"/>
                <w:sz w:val="18"/>
                <w:szCs w:val="18"/>
              </w:rPr>
              <w:t>10 mL</w:t>
            </w:r>
          </w:p>
          <w:p w14:paraId="3303658D" w14:textId="40CD582A"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Injection concentrate for I.V. infusion 500</w:t>
            </w:r>
            <w:r w:rsidR="009A0E15">
              <w:rPr>
                <w:rFonts w:asciiTheme="minorHAnsi" w:hAnsiTheme="minorHAnsi" w:cstheme="minorHAnsi"/>
                <w:sz w:val="18"/>
                <w:szCs w:val="18"/>
              </w:rPr>
              <w:t> </w:t>
            </w:r>
            <w:r w:rsidRPr="00DB0ED0">
              <w:rPr>
                <w:rFonts w:asciiTheme="minorHAnsi" w:hAnsiTheme="minorHAnsi" w:cstheme="minorHAnsi"/>
                <w:sz w:val="18"/>
                <w:szCs w:val="18"/>
              </w:rPr>
              <w:t>mg in 50 mL</w:t>
            </w:r>
          </w:p>
          <w:p w14:paraId="6C8329BA" w14:textId="77777777" w:rsidR="00264650" w:rsidRPr="00DB0ED0" w:rsidRDefault="00264650" w:rsidP="00DB0ED0">
            <w:pPr>
              <w:contextualSpacing/>
              <w:jc w:val="center"/>
              <w:rPr>
                <w:rFonts w:asciiTheme="minorHAnsi" w:hAnsiTheme="minorHAnsi" w:cstheme="minorHAnsi"/>
                <w:sz w:val="18"/>
                <w:szCs w:val="18"/>
              </w:rPr>
            </w:pPr>
          </w:p>
          <w:p w14:paraId="245B9715" w14:textId="7EE4BEB3" w:rsid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Cyramza</w:t>
            </w:r>
            <w:proofErr w:type="spellEnd"/>
            <w:r w:rsidRPr="00DB0ED0">
              <w:rPr>
                <w:rFonts w:asciiTheme="minorHAnsi" w:hAnsiTheme="minorHAnsi" w:cstheme="minorHAnsi"/>
                <w:sz w:val="18"/>
                <w:szCs w:val="18"/>
              </w:rPr>
              <w:t>®</w:t>
            </w:r>
          </w:p>
          <w:p w14:paraId="2874DC3B" w14:textId="77777777" w:rsidR="00264650" w:rsidRPr="00DB0ED0" w:rsidRDefault="00264650" w:rsidP="00DB0ED0">
            <w:pPr>
              <w:contextualSpacing/>
              <w:jc w:val="center"/>
              <w:rPr>
                <w:rFonts w:asciiTheme="minorHAnsi" w:hAnsiTheme="minorHAnsi" w:cstheme="minorHAnsi"/>
                <w:sz w:val="18"/>
                <w:szCs w:val="18"/>
              </w:rPr>
            </w:pPr>
          </w:p>
          <w:p w14:paraId="6C5769F1" w14:textId="1E75F69D"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Eli Lily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08843A6" w14:textId="201C5F24" w:rsidR="00DB0ED0" w:rsidRPr="00DB0ED0" w:rsidRDefault="00DB0ED0" w:rsidP="00DB0ED0">
            <w:pPr>
              <w:widowControl w:val="0"/>
              <w:spacing w:after="120"/>
              <w:jc w:val="center"/>
              <w:rPr>
                <w:rFonts w:asciiTheme="minorHAnsi" w:hAnsiTheme="minorHAnsi" w:cstheme="minorHAnsi"/>
                <w:sz w:val="18"/>
                <w:szCs w:val="18"/>
              </w:rPr>
            </w:pPr>
            <w:r w:rsidRPr="00DB0ED0">
              <w:rPr>
                <w:rFonts w:asciiTheme="minorHAnsi" w:hAnsiTheme="minorHAnsi" w:cstheme="minorHAnsi"/>
                <w:bCs/>
                <w:sz w:val="18"/>
                <w:szCs w:val="18"/>
              </w:rPr>
              <w:t>Gastric or gastro-oesophageal junction adenocarcinoma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3698364F" w14:textId="13E28378"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8684A0C" w14:textId="4AF9EEEF"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March 2018 recommendation be revoked.</w:t>
            </w:r>
          </w:p>
        </w:tc>
      </w:tr>
      <w:tr w:rsidR="00DB0ED0" w:rsidRPr="00567D48" w14:paraId="489281F8"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8A349C2" w14:textId="73077817" w:rsidR="00DB0ED0" w:rsidRDefault="00DB0ED0" w:rsidP="00DB0ED0">
            <w:pPr>
              <w:contextualSpacing/>
              <w:jc w:val="center"/>
              <w:rPr>
                <w:rFonts w:asciiTheme="minorHAnsi" w:hAnsiTheme="minorHAnsi" w:cstheme="minorHAnsi"/>
                <w:bCs/>
                <w:sz w:val="18"/>
                <w:szCs w:val="18"/>
                <w:lang w:val="en-US"/>
              </w:rPr>
            </w:pPr>
            <w:r w:rsidRPr="009A2F67">
              <w:rPr>
                <w:rFonts w:asciiTheme="minorHAnsi" w:hAnsiTheme="minorHAnsi" w:cstheme="minorHAnsi"/>
                <w:bCs/>
                <w:sz w:val="18"/>
                <w:szCs w:val="18"/>
                <w:lang w:val="en-US"/>
              </w:rPr>
              <w:t>SECUKINUMAB</w:t>
            </w:r>
          </w:p>
          <w:p w14:paraId="0096F954" w14:textId="77777777" w:rsidR="00264650" w:rsidRPr="00DB0ED0" w:rsidRDefault="00264650" w:rsidP="00DB0ED0">
            <w:pPr>
              <w:contextualSpacing/>
              <w:jc w:val="center"/>
              <w:rPr>
                <w:rFonts w:asciiTheme="minorHAnsi" w:hAnsiTheme="minorHAnsi" w:cstheme="minorHAnsi"/>
                <w:bCs/>
                <w:sz w:val="18"/>
                <w:szCs w:val="18"/>
                <w:lang w:val="en-US"/>
              </w:rPr>
            </w:pPr>
          </w:p>
          <w:p w14:paraId="0B518D44" w14:textId="18C5B041" w:rsidR="00DB0ED0" w:rsidRPr="00DB0ED0" w:rsidRDefault="00DB0ED0" w:rsidP="009A2F67">
            <w:pPr>
              <w:contextualSpacing/>
              <w:jc w:val="center"/>
              <w:rPr>
                <w:rFonts w:asciiTheme="minorHAnsi" w:hAnsiTheme="minorHAnsi" w:cstheme="minorHAnsi"/>
                <w:bCs/>
                <w:sz w:val="18"/>
                <w:szCs w:val="18"/>
                <w:lang w:val="en-US"/>
              </w:rPr>
            </w:pPr>
            <w:r w:rsidRPr="00DB0ED0">
              <w:rPr>
                <w:rFonts w:asciiTheme="minorHAnsi" w:hAnsiTheme="minorHAnsi" w:cstheme="minorHAnsi"/>
                <w:bCs/>
                <w:sz w:val="18"/>
                <w:szCs w:val="18"/>
                <w:lang w:val="en-US"/>
              </w:rPr>
              <w:t>Powder for injection, 150 mg</w:t>
            </w:r>
          </w:p>
          <w:p w14:paraId="52A531DC" w14:textId="3AE7BF71" w:rsidR="00DB0ED0" w:rsidRDefault="00DB0ED0" w:rsidP="00DB0ED0">
            <w:pPr>
              <w:contextualSpacing/>
              <w:jc w:val="center"/>
              <w:rPr>
                <w:rFonts w:asciiTheme="minorHAnsi" w:hAnsiTheme="minorHAnsi" w:cstheme="minorHAnsi"/>
                <w:bCs/>
                <w:sz w:val="18"/>
                <w:szCs w:val="18"/>
                <w:lang w:val="en-US"/>
              </w:rPr>
            </w:pPr>
            <w:r w:rsidRPr="00DB0ED0">
              <w:rPr>
                <w:rFonts w:asciiTheme="minorHAnsi" w:hAnsiTheme="minorHAnsi" w:cstheme="minorHAnsi"/>
                <w:bCs/>
                <w:sz w:val="18"/>
                <w:szCs w:val="18"/>
                <w:lang w:val="en-US"/>
              </w:rPr>
              <w:t>Pre-filled syringe, 150 mg per mL</w:t>
            </w:r>
          </w:p>
          <w:p w14:paraId="67A8272B" w14:textId="77777777" w:rsidR="00264650" w:rsidRPr="00DB0ED0" w:rsidRDefault="00264650" w:rsidP="00DB0ED0">
            <w:pPr>
              <w:contextualSpacing/>
              <w:jc w:val="center"/>
              <w:rPr>
                <w:rFonts w:asciiTheme="minorHAnsi" w:hAnsiTheme="minorHAnsi" w:cstheme="minorHAnsi"/>
                <w:bCs/>
                <w:sz w:val="18"/>
                <w:szCs w:val="18"/>
                <w:lang w:val="en-US"/>
              </w:rPr>
            </w:pPr>
          </w:p>
          <w:p w14:paraId="72C613FD" w14:textId="77777777" w:rsidR="00264650" w:rsidRDefault="00DB0ED0" w:rsidP="00DB0ED0">
            <w:pPr>
              <w:contextualSpacing/>
              <w:jc w:val="center"/>
              <w:rPr>
                <w:rFonts w:asciiTheme="minorHAnsi" w:hAnsiTheme="minorHAnsi" w:cstheme="minorHAnsi"/>
                <w:bCs/>
                <w:sz w:val="18"/>
                <w:szCs w:val="18"/>
                <w:lang w:val="en-US"/>
              </w:rPr>
            </w:pPr>
            <w:r w:rsidRPr="00DB0ED0">
              <w:rPr>
                <w:rFonts w:asciiTheme="minorHAnsi" w:hAnsiTheme="minorHAnsi" w:cstheme="minorHAnsi"/>
                <w:bCs/>
                <w:sz w:val="18"/>
                <w:szCs w:val="18"/>
                <w:lang w:val="en-US"/>
              </w:rPr>
              <w:t>Cosentyx®</w:t>
            </w:r>
          </w:p>
          <w:p w14:paraId="26769BB1" w14:textId="38F38F1D" w:rsidR="00DB0ED0" w:rsidRPr="00DB0ED0" w:rsidRDefault="00DB0ED0" w:rsidP="00DB0ED0">
            <w:pPr>
              <w:contextualSpacing/>
              <w:jc w:val="center"/>
              <w:rPr>
                <w:rFonts w:asciiTheme="minorHAnsi" w:hAnsiTheme="minorHAnsi" w:cstheme="minorHAnsi"/>
                <w:bCs/>
                <w:sz w:val="18"/>
                <w:szCs w:val="18"/>
                <w:lang w:val="en-US"/>
              </w:rPr>
            </w:pPr>
            <w:r w:rsidRPr="00DB0ED0">
              <w:rPr>
                <w:rFonts w:asciiTheme="minorHAnsi" w:hAnsiTheme="minorHAnsi" w:cstheme="minorHAnsi"/>
                <w:bCs/>
                <w:sz w:val="18"/>
                <w:szCs w:val="18"/>
                <w:lang w:val="en-US"/>
              </w:rPr>
              <w:t xml:space="preserve"> </w:t>
            </w:r>
          </w:p>
          <w:p w14:paraId="3D4CD663" w14:textId="16CA3081" w:rsidR="00DB0ED0" w:rsidRPr="00DB0ED0" w:rsidRDefault="00DB0ED0" w:rsidP="00DB0ED0">
            <w:pPr>
              <w:contextualSpacing/>
              <w:jc w:val="center"/>
              <w:rPr>
                <w:rFonts w:asciiTheme="minorHAnsi" w:hAnsiTheme="minorHAnsi" w:cstheme="minorHAnsi"/>
                <w:bCs/>
                <w:sz w:val="18"/>
                <w:szCs w:val="18"/>
                <w:lang w:val="en-US"/>
              </w:rPr>
            </w:pPr>
            <w:r w:rsidRPr="00DB0ED0">
              <w:rPr>
                <w:rFonts w:asciiTheme="minorHAnsi" w:hAnsiTheme="minorHAnsi" w:cstheme="minorHAnsi"/>
                <w:bCs/>
                <w:sz w:val="18"/>
                <w:szCs w:val="18"/>
                <w:lang w:val="en-US"/>
              </w:rPr>
              <w:t>Novartis Pharmaceuticals</w:t>
            </w:r>
          </w:p>
        </w:tc>
        <w:tc>
          <w:tcPr>
            <w:tcW w:w="1243" w:type="pct"/>
            <w:tcBorders>
              <w:top w:val="single" w:sz="4" w:space="0" w:color="auto"/>
              <w:left w:val="nil"/>
              <w:bottom w:val="single" w:sz="4" w:space="0" w:color="auto"/>
              <w:right w:val="single" w:sz="4" w:space="0" w:color="auto"/>
            </w:tcBorders>
            <w:shd w:val="clear" w:color="auto" w:fill="auto"/>
            <w:vAlign w:val="center"/>
          </w:tcPr>
          <w:p w14:paraId="47C956A7" w14:textId="3A06D519" w:rsidR="00DB0ED0" w:rsidRPr="00DB0ED0" w:rsidRDefault="00DB0ED0" w:rsidP="00DB0ED0">
            <w:pPr>
              <w:widowControl w:val="0"/>
              <w:spacing w:after="120"/>
              <w:jc w:val="center"/>
              <w:rPr>
                <w:rFonts w:asciiTheme="minorHAnsi" w:hAnsiTheme="minorHAnsi" w:cstheme="minorHAnsi"/>
                <w:bCs/>
                <w:sz w:val="18"/>
                <w:szCs w:val="18"/>
              </w:rPr>
            </w:pPr>
            <w:r w:rsidRPr="00DB0ED0">
              <w:rPr>
                <w:rFonts w:asciiTheme="minorHAnsi" w:hAnsiTheme="minorHAnsi" w:cstheme="minorHAnsi"/>
                <w:bCs/>
                <w:sz w:val="18"/>
                <w:szCs w:val="18"/>
              </w:rPr>
              <w:t>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120E1179" w14:textId="28F0A728"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0C10967" w14:textId="3053EB49"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March 2015 recommendation could be revoked as other forms of the same strength product were available on the PBS (the pre-filled pen 150 mg/mL, which was recommended at the same meeting, ha</w:t>
            </w:r>
            <w:r w:rsidR="006443DD">
              <w:rPr>
                <w:rFonts w:asciiTheme="minorHAnsi" w:hAnsiTheme="minorHAnsi" w:cstheme="minorHAnsi"/>
                <w:sz w:val="18"/>
                <w:szCs w:val="18"/>
              </w:rPr>
              <w:t>ve</w:t>
            </w:r>
            <w:r w:rsidRPr="002F3A0F">
              <w:rPr>
                <w:rFonts w:asciiTheme="minorHAnsi" w:hAnsiTheme="minorHAnsi" w:cstheme="minorHAnsi"/>
                <w:sz w:val="18"/>
                <w:szCs w:val="18"/>
              </w:rPr>
              <w:t xml:space="preserve"> been PBS listed).</w:t>
            </w:r>
          </w:p>
        </w:tc>
      </w:tr>
      <w:tr w:rsidR="00DB0ED0" w:rsidRPr="00567D48" w14:paraId="27E5D3F6"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329E2C5" w14:textId="33F9C38D"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t>SEVELAMER</w:t>
            </w:r>
          </w:p>
          <w:p w14:paraId="0FCFCEC5" w14:textId="77777777" w:rsidR="00264650" w:rsidRPr="00DB0ED0" w:rsidRDefault="00264650" w:rsidP="00DB0ED0">
            <w:pPr>
              <w:contextualSpacing/>
              <w:jc w:val="center"/>
              <w:rPr>
                <w:rFonts w:asciiTheme="minorHAnsi" w:hAnsiTheme="minorHAnsi" w:cstheme="minorHAnsi"/>
                <w:sz w:val="18"/>
                <w:szCs w:val="18"/>
              </w:rPr>
            </w:pPr>
          </w:p>
          <w:p w14:paraId="68ED6C5E" w14:textId="323C072D"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Sachet 2.4 g</w:t>
            </w:r>
          </w:p>
          <w:p w14:paraId="43EC183F" w14:textId="77777777" w:rsidR="00264650" w:rsidRPr="00DB0ED0" w:rsidRDefault="00264650" w:rsidP="00DB0ED0">
            <w:pPr>
              <w:contextualSpacing/>
              <w:jc w:val="center"/>
              <w:rPr>
                <w:rFonts w:asciiTheme="minorHAnsi" w:hAnsiTheme="minorHAnsi" w:cstheme="minorHAnsi"/>
                <w:sz w:val="18"/>
                <w:szCs w:val="18"/>
              </w:rPr>
            </w:pPr>
          </w:p>
          <w:p w14:paraId="776332F4" w14:textId="536B0CFD" w:rsidR="00DB0ED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Renvela</w:t>
            </w:r>
            <w:proofErr w:type="spellEnd"/>
            <w:r w:rsidRPr="00DB0ED0">
              <w:rPr>
                <w:rFonts w:asciiTheme="minorHAnsi" w:hAnsiTheme="minorHAnsi" w:cstheme="minorHAnsi"/>
                <w:sz w:val="18"/>
                <w:szCs w:val="18"/>
              </w:rPr>
              <w:t>®</w:t>
            </w:r>
          </w:p>
          <w:p w14:paraId="4CDE3986" w14:textId="77777777" w:rsidR="00264650" w:rsidRPr="00DB0ED0" w:rsidRDefault="00264650" w:rsidP="00DB0ED0">
            <w:pPr>
              <w:contextualSpacing/>
              <w:jc w:val="center"/>
              <w:rPr>
                <w:rFonts w:asciiTheme="minorHAnsi" w:hAnsiTheme="minorHAnsi" w:cstheme="minorHAnsi"/>
                <w:sz w:val="18"/>
                <w:szCs w:val="18"/>
              </w:rPr>
            </w:pPr>
          </w:p>
          <w:p w14:paraId="6EF667E5" w14:textId="670AE616"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DFCA204" w14:textId="75BDC244" w:rsidR="00DB0ED0" w:rsidRPr="00DB0ED0" w:rsidRDefault="00DB0ED0" w:rsidP="00DB0ED0">
            <w:pPr>
              <w:widowControl w:val="0"/>
              <w:spacing w:after="120"/>
              <w:jc w:val="center"/>
              <w:rPr>
                <w:rFonts w:asciiTheme="minorHAnsi" w:hAnsiTheme="minorHAnsi" w:cstheme="minorHAnsi"/>
                <w:bCs/>
                <w:sz w:val="18"/>
                <w:szCs w:val="18"/>
              </w:rPr>
            </w:pPr>
            <w:proofErr w:type="spellStart"/>
            <w:r w:rsidRPr="00DB0ED0">
              <w:rPr>
                <w:rFonts w:asciiTheme="minorHAnsi" w:hAnsiTheme="minorHAnsi" w:cstheme="minorHAnsi"/>
                <w:bCs/>
                <w:sz w:val="18"/>
                <w:szCs w:val="18"/>
              </w:rPr>
              <w:t>Hyperphosphataemia</w:t>
            </w:r>
            <w:proofErr w:type="spellEnd"/>
            <w:r w:rsidRPr="00DB0ED0">
              <w:rPr>
                <w:rFonts w:asciiTheme="minorHAnsi" w:hAnsiTheme="minorHAnsi" w:cstheme="minorHAnsi"/>
                <w:bCs/>
                <w:sz w:val="18"/>
                <w:szCs w:val="18"/>
              </w:rPr>
              <w:t xml:space="preserve"> in patients undergoing dialysis for chronic kidney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5FE06DF6" w14:textId="33497882"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FE74F9B" w14:textId="7AE6033C"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November 2017 recommendation be revoked.</w:t>
            </w:r>
          </w:p>
        </w:tc>
      </w:tr>
      <w:tr w:rsidR="00DB0ED0" w:rsidRPr="00567D48" w14:paraId="6C82B786" w14:textId="77777777" w:rsidTr="00D5001E">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BD2AA76" w14:textId="0451ADF0" w:rsidR="00DB0ED0" w:rsidRDefault="00DB0ED0" w:rsidP="00DB0ED0">
            <w:pPr>
              <w:contextualSpacing/>
              <w:jc w:val="center"/>
              <w:rPr>
                <w:rFonts w:asciiTheme="minorHAnsi" w:hAnsiTheme="minorHAnsi" w:cstheme="minorHAnsi"/>
                <w:sz w:val="18"/>
                <w:szCs w:val="18"/>
              </w:rPr>
            </w:pPr>
            <w:r w:rsidRPr="009A2F67">
              <w:rPr>
                <w:rFonts w:asciiTheme="minorHAnsi" w:hAnsiTheme="minorHAnsi" w:cstheme="minorHAnsi"/>
                <w:sz w:val="18"/>
                <w:szCs w:val="18"/>
              </w:rPr>
              <w:lastRenderedPageBreak/>
              <w:t>TENOFOVIR ALAFENAMIDE</w:t>
            </w:r>
          </w:p>
          <w:p w14:paraId="4C8A8503" w14:textId="77777777" w:rsidR="00264650" w:rsidRPr="00DB0ED0" w:rsidRDefault="00264650" w:rsidP="00DB0ED0">
            <w:pPr>
              <w:contextualSpacing/>
              <w:jc w:val="center"/>
              <w:rPr>
                <w:rFonts w:asciiTheme="minorHAnsi" w:hAnsiTheme="minorHAnsi" w:cstheme="minorHAnsi"/>
                <w:sz w:val="18"/>
                <w:szCs w:val="18"/>
              </w:rPr>
            </w:pPr>
          </w:p>
          <w:p w14:paraId="2BE218CE" w14:textId="791DA019" w:rsid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Tablet 25 mg</w:t>
            </w:r>
          </w:p>
          <w:p w14:paraId="0093E163" w14:textId="77777777" w:rsidR="00264650" w:rsidRPr="00DB0ED0" w:rsidRDefault="00264650" w:rsidP="00DB0ED0">
            <w:pPr>
              <w:contextualSpacing/>
              <w:jc w:val="center"/>
              <w:rPr>
                <w:rFonts w:asciiTheme="minorHAnsi" w:hAnsiTheme="minorHAnsi" w:cstheme="minorHAnsi"/>
                <w:sz w:val="18"/>
                <w:szCs w:val="18"/>
              </w:rPr>
            </w:pPr>
          </w:p>
          <w:p w14:paraId="09F53701" w14:textId="77777777" w:rsidR="00264650" w:rsidRDefault="00DB0ED0" w:rsidP="00DB0ED0">
            <w:pPr>
              <w:contextualSpacing/>
              <w:jc w:val="center"/>
              <w:rPr>
                <w:rFonts w:asciiTheme="minorHAnsi" w:hAnsiTheme="minorHAnsi" w:cstheme="minorHAnsi"/>
                <w:sz w:val="18"/>
                <w:szCs w:val="18"/>
              </w:rPr>
            </w:pPr>
            <w:proofErr w:type="spellStart"/>
            <w:r w:rsidRPr="00DB0ED0">
              <w:rPr>
                <w:rFonts w:asciiTheme="minorHAnsi" w:hAnsiTheme="minorHAnsi" w:cstheme="minorHAnsi"/>
                <w:sz w:val="18"/>
                <w:szCs w:val="18"/>
              </w:rPr>
              <w:t>Vemlidy</w:t>
            </w:r>
            <w:proofErr w:type="spellEnd"/>
            <w:r w:rsidRPr="00DB0ED0">
              <w:rPr>
                <w:rFonts w:asciiTheme="minorHAnsi" w:hAnsiTheme="minorHAnsi" w:cstheme="minorHAnsi"/>
                <w:sz w:val="18"/>
                <w:szCs w:val="18"/>
              </w:rPr>
              <w:t>®</w:t>
            </w:r>
          </w:p>
          <w:p w14:paraId="1BDE698F" w14:textId="443A41A5"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 xml:space="preserve"> </w:t>
            </w:r>
          </w:p>
          <w:p w14:paraId="6977EC2F" w14:textId="134562D7" w:rsidR="00DB0ED0" w:rsidRPr="00DB0ED0" w:rsidRDefault="00DB0ED0" w:rsidP="00DB0ED0">
            <w:pPr>
              <w:contextualSpacing/>
              <w:jc w:val="center"/>
              <w:rPr>
                <w:rFonts w:asciiTheme="minorHAnsi" w:hAnsiTheme="minorHAnsi" w:cstheme="minorHAnsi"/>
                <w:sz w:val="18"/>
                <w:szCs w:val="18"/>
              </w:rPr>
            </w:pPr>
            <w:r w:rsidRPr="00DB0ED0">
              <w:rPr>
                <w:rFonts w:asciiTheme="minorHAnsi" w:hAnsiTheme="minorHAnsi" w:cstheme="minorHAnsi"/>
                <w:sz w:val="18"/>
                <w:szCs w:val="18"/>
              </w:rPr>
              <w:t>Gilead Sciences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8ACB55F" w14:textId="6AD1D3B7" w:rsidR="00DB0ED0" w:rsidRPr="00DB0ED0" w:rsidRDefault="00DB0ED0" w:rsidP="00DB0ED0">
            <w:pPr>
              <w:widowControl w:val="0"/>
              <w:spacing w:after="120"/>
              <w:jc w:val="center"/>
              <w:rPr>
                <w:rFonts w:asciiTheme="minorHAnsi" w:hAnsiTheme="minorHAnsi" w:cstheme="minorHAnsi"/>
                <w:bCs/>
                <w:sz w:val="18"/>
                <w:szCs w:val="18"/>
              </w:rPr>
            </w:pPr>
            <w:r w:rsidRPr="00DB0ED0">
              <w:rPr>
                <w:rFonts w:asciiTheme="minorHAnsi" w:hAnsiTheme="minorHAnsi" w:cstheme="minorHAnsi"/>
                <w:bCs/>
                <w:sz w:val="18"/>
                <w:szCs w:val="18"/>
              </w:rPr>
              <w:t>Hepatitis B</w:t>
            </w:r>
          </w:p>
        </w:tc>
        <w:tc>
          <w:tcPr>
            <w:tcW w:w="1197" w:type="pct"/>
            <w:tcBorders>
              <w:top w:val="single" w:sz="4" w:space="0" w:color="auto"/>
              <w:left w:val="nil"/>
              <w:bottom w:val="single" w:sz="4" w:space="0" w:color="auto"/>
              <w:right w:val="single" w:sz="4" w:space="0" w:color="auto"/>
            </w:tcBorders>
            <w:shd w:val="clear" w:color="auto" w:fill="auto"/>
            <w:vAlign w:val="center"/>
          </w:tcPr>
          <w:p w14:paraId="54B6BF5F" w14:textId="24A0D7F0" w:rsidR="00DB0ED0" w:rsidRPr="00D5001E" w:rsidRDefault="00DB0ED0" w:rsidP="00DB0ED0">
            <w:pPr>
              <w:widowControl w:val="0"/>
              <w:spacing w:after="120"/>
              <w:jc w:val="center"/>
              <w:rPr>
                <w:rFonts w:asciiTheme="minorHAnsi" w:hAnsiTheme="minorHAnsi" w:cstheme="minorHAnsi"/>
                <w:sz w:val="18"/>
                <w:szCs w:val="18"/>
              </w:rPr>
            </w:pPr>
            <w:r w:rsidRPr="00D500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1D892C1" w14:textId="53883AF8" w:rsidR="00DB0ED0" w:rsidRPr="00D5001E" w:rsidRDefault="002F3A0F" w:rsidP="00DB0ED0">
            <w:pPr>
              <w:widowControl w:val="0"/>
              <w:spacing w:after="120"/>
              <w:jc w:val="center"/>
              <w:rPr>
                <w:rFonts w:asciiTheme="minorHAnsi" w:hAnsiTheme="minorHAnsi" w:cstheme="minorHAnsi"/>
                <w:sz w:val="18"/>
                <w:szCs w:val="18"/>
              </w:rPr>
            </w:pPr>
            <w:r w:rsidRPr="002F3A0F">
              <w:rPr>
                <w:rFonts w:asciiTheme="minorHAnsi" w:hAnsiTheme="minorHAnsi" w:cstheme="minorHAnsi"/>
                <w:sz w:val="18"/>
                <w:szCs w:val="18"/>
              </w:rPr>
              <w:t>The PBAC advised that the March 2017 recommendation could be revoked, noting that the recommendation was over 5 years old and there had been no progression towards listing.</w:t>
            </w:r>
          </w:p>
        </w:tc>
      </w:tr>
    </w:tbl>
    <w:p w14:paraId="2FD4C11F" w14:textId="7EA68E21" w:rsidR="00FB3935" w:rsidRDefault="00FB3935"/>
    <w:p w14:paraId="56A78172" w14:textId="77777777" w:rsidR="00FB3935" w:rsidRDefault="00FB3935">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FB3935" w:rsidRPr="00062FEE" w14:paraId="187CE595" w14:textId="77777777" w:rsidTr="00BF3885">
        <w:trPr>
          <w:cantSplit/>
          <w:trHeight w:val="58"/>
          <w:tblHeader/>
        </w:trPr>
        <w:tc>
          <w:tcPr>
            <w:tcW w:w="873" w:type="pct"/>
            <w:shd w:val="clear" w:color="auto" w:fill="auto"/>
          </w:tcPr>
          <w:p w14:paraId="6F66CD5B"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lastRenderedPageBreak/>
              <w:t>DRUG NAME, FORM(S), STRENGTH(S), SPONSOR, TYPE OF SUBMISSION</w:t>
            </w:r>
          </w:p>
        </w:tc>
        <w:tc>
          <w:tcPr>
            <w:tcW w:w="552" w:type="pct"/>
            <w:shd w:val="clear" w:color="auto" w:fill="auto"/>
          </w:tcPr>
          <w:p w14:paraId="55E10016"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t>DRUG TYPE AND USE</w:t>
            </w:r>
          </w:p>
          <w:p w14:paraId="33CD38B7" w14:textId="77777777" w:rsidR="00FB3935" w:rsidRPr="00062FEE" w:rsidRDefault="00FB3935" w:rsidP="00F3265E">
            <w:pPr>
              <w:keepLines/>
              <w:widowControl w:val="0"/>
              <w:spacing w:after="120"/>
              <w:jc w:val="center"/>
              <w:rPr>
                <w:rFonts w:asciiTheme="minorHAnsi" w:hAnsiTheme="minorHAnsi" w:cs="Arial"/>
                <w:b/>
              </w:rPr>
            </w:pPr>
          </w:p>
        </w:tc>
        <w:tc>
          <w:tcPr>
            <w:tcW w:w="922" w:type="pct"/>
            <w:shd w:val="clear" w:color="auto" w:fill="auto"/>
          </w:tcPr>
          <w:p w14:paraId="63058D75" w14:textId="77777777" w:rsidR="00FB3935" w:rsidRPr="00062FEE" w:rsidRDefault="00FB3935" w:rsidP="00F3265E">
            <w:pPr>
              <w:keepLines/>
              <w:widowControl w:val="0"/>
              <w:spacing w:after="120"/>
              <w:jc w:val="center"/>
              <w:rPr>
                <w:rFonts w:asciiTheme="minorHAnsi" w:hAnsiTheme="minorHAnsi" w:cs="Arial"/>
                <w:b/>
              </w:rPr>
            </w:pPr>
            <w:r w:rsidRPr="00062FEE">
              <w:rPr>
                <w:rFonts w:asciiTheme="minorHAnsi" w:hAnsiTheme="minorHAnsi" w:cs="Arial"/>
                <w:b/>
              </w:rPr>
              <w:t>LISTING REQUESTED BY SPONSOR / PURPOSE OF SUBMISSION</w:t>
            </w:r>
          </w:p>
        </w:tc>
        <w:tc>
          <w:tcPr>
            <w:tcW w:w="2653" w:type="pct"/>
            <w:shd w:val="clear" w:color="auto" w:fill="auto"/>
          </w:tcPr>
          <w:p w14:paraId="6710BE8F" w14:textId="77777777" w:rsidR="00FB3935" w:rsidRPr="00062FEE" w:rsidRDefault="00FB3935" w:rsidP="00F3265E">
            <w:pPr>
              <w:keepLines/>
              <w:spacing w:after="120"/>
              <w:jc w:val="center"/>
              <w:rPr>
                <w:rFonts w:asciiTheme="minorHAnsi" w:hAnsiTheme="minorHAnsi" w:cs="Arial"/>
                <w:b/>
              </w:rPr>
            </w:pPr>
            <w:r w:rsidRPr="00062FEE">
              <w:rPr>
                <w:rFonts w:asciiTheme="minorHAnsi" w:hAnsiTheme="minorHAnsi" w:cs="Arial"/>
                <w:b/>
              </w:rPr>
              <w:t>PBAC OUTCOME</w:t>
            </w:r>
          </w:p>
          <w:p w14:paraId="086B53DC" w14:textId="77777777" w:rsidR="00FB3935" w:rsidRPr="00062FEE" w:rsidRDefault="00FB3935" w:rsidP="00F3265E">
            <w:pPr>
              <w:keepLines/>
              <w:spacing w:after="120"/>
              <w:jc w:val="center"/>
              <w:rPr>
                <w:rFonts w:asciiTheme="minorHAnsi" w:hAnsiTheme="minorHAnsi" w:cs="Arial"/>
                <w:b/>
              </w:rPr>
            </w:pPr>
          </w:p>
        </w:tc>
      </w:tr>
      <w:tr w:rsidR="00E902E8" w:rsidRPr="00062FEE" w14:paraId="19E14290" w14:textId="77777777" w:rsidTr="007C7F59">
        <w:trPr>
          <w:cantSplit/>
          <w:trHeight w:val="1644"/>
        </w:trPr>
        <w:tc>
          <w:tcPr>
            <w:tcW w:w="873" w:type="pct"/>
            <w:shd w:val="clear" w:color="auto" w:fill="auto"/>
            <w:vAlign w:val="center"/>
          </w:tcPr>
          <w:p w14:paraId="4B4D4E7E" w14:textId="15A6A87E" w:rsidR="00E902E8" w:rsidRDefault="00E902E8" w:rsidP="00E902E8">
            <w:pPr>
              <w:jc w:val="center"/>
              <w:rPr>
                <w:rFonts w:asciiTheme="minorHAnsi" w:hAnsiTheme="minorHAnsi" w:cstheme="minorHAnsi"/>
                <w:sz w:val="18"/>
                <w:szCs w:val="18"/>
              </w:rPr>
            </w:pPr>
            <w:r>
              <w:rPr>
                <w:rFonts w:asciiTheme="minorHAnsi" w:hAnsiTheme="minorHAnsi" w:cstheme="minorHAnsi"/>
                <w:sz w:val="18"/>
                <w:szCs w:val="18"/>
              </w:rPr>
              <w:t>Correspondence from the Renal Society of Australia regarding n</w:t>
            </w:r>
            <w:r w:rsidRPr="00E902E8">
              <w:rPr>
                <w:rFonts w:asciiTheme="minorHAnsi" w:hAnsiTheme="minorHAnsi" w:cstheme="minorHAnsi"/>
                <w:sz w:val="18"/>
                <w:szCs w:val="18"/>
              </w:rPr>
              <w:t>urse practitioner prescribing of erythropoietin stimulating agents (ESAs)</w:t>
            </w:r>
          </w:p>
          <w:p w14:paraId="359AB6E0" w14:textId="77777777" w:rsidR="00E902E8" w:rsidRDefault="00E902E8" w:rsidP="00E902E8">
            <w:pPr>
              <w:jc w:val="center"/>
              <w:rPr>
                <w:rFonts w:asciiTheme="minorHAnsi" w:hAnsiTheme="minorHAnsi" w:cstheme="minorHAnsi"/>
                <w:sz w:val="18"/>
                <w:szCs w:val="18"/>
              </w:rPr>
            </w:pPr>
          </w:p>
          <w:p w14:paraId="68D7BA5A" w14:textId="77777777" w:rsidR="00E902E8" w:rsidRPr="00E902E8" w:rsidRDefault="00E902E8" w:rsidP="00E902E8">
            <w:pPr>
              <w:jc w:val="center"/>
              <w:rPr>
                <w:rFonts w:asciiTheme="minorHAnsi" w:hAnsiTheme="minorHAnsi" w:cstheme="minorHAnsi"/>
                <w:sz w:val="18"/>
                <w:szCs w:val="18"/>
              </w:rPr>
            </w:pPr>
            <w:r w:rsidRPr="00E902E8">
              <w:rPr>
                <w:rFonts w:asciiTheme="minorHAnsi" w:hAnsiTheme="minorHAnsi" w:cstheme="minorHAnsi"/>
                <w:sz w:val="18"/>
                <w:szCs w:val="18"/>
              </w:rPr>
              <w:t xml:space="preserve">DARBEPOETIN ALFA </w:t>
            </w:r>
          </w:p>
          <w:p w14:paraId="371503BC" w14:textId="77777777" w:rsidR="00E902E8" w:rsidRPr="00E902E8" w:rsidRDefault="00E902E8" w:rsidP="00E902E8">
            <w:pPr>
              <w:jc w:val="center"/>
              <w:rPr>
                <w:rFonts w:asciiTheme="minorHAnsi" w:hAnsiTheme="minorHAnsi" w:cstheme="minorHAnsi"/>
                <w:sz w:val="18"/>
                <w:szCs w:val="18"/>
              </w:rPr>
            </w:pPr>
            <w:r w:rsidRPr="00E902E8">
              <w:rPr>
                <w:rFonts w:asciiTheme="minorHAnsi" w:hAnsiTheme="minorHAnsi" w:cstheme="minorHAnsi"/>
                <w:sz w:val="18"/>
                <w:szCs w:val="18"/>
              </w:rPr>
              <w:t xml:space="preserve">EPOETIN ALFA </w:t>
            </w:r>
          </w:p>
          <w:p w14:paraId="3C3D127F" w14:textId="77777777" w:rsidR="00E902E8" w:rsidRPr="00E902E8" w:rsidRDefault="00E902E8" w:rsidP="00E902E8">
            <w:pPr>
              <w:jc w:val="center"/>
              <w:rPr>
                <w:rFonts w:asciiTheme="minorHAnsi" w:hAnsiTheme="minorHAnsi" w:cstheme="minorHAnsi"/>
                <w:sz w:val="18"/>
                <w:szCs w:val="18"/>
              </w:rPr>
            </w:pPr>
            <w:r w:rsidRPr="00E902E8">
              <w:rPr>
                <w:rFonts w:asciiTheme="minorHAnsi" w:hAnsiTheme="minorHAnsi" w:cstheme="minorHAnsi"/>
                <w:sz w:val="18"/>
                <w:szCs w:val="18"/>
              </w:rPr>
              <w:t>EPOETIN BETA</w:t>
            </w:r>
          </w:p>
          <w:p w14:paraId="0DFB6BC1" w14:textId="77777777" w:rsidR="00E902E8" w:rsidRPr="00E902E8" w:rsidRDefault="00E902E8" w:rsidP="00E902E8">
            <w:pPr>
              <w:jc w:val="center"/>
              <w:rPr>
                <w:rFonts w:asciiTheme="minorHAnsi" w:hAnsiTheme="minorHAnsi" w:cstheme="minorHAnsi"/>
                <w:sz w:val="18"/>
                <w:szCs w:val="18"/>
              </w:rPr>
            </w:pPr>
            <w:r w:rsidRPr="00E902E8">
              <w:rPr>
                <w:rFonts w:asciiTheme="minorHAnsi" w:hAnsiTheme="minorHAnsi" w:cstheme="minorHAnsi"/>
                <w:sz w:val="18"/>
                <w:szCs w:val="18"/>
              </w:rPr>
              <w:t>EPOETIN LAMBDA</w:t>
            </w:r>
          </w:p>
          <w:p w14:paraId="48D2B464" w14:textId="016187E2" w:rsidR="00E902E8" w:rsidRDefault="00E902E8" w:rsidP="00E902E8">
            <w:pPr>
              <w:jc w:val="center"/>
              <w:rPr>
                <w:rFonts w:asciiTheme="minorHAnsi" w:hAnsiTheme="minorHAnsi" w:cstheme="minorHAnsi"/>
                <w:sz w:val="18"/>
                <w:szCs w:val="18"/>
              </w:rPr>
            </w:pPr>
            <w:r w:rsidRPr="00E902E8">
              <w:rPr>
                <w:rFonts w:asciiTheme="minorHAnsi" w:hAnsiTheme="minorHAnsi" w:cstheme="minorHAnsi"/>
                <w:sz w:val="18"/>
                <w:szCs w:val="18"/>
              </w:rPr>
              <w:t>METHOXY POLYETHYLENE GLYCOL-EPOETIN BETA</w:t>
            </w:r>
          </w:p>
          <w:p w14:paraId="0980B99B" w14:textId="6FC913B5" w:rsidR="00E902E8" w:rsidRPr="000A6103" w:rsidRDefault="00E902E8" w:rsidP="007C7F59">
            <w:pPr>
              <w:rPr>
                <w:rFonts w:asciiTheme="minorHAnsi" w:hAnsiTheme="minorHAnsi" w:cstheme="minorHAnsi"/>
                <w:sz w:val="18"/>
                <w:szCs w:val="18"/>
              </w:rPr>
            </w:pPr>
          </w:p>
        </w:tc>
        <w:tc>
          <w:tcPr>
            <w:tcW w:w="552" w:type="pct"/>
            <w:shd w:val="clear" w:color="auto" w:fill="auto"/>
            <w:vAlign w:val="center"/>
          </w:tcPr>
          <w:p w14:paraId="340BCA8C" w14:textId="0B669133" w:rsidR="00E902E8" w:rsidRDefault="00E902E8" w:rsidP="00810D65">
            <w:pPr>
              <w:jc w:val="center"/>
              <w:rPr>
                <w:rFonts w:asciiTheme="minorHAnsi" w:hAnsiTheme="minorHAnsi" w:cstheme="minorHAnsi"/>
                <w:sz w:val="18"/>
                <w:szCs w:val="18"/>
              </w:rPr>
            </w:pPr>
            <w:r>
              <w:rPr>
                <w:rFonts w:asciiTheme="minorHAnsi" w:hAnsiTheme="minorHAnsi" w:cstheme="minorHAnsi"/>
                <w:sz w:val="18"/>
                <w:szCs w:val="18"/>
              </w:rPr>
              <w:t>ESAs currently listed on the Highly Specialised Drugs Program</w:t>
            </w:r>
          </w:p>
          <w:p w14:paraId="78DCF6D7" w14:textId="77777777" w:rsidR="00E902E8" w:rsidRDefault="00E902E8" w:rsidP="00810D65">
            <w:pPr>
              <w:jc w:val="center"/>
              <w:rPr>
                <w:rFonts w:asciiTheme="minorHAnsi" w:hAnsiTheme="minorHAnsi" w:cstheme="minorHAnsi"/>
                <w:sz w:val="18"/>
                <w:szCs w:val="18"/>
              </w:rPr>
            </w:pPr>
          </w:p>
          <w:p w14:paraId="2A5D2914" w14:textId="782AF806" w:rsidR="00E902E8" w:rsidRPr="00861E55" w:rsidRDefault="00E902E8" w:rsidP="00810D65">
            <w:pPr>
              <w:jc w:val="center"/>
              <w:rPr>
                <w:rFonts w:asciiTheme="minorHAnsi" w:hAnsiTheme="minorHAnsi" w:cstheme="minorHAnsi"/>
                <w:sz w:val="18"/>
                <w:szCs w:val="18"/>
              </w:rPr>
            </w:pPr>
            <w:r>
              <w:rPr>
                <w:rFonts w:asciiTheme="minorHAnsi" w:hAnsiTheme="minorHAnsi" w:cstheme="minorHAnsi"/>
                <w:sz w:val="18"/>
                <w:szCs w:val="18"/>
              </w:rPr>
              <w:t>C</w:t>
            </w:r>
            <w:r w:rsidRPr="00E902E8">
              <w:rPr>
                <w:rFonts w:asciiTheme="minorHAnsi" w:hAnsiTheme="minorHAnsi" w:cstheme="minorHAnsi"/>
                <w:sz w:val="18"/>
                <w:szCs w:val="18"/>
              </w:rPr>
              <w:t>hronic anaemia in patients with chronic kidney disease</w:t>
            </w:r>
          </w:p>
        </w:tc>
        <w:tc>
          <w:tcPr>
            <w:tcW w:w="922" w:type="pct"/>
            <w:shd w:val="clear" w:color="auto" w:fill="auto"/>
            <w:vAlign w:val="center"/>
          </w:tcPr>
          <w:p w14:paraId="52FDBFD4" w14:textId="174C67F1" w:rsidR="00E902E8" w:rsidRPr="002F3A0F" w:rsidRDefault="00E902E8" w:rsidP="00810D65">
            <w:pPr>
              <w:jc w:val="center"/>
              <w:rPr>
                <w:rFonts w:asciiTheme="minorHAnsi" w:hAnsiTheme="minorHAnsi" w:cstheme="minorHAnsi"/>
                <w:bCs/>
                <w:snapToGrid w:val="0"/>
                <w:color w:val="000000"/>
                <w:sz w:val="18"/>
                <w:szCs w:val="18"/>
              </w:rPr>
            </w:pPr>
            <w:r>
              <w:rPr>
                <w:rFonts w:asciiTheme="minorHAnsi" w:hAnsiTheme="minorHAnsi" w:cstheme="minorHAnsi"/>
                <w:bCs/>
                <w:snapToGrid w:val="0"/>
                <w:color w:val="000000"/>
                <w:sz w:val="18"/>
                <w:szCs w:val="18"/>
              </w:rPr>
              <w:t>To request nurse practitioner prescribing of ESAs for treatment of chronic anaemia in patients with chronic kidney disease</w:t>
            </w:r>
          </w:p>
        </w:tc>
        <w:tc>
          <w:tcPr>
            <w:tcW w:w="2653" w:type="pct"/>
            <w:shd w:val="clear" w:color="auto" w:fill="auto"/>
            <w:vAlign w:val="center"/>
          </w:tcPr>
          <w:p w14:paraId="6BB50081" w14:textId="5AFB6653" w:rsidR="00E902E8" w:rsidRPr="008F345A" w:rsidRDefault="00E902E8" w:rsidP="007C7F59">
            <w:pPr>
              <w:pStyle w:val="Default"/>
              <w:rPr>
                <w:rFonts w:asciiTheme="minorHAnsi" w:hAnsiTheme="minorHAnsi" w:cstheme="minorHAnsi"/>
                <w:bCs/>
                <w:sz w:val="18"/>
                <w:szCs w:val="18"/>
              </w:rPr>
            </w:pPr>
            <w:r w:rsidRPr="00E902E8">
              <w:rPr>
                <w:rFonts w:asciiTheme="minorHAnsi" w:hAnsiTheme="minorHAnsi" w:cstheme="minorHAnsi"/>
                <w:bCs/>
                <w:sz w:val="18"/>
                <w:szCs w:val="18"/>
              </w:rPr>
              <w:t xml:space="preserve">The PBAC considered correspondence from the Renal Society of Australia and recommended that nurse practitioners be eligible to prescribe </w:t>
            </w:r>
            <w:r w:rsidR="00E32E22">
              <w:rPr>
                <w:rFonts w:asciiTheme="minorHAnsi" w:hAnsiTheme="minorHAnsi" w:cstheme="minorHAnsi"/>
                <w:bCs/>
                <w:sz w:val="18"/>
                <w:szCs w:val="18"/>
              </w:rPr>
              <w:t>ESAs</w:t>
            </w:r>
            <w:r w:rsidRPr="00E902E8">
              <w:rPr>
                <w:rFonts w:asciiTheme="minorHAnsi" w:hAnsiTheme="minorHAnsi" w:cstheme="minorHAnsi"/>
                <w:bCs/>
                <w:sz w:val="18"/>
                <w:szCs w:val="18"/>
              </w:rPr>
              <w:t xml:space="preserve"> under the S100 Highly Specialised Drugs program on the P</w:t>
            </w:r>
            <w:r w:rsidR="00E32E22">
              <w:rPr>
                <w:rFonts w:asciiTheme="minorHAnsi" w:hAnsiTheme="minorHAnsi" w:cstheme="minorHAnsi"/>
                <w:bCs/>
                <w:sz w:val="18"/>
                <w:szCs w:val="18"/>
              </w:rPr>
              <w:t>BS</w:t>
            </w:r>
            <w:r w:rsidRPr="00E902E8">
              <w:rPr>
                <w:rFonts w:asciiTheme="minorHAnsi" w:hAnsiTheme="minorHAnsi" w:cstheme="minorHAnsi"/>
                <w:bCs/>
                <w:sz w:val="18"/>
                <w:szCs w:val="18"/>
              </w:rPr>
              <w:t>.</w:t>
            </w:r>
          </w:p>
        </w:tc>
      </w:tr>
      <w:tr w:rsidR="00810D65" w:rsidRPr="00062FEE" w14:paraId="133806FA" w14:textId="77777777" w:rsidTr="00634871">
        <w:trPr>
          <w:cantSplit/>
          <w:trHeight w:val="58"/>
        </w:trPr>
        <w:tc>
          <w:tcPr>
            <w:tcW w:w="873" w:type="pct"/>
            <w:shd w:val="clear" w:color="auto" w:fill="auto"/>
            <w:vAlign w:val="center"/>
          </w:tcPr>
          <w:p w14:paraId="5BA0EB1E" w14:textId="77777777" w:rsidR="00810D65" w:rsidRPr="00FA69E5" w:rsidRDefault="00810D65" w:rsidP="00810D65">
            <w:pPr>
              <w:jc w:val="center"/>
              <w:rPr>
                <w:rFonts w:asciiTheme="minorHAnsi" w:hAnsiTheme="minorHAnsi" w:cstheme="minorHAnsi"/>
                <w:sz w:val="18"/>
                <w:szCs w:val="18"/>
              </w:rPr>
            </w:pPr>
            <w:r w:rsidRPr="000A6103">
              <w:rPr>
                <w:rFonts w:asciiTheme="minorHAnsi" w:hAnsiTheme="minorHAnsi" w:cstheme="minorHAnsi"/>
                <w:sz w:val="18"/>
                <w:szCs w:val="18"/>
              </w:rPr>
              <w:t>Cost-effectiveness Review (CER)</w:t>
            </w:r>
            <w:r w:rsidRPr="00810D65">
              <w:rPr>
                <w:rFonts w:asciiTheme="minorHAnsi" w:hAnsiTheme="minorHAnsi" w:cstheme="minorHAnsi"/>
                <w:sz w:val="18"/>
                <w:szCs w:val="18"/>
              </w:rPr>
              <w:t xml:space="preserve"> of GLP-1 analogues </w:t>
            </w:r>
          </w:p>
          <w:p w14:paraId="4768BE42" w14:textId="77777777" w:rsidR="00810D65" w:rsidRPr="000A6103" w:rsidRDefault="00810D65" w:rsidP="00810D65">
            <w:pPr>
              <w:jc w:val="center"/>
              <w:rPr>
                <w:rFonts w:asciiTheme="minorHAnsi" w:hAnsiTheme="minorHAnsi" w:cstheme="minorHAnsi"/>
                <w:sz w:val="18"/>
                <w:szCs w:val="18"/>
              </w:rPr>
            </w:pPr>
          </w:p>
          <w:p w14:paraId="1857B415" w14:textId="77777777" w:rsidR="00810D65" w:rsidRPr="00FA69E5" w:rsidRDefault="00810D65" w:rsidP="00810D65">
            <w:pPr>
              <w:jc w:val="center"/>
              <w:rPr>
                <w:rFonts w:asciiTheme="minorHAnsi" w:hAnsiTheme="minorHAnsi" w:cstheme="minorHAnsi"/>
                <w:sz w:val="18"/>
                <w:szCs w:val="18"/>
              </w:rPr>
            </w:pPr>
            <w:r w:rsidRPr="00FA69E5">
              <w:rPr>
                <w:rFonts w:asciiTheme="minorHAnsi" w:hAnsiTheme="minorHAnsi" w:cstheme="minorHAnsi"/>
                <w:sz w:val="18"/>
                <w:szCs w:val="18"/>
              </w:rPr>
              <w:t>EXANATIDE</w:t>
            </w:r>
          </w:p>
          <w:p w14:paraId="77A455C1" w14:textId="77777777" w:rsidR="00810D65" w:rsidRPr="00FA69E5" w:rsidRDefault="00810D65" w:rsidP="00810D65">
            <w:pPr>
              <w:jc w:val="center"/>
              <w:rPr>
                <w:rFonts w:asciiTheme="minorHAnsi" w:hAnsiTheme="minorHAnsi" w:cstheme="minorHAnsi"/>
                <w:sz w:val="18"/>
                <w:szCs w:val="18"/>
              </w:rPr>
            </w:pPr>
            <w:r w:rsidRPr="00FA69E5">
              <w:rPr>
                <w:rFonts w:asciiTheme="minorHAnsi" w:hAnsiTheme="minorHAnsi" w:cstheme="minorHAnsi"/>
                <w:sz w:val="18"/>
                <w:szCs w:val="18"/>
              </w:rPr>
              <w:t>DULAGLUTIDE</w:t>
            </w:r>
          </w:p>
          <w:p w14:paraId="767ABBEE" w14:textId="77777777" w:rsidR="00810D65" w:rsidRPr="002F3A0F" w:rsidRDefault="00810D65" w:rsidP="00810D65">
            <w:pPr>
              <w:jc w:val="center"/>
              <w:rPr>
                <w:rFonts w:asciiTheme="minorHAnsi" w:hAnsiTheme="minorHAnsi" w:cstheme="minorHAnsi"/>
                <w:sz w:val="18"/>
                <w:szCs w:val="18"/>
              </w:rPr>
            </w:pPr>
            <w:r w:rsidRPr="00FA69E5">
              <w:rPr>
                <w:rFonts w:asciiTheme="minorHAnsi" w:hAnsiTheme="minorHAnsi" w:cstheme="minorHAnsi"/>
                <w:sz w:val="18"/>
                <w:szCs w:val="18"/>
              </w:rPr>
              <w:t>SEMAGLUTIDE</w:t>
            </w:r>
          </w:p>
          <w:p w14:paraId="5D888C2D" w14:textId="77777777" w:rsidR="00810D65" w:rsidRPr="002F3A0F" w:rsidRDefault="00810D65" w:rsidP="00810D65">
            <w:pPr>
              <w:jc w:val="center"/>
              <w:rPr>
                <w:rFonts w:asciiTheme="minorHAnsi" w:hAnsiTheme="minorHAnsi" w:cstheme="minorHAnsi"/>
                <w:sz w:val="18"/>
                <w:szCs w:val="18"/>
              </w:rPr>
            </w:pPr>
          </w:p>
          <w:p w14:paraId="5A7677C8" w14:textId="77777777" w:rsidR="00810D65" w:rsidRPr="002F3A0F" w:rsidRDefault="00810D65" w:rsidP="00810D65">
            <w:pPr>
              <w:jc w:val="center"/>
              <w:rPr>
                <w:rFonts w:asciiTheme="minorHAnsi" w:hAnsiTheme="minorHAnsi" w:cstheme="minorHAnsi"/>
                <w:sz w:val="18"/>
                <w:szCs w:val="18"/>
              </w:rPr>
            </w:pPr>
            <w:r w:rsidRPr="002F3A0F">
              <w:rPr>
                <w:rFonts w:asciiTheme="minorHAnsi" w:hAnsiTheme="minorHAnsi" w:cstheme="minorHAnsi"/>
                <w:sz w:val="18"/>
                <w:szCs w:val="18"/>
              </w:rPr>
              <w:t>All brands and strengths</w:t>
            </w:r>
          </w:p>
          <w:p w14:paraId="0DDE20E8" w14:textId="77777777" w:rsidR="00810D65" w:rsidRPr="002F3A0F" w:rsidRDefault="00810D65" w:rsidP="00810D65">
            <w:pPr>
              <w:jc w:val="center"/>
              <w:rPr>
                <w:rFonts w:asciiTheme="minorHAnsi" w:hAnsiTheme="minorHAnsi" w:cstheme="minorHAnsi"/>
                <w:sz w:val="18"/>
                <w:szCs w:val="18"/>
              </w:rPr>
            </w:pPr>
          </w:p>
          <w:p w14:paraId="1DA11151" w14:textId="77777777" w:rsidR="00810D65" w:rsidRPr="002F3A0F" w:rsidRDefault="00810D65" w:rsidP="00810D65">
            <w:pPr>
              <w:jc w:val="center"/>
              <w:rPr>
                <w:rFonts w:asciiTheme="minorHAnsi" w:hAnsiTheme="minorHAnsi" w:cstheme="minorHAnsi"/>
                <w:sz w:val="18"/>
                <w:szCs w:val="18"/>
              </w:rPr>
            </w:pPr>
            <w:r w:rsidRPr="002F3A0F">
              <w:rPr>
                <w:rFonts w:asciiTheme="minorHAnsi" w:hAnsiTheme="minorHAnsi" w:cstheme="minorHAnsi"/>
                <w:sz w:val="18"/>
                <w:szCs w:val="18"/>
              </w:rPr>
              <w:t>AstraZeneca Pty Ltd</w:t>
            </w:r>
          </w:p>
          <w:p w14:paraId="47220A45" w14:textId="77777777" w:rsidR="00810D65" w:rsidRPr="002F3A0F" w:rsidRDefault="00810D65" w:rsidP="00810D65">
            <w:pPr>
              <w:jc w:val="center"/>
              <w:rPr>
                <w:rFonts w:asciiTheme="minorHAnsi" w:hAnsiTheme="minorHAnsi" w:cstheme="minorHAnsi"/>
                <w:sz w:val="18"/>
                <w:szCs w:val="18"/>
              </w:rPr>
            </w:pPr>
            <w:r w:rsidRPr="002F3A0F">
              <w:rPr>
                <w:rFonts w:asciiTheme="minorHAnsi" w:hAnsiTheme="minorHAnsi" w:cstheme="minorHAnsi"/>
                <w:sz w:val="18"/>
                <w:szCs w:val="18"/>
              </w:rPr>
              <w:t>Eli Lilly Australia Pty Ltd</w:t>
            </w:r>
          </w:p>
          <w:p w14:paraId="7FF0DB98" w14:textId="77777777" w:rsidR="00810D65" w:rsidRPr="00610837" w:rsidRDefault="00810D65" w:rsidP="00810D65">
            <w:pPr>
              <w:jc w:val="center"/>
              <w:rPr>
                <w:rFonts w:asciiTheme="minorHAnsi" w:hAnsiTheme="minorHAnsi" w:cstheme="minorHAnsi"/>
                <w:sz w:val="18"/>
                <w:szCs w:val="18"/>
              </w:rPr>
            </w:pPr>
            <w:r w:rsidRPr="002F3A0F">
              <w:rPr>
                <w:rFonts w:asciiTheme="minorHAnsi" w:hAnsiTheme="minorHAnsi" w:cstheme="minorHAnsi"/>
                <w:sz w:val="18"/>
                <w:szCs w:val="18"/>
              </w:rPr>
              <w:t>Novo Nordisk Pharmaceuticals Pty Ltd</w:t>
            </w:r>
          </w:p>
          <w:p w14:paraId="1A8C03B3" w14:textId="77777777" w:rsidR="00810D65" w:rsidRPr="009A2F67" w:rsidRDefault="00810D65" w:rsidP="00810D65">
            <w:pPr>
              <w:jc w:val="center"/>
              <w:rPr>
                <w:rFonts w:asciiTheme="minorHAnsi" w:hAnsiTheme="minorHAnsi" w:cstheme="minorHAnsi"/>
                <w:color w:val="000000"/>
                <w:sz w:val="18"/>
                <w:szCs w:val="18"/>
                <w:shd w:val="clear" w:color="auto" w:fill="FFFFFF"/>
              </w:rPr>
            </w:pPr>
          </w:p>
        </w:tc>
        <w:tc>
          <w:tcPr>
            <w:tcW w:w="552" w:type="pct"/>
            <w:shd w:val="clear" w:color="auto" w:fill="auto"/>
            <w:vAlign w:val="center"/>
          </w:tcPr>
          <w:p w14:paraId="562550F3" w14:textId="77777777" w:rsidR="00810D65" w:rsidRPr="00AE08FD" w:rsidRDefault="00810D65" w:rsidP="00810D65">
            <w:pPr>
              <w:jc w:val="center"/>
              <w:rPr>
                <w:rFonts w:asciiTheme="minorHAnsi" w:hAnsiTheme="minorHAnsi" w:cstheme="minorHAnsi"/>
                <w:snapToGrid w:val="0"/>
                <w:sz w:val="18"/>
                <w:szCs w:val="18"/>
              </w:rPr>
            </w:pPr>
            <w:r w:rsidRPr="00861E55">
              <w:rPr>
                <w:rFonts w:asciiTheme="minorHAnsi" w:hAnsiTheme="minorHAnsi" w:cstheme="minorHAnsi"/>
                <w:sz w:val="18"/>
                <w:szCs w:val="18"/>
              </w:rPr>
              <w:t xml:space="preserve">GLP-1 analogues </w:t>
            </w:r>
            <w:r w:rsidRPr="00610837">
              <w:rPr>
                <w:rFonts w:asciiTheme="minorHAnsi" w:hAnsiTheme="minorHAnsi" w:cstheme="minorHAnsi"/>
                <w:snapToGrid w:val="0"/>
                <w:sz w:val="18"/>
                <w:szCs w:val="18"/>
              </w:rPr>
              <w:t>class of medicines</w:t>
            </w:r>
          </w:p>
          <w:p w14:paraId="709F687F" w14:textId="77777777" w:rsidR="00810D65" w:rsidRPr="00610837" w:rsidRDefault="00810D65" w:rsidP="00810D65">
            <w:pPr>
              <w:jc w:val="center"/>
              <w:rPr>
                <w:rFonts w:asciiTheme="minorHAnsi" w:hAnsiTheme="minorHAnsi" w:cstheme="minorHAnsi"/>
                <w:snapToGrid w:val="0"/>
                <w:sz w:val="18"/>
                <w:szCs w:val="18"/>
              </w:rPr>
            </w:pPr>
          </w:p>
          <w:p w14:paraId="0876AF31" w14:textId="2E78B165" w:rsidR="00810D65" w:rsidRPr="003A37BF" w:rsidRDefault="00810D65" w:rsidP="00810D65">
            <w:pPr>
              <w:keepLines/>
              <w:widowControl w:val="0"/>
              <w:spacing w:after="120"/>
              <w:jc w:val="center"/>
              <w:rPr>
                <w:rFonts w:asciiTheme="minorHAnsi" w:hAnsiTheme="minorHAnsi" w:cstheme="minorHAnsi"/>
                <w:sz w:val="18"/>
                <w:szCs w:val="18"/>
              </w:rPr>
            </w:pPr>
            <w:r w:rsidRPr="00610837">
              <w:rPr>
                <w:rFonts w:asciiTheme="minorHAnsi" w:hAnsiTheme="minorHAnsi" w:cstheme="minorHAnsi"/>
                <w:snapToGrid w:val="0"/>
                <w:sz w:val="18"/>
                <w:szCs w:val="18"/>
              </w:rPr>
              <w:t>Type 2 diabetes mellitus (T2DM)</w:t>
            </w:r>
          </w:p>
        </w:tc>
        <w:tc>
          <w:tcPr>
            <w:tcW w:w="922" w:type="pct"/>
            <w:shd w:val="clear" w:color="auto" w:fill="auto"/>
            <w:vAlign w:val="center"/>
          </w:tcPr>
          <w:p w14:paraId="4C2B9104" w14:textId="48F14760" w:rsidR="00810D65" w:rsidRPr="003A37BF" w:rsidRDefault="00810D65" w:rsidP="00810D65">
            <w:pPr>
              <w:jc w:val="center"/>
              <w:rPr>
                <w:rFonts w:asciiTheme="minorHAnsi" w:hAnsiTheme="minorHAnsi" w:cstheme="minorHAnsi"/>
                <w:sz w:val="18"/>
                <w:szCs w:val="18"/>
              </w:rPr>
            </w:pPr>
            <w:r w:rsidRPr="002F3A0F">
              <w:rPr>
                <w:rFonts w:asciiTheme="minorHAnsi" w:hAnsiTheme="minorHAnsi" w:cstheme="minorHAnsi"/>
                <w:bCs/>
                <w:snapToGrid w:val="0"/>
                <w:color w:val="000000"/>
                <w:sz w:val="18"/>
                <w:szCs w:val="18"/>
              </w:rPr>
              <w:t xml:space="preserve">To assess the clinical and cost utility of glucagon-like peptide-1 (GLP-1) receptor agonists for the treatment of </w:t>
            </w:r>
            <w:r w:rsidR="004D67CB">
              <w:rPr>
                <w:rFonts w:asciiTheme="minorHAnsi" w:hAnsiTheme="minorHAnsi" w:cstheme="minorHAnsi"/>
                <w:bCs/>
                <w:snapToGrid w:val="0"/>
                <w:color w:val="000000"/>
                <w:sz w:val="18"/>
                <w:szCs w:val="18"/>
              </w:rPr>
              <w:t xml:space="preserve">T2DM </w:t>
            </w:r>
            <w:r w:rsidRPr="002F3A0F">
              <w:rPr>
                <w:rFonts w:asciiTheme="minorHAnsi" w:hAnsiTheme="minorHAnsi" w:cstheme="minorHAnsi"/>
                <w:bCs/>
                <w:snapToGrid w:val="0"/>
                <w:color w:val="000000"/>
                <w:sz w:val="18"/>
                <w:szCs w:val="18"/>
              </w:rPr>
              <w:t>in the Australian setting.</w:t>
            </w:r>
          </w:p>
        </w:tc>
        <w:tc>
          <w:tcPr>
            <w:tcW w:w="2653" w:type="pct"/>
            <w:shd w:val="clear" w:color="auto" w:fill="auto"/>
          </w:tcPr>
          <w:p w14:paraId="68E20014" w14:textId="6BB00BF3" w:rsidR="008F345A" w:rsidRPr="008F345A" w:rsidRDefault="008F345A" w:rsidP="008F345A">
            <w:pPr>
              <w:pStyle w:val="Default"/>
              <w:jc w:val="both"/>
              <w:rPr>
                <w:rFonts w:asciiTheme="minorHAnsi" w:hAnsiTheme="minorHAnsi" w:cstheme="minorHAnsi"/>
                <w:bCs/>
                <w:sz w:val="18"/>
                <w:szCs w:val="18"/>
              </w:rPr>
            </w:pPr>
            <w:r w:rsidRPr="008F345A">
              <w:rPr>
                <w:rFonts w:asciiTheme="minorHAnsi" w:hAnsiTheme="minorHAnsi" w:cstheme="minorHAnsi"/>
                <w:bCs/>
                <w:sz w:val="18"/>
                <w:szCs w:val="18"/>
              </w:rPr>
              <w:t xml:space="preserve">In response to a stakeholder request for broader PBS listings for glucagon-like peptide-1 receptor agonists (GLP-1 RAs), PBAC requested that the Department undertake a clinical and cost utility analysis comparing </w:t>
            </w:r>
            <w:r w:rsidR="00A60F08">
              <w:rPr>
                <w:rFonts w:asciiTheme="minorHAnsi" w:hAnsiTheme="minorHAnsi" w:cstheme="minorHAnsi"/>
                <w:bCs/>
                <w:sz w:val="18"/>
                <w:szCs w:val="18"/>
              </w:rPr>
              <w:br/>
            </w:r>
            <w:r w:rsidRPr="008F345A">
              <w:rPr>
                <w:rFonts w:asciiTheme="minorHAnsi" w:hAnsiTheme="minorHAnsi" w:cstheme="minorHAnsi"/>
                <w:bCs/>
                <w:sz w:val="18"/>
                <w:szCs w:val="18"/>
              </w:rPr>
              <w:t>GLP-1 RAs to sulfonylureas (SUs) for the treatment of type 2 diabetes mellitus (T2DM) in patients with cardiovascular disease or high cardiovascular risk, as add-on therapy to metformin without a glycaemic requirement. PBAC considered the clinical outcomes to be uncertain due to the paucity of trial data, resulting in low confidence in the results of the cost utility analysis. Noting the potentially high and uncertain estimates of cost-effectiveness, PBAC did not recommend broadening the current PBS restrictions for GLP-1 RAs.</w:t>
            </w:r>
          </w:p>
          <w:p w14:paraId="412A004B" w14:textId="77777777" w:rsidR="008F345A" w:rsidRPr="008F345A" w:rsidRDefault="008F345A" w:rsidP="008F345A">
            <w:pPr>
              <w:pStyle w:val="Default"/>
              <w:jc w:val="both"/>
              <w:rPr>
                <w:rFonts w:asciiTheme="minorHAnsi" w:hAnsiTheme="minorHAnsi" w:cstheme="minorHAnsi"/>
                <w:bCs/>
                <w:sz w:val="18"/>
                <w:szCs w:val="18"/>
              </w:rPr>
            </w:pPr>
          </w:p>
          <w:p w14:paraId="3E67125B" w14:textId="035A0ED9" w:rsidR="00810D65" w:rsidRPr="00610837" w:rsidRDefault="008F345A" w:rsidP="008F345A">
            <w:pPr>
              <w:pStyle w:val="Default"/>
              <w:jc w:val="both"/>
              <w:rPr>
                <w:rFonts w:asciiTheme="minorHAnsi" w:hAnsiTheme="minorHAnsi" w:cstheme="minorHAnsi"/>
                <w:bCs/>
                <w:sz w:val="18"/>
                <w:szCs w:val="18"/>
              </w:rPr>
            </w:pPr>
            <w:r w:rsidRPr="008F345A">
              <w:rPr>
                <w:rFonts w:asciiTheme="minorHAnsi" w:hAnsiTheme="minorHAnsi" w:cstheme="minorHAnsi"/>
                <w:bCs/>
                <w:sz w:val="18"/>
                <w:szCs w:val="18"/>
              </w:rPr>
              <w:t>The PBAC expressed concern over the price difference between GLP-1 RAs and sodium-glucose cotransporter-2 (SGLT2) inhibitors, and the rapid growth in PBS-subsidised use of GLP</w:t>
            </w:r>
            <w:r w:rsidRPr="008F345A">
              <w:rPr>
                <w:rFonts w:ascii="Cambria Math" w:hAnsi="Cambria Math" w:cs="Cambria Math"/>
                <w:bCs/>
                <w:sz w:val="18"/>
                <w:szCs w:val="18"/>
              </w:rPr>
              <w:t>‑</w:t>
            </w:r>
            <w:r w:rsidRPr="008F345A">
              <w:rPr>
                <w:rFonts w:asciiTheme="minorHAnsi" w:hAnsiTheme="minorHAnsi" w:cstheme="minorHAnsi"/>
                <w:bCs/>
                <w:sz w:val="18"/>
                <w:szCs w:val="18"/>
              </w:rPr>
              <w:t>1 RAs. The PBAC recommended a review of the utilisation of T2DM medicines, including an estimation of the extent of use of GLP-1 RAs outside the PBS restrictions, such as use in monotherapy, and in dual therapy in patients not contraindicated/intolerant to a combination of metformin and a SU.</w:t>
            </w:r>
          </w:p>
        </w:tc>
      </w:tr>
    </w:tbl>
    <w:p w14:paraId="237E7119" w14:textId="77777777" w:rsidR="000F6F0D" w:rsidRPr="00567D48" w:rsidRDefault="000F6F0D" w:rsidP="00EF3B9C">
      <w:pPr>
        <w:rPr>
          <w:rFonts w:asciiTheme="minorHAnsi" w:hAnsiTheme="minorHAnsi" w:cs="Arial"/>
          <w:b/>
          <w:lang w:val="en-US"/>
        </w:rPr>
      </w:pPr>
    </w:p>
    <w:p w14:paraId="7344AD07" w14:textId="6C5B67EA" w:rsidR="00DB1DCE" w:rsidRPr="0060513B" w:rsidRDefault="00DB1DCE" w:rsidP="0060513B">
      <w:pPr>
        <w:rPr>
          <w:rFonts w:ascii="Arial" w:hAnsi="Arial" w:cs="Arial"/>
          <w:iCs/>
          <w:color w:val="808080" w:themeColor="background1" w:themeShade="80"/>
          <w:sz w:val="16"/>
          <w:szCs w:val="16"/>
        </w:rPr>
      </w:pPr>
      <w:bookmarkStart w:id="3" w:name="_Hlk118355263"/>
      <w:r w:rsidRPr="0060513B">
        <w:rPr>
          <w:rFonts w:ascii="Arial" w:hAnsi="Arial" w:cs="Arial"/>
          <w:iCs/>
          <w:color w:val="808080" w:themeColor="background1" w:themeShade="80"/>
          <w:sz w:val="16"/>
          <w:szCs w:val="16"/>
        </w:rPr>
        <w:t xml:space="preserve">Version </w:t>
      </w:r>
      <w:r w:rsidR="00C16D7F" w:rsidRPr="0060513B">
        <w:rPr>
          <w:rFonts w:ascii="Arial" w:hAnsi="Arial" w:cs="Arial"/>
          <w:iCs/>
          <w:color w:val="808080" w:themeColor="background1" w:themeShade="80"/>
          <w:sz w:val="16"/>
          <w:szCs w:val="16"/>
        </w:rPr>
        <w:t>3</w:t>
      </w:r>
    </w:p>
    <w:p w14:paraId="2CAECE5F" w14:textId="6F61BDEB" w:rsidR="00DB1DCE" w:rsidRPr="0060513B" w:rsidRDefault="0060513B" w:rsidP="0060513B">
      <w:pPr>
        <w:rPr>
          <w:rFonts w:ascii="Arial" w:hAnsi="Arial" w:cs="Arial"/>
          <w:iCs/>
          <w:color w:val="808080" w:themeColor="background1" w:themeShade="80"/>
          <w:sz w:val="16"/>
          <w:szCs w:val="16"/>
          <w:u w:val="single"/>
        </w:rPr>
      </w:pPr>
      <w:r w:rsidRPr="0060513B">
        <w:rPr>
          <w:rFonts w:ascii="Arial" w:hAnsi="Arial" w:cs="Arial"/>
          <w:iCs/>
          <w:color w:val="808080" w:themeColor="background1" w:themeShade="80"/>
          <w:sz w:val="16"/>
          <w:szCs w:val="16"/>
          <w:u w:val="single"/>
        </w:rPr>
        <w:t>Item amended</w:t>
      </w:r>
    </w:p>
    <w:p w14:paraId="0D7BAF6D" w14:textId="5D0591F5" w:rsidR="0060513B" w:rsidRPr="0060513B" w:rsidRDefault="0060513B" w:rsidP="0060513B">
      <w:pPr>
        <w:pStyle w:val="ListParagraph"/>
        <w:numPr>
          <w:ilvl w:val="0"/>
          <w:numId w:val="25"/>
        </w:numPr>
        <w:contextualSpacing w:val="0"/>
        <w:rPr>
          <w:rFonts w:ascii="Arial" w:eastAsia="Times New Roman" w:hAnsi="Arial" w:cs="Arial"/>
          <w:iCs/>
          <w:color w:val="808080" w:themeColor="background1" w:themeShade="80"/>
          <w:sz w:val="16"/>
          <w:szCs w:val="16"/>
        </w:rPr>
      </w:pPr>
      <w:r w:rsidRPr="0060513B">
        <w:rPr>
          <w:rFonts w:ascii="Arial" w:eastAsia="Times New Roman" w:hAnsi="Arial" w:cs="Arial"/>
          <w:iCs/>
          <w:color w:val="808080" w:themeColor="background1" w:themeShade="80"/>
          <w:sz w:val="16"/>
          <w:szCs w:val="16"/>
        </w:rPr>
        <w:t>TEZEPELUMAB (</w:t>
      </w:r>
      <w:proofErr w:type="spellStart"/>
      <w:r w:rsidRPr="0060513B">
        <w:rPr>
          <w:rFonts w:ascii="Arial" w:eastAsia="Times New Roman" w:hAnsi="Arial" w:cs="Arial"/>
          <w:iCs/>
          <w:color w:val="808080" w:themeColor="background1" w:themeShade="80"/>
          <w:sz w:val="16"/>
          <w:szCs w:val="16"/>
        </w:rPr>
        <w:t>Tezspire</w:t>
      </w:r>
      <w:proofErr w:type="spellEnd"/>
      <w:r w:rsidRPr="0060513B">
        <w:rPr>
          <w:rFonts w:ascii="Arial" w:eastAsia="Times New Roman" w:hAnsi="Arial" w:cs="Arial"/>
          <w:iCs/>
          <w:color w:val="808080" w:themeColor="background1" w:themeShade="80"/>
          <w:sz w:val="16"/>
          <w:szCs w:val="16"/>
        </w:rPr>
        <w:t>®) - Sponsor has subsequently withdrawn their application</w:t>
      </w:r>
    </w:p>
    <w:p w14:paraId="6AB697AD" w14:textId="0A272F94" w:rsidR="0060513B" w:rsidRPr="0060513B" w:rsidRDefault="0060513B" w:rsidP="0060513B">
      <w:pPr>
        <w:ind w:left="360"/>
        <w:rPr>
          <w:rFonts w:ascii="Arial" w:hAnsi="Arial" w:cs="Arial"/>
          <w:iCs/>
          <w:color w:val="808080" w:themeColor="background1" w:themeShade="80"/>
          <w:sz w:val="16"/>
          <w:szCs w:val="16"/>
        </w:rPr>
      </w:pPr>
    </w:p>
    <w:p w14:paraId="78B26705" w14:textId="086AC0B3" w:rsidR="00C16D7F" w:rsidRPr="0060513B" w:rsidRDefault="0060513B" w:rsidP="0060513B">
      <w:pPr>
        <w:rPr>
          <w:rFonts w:ascii="Arial" w:hAnsi="Arial" w:cs="Arial"/>
          <w:iCs/>
          <w:color w:val="808080" w:themeColor="background1" w:themeShade="80"/>
          <w:sz w:val="16"/>
          <w:szCs w:val="16"/>
          <w:u w:val="single"/>
        </w:rPr>
      </w:pPr>
      <w:r w:rsidRPr="0060513B">
        <w:rPr>
          <w:rFonts w:ascii="Arial" w:hAnsi="Arial" w:cs="Arial"/>
          <w:iCs/>
          <w:color w:val="808080" w:themeColor="background1" w:themeShade="80"/>
          <w:sz w:val="16"/>
          <w:szCs w:val="16"/>
          <w:u w:val="single"/>
        </w:rPr>
        <w:t xml:space="preserve">Item added previously </w:t>
      </w:r>
    </w:p>
    <w:p w14:paraId="6807DB95" w14:textId="1F6226C1" w:rsidR="00C16D7F" w:rsidRPr="0060513B" w:rsidRDefault="00C16D7F" w:rsidP="0060513B">
      <w:pPr>
        <w:pStyle w:val="ListParagraph"/>
        <w:numPr>
          <w:ilvl w:val="0"/>
          <w:numId w:val="26"/>
        </w:numPr>
        <w:rPr>
          <w:rFonts w:ascii="Arial" w:hAnsi="Arial" w:cs="Arial"/>
          <w:iCs/>
          <w:color w:val="808080" w:themeColor="background1" w:themeShade="80"/>
          <w:sz w:val="16"/>
          <w:szCs w:val="16"/>
        </w:rPr>
      </w:pPr>
      <w:r w:rsidRPr="0060513B">
        <w:rPr>
          <w:rFonts w:ascii="Arial" w:hAnsi="Arial" w:cs="Arial"/>
          <w:iCs/>
          <w:color w:val="808080" w:themeColor="background1" w:themeShade="80"/>
          <w:sz w:val="16"/>
          <w:szCs w:val="16"/>
        </w:rPr>
        <w:t>Added entry for nurse practitioner prescribing of ESAs.</w:t>
      </w:r>
    </w:p>
    <w:bookmarkEnd w:id="3"/>
    <w:p w14:paraId="511B88D5" w14:textId="1AF5848A" w:rsidR="003E0E09" w:rsidRPr="00C16D7F" w:rsidRDefault="003E0E09" w:rsidP="00C16D7F">
      <w:pPr>
        <w:rPr>
          <w:rFonts w:asciiTheme="minorHAnsi" w:hAnsiTheme="minorHAnsi" w:cs="Arial"/>
          <w:bCs/>
          <w:lang w:val="en-US"/>
        </w:rPr>
      </w:pPr>
      <w:r w:rsidRPr="00C16D7F">
        <w:rPr>
          <w:rFonts w:asciiTheme="minorHAnsi" w:hAnsiTheme="minorHAnsi" w:cs="Arial"/>
          <w:bCs/>
          <w:lang w:val="en-US"/>
        </w:rPr>
        <w:br w:type="page"/>
      </w:r>
    </w:p>
    <w:p w14:paraId="6B64D1DE" w14:textId="721C2BBC" w:rsidR="007F48F6" w:rsidRPr="00567D48" w:rsidRDefault="007F48F6" w:rsidP="007F48F6">
      <w:pPr>
        <w:rPr>
          <w:rFonts w:asciiTheme="minorHAnsi" w:hAnsiTheme="minorHAnsi" w:cs="Arial"/>
          <w:b/>
          <w:lang w:val="en-US"/>
        </w:rPr>
      </w:pPr>
      <w:r w:rsidRPr="00567D48">
        <w:rPr>
          <w:rFonts w:asciiTheme="minorHAnsi" w:hAnsiTheme="minorHAnsi" w:cs="Arial"/>
          <w:b/>
          <w:lang w:val="en-US"/>
        </w:rPr>
        <w:lastRenderedPageBreak/>
        <w:t>Submission category types</w:t>
      </w:r>
    </w:p>
    <w:p w14:paraId="15D4233E" w14:textId="77777777" w:rsidR="007F48F6" w:rsidRPr="00567D48" w:rsidRDefault="007F48F6" w:rsidP="007F48F6">
      <w:pPr>
        <w:rPr>
          <w:rFonts w:asciiTheme="minorHAnsi" w:hAnsiTheme="minorHAnsi"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567D48" w14:paraId="49C9D26F" w14:textId="77777777" w:rsidTr="005B583D">
        <w:tc>
          <w:tcPr>
            <w:tcW w:w="1984" w:type="dxa"/>
          </w:tcPr>
          <w:p w14:paraId="1640FA5D" w14:textId="3DC6C07C" w:rsidR="007F48F6" w:rsidRPr="00567D48" w:rsidRDefault="007F48F6" w:rsidP="00A159CA">
            <w:pPr>
              <w:autoSpaceDE w:val="0"/>
              <w:autoSpaceDN w:val="0"/>
              <w:adjustRightInd w:val="0"/>
              <w:rPr>
                <w:rFonts w:asciiTheme="minorHAnsi" w:hAnsiTheme="minorHAnsi" w:cs="Arial"/>
                <w:b/>
                <w:lang w:val="en-US"/>
              </w:rPr>
            </w:pPr>
            <w:r w:rsidRPr="00567D48">
              <w:rPr>
                <w:rFonts w:asciiTheme="minorHAnsi" w:hAnsiTheme="minorHAnsi" w:cs="Arial"/>
                <w:b/>
                <w:color w:val="000000"/>
              </w:rPr>
              <w:t>Category 1</w:t>
            </w:r>
          </w:p>
        </w:tc>
        <w:tc>
          <w:tcPr>
            <w:tcW w:w="12474" w:type="dxa"/>
          </w:tcPr>
          <w:p w14:paraId="55D16D51" w14:textId="77777777" w:rsidR="007F48F6" w:rsidRPr="00567D48" w:rsidRDefault="007F48F6" w:rsidP="005B583D">
            <w:pPr>
              <w:autoSpaceDE w:val="0"/>
              <w:autoSpaceDN w:val="0"/>
              <w:adjustRightInd w:val="0"/>
              <w:rPr>
                <w:rFonts w:asciiTheme="minorHAnsi" w:hAnsiTheme="minorHAnsi" w:cs="Arial"/>
                <w:b/>
                <w:color w:val="000000"/>
              </w:rPr>
            </w:pPr>
            <w:r w:rsidRPr="00567D48">
              <w:rPr>
                <w:rFonts w:asciiTheme="minorHAnsi" w:hAnsiTheme="minorHAnsi" w:cs="Arial"/>
                <w:color w:val="000000"/>
              </w:rPr>
              <w:t xml:space="preserve">A request for PBS or NIP listing of one or more of the following: </w:t>
            </w:r>
          </w:p>
          <w:p w14:paraId="5E5BAAB8"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first in class medicine or vaccine, and/or a medicine or vaccine for a new population. OR </w:t>
            </w:r>
          </w:p>
          <w:p w14:paraId="7DB13D11"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drug with a </w:t>
            </w:r>
            <w:proofErr w:type="spellStart"/>
            <w:r w:rsidRPr="00567D48">
              <w:rPr>
                <w:rFonts w:asciiTheme="minorHAnsi" w:hAnsiTheme="minorHAnsi" w:cs="Arial"/>
                <w:color w:val="000000"/>
                <w:sz w:val="20"/>
                <w:szCs w:val="20"/>
              </w:rPr>
              <w:t>codependent</w:t>
            </w:r>
            <w:proofErr w:type="spellEnd"/>
            <w:r w:rsidRPr="00567D48">
              <w:rPr>
                <w:rFonts w:asciiTheme="minorHAnsi" w:hAnsiTheme="minorHAnsi" w:cs="Arial"/>
                <w:color w:val="000000"/>
                <w:sz w:val="20"/>
                <w:szCs w:val="20"/>
              </w:rPr>
              <w:t xml:space="preserve"> technology that requires an integrated </w:t>
            </w:r>
            <w:proofErr w:type="spellStart"/>
            <w:r w:rsidRPr="00567D48">
              <w:rPr>
                <w:rFonts w:asciiTheme="minorHAnsi" w:hAnsiTheme="minorHAnsi" w:cs="Arial"/>
                <w:color w:val="000000"/>
                <w:sz w:val="20"/>
                <w:szCs w:val="20"/>
              </w:rPr>
              <w:t>codependent</w:t>
            </w:r>
            <w:proofErr w:type="spellEnd"/>
            <w:r w:rsidRPr="00567D48">
              <w:rPr>
                <w:rFonts w:asciiTheme="minorHAnsi" w:hAnsiTheme="minorHAnsi" w:cs="Arial"/>
                <w:color w:val="000000"/>
                <w:sz w:val="20"/>
                <w:szCs w:val="20"/>
              </w:rPr>
              <w:t xml:space="preserve"> submission to the PBAC and MSAC. OR </w:t>
            </w:r>
          </w:p>
          <w:p w14:paraId="1380A86B"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A drug or designated vaccine with a TGA Provisional determination related to the proposed population.</w:t>
            </w:r>
          </w:p>
        </w:tc>
      </w:tr>
      <w:tr w:rsidR="007F48F6" w:rsidRPr="00567D48" w14:paraId="55E97F75" w14:textId="77777777" w:rsidTr="005B583D">
        <w:tc>
          <w:tcPr>
            <w:tcW w:w="1984" w:type="dxa"/>
          </w:tcPr>
          <w:p w14:paraId="5E9AC3B0"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2</w:t>
            </w:r>
          </w:p>
        </w:tc>
        <w:tc>
          <w:tcPr>
            <w:tcW w:w="12474" w:type="dxa"/>
          </w:tcPr>
          <w:p w14:paraId="72522F32"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567D48" w14:paraId="2189A220" w14:textId="77777777" w:rsidTr="005B583D">
        <w:tc>
          <w:tcPr>
            <w:tcW w:w="1984" w:type="dxa"/>
          </w:tcPr>
          <w:p w14:paraId="79CB93BA"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3</w:t>
            </w:r>
          </w:p>
        </w:tc>
        <w:tc>
          <w:tcPr>
            <w:tcW w:w="12474" w:type="dxa"/>
          </w:tcPr>
          <w:p w14:paraId="11EF39D0"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Requests to change existing listings that do not change the population or cost-effectiveness of the medicine or vaccine that do not meet the criteria for a Category 4 submission.</w:t>
            </w:r>
          </w:p>
        </w:tc>
      </w:tr>
      <w:tr w:rsidR="007F48F6" w:rsidRPr="00567D48" w14:paraId="3189B6F0" w14:textId="77777777" w:rsidTr="005B583D">
        <w:tc>
          <w:tcPr>
            <w:tcW w:w="1984" w:type="dxa"/>
          </w:tcPr>
          <w:p w14:paraId="381D7CFE" w14:textId="5CAA3093" w:rsidR="007F48F6" w:rsidRPr="00567D48" w:rsidRDefault="007F48F6" w:rsidP="005B583D">
            <w:pPr>
              <w:pStyle w:val="Default"/>
              <w:rPr>
                <w:rFonts w:asciiTheme="minorHAnsi" w:hAnsiTheme="minorHAnsi" w:cs="Arial"/>
                <w:b/>
                <w:sz w:val="20"/>
                <w:szCs w:val="20"/>
                <w:lang w:val="en-US"/>
              </w:rPr>
            </w:pPr>
            <w:r w:rsidRPr="00567D48">
              <w:rPr>
                <w:rFonts w:asciiTheme="minorHAnsi" w:hAnsiTheme="minorHAnsi" w:cs="Arial"/>
                <w:b/>
                <w:sz w:val="20"/>
                <w:szCs w:val="20"/>
              </w:rPr>
              <w:t xml:space="preserve">Category 4 </w:t>
            </w:r>
          </w:p>
        </w:tc>
        <w:tc>
          <w:tcPr>
            <w:tcW w:w="12474" w:type="dxa"/>
          </w:tcPr>
          <w:p w14:paraId="5E50EE2B" w14:textId="77777777" w:rsidR="007F48F6" w:rsidRPr="00567D48" w:rsidRDefault="007F48F6" w:rsidP="005B583D">
            <w:pPr>
              <w:pStyle w:val="Default"/>
              <w:rPr>
                <w:rFonts w:asciiTheme="minorHAnsi" w:hAnsiTheme="minorHAnsi" w:cs="Arial"/>
                <w:b/>
                <w:sz w:val="20"/>
                <w:szCs w:val="20"/>
              </w:rPr>
            </w:pPr>
            <w:r w:rsidRPr="00567D48">
              <w:rPr>
                <w:rFonts w:asciiTheme="minorHAnsi" w:hAnsiTheme="minorHAnsi" w:cs="Arial"/>
                <w:sz w:val="20"/>
                <w:szCs w:val="20"/>
              </w:rPr>
              <w:t xml:space="preserve">A request for one or more of the following: </w:t>
            </w:r>
          </w:p>
          <w:p w14:paraId="61CDD5EA"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Listing of a new pharmaceutical item of a listed medicine. </w:t>
            </w:r>
          </w:p>
          <w:p w14:paraId="30945A3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Consideration as an exempt item (Exempt item as per subsection 84AH of the </w:t>
            </w:r>
            <w:r w:rsidRPr="00567D48">
              <w:rPr>
                <w:rFonts w:asciiTheme="minorHAnsi" w:hAnsiTheme="minorHAnsi" w:cs="Arial"/>
                <w:i/>
                <w:iCs/>
                <w:color w:val="000000"/>
                <w:sz w:val="20"/>
                <w:szCs w:val="20"/>
              </w:rPr>
              <w:t>National Health Act 1953</w:t>
            </w:r>
            <w:r w:rsidRPr="00567D48">
              <w:rPr>
                <w:rFonts w:asciiTheme="minorHAnsi" w:hAnsiTheme="minorHAnsi" w:cs="Arial"/>
                <w:color w:val="000000"/>
                <w:sz w:val="20"/>
                <w:szCs w:val="20"/>
              </w:rPr>
              <w:t xml:space="preserve">). </w:t>
            </w:r>
          </w:p>
          <w:p w14:paraId="46567CA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sz w:val="20"/>
                <w:szCs w:val="20"/>
              </w:rPr>
              <w:t xml:space="preserve">Including a listed medicine on the prescriber bag, or varying an existing prescriber bag listing. </w:t>
            </w:r>
          </w:p>
          <w:p w14:paraId="7EF9BA42"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change/new manner of administration of a listed medicine. </w:t>
            </w:r>
          </w:p>
          <w:p w14:paraId="4D6B65C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 to the maximum quantity and/or number of repeats of a listed medicine. </w:t>
            </w:r>
          </w:p>
          <w:p w14:paraId="2C2C10B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A change or addition to the prescriber type(s) of a listed medicine.</w:t>
            </w:r>
          </w:p>
        </w:tc>
      </w:tr>
      <w:tr w:rsidR="009A1C75" w:rsidRPr="00567D48" w14:paraId="5129ECF2" w14:textId="77777777" w:rsidTr="009A1C75">
        <w:trPr>
          <w:trHeight w:val="1026"/>
        </w:trPr>
        <w:tc>
          <w:tcPr>
            <w:tcW w:w="1984" w:type="dxa"/>
          </w:tcPr>
          <w:p w14:paraId="4FD9FAAA" w14:textId="0063D706" w:rsidR="009A1C75" w:rsidRPr="00567D48" w:rsidRDefault="009A1C75" w:rsidP="005B583D">
            <w:pPr>
              <w:pStyle w:val="Default"/>
              <w:rPr>
                <w:rFonts w:asciiTheme="minorHAnsi" w:hAnsiTheme="minorHAnsi" w:cs="Arial"/>
                <w:sz w:val="20"/>
                <w:szCs w:val="20"/>
              </w:rPr>
            </w:pPr>
            <w:r w:rsidRPr="00567D48">
              <w:rPr>
                <w:rFonts w:asciiTheme="minorHAnsi" w:hAnsiTheme="minorHAnsi" w:cs="Arial"/>
                <w:b/>
                <w:sz w:val="20"/>
                <w:szCs w:val="20"/>
              </w:rPr>
              <w:t>Committee Secretariat</w:t>
            </w:r>
          </w:p>
        </w:tc>
        <w:tc>
          <w:tcPr>
            <w:tcW w:w="12474" w:type="dxa"/>
          </w:tcPr>
          <w:p w14:paraId="4E0E04D8" w14:textId="77777777" w:rsidR="009A1C75" w:rsidRPr="00567D48" w:rsidRDefault="009A1C75" w:rsidP="009A1C75">
            <w:pPr>
              <w:rPr>
                <w:rFonts w:asciiTheme="minorHAnsi" w:hAnsiTheme="minorHAnsi" w:cs="Arial"/>
                <w:color w:val="000000"/>
              </w:rPr>
            </w:pPr>
            <w:r w:rsidRPr="00567D48">
              <w:rPr>
                <w:rFonts w:asciiTheme="minorHAnsi" w:hAnsiTheme="minorHAnsi" w:cs="Arial"/>
                <w:color w:val="000000"/>
              </w:rPr>
              <w:t>Application is not in Categories 1, 2, 3 or 4 and requests for one or more of the following:</w:t>
            </w:r>
          </w:p>
          <w:p w14:paraId="0ADCA80A" w14:textId="77777777"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or varied listed drugs, medicinal preparations and designated vaccines that pose no greater risk</w:t>
            </w:r>
          </w:p>
          <w:p w14:paraId="4E274BBE" w14:textId="474796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Pharmaceutical benefits that can no longer be supplied early</w:t>
            </w:r>
          </w:p>
          <w:p w14:paraId="78723A0D" w14:textId="4DE6AD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brand of glucose indicator pharmaceutical item.</w:t>
            </w:r>
          </w:p>
        </w:tc>
      </w:tr>
    </w:tbl>
    <w:p w14:paraId="1A3326E0" w14:textId="77777777" w:rsidR="007F48F6" w:rsidRPr="00567D48" w:rsidRDefault="007F48F6" w:rsidP="00EF3B9C">
      <w:pPr>
        <w:rPr>
          <w:rFonts w:asciiTheme="minorHAnsi" w:hAnsiTheme="minorHAnsi" w:cs="Arial"/>
          <w:b/>
          <w:lang w:val="en-US"/>
        </w:rPr>
      </w:pPr>
    </w:p>
    <w:p w14:paraId="379497B6" w14:textId="77777777" w:rsidR="008D62B4" w:rsidRDefault="008D62B4">
      <w:pPr>
        <w:rPr>
          <w:rFonts w:asciiTheme="minorHAnsi" w:hAnsiTheme="minorHAnsi" w:cs="Arial"/>
          <w:b/>
          <w:lang w:val="en-US"/>
        </w:rPr>
      </w:pPr>
      <w:r>
        <w:rPr>
          <w:rFonts w:asciiTheme="minorHAnsi" w:hAnsiTheme="minorHAnsi" w:cs="Arial"/>
          <w:b/>
          <w:lang w:val="en-US"/>
        </w:rPr>
        <w:br w:type="page"/>
      </w:r>
    </w:p>
    <w:p w14:paraId="6CE3C41E" w14:textId="0367938F" w:rsidR="00640C80" w:rsidRPr="00567D48" w:rsidRDefault="005A0A21" w:rsidP="00EF3B9C">
      <w:pPr>
        <w:rPr>
          <w:rFonts w:asciiTheme="minorHAnsi" w:hAnsiTheme="minorHAnsi" w:cs="Arial"/>
          <w:b/>
          <w:lang w:val="en-US"/>
        </w:rPr>
      </w:pPr>
      <w:r w:rsidRPr="00567D48">
        <w:rPr>
          <w:rFonts w:asciiTheme="minorHAnsi" w:hAnsiTheme="minorHAnsi" w:cs="Arial"/>
          <w:b/>
          <w:lang w:val="en-US"/>
        </w:rPr>
        <w:lastRenderedPageBreak/>
        <w:t>Resubmission pathways</w:t>
      </w:r>
    </w:p>
    <w:p w14:paraId="025CE011" w14:textId="77777777" w:rsidR="005A0A21" w:rsidRPr="00567D48" w:rsidRDefault="005A0A21" w:rsidP="00640C80">
      <w:pPr>
        <w:tabs>
          <w:tab w:val="left" w:pos="5210"/>
        </w:tabs>
        <w:rPr>
          <w:rFonts w:asciiTheme="minorHAnsi" w:hAnsiTheme="minorHAnsi" w:cstheme="minorHAnsi"/>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567D48"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567D48" w:rsidRDefault="004A3371">
            <w:pPr>
              <w:rPr>
                <w:rFonts w:asciiTheme="minorHAnsi" w:hAnsiTheme="minorHAnsi" w:cs="Arial"/>
              </w:rPr>
            </w:pPr>
            <w:r w:rsidRPr="00567D48">
              <w:rPr>
                <w:rFonts w:asciiTheme="minorHAnsi" w:hAnsiTheme="minorHAnsi"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567D48">
              <w:rPr>
                <w:rFonts w:asciiTheme="minorHAnsi" w:hAnsiTheme="minorHAnsi" w:cs="Arial"/>
              </w:rPr>
              <w:t>The resubmission pathways are classified into the following categories:</w:t>
            </w:r>
          </w:p>
        </w:tc>
      </w:tr>
      <w:tr w:rsidR="004A3371" w:rsidRPr="00567D48"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567D48" w:rsidRDefault="004A3371">
            <w:pPr>
              <w:spacing w:after="160" w:line="252" w:lineRule="auto"/>
              <w:contextualSpacing/>
              <w:rPr>
                <w:rFonts w:asciiTheme="minorHAnsi" w:hAnsiTheme="minorHAnsi" w:cs="Arial"/>
                <w:b/>
                <w:bCs/>
              </w:rPr>
            </w:pPr>
            <w:r w:rsidRPr="00567D48">
              <w:rPr>
                <w:rFonts w:asciiTheme="minorHAnsi" w:hAnsiTheme="minorHAnsi" w:cs="Arial"/>
                <w:b/>
                <w:bCs/>
              </w:rPr>
              <w:t>Standard re-entry</w:t>
            </w:r>
          </w:p>
          <w:p w14:paraId="14CD87B9" w14:textId="77777777" w:rsidR="004A3371" w:rsidRPr="00567D48" w:rsidRDefault="004A3371">
            <w:pPr>
              <w:spacing w:line="252" w:lineRule="auto"/>
              <w:rPr>
                <w:rFonts w:asciiTheme="minorHAnsi" w:hAnsiTheme="minorHAnsi"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The Standard Re-entry Pathway is the default pathway for resubmissions and also applies where: </w:t>
            </w:r>
          </w:p>
          <w:p w14:paraId="430AF034" w14:textId="77777777"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chooses not to accept the PBAC nominated resubmission pathway; or </w:t>
            </w:r>
          </w:p>
          <w:p w14:paraId="15ADDEB3" w14:textId="3C3608FE"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decides to lodge later than the allowable timelines for the other pathways. </w:t>
            </w:r>
          </w:p>
        </w:tc>
      </w:tr>
      <w:tr w:rsidR="004A3371" w:rsidRPr="00567D48"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567D48" w:rsidRDefault="004A3371">
            <w:pPr>
              <w:spacing w:after="160" w:line="252" w:lineRule="auto"/>
              <w:contextualSpacing/>
              <w:rPr>
                <w:rFonts w:asciiTheme="minorHAnsi" w:hAnsiTheme="minorHAnsi" w:cs="Arial"/>
                <w:b/>
                <w:bCs/>
                <w:lang w:eastAsia="en-US"/>
              </w:rPr>
            </w:pPr>
            <w:r w:rsidRPr="00567D48">
              <w:rPr>
                <w:rFonts w:asciiTheme="minorHAnsi" w:hAnsiTheme="minorHAnsi"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567D48" w:rsidRDefault="004A3371">
            <w:pPr>
              <w:spacing w:after="160" w:line="252" w:lineRule="auto"/>
              <w:contextualSpacing/>
              <w:rPr>
                <w:rFonts w:asciiTheme="minorHAnsi" w:hAnsiTheme="minorHAnsi" w:cs="Arial"/>
                <w:color w:val="000000"/>
              </w:rPr>
            </w:pPr>
            <w:r w:rsidRPr="00567D48">
              <w:rPr>
                <w:rFonts w:asciiTheme="minorHAnsi" w:hAnsiTheme="minorHAnsi" w:cs="Arial"/>
              </w:rPr>
              <w:t xml:space="preserve">An Early Re-entry Pathway may be nominated by the PBAC where the PBAC considers that the remaining issues could be easily </w:t>
            </w:r>
            <w:proofErr w:type="gramStart"/>
            <w:r w:rsidRPr="00567D48">
              <w:rPr>
                <w:rFonts w:asciiTheme="minorHAnsi" w:hAnsiTheme="minorHAnsi" w:cs="Arial"/>
              </w:rPr>
              <w:t>resolved</w:t>
            </w:r>
            <w:proofErr w:type="gramEnd"/>
            <w:r w:rsidRPr="00567D48">
              <w:rPr>
                <w:rFonts w:asciiTheme="minorHAnsi" w:hAnsiTheme="minorHAnsi" w:cs="Arial"/>
              </w:rPr>
              <w:t xml:space="preserve"> and the medicine or vaccine does not represent HATV for the proposed population. Applicants who accept this pathway are eligible for PBAC consideration at the immediate next meeting.</w:t>
            </w:r>
          </w:p>
        </w:tc>
      </w:tr>
      <w:tr w:rsidR="004A3371" w:rsidRPr="00567D48"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567D48" w:rsidRDefault="004A3371">
            <w:pPr>
              <w:spacing w:line="252" w:lineRule="auto"/>
              <w:rPr>
                <w:rFonts w:asciiTheme="minorHAnsi" w:hAnsiTheme="minorHAnsi" w:cs="Arial"/>
                <w:b/>
                <w:bCs/>
                <w:lang w:eastAsia="en-US"/>
              </w:rPr>
            </w:pPr>
            <w:r w:rsidRPr="00567D48">
              <w:rPr>
                <w:rFonts w:asciiTheme="minorHAnsi" w:hAnsiTheme="minorHAnsi" w:cs="Arial"/>
                <w:b/>
                <w:bCs/>
              </w:rPr>
              <w:t>Early resolution pathway</w:t>
            </w:r>
          </w:p>
          <w:p w14:paraId="157D2C85" w14:textId="77777777" w:rsidR="004A3371" w:rsidRPr="00567D48" w:rsidRDefault="004A3371">
            <w:pPr>
              <w:rPr>
                <w:rFonts w:asciiTheme="minorHAnsi" w:hAnsiTheme="minorHAnsi"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567D48" w:rsidRDefault="004A3371" w:rsidP="00461045">
            <w:pPr>
              <w:pStyle w:val="ListParagraph"/>
              <w:numPr>
                <w:ilvl w:val="0"/>
                <w:numId w:val="2"/>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567D48" w:rsidRDefault="004A3371" w:rsidP="00461045">
            <w:pPr>
              <w:pStyle w:val="ListParagraph"/>
              <w:numPr>
                <w:ilvl w:val="0"/>
                <w:numId w:val="2"/>
              </w:numPr>
              <w:autoSpaceDE w:val="0"/>
              <w:autoSpaceDN w:val="0"/>
              <w:spacing w:after="12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567D48" w:rsidRDefault="004A3371">
            <w:pPr>
              <w:pStyle w:val="NormalWeb"/>
              <w:spacing w:before="0" w:beforeAutospacing="0" w:after="0" w:afterAutospacing="0"/>
              <w:rPr>
                <w:rFonts w:asciiTheme="minorHAnsi" w:hAnsiTheme="minorHAnsi" w:cs="Arial"/>
                <w:sz w:val="20"/>
                <w:szCs w:val="20"/>
              </w:rPr>
            </w:pPr>
            <w:r w:rsidRPr="00567D48">
              <w:rPr>
                <w:rFonts w:asciiTheme="minorHAnsi" w:hAnsiTheme="minorHAnsi"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567D48"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567D48" w:rsidRDefault="004A3371">
            <w:pPr>
              <w:rPr>
                <w:rFonts w:asciiTheme="minorHAnsi" w:hAnsiTheme="minorHAnsi" w:cs="Arial"/>
              </w:rPr>
            </w:pPr>
            <w:r w:rsidRPr="00567D48">
              <w:rPr>
                <w:rFonts w:asciiTheme="minorHAnsi" w:hAnsiTheme="minorHAnsi"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567D48" w:rsidRDefault="004A3371">
            <w:pPr>
              <w:autoSpaceDE w:val="0"/>
              <w:autoSpaceDN w:val="0"/>
              <w:rPr>
                <w:rFonts w:asciiTheme="minorHAnsi" w:hAnsiTheme="minorHAnsi" w:cs="Arial"/>
                <w:b/>
                <w:bCs/>
                <w:highlight w:val="green"/>
              </w:rPr>
            </w:pPr>
            <w:r w:rsidRPr="00567D48">
              <w:rPr>
                <w:rFonts w:asciiTheme="minorHAnsi" w:hAnsiTheme="minorHAnsi"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Default="00AD3477" w:rsidP="004A3371">
      <w:pPr>
        <w:tabs>
          <w:tab w:val="left" w:pos="5210"/>
        </w:tabs>
        <w:rPr>
          <w:rFonts w:asciiTheme="minorHAnsi" w:hAnsiTheme="minorHAnsi" w:cstheme="minorHAnsi"/>
          <w:sz w:val="18"/>
          <w:szCs w:val="18"/>
          <w:lang w:val="en-US"/>
        </w:rPr>
      </w:pPr>
    </w:p>
    <w:p w14:paraId="6C9BA0D5" w14:textId="77777777" w:rsidR="00461045" w:rsidRPr="001D4E5E" w:rsidRDefault="00461045" w:rsidP="004A3371">
      <w:pPr>
        <w:tabs>
          <w:tab w:val="left" w:pos="5210"/>
        </w:tabs>
        <w:rPr>
          <w:rFonts w:asciiTheme="minorHAnsi" w:hAnsiTheme="minorHAnsi" w:cstheme="minorHAnsi"/>
          <w:sz w:val="18"/>
          <w:szCs w:val="18"/>
          <w:lang w:val="en-US"/>
        </w:rPr>
      </w:pPr>
    </w:p>
    <w:sectPr w:rsidR="00461045"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E902E8" w:rsidRDefault="00E902E8">
      <w:r>
        <w:separator/>
      </w:r>
    </w:p>
  </w:endnote>
  <w:endnote w:type="continuationSeparator" w:id="0">
    <w:p w14:paraId="0B94B43F" w14:textId="77777777" w:rsidR="00E902E8" w:rsidRDefault="00E902E8">
      <w:r>
        <w:continuationSeparator/>
      </w:r>
    </w:p>
  </w:endnote>
  <w:endnote w:type="continuationNotice" w:id="1">
    <w:p w14:paraId="340BFECE" w14:textId="77777777" w:rsidR="00E902E8" w:rsidRDefault="00E9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E902E8" w:rsidRDefault="00E902E8">
      <w:r>
        <w:separator/>
      </w:r>
    </w:p>
  </w:footnote>
  <w:footnote w:type="continuationSeparator" w:id="0">
    <w:p w14:paraId="7F846E8F" w14:textId="77777777" w:rsidR="00E902E8" w:rsidRDefault="00E902E8">
      <w:r>
        <w:continuationSeparator/>
      </w:r>
    </w:p>
  </w:footnote>
  <w:footnote w:type="continuationNotice" w:id="1">
    <w:p w14:paraId="70FA89B9" w14:textId="77777777" w:rsidR="00E902E8" w:rsidRDefault="00E9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5F450D7" w:rsidR="00E902E8" w:rsidRDefault="00E902E8" w:rsidP="00571206">
    <w:pPr>
      <w:pStyle w:val="Header"/>
      <w:jc w:val="center"/>
      <w:rPr>
        <w:rFonts w:ascii="Arial" w:hAnsi="Arial" w:cs="Arial"/>
        <w:b/>
      </w:rPr>
    </w:pPr>
    <w:r>
      <w:rPr>
        <w:rFonts w:ascii="Arial" w:hAnsi="Arial" w:cs="Arial"/>
        <w:b/>
      </w:rPr>
      <w:t>JULY 2022 PBAC MEETING</w:t>
    </w:r>
  </w:p>
  <w:p w14:paraId="0E28AC1B" w14:textId="77777777" w:rsidR="00E902E8" w:rsidRPr="0071356F" w:rsidRDefault="00E902E8"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CF3"/>
    <w:multiLevelType w:val="hybridMultilevel"/>
    <w:tmpl w:val="EE7A6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B19BD"/>
    <w:multiLevelType w:val="hybridMultilevel"/>
    <w:tmpl w:val="6A406F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21C66"/>
    <w:multiLevelType w:val="hybridMultilevel"/>
    <w:tmpl w:val="A9E64B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8"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823B6D"/>
    <w:multiLevelType w:val="hybridMultilevel"/>
    <w:tmpl w:val="CCDA5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6"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7"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7"/>
  </w:num>
  <w:num w:numId="6">
    <w:abstractNumId w:val="2"/>
  </w:num>
  <w:num w:numId="7">
    <w:abstractNumId w:val="9"/>
  </w:num>
  <w:num w:numId="8">
    <w:abstractNumId w:val="1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22"/>
  </w:num>
  <w:num w:numId="13">
    <w:abstractNumId w:val="24"/>
  </w:num>
  <w:num w:numId="14">
    <w:abstractNumId w:val="8"/>
  </w:num>
  <w:num w:numId="15">
    <w:abstractNumId w:val="11"/>
  </w:num>
  <w:num w:numId="16">
    <w:abstractNumId w:val="13"/>
  </w:num>
  <w:num w:numId="17">
    <w:abstractNumId w:val="23"/>
  </w:num>
  <w:num w:numId="18">
    <w:abstractNumId w:val="3"/>
  </w:num>
  <w:num w:numId="19">
    <w:abstractNumId w:val="19"/>
  </w:num>
  <w:num w:numId="20">
    <w:abstractNumId w:val="10"/>
  </w:num>
  <w:num w:numId="21">
    <w:abstractNumId w:val="18"/>
  </w:num>
  <w:num w:numId="22">
    <w:abstractNumId w:val="21"/>
  </w:num>
  <w:num w:numId="23">
    <w:abstractNumId w:val="1"/>
  </w:num>
  <w:num w:numId="24">
    <w:abstractNumId w:val="14"/>
  </w:num>
  <w:num w:numId="25">
    <w:abstractNumId w:val="5"/>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716D"/>
    <w:rsid w:val="00027346"/>
    <w:rsid w:val="00027672"/>
    <w:rsid w:val="00027AB0"/>
    <w:rsid w:val="00030320"/>
    <w:rsid w:val="00030A03"/>
    <w:rsid w:val="00030A49"/>
    <w:rsid w:val="000311AC"/>
    <w:rsid w:val="00031946"/>
    <w:rsid w:val="00032226"/>
    <w:rsid w:val="000322EC"/>
    <w:rsid w:val="00032AB9"/>
    <w:rsid w:val="00032CE5"/>
    <w:rsid w:val="00033D0B"/>
    <w:rsid w:val="00034086"/>
    <w:rsid w:val="00034121"/>
    <w:rsid w:val="000350A9"/>
    <w:rsid w:val="00035472"/>
    <w:rsid w:val="00035622"/>
    <w:rsid w:val="00035CFA"/>
    <w:rsid w:val="000365B0"/>
    <w:rsid w:val="00036CF7"/>
    <w:rsid w:val="00037175"/>
    <w:rsid w:val="00037F52"/>
    <w:rsid w:val="0004019D"/>
    <w:rsid w:val="000407E0"/>
    <w:rsid w:val="00041467"/>
    <w:rsid w:val="0004160D"/>
    <w:rsid w:val="00041F3D"/>
    <w:rsid w:val="00042593"/>
    <w:rsid w:val="00042704"/>
    <w:rsid w:val="000433CA"/>
    <w:rsid w:val="00043755"/>
    <w:rsid w:val="00043C1D"/>
    <w:rsid w:val="00044146"/>
    <w:rsid w:val="0004479C"/>
    <w:rsid w:val="00044BB4"/>
    <w:rsid w:val="00046725"/>
    <w:rsid w:val="000468C0"/>
    <w:rsid w:val="00046DA2"/>
    <w:rsid w:val="00050762"/>
    <w:rsid w:val="000507B9"/>
    <w:rsid w:val="0005150B"/>
    <w:rsid w:val="00051AF5"/>
    <w:rsid w:val="000548C7"/>
    <w:rsid w:val="00054EA7"/>
    <w:rsid w:val="00055866"/>
    <w:rsid w:val="0005661F"/>
    <w:rsid w:val="00057006"/>
    <w:rsid w:val="000575B4"/>
    <w:rsid w:val="000601EA"/>
    <w:rsid w:val="000603CB"/>
    <w:rsid w:val="0006084C"/>
    <w:rsid w:val="000608FE"/>
    <w:rsid w:val="00060E7B"/>
    <w:rsid w:val="000615B0"/>
    <w:rsid w:val="00061E01"/>
    <w:rsid w:val="0006239E"/>
    <w:rsid w:val="0006295A"/>
    <w:rsid w:val="00062DBE"/>
    <w:rsid w:val="00062EE7"/>
    <w:rsid w:val="00062FEE"/>
    <w:rsid w:val="0006357B"/>
    <w:rsid w:val="00063D17"/>
    <w:rsid w:val="000643D0"/>
    <w:rsid w:val="00065195"/>
    <w:rsid w:val="00065C22"/>
    <w:rsid w:val="000672D3"/>
    <w:rsid w:val="0006744F"/>
    <w:rsid w:val="00067A06"/>
    <w:rsid w:val="00067E91"/>
    <w:rsid w:val="00070204"/>
    <w:rsid w:val="00070612"/>
    <w:rsid w:val="0007061C"/>
    <w:rsid w:val="000714CE"/>
    <w:rsid w:val="00071D67"/>
    <w:rsid w:val="00072584"/>
    <w:rsid w:val="000728AC"/>
    <w:rsid w:val="00072F0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C25"/>
    <w:rsid w:val="00161CC6"/>
    <w:rsid w:val="00161CD7"/>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2D91"/>
    <w:rsid w:val="0019395E"/>
    <w:rsid w:val="00193C35"/>
    <w:rsid w:val="0019441C"/>
    <w:rsid w:val="001950D9"/>
    <w:rsid w:val="00195379"/>
    <w:rsid w:val="00195A6E"/>
    <w:rsid w:val="0019614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783"/>
    <w:rsid w:val="00250912"/>
    <w:rsid w:val="00250DBA"/>
    <w:rsid w:val="00251087"/>
    <w:rsid w:val="00251294"/>
    <w:rsid w:val="00251AD5"/>
    <w:rsid w:val="00251E7D"/>
    <w:rsid w:val="002523E5"/>
    <w:rsid w:val="00253058"/>
    <w:rsid w:val="00253764"/>
    <w:rsid w:val="002550D8"/>
    <w:rsid w:val="00256078"/>
    <w:rsid w:val="002564FB"/>
    <w:rsid w:val="00256907"/>
    <w:rsid w:val="00257615"/>
    <w:rsid w:val="00257660"/>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7A"/>
    <w:rsid w:val="00274BA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663C"/>
    <w:rsid w:val="00287C89"/>
    <w:rsid w:val="002905B5"/>
    <w:rsid w:val="002911D8"/>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2427"/>
    <w:rsid w:val="002C2773"/>
    <w:rsid w:val="002C2A4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B4D"/>
    <w:rsid w:val="002E0FD6"/>
    <w:rsid w:val="002E1388"/>
    <w:rsid w:val="002E13B3"/>
    <w:rsid w:val="002E16E6"/>
    <w:rsid w:val="002E1AD3"/>
    <w:rsid w:val="002E1B83"/>
    <w:rsid w:val="002E1C1F"/>
    <w:rsid w:val="002E2688"/>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F1C"/>
    <w:rsid w:val="002E5F3E"/>
    <w:rsid w:val="002E736D"/>
    <w:rsid w:val="002E78AC"/>
    <w:rsid w:val="002F0875"/>
    <w:rsid w:val="002F0884"/>
    <w:rsid w:val="002F1A5B"/>
    <w:rsid w:val="002F1B87"/>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EEA"/>
    <w:rsid w:val="00312151"/>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D77"/>
    <w:rsid w:val="00331B79"/>
    <w:rsid w:val="00331DCA"/>
    <w:rsid w:val="00332129"/>
    <w:rsid w:val="00332736"/>
    <w:rsid w:val="0033322F"/>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78AC"/>
    <w:rsid w:val="003C08BD"/>
    <w:rsid w:val="003C1A62"/>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7E4"/>
    <w:rsid w:val="003D1A6C"/>
    <w:rsid w:val="003D1AEC"/>
    <w:rsid w:val="003D23D5"/>
    <w:rsid w:val="003D2533"/>
    <w:rsid w:val="003D3CD1"/>
    <w:rsid w:val="003D489A"/>
    <w:rsid w:val="003D4EA6"/>
    <w:rsid w:val="003D5944"/>
    <w:rsid w:val="003D5D05"/>
    <w:rsid w:val="003D5ECA"/>
    <w:rsid w:val="003D5FB6"/>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47"/>
    <w:rsid w:val="00417FB8"/>
    <w:rsid w:val="00420584"/>
    <w:rsid w:val="004207B4"/>
    <w:rsid w:val="00421048"/>
    <w:rsid w:val="0042164F"/>
    <w:rsid w:val="00422A93"/>
    <w:rsid w:val="00422BB1"/>
    <w:rsid w:val="00423EA1"/>
    <w:rsid w:val="00424D21"/>
    <w:rsid w:val="00424F3C"/>
    <w:rsid w:val="00425333"/>
    <w:rsid w:val="00425C24"/>
    <w:rsid w:val="00427238"/>
    <w:rsid w:val="004273BF"/>
    <w:rsid w:val="004311FF"/>
    <w:rsid w:val="004314B6"/>
    <w:rsid w:val="00432447"/>
    <w:rsid w:val="00432D97"/>
    <w:rsid w:val="00432F21"/>
    <w:rsid w:val="00433964"/>
    <w:rsid w:val="004349D9"/>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3331"/>
    <w:rsid w:val="00443561"/>
    <w:rsid w:val="00443591"/>
    <w:rsid w:val="00444BA5"/>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8E6"/>
    <w:rsid w:val="004A18FA"/>
    <w:rsid w:val="004A1B4E"/>
    <w:rsid w:val="004A20DA"/>
    <w:rsid w:val="004A2509"/>
    <w:rsid w:val="004A294E"/>
    <w:rsid w:val="004A2E67"/>
    <w:rsid w:val="004A3371"/>
    <w:rsid w:val="004A3391"/>
    <w:rsid w:val="004A3C39"/>
    <w:rsid w:val="004A3FAE"/>
    <w:rsid w:val="004A4291"/>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E64"/>
    <w:rsid w:val="004C33E8"/>
    <w:rsid w:val="004C366F"/>
    <w:rsid w:val="004C44DD"/>
    <w:rsid w:val="004C4A96"/>
    <w:rsid w:val="004C4E5F"/>
    <w:rsid w:val="004C5875"/>
    <w:rsid w:val="004C5F28"/>
    <w:rsid w:val="004C66F8"/>
    <w:rsid w:val="004C6997"/>
    <w:rsid w:val="004C6CDB"/>
    <w:rsid w:val="004C723F"/>
    <w:rsid w:val="004C7C36"/>
    <w:rsid w:val="004C7D16"/>
    <w:rsid w:val="004D0132"/>
    <w:rsid w:val="004D080F"/>
    <w:rsid w:val="004D138E"/>
    <w:rsid w:val="004D185E"/>
    <w:rsid w:val="004D2556"/>
    <w:rsid w:val="004D29F9"/>
    <w:rsid w:val="004D4B61"/>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E71B8"/>
    <w:rsid w:val="004F0671"/>
    <w:rsid w:val="004F0C01"/>
    <w:rsid w:val="004F126D"/>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D65"/>
    <w:rsid w:val="004F7D7B"/>
    <w:rsid w:val="00501519"/>
    <w:rsid w:val="00501659"/>
    <w:rsid w:val="00501733"/>
    <w:rsid w:val="00501B75"/>
    <w:rsid w:val="00501C39"/>
    <w:rsid w:val="00502203"/>
    <w:rsid w:val="005026D4"/>
    <w:rsid w:val="005027B8"/>
    <w:rsid w:val="00503286"/>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1206"/>
    <w:rsid w:val="00571640"/>
    <w:rsid w:val="00571902"/>
    <w:rsid w:val="0057194C"/>
    <w:rsid w:val="00571D62"/>
    <w:rsid w:val="005720AF"/>
    <w:rsid w:val="00572283"/>
    <w:rsid w:val="00572F6B"/>
    <w:rsid w:val="00573604"/>
    <w:rsid w:val="00573DE2"/>
    <w:rsid w:val="00573F29"/>
    <w:rsid w:val="00574949"/>
    <w:rsid w:val="00574AD1"/>
    <w:rsid w:val="0057501B"/>
    <w:rsid w:val="00575F52"/>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43D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6EEF"/>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67F"/>
    <w:rsid w:val="005F2ABB"/>
    <w:rsid w:val="005F3375"/>
    <w:rsid w:val="005F354A"/>
    <w:rsid w:val="005F405A"/>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513B"/>
    <w:rsid w:val="0060529E"/>
    <w:rsid w:val="00605384"/>
    <w:rsid w:val="00605829"/>
    <w:rsid w:val="00606CD7"/>
    <w:rsid w:val="00606FBC"/>
    <w:rsid w:val="006072E8"/>
    <w:rsid w:val="00607C2D"/>
    <w:rsid w:val="00607E71"/>
    <w:rsid w:val="006103A4"/>
    <w:rsid w:val="00610837"/>
    <w:rsid w:val="00610922"/>
    <w:rsid w:val="00610D06"/>
    <w:rsid w:val="00611250"/>
    <w:rsid w:val="00611D8D"/>
    <w:rsid w:val="006122E2"/>
    <w:rsid w:val="006125AA"/>
    <w:rsid w:val="00612638"/>
    <w:rsid w:val="0061367E"/>
    <w:rsid w:val="00613E9D"/>
    <w:rsid w:val="0061423C"/>
    <w:rsid w:val="0061427C"/>
    <w:rsid w:val="0061444C"/>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FB0"/>
    <w:rsid w:val="00661356"/>
    <w:rsid w:val="00662399"/>
    <w:rsid w:val="006628D0"/>
    <w:rsid w:val="00663E53"/>
    <w:rsid w:val="00664A30"/>
    <w:rsid w:val="00664B40"/>
    <w:rsid w:val="006652FD"/>
    <w:rsid w:val="00665679"/>
    <w:rsid w:val="0066568C"/>
    <w:rsid w:val="0066590A"/>
    <w:rsid w:val="00665DB7"/>
    <w:rsid w:val="00666038"/>
    <w:rsid w:val="00666370"/>
    <w:rsid w:val="0066646F"/>
    <w:rsid w:val="00666775"/>
    <w:rsid w:val="00666A5B"/>
    <w:rsid w:val="0066768F"/>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430"/>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062E"/>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4F07"/>
    <w:rsid w:val="006D5843"/>
    <w:rsid w:val="006D6871"/>
    <w:rsid w:val="006D6CA2"/>
    <w:rsid w:val="006D71D3"/>
    <w:rsid w:val="006E02F2"/>
    <w:rsid w:val="006E1FB4"/>
    <w:rsid w:val="006E24D7"/>
    <w:rsid w:val="006E3415"/>
    <w:rsid w:val="006E3962"/>
    <w:rsid w:val="006E464C"/>
    <w:rsid w:val="006E4970"/>
    <w:rsid w:val="006E4A6B"/>
    <w:rsid w:val="006E4CCB"/>
    <w:rsid w:val="006E4CCC"/>
    <w:rsid w:val="006E516B"/>
    <w:rsid w:val="006E64FC"/>
    <w:rsid w:val="006E6536"/>
    <w:rsid w:val="006E6A28"/>
    <w:rsid w:val="006E78A4"/>
    <w:rsid w:val="006E7A04"/>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7C7"/>
    <w:rsid w:val="0073490E"/>
    <w:rsid w:val="0073536C"/>
    <w:rsid w:val="007359A2"/>
    <w:rsid w:val="007360A9"/>
    <w:rsid w:val="0073699B"/>
    <w:rsid w:val="0073710F"/>
    <w:rsid w:val="00737362"/>
    <w:rsid w:val="00737753"/>
    <w:rsid w:val="007409AA"/>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7E7"/>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7AE0"/>
    <w:rsid w:val="007B01E7"/>
    <w:rsid w:val="007B0810"/>
    <w:rsid w:val="007B0DC2"/>
    <w:rsid w:val="007B104F"/>
    <w:rsid w:val="007B120B"/>
    <w:rsid w:val="007B1418"/>
    <w:rsid w:val="007B1C29"/>
    <w:rsid w:val="007B2177"/>
    <w:rsid w:val="007B2FF1"/>
    <w:rsid w:val="007B3584"/>
    <w:rsid w:val="007B3BDC"/>
    <w:rsid w:val="007B3F86"/>
    <w:rsid w:val="007B41BE"/>
    <w:rsid w:val="007B482A"/>
    <w:rsid w:val="007B52BB"/>
    <w:rsid w:val="007B56E1"/>
    <w:rsid w:val="007B7BB1"/>
    <w:rsid w:val="007C0B47"/>
    <w:rsid w:val="007C1229"/>
    <w:rsid w:val="007C17AB"/>
    <w:rsid w:val="007C1DFF"/>
    <w:rsid w:val="007C1E1D"/>
    <w:rsid w:val="007C2145"/>
    <w:rsid w:val="007C21A1"/>
    <w:rsid w:val="007C2349"/>
    <w:rsid w:val="007C377C"/>
    <w:rsid w:val="007C378F"/>
    <w:rsid w:val="007C3815"/>
    <w:rsid w:val="007C3B7F"/>
    <w:rsid w:val="007C5B20"/>
    <w:rsid w:val="007C65FA"/>
    <w:rsid w:val="007C685F"/>
    <w:rsid w:val="007C7F59"/>
    <w:rsid w:val="007D069C"/>
    <w:rsid w:val="007D1AFD"/>
    <w:rsid w:val="007D1E73"/>
    <w:rsid w:val="007D23C4"/>
    <w:rsid w:val="007D2FC8"/>
    <w:rsid w:val="007D310A"/>
    <w:rsid w:val="007D408D"/>
    <w:rsid w:val="007D4CD5"/>
    <w:rsid w:val="007D52A7"/>
    <w:rsid w:val="007D5BD5"/>
    <w:rsid w:val="007D619D"/>
    <w:rsid w:val="007D658F"/>
    <w:rsid w:val="007D6B04"/>
    <w:rsid w:val="007D6D6F"/>
    <w:rsid w:val="007D6E6D"/>
    <w:rsid w:val="007D6F5D"/>
    <w:rsid w:val="007D7604"/>
    <w:rsid w:val="007D7729"/>
    <w:rsid w:val="007D7AA9"/>
    <w:rsid w:val="007D7F8B"/>
    <w:rsid w:val="007E075D"/>
    <w:rsid w:val="007E0803"/>
    <w:rsid w:val="007E0D86"/>
    <w:rsid w:val="007E170B"/>
    <w:rsid w:val="007E1720"/>
    <w:rsid w:val="007E18BA"/>
    <w:rsid w:val="007E18FA"/>
    <w:rsid w:val="007E1DF2"/>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3616"/>
    <w:rsid w:val="00844B2A"/>
    <w:rsid w:val="00844ED2"/>
    <w:rsid w:val="0084562E"/>
    <w:rsid w:val="008470E8"/>
    <w:rsid w:val="0084736D"/>
    <w:rsid w:val="008479BC"/>
    <w:rsid w:val="00847C79"/>
    <w:rsid w:val="00850A19"/>
    <w:rsid w:val="00850AFC"/>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7F4"/>
    <w:rsid w:val="00856542"/>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480A"/>
    <w:rsid w:val="008B4F76"/>
    <w:rsid w:val="008B58D9"/>
    <w:rsid w:val="008B64DC"/>
    <w:rsid w:val="008B6AFD"/>
    <w:rsid w:val="008B6B42"/>
    <w:rsid w:val="008B70D9"/>
    <w:rsid w:val="008B7236"/>
    <w:rsid w:val="008C07A9"/>
    <w:rsid w:val="008C0944"/>
    <w:rsid w:val="008C0A39"/>
    <w:rsid w:val="008C1814"/>
    <w:rsid w:val="008C18D1"/>
    <w:rsid w:val="008C3CCC"/>
    <w:rsid w:val="008C4084"/>
    <w:rsid w:val="008C4116"/>
    <w:rsid w:val="008C4162"/>
    <w:rsid w:val="008C43A5"/>
    <w:rsid w:val="008C5C81"/>
    <w:rsid w:val="008C5CDF"/>
    <w:rsid w:val="008C6580"/>
    <w:rsid w:val="008C7162"/>
    <w:rsid w:val="008C7375"/>
    <w:rsid w:val="008C79F3"/>
    <w:rsid w:val="008D0267"/>
    <w:rsid w:val="008D04D0"/>
    <w:rsid w:val="008D1097"/>
    <w:rsid w:val="008D11A8"/>
    <w:rsid w:val="008D1417"/>
    <w:rsid w:val="008D1DF5"/>
    <w:rsid w:val="008D1F27"/>
    <w:rsid w:val="008D2EFD"/>
    <w:rsid w:val="008D2F95"/>
    <w:rsid w:val="008D384C"/>
    <w:rsid w:val="008D3EF5"/>
    <w:rsid w:val="008D483E"/>
    <w:rsid w:val="008D4B98"/>
    <w:rsid w:val="008D4BD7"/>
    <w:rsid w:val="008D5469"/>
    <w:rsid w:val="008D56F1"/>
    <w:rsid w:val="008D62B4"/>
    <w:rsid w:val="008D6375"/>
    <w:rsid w:val="008D7D36"/>
    <w:rsid w:val="008E02E0"/>
    <w:rsid w:val="008E04F0"/>
    <w:rsid w:val="008E0670"/>
    <w:rsid w:val="008E114F"/>
    <w:rsid w:val="008E1153"/>
    <w:rsid w:val="008E1D76"/>
    <w:rsid w:val="008E1DAF"/>
    <w:rsid w:val="008E2594"/>
    <w:rsid w:val="008E2DD0"/>
    <w:rsid w:val="008E3455"/>
    <w:rsid w:val="008E3BFB"/>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07057"/>
    <w:rsid w:val="00910287"/>
    <w:rsid w:val="00910D9D"/>
    <w:rsid w:val="00910F33"/>
    <w:rsid w:val="00911691"/>
    <w:rsid w:val="009118B0"/>
    <w:rsid w:val="00912000"/>
    <w:rsid w:val="009120D7"/>
    <w:rsid w:val="009124E6"/>
    <w:rsid w:val="00913944"/>
    <w:rsid w:val="00913EF4"/>
    <w:rsid w:val="00915B92"/>
    <w:rsid w:val="00916440"/>
    <w:rsid w:val="00916748"/>
    <w:rsid w:val="00917332"/>
    <w:rsid w:val="009177FA"/>
    <w:rsid w:val="009202C5"/>
    <w:rsid w:val="009205FD"/>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45D"/>
    <w:rsid w:val="009B5957"/>
    <w:rsid w:val="009B5C0B"/>
    <w:rsid w:val="009B6013"/>
    <w:rsid w:val="009B7273"/>
    <w:rsid w:val="009B7356"/>
    <w:rsid w:val="009B7FAC"/>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1578"/>
    <w:rsid w:val="009D485D"/>
    <w:rsid w:val="009D5416"/>
    <w:rsid w:val="009D6353"/>
    <w:rsid w:val="009D6B28"/>
    <w:rsid w:val="009D6CF0"/>
    <w:rsid w:val="009D6E22"/>
    <w:rsid w:val="009D71D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1D9"/>
    <w:rsid w:val="00A1253F"/>
    <w:rsid w:val="00A12ACB"/>
    <w:rsid w:val="00A13C50"/>
    <w:rsid w:val="00A14331"/>
    <w:rsid w:val="00A145EB"/>
    <w:rsid w:val="00A14AB2"/>
    <w:rsid w:val="00A14AC9"/>
    <w:rsid w:val="00A159CA"/>
    <w:rsid w:val="00A175A7"/>
    <w:rsid w:val="00A17608"/>
    <w:rsid w:val="00A177D9"/>
    <w:rsid w:val="00A1787D"/>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F"/>
    <w:rsid w:val="00A35BF0"/>
    <w:rsid w:val="00A35D94"/>
    <w:rsid w:val="00A362F7"/>
    <w:rsid w:val="00A36940"/>
    <w:rsid w:val="00A36990"/>
    <w:rsid w:val="00A36EBD"/>
    <w:rsid w:val="00A37C51"/>
    <w:rsid w:val="00A40F98"/>
    <w:rsid w:val="00A4174E"/>
    <w:rsid w:val="00A42AD8"/>
    <w:rsid w:val="00A43813"/>
    <w:rsid w:val="00A439B7"/>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6CB"/>
    <w:rsid w:val="00A542F8"/>
    <w:rsid w:val="00A54524"/>
    <w:rsid w:val="00A55A47"/>
    <w:rsid w:val="00A56DF0"/>
    <w:rsid w:val="00A574BF"/>
    <w:rsid w:val="00A5790F"/>
    <w:rsid w:val="00A579F8"/>
    <w:rsid w:val="00A605E1"/>
    <w:rsid w:val="00A60C15"/>
    <w:rsid w:val="00A60F08"/>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4E9"/>
    <w:rsid w:val="00AA67F0"/>
    <w:rsid w:val="00AA7897"/>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669"/>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51E"/>
    <w:rsid w:val="00AF000E"/>
    <w:rsid w:val="00AF16A0"/>
    <w:rsid w:val="00AF17A5"/>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C97"/>
    <w:rsid w:val="00B0115C"/>
    <w:rsid w:val="00B01F83"/>
    <w:rsid w:val="00B02BD8"/>
    <w:rsid w:val="00B0338C"/>
    <w:rsid w:val="00B0396C"/>
    <w:rsid w:val="00B03F9B"/>
    <w:rsid w:val="00B0432F"/>
    <w:rsid w:val="00B043ED"/>
    <w:rsid w:val="00B054FF"/>
    <w:rsid w:val="00B05CB6"/>
    <w:rsid w:val="00B0633F"/>
    <w:rsid w:val="00B06DE5"/>
    <w:rsid w:val="00B070A0"/>
    <w:rsid w:val="00B07CC0"/>
    <w:rsid w:val="00B102F5"/>
    <w:rsid w:val="00B103E9"/>
    <w:rsid w:val="00B10BEF"/>
    <w:rsid w:val="00B11539"/>
    <w:rsid w:val="00B11586"/>
    <w:rsid w:val="00B11E6D"/>
    <w:rsid w:val="00B11FA4"/>
    <w:rsid w:val="00B12242"/>
    <w:rsid w:val="00B1393B"/>
    <w:rsid w:val="00B140D2"/>
    <w:rsid w:val="00B1462C"/>
    <w:rsid w:val="00B14CD1"/>
    <w:rsid w:val="00B15491"/>
    <w:rsid w:val="00B15580"/>
    <w:rsid w:val="00B1562F"/>
    <w:rsid w:val="00B16D0D"/>
    <w:rsid w:val="00B16D63"/>
    <w:rsid w:val="00B174AB"/>
    <w:rsid w:val="00B17629"/>
    <w:rsid w:val="00B2135F"/>
    <w:rsid w:val="00B21D6E"/>
    <w:rsid w:val="00B222B5"/>
    <w:rsid w:val="00B22C39"/>
    <w:rsid w:val="00B22D8C"/>
    <w:rsid w:val="00B22DE0"/>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B7E"/>
    <w:rsid w:val="00B87BE1"/>
    <w:rsid w:val="00B87DD5"/>
    <w:rsid w:val="00B90F96"/>
    <w:rsid w:val="00B9219F"/>
    <w:rsid w:val="00B926CB"/>
    <w:rsid w:val="00B92BB9"/>
    <w:rsid w:val="00B933B2"/>
    <w:rsid w:val="00B936CB"/>
    <w:rsid w:val="00B93BDF"/>
    <w:rsid w:val="00B93CAF"/>
    <w:rsid w:val="00B941B6"/>
    <w:rsid w:val="00B94A06"/>
    <w:rsid w:val="00B952E7"/>
    <w:rsid w:val="00B95B2F"/>
    <w:rsid w:val="00B95E21"/>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6270"/>
    <w:rsid w:val="00BF67B7"/>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6C42"/>
    <w:rsid w:val="00C06D80"/>
    <w:rsid w:val="00C06EB2"/>
    <w:rsid w:val="00C073DA"/>
    <w:rsid w:val="00C079DB"/>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53BC"/>
    <w:rsid w:val="00C16490"/>
    <w:rsid w:val="00C16D7F"/>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7D"/>
    <w:rsid w:val="00C31756"/>
    <w:rsid w:val="00C31F7F"/>
    <w:rsid w:val="00C32186"/>
    <w:rsid w:val="00C335AE"/>
    <w:rsid w:val="00C3427B"/>
    <w:rsid w:val="00C34E1F"/>
    <w:rsid w:val="00C35C70"/>
    <w:rsid w:val="00C35E26"/>
    <w:rsid w:val="00C3626A"/>
    <w:rsid w:val="00C36684"/>
    <w:rsid w:val="00C36DCC"/>
    <w:rsid w:val="00C36F0A"/>
    <w:rsid w:val="00C36F4F"/>
    <w:rsid w:val="00C372CB"/>
    <w:rsid w:val="00C4067A"/>
    <w:rsid w:val="00C41480"/>
    <w:rsid w:val="00C417F1"/>
    <w:rsid w:val="00C44052"/>
    <w:rsid w:val="00C44368"/>
    <w:rsid w:val="00C46111"/>
    <w:rsid w:val="00C46822"/>
    <w:rsid w:val="00C46CE5"/>
    <w:rsid w:val="00C4706F"/>
    <w:rsid w:val="00C47CFC"/>
    <w:rsid w:val="00C50206"/>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A"/>
    <w:rsid w:val="00C63C3D"/>
    <w:rsid w:val="00C644BF"/>
    <w:rsid w:val="00C65163"/>
    <w:rsid w:val="00C65728"/>
    <w:rsid w:val="00C65B6B"/>
    <w:rsid w:val="00C66492"/>
    <w:rsid w:val="00C664AB"/>
    <w:rsid w:val="00C66584"/>
    <w:rsid w:val="00C665A9"/>
    <w:rsid w:val="00C66705"/>
    <w:rsid w:val="00C67754"/>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63D3"/>
    <w:rsid w:val="00CD6924"/>
    <w:rsid w:val="00CD7055"/>
    <w:rsid w:val="00CD7340"/>
    <w:rsid w:val="00CD73E8"/>
    <w:rsid w:val="00CD78B1"/>
    <w:rsid w:val="00CE047A"/>
    <w:rsid w:val="00CE06B1"/>
    <w:rsid w:val="00CE0944"/>
    <w:rsid w:val="00CE0A76"/>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7105"/>
    <w:rsid w:val="00CF7271"/>
    <w:rsid w:val="00CF7305"/>
    <w:rsid w:val="00D005E0"/>
    <w:rsid w:val="00D00AD1"/>
    <w:rsid w:val="00D012FF"/>
    <w:rsid w:val="00D0157B"/>
    <w:rsid w:val="00D01CC4"/>
    <w:rsid w:val="00D01E6B"/>
    <w:rsid w:val="00D0354D"/>
    <w:rsid w:val="00D0497C"/>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2B75"/>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35AB"/>
    <w:rsid w:val="00D94E4C"/>
    <w:rsid w:val="00D95709"/>
    <w:rsid w:val="00D958D7"/>
    <w:rsid w:val="00D96083"/>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15A"/>
    <w:rsid w:val="00DB1DCE"/>
    <w:rsid w:val="00DB31DB"/>
    <w:rsid w:val="00DB3213"/>
    <w:rsid w:val="00DB387C"/>
    <w:rsid w:val="00DB42F5"/>
    <w:rsid w:val="00DB43F8"/>
    <w:rsid w:val="00DB46DA"/>
    <w:rsid w:val="00DB5A7F"/>
    <w:rsid w:val="00DB640B"/>
    <w:rsid w:val="00DB656B"/>
    <w:rsid w:val="00DB6A23"/>
    <w:rsid w:val="00DB75BE"/>
    <w:rsid w:val="00DB7CD6"/>
    <w:rsid w:val="00DB7D6B"/>
    <w:rsid w:val="00DC00C2"/>
    <w:rsid w:val="00DC01DD"/>
    <w:rsid w:val="00DC198F"/>
    <w:rsid w:val="00DC29D6"/>
    <w:rsid w:val="00DC2DA2"/>
    <w:rsid w:val="00DC2F60"/>
    <w:rsid w:val="00DC3149"/>
    <w:rsid w:val="00DC3FB4"/>
    <w:rsid w:val="00DC430F"/>
    <w:rsid w:val="00DC43B0"/>
    <w:rsid w:val="00DC478C"/>
    <w:rsid w:val="00DC47BF"/>
    <w:rsid w:val="00DC4CEC"/>
    <w:rsid w:val="00DC5F0A"/>
    <w:rsid w:val="00DC6348"/>
    <w:rsid w:val="00DC6447"/>
    <w:rsid w:val="00DC6F43"/>
    <w:rsid w:val="00DD086B"/>
    <w:rsid w:val="00DD0C80"/>
    <w:rsid w:val="00DD145B"/>
    <w:rsid w:val="00DD2409"/>
    <w:rsid w:val="00DD2798"/>
    <w:rsid w:val="00DD2A6B"/>
    <w:rsid w:val="00DD3217"/>
    <w:rsid w:val="00DD3A79"/>
    <w:rsid w:val="00DD4174"/>
    <w:rsid w:val="00DD418A"/>
    <w:rsid w:val="00DD452E"/>
    <w:rsid w:val="00DD4929"/>
    <w:rsid w:val="00DD6998"/>
    <w:rsid w:val="00DD7C32"/>
    <w:rsid w:val="00DD7D9D"/>
    <w:rsid w:val="00DE00A7"/>
    <w:rsid w:val="00DE0A7D"/>
    <w:rsid w:val="00DE0DC9"/>
    <w:rsid w:val="00DE12EF"/>
    <w:rsid w:val="00DE19AA"/>
    <w:rsid w:val="00DE1BFE"/>
    <w:rsid w:val="00DE367F"/>
    <w:rsid w:val="00DE3E2A"/>
    <w:rsid w:val="00DE4973"/>
    <w:rsid w:val="00DE4F7F"/>
    <w:rsid w:val="00DE5469"/>
    <w:rsid w:val="00DE54CA"/>
    <w:rsid w:val="00DE5D83"/>
    <w:rsid w:val="00DE5E44"/>
    <w:rsid w:val="00DE6EC6"/>
    <w:rsid w:val="00DE704F"/>
    <w:rsid w:val="00DE7DBA"/>
    <w:rsid w:val="00DE7FB5"/>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F41"/>
    <w:rsid w:val="00E91398"/>
    <w:rsid w:val="00E9159F"/>
    <w:rsid w:val="00E91897"/>
    <w:rsid w:val="00E91BF4"/>
    <w:rsid w:val="00E91E02"/>
    <w:rsid w:val="00E92398"/>
    <w:rsid w:val="00E92777"/>
    <w:rsid w:val="00E92CBF"/>
    <w:rsid w:val="00E92E0A"/>
    <w:rsid w:val="00E9381C"/>
    <w:rsid w:val="00E93CFD"/>
    <w:rsid w:val="00E94584"/>
    <w:rsid w:val="00E95C26"/>
    <w:rsid w:val="00E95CEA"/>
    <w:rsid w:val="00E962EC"/>
    <w:rsid w:val="00E967F1"/>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499A"/>
    <w:rsid w:val="00EF4E97"/>
    <w:rsid w:val="00EF61FC"/>
    <w:rsid w:val="00EF7388"/>
    <w:rsid w:val="00EF75A6"/>
    <w:rsid w:val="00EF7C48"/>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7647"/>
    <w:rsid w:val="00F97724"/>
    <w:rsid w:val="00F97A19"/>
    <w:rsid w:val="00FA068B"/>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C51"/>
    <w:rsid w:val="00FB3935"/>
    <w:rsid w:val="00FB4250"/>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A8B"/>
    <w:rsid w:val="00FD0CE5"/>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10229</Words>
  <Characters>59643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2022-11-01T01:43:00Z</dcterms:created>
  <dcterms:modified xsi:type="dcterms:W3CDTF">2022-11-02T21:26:00Z</dcterms:modified>
</cp:coreProperties>
</file>