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6AB0EE" w14:textId="77777777" w:rsidR="00D7136A" w:rsidRDefault="00464DA0" w:rsidP="00052897">
      <w:pPr>
        <w:contextualSpacing/>
        <w:jc w:val="both"/>
        <w:rPr>
          <w:rFonts w:ascii="Arial" w:hAnsi="Arial" w:cs="Arial"/>
          <w:b/>
          <w:szCs w:val="20"/>
          <w:lang w:val="en-AU" w:eastAsia="en-AU"/>
        </w:rPr>
      </w:pPr>
      <w:r>
        <w:rPr>
          <w:rFonts w:ascii="Arial" w:hAnsi="Arial" w:cs="Arial"/>
          <w:b/>
          <w:sz w:val="28"/>
          <w:lang w:val="en-AU" w:eastAsia="en-AU"/>
        </w:rPr>
        <w:t xml:space="preserve">PBAC CONSIDERATION OF THE </w:t>
      </w:r>
      <w:r w:rsidR="00D7136A">
        <w:rPr>
          <w:rFonts w:ascii="Arial" w:hAnsi="Arial" w:cs="Arial"/>
          <w:b/>
          <w:sz w:val="28"/>
          <w:lang w:val="en-AU" w:eastAsia="en-AU"/>
        </w:rPr>
        <w:t>REPORT</w:t>
      </w:r>
      <w:r w:rsidR="00267A9D">
        <w:rPr>
          <w:rFonts w:ascii="Arial" w:hAnsi="Arial" w:cs="Arial"/>
          <w:b/>
          <w:sz w:val="28"/>
          <w:lang w:val="en-AU" w:eastAsia="en-AU"/>
        </w:rPr>
        <w:t xml:space="preserve"> OF THE DRUG </w:t>
      </w:r>
      <w:r w:rsidR="00D7136A" w:rsidRPr="00B94022">
        <w:rPr>
          <w:rFonts w:ascii="Arial" w:hAnsi="Arial" w:cs="Arial"/>
          <w:b/>
          <w:sz w:val="28"/>
          <w:lang w:val="en-AU" w:eastAsia="en-AU"/>
        </w:rPr>
        <w:t>UTILISATION SUB-COMMITTEE</w:t>
      </w:r>
    </w:p>
    <w:p w14:paraId="7F124E9C" w14:textId="77777777" w:rsidR="00D7136A" w:rsidRPr="006951BF" w:rsidRDefault="00D7136A" w:rsidP="00052897">
      <w:pPr>
        <w:jc w:val="both"/>
        <w:rPr>
          <w:rFonts w:ascii="Arial" w:hAnsi="Arial" w:cs="Arial"/>
          <w:b/>
          <w:sz w:val="28"/>
          <w:szCs w:val="20"/>
          <w:lang w:val="en-AU" w:eastAsia="en-AU"/>
        </w:rPr>
      </w:pPr>
    </w:p>
    <w:p w14:paraId="7C5EA0B1" w14:textId="223BE474" w:rsidR="00D7136A" w:rsidRPr="006951BF" w:rsidRDefault="00D7136A" w:rsidP="00052897">
      <w:pPr>
        <w:contextualSpacing/>
        <w:jc w:val="both"/>
        <w:rPr>
          <w:rFonts w:ascii="Arial" w:hAnsi="Arial" w:cs="Arial"/>
          <w:color w:val="A6A6A6"/>
          <w:sz w:val="22"/>
          <w:lang w:val="en-AU" w:eastAsia="en-AU"/>
        </w:rPr>
      </w:pPr>
      <w:r w:rsidRPr="006951BF">
        <w:rPr>
          <w:rFonts w:ascii="Arial" w:hAnsi="Arial" w:cs="Arial"/>
          <w:sz w:val="22"/>
          <w:lang w:val="en-AU" w:eastAsia="en-AU"/>
        </w:rPr>
        <w:t xml:space="preserve">The PBAC noted reports with associated stakeholder responses from the </w:t>
      </w:r>
      <w:r w:rsidR="00F159FC">
        <w:rPr>
          <w:rFonts w:ascii="Arial" w:hAnsi="Arial" w:cs="Arial"/>
          <w:sz w:val="22"/>
          <w:lang w:val="en-AU" w:eastAsia="en-AU"/>
        </w:rPr>
        <w:t xml:space="preserve">September </w:t>
      </w:r>
      <w:r w:rsidR="00E86AE7">
        <w:rPr>
          <w:rFonts w:ascii="Arial" w:hAnsi="Arial" w:cs="Arial"/>
          <w:sz w:val="22"/>
          <w:lang w:val="en-AU" w:eastAsia="en-AU"/>
        </w:rPr>
        <w:t>2022</w:t>
      </w:r>
      <w:r w:rsidR="00DB4B4C">
        <w:rPr>
          <w:rFonts w:ascii="Arial" w:hAnsi="Arial" w:cs="Arial"/>
          <w:sz w:val="22"/>
          <w:lang w:val="en-AU" w:eastAsia="en-AU"/>
        </w:rPr>
        <w:t xml:space="preserve"> </w:t>
      </w:r>
      <w:r w:rsidR="00A31269" w:rsidRPr="006951BF">
        <w:rPr>
          <w:rFonts w:ascii="Arial" w:hAnsi="Arial" w:cs="Arial"/>
          <w:sz w:val="22"/>
          <w:lang w:val="en-AU" w:eastAsia="en-AU"/>
        </w:rPr>
        <w:t xml:space="preserve">Drug Utilisation Sub-Committee (DUSC) </w:t>
      </w:r>
      <w:r w:rsidRPr="006951BF">
        <w:rPr>
          <w:rFonts w:ascii="Arial" w:hAnsi="Arial" w:cs="Arial"/>
          <w:sz w:val="22"/>
          <w:lang w:val="en-AU" w:eastAsia="en-AU"/>
        </w:rPr>
        <w:t>meeting, which were provided in Item</w:t>
      </w:r>
      <w:r w:rsidR="00A31269" w:rsidRPr="006951BF">
        <w:rPr>
          <w:rFonts w:ascii="Arial" w:hAnsi="Arial" w:cs="Arial"/>
          <w:sz w:val="22"/>
          <w:lang w:val="en-AU" w:eastAsia="en-AU"/>
        </w:rPr>
        <w:t>s 10.0</w:t>
      </w:r>
      <w:r w:rsidR="006354AB">
        <w:rPr>
          <w:rFonts w:ascii="Arial" w:hAnsi="Arial" w:cs="Arial"/>
          <w:sz w:val="22"/>
          <w:lang w:val="en-AU" w:eastAsia="en-AU"/>
        </w:rPr>
        <w:t>2, 10.03, 10.04, 10.07</w:t>
      </w:r>
      <w:r w:rsidR="001D38C7">
        <w:rPr>
          <w:rFonts w:ascii="Arial" w:hAnsi="Arial" w:cs="Arial"/>
          <w:sz w:val="22"/>
          <w:lang w:val="en-AU" w:eastAsia="en-AU"/>
        </w:rPr>
        <w:t xml:space="preserve"> and</w:t>
      </w:r>
      <w:r w:rsidR="005D774C">
        <w:rPr>
          <w:rFonts w:ascii="Arial" w:hAnsi="Arial" w:cs="Arial"/>
          <w:sz w:val="22"/>
          <w:lang w:val="en-AU" w:eastAsia="en-AU"/>
        </w:rPr>
        <w:t xml:space="preserve"> 10.0</w:t>
      </w:r>
      <w:r w:rsidR="006354AB">
        <w:rPr>
          <w:rFonts w:ascii="Arial" w:hAnsi="Arial" w:cs="Arial"/>
          <w:sz w:val="22"/>
          <w:lang w:val="en-AU" w:eastAsia="en-AU"/>
        </w:rPr>
        <w:t>8</w:t>
      </w:r>
      <w:r w:rsidR="00C229C3">
        <w:rPr>
          <w:rFonts w:ascii="Arial" w:hAnsi="Arial" w:cs="Arial"/>
          <w:sz w:val="22"/>
          <w:lang w:val="en-AU" w:eastAsia="en-AU"/>
        </w:rPr>
        <w:t xml:space="preserve"> </w:t>
      </w:r>
      <w:r w:rsidRPr="006951BF">
        <w:rPr>
          <w:rFonts w:ascii="Arial" w:hAnsi="Arial" w:cs="Arial"/>
          <w:sz w:val="22"/>
          <w:lang w:val="en-AU" w:eastAsia="en-AU"/>
        </w:rPr>
        <w:t xml:space="preserve">of the PBAC Agenda. </w:t>
      </w:r>
      <w:r w:rsidR="00A31269" w:rsidRPr="006951BF">
        <w:rPr>
          <w:rFonts w:ascii="Arial" w:hAnsi="Arial" w:cs="Arial"/>
          <w:sz w:val="22"/>
          <w:lang w:val="en-AU" w:eastAsia="en-AU"/>
        </w:rPr>
        <w:t>DUSC minutes relating to these items were provided to the PBAC</w:t>
      </w:r>
      <w:r w:rsidR="00F8213A">
        <w:rPr>
          <w:rFonts w:ascii="Arial" w:hAnsi="Arial" w:cs="Arial"/>
          <w:sz w:val="22"/>
          <w:lang w:val="en-AU" w:eastAsia="en-AU"/>
        </w:rPr>
        <w:t>. The outcomes of the DUSC consideration of these items are available in</w:t>
      </w:r>
      <w:r w:rsidR="00CB6BC5">
        <w:rPr>
          <w:rFonts w:ascii="Arial" w:hAnsi="Arial" w:cs="Arial"/>
          <w:sz w:val="22"/>
          <w:lang w:val="en-AU" w:eastAsia="en-AU"/>
        </w:rPr>
        <w:t xml:space="preserve"> the</w:t>
      </w:r>
      <w:r w:rsidR="00BD0BA3">
        <w:rPr>
          <w:rFonts w:ascii="Arial" w:hAnsi="Arial" w:cs="Arial"/>
          <w:sz w:val="22"/>
          <w:lang w:val="en-AU" w:eastAsia="en-AU"/>
        </w:rPr>
        <w:t xml:space="preserve"> </w:t>
      </w:r>
      <w:hyperlink r:id="rId8" w:history="1">
        <w:r w:rsidR="006354AB">
          <w:rPr>
            <w:rStyle w:val="Hyperlink"/>
            <w:rFonts w:ascii="Arial" w:hAnsi="Arial" w:cs="Arial"/>
            <w:sz w:val="22"/>
            <w:lang w:val="en-AU" w:eastAsia="en-AU"/>
          </w:rPr>
          <w:t>November</w:t>
        </w:r>
        <w:r w:rsidR="00E86AE7">
          <w:rPr>
            <w:rStyle w:val="Hyperlink"/>
            <w:rFonts w:ascii="Arial" w:hAnsi="Arial" w:cs="Arial"/>
            <w:sz w:val="22"/>
            <w:lang w:val="en-AU" w:eastAsia="en-AU"/>
          </w:rPr>
          <w:t xml:space="preserve"> 2022</w:t>
        </w:r>
        <w:r w:rsidR="00E86AE7" w:rsidRPr="00BD0BA3">
          <w:rPr>
            <w:rStyle w:val="Hyperlink"/>
            <w:rFonts w:ascii="Arial" w:hAnsi="Arial" w:cs="Arial"/>
            <w:sz w:val="22"/>
            <w:lang w:val="en-AU" w:eastAsia="en-AU"/>
          </w:rPr>
          <w:t xml:space="preserve"> DUSC outcome statement</w:t>
        </w:r>
      </w:hyperlink>
      <w:r w:rsidR="00BD0BA3">
        <w:rPr>
          <w:rFonts w:ascii="Arial" w:hAnsi="Arial" w:cs="Arial"/>
          <w:sz w:val="22"/>
          <w:lang w:val="en-AU" w:eastAsia="en-AU"/>
        </w:rPr>
        <w:t>.</w:t>
      </w:r>
    </w:p>
    <w:p w14:paraId="2BEF9007" w14:textId="56217C85" w:rsidR="005616CC" w:rsidRDefault="005616CC" w:rsidP="00052897">
      <w:pPr>
        <w:contextualSpacing/>
        <w:jc w:val="both"/>
        <w:rPr>
          <w:rFonts w:ascii="Arial" w:hAnsi="Arial" w:cs="Arial"/>
          <w:b/>
          <w:sz w:val="22"/>
          <w:lang w:val="en-AU" w:eastAsia="en-AU"/>
        </w:rPr>
      </w:pPr>
    </w:p>
    <w:p w14:paraId="5DB2DFD8" w14:textId="77777777" w:rsidR="001E1951" w:rsidRPr="006951BF" w:rsidRDefault="001E1951" w:rsidP="00973009">
      <w:pPr>
        <w:contextualSpacing/>
        <w:jc w:val="both"/>
        <w:rPr>
          <w:rFonts w:ascii="Arial" w:hAnsi="Arial" w:cs="Arial"/>
          <w:b/>
          <w:sz w:val="22"/>
          <w:lang w:val="en-AU" w:eastAsia="en-AU"/>
        </w:rPr>
      </w:pPr>
    </w:p>
    <w:p w14:paraId="536A5C33" w14:textId="56B14E6D" w:rsidR="00614F10" w:rsidRDefault="006354AB" w:rsidP="00973009">
      <w:pPr>
        <w:spacing w:after="120"/>
        <w:jc w:val="both"/>
        <w:rPr>
          <w:rFonts w:ascii="Arial" w:hAnsi="Arial" w:cs="Arial"/>
          <w:b/>
          <w:sz w:val="22"/>
          <w:lang w:val="en-AU" w:eastAsia="en-AU"/>
        </w:rPr>
      </w:pPr>
      <w:r w:rsidRPr="006354AB">
        <w:rPr>
          <w:rFonts w:ascii="Arial" w:hAnsi="Arial" w:cs="Arial"/>
          <w:b/>
          <w:sz w:val="22"/>
          <w:lang w:val="en-AU" w:eastAsia="en-AU"/>
        </w:rPr>
        <w:t>UTILISATION OF MEDICINES FOR NON-SMALL CELL LUNG CANCER (NSCLC), INCLUDING AN ASSESSMENT OF THE PREDICTED VERSUS ACTUAL USE OF DURVALUMAB</w:t>
      </w:r>
    </w:p>
    <w:p w14:paraId="4711D0AD" w14:textId="775BB015" w:rsidR="00A31269" w:rsidRDefault="00A31269" w:rsidP="00973009">
      <w:pPr>
        <w:spacing w:after="120"/>
        <w:jc w:val="both"/>
        <w:rPr>
          <w:rFonts w:ascii="Arial" w:hAnsi="Arial" w:cs="Arial"/>
          <w:i/>
          <w:sz w:val="22"/>
          <w:szCs w:val="22"/>
        </w:rPr>
      </w:pPr>
      <w:r w:rsidRPr="00362AC3">
        <w:rPr>
          <w:rFonts w:ascii="Arial" w:hAnsi="Arial" w:cs="Arial"/>
          <w:i/>
          <w:sz w:val="22"/>
          <w:szCs w:val="22"/>
        </w:rPr>
        <w:t>Outcome</w:t>
      </w:r>
    </w:p>
    <w:p w14:paraId="06E38B51" w14:textId="0BA6FC81" w:rsidR="006354AB" w:rsidRPr="006354AB" w:rsidRDefault="006354AB" w:rsidP="00973009">
      <w:pPr>
        <w:spacing w:after="120"/>
        <w:jc w:val="both"/>
        <w:rPr>
          <w:rFonts w:ascii="Arial" w:hAnsi="Arial" w:cs="Arial"/>
          <w:iCs/>
          <w:sz w:val="22"/>
          <w:szCs w:val="22"/>
        </w:rPr>
      </w:pPr>
      <w:r w:rsidRPr="006354AB">
        <w:rPr>
          <w:rFonts w:ascii="Arial" w:hAnsi="Arial" w:cs="Arial"/>
          <w:iCs/>
          <w:sz w:val="22"/>
          <w:szCs w:val="22"/>
        </w:rPr>
        <w:t xml:space="preserve">The PBAC considered the overall NSCLC market to be stable and noted that over time, </w:t>
      </w:r>
      <w:proofErr w:type="spellStart"/>
      <w:r w:rsidRPr="006354AB">
        <w:rPr>
          <w:rFonts w:ascii="Arial" w:hAnsi="Arial" w:cs="Arial"/>
          <w:iCs/>
          <w:sz w:val="22"/>
          <w:szCs w:val="22"/>
        </w:rPr>
        <w:t>utilisation</w:t>
      </w:r>
      <w:proofErr w:type="spellEnd"/>
      <w:r w:rsidRPr="006354AB">
        <w:rPr>
          <w:rFonts w:ascii="Arial" w:hAnsi="Arial" w:cs="Arial"/>
          <w:iCs/>
          <w:sz w:val="22"/>
          <w:szCs w:val="22"/>
        </w:rPr>
        <w:t xml:space="preserve"> of immunotherapies </w:t>
      </w:r>
      <w:r w:rsidR="002A0EF1">
        <w:rPr>
          <w:rFonts w:ascii="Arial" w:hAnsi="Arial" w:cs="Arial"/>
          <w:iCs/>
          <w:sz w:val="22"/>
          <w:szCs w:val="22"/>
        </w:rPr>
        <w:t>has</w:t>
      </w:r>
      <w:r w:rsidR="002A0EF1" w:rsidRPr="006354AB">
        <w:rPr>
          <w:rFonts w:ascii="Arial" w:hAnsi="Arial" w:cs="Arial"/>
          <w:iCs/>
          <w:sz w:val="22"/>
          <w:szCs w:val="22"/>
        </w:rPr>
        <w:t xml:space="preserve"> </w:t>
      </w:r>
      <w:r w:rsidRPr="006354AB">
        <w:rPr>
          <w:rFonts w:ascii="Arial" w:hAnsi="Arial" w:cs="Arial"/>
          <w:iCs/>
          <w:sz w:val="22"/>
          <w:szCs w:val="22"/>
        </w:rPr>
        <w:t xml:space="preserve">been declining, whilst </w:t>
      </w:r>
      <w:proofErr w:type="spellStart"/>
      <w:r w:rsidRPr="006354AB">
        <w:rPr>
          <w:rFonts w:ascii="Arial" w:hAnsi="Arial" w:cs="Arial"/>
          <w:iCs/>
          <w:sz w:val="22"/>
          <w:szCs w:val="22"/>
        </w:rPr>
        <w:t>utilisation</w:t>
      </w:r>
      <w:proofErr w:type="spellEnd"/>
      <w:r w:rsidRPr="006354AB">
        <w:rPr>
          <w:rFonts w:ascii="Arial" w:hAnsi="Arial" w:cs="Arial"/>
          <w:iCs/>
          <w:sz w:val="22"/>
          <w:szCs w:val="22"/>
        </w:rPr>
        <w:t xml:space="preserve"> of targeted therapies </w:t>
      </w:r>
      <w:r w:rsidR="002A0EF1">
        <w:rPr>
          <w:rFonts w:ascii="Arial" w:hAnsi="Arial" w:cs="Arial"/>
          <w:iCs/>
          <w:sz w:val="22"/>
          <w:szCs w:val="22"/>
        </w:rPr>
        <w:t>has</w:t>
      </w:r>
      <w:r w:rsidR="002A0EF1" w:rsidRPr="006354AB">
        <w:rPr>
          <w:rFonts w:ascii="Arial" w:hAnsi="Arial" w:cs="Arial"/>
          <w:iCs/>
          <w:sz w:val="22"/>
          <w:szCs w:val="22"/>
        </w:rPr>
        <w:t xml:space="preserve"> </w:t>
      </w:r>
      <w:r w:rsidRPr="006354AB">
        <w:rPr>
          <w:rFonts w:ascii="Arial" w:hAnsi="Arial" w:cs="Arial"/>
          <w:iCs/>
          <w:sz w:val="22"/>
          <w:szCs w:val="22"/>
        </w:rPr>
        <w:t>been increasing.</w:t>
      </w:r>
    </w:p>
    <w:p w14:paraId="6264500E" w14:textId="5C9EDEE0" w:rsidR="006354AB" w:rsidRPr="006354AB" w:rsidRDefault="006354AB" w:rsidP="00973009">
      <w:pPr>
        <w:spacing w:after="120"/>
        <w:jc w:val="both"/>
        <w:rPr>
          <w:rFonts w:ascii="Arial" w:hAnsi="Arial" w:cs="Arial"/>
          <w:iCs/>
          <w:sz w:val="22"/>
          <w:szCs w:val="22"/>
        </w:rPr>
      </w:pPr>
      <w:r w:rsidRPr="006354AB">
        <w:rPr>
          <w:rFonts w:ascii="Arial" w:hAnsi="Arial" w:cs="Arial"/>
          <w:iCs/>
          <w:sz w:val="22"/>
          <w:szCs w:val="22"/>
        </w:rPr>
        <w:t xml:space="preserve">The PBAC noted pembrolizumab was the most common NSCLC immunotherapy. The PBAC considered its high level of </w:t>
      </w:r>
      <w:proofErr w:type="spellStart"/>
      <w:r w:rsidRPr="006354AB">
        <w:rPr>
          <w:rFonts w:ascii="Arial" w:hAnsi="Arial" w:cs="Arial"/>
          <w:iCs/>
          <w:sz w:val="22"/>
          <w:szCs w:val="22"/>
        </w:rPr>
        <w:t>utilisation</w:t>
      </w:r>
      <w:proofErr w:type="spellEnd"/>
      <w:r w:rsidRPr="006354AB">
        <w:rPr>
          <w:rFonts w:ascii="Arial" w:hAnsi="Arial" w:cs="Arial"/>
          <w:iCs/>
          <w:sz w:val="22"/>
          <w:szCs w:val="22"/>
        </w:rPr>
        <w:t xml:space="preserve"> compared to other immunotherapies may have been due to clinician preference and clinical inertia. The PBAC noted the differences in treatment regimen between immunotherapies and commented that patients may be less likely to be treated with combination therapies due to their toxicity. Additionally, the PBAC commented on the lack of data demonstrating a greater level of clinical effectiveness associated with pembrolizumab compared to other NSCLC immunotherapies. The PBAC noted epidermal growth factor receptor (</w:t>
      </w:r>
      <w:r w:rsidRPr="00DD315C">
        <w:rPr>
          <w:rFonts w:ascii="Arial" w:hAnsi="Arial" w:cs="Arial"/>
          <w:iCs/>
          <w:sz w:val="22"/>
          <w:szCs w:val="22"/>
        </w:rPr>
        <w:t>EGFR</w:t>
      </w:r>
      <w:r w:rsidRPr="006354AB">
        <w:rPr>
          <w:rFonts w:ascii="Arial" w:hAnsi="Arial" w:cs="Arial"/>
          <w:iCs/>
          <w:sz w:val="22"/>
          <w:szCs w:val="22"/>
        </w:rPr>
        <w:t xml:space="preserve">) inhibitors were the </w:t>
      </w:r>
      <w:proofErr w:type="gramStart"/>
      <w:r w:rsidRPr="006354AB">
        <w:rPr>
          <w:rFonts w:ascii="Arial" w:hAnsi="Arial" w:cs="Arial"/>
          <w:iCs/>
          <w:sz w:val="22"/>
          <w:szCs w:val="22"/>
        </w:rPr>
        <w:t>most commonly used</w:t>
      </w:r>
      <w:proofErr w:type="gramEnd"/>
      <w:r w:rsidRPr="006354AB">
        <w:rPr>
          <w:rFonts w:ascii="Arial" w:hAnsi="Arial" w:cs="Arial"/>
          <w:iCs/>
          <w:sz w:val="22"/>
          <w:szCs w:val="22"/>
        </w:rPr>
        <w:t xml:space="preserve"> targeted therapy. The PBAC noted </w:t>
      </w:r>
      <w:proofErr w:type="spellStart"/>
      <w:r w:rsidRPr="006354AB">
        <w:rPr>
          <w:rFonts w:ascii="Arial" w:hAnsi="Arial" w:cs="Arial"/>
          <w:iCs/>
          <w:sz w:val="22"/>
          <w:szCs w:val="22"/>
        </w:rPr>
        <w:t>osimertinib</w:t>
      </w:r>
      <w:proofErr w:type="spellEnd"/>
      <w:r w:rsidRPr="006354AB">
        <w:rPr>
          <w:rFonts w:ascii="Arial" w:hAnsi="Arial" w:cs="Arial"/>
          <w:iCs/>
          <w:sz w:val="22"/>
          <w:szCs w:val="22"/>
        </w:rPr>
        <w:t xml:space="preserve"> was the most common </w:t>
      </w:r>
      <w:r w:rsidRPr="00DD315C">
        <w:rPr>
          <w:rFonts w:ascii="Arial" w:hAnsi="Arial" w:cs="Arial"/>
          <w:iCs/>
          <w:sz w:val="22"/>
          <w:szCs w:val="22"/>
        </w:rPr>
        <w:t>EGFR</w:t>
      </w:r>
      <w:r w:rsidRPr="006354AB">
        <w:rPr>
          <w:rFonts w:ascii="Arial" w:hAnsi="Arial" w:cs="Arial"/>
          <w:iCs/>
          <w:sz w:val="22"/>
          <w:szCs w:val="22"/>
        </w:rPr>
        <w:t xml:space="preserve"> inhibitor used and noted the growth in </w:t>
      </w:r>
      <w:proofErr w:type="spellStart"/>
      <w:r w:rsidRPr="006354AB">
        <w:rPr>
          <w:rFonts w:ascii="Arial" w:hAnsi="Arial" w:cs="Arial"/>
          <w:iCs/>
          <w:sz w:val="22"/>
          <w:szCs w:val="22"/>
        </w:rPr>
        <w:t>utilisation</w:t>
      </w:r>
      <w:proofErr w:type="spellEnd"/>
      <w:r w:rsidRPr="006354AB">
        <w:rPr>
          <w:rFonts w:ascii="Arial" w:hAnsi="Arial" w:cs="Arial"/>
          <w:iCs/>
          <w:sz w:val="22"/>
          <w:szCs w:val="22"/>
        </w:rPr>
        <w:t xml:space="preserve"> following its extension to listing from </w:t>
      </w:r>
      <w:proofErr w:type="gramStart"/>
      <w:r w:rsidRPr="006354AB">
        <w:rPr>
          <w:rFonts w:ascii="Arial" w:hAnsi="Arial" w:cs="Arial"/>
          <w:iCs/>
          <w:sz w:val="22"/>
          <w:szCs w:val="22"/>
        </w:rPr>
        <w:t>second</w:t>
      </w:r>
      <w:r w:rsidR="008361CD">
        <w:rPr>
          <w:rFonts w:ascii="Arial" w:hAnsi="Arial" w:cs="Arial"/>
          <w:iCs/>
          <w:sz w:val="22"/>
          <w:szCs w:val="22"/>
        </w:rPr>
        <w:t>-</w:t>
      </w:r>
      <w:r w:rsidRPr="006354AB">
        <w:rPr>
          <w:rFonts w:ascii="Arial" w:hAnsi="Arial" w:cs="Arial"/>
          <w:iCs/>
          <w:sz w:val="22"/>
          <w:szCs w:val="22"/>
        </w:rPr>
        <w:t>line</w:t>
      </w:r>
      <w:proofErr w:type="gramEnd"/>
      <w:r w:rsidRPr="006354AB">
        <w:rPr>
          <w:rFonts w:ascii="Arial" w:hAnsi="Arial" w:cs="Arial"/>
          <w:iCs/>
          <w:sz w:val="22"/>
          <w:szCs w:val="22"/>
        </w:rPr>
        <w:t xml:space="preserve"> to the first</w:t>
      </w:r>
      <w:r w:rsidR="008361CD">
        <w:rPr>
          <w:rFonts w:ascii="Arial" w:hAnsi="Arial" w:cs="Arial"/>
          <w:iCs/>
          <w:sz w:val="22"/>
          <w:szCs w:val="22"/>
        </w:rPr>
        <w:t>-</w:t>
      </w:r>
      <w:r w:rsidRPr="006354AB">
        <w:rPr>
          <w:rFonts w:ascii="Arial" w:hAnsi="Arial" w:cs="Arial"/>
          <w:iCs/>
          <w:sz w:val="22"/>
          <w:szCs w:val="22"/>
        </w:rPr>
        <w:t>line setting.</w:t>
      </w:r>
    </w:p>
    <w:p w14:paraId="3D601AAD" w14:textId="2308B3B1" w:rsidR="006354AB" w:rsidRPr="006354AB" w:rsidRDefault="006354AB" w:rsidP="00973009">
      <w:pPr>
        <w:spacing w:after="120"/>
        <w:jc w:val="both"/>
        <w:rPr>
          <w:rFonts w:ascii="Arial" w:hAnsi="Arial" w:cs="Arial"/>
          <w:iCs/>
          <w:sz w:val="22"/>
          <w:szCs w:val="22"/>
        </w:rPr>
      </w:pPr>
      <w:r w:rsidRPr="006354AB">
        <w:rPr>
          <w:rFonts w:ascii="Arial" w:hAnsi="Arial" w:cs="Arial"/>
          <w:iCs/>
          <w:sz w:val="22"/>
          <w:szCs w:val="22"/>
        </w:rPr>
        <w:t xml:space="preserve">The PBAC noted </w:t>
      </w:r>
      <w:r w:rsidR="00F159FC">
        <w:rPr>
          <w:rFonts w:ascii="Arial" w:hAnsi="Arial" w:cs="Arial"/>
          <w:iCs/>
          <w:sz w:val="22"/>
          <w:szCs w:val="22"/>
        </w:rPr>
        <w:t xml:space="preserve">the </w:t>
      </w:r>
      <w:proofErr w:type="spellStart"/>
      <w:r w:rsidRPr="006354AB">
        <w:rPr>
          <w:rFonts w:ascii="Arial" w:hAnsi="Arial" w:cs="Arial"/>
          <w:iCs/>
          <w:sz w:val="22"/>
          <w:szCs w:val="22"/>
        </w:rPr>
        <w:t>utilisation</w:t>
      </w:r>
      <w:proofErr w:type="spellEnd"/>
      <w:r w:rsidRPr="006354AB">
        <w:rPr>
          <w:rFonts w:ascii="Arial" w:hAnsi="Arial" w:cs="Arial"/>
          <w:iCs/>
          <w:sz w:val="22"/>
          <w:szCs w:val="22"/>
        </w:rPr>
        <w:t xml:space="preserve"> of durvalumab for the treatment of Stage III NSCLC was </w:t>
      </w:r>
      <w:r>
        <w:rPr>
          <w:rFonts w:ascii="Arial" w:hAnsi="Arial" w:cs="Arial"/>
          <w:iCs/>
          <w:sz w:val="22"/>
          <w:szCs w:val="22"/>
        </w:rPr>
        <w:t>different from what was</w:t>
      </w:r>
      <w:r w:rsidRPr="006354AB">
        <w:rPr>
          <w:rFonts w:ascii="Arial" w:hAnsi="Arial" w:cs="Arial"/>
          <w:iCs/>
          <w:sz w:val="22"/>
          <w:szCs w:val="22"/>
        </w:rPr>
        <w:t xml:space="preserve"> estimated. The PBAC commented that </w:t>
      </w:r>
      <w:r>
        <w:rPr>
          <w:rFonts w:ascii="Arial" w:hAnsi="Arial" w:cs="Arial"/>
          <w:iCs/>
          <w:sz w:val="22"/>
          <w:szCs w:val="22"/>
        </w:rPr>
        <w:t xml:space="preserve">this </w:t>
      </w:r>
      <w:r w:rsidRPr="006354AB">
        <w:rPr>
          <w:rFonts w:ascii="Arial" w:hAnsi="Arial" w:cs="Arial"/>
          <w:iCs/>
          <w:sz w:val="22"/>
          <w:szCs w:val="22"/>
        </w:rPr>
        <w:t xml:space="preserve">may be due to recent evidence of the benefits of targeted therapy in Stage III NSCLC patients. Additionally, the PBAC considered the added risk of toxicity following chemotherapy and patients being restricted to only ever being treated with one immunotherapy as other reasons </w:t>
      </w:r>
      <w:r>
        <w:rPr>
          <w:rFonts w:ascii="Arial" w:hAnsi="Arial" w:cs="Arial"/>
          <w:iCs/>
          <w:sz w:val="22"/>
          <w:szCs w:val="22"/>
        </w:rPr>
        <w:t xml:space="preserve">why </w:t>
      </w:r>
      <w:proofErr w:type="spellStart"/>
      <w:r>
        <w:rPr>
          <w:rFonts w:ascii="Arial" w:hAnsi="Arial" w:cs="Arial"/>
          <w:iCs/>
          <w:sz w:val="22"/>
          <w:szCs w:val="22"/>
        </w:rPr>
        <w:t>utilisation</w:t>
      </w:r>
      <w:proofErr w:type="spellEnd"/>
      <w:r>
        <w:rPr>
          <w:rFonts w:ascii="Arial" w:hAnsi="Arial" w:cs="Arial"/>
          <w:iCs/>
          <w:sz w:val="22"/>
          <w:szCs w:val="22"/>
        </w:rPr>
        <w:t xml:space="preserve"> may have differed</w:t>
      </w:r>
      <w:r w:rsidRPr="006354AB">
        <w:rPr>
          <w:rFonts w:ascii="Arial" w:hAnsi="Arial" w:cs="Arial"/>
          <w:iCs/>
          <w:sz w:val="22"/>
          <w:szCs w:val="22"/>
        </w:rPr>
        <w:t>.</w:t>
      </w:r>
    </w:p>
    <w:p w14:paraId="21F2B6CE" w14:textId="54740731" w:rsidR="00C229C3" w:rsidRPr="009E143F" w:rsidRDefault="006354AB" w:rsidP="00973009">
      <w:pPr>
        <w:spacing w:after="120"/>
        <w:jc w:val="both"/>
        <w:rPr>
          <w:rFonts w:ascii="Arial" w:hAnsi="Arial" w:cs="Arial"/>
          <w:iCs/>
          <w:sz w:val="22"/>
          <w:szCs w:val="22"/>
        </w:rPr>
      </w:pPr>
      <w:r w:rsidRPr="006354AB">
        <w:rPr>
          <w:rFonts w:ascii="Arial" w:hAnsi="Arial" w:cs="Arial"/>
          <w:iCs/>
          <w:sz w:val="22"/>
          <w:szCs w:val="22"/>
        </w:rPr>
        <w:t>The PBAC noted that durvalumab patients were adhering to the two</w:t>
      </w:r>
      <w:r w:rsidR="002A0EF1">
        <w:rPr>
          <w:rFonts w:ascii="Arial" w:hAnsi="Arial" w:cs="Arial"/>
          <w:iCs/>
          <w:sz w:val="22"/>
          <w:szCs w:val="22"/>
        </w:rPr>
        <w:noBreakHyphen/>
      </w:r>
      <w:r w:rsidRPr="006354AB">
        <w:rPr>
          <w:rFonts w:ascii="Arial" w:hAnsi="Arial" w:cs="Arial"/>
          <w:iCs/>
          <w:sz w:val="22"/>
          <w:szCs w:val="22"/>
        </w:rPr>
        <w:t xml:space="preserve">weekly dosing regimen and noted the average treatment duration and average prescriptions per patient </w:t>
      </w:r>
      <w:r w:rsidR="002A0EF1">
        <w:rPr>
          <w:rFonts w:ascii="Arial" w:hAnsi="Arial" w:cs="Arial"/>
          <w:iCs/>
          <w:sz w:val="22"/>
          <w:szCs w:val="22"/>
        </w:rPr>
        <w:t>were</w:t>
      </w:r>
      <w:r w:rsidR="002A0EF1" w:rsidRPr="006354AB">
        <w:rPr>
          <w:rFonts w:ascii="Arial" w:hAnsi="Arial" w:cs="Arial"/>
          <w:iCs/>
          <w:sz w:val="22"/>
          <w:szCs w:val="22"/>
        </w:rPr>
        <w:t xml:space="preserve"> </w:t>
      </w:r>
      <w:r>
        <w:rPr>
          <w:rFonts w:ascii="Arial" w:hAnsi="Arial" w:cs="Arial"/>
          <w:iCs/>
          <w:sz w:val="22"/>
          <w:szCs w:val="22"/>
        </w:rPr>
        <w:t>different from what was</w:t>
      </w:r>
      <w:r w:rsidRPr="006354AB">
        <w:rPr>
          <w:rFonts w:ascii="Arial" w:hAnsi="Arial" w:cs="Arial"/>
          <w:iCs/>
          <w:sz w:val="22"/>
          <w:szCs w:val="22"/>
        </w:rPr>
        <w:t xml:space="preserve"> estimated. The PBAC commented that these findings did not correspond with the predicted versus actual analysis of the number of durvalumab prescriptions supplied and </w:t>
      </w:r>
      <w:r w:rsidR="002A0EF1">
        <w:rPr>
          <w:rFonts w:ascii="Arial" w:hAnsi="Arial" w:cs="Arial"/>
          <w:iCs/>
          <w:sz w:val="22"/>
          <w:szCs w:val="22"/>
        </w:rPr>
        <w:t>noted</w:t>
      </w:r>
      <w:r w:rsidR="002A0EF1" w:rsidRPr="006354AB">
        <w:rPr>
          <w:rFonts w:ascii="Arial" w:hAnsi="Arial" w:cs="Arial"/>
          <w:iCs/>
          <w:sz w:val="22"/>
          <w:szCs w:val="22"/>
        </w:rPr>
        <w:t xml:space="preserve"> </w:t>
      </w:r>
      <w:r w:rsidRPr="006354AB">
        <w:rPr>
          <w:rFonts w:ascii="Arial" w:hAnsi="Arial" w:cs="Arial"/>
          <w:iCs/>
          <w:sz w:val="22"/>
          <w:szCs w:val="22"/>
        </w:rPr>
        <w:t>that the final estimates did not apply a half-cycle correction to adjust for the date of PBS listing.</w:t>
      </w:r>
    </w:p>
    <w:p w14:paraId="4BCA92C5" w14:textId="77777777" w:rsidR="00C229C3" w:rsidRDefault="00C229C3" w:rsidP="00973009">
      <w:pPr>
        <w:spacing w:after="120"/>
        <w:jc w:val="both"/>
        <w:rPr>
          <w:rFonts w:ascii="Arial" w:hAnsi="Arial" w:cs="Arial"/>
          <w:b/>
          <w:sz w:val="22"/>
          <w:lang w:val="en-AU" w:eastAsia="en-AU"/>
        </w:rPr>
      </w:pPr>
    </w:p>
    <w:p w14:paraId="58ED8535" w14:textId="77777777" w:rsidR="008613B3" w:rsidRDefault="008613B3" w:rsidP="00973009">
      <w:pPr>
        <w:jc w:val="both"/>
        <w:rPr>
          <w:rFonts w:ascii="Arial" w:hAnsi="Arial" w:cs="Arial"/>
          <w:b/>
          <w:sz w:val="22"/>
          <w:lang w:val="en-AU" w:eastAsia="en-AU"/>
        </w:rPr>
      </w:pPr>
      <w:r>
        <w:rPr>
          <w:rFonts w:ascii="Arial" w:hAnsi="Arial" w:cs="Arial"/>
          <w:b/>
          <w:sz w:val="22"/>
          <w:lang w:val="en-AU" w:eastAsia="en-AU"/>
        </w:rPr>
        <w:br w:type="page"/>
      </w:r>
    </w:p>
    <w:p w14:paraId="0DB708C9" w14:textId="0A14BEEF" w:rsidR="006354AB" w:rsidRDefault="006354AB" w:rsidP="00973009">
      <w:pPr>
        <w:spacing w:after="120"/>
        <w:jc w:val="both"/>
        <w:rPr>
          <w:rFonts w:ascii="Arial" w:hAnsi="Arial" w:cs="Arial"/>
          <w:b/>
          <w:sz w:val="22"/>
          <w:lang w:val="en-AU" w:eastAsia="en-AU"/>
        </w:rPr>
      </w:pPr>
      <w:r w:rsidRPr="006354AB">
        <w:rPr>
          <w:rFonts w:ascii="Arial" w:hAnsi="Arial" w:cs="Arial"/>
          <w:b/>
          <w:sz w:val="22"/>
          <w:lang w:val="en-AU" w:eastAsia="en-AU"/>
        </w:rPr>
        <w:lastRenderedPageBreak/>
        <w:t xml:space="preserve">MEDICINES FOR MELANOMA INCLUDING A UTILISATION REVIEW OF NIVOLUMAB FOR ADJUVANT TREATMENT </w:t>
      </w:r>
    </w:p>
    <w:p w14:paraId="1780D3F3" w14:textId="280CCA3B" w:rsidR="00683251" w:rsidRDefault="00683251" w:rsidP="00973009">
      <w:pPr>
        <w:spacing w:after="120"/>
        <w:jc w:val="both"/>
        <w:rPr>
          <w:rFonts w:ascii="Arial" w:hAnsi="Arial" w:cs="Arial"/>
          <w:i/>
          <w:sz w:val="22"/>
          <w:szCs w:val="22"/>
        </w:rPr>
      </w:pPr>
      <w:r w:rsidRPr="00362AC3">
        <w:rPr>
          <w:rFonts w:ascii="Arial" w:hAnsi="Arial" w:cs="Arial"/>
          <w:i/>
          <w:sz w:val="22"/>
          <w:szCs w:val="22"/>
        </w:rPr>
        <w:t>Outcome</w:t>
      </w:r>
    </w:p>
    <w:p w14:paraId="480D8FB5" w14:textId="33A7045F" w:rsidR="006354AB" w:rsidRPr="006354AB" w:rsidRDefault="006354AB" w:rsidP="00973009">
      <w:pPr>
        <w:spacing w:before="120" w:after="120"/>
        <w:jc w:val="both"/>
        <w:rPr>
          <w:rFonts w:ascii="Arial" w:hAnsi="Arial" w:cs="Arial"/>
          <w:iCs/>
          <w:sz w:val="22"/>
          <w:szCs w:val="22"/>
        </w:rPr>
      </w:pPr>
      <w:r w:rsidRPr="006354AB">
        <w:rPr>
          <w:rFonts w:ascii="Arial" w:hAnsi="Arial" w:cs="Arial"/>
          <w:iCs/>
          <w:sz w:val="22"/>
          <w:szCs w:val="22"/>
        </w:rPr>
        <w:t xml:space="preserve">The PBAC noted that the total number of patients </w:t>
      </w:r>
      <w:proofErr w:type="spellStart"/>
      <w:r w:rsidRPr="006354AB">
        <w:rPr>
          <w:rFonts w:ascii="Arial" w:hAnsi="Arial" w:cs="Arial"/>
          <w:iCs/>
          <w:sz w:val="22"/>
          <w:szCs w:val="22"/>
        </w:rPr>
        <w:t>utilising</w:t>
      </w:r>
      <w:proofErr w:type="spellEnd"/>
      <w:r w:rsidRPr="006354AB">
        <w:rPr>
          <w:rFonts w:ascii="Arial" w:hAnsi="Arial" w:cs="Arial"/>
          <w:iCs/>
          <w:sz w:val="22"/>
          <w:szCs w:val="22"/>
        </w:rPr>
        <w:t xml:space="preserve"> medications with listings for adjuvant use (following complete surgical resection) was </w:t>
      </w:r>
      <w:proofErr w:type="gramStart"/>
      <w:r w:rsidRPr="006354AB">
        <w:rPr>
          <w:rFonts w:ascii="Arial" w:hAnsi="Arial" w:cs="Arial"/>
          <w:iCs/>
          <w:sz w:val="22"/>
          <w:szCs w:val="22"/>
        </w:rPr>
        <w:t>similar to</w:t>
      </w:r>
      <w:proofErr w:type="gramEnd"/>
      <w:r w:rsidRPr="006354AB">
        <w:rPr>
          <w:rFonts w:ascii="Arial" w:hAnsi="Arial" w:cs="Arial"/>
          <w:iCs/>
          <w:sz w:val="22"/>
          <w:szCs w:val="22"/>
        </w:rPr>
        <w:t xml:space="preserve"> the number of patients estimated by the submission for nivolumab as adjuvant therapy in melanoma. The PBAC noted the actual number of patients using nivolumab in the first year of listing was </w:t>
      </w:r>
      <w:r>
        <w:rPr>
          <w:rFonts w:ascii="Arial" w:hAnsi="Arial" w:cs="Arial"/>
          <w:iCs/>
          <w:sz w:val="22"/>
          <w:szCs w:val="22"/>
        </w:rPr>
        <w:t>different from</w:t>
      </w:r>
      <w:r w:rsidRPr="006354AB">
        <w:rPr>
          <w:rFonts w:ascii="Arial" w:hAnsi="Arial" w:cs="Arial"/>
          <w:iCs/>
          <w:sz w:val="22"/>
          <w:szCs w:val="22"/>
        </w:rPr>
        <w:t xml:space="preserve"> predicted</w:t>
      </w:r>
      <w:r w:rsidR="002A0EF1">
        <w:rPr>
          <w:rFonts w:ascii="Arial" w:hAnsi="Arial" w:cs="Arial"/>
          <w:iCs/>
          <w:sz w:val="22"/>
          <w:szCs w:val="22"/>
        </w:rPr>
        <w:t>,</w:t>
      </w:r>
      <w:r w:rsidRPr="006354AB">
        <w:rPr>
          <w:rFonts w:ascii="Arial" w:hAnsi="Arial" w:cs="Arial"/>
          <w:iCs/>
          <w:sz w:val="22"/>
          <w:szCs w:val="22"/>
        </w:rPr>
        <w:t xml:space="preserve"> suggesting that the listing of the </w:t>
      </w:r>
      <w:r w:rsidRPr="002A0EF1">
        <w:rPr>
          <w:rFonts w:ascii="Arial" w:hAnsi="Arial" w:cs="Arial"/>
          <w:iCs/>
          <w:sz w:val="22"/>
          <w:szCs w:val="22"/>
        </w:rPr>
        <w:t>BRAF</w:t>
      </w:r>
      <w:r w:rsidRPr="006354AB">
        <w:rPr>
          <w:rFonts w:ascii="Arial" w:hAnsi="Arial" w:cs="Arial"/>
          <w:iCs/>
          <w:sz w:val="22"/>
          <w:szCs w:val="22"/>
        </w:rPr>
        <w:t xml:space="preserve"> and </w:t>
      </w:r>
      <w:r w:rsidRPr="002A0EF1">
        <w:rPr>
          <w:rFonts w:ascii="Arial" w:hAnsi="Arial" w:cs="Arial"/>
          <w:iCs/>
          <w:sz w:val="22"/>
          <w:szCs w:val="22"/>
        </w:rPr>
        <w:t>MEK</w:t>
      </w:r>
      <w:r w:rsidRPr="006354AB">
        <w:rPr>
          <w:rFonts w:ascii="Arial" w:hAnsi="Arial" w:cs="Arial"/>
          <w:iCs/>
          <w:sz w:val="22"/>
          <w:szCs w:val="22"/>
        </w:rPr>
        <w:t xml:space="preserve"> inhibitors in late 2019 as well as pembrolizumab in 2020Q3 have contributed to the </w:t>
      </w:r>
      <w:r>
        <w:rPr>
          <w:rFonts w:ascii="Arial" w:hAnsi="Arial" w:cs="Arial"/>
          <w:iCs/>
          <w:sz w:val="22"/>
          <w:szCs w:val="22"/>
        </w:rPr>
        <w:t>difference</w:t>
      </w:r>
      <w:r w:rsidRPr="006354AB">
        <w:rPr>
          <w:rFonts w:ascii="Arial" w:hAnsi="Arial" w:cs="Arial"/>
          <w:iCs/>
          <w:sz w:val="22"/>
          <w:szCs w:val="22"/>
        </w:rPr>
        <w:t>.</w:t>
      </w:r>
    </w:p>
    <w:p w14:paraId="4B4EFD27" w14:textId="77777777" w:rsidR="006354AB" w:rsidRPr="006354AB" w:rsidRDefault="006354AB" w:rsidP="00973009">
      <w:pPr>
        <w:spacing w:before="120" w:after="120"/>
        <w:jc w:val="both"/>
        <w:rPr>
          <w:rFonts w:ascii="Arial" w:hAnsi="Arial" w:cs="Arial"/>
          <w:iCs/>
          <w:sz w:val="22"/>
          <w:szCs w:val="22"/>
        </w:rPr>
      </w:pPr>
      <w:r w:rsidRPr="006354AB">
        <w:rPr>
          <w:rFonts w:ascii="Arial" w:hAnsi="Arial" w:cs="Arial"/>
          <w:iCs/>
          <w:sz w:val="22"/>
          <w:szCs w:val="22"/>
        </w:rPr>
        <w:t xml:space="preserve">The PBAC noted that in the CheckMate-238 trial for adjuvant nivolumab </w:t>
      </w:r>
      <w:proofErr w:type="gramStart"/>
      <w:r w:rsidRPr="006354AB">
        <w:rPr>
          <w:rFonts w:ascii="Arial" w:hAnsi="Arial" w:cs="Arial"/>
          <w:iCs/>
          <w:sz w:val="22"/>
          <w:szCs w:val="22"/>
        </w:rPr>
        <w:t>the majority of</w:t>
      </w:r>
      <w:proofErr w:type="gramEnd"/>
      <w:r w:rsidRPr="006354AB">
        <w:rPr>
          <w:rFonts w:ascii="Arial" w:hAnsi="Arial" w:cs="Arial"/>
          <w:iCs/>
          <w:sz w:val="22"/>
          <w:szCs w:val="22"/>
        </w:rPr>
        <w:t xml:space="preserve"> patients were aged less than 65 years old which differed from the interquartile range seen in this analysis of 65-75 years. This difference in age may also explain the difference in time on treatment. The trial reported patients had a median of 24 doses at two weekly intervals which is approximately equivalent to 336 days. The results from the DUSC analysis indicated that the median time on treatment was 231 days with treatment breaks and 211 days without. The PBAC noted the difference in treatment length was likely due to an older and frailer PBS population.</w:t>
      </w:r>
    </w:p>
    <w:p w14:paraId="30529850" w14:textId="77777777" w:rsidR="006354AB" w:rsidRPr="006354AB" w:rsidRDefault="006354AB" w:rsidP="00973009">
      <w:pPr>
        <w:spacing w:before="120" w:after="120"/>
        <w:jc w:val="both"/>
        <w:rPr>
          <w:rFonts w:ascii="Arial" w:hAnsi="Arial" w:cs="Arial"/>
          <w:iCs/>
          <w:sz w:val="22"/>
          <w:szCs w:val="22"/>
        </w:rPr>
      </w:pPr>
      <w:r w:rsidRPr="006354AB">
        <w:rPr>
          <w:rFonts w:ascii="Arial" w:hAnsi="Arial" w:cs="Arial"/>
          <w:iCs/>
          <w:sz w:val="22"/>
          <w:szCs w:val="22"/>
        </w:rPr>
        <w:t>The PBAC noted the final net effective cost of adjuvant nivolumab was calculated based on the advice from the July 2019 PBAC meeting which suggested 9% of patients would receive 240 mg at two weekly intervals, 88% at 480 mg four weekly and 3% as weight-based dosing (paragraph 5.7, November 2019 PBAC Public Summary Document). The PBAC noted the data from this analysis suggested that 75% of patients were dosing at 480 mg per supply, approximately 20% were dosing at 240 mg per supply and the remaining 5% were either dose reductions or dosing according to weight.</w:t>
      </w:r>
    </w:p>
    <w:p w14:paraId="6BA9F20D" w14:textId="221EAC9C" w:rsidR="006354AB" w:rsidRDefault="006354AB" w:rsidP="00973009">
      <w:pPr>
        <w:spacing w:before="120" w:after="120"/>
        <w:jc w:val="both"/>
        <w:rPr>
          <w:rFonts w:ascii="Arial" w:hAnsi="Arial" w:cs="Arial"/>
          <w:iCs/>
          <w:sz w:val="22"/>
          <w:szCs w:val="22"/>
        </w:rPr>
      </w:pPr>
      <w:r w:rsidRPr="006354AB">
        <w:rPr>
          <w:rFonts w:ascii="Arial" w:hAnsi="Arial" w:cs="Arial"/>
          <w:iCs/>
          <w:sz w:val="22"/>
          <w:szCs w:val="22"/>
        </w:rPr>
        <w:t>The PBAC noted nivolumab entered the unresectable melanoma market in 2016Q2 and did not substantially affect the market. Following a change in the restriction in 2018Q3 which allowed for combined use with ipilimumab as first</w:t>
      </w:r>
      <w:r w:rsidR="00016CBD">
        <w:rPr>
          <w:rFonts w:ascii="Arial" w:hAnsi="Arial" w:cs="Arial"/>
          <w:iCs/>
          <w:sz w:val="22"/>
          <w:szCs w:val="22"/>
        </w:rPr>
        <w:t>-</w:t>
      </w:r>
      <w:r w:rsidRPr="006354AB">
        <w:rPr>
          <w:rFonts w:ascii="Arial" w:hAnsi="Arial" w:cs="Arial"/>
          <w:iCs/>
          <w:sz w:val="22"/>
          <w:szCs w:val="22"/>
        </w:rPr>
        <w:t xml:space="preserve">line immunotherapy with a BRAF V600 negative variant and subsequent extension in 2019Q4 to include BRAF V600 positive variants, the </w:t>
      </w:r>
      <w:proofErr w:type="spellStart"/>
      <w:r w:rsidRPr="006354AB">
        <w:rPr>
          <w:rFonts w:ascii="Arial" w:hAnsi="Arial" w:cs="Arial"/>
          <w:iCs/>
          <w:sz w:val="22"/>
          <w:szCs w:val="22"/>
        </w:rPr>
        <w:t>utilisation</w:t>
      </w:r>
      <w:proofErr w:type="spellEnd"/>
      <w:r w:rsidRPr="006354AB">
        <w:rPr>
          <w:rFonts w:ascii="Arial" w:hAnsi="Arial" w:cs="Arial"/>
          <w:iCs/>
          <w:sz w:val="22"/>
          <w:szCs w:val="22"/>
        </w:rPr>
        <w:t xml:space="preserve"> of nivolumab in the unresectable setting grew substantially. The PBAC considered that the growth of nivolumab use could be attributed to the combined listings with nivolumab </w:t>
      </w:r>
      <w:proofErr w:type="gramStart"/>
      <w:r w:rsidRPr="006354AB">
        <w:rPr>
          <w:rFonts w:ascii="Arial" w:hAnsi="Arial" w:cs="Arial"/>
          <w:iCs/>
          <w:sz w:val="22"/>
          <w:szCs w:val="22"/>
        </w:rPr>
        <w:t>and also</w:t>
      </w:r>
      <w:proofErr w:type="gramEnd"/>
      <w:r w:rsidRPr="006354AB">
        <w:rPr>
          <w:rFonts w:ascii="Arial" w:hAnsi="Arial" w:cs="Arial"/>
          <w:iCs/>
          <w:sz w:val="22"/>
          <w:szCs w:val="22"/>
        </w:rPr>
        <w:t xml:space="preserve"> an increasing prevalent pool due to no cessation criteria. The PBAC considered emerging evidence for the superiority of combined ipilimumab and nivolumab in BRAF variant positive patients as first</w:t>
      </w:r>
      <w:r w:rsidR="0075366B">
        <w:rPr>
          <w:rFonts w:ascii="Arial" w:hAnsi="Arial" w:cs="Arial"/>
          <w:iCs/>
          <w:sz w:val="22"/>
          <w:szCs w:val="22"/>
        </w:rPr>
        <w:t>-</w:t>
      </w:r>
      <w:r w:rsidRPr="006354AB">
        <w:rPr>
          <w:rFonts w:ascii="Arial" w:hAnsi="Arial" w:cs="Arial"/>
          <w:iCs/>
          <w:sz w:val="22"/>
          <w:szCs w:val="22"/>
        </w:rPr>
        <w:t xml:space="preserve">line treatment may have also contributed to the increased use. </w:t>
      </w:r>
      <w:r w:rsidR="00F71F01">
        <w:rPr>
          <w:rFonts w:ascii="Arial" w:hAnsi="Arial" w:cs="Arial"/>
          <w:iCs/>
          <w:sz w:val="22"/>
          <w:szCs w:val="22"/>
        </w:rPr>
        <w:br/>
      </w:r>
    </w:p>
    <w:p w14:paraId="0300F248" w14:textId="77777777" w:rsidR="00D82194" w:rsidRDefault="00D82194" w:rsidP="00973009">
      <w:pPr>
        <w:jc w:val="both"/>
        <w:rPr>
          <w:rFonts w:ascii="Arial" w:hAnsi="Arial" w:cs="Arial"/>
          <w:b/>
          <w:sz w:val="22"/>
          <w:lang w:val="en-AU" w:eastAsia="en-AU"/>
        </w:rPr>
      </w:pPr>
      <w:r>
        <w:rPr>
          <w:rFonts w:ascii="Arial" w:hAnsi="Arial" w:cs="Arial"/>
          <w:b/>
          <w:sz w:val="22"/>
          <w:lang w:val="en-AU" w:eastAsia="en-AU"/>
        </w:rPr>
        <w:br w:type="page"/>
      </w:r>
    </w:p>
    <w:p w14:paraId="7A3A7DC8" w14:textId="5A156CEF" w:rsidR="00FC15A2" w:rsidRDefault="00FC15A2" w:rsidP="00973009">
      <w:pPr>
        <w:spacing w:after="120"/>
        <w:jc w:val="both"/>
        <w:rPr>
          <w:rFonts w:ascii="Arial" w:hAnsi="Arial" w:cs="Arial"/>
          <w:b/>
          <w:sz w:val="22"/>
          <w:lang w:val="en-AU" w:eastAsia="en-AU"/>
        </w:rPr>
      </w:pPr>
      <w:r w:rsidRPr="00FC15A2">
        <w:rPr>
          <w:rFonts w:ascii="Arial" w:hAnsi="Arial" w:cs="Arial"/>
          <w:b/>
          <w:sz w:val="22"/>
          <w:lang w:val="en-AU" w:eastAsia="en-AU"/>
        </w:rPr>
        <w:lastRenderedPageBreak/>
        <w:t xml:space="preserve">ANALYSIS OF MEDICINES FOR THE TREATMENT OF TYPE 2 DIABETES </w:t>
      </w:r>
    </w:p>
    <w:p w14:paraId="5F43F439" w14:textId="61F47507" w:rsidR="00F71F01" w:rsidRDefault="00F71F01" w:rsidP="00973009">
      <w:pPr>
        <w:spacing w:after="120"/>
        <w:jc w:val="both"/>
        <w:rPr>
          <w:rFonts w:ascii="Arial" w:hAnsi="Arial" w:cs="Arial"/>
          <w:i/>
          <w:sz w:val="22"/>
          <w:szCs w:val="22"/>
        </w:rPr>
      </w:pPr>
      <w:r w:rsidRPr="00362AC3">
        <w:rPr>
          <w:rFonts w:ascii="Arial" w:hAnsi="Arial" w:cs="Arial"/>
          <w:i/>
          <w:sz w:val="22"/>
          <w:szCs w:val="22"/>
        </w:rPr>
        <w:t>Outcome</w:t>
      </w:r>
    </w:p>
    <w:p w14:paraId="5C01B364" w14:textId="0244D12D" w:rsidR="00FC15A2" w:rsidRPr="00FC15A2" w:rsidRDefault="00B96629" w:rsidP="00973009">
      <w:pPr>
        <w:spacing w:before="120" w:after="120"/>
        <w:jc w:val="both"/>
        <w:rPr>
          <w:rFonts w:ascii="Arial" w:eastAsiaTheme="minorHAnsi" w:hAnsi="Arial" w:cs="Arial"/>
          <w:iCs/>
          <w:sz w:val="22"/>
          <w:szCs w:val="22"/>
        </w:rPr>
      </w:pPr>
      <w:r>
        <w:rPr>
          <w:rFonts w:ascii="Arial" w:eastAsiaTheme="minorHAnsi" w:hAnsi="Arial" w:cs="Arial"/>
          <w:sz w:val="22"/>
          <w:szCs w:val="22"/>
        </w:rPr>
        <w:t xml:space="preserve">The </w:t>
      </w:r>
      <w:r w:rsidR="00FC15A2" w:rsidRPr="00FC15A2">
        <w:rPr>
          <w:rFonts w:ascii="Arial" w:eastAsiaTheme="minorHAnsi" w:hAnsi="Arial" w:cs="Arial"/>
          <w:sz w:val="22"/>
          <w:szCs w:val="22"/>
        </w:rPr>
        <w:t>PBAC considered the DUSC analysis of medicines for the treatment of type 2 diabetes</w:t>
      </w:r>
      <w:r w:rsidR="0075366B">
        <w:rPr>
          <w:rFonts w:ascii="Arial" w:eastAsiaTheme="minorHAnsi" w:hAnsi="Arial" w:cs="Arial"/>
          <w:sz w:val="22"/>
          <w:szCs w:val="22"/>
        </w:rPr>
        <w:t xml:space="preserve"> mellitus</w:t>
      </w:r>
      <w:r w:rsidR="00E149F0">
        <w:rPr>
          <w:rFonts w:ascii="Arial" w:eastAsiaTheme="minorHAnsi" w:hAnsi="Arial" w:cs="Arial"/>
          <w:sz w:val="22"/>
          <w:szCs w:val="22"/>
        </w:rPr>
        <w:t xml:space="preserve"> </w:t>
      </w:r>
      <w:r w:rsidR="0075366B">
        <w:rPr>
          <w:rFonts w:ascii="Arial" w:eastAsiaTheme="minorHAnsi" w:hAnsi="Arial" w:cs="Arial"/>
          <w:sz w:val="22"/>
          <w:szCs w:val="22"/>
        </w:rPr>
        <w:t xml:space="preserve">(T2DM) </w:t>
      </w:r>
      <w:r w:rsidR="00FC15A2" w:rsidRPr="00FC15A2">
        <w:rPr>
          <w:rFonts w:ascii="Arial" w:eastAsiaTheme="minorHAnsi" w:hAnsi="Arial" w:cs="Arial"/>
          <w:sz w:val="22"/>
          <w:szCs w:val="22"/>
        </w:rPr>
        <w:t xml:space="preserve">and noted the high use of </w:t>
      </w:r>
      <w:r w:rsidR="001B5726" w:rsidRPr="001B5726">
        <w:rPr>
          <w:rFonts w:ascii="Arial" w:eastAsiaTheme="minorHAnsi" w:hAnsi="Arial" w:cs="Arial"/>
          <w:sz w:val="22"/>
          <w:szCs w:val="22"/>
        </w:rPr>
        <w:t>glucagon-like peptide 1</w:t>
      </w:r>
      <w:r w:rsidR="001B5726" w:rsidRPr="00FC15A2">
        <w:rPr>
          <w:rFonts w:ascii="Arial" w:eastAsiaTheme="minorHAnsi" w:hAnsi="Arial" w:cs="Arial"/>
          <w:sz w:val="22"/>
          <w:szCs w:val="22"/>
        </w:rPr>
        <w:t xml:space="preserve"> </w:t>
      </w:r>
      <w:r w:rsidR="001B5726">
        <w:rPr>
          <w:rFonts w:ascii="Arial" w:eastAsiaTheme="minorHAnsi" w:hAnsi="Arial" w:cs="Arial"/>
          <w:sz w:val="22"/>
          <w:szCs w:val="22"/>
        </w:rPr>
        <w:t>(</w:t>
      </w:r>
      <w:r w:rsidR="00FC15A2" w:rsidRPr="00FC15A2">
        <w:rPr>
          <w:rFonts w:ascii="Arial" w:eastAsiaTheme="minorHAnsi" w:hAnsi="Arial" w:cs="Arial"/>
          <w:sz w:val="22"/>
          <w:szCs w:val="22"/>
        </w:rPr>
        <w:t>GLP-1</w:t>
      </w:r>
      <w:r w:rsidR="001B5726">
        <w:rPr>
          <w:rFonts w:ascii="Arial" w:eastAsiaTheme="minorHAnsi" w:hAnsi="Arial" w:cs="Arial"/>
          <w:sz w:val="22"/>
          <w:szCs w:val="22"/>
        </w:rPr>
        <w:t>)</w:t>
      </w:r>
      <w:r w:rsidR="00FC15A2" w:rsidRPr="00FC15A2">
        <w:rPr>
          <w:rFonts w:ascii="Arial" w:eastAsiaTheme="minorHAnsi" w:hAnsi="Arial" w:cs="Arial"/>
          <w:sz w:val="22"/>
          <w:szCs w:val="22"/>
        </w:rPr>
        <w:t xml:space="preserve"> </w:t>
      </w:r>
      <w:r w:rsidR="003B695E">
        <w:rPr>
          <w:rFonts w:ascii="Arial" w:eastAsiaTheme="minorHAnsi" w:hAnsi="Arial" w:cs="Arial"/>
          <w:sz w:val="22"/>
          <w:szCs w:val="22"/>
        </w:rPr>
        <w:t>receptor antagonists (</w:t>
      </w:r>
      <w:r w:rsidR="00FC15A2" w:rsidRPr="00FC15A2">
        <w:rPr>
          <w:rFonts w:ascii="Arial" w:eastAsiaTheme="minorHAnsi" w:hAnsi="Arial" w:cs="Arial"/>
          <w:sz w:val="22"/>
          <w:szCs w:val="22"/>
        </w:rPr>
        <w:t>R</w:t>
      </w:r>
      <w:r w:rsidR="003B695E">
        <w:rPr>
          <w:rFonts w:ascii="Arial" w:eastAsiaTheme="minorHAnsi" w:hAnsi="Arial" w:cs="Arial"/>
          <w:sz w:val="22"/>
          <w:szCs w:val="22"/>
        </w:rPr>
        <w:t>A</w:t>
      </w:r>
      <w:r w:rsidR="00FC15A2" w:rsidRPr="00FC15A2">
        <w:rPr>
          <w:rFonts w:ascii="Arial" w:eastAsiaTheme="minorHAnsi" w:hAnsi="Arial" w:cs="Arial"/>
          <w:sz w:val="22"/>
          <w:szCs w:val="22"/>
        </w:rPr>
        <w:t>s</w:t>
      </w:r>
      <w:r w:rsidR="003B695E">
        <w:rPr>
          <w:rFonts w:ascii="Arial" w:eastAsiaTheme="minorHAnsi" w:hAnsi="Arial" w:cs="Arial"/>
          <w:sz w:val="22"/>
          <w:szCs w:val="22"/>
        </w:rPr>
        <w:t>)</w:t>
      </w:r>
      <w:r w:rsidR="00FC15A2" w:rsidRPr="00FC15A2">
        <w:rPr>
          <w:rFonts w:ascii="Arial" w:eastAsiaTheme="minorHAnsi" w:hAnsi="Arial" w:cs="Arial"/>
          <w:sz w:val="22"/>
          <w:szCs w:val="22"/>
        </w:rPr>
        <w:t xml:space="preserve"> outside of the PBS restrictions. </w:t>
      </w:r>
      <w:r>
        <w:rPr>
          <w:rFonts w:ascii="Arial" w:eastAsiaTheme="minorHAnsi" w:hAnsi="Arial" w:cs="Arial"/>
          <w:sz w:val="22"/>
          <w:szCs w:val="22"/>
        </w:rPr>
        <w:t xml:space="preserve">The </w:t>
      </w:r>
      <w:r w:rsidR="00FC15A2" w:rsidRPr="00FC15A2">
        <w:rPr>
          <w:rFonts w:ascii="Arial" w:eastAsiaTheme="minorHAnsi" w:hAnsi="Arial" w:cs="Arial"/>
          <w:sz w:val="22"/>
          <w:szCs w:val="22"/>
        </w:rPr>
        <w:t xml:space="preserve">PBAC considered that it would be appropriate to change the restriction type for GLP-1 RAs from Authority Required (STREAMLINED) to Authority Required (telephone/online). </w:t>
      </w:r>
      <w:r>
        <w:rPr>
          <w:rFonts w:ascii="Arial" w:eastAsiaTheme="minorHAnsi" w:hAnsi="Arial" w:cs="Arial"/>
          <w:sz w:val="22"/>
          <w:szCs w:val="22"/>
        </w:rPr>
        <w:t xml:space="preserve">The </w:t>
      </w:r>
      <w:r w:rsidR="00FC15A2" w:rsidRPr="00FC15A2">
        <w:rPr>
          <w:rFonts w:ascii="Arial" w:eastAsiaTheme="minorHAnsi" w:hAnsi="Arial" w:cs="Arial"/>
          <w:sz w:val="22"/>
          <w:szCs w:val="22"/>
        </w:rPr>
        <w:t xml:space="preserve">PBAC considered that sulfonylureas were increasingly viewed by clinicians as contraindicated for most patients due to their association with weight gain and increased risk of </w:t>
      </w:r>
      <w:proofErr w:type="spellStart"/>
      <w:r w:rsidR="00FC15A2" w:rsidRPr="00FC15A2">
        <w:rPr>
          <w:rFonts w:ascii="Arial" w:eastAsiaTheme="minorHAnsi" w:hAnsi="Arial" w:cs="Arial"/>
          <w:sz w:val="22"/>
          <w:szCs w:val="22"/>
        </w:rPr>
        <w:t>hypoglycaemia</w:t>
      </w:r>
      <w:proofErr w:type="spellEnd"/>
      <w:r w:rsidR="00FC15A2" w:rsidRPr="00FC15A2">
        <w:rPr>
          <w:rFonts w:ascii="Arial" w:eastAsiaTheme="minorHAnsi" w:hAnsi="Arial" w:cs="Arial"/>
          <w:sz w:val="22"/>
          <w:szCs w:val="22"/>
        </w:rPr>
        <w:t xml:space="preserve">. Noting the high cost of GLP-1 RAs compared to other available treatments, </w:t>
      </w:r>
      <w:r>
        <w:rPr>
          <w:rFonts w:ascii="Arial" w:eastAsiaTheme="minorHAnsi" w:hAnsi="Arial" w:cs="Arial"/>
          <w:sz w:val="22"/>
          <w:szCs w:val="22"/>
        </w:rPr>
        <w:t xml:space="preserve">the </w:t>
      </w:r>
      <w:r w:rsidR="00FC15A2" w:rsidRPr="00FC15A2">
        <w:rPr>
          <w:rFonts w:ascii="Arial" w:eastAsiaTheme="minorHAnsi" w:hAnsi="Arial" w:cs="Arial"/>
          <w:sz w:val="22"/>
          <w:szCs w:val="22"/>
        </w:rPr>
        <w:t>PBAC further considered it would be appropriate to alter the dual therapy restrictions for GLP-</w:t>
      </w:r>
      <w:r w:rsidR="0075366B">
        <w:rPr>
          <w:rFonts w:ascii="Arial" w:eastAsiaTheme="minorHAnsi" w:hAnsi="Arial" w:cs="Arial"/>
          <w:sz w:val="22"/>
          <w:szCs w:val="22"/>
        </w:rPr>
        <w:t> </w:t>
      </w:r>
      <w:r w:rsidR="00FC15A2" w:rsidRPr="00FC15A2">
        <w:rPr>
          <w:rFonts w:ascii="Arial" w:eastAsiaTheme="minorHAnsi" w:hAnsi="Arial" w:cs="Arial"/>
          <w:sz w:val="22"/>
          <w:szCs w:val="22"/>
        </w:rPr>
        <w:t xml:space="preserve">1 RAs, for use with metformin or a sulfonylurea, to remove the requirement for contraindication/intolerance to a combination of metformin and a sulfonylurea and replace this with a requirement for contraindication/intolerance to a </w:t>
      </w:r>
      <w:r w:rsidR="005A71CE" w:rsidRPr="005A71CE">
        <w:rPr>
          <w:rFonts w:ascii="Arial" w:eastAsiaTheme="minorHAnsi" w:hAnsi="Arial" w:cs="Arial"/>
          <w:sz w:val="22"/>
          <w:szCs w:val="22"/>
        </w:rPr>
        <w:t>sodium-glucose cotransporter-</w:t>
      </w:r>
      <w:r w:rsidR="005A71CE" w:rsidRPr="00016CBD">
        <w:rPr>
          <w:rFonts w:ascii="Roboto" w:hAnsi="Roboto"/>
          <w:sz w:val="21"/>
          <w:szCs w:val="21"/>
          <w:shd w:val="clear" w:color="auto" w:fill="FFFFFF"/>
        </w:rPr>
        <w:t>2</w:t>
      </w:r>
      <w:r w:rsidR="005A71CE">
        <w:rPr>
          <w:rFonts w:ascii="Roboto" w:hAnsi="Roboto"/>
          <w:color w:val="71777D"/>
          <w:sz w:val="21"/>
          <w:szCs w:val="21"/>
          <w:shd w:val="clear" w:color="auto" w:fill="FFFFFF"/>
        </w:rPr>
        <w:t xml:space="preserve"> (</w:t>
      </w:r>
      <w:r w:rsidR="00FC15A2" w:rsidRPr="00FC15A2">
        <w:rPr>
          <w:rFonts w:ascii="Arial" w:eastAsiaTheme="minorHAnsi" w:hAnsi="Arial" w:cs="Arial"/>
          <w:sz w:val="22"/>
          <w:szCs w:val="22"/>
        </w:rPr>
        <w:t>SGLT2</w:t>
      </w:r>
      <w:r w:rsidR="005A71CE">
        <w:rPr>
          <w:rFonts w:ascii="Arial" w:eastAsiaTheme="minorHAnsi" w:hAnsi="Arial" w:cs="Arial"/>
          <w:sz w:val="22"/>
          <w:szCs w:val="22"/>
        </w:rPr>
        <w:t>)</w:t>
      </w:r>
      <w:r w:rsidR="00FC15A2" w:rsidRPr="00FC15A2">
        <w:rPr>
          <w:rFonts w:ascii="Arial" w:eastAsiaTheme="minorHAnsi" w:hAnsi="Arial" w:cs="Arial"/>
          <w:sz w:val="22"/>
          <w:szCs w:val="22"/>
        </w:rPr>
        <w:t xml:space="preserve"> inhibitor. </w:t>
      </w:r>
      <w:r>
        <w:rPr>
          <w:rFonts w:ascii="Arial" w:eastAsiaTheme="minorHAnsi" w:hAnsi="Arial" w:cs="Arial"/>
          <w:sz w:val="22"/>
          <w:szCs w:val="22"/>
        </w:rPr>
        <w:t xml:space="preserve">The </w:t>
      </w:r>
      <w:r w:rsidR="00FC15A2" w:rsidRPr="00FC15A2">
        <w:rPr>
          <w:rFonts w:ascii="Arial" w:eastAsiaTheme="minorHAnsi" w:hAnsi="Arial" w:cs="Arial"/>
          <w:sz w:val="22"/>
          <w:szCs w:val="22"/>
        </w:rPr>
        <w:t xml:space="preserve">PBAC considered that changes to the restrictions for GLP-1 RAs, </w:t>
      </w:r>
      <w:r w:rsidR="007C1098">
        <w:rPr>
          <w:rFonts w:ascii="Arial" w:eastAsiaTheme="minorHAnsi" w:hAnsi="Arial" w:cs="Arial"/>
          <w:sz w:val="22"/>
          <w:szCs w:val="22"/>
        </w:rPr>
        <w:t>d</w:t>
      </w:r>
      <w:r w:rsidR="007C1098" w:rsidRPr="007C1098">
        <w:rPr>
          <w:rFonts w:ascii="Arial" w:eastAsiaTheme="minorHAnsi" w:hAnsi="Arial" w:cs="Arial"/>
          <w:sz w:val="22"/>
          <w:szCs w:val="22"/>
        </w:rPr>
        <w:t>ipeptidyl peptidase 4</w:t>
      </w:r>
      <w:r w:rsidR="007C1098" w:rsidRPr="00FC15A2">
        <w:rPr>
          <w:rFonts w:ascii="Arial" w:eastAsiaTheme="minorHAnsi" w:hAnsi="Arial" w:cs="Arial"/>
          <w:sz w:val="22"/>
          <w:szCs w:val="22"/>
        </w:rPr>
        <w:t xml:space="preserve"> </w:t>
      </w:r>
      <w:r w:rsidR="007C1098">
        <w:rPr>
          <w:rFonts w:ascii="Arial" w:eastAsiaTheme="minorHAnsi" w:hAnsi="Arial" w:cs="Arial"/>
          <w:sz w:val="22"/>
          <w:szCs w:val="22"/>
        </w:rPr>
        <w:t>(</w:t>
      </w:r>
      <w:r w:rsidR="00FC15A2" w:rsidRPr="00FC15A2">
        <w:rPr>
          <w:rFonts w:ascii="Arial" w:eastAsiaTheme="minorHAnsi" w:hAnsi="Arial" w:cs="Arial"/>
          <w:sz w:val="22"/>
          <w:szCs w:val="22"/>
        </w:rPr>
        <w:t>DPP4</w:t>
      </w:r>
      <w:r w:rsidR="007C1098">
        <w:rPr>
          <w:rFonts w:ascii="Arial" w:eastAsiaTheme="minorHAnsi" w:hAnsi="Arial" w:cs="Arial"/>
          <w:sz w:val="22"/>
          <w:szCs w:val="22"/>
        </w:rPr>
        <w:t>)</w:t>
      </w:r>
      <w:r w:rsidR="00FC15A2" w:rsidRPr="00FC15A2">
        <w:rPr>
          <w:rFonts w:ascii="Arial" w:eastAsiaTheme="minorHAnsi" w:hAnsi="Arial" w:cs="Arial"/>
          <w:sz w:val="22"/>
          <w:szCs w:val="22"/>
        </w:rPr>
        <w:t xml:space="preserve"> inhibitors and SGLT2 inhibitors to explicitly exclude their use in combination with some classes of medicines may be useful. </w:t>
      </w:r>
      <w:r>
        <w:rPr>
          <w:rFonts w:ascii="Arial" w:eastAsiaTheme="minorHAnsi" w:hAnsi="Arial" w:cs="Arial"/>
          <w:sz w:val="22"/>
          <w:szCs w:val="22"/>
        </w:rPr>
        <w:t xml:space="preserve">The </w:t>
      </w:r>
      <w:r w:rsidR="00FC15A2" w:rsidRPr="00FC15A2">
        <w:rPr>
          <w:rFonts w:ascii="Arial" w:eastAsiaTheme="minorHAnsi" w:hAnsi="Arial" w:cs="Arial"/>
          <w:sz w:val="22"/>
          <w:szCs w:val="22"/>
        </w:rPr>
        <w:t xml:space="preserve">PBAC requested the draft restriction changes be presented at a future meeting. Noting the proportion of use of </w:t>
      </w:r>
      <w:r w:rsidR="00FC15A2" w:rsidRPr="00FC15A2">
        <w:rPr>
          <w:rFonts w:ascii="Arial" w:hAnsi="Arial" w:cs="Arial"/>
          <w:sz w:val="22"/>
          <w:szCs w:val="22"/>
        </w:rPr>
        <w:t xml:space="preserve">DPP4 inhibitors and SGLT2 inhibitors outside of the PBS restrictions, </w:t>
      </w:r>
      <w:r>
        <w:rPr>
          <w:rFonts w:ascii="Arial" w:hAnsi="Arial" w:cs="Arial"/>
          <w:sz w:val="22"/>
          <w:szCs w:val="22"/>
        </w:rPr>
        <w:t xml:space="preserve">the </w:t>
      </w:r>
      <w:r w:rsidR="00FC15A2" w:rsidRPr="00FC15A2">
        <w:rPr>
          <w:rFonts w:ascii="Arial" w:hAnsi="Arial" w:cs="Arial"/>
          <w:sz w:val="22"/>
          <w:szCs w:val="22"/>
        </w:rPr>
        <w:t xml:space="preserve">PBAC considered that a price reduction of at least 15% in the cost of these medicines would be appropriate. </w:t>
      </w:r>
      <w:r>
        <w:rPr>
          <w:rFonts w:ascii="Arial" w:eastAsiaTheme="minorHAnsi" w:hAnsi="Arial" w:cs="Arial"/>
          <w:sz w:val="22"/>
          <w:szCs w:val="22"/>
        </w:rPr>
        <w:t xml:space="preserve">The </w:t>
      </w:r>
      <w:r w:rsidR="00FC15A2" w:rsidRPr="00FC15A2">
        <w:rPr>
          <w:rFonts w:ascii="Arial" w:hAnsi="Arial" w:cs="Arial"/>
          <w:sz w:val="22"/>
          <w:szCs w:val="22"/>
        </w:rPr>
        <w:t xml:space="preserve">PBAC considered that it would be useful to review the </w:t>
      </w:r>
      <w:proofErr w:type="spellStart"/>
      <w:r w:rsidR="00FC15A2" w:rsidRPr="00FC15A2">
        <w:rPr>
          <w:rFonts w:ascii="Arial" w:hAnsi="Arial" w:cs="Arial"/>
          <w:sz w:val="22"/>
          <w:szCs w:val="22"/>
        </w:rPr>
        <w:t>utilisation</w:t>
      </w:r>
      <w:proofErr w:type="spellEnd"/>
      <w:r w:rsidR="00FC15A2" w:rsidRPr="00FC15A2">
        <w:rPr>
          <w:rFonts w:ascii="Arial" w:hAnsi="Arial" w:cs="Arial"/>
          <w:sz w:val="22"/>
          <w:szCs w:val="22"/>
        </w:rPr>
        <w:t xml:space="preserve"> of T2DM medicines again in 12-24 months.</w:t>
      </w:r>
    </w:p>
    <w:p w14:paraId="3621299A" w14:textId="77777777" w:rsidR="00F71F01" w:rsidRPr="006354AB" w:rsidRDefault="00F71F01" w:rsidP="00973009">
      <w:pPr>
        <w:spacing w:before="120" w:after="120"/>
        <w:jc w:val="both"/>
        <w:rPr>
          <w:rFonts w:ascii="Arial" w:hAnsi="Arial" w:cs="Arial"/>
          <w:iCs/>
          <w:sz w:val="22"/>
          <w:szCs w:val="22"/>
        </w:rPr>
      </w:pPr>
    </w:p>
    <w:p w14:paraId="42DF3780" w14:textId="77777777" w:rsidR="00F71F01" w:rsidRDefault="00F71F01" w:rsidP="00973009">
      <w:pPr>
        <w:spacing w:after="120"/>
        <w:jc w:val="both"/>
        <w:rPr>
          <w:rFonts w:ascii="Arial" w:hAnsi="Arial" w:cs="Arial"/>
          <w:b/>
          <w:sz w:val="22"/>
          <w:lang w:val="en-AU" w:eastAsia="en-AU"/>
        </w:rPr>
      </w:pPr>
      <w:r w:rsidRPr="00F71F01">
        <w:rPr>
          <w:rFonts w:ascii="Arial" w:hAnsi="Arial" w:cs="Arial"/>
          <w:b/>
          <w:sz w:val="22"/>
          <w:lang w:val="en-AU" w:eastAsia="en-AU"/>
        </w:rPr>
        <w:t xml:space="preserve">TEDUGLUTIDE FOR SHORT BOWEL SYNDROME PROPOSED RESTRICTION CHANGES </w:t>
      </w:r>
    </w:p>
    <w:p w14:paraId="01592D8F" w14:textId="08610A03" w:rsidR="00F71F01" w:rsidRDefault="00F71F01" w:rsidP="00973009">
      <w:pPr>
        <w:spacing w:after="120"/>
        <w:jc w:val="both"/>
        <w:rPr>
          <w:rFonts w:ascii="Arial" w:hAnsi="Arial" w:cs="Arial"/>
          <w:i/>
          <w:sz w:val="22"/>
          <w:szCs w:val="22"/>
        </w:rPr>
      </w:pPr>
      <w:r w:rsidRPr="00362AC3">
        <w:rPr>
          <w:rFonts w:ascii="Arial" w:hAnsi="Arial" w:cs="Arial"/>
          <w:i/>
          <w:sz w:val="22"/>
          <w:szCs w:val="22"/>
        </w:rPr>
        <w:t>Outcome</w:t>
      </w:r>
    </w:p>
    <w:p w14:paraId="3237E230" w14:textId="0F34D13D" w:rsidR="00F71F01" w:rsidRPr="00F71F01" w:rsidRDefault="00F71F01" w:rsidP="00973009">
      <w:pPr>
        <w:spacing w:after="120"/>
        <w:jc w:val="both"/>
        <w:rPr>
          <w:rFonts w:ascii="Arial" w:hAnsi="Arial" w:cs="Arial"/>
          <w:iCs/>
          <w:sz w:val="22"/>
          <w:szCs w:val="22"/>
        </w:rPr>
      </w:pPr>
      <w:r w:rsidRPr="00F71F01">
        <w:rPr>
          <w:rFonts w:ascii="Arial" w:hAnsi="Arial" w:cs="Arial"/>
          <w:iCs/>
          <w:sz w:val="22"/>
          <w:szCs w:val="22"/>
        </w:rPr>
        <w:t>The PBAC reviewed the implications of altering the restriction for teduglutide for short bowel syndrome following the Department’s further investigation of the implications of changing the definition of treatment failure as proposed by the sponsor (Item 10.05, paragraph 3.4, Ratified minutes of the July 2022 PBAC meeting).</w:t>
      </w:r>
    </w:p>
    <w:p w14:paraId="24ED10C0" w14:textId="620CA5A0" w:rsidR="00F71F01" w:rsidRPr="00F71F01" w:rsidRDefault="00F71F01" w:rsidP="00973009">
      <w:pPr>
        <w:spacing w:after="120"/>
        <w:jc w:val="both"/>
        <w:rPr>
          <w:rFonts w:ascii="Arial" w:hAnsi="Arial" w:cs="Arial"/>
          <w:iCs/>
          <w:sz w:val="22"/>
          <w:szCs w:val="22"/>
        </w:rPr>
      </w:pPr>
      <w:r w:rsidRPr="00F71F01">
        <w:rPr>
          <w:rFonts w:ascii="Arial" w:hAnsi="Arial" w:cs="Arial"/>
          <w:iCs/>
          <w:sz w:val="22"/>
          <w:szCs w:val="22"/>
        </w:rPr>
        <w:t xml:space="preserve">The PBAC noted that the change in definition of treatment failure to ‘baseline’ instead of ‘last assessment’ would cause the treatment stability definition to become redundant. This was due to treatment stability referring to the previous application, but the previous application would always be referring to baseline. </w:t>
      </w:r>
    </w:p>
    <w:p w14:paraId="35A849E7" w14:textId="25194DD1" w:rsidR="00F71F01" w:rsidRPr="00F71F01" w:rsidRDefault="00F71F01" w:rsidP="00973009">
      <w:pPr>
        <w:spacing w:after="120"/>
        <w:jc w:val="both"/>
        <w:rPr>
          <w:rFonts w:ascii="Arial" w:hAnsi="Arial" w:cs="Arial"/>
          <w:iCs/>
          <w:sz w:val="22"/>
          <w:szCs w:val="22"/>
        </w:rPr>
      </w:pPr>
      <w:r w:rsidRPr="00F71F01">
        <w:rPr>
          <w:rFonts w:ascii="Arial" w:hAnsi="Arial" w:cs="Arial"/>
          <w:iCs/>
          <w:sz w:val="22"/>
          <w:szCs w:val="22"/>
        </w:rPr>
        <w:t>The PBAC noted that the trial treatment break would also no longer be a requirement as patients would either be continuing treatment due to response compared to baseline or failing treatment due to a failure in response compared to baseline. The original intent of the treatment break was to gauge whether improvements were a result of natural adaptive changes in the gut as opposed to any effect of the drug. Prescribers would still be permitted to trial a voluntary treatment break and resume teduglutide treatment if considered appropriate.</w:t>
      </w:r>
    </w:p>
    <w:p w14:paraId="1427E695" w14:textId="58EE2A77" w:rsidR="00F71F01" w:rsidRPr="00F71F01" w:rsidRDefault="00F71F01" w:rsidP="00973009">
      <w:pPr>
        <w:spacing w:after="120"/>
        <w:jc w:val="both"/>
        <w:rPr>
          <w:rFonts w:ascii="Arial" w:hAnsi="Arial" w:cs="Arial"/>
          <w:iCs/>
          <w:sz w:val="22"/>
          <w:szCs w:val="22"/>
        </w:rPr>
      </w:pPr>
      <w:r w:rsidRPr="00F71F01">
        <w:rPr>
          <w:rFonts w:ascii="Arial" w:hAnsi="Arial" w:cs="Arial"/>
          <w:iCs/>
          <w:sz w:val="22"/>
          <w:szCs w:val="22"/>
        </w:rPr>
        <w:lastRenderedPageBreak/>
        <w:t xml:space="preserve">The PBAC noted this change would also cause changes in the three current continuing restrictions as the subsequent and recommencement restrictions would no longer be required. </w:t>
      </w:r>
    </w:p>
    <w:p w14:paraId="59C5966D" w14:textId="56CB13AF" w:rsidR="00F71F01" w:rsidRPr="00F71F01" w:rsidRDefault="00F71F01" w:rsidP="00973009">
      <w:pPr>
        <w:spacing w:after="120"/>
        <w:jc w:val="both"/>
        <w:rPr>
          <w:rFonts w:ascii="Arial" w:hAnsi="Arial" w:cs="Arial"/>
          <w:iCs/>
          <w:sz w:val="22"/>
          <w:szCs w:val="22"/>
        </w:rPr>
      </w:pPr>
      <w:r w:rsidRPr="00F71F01">
        <w:rPr>
          <w:rFonts w:ascii="Arial" w:hAnsi="Arial" w:cs="Arial"/>
          <w:iCs/>
          <w:sz w:val="22"/>
          <w:szCs w:val="22"/>
        </w:rPr>
        <w:t>With respect to concerns raised in July 2022 concerning rigidity in the timing of parenteral support observations (</w:t>
      </w:r>
      <w:proofErr w:type="gramStart"/>
      <w:r w:rsidRPr="00F71F01">
        <w:rPr>
          <w:rFonts w:ascii="Arial" w:hAnsi="Arial" w:cs="Arial"/>
          <w:iCs/>
          <w:sz w:val="22"/>
          <w:szCs w:val="22"/>
        </w:rPr>
        <w:t>i.e.</w:t>
      </w:r>
      <w:proofErr w:type="gramEnd"/>
      <w:r w:rsidRPr="00F71F01">
        <w:rPr>
          <w:rFonts w:ascii="Arial" w:hAnsi="Arial" w:cs="Arial"/>
          <w:iCs/>
          <w:sz w:val="22"/>
          <w:szCs w:val="22"/>
        </w:rPr>
        <w:t xml:space="preserve"> in the 4 weeks immediately preceding the authority application), the PBAC acknowledged that the 4 weeks immediately preceding an authority application may not be accurately representative of the entire preceding treatment period. The PBAC therefore recommended flexibility in when the observations of parenteral support are conducted.</w:t>
      </w:r>
    </w:p>
    <w:p w14:paraId="0DC9C6C5" w14:textId="35E1332F" w:rsidR="00F71F01" w:rsidRPr="00F71F01" w:rsidRDefault="00F71F01" w:rsidP="00973009">
      <w:pPr>
        <w:spacing w:after="120"/>
        <w:jc w:val="both"/>
        <w:rPr>
          <w:rFonts w:ascii="Arial" w:hAnsi="Arial" w:cs="Arial"/>
          <w:iCs/>
          <w:sz w:val="22"/>
          <w:szCs w:val="22"/>
        </w:rPr>
      </w:pPr>
      <w:r w:rsidRPr="00F71F01">
        <w:rPr>
          <w:rFonts w:ascii="Arial" w:hAnsi="Arial" w:cs="Arial"/>
          <w:iCs/>
          <w:sz w:val="22"/>
          <w:szCs w:val="22"/>
        </w:rPr>
        <w:t xml:space="preserve">The PBAC noted that </w:t>
      </w:r>
      <w:proofErr w:type="spellStart"/>
      <w:r w:rsidRPr="00F71F01">
        <w:rPr>
          <w:rFonts w:ascii="Arial" w:hAnsi="Arial" w:cs="Arial"/>
          <w:iCs/>
          <w:sz w:val="22"/>
          <w:szCs w:val="22"/>
        </w:rPr>
        <w:t>utilisation</w:t>
      </w:r>
      <w:proofErr w:type="spellEnd"/>
      <w:r w:rsidRPr="00F71F01">
        <w:rPr>
          <w:rFonts w:ascii="Arial" w:hAnsi="Arial" w:cs="Arial"/>
          <w:iCs/>
          <w:sz w:val="22"/>
          <w:szCs w:val="22"/>
        </w:rPr>
        <w:t xml:space="preserve"> was much lower than expected and only a small proportion of patients had ceased treatment after a trial cessation period. The PBAC recommended the change in restriction from ‘previous application’ to ‘baseline’ to lower the burden on health practitioners and consumers to access teduglutide. The PBAC considered that the change in restriction would have nil financial implications noting from the July 2022 DUSC review that the number of treated patients was small.</w:t>
      </w:r>
      <w:r>
        <w:rPr>
          <w:rFonts w:ascii="Arial" w:hAnsi="Arial" w:cs="Arial"/>
          <w:iCs/>
          <w:sz w:val="22"/>
          <w:szCs w:val="22"/>
        </w:rPr>
        <w:br/>
      </w:r>
    </w:p>
    <w:p w14:paraId="6328C950" w14:textId="77777777" w:rsidR="00F71F01" w:rsidRDefault="00F71F01" w:rsidP="00973009">
      <w:pPr>
        <w:spacing w:after="120"/>
        <w:jc w:val="both"/>
        <w:rPr>
          <w:rFonts w:ascii="Arial" w:hAnsi="Arial" w:cs="Arial"/>
          <w:b/>
          <w:sz w:val="22"/>
          <w:lang w:val="en-AU" w:eastAsia="en-AU"/>
        </w:rPr>
      </w:pPr>
      <w:r w:rsidRPr="00F71F01">
        <w:rPr>
          <w:rFonts w:ascii="Arial" w:hAnsi="Arial" w:cs="Arial"/>
          <w:b/>
          <w:sz w:val="22"/>
          <w:lang w:val="en-AU" w:eastAsia="en-AU"/>
        </w:rPr>
        <w:t>ATEZOLIZUMAB FOR EXTENSIVE-STAGE (ES) SMALL CELL LUNG CANCER (SCLC)</w:t>
      </w:r>
    </w:p>
    <w:p w14:paraId="25CA0BAB" w14:textId="1B75537D" w:rsidR="00F71F01" w:rsidRDefault="00F71F01" w:rsidP="00973009">
      <w:pPr>
        <w:spacing w:after="120"/>
        <w:jc w:val="both"/>
        <w:rPr>
          <w:rFonts w:ascii="Arial" w:hAnsi="Arial" w:cs="Arial"/>
          <w:i/>
          <w:sz w:val="22"/>
          <w:szCs w:val="22"/>
        </w:rPr>
      </w:pPr>
      <w:r w:rsidRPr="00362AC3">
        <w:rPr>
          <w:rFonts w:ascii="Arial" w:hAnsi="Arial" w:cs="Arial"/>
          <w:i/>
          <w:sz w:val="22"/>
          <w:szCs w:val="22"/>
        </w:rPr>
        <w:t>Outcome</w:t>
      </w:r>
    </w:p>
    <w:p w14:paraId="424840B9" w14:textId="61347B9C" w:rsidR="00F71F01" w:rsidRPr="00F71F01" w:rsidRDefault="00F71F01" w:rsidP="00973009">
      <w:pPr>
        <w:spacing w:after="120"/>
        <w:jc w:val="both"/>
        <w:rPr>
          <w:rFonts w:ascii="Arial" w:hAnsi="Arial" w:cs="Arial"/>
          <w:iCs/>
          <w:sz w:val="22"/>
          <w:szCs w:val="22"/>
        </w:rPr>
      </w:pPr>
      <w:r w:rsidRPr="00F71F01">
        <w:rPr>
          <w:rFonts w:ascii="Arial" w:hAnsi="Arial" w:cs="Arial"/>
          <w:iCs/>
          <w:sz w:val="22"/>
          <w:szCs w:val="22"/>
        </w:rPr>
        <w:t>The PBAC noted the number of patients</w:t>
      </w:r>
      <w:r>
        <w:rPr>
          <w:rFonts w:ascii="Arial" w:hAnsi="Arial" w:cs="Arial"/>
          <w:iCs/>
          <w:sz w:val="22"/>
          <w:szCs w:val="22"/>
        </w:rPr>
        <w:t xml:space="preserve"> and prescriptions dispensed</w:t>
      </w:r>
      <w:r w:rsidRPr="00F71F01">
        <w:rPr>
          <w:rFonts w:ascii="Arial" w:hAnsi="Arial" w:cs="Arial"/>
          <w:iCs/>
          <w:sz w:val="22"/>
          <w:szCs w:val="22"/>
        </w:rPr>
        <w:t xml:space="preserve"> </w:t>
      </w:r>
      <w:r>
        <w:rPr>
          <w:rFonts w:ascii="Arial" w:hAnsi="Arial" w:cs="Arial"/>
          <w:iCs/>
          <w:sz w:val="22"/>
          <w:szCs w:val="22"/>
        </w:rPr>
        <w:t>for</w:t>
      </w:r>
      <w:r w:rsidRPr="00F71F01">
        <w:rPr>
          <w:rFonts w:ascii="Arial" w:hAnsi="Arial" w:cs="Arial"/>
          <w:iCs/>
          <w:sz w:val="22"/>
          <w:szCs w:val="22"/>
        </w:rPr>
        <w:t xml:space="preserve"> atezolizumab</w:t>
      </w:r>
      <w:r>
        <w:rPr>
          <w:rFonts w:ascii="Arial" w:hAnsi="Arial" w:cs="Arial"/>
          <w:iCs/>
          <w:sz w:val="22"/>
          <w:szCs w:val="22"/>
        </w:rPr>
        <w:t xml:space="preserve"> was</w:t>
      </w:r>
      <w:r w:rsidRPr="00F71F01">
        <w:rPr>
          <w:rFonts w:ascii="Arial" w:hAnsi="Arial" w:cs="Arial"/>
          <w:iCs/>
          <w:sz w:val="22"/>
          <w:szCs w:val="22"/>
        </w:rPr>
        <w:t xml:space="preserve"> </w:t>
      </w:r>
      <w:r>
        <w:rPr>
          <w:rFonts w:ascii="Arial" w:hAnsi="Arial" w:cs="Arial"/>
          <w:iCs/>
          <w:sz w:val="22"/>
          <w:szCs w:val="22"/>
        </w:rPr>
        <w:t>different from</w:t>
      </w:r>
      <w:r w:rsidRPr="00F71F01">
        <w:rPr>
          <w:rFonts w:ascii="Arial" w:hAnsi="Arial" w:cs="Arial"/>
          <w:iCs/>
          <w:sz w:val="22"/>
          <w:szCs w:val="22"/>
        </w:rPr>
        <w:t xml:space="preserve"> predicted</w:t>
      </w:r>
      <w:r>
        <w:rPr>
          <w:rFonts w:ascii="Arial" w:hAnsi="Arial" w:cs="Arial"/>
          <w:iCs/>
          <w:sz w:val="22"/>
          <w:szCs w:val="22"/>
        </w:rPr>
        <w:t>.</w:t>
      </w:r>
      <w:r w:rsidRPr="00F71F01">
        <w:rPr>
          <w:rFonts w:ascii="Arial" w:hAnsi="Arial" w:cs="Arial"/>
          <w:iCs/>
          <w:sz w:val="22"/>
          <w:szCs w:val="22"/>
        </w:rPr>
        <w:t xml:space="preserve"> The PBAC noted </w:t>
      </w:r>
      <w:r>
        <w:rPr>
          <w:rFonts w:ascii="Arial" w:hAnsi="Arial" w:cs="Arial"/>
          <w:iCs/>
          <w:sz w:val="22"/>
          <w:szCs w:val="22"/>
        </w:rPr>
        <w:t>that the estimated number of</w:t>
      </w:r>
      <w:r w:rsidRPr="00F71F01">
        <w:rPr>
          <w:rFonts w:ascii="Arial" w:hAnsi="Arial" w:cs="Arial"/>
          <w:iCs/>
          <w:sz w:val="22"/>
          <w:szCs w:val="22"/>
        </w:rPr>
        <w:t xml:space="preserve"> patients progressing from limited stage to ES, or proportion of ES-SCLC patients who have an </w:t>
      </w:r>
      <w:r w:rsidR="00E75D86">
        <w:rPr>
          <w:rFonts w:ascii="Arial" w:hAnsi="Arial" w:cs="Arial"/>
          <w:iCs/>
          <w:sz w:val="22"/>
          <w:szCs w:val="22"/>
        </w:rPr>
        <w:t>Eastern Cooperative Oncology Group (</w:t>
      </w:r>
      <w:r w:rsidRPr="00F71F01">
        <w:rPr>
          <w:rFonts w:ascii="Arial" w:hAnsi="Arial" w:cs="Arial"/>
          <w:iCs/>
          <w:sz w:val="22"/>
          <w:szCs w:val="22"/>
        </w:rPr>
        <w:t>ECOG</w:t>
      </w:r>
      <w:r w:rsidR="00E75D86">
        <w:rPr>
          <w:rFonts w:ascii="Arial" w:hAnsi="Arial" w:cs="Arial"/>
          <w:iCs/>
          <w:sz w:val="22"/>
          <w:szCs w:val="22"/>
        </w:rPr>
        <w:t>)</w:t>
      </w:r>
      <w:r w:rsidRPr="00F71F01">
        <w:rPr>
          <w:rFonts w:ascii="Arial" w:hAnsi="Arial" w:cs="Arial"/>
          <w:iCs/>
          <w:sz w:val="22"/>
          <w:szCs w:val="22"/>
        </w:rPr>
        <w:t xml:space="preserve"> 0-1 </w:t>
      </w:r>
      <w:r>
        <w:rPr>
          <w:rFonts w:ascii="Arial" w:hAnsi="Arial" w:cs="Arial"/>
          <w:iCs/>
          <w:sz w:val="22"/>
          <w:szCs w:val="22"/>
        </w:rPr>
        <w:t xml:space="preserve">could have resulted in the difference between predicted versus actual </w:t>
      </w:r>
      <w:proofErr w:type="spellStart"/>
      <w:r>
        <w:rPr>
          <w:rFonts w:ascii="Arial" w:hAnsi="Arial" w:cs="Arial"/>
          <w:iCs/>
          <w:sz w:val="22"/>
          <w:szCs w:val="22"/>
        </w:rPr>
        <w:t>utilisation</w:t>
      </w:r>
      <w:proofErr w:type="spellEnd"/>
      <w:r w:rsidRPr="00F71F01">
        <w:rPr>
          <w:rFonts w:ascii="Arial" w:hAnsi="Arial" w:cs="Arial"/>
          <w:iCs/>
          <w:sz w:val="22"/>
          <w:szCs w:val="22"/>
        </w:rPr>
        <w:t>.</w:t>
      </w:r>
    </w:p>
    <w:p w14:paraId="68E7D3CB" w14:textId="252A59DC" w:rsidR="00F71F01" w:rsidRPr="00F71F01" w:rsidRDefault="00F71F01" w:rsidP="00973009">
      <w:pPr>
        <w:spacing w:after="120"/>
        <w:jc w:val="both"/>
        <w:rPr>
          <w:rFonts w:ascii="Arial" w:hAnsi="Arial" w:cs="Arial"/>
          <w:iCs/>
          <w:sz w:val="22"/>
          <w:szCs w:val="22"/>
        </w:rPr>
      </w:pPr>
      <w:r w:rsidRPr="00F71F01">
        <w:rPr>
          <w:rFonts w:ascii="Arial" w:hAnsi="Arial" w:cs="Arial"/>
          <w:iCs/>
          <w:sz w:val="22"/>
          <w:szCs w:val="22"/>
        </w:rPr>
        <w:t>The PBAC noted the estimated number of grandfathered patients was uncertain as the patient access program had not commenced at the time of the submission. The PBAC noted th</w:t>
      </w:r>
      <w:r>
        <w:rPr>
          <w:rFonts w:ascii="Arial" w:hAnsi="Arial" w:cs="Arial"/>
          <w:iCs/>
          <w:sz w:val="22"/>
          <w:szCs w:val="22"/>
        </w:rPr>
        <w:t>at this</w:t>
      </w:r>
      <w:r w:rsidRPr="00F71F01">
        <w:rPr>
          <w:rFonts w:ascii="Arial" w:hAnsi="Arial" w:cs="Arial"/>
          <w:iCs/>
          <w:sz w:val="22"/>
          <w:szCs w:val="22"/>
        </w:rPr>
        <w:t xml:space="preserve"> may also have contributed to more patients being supplied treatment in Year 2.</w:t>
      </w:r>
    </w:p>
    <w:p w14:paraId="20B503BD" w14:textId="7F0C69BF" w:rsidR="00F71F01" w:rsidRPr="00F71F01" w:rsidRDefault="00F71F01" w:rsidP="00973009">
      <w:pPr>
        <w:spacing w:after="120"/>
        <w:jc w:val="both"/>
        <w:rPr>
          <w:rFonts w:ascii="Arial" w:hAnsi="Arial" w:cs="Arial"/>
          <w:iCs/>
          <w:sz w:val="22"/>
          <w:szCs w:val="22"/>
        </w:rPr>
      </w:pPr>
      <w:r w:rsidRPr="00F71F01">
        <w:rPr>
          <w:rFonts w:ascii="Arial" w:hAnsi="Arial" w:cs="Arial"/>
          <w:iCs/>
          <w:sz w:val="22"/>
          <w:szCs w:val="22"/>
        </w:rPr>
        <w:t xml:space="preserve">The PBAC noted the mean time on treatment without breaks was 188 days. </w:t>
      </w:r>
    </w:p>
    <w:p w14:paraId="5B5D4033" w14:textId="47BEF95D" w:rsidR="00F71F01" w:rsidRPr="00F71F01" w:rsidRDefault="00F71F01" w:rsidP="00973009">
      <w:pPr>
        <w:spacing w:after="120"/>
        <w:jc w:val="both"/>
        <w:rPr>
          <w:rFonts w:ascii="Arial" w:hAnsi="Arial" w:cs="Arial"/>
          <w:iCs/>
          <w:sz w:val="22"/>
          <w:szCs w:val="22"/>
        </w:rPr>
      </w:pPr>
      <w:r w:rsidRPr="00F71F01">
        <w:rPr>
          <w:rFonts w:ascii="Arial" w:hAnsi="Arial" w:cs="Arial"/>
          <w:iCs/>
          <w:sz w:val="22"/>
          <w:szCs w:val="22"/>
        </w:rPr>
        <w:t>The PBAC noted in the March 2020 submission that there was uncertainty around the estimated 100% uptake of the 1680 mg four weekly (Q4W) dosing regimen for continuing treatment. However, it was considered likely that most patients would be prescribed this new dosing regimen once it became available. The PBAC noted that this review demonstrated that most patients were still being prescribed the three</w:t>
      </w:r>
      <w:r w:rsidR="004C295B">
        <w:rPr>
          <w:rFonts w:ascii="Arial" w:hAnsi="Arial" w:cs="Arial"/>
          <w:iCs/>
          <w:sz w:val="22"/>
          <w:szCs w:val="22"/>
        </w:rPr>
        <w:noBreakHyphen/>
      </w:r>
      <w:r w:rsidRPr="00F71F01">
        <w:rPr>
          <w:rFonts w:ascii="Arial" w:hAnsi="Arial" w:cs="Arial"/>
          <w:iCs/>
          <w:sz w:val="22"/>
          <w:szCs w:val="22"/>
        </w:rPr>
        <w:t>weekly regimen.</w:t>
      </w:r>
    </w:p>
    <w:p w14:paraId="7F10ABD6" w14:textId="6AAD6E54" w:rsidR="00F71F01" w:rsidRPr="00F71F01" w:rsidRDefault="00F71F01" w:rsidP="00973009">
      <w:pPr>
        <w:spacing w:after="120"/>
        <w:jc w:val="both"/>
        <w:rPr>
          <w:rFonts w:ascii="Arial" w:hAnsi="Arial" w:cs="Arial"/>
          <w:iCs/>
          <w:sz w:val="22"/>
          <w:szCs w:val="22"/>
        </w:rPr>
      </w:pPr>
      <w:r w:rsidRPr="00F71F01">
        <w:rPr>
          <w:rFonts w:ascii="Arial" w:hAnsi="Arial" w:cs="Arial"/>
          <w:iCs/>
          <w:sz w:val="22"/>
          <w:szCs w:val="22"/>
        </w:rPr>
        <w:t xml:space="preserve">The PBAC considered that a further review of </w:t>
      </w:r>
      <w:proofErr w:type="spellStart"/>
      <w:r w:rsidRPr="00F71F01">
        <w:rPr>
          <w:rFonts w:ascii="Arial" w:hAnsi="Arial" w:cs="Arial"/>
          <w:iCs/>
          <w:sz w:val="22"/>
          <w:szCs w:val="22"/>
        </w:rPr>
        <w:t>utilisation</w:t>
      </w:r>
      <w:proofErr w:type="spellEnd"/>
      <w:r w:rsidRPr="00F71F01">
        <w:rPr>
          <w:rFonts w:ascii="Arial" w:hAnsi="Arial" w:cs="Arial"/>
          <w:iCs/>
          <w:sz w:val="22"/>
          <w:szCs w:val="22"/>
        </w:rPr>
        <w:t xml:space="preserve"> should be conducted in 12</w:t>
      </w:r>
      <w:r w:rsidR="0075366B">
        <w:rPr>
          <w:rFonts w:ascii="Arial" w:hAnsi="Arial" w:cs="Arial"/>
          <w:iCs/>
          <w:sz w:val="22"/>
          <w:szCs w:val="22"/>
        </w:rPr>
        <w:t> </w:t>
      </w:r>
      <w:r w:rsidRPr="00F71F01">
        <w:rPr>
          <w:rFonts w:ascii="Arial" w:hAnsi="Arial" w:cs="Arial"/>
          <w:iCs/>
          <w:sz w:val="22"/>
          <w:szCs w:val="22"/>
        </w:rPr>
        <w:t>-</w:t>
      </w:r>
      <w:r w:rsidR="0075366B">
        <w:rPr>
          <w:rFonts w:ascii="Arial" w:hAnsi="Arial" w:cs="Arial"/>
          <w:iCs/>
          <w:sz w:val="22"/>
          <w:szCs w:val="22"/>
        </w:rPr>
        <w:t> </w:t>
      </w:r>
      <w:r w:rsidRPr="00F71F01">
        <w:rPr>
          <w:rFonts w:ascii="Arial" w:hAnsi="Arial" w:cs="Arial"/>
          <w:iCs/>
          <w:sz w:val="22"/>
          <w:szCs w:val="22"/>
        </w:rPr>
        <w:t>24</w:t>
      </w:r>
      <w:r w:rsidR="0075366B">
        <w:rPr>
          <w:rFonts w:ascii="Arial" w:hAnsi="Arial" w:cs="Arial"/>
          <w:iCs/>
          <w:sz w:val="22"/>
          <w:szCs w:val="22"/>
        </w:rPr>
        <w:t> </w:t>
      </w:r>
      <w:r w:rsidRPr="00F71F01">
        <w:rPr>
          <w:rFonts w:ascii="Arial" w:hAnsi="Arial" w:cs="Arial"/>
          <w:iCs/>
          <w:sz w:val="22"/>
          <w:szCs w:val="22"/>
        </w:rPr>
        <w:t xml:space="preserve">months once more data is available to examine </w:t>
      </w:r>
      <w:proofErr w:type="spellStart"/>
      <w:r w:rsidRPr="00F71F01">
        <w:rPr>
          <w:rFonts w:ascii="Arial" w:hAnsi="Arial" w:cs="Arial"/>
          <w:iCs/>
          <w:sz w:val="22"/>
          <w:szCs w:val="22"/>
        </w:rPr>
        <w:t>utilisation</w:t>
      </w:r>
      <w:proofErr w:type="spellEnd"/>
      <w:r w:rsidRPr="00F71F01">
        <w:rPr>
          <w:rFonts w:ascii="Arial" w:hAnsi="Arial" w:cs="Arial"/>
          <w:iCs/>
          <w:sz w:val="22"/>
          <w:szCs w:val="22"/>
        </w:rPr>
        <w:t xml:space="preserve"> relative to the expenditure caps under the risk</w:t>
      </w:r>
      <w:r w:rsidR="00244B20">
        <w:rPr>
          <w:rFonts w:ascii="Arial" w:hAnsi="Arial" w:cs="Arial"/>
          <w:iCs/>
          <w:sz w:val="22"/>
          <w:szCs w:val="22"/>
        </w:rPr>
        <w:t xml:space="preserve"> </w:t>
      </w:r>
      <w:r w:rsidRPr="00F71F01">
        <w:rPr>
          <w:rFonts w:ascii="Arial" w:hAnsi="Arial" w:cs="Arial"/>
          <w:iCs/>
          <w:sz w:val="22"/>
          <w:szCs w:val="22"/>
        </w:rPr>
        <w:t>sharing arrangement.</w:t>
      </w:r>
    </w:p>
    <w:p w14:paraId="7A60339F" w14:textId="54DD4785" w:rsidR="00C229C3" w:rsidRPr="008B279B" w:rsidRDefault="00C229C3" w:rsidP="006354AB">
      <w:pPr>
        <w:spacing w:before="120" w:after="120"/>
        <w:rPr>
          <w:rFonts w:cs="Arial"/>
          <w:szCs w:val="20"/>
        </w:rPr>
      </w:pPr>
    </w:p>
    <w:sectPr w:rsidR="00C229C3" w:rsidRPr="008B279B" w:rsidSect="007A2421">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1440" w:footer="14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AD92D7" w14:textId="77777777" w:rsidR="004F2C21" w:rsidRDefault="004F2C21">
      <w:r>
        <w:separator/>
      </w:r>
    </w:p>
  </w:endnote>
  <w:endnote w:type="continuationSeparator" w:id="0">
    <w:p w14:paraId="2BEAD943" w14:textId="77777777" w:rsidR="004F2C21" w:rsidRDefault="004F2C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Roboto">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F4A5F" w14:textId="77777777" w:rsidR="0034025C" w:rsidRDefault="003402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7F5BA" w14:textId="77777777" w:rsidR="001F312C" w:rsidRPr="004630FE" w:rsidRDefault="001F312C">
    <w:pPr>
      <w:pStyle w:val="Footer"/>
      <w:jc w:val="center"/>
      <w:rPr>
        <w:rFonts w:ascii="Arial" w:hAnsi="Arial" w:cs="Arial"/>
        <w:sz w:val="22"/>
      </w:rPr>
    </w:pPr>
  </w:p>
  <w:p w14:paraId="2DAABEFB" w14:textId="48945DEF" w:rsidR="001F312C" w:rsidRPr="004630FE" w:rsidRDefault="001F312C">
    <w:pPr>
      <w:pStyle w:val="Footer"/>
      <w:jc w:val="center"/>
      <w:rPr>
        <w:rFonts w:ascii="Arial" w:hAnsi="Arial" w:cs="Arial"/>
        <w:sz w:val="22"/>
      </w:rPr>
    </w:pPr>
    <w:r w:rsidRPr="004630FE">
      <w:rPr>
        <w:rFonts w:ascii="Arial" w:hAnsi="Arial" w:cs="Arial"/>
        <w:sz w:val="22"/>
      </w:rPr>
      <w:fldChar w:fldCharType="begin"/>
    </w:r>
    <w:r w:rsidRPr="004630FE">
      <w:rPr>
        <w:rFonts w:ascii="Arial" w:hAnsi="Arial" w:cs="Arial"/>
        <w:sz w:val="22"/>
      </w:rPr>
      <w:instrText xml:space="preserve"> PAGE   \* MERGEFORMAT </w:instrText>
    </w:r>
    <w:r w:rsidRPr="004630FE">
      <w:rPr>
        <w:rFonts w:ascii="Arial" w:hAnsi="Arial" w:cs="Arial"/>
        <w:sz w:val="22"/>
      </w:rPr>
      <w:fldChar w:fldCharType="separate"/>
    </w:r>
    <w:r w:rsidR="00B84143">
      <w:rPr>
        <w:rFonts w:ascii="Arial" w:hAnsi="Arial" w:cs="Arial"/>
        <w:noProof/>
        <w:sz w:val="22"/>
      </w:rPr>
      <w:t>3</w:t>
    </w:r>
    <w:r w:rsidRPr="004630FE">
      <w:rPr>
        <w:rFonts w:ascii="Arial" w:hAnsi="Arial" w:cs="Arial"/>
        <w:noProof/>
        <w:sz w:val="22"/>
      </w:rPr>
      <w:fldChar w:fldCharType="end"/>
    </w:r>
  </w:p>
  <w:p w14:paraId="0A6D77EE" w14:textId="77777777" w:rsidR="001F312C" w:rsidRDefault="001F312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C11FC" w14:textId="77777777" w:rsidR="0034025C" w:rsidRDefault="003402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18CD5A" w14:textId="77777777" w:rsidR="004F2C21" w:rsidRDefault="004F2C21">
      <w:r>
        <w:separator/>
      </w:r>
    </w:p>
  </w:footnote>
  <w:footnote w:type="continuationSeparator" w:id="0">
    <w:p w14:paraId="5EB64A0E" w14:textId="77777777" w:rsidR="004F2C21" w:rsidRDefault="004F2C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784B5" w14:textId="77777777" w:rsidR="0034025C" w:rsidRDefault="003402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587D6" w14:textId="4B046B49" w:rsidR="001F312C" w:rsidRPr="00520B6E" w:rsidRDefault="006354AB" w:rsidP="004630FE">
    <w:pPr>
      <w:tabs>
        <w:tab w:val="center" w:pos="4153"/>
        <w:tab w:val="right" w:pos="8306"/>
      </w:tabs>
      <w:jc w:val="center"/>
      <w:rPr>
        <w:rFonts w:ascii="Arial" w:hAnsi="Arial" w:cs="Arial"/>
        <w:b/>
        <w:sz w:val="20"/>
      </w:rPr>
    </w:pPr>
    <w:r>
      <w:rPr>
        <w:rFonts w:ascii="Arial" w:hAnsi="Arial" w:cs="Arial"/>
        <w:b/>
        <w:sz w:val="20"/>
      </w:rPr>
      <w:t>NOVEMBER</w:t>
    </w:r>
    <w:r w:rsidR="00084B66">
      <w:rPr>
        <w:rFonts w:ascii="Arial" w:hAnsi="Arial" w:cs="Arial"/>
        <w:b/>
        <w:sz w:val="20"/>
      </w:rPr>
      <w:t xml:space="preserve"> </w:t>
    </w:r>
    <w:r w:rsidR="003A0382">
      <w:rPr>
        <w:rFonts w:ascii="Arial" w:hAnsi="Arial" w:cs="Arial"/>
        <w:b/>
        <w:sz w:val="20"/>
      </w:rPr>
      <w:t>2022</w:t>
    </w:r>
    <w:r w:rsidR="001F312C" w:rsidRPr="00341E66">
      <w:rPr>
        <w:rFonts w:ascii="Arial" w:hAnsi="Arial" w:cs="Arial"/>
        <w:b/>
        <w:sz w:val="20"/>
      </w:rPr>
      <w:t xml:space="preserve"> </w:t>
    </w:r>
    <w:r w:rsidR="001F312C" w:rsidRPr="00520B6E">
      <w:rPr>
        <w:rFonts w:ascii="Arial" w:hAnsi="Arial" w:cs="Arial"/>
        <w:b/>
        <w:sz w:val="20"/>
      </w:rPr>
      <w:t>PBAC M</w:t>
    </w:r>
    <w:r w:rsidR="001F312C">
      <w:rPr>
        <w:rFonts w:ascii="Arial" w:hAnsi="Arial" w:cs="Arial"/>
        <w:b/>
        <w:sz w:val="20"/>
      </w:rPr>
      <w:t>EETING – CONSIDERATION OF THE</w:t>
    </w:r>
    <w:r w:rsidR="001F312C" w:rsidRPr="00520B6E">
      <w:rPr>
        <w:rFonts w:ascii="Arial" w:hAnsi="Arial" w:cs="Arial"/>
        <w:b/>
        <w:sz w:val="20"/>
      </w:rPr>
      <w:t xml:space="preserve"> </w:t>
    </w:r>
    <w:r w:rsidR="001F312C">
      <w:rPr>
        <w:rFonts w:ascii="Arial" w:hAnsi="Arial" w:cs="Arial"/>
        <w:b/>
        <w:sz w:val="20"/>
      </w:rPr>
      <w:t>REPORT OF THE DRUG UTILISATION SUB</w:t>
    </w:r>
    <w:r w:rsidR="001F312C">
      <w:rPr>
        <w:rFonts w:ascii="Arial" w:hAnsi="Arial" w:cs="Arial"/>
        <w:b/>
        <w:sz w:val="20"/>
      </w:rPr>
      <w:noBreakHyphen/>
      <w:t>COMMITTEE</w:t>
    </w:r>
  </w:p>
  <w:p w14:paraId="6758E2CC" w14:textId="77777777" w:rsidR="001F312C" w:rsidRDefault="001F312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3DFB3" w14:textId="77777777" w:rsidR="0034025C" w:rsidRDefault="003402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1368F"/>
    <w:multiLevelType w:val="hybridMultilevel"/>
    <w:tmpl w:val="8FEA92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4BB16DE"/>
    <w:multiLevelType w:val="multilevel"/>
    <w:tmpl w:val="51AA4F0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3AB031B9"/>
    <w:multiLevelType w:val="multilevel"/>
    <w:tmpl w:val="6A0E1B1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F4C1A3A"/>
    <w:multiLevelType w:val="hybridMultilevel"/>
    <w:tmpl w:val="C1B245C0"/>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4" w15:restartNumberingAfterBreak="0">
    <w:nsid w:val="48DD109F"/>
    <w:multiLevelType w:val="multilevel"/>
    <w:tmpl w:val="95D6B714"/>
    <w:lvl w:ilvl="0">
      <w:start w:val="3"/>
      <w:numFmt w:val="decimal"/>
      <w:lvlText w:val="%1"/>
      <w:lvlJc w:val="left"/>
      <w:pPr>
        <w:ind w:left="360" w:hanging="360"/>
      </w:pPr>
      <w:rPr>
        <w:rFonts w:hint="default"/>
      </w:rPr>
    </w:lvl>
    <w:lvl w:ilvl="1">
      <w:start w:val="2"/>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5" w15:restartNumberingAfterBreak="0">
    <w:nsid w:val="5F050041"/>
    <w:multiLevelType w:val="multilevel"/>
    <w:tmpl w:val="5CB87B68"/>
    <w:lvl w:ilvl="0">
      <w:start w:val="1"/>
      <w:numFmt w:val="decimal"/>
      <w:lvlText w:val="%1"/>
      <w:lvlJc w:val="left"/>
      <w:pPr>
        <w:ind w:left="1440" w:hanging="720"/>
      </w:pPr>
      <w:rPr>
        <w:rFonts w:hint="default"/>
      </w:rPr>
    </w:lvl>
    <w:lvl w:ilvl="1">
      <w:start w:val="1"/>
      <w:numFmt w:val="decimal"/>
      <w:isLgl/>
      <w:lvlText w:val="%1.%2"/>
      <w:lvlJc w:val="left"/>
      <w:pPr>
        <w:ind w:left="1440" w:hanging="720"/>
      </w:pPr>
      <w:rPr>
        <w:rFonts w:hint="default"/>
      </w:rPr>
    </w:lvl>
    <w:lvl w:ilvl="2">
      <w:start w:val="1"/>
      <w:numFmt w:val="bullet"/>
      <w:lvlText w:val=""/>
      <w:lvlJc w:val="left"/>
      <w:pPr>
        <w:ind w:left="1440" w:hanging="720"/>
      </w:pPr>
      <w:rPr>
        <w:rFonts w:ascii="Symbol" w:hAnsi="Symbol"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 w15:restartNumberingAfterBreak="0">
    <w:nsid w:val="60FC76BD"/>
    <w:multiLevelType w:val="hybridMultilevel"/>
    <w:tmpl w:val="F474C00E"/>
    <w:lvl w:ilvl="0" w:tplc="BF768F38">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A5E65A0"/>
    <w:multiLevelType w:val="hybridMultilevel"/>
    <w:tmpl w:val="D01695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6BD522C5"/>
    <w:multiLevelType w:val="multilevel"/>
    <w:tmpl w:val="4E1A9C78"/>
    <w:lvl w:ilvl="0">
      <w:start w:val="1"/>
      <w:numFmt w:val="decimal"/>
      <w:lvlText w:val="%1"/>
      <w:lvlJc w:val="left"/>
      <w:pPr>
        <w:ind w:left="1440" w:hanging="720"/>
      </w:pPr>
      <w:rPr>
        <w:rFonts w:hint="default"/>
      </w:rPr>
    </w:lvl>
    <w:lvl w:ilvl="1">
      <w:start w:val="1"/>
      <w:numFmt w:val="bullet"/>
      <w:lvlText w:val=""/>
      <w:lvlJc w:val="left"/>
      <w:pPr>
        <w:ind w:left="1440" w:hanging="720"/>
      </w:pPr>
      <w:rPr>
        <w:rFonts w:ascii="Symbol" w:hAnsi="Symbol" w:hint="default"/>
        <w:i w:val="0"/>
      </w:rPr>
    </w:lvl>
    <w:lvl w:ilvl="2">
      <w:start w:val="1"/>
      <w:numFmt w:val="bullet"/>
      <w:lvlText w:val=""/>
      <w:lvlJc w:val="left"/>
      <w:pPr>
        <w:ind w:left="1440" w:hanging="720"/>
      </w:pPr>
      <w:rPr>
        <w:rFonts w:ascii="Symbol" w:hAnsi="Symbol"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9" w15:restartNumberingAfterBreak="0">
    <w:nsid w:val="784D757A"/>
    <w:multiLevelType w:val="hybridMultilevel"/>
    <w:tmpl w:val="ABC2AF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F874411"/>
    <w:multiLevelType w:val="multilevel"/>
    <w:tmpl w:val="29F890DE"/>
    <w:lvl w:ilvl="0">
      <w:start w:val="1"/>
      <w:numFmt w:val="bullet"/>
      <w:lvlText w:val=""/>
      <w:lvlJc w:val="left"/>
      <w:pPr>
        <w:ind w:left="720" w:hanging="720"/>
      </w:pPr>
      <w:rPr>
        <w:rFonts w:ascii="Symbol" w:hAnsi="Symbol" w:hint="default"/>
      </w:rPr>
    </w:lvl>
    <w:lvl w:ilvl="1">
      <w:start w:val="1"/>
      <w:numFmt w:val="decimal"/>
      <w:isLgl/>
      <w:lvlText w:val="%1.%2"/>
      <w:lvlJc w:val="left"/>
      <w:pPr>
        <w:ind w:left="720" w:hanging="720"/>
      </w:pPr>
      <w:rPr>
        <w:rFonts w:hint="default"/>
      </w:rPr>
    </w:lvl>
    <w:lvl w:ilvl="2">
      <w:start w:val="1"/>
      <w:numFmt w:val="bullet"/>
      <w:lvlText w:val=""/>
      <w:lvlJc w:val="left"/>
      <w:pPr>
        <w:ind w:left="720" w:hanging="720"/>
      </w:pPr>
      <w:rPr>
        <w:rFonts w:ascii="Symbol" w:hAnsi="Symbol"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10"/>
  </w:num>
  <w:num w:numId="2">
    <w:abstractNumId w:val="5"/>
  </w:num>
  <w:num w:numId="3">
    <w:abstractNumId w:val="2"/>
  </w:num>
  <w:num w:numId="4">
    <w:abstractNumId w:val="6"/>
  </w:num>
  <w:num w:numId="5">
    <w:abstractNumId w:val="4"/>
  </w:num>
  <w:num w:numId="6">
    <w:abstractNumId w:val="8"/>
  </w:num>
  <w:num w:numId="7">
    <w:abstractNumId w:val="1"/>
  </w:num>
  <w:num w:numId="8">
    <w:abstractNumId w:val="3"/>
  </w:num>
  <w:num w:numId="9">
    <w:abstractNumId w:val="9"/>
  </w:num>
  <w:num w:numId="10">
    <w:abstractNumId w:val="7"/>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doNotDisplayPageBoundaries/>
  <w:proofState w:spelling="clean" w:grammar="clean"/>
  <w:defaultTabStop w:val="720"/>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136A"/>
    <w:rsid w:val="00016CBD"/>
    <w:rsid w:val="0002143A"/>
    <w:rsid w:val="00034F16"/>
    <w:rsid w:val="000413ED"/>
    <w:rsid w:val="000437B9"/>
    <w:rsid w:val="00046F5C"/>
    <w:rsid w:val="00052897"/>
    <w:rsid w:val="0006056A"/>
    <w:rsid w:val="00060A45"/>
    <w:rsid w:val="00084B66"/>
    <w:rsid w:val="00095F78"/>
    <w:rsid w:val="000A2CDC"/>
    <w:rsid w:val="000B2DD0"/>
    <w:rsid w:val="000C6902"/>
    <w:rsid w:val="000E4B3A"/>
    <w:rsid w:val="0014056F"/>
    <w:rsid w:val="001416A4"/>
    <w:rsid w:val="00156D69"/>
    <w:rsid w:val="00176F11"/>
    <w:rsid w:val="001B5725"/>
    <w:rsid w:val="001B5726"/>
    <w:rsid w:val="001D0ACE"/>
    <w:rsid w:val="001D0B69"/>
    <w:rsid w:val="001D38C7"/>
    <w:rsid w:val="001D45AF"/>
    <w:rsid w:val="001E1951"/>
    <w:rsid w:val="001E7E86"/>
    <w:rsid w:val="001F0355"/>
    <w:rsid w:val="001F312C"/>
    <w:rsid w:val="00215DE5"/>
    <w:rsid w:val="0022150A"/>
    <w:rsid w:val="002374AC"/>
    <w:rsid w:val="00244B20"/>
    <w:rsid w:val="00250A1C"/>
    <w:rsid w:val="00251848"/>
    <w:rsid w:val="00265781"/>
    <w:rsid w:val="00267A9D"/>
    <w:rsid w:val="0028590B"/>
    <w:rsid w:val="002A0EF1"/>
    <w:rsid w:val="002D4006"/>
    <w:rsid w:val="002D7178"/>
    <w:rsid w:val="002E7273"/>
    <w:rsid w:val="002F7591"/>
    <w:rsid w:val="002F775E"/>
    <w:rsid w:val="00301E55"/>
    <w:rsid w:val="003172AB"/>
    <w:rsid w:val="003211BA"/>
    <w:rsid w:val="00326328"/>
    <w:rsid w:val="0034025C"/>
    <w:rsid w:val="00341E66"/>
    <w:rsid w:val="00362AC3"/>
    <w:rsid w:val="00385940"/>
    <w:rsid w:val="00397836"/>
    <w:rsid w:val="003A0382"/>
    <w:rsid w:val="003B695E"/>
    <w:rsid w:val="003B79EE"/>
    <w:rsid w:val="003C2B83"/>
    <w:rsid w:val="003E55CB"/>
    <w:rsid w:val="00400159"/>
    <w:rsid w:val="0040140B"/>
    <w:rsid w:val="00407FAA"/>
    <w:rsid w:val="00446CF7"/>
    <w:rsid w:val="004630FE"/>
    <w:rsid w:val="00464B70"/>
    <w:rsid w:val="00464DA0"/>
    <w:rsid w:val="004669DB"/>
    <w:rsid w:val="004A1627"/>
    <w:rsid w:val="004C295B"/>
    <w:rsid w:val="004C4C12"/>
    <w:rsid w:val="004D4DEE"/>
    <w:rsid w:val="004E76AE"/>
    <w:rsid w:val="004F2C21"/>
    <w:rsid w:val="00507F23"/>
    <w:rsid w:val="00514593"/>
    <w:rsid w:val="005166A6"/>
    <w:rsid w:val="00520024"/>
    <w:rsid w:val="0054217F"/>
    <w:rsid w:val="00553E58"/>
    <w:rsid w:val="005616CC"/>
    <w:rsid w:val="005639BA"/>
    <w:rsid w:val="005642B3"/>
    <w:rsid w:val="00565336"/>
    <w:rsid w:val="005732A3"/>
    <w:rsid w:val="00575B2C"/>
    <w:rsid w:val="00582F85"/>
    <w:rsid w:val="005A71CE"/>
    <w:rsid w:val="005C202C"/>
    <w:rsid w:val="005D081A"/>
    <w:rsid w:val="005D774C"/>
    <w:rsid w:val="005F2273"/>
    <w:rsid w:val="006102C6"/>
    <w:rsid w:val="00614F10"/>
    <w:rsid w:val="006354AB"/>
    <w:rsid w:val="00641F0C"/>
    <w:rsid w:val="00647788"/>
    <w:rsid w:val="00652D57"/>
    <w:rsid w:val="00664A75"/>
    <w:rsid w:val="00666863"/>
    <w:rsid w:val="00677683"/>
    <w:rsid w:val="00683251"/>
    <w:rsid w:val="006847AC"/>
    <w:rsid w:val="006951BF"/>
    <w:rsid w:val="006A2EB2"/>
    <w:rsid w:val="006A5F26"/>
    <w:rsid w:val="006D0A58"/>
    <w:rsid w:val="006D36DC"/>
    <w:rsid w:val="006D4F54"/>
    <w:rsid w:val="006D593A"/>
    <w:rsid w:val="006E57A3"/>
    <w:rsid w:val="0070348A"/>
    <w:rsid w:val="007178BA"/>
    <w:rsid w:val="0073297F"/>
    <w:rsid w:val="0074603E"/>
    <w:rsid w:val="0075366B"/>
    <w:rsid w:val="00793AF0"/>
    <w:rsid w:val="007A2421"/>
    <w:rsid w:val="007C1098"/>
    <w:rsid w:val="007C758A"/>
    <w:rsid w:val="007C75EE"/>
    <w:rsid w:val="007E275C"/>
    <w:rsid w:val="007F4E20"/>
    <w:rsid w:val="00801B19"/>
    <w:rsid w:val="00816A6C"/>
    <w:rsid w:val="0082288D"/>
    <w:rsid w:val="0083210F"/>
    <w:rsid w:val="008361CD"/>
    <w:rsid w:val="008545D1"/>
    <w:rsid w:val="008613B3"/>
    <w:rsid w:val="008842CE"/>
    <w:rsid w:val="008866E8"/>
    <w:rsid w:val="00890D53"/>
    <w:rsid w:val="008934F5"/>
    <w:rsid w:val="008A4311"/>
    <w:rsid w:val="008A4B6F"/>
    <w:rsid w:val="008B279B"/>
    <w:rsid w:val="008B4388"/>
    <w:rsid w:val="008D020C"/>
    <w:rsid w:val="008E354F"/>
    <w:rsid w:val="009203A6"/>
    <w:rsid w:val="00922E47"/>
    <w:rsid w:val="00925E21"/>
    <w:rsid w:val="00933952"/>
    <w:rsid w:val="00973009"/>
    <w:rsid w:val="00997EA7"/>
    <w:rsid w:val="009A1ACC"/>
    <w:rsid w:val="009E121B"/>
    <w:rsid w:val="009E143F"/>
    <w:rsid w:val="009E7E00"/>
    <w:rsid w:val="00A03E25"/>
    <w:rsid w:val="00A0539F"/>
    <w:rsid w:val="00A1560D"/>
    <w:rsid w:val="00A25973"/>
    <w:rsid w:val="00A31269"/>
    <w:rsid w:val="00A32269"/>
    <w:rsid w:val="00A45D82"/>
    <w:rsid w:val="00A47E2F"/>
    <w:rsid w:val="00A50253"/>
    <w:rsid w:val="00A70179"/>
    <w:rsid w:val="00A74CCD"/>
    <w:rsid w:val="00A76D1B"/>
    <w:rsid w:val="00A9331B"/>
    <w:rsid w:val="00A93361"/>
    <w:rsid w:val="00AA5E4E"/>
    <w:rsid w:val="00AC0FFB"/>
    <w:rsid w:val="00AC2CB7"/>
    <w:rsid w:val="00AC4352"/>
    <w:rsid w:val="00AD2551"/>
    <w:rsid w:val="00AD37E5"/>
    <w:rsid w:val="00AE5FF1"/>
    <w:rsid w:val="00AF2F79"/>
    <w:rsid w:val="00AF3B3E"/>
    <w:rsid w:val="00AF6DA0"/>
    <w:rsid w:val="00B13AD3"/>
    <w:rsid w:val="00B1693A"/>
    <w:rsid w:val="00B20C0D"/>
    <w:rsid w:val="00B26B58"/>
    <w:rsid w:val="00B445D9"/>
    <w:rsid w:val="00B50A69"/>
    <w:rsid w:val="00B532C3"/>
    <w:rsid w:val="00B754AD"/>
    <w:rsid w:val="00B8335A"/>
    <w:rsid w:val="00B84143"/>
    <w:rsid w:val="00B94AFC"/>
    <w:rsid w:val="00B95F3B"/>
    <w:rsid w:val="00B96629"/>
    <w:rsid w:val="00BA0860"/>
    <w:rsid w:val="00BB24D0"/>
    <w:rsid w:val="00BB5497"/>
    <w:rsid w:val="00BC3BE5"/>
    <w:rsid w:val="00BD0BA3"/>
    <w:rsid w:val="00BD4745"/>
    <w:rsid w:val="00BE182E"/>
    <w:rsid w:val="00BE4405"/>
    <w:rsid w:val="00C22340"/>
    <w:rsid w:val="00C229C3"/>
    <w:rsid w:val="00C22AB9"/>
    <w:rsid w:val="00C636C2"/>
    <w:rsid w:val="00CB56CD"/>
    <w:rsid w:val="00CB6BC5"/>
    <w:rsid w:val="00CD04DF"/>
    <w:rsid w:val="00CD2ADF"/>
    <w:rsid w:val="00CD4158"/>
    <w:rsid w:val="00D03290"/>
    <w:rsid w:val="00D068D4"/>
    <w:rsid w:val="00D47451"/>
    <w:rsid w:val="00D51F57"/>
    <w:rsid w:val="00D7136A"/>
    <w:rsid w:val="00D72D36"/>
    <w:rsid w:val="00D82194"/>
    <w:rsid w:val="00DA25F6"/>
    <w:rsid w:val="00DA2A81"/>
    <w:rsid w:val="00DB4B4C"/>
    <w:rsid w:val="00DC7A41"/>
    <w:rsid w:val="00DD315C"/>
    <w:rsid w:val="00DE6CA5"/>
    <w:rsid w:val="00E11B1E"/>
    <w:rsid w:val="00E149F0"/>
    <w:rsid w:val="00E16015"/>
    <w:rsid w:val="00E24412"/>
    <w:rsid w:val="00E25A33"/>
    <w:rsid w:val="00E37984"/>
    <w:rsid w:val="00E37FD3"/>
    <w:rsid w:val="00E51B48"/>
    <w:rsid w:val="00E659DB"/>
    <w:rsid w:val="00E65BFD"/>
    <w:rsid w:val="00E75D86"/>
    <w:rsid w:val="00E86AE7"/>
    <w:rsid w:val="00EA43F8"/>
    <w:rsid w:val="00EB38E2"/>
    <w:rsid w:val="00EC18FC"/>
    <w:rsid w:val="00ED0E5B"/>
    <w:rsid w:val="00EE523C"/>
    <w:rsid w:val="00EE68E4"/>
    <w:rsid w:val="00EF7DF2"/>
    <w:rsid w:val="00F046B8"/>
    <w:rsid w:val="00F159FC"/>
    <w:rsid w:val="00F32FEB"/>
    <w:rsid w:val="00F514E4"/>
    <w:rsid w:val="00F53FA7"/>
    <w:rsid w:val="00F628C7"/>
    <w:rsid w:val="00F66E50"/>
    <w:rsid w:val="00F67C46"/>
    <w:rsid w:val="00F71F01"/>
    <w:rsid w:val="00F8213A"/>
    <w:rsid w:val="00F87883"/>
    <w:rsid w:val="00FA12CB"/>
    <w:rsid w:val="00FA4D8A"/>
    <w:rsid w:val="00FB5E27"/>
    <w:rsid w:val="00FC15A2"/>
    <w:rsid w:val="00FD0680"/>
    <w:rsid w:val="00FD3A6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4:docId w14:val="220B9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136A"/>
    <w:rPr>
      <w:rFonts w:eastAsia="Times New Roman"/>
      <w:sz w:val="24"/>
      <w:szCs w:val="24"/>
      <w:lang w:val="en-US" w:eastAsia="en-US"/>
    </w:rPr>
  </w:style>
  <w:style w:type="paragraph" w:styleId="Heading2">
    <w:name w:val="heading 2"/>
    <w:basedOn w:val="Normal"/>
    <w:next w:val="Normal"/>
    <w:link w:val="Heading2Char"/>
    <w:uiPriority w:val="9"/>
    <w:semiHidden/>
    <w:unhideWhenUsed/>
    <w:qFormat/>
    <w:rsid w:val="00D7136A"/>
    <w:pPr>
      <w:keepNext/>
      <w:keepLines/>
      <w:spacing w:before="20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7136A"/>
    <w:pPr>
      <w:tabs>
        <w:tab w:val="center" w:pos="4513"/>
        <w:tab w:val="right" w:pos="9026"/>
      </w:tabs>
    </w:pPr>
  </w:style>
  <w:style w:type="character" w:customStyle="1" w:styleId="HeaderChar">
    <w:name w:val="Header Char"/>
    <w:link w:val="Header"/>
    <w:rsid w:val="00D7136A"/>
    <w:rPr>
      <w:rFonts w:eastAsia="Times New Roman" w:cs="Times New Roman"/>
      <w:szCs w:val="24"/>
      <w:lang w:val="en-US"/>
    </w:rPr>
  </w:style>
  <w:style w:type="paragraph" w:customStyle="1" w:styleId="DepartmentalHeading2">
    <w:name w:val="Departmental Heading 2"/>
    <w:basedOn w:val="Heading2"/>
    <w:rsid w:val="00D7136A"/>
    <w:pPr>
      <w:keepLines w:val="0"/>
      <w:spacing w:before="240" w:after="60"/>
    </w:pPr>
    <w:rPr>
      <w:rFonts w:ascii="Arial" w:hAnsi="Arial"/>
      <w:bCs w:val="0"/>
      <w:color w:val="auto"/>
      <w:sz w:val="24"/>
      <w:szCs w:val="20"/>
      <w:lang w:val="en-AU" w:eastAsia="en-AU"/>
    </w:rPr>
  </w:style>
  <w:style w:type="character" w:styleId="Hyperlink">
    <w:name w:val="Hyperlink"/>
    <w:rsid w:val="00D7136A"/>
    <w:rPr>
      <w:color w:val="0000FF"/>
      <w:u w:val="single"/>
    </w:rPr>
  </w:style>
  <w:style w:type="character" w:styleId="CommentReference">
    <w:name w:val="annotation reference"/>
    <w:rsid w:val="00D7136A"/>
    <w:rPr>
      <w:sz w:val="16"/>
      <w:szCs w:val="16"/>
    </w:rPr>
  </w:style>
  <w:style w:type="paragraph" w:styleId="CommentText">
    <w:name w:val="annotation text"/>
    <w:basedOn w:val="Normal"/>
    <w:link w:val="CommentTextChar"/>
    <w:rsid w:val="00D7136A"/>
    <w:rPr>
      <w:sz w:val="20"/>
      <w:szCs w:val="20"/>
    </w:rPr>
  </w:style>
  <w:style w:type="character" w:customStyle="1" w:styleId="CommentTextChar">
    <w:name w:val="Comment Text Char"/>
    <w:link w:val="CommentText"/>
    <w:rsid w:val="00D7136A"/>
    <w:rPr>
      <w:rFonts w:eastAsia="Times New Roman" w:cs="Times New Roman"/>
      <w:sz w:val="20"/>
      <w:szCs w:val="20"/>
      <w:lang w:val="en-US"/>
    </w:rPr>
  </w:style>
  <w:style w:type="character" w:customStyle="1" w:styleId="Heading2Char">
    <w:name w:val="Heading 2 Char"/>
    <w:link w:val="Heading2"/>
    <w:uiPriority w:val="9"/>
    <w:semiHidden/>
    <w:rsid w:val="00D7136A"/>
    <w:rPr>
      <w:rFonts w:ascii="Cambria" w:eastAsia="Times New Roman" w:hAnsi="Cambria" w:cs="Times New Roman"/>
      <w:b/>
      <w:bCs/>
      <w:color w:val="4F81BD"/>
      <w:sz w:val="26"/>
      <w:szCs w:val="26"/>
      <w:lang w:val="en-US"/>
    </w:rPr>
  </w:style>
  <w:style w:type="paragraph" w:styleId="BalloonText">
    <w:name w:val="Balloon Text"/>
    <w:basedOn w:val="Normal"/>
    <w:link w:val="BalloonTextChar"/>
    <w:semiHidden/>
    <w:unhideWhenUsed/>
    <w:rsid w:val="00D7136A"/>
    <w:rPr>
      <w:rFonts w:ascii="Tahoma" w:hAnsi="Tahoma" w:cs="Tahoma"/>
      <w:sz w:val="16"/>
      <w:szCs w:val="16"/>
    </w:rPr>
  </w:style>
  <w:style w:type="character" w:customStyle="1" w:styleId="BalloonTextChar">
    <w:name w:val="Balloon Text Char"/>
    <w:link w:val="BalloonText"/>
    <w:semiHidden/>
    <w:rsid w:val="00D7136A"/>
    <w:rPr>
      <w:rFonts w:ascii="Tahoma" w:eastAsia="Times New Roman" w:hAnsi="Tahoma" w:cs="Tahoma"/>
      <w:sz w:val="16"/>
      <w:szCs w:val="16"/>
      <w:lang w:val="en-US"/>
    </w:rPr>
  </w:style>
  <w:style w:type="paragraph" w:styleId="Footer">
    <w:name w:val="footer"/>
    <w:basedOn w:val="Normal"/>
    <w:link w:val="FooterChar"/>
    <w:uiPriority w:val="99"/>
    <w:unhideWhenUsed/>
    <w:rsid w:val="004630FE"/>
    <w:pPr>
      <w:tabs>
        <w:tab w:val="center" w:pos="4513"/>
        <w:tab w:val="right" w:pos="9026"/>
      </w:tabs>
    </w:pPr>
  </w:style>
  <w:style w:type="character" w:customStyle="1" w:styleId="FooterChar">
    <w:name w:val="Footer Char"/>
    <w:link w:val="Footer"/>
    <w:uiPriority w:val="99"/>
    <w:rsid w:val="004630FE"/>
    <w:rPr>
      <w:rFonts w:eastAsia="Times New Roman" w:cs="Times New Roman"/>
      <w:szCs w:val="24"/>
      <w:lang w:val="en-US"/>
    </w:rPr>
  </w:style>
  <w:style w:type="paragraph" w:styleId="ListParagraph">
    <w:name w:val="List Paragraph"/>
    <w:aliases w:val="BulletPoints,Bullet point,List Paragraph1,List Paragraph11,Recommendation,Numbered para,#List Paragraph,L,Bullet Level 1,Bullet Point,Bulletr List Paragraph,Content descriptions,FooterText,List Bullet 1,List Paragraph2,List Paragraph21,列"/>
    <w:basedOn w:val="Normal"/>
    <w:link w:val="ListParagraphChar"/>
    <w:uiPriority w:val="34"/>
    <w:qFormat/>
    <w:rsid w:val="00A31269"/>
    <w:pPr>
      <w:ind w:left="720" w:hanging="720"/>
      <w:contextualSpacing/>
    </w:pPr>
    <w:rPr>
      <w:rFonts w:ascii="Arial" w:hAnsi="Arial"/>
      <w:sz w:val="22"/>
      <w:lang w:val="en-AU" w:eastAsia="en-AU"/>
    </w:rPr>
  </w:style>
  <w:style w:type="paragraph" w:styleId="CommentSubject">
    <w:name w:val="annotation subject"/>
    <w:basedOn w:val="CommentText"/>
    <w:next w:val="CommentText"/>
    <w:link w:val="CommentSubjectChar"/>
    <w:uiPriority w:val="99"/>
    <w:semiHidden/>
    <w:unhideWhenUsed/>
    <w:rsid w:val="003172AB"/>
    <w:rPr>
      <w:b/>
      <w:bCs/>
    </w:rPr>
  </w:style>
  <w:style w:type="character" w:customStyle="1" w:styleId="CommentSubjectChar">
    <w:name w:val="Comment Subject Char"/>
    <w:basedOn w:val="CommentTextChar"/>
    <w:link w:val="CommentSubject"/>
    <w:uiPriority w:val="99"/>
    <w:semiHidden/>
    <w:rsid w:val="003172AB"/>
    <w:rPr>
      <w:rFonts w:eastAsia="Times New Roman" w:cs="Times New Roman"/>
      <w:b/>
      <w:bCs/>
      <w:sz w:val="20"/>
      <w:szCs w:val="20"/>
      <w:lang w:val="en-US" w:eastAsia="en-US"/>
    </w:rPr>
  </w:style>
  <w:style w:type="character" w:customStyle="1" w:styleId="ListParagraphChar">
    <w:name w:val="List Paragraph Char"/>
    <w:aliases w:val="BulletPoints Char,Bullet point Char,List Paragraph1 Char,List Paragraph11 Char,Recommendation Char,Numbered para Char,#List Paragraph Char,L Char,Bullet Level 1 Char,Bullet Point Char,Bulletr List Paragraph Char,FooterText Char"/>
    <w:link w:val="ListParagraph"/>
    <w:uiPriority w:val="72"/>
    <w:qFormat/>
    <w:locked/>
    <w:rsid w:val="00A70179"/>
    <w:rPr>
      <w:rFonts w:ascii="Arial" w:eastAsia="Times New Roman" w:hAnsi="Arial"/>
      <w:sz w:val="22"/>
      <w:szCs w:val="24"/>
    </w:rPr>
  </w:style>
  <w:style w:type="character" w:styleId="FollowedHyperlink">
    <w:name w:val="FollowedHyperlink"/>
    <w:basedOn w:val="DefaultParagraphFont"/>
    <w:uiPriority w:val="99"/>
    <w:semiHidden/>
    <w:unhideWhenUsed/>
    <w:rsid w:val="009E121B"/>
    <w:rPr>
      <w:color w:val="800080" w:themeColor="followedHyperlink"/>
      <w:u w:val="single"/>
    </w:rPr>
  </w:style>
  <w:style w:type="paragraph" w:styleId="Revision">
    <w:name w:val="Revision"/>
    <w:hidden/>
    <w:uiPriority w:val="99"/>
    <w:semiHidden/>
    <w:rsid w:val="00084B66"/>
    <w:rPr>
      <w:rFonts w:eastAsia="Times New Roman"/>
      <w:sz w:val="24"/>
      <w:szCs w:val="24"/>
      <w:lang w:val="en-US" w:eastAsia="en-US"/>
    </w:rPr>
  </w:style>
  <w:style w:type="paragraph" w:styleId="NormalWeb">
    <w:name w:val="Normal (Web)"/>
    <w:basedOn w:val="Normal"/>
    <w:uiPriority w:val="99"/>
    <w:unhideWhenUsed/>
    <w:rsid w:val="007E275C"/>
    <w:pPr>
      <w:spacing w:before="100" w:beforeAutospacing="1" w:after="100" w:afterAutospacing="1"/>
    </w:pPr>
    <w:rPr>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5827934">
      <w:bodyDiv w:val="1"/>
      <w:marLeft w:val="0"/>
      <w:marRight w:val="0"/>
      <w:marTop w:val="0"/>
      <w:marBottom w:val="0"/>
      <w:divBdr>
        <w:top w:val="none" w:sz="0" w:space="0" w:color="auto"/>
        <w:left w:val="none" w:sz="0" w:space="0" w:color="auto"/>
        <w:bottom w:val="none" w:sz="0" w:space="0" w:color="auto"/>
        <w:right w:val="none" w:sz="0" w:space="0" w:color="auto"/>
      </w:divBdr>
    </w:div>
    <w:div w:id="1120999041">
      <w:bodyDiv w:val="1"/>
      <w:marLeft w:val="0"/>
      <w:marRight w:val="0"/>
      <w:marTop w:val="0"/>
      <w:marBottom w:val="0"/>
      <w:divBdr>
        <w:top w:val="none" w:sz="0" w:space="0" w:color="auto"/>
        <w:left w:val="none" w:sz="0" w:space="0" w:color="auto"/>
        <w:bottom w:val="none" w:sz="0" w:space="0" w:color="auto"/>
        <w:right w:val="none" w:sz="0" w:space="0" w:color="auto"/>
      </w:divBdr>
    </w:div>
    <w:div w:id="1321426486">
      <w:bodyDiv w:val="1"/>
      <w:marLeft w:val="0"/>
      <w:marRight w:val="0"/>
      <w:marTop w:val="0"/>
      <w:marBottom w:val="0"/>
      <w:divBdr>
        <w:top w:val="none" w:sz="0" w:space="0" w:color="auto"/>
        <w:left w:val="none" w:sz="0" w:space="0" w:color="auto"/>
        <w:bottom w:val="none" w:sz="0" w:space="0" w:color="auto"/>
        <w:right w:val="none" w:sz="0" w:space="0" w:color="auto"/>
      </w:divBdr>
    </w:div>
    <w:div w:id="1481116492">
      <w:bodyDiv w:val="1"/>
      <w:marLeft w:val="0"/>
      <w:marRight w:val="0"/>
      <w:marTop w:val="0"/>
      <w:marBottom w:val="0"/>
      <w:divBdr>
        <w:top w:val="none" w:sz="0" w:space="0" w:color="auto"/>
        <w:left w:val="none" w:sz="0" w:space="0" w:color="auto"/>
        <w:bottom w:val="none" w:sz="0" w:space="0" w:color="auto"/>
        <w:right w:val="none" w:sz="0" w:space="0" w:color="auto"/>
      </w:divBdr>
    </w:div>
    <w:div w:id="1748070792">
      <w:bodyDiv w:val="1"/>
      <w:marLeft w:val="0"/>
      <w:marRight w:val="0"/>
      <w:marTop w:val="0"/>
      <w:marBottom w:val="0"/>
      <w:divBdr>
        <w:top w:val="none" w:sz="0" w:space="0" w:color="auto"/>
        <w:left w:val="none" w:sz="0" w:space="0" w:color="auto"/>
        <w:bottom w:val="none" w:sz="0" w:space="0" w:color="auto"/>
        <w:right w:val="none" w:sz="0" w:space="0" w:color="auto"/>
      </w:divBdr>
    </w:div>
    <w:div w:id="1786655798">
      <w:bodyDiv w:val="1"/>
      <w:marLeft w:val="0"/>
      <w:marRight w:val="0"/>
      <w:marTop w:val="0"/>
      <w:marBottom w:val="0"/>
      <w:divBdr>
        <w:top w:val="none" w:sz="0" w:space="0" w:color="auto"/>
        <w:left w:val="none" w:sz="0" w:space="0" w:color="auto"/>
        <w:bottom w:val="none" w:sz="0" w:space="0" w:color="auto"/>
        <w:right w:val="none" w:sz="0" w:space="0" w:color="auto"/>
      </w:divBdr>
    </w:div>
    <w:div w:id="1837182259">
      <w:bodyDiv w:val="1"/>
      <w:marLeft w:val="0"/>
      <w:marRight w:val="0"/>
      <w:marTop w:val="0"/>
      <w:marBottom w:val="0"/>
      <w:divBdr>
        <w:top w:val="none" w:sz="0" w:space="0" w:color="auto"/>
        <w:left w:val="none" w:sz="0" w:space="0" w:color="auto"/>
        <w:bottom w:val="none" w:sz="0" w:space="0" w:color="auto"/>
        <w:right w:val="none" w:sz="0" w:space="0" w:color="auto"/>
      </w:divBdr>
    </w:div>
    <w:div w:id="2097163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pbs.gov.au/info/industry/listing/elements/dusc-meetings/dos"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50BE58-614A-4570-82B5-5A52B7B89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1630</Words>
  <Characters>9295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2022-12-07T03:49:00Z</dcterms:created>
  <dcterms:modified xsi:type="dcterms:W3CDTF">2022-12-12T04:02:00Z</dcterms:modified>
</cp:coreProperties>
</file>