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0904A" w14:textId="1315957F" w:rsidR="007567D2" w:rsidRPr="00292120" w:rsidRDefault="007567D2" w:rsidP="007C685F">
      <w:pPr>
        <w:pStyle w:val="Default"/>
        <w:ind w:right="656"/>
        <w:jc w:val="both"/>
        <w:rPr>
          <w:rFonts w:ascii="Arial" w:hAnsi="Arial" w:cs="Arial"/>
          <w:sz w:val="20"/>
          <w:szCs w:val="20"/>
        </w:rPr>
      </w:pPr>
      <w:r w:rsidRPr="00292120">
        <w:rPr>
          <w:rFonts w:ascii="Arial" w:hAnsi="Arial" w:cs="Arial"/>
          <w:sz w:val="20"/>
          <w:szCs w:val="20"/>
        </w:rPr>
        <w:t xml:space="preserve">The </w:t>
      </w:r>
      <w:r w:rsidR="009E648E" w:rsidRPr="00292120">
        <w:rPr>
          <w:rFonts w:ascii="Arial" w:hAnsi="Arial" w:cs="Arial"/>
          <w:sz w:val="20"/>
          <w:szCs w:val="20"/>
        </w:rPr>
        <w:t>PBAC outcomes and recommendations are presented</w:t>
      </w:r>
      <w:r w:rsidRPr="00292120">
        <w:rPr>
          <w:rFonts w:ascii="Arial" w:hAnsi="Arial" w:cs="Arial"/>
          <w:sz w:val="20"/>
          <w:szCs w:val="20"/>
        </w:rPr>
        <w:t xml:space="preserve"> in alphabetical order by drug name.</w:t>
      </w:r>
    </w:p>
    <w:p w14:paraId="498951C4" w14:textId="211A8FF8" w:rsidR="007567D2" w:rsidRPr="00292120" w:rsidRDefault="007567D2">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1E0" w:firstRow="1" w:lastRow="1" w:firstColumn="1" w:lastColumn="1" w:noHBand="0" w:noVBand="0"/>
      </w:tblPr>
      <w:tblGrid>
        <w:gridCol w:w="3013"/>
        <w:gridCol w:w="2764"/>
        <w:gridCol w:w="3288"/>
        <w:gridCol w:w="1987"/>
        <w:gridCol w:w="4336"/>
      </w:tblGrid>
      <w:tr w:rsidR="00F374F7" w:rsidRPr="00544497" w14:paraId="2F780D8A" w14:textId="77777777" w:rsidTr="0088248D">
        <w:trPr>
          <w:cantSplit/>
          <w:tblHeader/>
          <w:jc w:val="center"/>
        </w:trPr>
        <w:tc>
          <w:tcPr>
            <w:tcW w:w="3013" w:type="dxa"/>
            <w:shd w:val="clear" w:color="auto" w:fill="auto"/>
            <w:tcMar>
              <w:top w:w="28" w:type="dxa"/>
              <w:bottom w:w="28" w:type="dxa"/>
            </w:tcMar>
            <w:vAlign w:val="center"/>
          </w:tcPr>
          <w:p w14:paraId="58BB41E5" w14:textId="46F847AB" w:rsidR="00F374F7" w:rsidRPr="00D60E67" w:rsidRDefault="00F374F7" w:rsidP="00F3265E">
            <w:pPr>
              <w:keepLines/>
              <w:widowControl w:val="0"/>
              <w:spacing w:after="120"/>
              <w:ind w:right="-106"/>
              <w:jc w:val="center"/>
              <w:rPr>
                <w:rFonts w:asciiTheme="minorHAnsi" w:hAnsiTheme="minorHAnsi" w:cstheme="minorHAnsi"/>
                <w:b/>
                <w:sz w:val="18"/>
                <w:szCs w:val="18"/>
              </w:rPr>
            </w:pPr>
            <w:r w:rsidRPr="00D60E67">
              <w:rPr>
                <w:rFonts w:asciiTheme="minorHAnsi" w:hAnsiTheme="minorHAnsi" w:cstheme="minorHAnsi"/>
                <w:b/>
                <w:sz w:val="18"/>
                <w:szCs w:val="18"/>
              </w:rPr>
              <w:t>DRUG NAME, FORM(S), STRENGTH(S), SPONSOR, TYPE OF SUBMISSION</w:t>
            </w:r>
          </w:p>
        </w:tc>
        <w:tc>
          <w:tcPr>
            <w:tcW w:w="2764" w:type="dxa"/>
            <w:shd w:val="clear" w:color="auto" w:fill="auto"/>
            <w:tcMar>
              <w:top w:w="28" w:type="dxa"/>
              <w:bottom w:w="28" w:type="dxa"/>
            </w:tcMar>
            <w:vAlign w:val="center"/>
          </w:tcPr>
          <w:p w14:paraId="22DBCABB" w14:textId="77777777" w:rsidR="00F374F7" w:rsidRPr="00D60E67" w:rsidRDefault="00F374F7" w:rsidP="00F3265E">
            <w:pPr>
              <w:keepLines/>
              <w:widowControl w:val="0"/>
              <w:spacing w:after="120"/>
              <w:jc w:val="center"/>
              <w:rPr>
                <w:rFonts w:asciiTheme="minorHAnsi" w:hAnsiTheme="minorHAnsi" w:cstheme="minorHAnsi"/>
                <w:b/>
                <w:snapToGrid w:val="0"/>
                <w:sz w:val="18"/>
                <w:szCs w:val="18"/>
                <w:lang w:eastAsia="en-US"/>
              </w:rPr>
            </w:pPr>
            <w:r w:rsidRPr="00D60E67">
              <w:rPr>
                <w:rFonts w:asciiTheme="minorHAnsi" w:hAnsiTheme="minorHAnsi" w:cstheme="minorHAnsi"/>
                <w:b/>
                <w:snapToGrid w:val="0"/>
                <w:sz w:val="18"/>
                <w:szCs w:val="18"/>
                <w:lang w:eastAsia="en-US"/>
              </w:rPr>
              <w:t>DRUG TYPE AND USE</w:t>
            </w:r>
          </w:p>
          <w:p w14:paraId="64FD3362" w14:textId="77777777" w:rsidR="00F374F7" w:rsidRPr="00D60E67" w:rsidRDefault="00F374F7" w:rsidP="00F3265E">
            <w:pPr>
              <w:keepLines/>
              <w:widowControl w:val="0"/>
              <w:spacing w:after="120"/>
              <w:jc w:val="center"/>
              <w:rPr>
                <w:rFonts w:asciiTheme="minorHAnsi" w:hAnsiTheme="minorHAnsi" w:cstheme="minorHAnsi"/>
                <w:b/>
                <w:snapToGrid w:val="0"/>
                <w:sz w:val="18"/>
                <w:szCs w:val="18"/>
                <w:lang w:eastAsia="en-US"/>
              </w:rPr>
            </w:pPr>
          </w:p>
        </w:tc>
        <w:tc>
          <w:tcPr>
            <w:tcW w:w="3288" w:type="dxa"/>
            <w:shd w:val="clear" w:color="auto" w:fill="auto"/>
            <w:tcMar>
              <w:top w:w="28" w:type="dxa"/>
              <w:bottom w:w="28" w:type="dxa"/>
            </w:tcMar>
            <w:vAlign w:val="center"/>
          </w:tcPr>
          <w:p w14:paraId="60A9336E" w14:textId="77777777" w:rsidR="00F374F7" w:rsidRPr="00D60E67" w:rsidRDefault="00F374F7" w:rsidP="00F3265E">
            <w:pPr>
              <w:keepLines/>
              <w:widowControl w:val="0"/>
              <w:spacing w:after="120"/>
              <w:jc w:val="center"/>
              <w:rPr>
                <w:rFonts w:asciiTheme="minorHAnsi" w:hAnsiTheme="minorHAnsi" w:cstheme="minorHAnsi"/>
                <w:b/>
                <w:snapToGrid w:val="0"/>
                <w:sz w:val="18"/>
                <w:szCs w:val="18"/>
                <w:lang w:eastAsia="en-US"/>
              </w:rPr>
            </w:pPr>
            <w:r w:rsidRPr="00D60E67">
              <w:rPr>
                <w:rFonts w:asciiTheme="minorHAnsi" w:hAnsiTheme="minorHAnsi" w:cstheme="minorHAnsi"/>
                <w:b/>
                <w:snapToGrid w:val="0"/>
                <w:sz w:val="18"/>
                <w:szCs w:val="18"/>
                <w:lang w:eastAsia="en-US"/>
              </w:rPr>
              <w:t>LISTING REQUESTED BY SPONSOR / PURPOSE OF SUBMISSION</w:t>
            </w:r>
          </w:p>
        </w:tc>
        <w:tc>
          <w:tcPr>
            <w:tcW w:w="6323" w:type="dxa"/>
            <w:gridSpan w:val="2"/>
            <w:shd w:val="clear" w:color="auto" w:fill="auto"/>
            <w:vAlign w:val="center"/>
          </w:tcPr>
          <w:p w14:paraId="5BEF59E0" w14:textId="77777777" w:rsidR="00F374F7" w:rsidRPr="00D60E67" w:rsidRDefault="00F374F7" w:rsidP="00F3265E">
            <w:pPr>
              <w:pStyle w:val="Header"/>
              <w:keepLines/>
              <w:spacing w:after="120"/>
              <w:jc w:val="center"/>
              <w:rPr>
                <w:rFonts w:asciiTheme="minorHAnsi" w:hAnsiTheme="minorHAnsi" w:cstheme="minorHAnsi"/>
                <w:b/>
                <w:snapToGrid w:val="0"/>
                <w:sz w:val="18"/>
                <w:szCs w:val="18"/>
                <w:lang w:eastAsia="en-US"/>
              </w:rPr>
            </w:pPr>
            <w:r w:rsidRPr="00D60E67">
              <w:rPr>
                <w:rFonts w:asciiTheme="minorHAnsi" w:hAnsiTheme="minorHAnsi" w:cstheme="minorHAnsi"/>
                <w:b/>
                <w:snapToGrid w:val="0"/>
                <w:sz w:val="18"/>
                <w:szCs w:val="18"/>
                <w:lang w:eastAsia="en-US"/>
              </w:rPr>
              <w:t>PBAC OUTCOME</w:t>
            </w:r>
          </w:p>
          <w:p w14:paraId="5626F454" w14:textId="542D2F29" w:rsidR="00F374F7" w:rsidRPr="00D60E67" w:rsidRDefault="00F374F7" w:rsidP="00F3265E">
            <w:pPr>
              <w:pStyle w:val="Header"/>
              <w:keepLines/>
              <w:spacing w:after="120"/>
              <w:jc w:val="center"/>
              <w:rPr>
                <w:rFonts w:asciiTheme="minorHAnsi" w:hAnsiTheme="minorHAnsi" w:cstheme="minorHAnsi"/>
                <w:b/>
                <w:snapToGrid w:val="0"/>
                <w:sz w:val="18"/>
                <w:szCs w:val="18"/>
                <w:lang w:eastAsia="en-US"/>
              </w:rPr>
            </w:pPr>
          </w:p>
        </w:tc>
      </w:tr>
      <w:tr w:rsidR="006841F4" w:rsidRPr="00544497" w14:paraId="0B22D8EA" w14:textId="77777777" w:rsidTr="0088248D">
        <w:trPr>
          <w:cantSplit/>
          <w:trHeight w:val="518"/>
          <w:jc w:val="center"/>
        </w:trPr>
        <w:tc>
          <w:tcPr>
            <w:tcW w:w="3013" w:type="dxa"/>
            <w:shd w:val="clear" w:color="auto" w:fill="auto"/>
            <w:tcMar>
              <w:top w:w="28" w:type="dxa"/>
              <w:bottom w:w="28" w:type="dxa"/>
            </w:tcMar>
            <w:vAlign w:val="center"/>
          </w:tcPr>
          <w:p w14:paraId="46A68F83" w14:textId="6E62FB66" w:rsidR="006841F4" w:rsidRPr="00D60E67" w:rsidRDefault="006841F4" w:rsidP="008E4349">
            <w:pPr>
              <w:keepLines/>
              <w:jc w:val="center"/>
              <w:rPr>
                <w:rFonts w:asciiTheme="minorHAnsi" w:hAnsiTheme="minorHAnsi" w:cstheme="minorHAnsi"/>
                <w:sz w:val="18"/>
                <w:szCs w:val="18"/>
              </w:rPr>
            </w:pPr>
            <w:r w:rsidRPr="00D60E67">
              <w:rPr>
                <w:rFonts w:asciiTheme="minorHAnsi" w:hAnsiTheme="minorHAnsi" w:cstheme="minorHAnsi"/>
                <w:color w:val="000000"/>
                <w:sz w:val="18"/>
                <w:szCs w:val="18"/>
              </w:rPr>
              <w:t>ABIRATERONE AND METHYLPREDNISOLONE</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Pack containing 120 tablets abiraterone (as acetate) 125</w:t>
            </w:r>
            <w:r w:rsidR="00F523D3" w:rsidRPr="00D60E67">
              <w:rPr>
                <w:rFonts w:asciiTheme="minorHAnsi" w:hAnsiTheme="minorHAnsi" w:cstheme="minorHAnsi"/>
                <w:color w:val="000000"/>
                <w:sz w:val="18"/>
                <w:szCs w:val="18"/>
              </w:rPr>
              <w:t> </w:t>
            </w:r>
            <w:r w:rsidRPr="00D60E67">
              <w:rPr>
                <w:rFonts w:asciiTheme="minorHAnsi" w:hAnsiTheme="minorHAnsi" w:cstheme="minorHAnsi"/>
                <w:color w:val="000000"/>
                <w:sz w:val="18"/>
                <w:szCs w:val="18"/>
              </w:rPr>
              <w:t>mg and 60 tablets methylprednisolone 4 mg</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Yonsa® Mpred™</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SUN PHARMA ANZ PTY LTD</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Standard re-entry submission</w:t>
            </w:r>
            <w:r w:rsidRPr="00D60E67">
              <w:rPr>
                <w:rFonts w:asciiTheme="minorHAnsi" w:hAnsiTheme="minorHAnsi" w:cstheme="minorHAnsi"/>
                <w:color w:val="000000"/>
                <w:sz w:val="18"/>
                <w:szCs w:val="18"/>
              </w:rPr>
              <w:br/>
              <w:t>(New PBS listing)</w:t>
            </w:r>
          </w:p>
        </w:tc>
        <w:tc>
          <w:tcPr>
            <w:tcW w:w="2764" w:type="dxa"/>
            <w:shd w:val="clear" w:color="auto" w:fill="auto"/>
            <w:vAlign w:val="center"/>
          </w:tcPr>
          <w:p w14:paraId="7EDC6C7A" w14:textId="6472BD40" w:rsidR="006841F4" w:rsidRPr="00D60E67" w:rsidRDefault="006841F4" w:rsidP="008E4349">
            <w:pPr>
              <w:keepLines/>
              <w:widowControl w:val="0"/>
              <w:jc w:val="center"/>
              <w:rPr>
                <w:rFonts w:asciiTheme="minorHAnsi" w:hAnsiTheme="minorHAnsi" w:cstheme="minorHAnsi"/>
                <w:snapToGrid w:val="0"/>
                <w:sz w:val="18"/>
                <w:szCs w:val="18"/>
                <w:lang w:eastAsia="en-US"/>
              </w:rPr>
            </w:pPr>
            <w:r w:rsidRPr="00D60E67">
              <w:rPr>
                <w:rFonts w:asciiTheme="minorHAnsi" w:hAnsiTheme="minorHAnsi" w:cstheme="minorHAnsi"/>
                <w:color w:val="000000"/>
                <w:sz w:val="18"/>
                <w:szCs w:val="18"/>
              </w:rPr>
              <w:t>Prostate cancer</w:t>
            </w:r>
          </w:p>
        </w:tc>
        <w:tc>
          <w:tcPr>
            <w:tcW w:w="3288" w:type="dxa"/>
            <w:shd w:val="clear" w:color="auto" w:fill="auto"/>
            <w:tcMar>
              <w:top w:w="28" w:type="dxa"/>
              <w:bottom w:w="28" w:type="dxa"/>
            </w:tcMar>
            <w:vAlign w:val="center"/>
          </w:tcPr>
          <w:p w14:paraId="693A86FE" w14:textId="20D33584" w:rsidR="006841F4" w:rsidRPr="00D60E67" w:rsidRDefault="006841F4" w:rsidP="008E4349">
            <w:pPr>
              <w:pStyle w:val="ListParagraph"/>
              <w:keepLines/>
              <w:ind w:left="0"/>
              <w:jc w:val="center"/>
              <w:rPr>
                <w:rFonts w:asciiTheme="minorHAnsi" w:hAnsiTheme="minorHAnsi" w:cstheme="minorHAnsi"/>
                <w:snapToGrid w:val="0"/>
                <w:sz w:val="18"/>
                <w:szCs w:val="18"/>
                <w:lang w:eastAsia="en-US"/>
              </w:rPr>
            </w:pPr>
            <w:r w:rsidRPr="00D60E67">
              <w:rPr>
                <w:rFonts w:asciiTheme="minorHAnsi" w:hAnsiTheme="minorHAnsi" w:cstheme="minorHAnsi"/>
                <w:color w:val="000000"/>
                <w:sz w:val="18"/>
                <w:szCs w:val="18"/>
              </w:rPr>
              <w:t>Resubmission to request a General Schedule Authority Required listing of a composite pack for the treatment of castration-resistant metastatic carcinoma of the prostate.</w:t>
            </w:r>
          </w:p>
        </w:tc>
        <w:tc>
          <w:tcPr>
            <w:tcW w:w="1987" w:type="dxa"/>
            <w:shd w:val="clear" w:color="auto" w:fill="auto"/>
            <w:vAlign w:val="center"/>
          </w:tcPr>
          <w:p w14:paraId="0559B616" w14:textId="61B8C6B1" w:rsidR="006841F4" w:rsidRPr="00D60E67" w:rsidRDefault="006841F4" w:rsidP="0088248D">
            <w:pPr>
              <w:pStyle w:val="ListParagraph"/>
              <w:keepLines/>
              <w:ind w:left="0"/>
              <w:jc w:val="center"/>
              <w:rPr>
                <w:rFonts w:asciiTheme="minorHAnsi" w:hAnsiTheme="minorHAnsi" w:cstheme="minorHAnsi"/>
                <w:snapToGrid w:val="0"/>
                <w:sz w:val="18"/>
                <w:szCs w:val="18"/>
                <w:lang w:eastAsia="en-US"/>
              </w:rPr>
            </w:pPr>
            <w:r w:rsidRPr="00D60E67">
              <w:rPr>
                <w:rFonts w:asciiTheme="minorHAnsi" w:hAnsiTheme="minorHAnsi" w:cstheme="minorHAnsi"/>
                <w:color w:val="000000"/>
                <w:sz w:val="18"/>
                <w:szCs w:val="18"/>
              </w:rPr>
              <w:t>Recommended</w:t>
            </w:r>
          </w:p>
        </w:tc>
        <w:tc>
          <w:tcPr>
            <w:tcW w:w="4336" w:type="dxa"/>
            <w:shd w:val="clear" w:color="auto" w:fill="auto"/>
            <w:vAlign w:val="center"/>
          </w:tcPr>
          <w:p w14:paraId="219EECE8" w14:textId="2FE49827" w:rsidR="003717F5" w:rsidRPr="00D60E67" w:rsidRDefault="003717F5" w:rsidP="003717F5">
            <w:pPr>
              <w:keepLines/>
              <w:rPr>
                <w:rFonts w:asciiTheme="minorHAnsi" w:hAnsiTheme="minorHAnsi" w:cstheme="minorHAnsi"/>
                <w:color w:val="000000"/>
                <w:sz w:val="18"/>
                <w:szCs w:val="18"/>
              </w:rPr>
            </w:pPr>
            <w:r w:rsidRPr="00D60E67">
              <w:rPr>
                <w:rFonts w:asciiTheme="minorHAnsi" w:hAnsiTheme="minorHAnsi" w:cstheme="minorHAnsi"/>
                <w:color w:val="000000"/>
                <w:sz w:val="18"/>
                <w:szCs w:val="18"/>
              </w:rPr>
              <w:t>The PBAC recommended the General Schedule Authority Required listing of the composite pack comprising abiraterone acetate tablets in a fine particle formulation and oral methylprednisolone tablets (Yonsa® MPRED</w:t>
            </w:r>
            <w:r w:rsidR="006E23E0">
              <w:rPr>
                <w:rFonts w:asciiTheme="minorHAnsi" w:hAnsiTheme="minorHAnsi" w:cstheme="minorHAnsi"/>
                <w:color w:val="000000"/>
                <w:sz w:val="18"/>
                <w:szCs w:val="18"/>
              </w:rPr>
              <w:t>™</w:t>
            </w:r>
            <w:r w:rsidRPr="00D60E67">
              <w:rPr>
                <w:rFonts w:asciiTheme="minorHAnsi" w:hAnsiTheme="minorHAnsi" w:cstheme="minorHAnsi"/>
                <w:color w:val="000000"/>
                <w:sz w:val="18"/>
                <w:szCs w:val="18"/>
              </w:rPr>
              <w:t>) for the treatment of patients with metastatic castration resistant prostate cancer (mCRPC). The PBAC’s recommendation was based on, among other matters, its assessment that the cost effectiveness for Yonsa</w:t>
            </w:r>
            <w:r w:rsidR="00804C27">
              <w:rPr>
                <w:rFonts w:asciiTheme="minorHAnsi" w:hAnsiTheme="minorHAnsi" w:cstheme="minorHAnsi"/>
                <w:color w:val="000000"/>
                <w:sz w:val="18"/>
                <w:szCs w:val="18"/>
              </w:rPr>
              <w:t>®</w:t>
            </w:r>
            <w:r w:rsidRPr="00D60E67">
              <w:rPr>
                <w:rFonts w:asciiTheme="minorHAnsi" w:hAnsiTheme="minorHAnsi" w:cstheme="minorHAnsi"/>
                <w:color w:val="000000"/>
                <w:sz w:val="18"/>
                <w:szCs w:val="18"/>
              </w:rPr>
              <w:t xml:space="preserve"> MPRED</w:t>
            </w:r>
            <w:r w:rsidR="006E23E0">
              <w:rPr>
                <w:rFonts w:asciiTheme="minorHAnsi" w:hAnsiTheme="minorHAnsi" w:cstheme="minorHAnsi"/>
                <w:color w:val="000000"/>
                <w:sz w:val="18"/>
                <w:szCs w:val="18"/>
              </w:rPr>
              <w:t>™</w:t>
            </w:r>
            <w:r w:rsidRPr="00D60E67">
              <w:rPr>
                <w:rFonts w:asciiTheme="minorHAnsi" w:hAnsiTheme="minorHAnsi" w:cstheme="minorHAnsi"/>
                <w:color w:val="000000"/>
                <w:sz w:val="18"/>
                <w:szCs w:val="18"/>
              </w:rPr>
              <w:t xml:space="preserve"> would be acceptable if it was cost-minimised against the least costly treatment for mCRPC. </w:t>
            </w:r>
          </w:p>
          <w:p w14:paraId="16C42B09" w14:textId="77777777" w:rsidR="003717F5" w:rsidRPr="00D60E67" w:rsidRDefault="003717F5" w:rsidP="003717F5">
            <w:pPr>
              <w:keepLines/>
              <w:rPr>
                <w:rFonts w:asciiTheme="minorHAnsi" w:hAnsiTheme="minorHAnsi" w:cstheme="minorHAnsi"/>
                <w:color w:val="000000"/>
                <w:sz w:val="18"/>
                <w:szCs w:val="18"/>
              </w:rPr>
            </w:pPr>
          </w:p>
          <w:p w14:paraId="5DAB2E7A" w14:textId="7B5A266F" w:rsidR="006841F4" w:rsidRPr="00D60E67" w:rsidRDefault="003717F5" w:rsidP="003717F5">
            <w:pPr>
              <w:keepLines/>
              <w:rPr>
                <w:rFonts w:asciiTheme="minorHAnsi" w:hAnsiTheme="minorHAnsi" w:cstheme="minorHAnsi"/>
                <w:color w:val="000000"/>
                <w:sz w:val="18"/>
                <w:szCs w:val="18"/>
              </w:rPr>
            </w:pPr>
            <w:r w:rsidRPr="00D60E67">
              <w:rPr>
                <w:rFonts w:asciiTheme="minorHAnsi" w:hAnsiTheme="minorHAnsi" w:cstheme="minorHAnsi"/>
                <w:color w:val="000000"/>
                <w:sz w:val="18"/>
                <w:szCs w:val="18"/>
              </w:rPr>
              <w:t xml:space="preserve">The PBAC </w:t>
            </w:r>
            <w:r w:rsidR="002C1F7B">
              <w:rPr>
                <w:rFonts w:asciiTheme="minorHAnsi" w:hAnsiTheme="minorHAnsi" w:cstheme="minorHAnsi"/>
                <w:color w:val="000000"/>
                <w:sz w:val="18"/>
                <w:szCs w:val="18"/>
              </w:rPr>
              <w:t>recommended flow-on</w:t>
            </w:r>
            <w:r w:rsidRPr="00D60E67">
              <w:rPr>
                <w:rFonts w:asciiTheme="minorHAnsi" w:hAnsiTheme="minorHAnsi" w:cstheme="minorHAnsi"/>
                <w:color w:val="000000"/>
                <w:sz w:val="18"/>
                <w:szCs w:val="18"/>
              </w:rPr>
              <w:t xml:space="preserve"> changes to the restriction criteria of abiraterone (Zytiga</w:t>
            </w:r>
            <w:r w:rsidR="00F523D3" w:rsidRPr="00D60E67">
              <w:rPr>
                <w:rFonts w:asciiTheme="minorHAnsi" w:hAnsiTheme="minorHAnsi" w:cstheme="minorHAnsi"/>
                <w:color w:val="000000"/>
                <w:sz w:val="18"/>
                <w:szCs w:val="18"/>
              </w:rPr>
              <w:t>®</w:t>
            </w:r>
            <w:r w:rsidRPr="00D60E67">
              <w:rPr>
                <w:rFonts w:asciiTheme="minorHAnsi" w:hAnsiTheme="minorHAnsi" w:cstheme="minorHAnsi"/>
                <w:color w:val="000000"/>
                <w:sz w:val="18"/>
                <w:szCs w:val="18"/>
              </w:rPr>
              <w:t>) would be required to prevent switching between the co-pack and individual components if disease progression occurred during treatment and</w:t>
            </w:r>
            <w:r w:rsidR="007B5C49" w:rsidRPr="00D60E67">
              <w:rPr>
                <w:rFonts w:asciiTheme="minorHAnsi" w:hAnsiTheme="minorHAnsi" w:cstheme="minorHAnsi"/>
                <w:color w:val="000000"/>
                <w:sz w:val="18"/>
                <w:szCs w:val="18"/>
              </w:rPr>
              <w:t xml:space="preserve"> to</w:t>
            </w:r>
            <w:r w:rsidRPr="00D60E67">
              <w:rPr>
                <w:rFonts w:asciiTheme="minorHAnsi" w:hAnsiTheme="minorHAnsi" w:cstheme="minorHAnsi"/>
                <w:color w:val="000000"/>
                <w:sz w:val="18"/>
                <w:szCs w:val="18"/>
              </w:rPr>
              <w:t xml:space="preserve"> add a new caution regarding exercising caution in explaining correct dosing directions to the patients when changing between abiraterone products.</w:t>
            </w:r>
          </w:p>
        </w:tc>
      </w:tr>
      <w:tr w:rsidR="003717F5" w:rsidRPr="00544497" w14:paraId="5C0890E2" w14:textId="77777777" w:rsidTr="0088248D">
        <w:trPr>
          <w:cantSplit/>
          <w:trHeight w:val="518"/>
          <w:jc w:val="center"/>
        </w:trPr>
        <w:tc>
          <w:tcPr>
            <w:tcW w:w="3013" w:type="dxa"/>
            <w:shd w:val="clear" w:color="auto" w:fill="D9D9D9" w:themeFill="background1" w:themeFillShade="D9"/>
            <w:tcMar>
              <w:top w:w="28" w:type="dxa"/>
              <w:bottom w:w="28" w:type="dxa"/>
            </w:tcMar>
            <w:vAlign w:val="center"/>
          </w:tcPr>
          <w:p w14:paraId="2572B439" w14:textId="3B3753FE" w:rsidR="003717F5" w:rsidRPr="00D60E67" w:rsidRDefault="003717F5" w:rsidP="008E4349">
            <w:pPr>
              <w:keepLines/>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ACALABRUTINIB</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Capsule 100 mg</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Calquence®</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ASTRAZENECA PTY LTD</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Standard re-entry submission</w:t>
            </w:r>
            <w:r w:rsidRPr="00D60E67">
              <w:rPr>
                <w:rFonts w:asciiTheme="minorHAnsi" w:hAnsiTheme="minorHAnsi" w:cstheme="minorHAnsi"/>
                <w:color w:val="000000"/>
                <w:sz w:val="18"/>
                <w:szCs w:val="18"/>
              </w:rPr>
              <w:br/>
              <w:t>(Change to PBS listing)</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To be considered at a future PBAC meeting</w:t>
            </w:r>
          </w:p>
        </w:tc>
        <w:tc>
          <w:tcPr>
            <w:tcW w:w="2764" w:type="dxa"/>
            <w:shd w:val="clear" w:color="auto" w:fill="D9D9D9" w:themeFill="background1" w:themeFillShade="D9"/>
            <w:vAlign w:val="center"/>
          </w:tcPr>
          <w:p w14:paraId="3C78AF5F" w14:textId="56677A15" w:rsidR="003717F5" w:rsidRPr="00D60E67" w:rsidRDefault="003717F5" w:rsidP="008D021C">
            <w:pPr>
              <w:keepLines/>
              <w:widowControl w:val="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Chronic lymphocytic leukaemia or small lymphocytic lymphoma</w:t>
            </w:r>
          </w:p>
        </w:tc>
        <w:tc>
          <w:tcPr>
            <w:tcW w:w="3288" w:type="dxa"/>
            <w:shd w:val="clear" w:color="auto" w:fill="D9D9D9" w:themeFill="background1" w:themeFillShade="D9"/>
            <w:tcMar>
              <w:top w:w="28" w:type="dxa"/>
              <w:bottom w:w="28" w:type="dxa"/>
            </w:tcMar>
            <w:vAlign w:val="center"/>
          </w:tcPr>
          <w:p w14:paraId="7CEC9FFB" w14:textId="3AD6D8BD" w:rsidR="003717F5" w:rsidRPr="00D60E67" w:rsidRDefault="003717F5" w:rsidP="008E4349">
            <w:pPr>
              <w:pStyle w:val="ListParagraph"/>
              <w:keepLines/>
              <w:ind w:left="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Resubmission to request a General Schedule Authority Required listing, for use in combination with obinutuzumab, for the treatment of previously untreated chronic lymphocytic leukaemia or small lymphocytic lymphoma in patients who are unsuitable for fludarabine-based chemoimmunotherapy.</w:t>
            </w:r>
          </w:p>
        </w:tc>
        <w:tc>
          <w:tcPr>
            <w:tcW w:w="1987" w:type="dxa"/>
            <w:shd w:val="clear" w:color="auto" w:fill="D9D9D9" w:themeFill="background1" w:themeFillShade="D9"/>
            <w:vAlign w:val="center"/>
          </w:tcPr>
          <w:p w14:paraId="1CC26389" w14:textId="5189AE11" w:rsidR="003717F5" w:rsidRPr="00D60E67" w:rsidRDefault="003717F5" w:rsidP="008E4349">
            <w:pPr>
              <w:pStyle w:val="ListParagraph"/>
              <w:keepLines/>
              <w:ind w:left="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Not Applicable</w:t>
            </w:r>
          </w:p>
        </w:tc>
        <w:tc>
          <w:tcPr>
            <w:tcW w:w="4336" w:type="dxa"/>
            <w:shd w:val="clear" w:color="auto" w:fill="D9D9D9" w:themeFill="background1" w:themeFillShade="D9"/>
            <w:vAlign w:val="center"/>
          </w:tcPr>
          <w:p w14:paraId="68714247" w14:textId="5DBF57F3" w:rsidR="003717F5" w:rsidRPr="00D60E67" w:rsidRDefault="003717F5" w:rsidP="003717F5">
            <w:pPr>
              <w:keepLines/>
              <w:rPr>
                <w:rFonts w:asciiTheme="minorHAnsi" w:hAnsiTheme="minorHAnsi" w:cstheme="minorHAnsi"/>
                <w:color w:val="000000"/>
                <w:sz w:val="18"/>
                <w:szCs w:val="18"/>
              </w:rPr>
            </w:pPr>
            <w:r w:rsidRPr="00D60E67">
              <w:rPr>
                <w:rFonts w:asciiTheme="minorHAnsi" w:hAnsiTheme="minorHAnsi" w:cstheme="minorHAnsi"/>
                <w:color w:val="000000"/>
                <w:sz w:val="18"/>
                <w:szCs w:val="18"/>
              </w:rPr>
              <w:t>This item is to be considered at a future PBAC meeting.</w:t>
            </w:r>
          </w:p>
        </w:tc>
      </w:tr>
      <w:tr w:rsidR="003717F5" w:rsidRPr="00544497" w14:paraId="302A2733" w14:textId="77777777" w:rsidTr="0088248D">
        <w:trPr>
          <w:cantSplit/>
          <w:trHeight w:val="518"/>
          <w:jc w:val="center"/>
        </w:trPr>
        <w:tc>
          <w:tcPr>
            <w:tcW w:w="3013" w:type="dxa"/>
            <w:shd w:val="clear" w:color="auto" w:fill="auto"/>
            <w:tcMar>
              <w:top w:w="28" w:type="dxa"/>
              <w:bottom w:w="28" w:type="dxa"/>
            </w:tcMar>
            <w:vAlign w:val="center"/>
          </w:tcPr>
          <w:p w14:paraId="0953DCBB" w14:textId="06D0862D" w:rsidR="003717F5" w:rsidRPr="0088248D" w:rsidRDefault="003717F5" w:rsidP="008E4349">
            <w:pPr>
              <w:keepLines/>
              <w:jc w:val="center"/>
              <w:rPr>
                <w:rFonts w:asciiTheme="minorHAnsi" w:hAnsiTheme="minorHAnsi" w:cstheme="minorHAnsi"/>
                <w:color w:val="000000"/>
                <w:sz w:val="18"/>
                <w:szCs w:val="18"/>
              </w:rPr>
            </w:pPr>
            <w:r w:rsidRPr="00D60E67">
              <w:rPr>
                <w:rFonts w:asciiTheme="minorHAnsi" w:hAnsiTheme="minorHAnsi" w:cstheme="minorHAnsi"/>
                <w:sz w:val="18"/>
                <w:szCs w:val="18"/>
              </w:rPr>
              <w:lastRenderedPageBreak/>
              <w:t xml:space="preserve">ADALIMUMAB </w:t>
            </w:r>
            <w:r w:rsidRPr="00D60E67">
              <w:rPr>
                <w:rFonts w:asciiTheme="minorHAnsi" w:hAnsiTheme="minorHAnsi" w:cstheme="minorHAnsi"/>
                <w:sz w:val="18"/>
                <w:szCs w:val="18"/>
              </w:rPr>
              <w:br/>
              <w:t>Injection 20 mg in 0.2 mL pre</w:t>
            </w:r>
            <w:r w:rsidR="00C468CE">
              <w:rPr>
                <w:rFonts w:asciiTheme="minorHAnsi" w:hAnsiTheme="minorHAnsi" w:cstheme="minorHAnsi"/>
                <w:sz w:val="18"/>
                <w:szCs w:val="18"/>
              </w:rPr>
              <w:t>-</w:t>
            </w:r>
            <w:r w:rsidRPr="00D60E67">
              <w:rPr>
                <w:rFonts w:asciiTheme="minorHAnsi" w:hAnsiTheme="minorHAnsi" w:cstheme="minorHAnsi"/>
                <w:sz w:val="18"/>
                <w:szCs w:val="18"/>
              </w:rPr>
              <w:t>filled syringe</w:t>
            </w:r>
            <w:r w:rsidRPr="00D60E67">
              <w:rPr>
                <w:rFonts w:asciiTheme="minorHAnsi" w:hAnsiTheme="minorHAnsi" w:cstheme="minorHAnsi"/>
                <w:sz w:val="18"/>
                <w:szCs w:val="18"/>
              </w:rPr>
              <w:br/>
              <w:t>Injection 40 mg in 0.4 mL pre</w:t>
            </w:r>
            <w:r w:rsidR="00C468CE">
              <w:rPr>
                <w:rFonts w:asciiTheme="minorHAnsi" w:hAnsiTheme="minorHAnsi" w:cstheme="minorHAnsi"/>
                <w:sz w:val="18"/>
                <w:szCs w:val="18"/>
              </w:rPr>
              <w:t>-</w:t>
            </w:r>
            <w:r w:rsidRPr="00D60E67">
              <w:rPr>
                <w:rFonts w:asciiTheme="minorHAnsi" w:hAnsiTheme="minorHAnsi" w:cstheme="minorHAnsi"/>
                <w:sz w:val="18"/>
                <w:szCs w:val="18"/>
              </w:rPr>
              <w:t>filled pen</w:t>
            </w:r>
            <w:r w:rsidRPr="00D60E67">
              <w:rPr>
                <w:rFonts w:asciiTheme="minorHAnsi" w:hAnsiTheme="minorHAnsi" w:cstheme="minorHAnsi"/>
                <w:sz w:val="18"/>
                <w:szCs w:val="18"/>
              </w:rPr>
              <w:br/>
              <w:t>Injection 40 mg in 0.4 mL pre</w:t>
            </w:r>
            <w:r w:rsidR="00C468CE">
              <w:rPr>
                <w:rFonts w:asciiTheme="minorHAnsi" w:hAnsiTheme="minorHAnsi" w:cstheme="minorHAnsi"/>
                <w:sz w:val="18"/>
                <w:szCs w:val="18"/>
              </w:rPr>
              <w:t>-</w:t>
            </w:r>
            <w:r w:rsidRPr="00D60E67">
              <w:rPr>
                <w:rFonts w:asciiTheme="minorHAnsi" w:hAnsiTheme="minorHAnsi" w:cstheme="minorHAnsi"/>
                <w:sz w:val="18"/>
                <w:szCs w:val="18"/>
              </w:rPr>
              <w:t>filled syringe</w:t>
            </w:r>
            <w:r w:rsidRPr="00D60E67">
              <w:rPr>
                <w:rFonts w:asciiTheme="minorHAnsi" w:hAnsiTheme="minorHAnsi" w:cstheme="minorHAnsi"/>
                <w:sz w:val="18"/>
                <w:szCs w:val="18"/>
              </w:rPr>
              <w:br/>
              <w:t>Injection 80 mg in 0.8 mL pre</w:t>
            </w:r>
            <w:r w:rsidR="00C468CE">
              <w:rPr>
                <w:rFonts w:asciiTheme="minorHAnsi" w:hAnsiTheme="minorHAnsi" w:cstheme="minorHAnsi"/>
                <w:sz w:val="18"/>
                <w:szCs w:val="18"/>
              </w:rPr>
              <w:t>-</w:t>
            </w:r>
            <w:r w:rsidRPr="00D60E67">
              <w:rPr>
                <w:rFonts w:asciiTheme="minorHAnsi" w:hAnsiTheme="minorHAnsi" w:cstheme="minorHAnsi"/>
                <w:sz w:val="18"/>
                <w:szCs w:val="18"/>
              </w:rPr>
              <w:t>filled pen</w:t>
            </w:r>
            <w:r w:rsidRPr="00D60E67">
              <w:rPr>
                <w:rFonts w:asciiTheme="minorHAnsi" w:hAnsiTheme="minorHAnsi" w:cstheme="minorHAnsi"/>
                <w:sz w:val="18"/>
                <w:szCs w:val="18"/>
              </w:rPr>
              <w:br/>
              <w:t>Injection 80 mg in 0.8 mL pre</w:t>
            </w:r>
            <w:r w:rsidR="00C468CE">
              <w:rPr>
                <w:rFonts w:asciiTheme="minorHAnsi" w:hAnsiTheme="minorHAnsi" w:cstheme="minorHAnsi"/>
                <w:sz w:val="18"/>
                <w:szCs w:val="18"/>
              </w:rPr>
              <w:t>-</w:t>
            </w:r>
            <w:r w:rsidRPr="0088248D">
              <w:rPr>
                <w:rFonts w:asciiTheme="minorHAnsi" w:hAnsiTheme="minorHAnsi" w:cstheme="minorHAnsi"/>
                <w:sz w:val="18"/>
                <w:szCs w:val="18"/>
              </w:rPr>
              <w:t>filled syringe</w:t>
            </w:r>
            <w:r w:rsidRPr="0088248D">
              <w:rPr>
                <w:rFonts w:asciiTheme="minorHAnsi" w:hAnsiTheme="minorHAnsi" w:cstheme="minorHAnsi"/>
                <w:sz w:val="18"/>
                <w:szCs w:val="18"/>
              </w:rPr>
              <w:br/>
            </w:r>
            <w:r w:rsidRPr="0088248D">
              <w:rPr>
                <w:rFonts w:asciiTheme="minorHAnsi" w:hAnsiTheme="minorHAnsi" w:cstheme="minorHAnsi"/>
                <w:sz w:val="18"/>
                <w:szCs w:val="18"/>
              </w:rPr>
              <w:br/>
              <w:t>UPADACITINIB</w:t>
            </w:r>
            <w:r w:rsidRPr="0088248D">
              <w:rPr>
                <w:rFonts w:asciiTheme="minorHAnsi" w:hAnsiTheme="minorHAnsi" w:cstheme="minorHAnsi"/>
                <w:sz w:val="18"/>
                <w:szCs w:val="18"/>
              </w:rPr>
              <w:br/>
              <w:t>Tablet 15 mg</w:t>
            </w:r>
            <w:r w:rsidRPr="0088248D">
              <w:rPr>
                <w:rFonts w:asciiTheme="minorHAnsi" w:hAnsiTheme="minorHAnsi" w:cstheme="minorHAnsi"/>
                <w:sz w:val="18"/>
                <w:szCs w:val="18"/>
              </w:rPr>
              <w:br/>
            </w:r>
            <w:r w:rsidRPr="0088248D">
              <w:rPr>
                <w:rFonts w:asciiTheme="minorHAnsi" w:hAnsiTheme="minorHAnsi" w:cstheme="minorHAnsi"/>
                <w:sz w:val="18"/>
                <w:szCs w:val="18"/>
              </w:rPr>
              <w:br/>
              <w:t xml:space="preserve">Humira® </w:t>
            </w:r>
            <w:r w:rsidRPr="0088248D">
              <w:rPr>
                <w:rFonts w:asciiTheme="minorHAnsi" w:hAnsiTheme="minorHAnsi" w:cstheme="minorHAnsi"/>
                <w:sz w:val="18"/>
                <w:szCs w:val="18"/>
              </w:rPr>
              <w:br/>
              <w:t>Rinvoq®</w:t>
            </w:r>
            <w:r w:rsidRPr="0088248D">
              <w:rPr>
                <w:rFonts w:asciiTheme="minorHAnsi" w:hAnsiTheme="minorHAnsi" w:cstheme="minorHAnsi"/>
                <w:sz w:val="18"/>
                <w:szCs w:val="18"/>
              </w:rPr>
              <w:br/>
            </w:r>
            <w:r w:rsidRPr="0088248D">
              <w:rPr>
                <w:rFonts w:asciiTheme="minorHAnsi" w:hAnsiTheme="minorHAnsi" w:cstheme="minorHAnsi"/>
                <w:sz w:val="18"/>
                <w:szCs w:val="18"/>
              </w:rPr>
              <w:br/>
              <w:t>ABBVIE PTY LTD</w:t>
            </w:r>
            <w:r w:rsidRPr="0088248D">
              <w:rPr>
                <w:rFonts w:asciiTheme="minorHAnsi" w:hAnsiTheme="minorHAnsi" w:cstheme="minorHAnsi"/>
                <w:sz w:val="18"/>
                <w:szCs w:val="18"/>
              </w:rPr>
              <w:br/>
            </w:r>
            <w:r w:rsidRPr="0088248D">
              <w:rPr>
                <w:rFonts w:asciiTheme="minorHAnsi" w:hAnsiTheme="minorHAnsi" w:cstheme="minorHAnsi"/>
                <w:sz w:val="18"/>
                <w:szCs w:val="18"/>
              </w:rPr>
              <w:br/>
              <w:t>Category 3 submission</w:t>
            </w:r>
            <w:r w:rsidRPr="0088248D">
              <w:rPr>
                <w:rFonts w:asciiTheme="minorHAnsi" w:hAnsiTheme="minorHAnsi" w:cstheme="minorHAnsi"/>
                <w:sz w:val="18"/>
                <w:szCs w:val="18"/>
              </w:rPr>
              <w:br/>
              <w:t>(Change to PBS listing)</w:t>
            </w:r>
          </w:p>
        </w:tc>
        <w:tc>
          <w:tcPr>
            <w:tcW w:w="2764" w:type="dxa"/>
            <w:shd w:val="clear" w:color="auto" w:fill="auto"/>
            <w:vAlign w:val="center"/>
          </w:tcPr>
          <w:p w14:paraId="24E10274" w14:textId="5256698F" w:rsidR="00A11C67" w:rsidRPr="0088248D" w:rsidRDefault="00A11C67" w:rsidP="008E4349">
            <w:pPr>
              <w:keepLines/>
              <w:widowControl w:val="0"/>
              <w:jc w:val="center"/>
              <w:rPr>
                <w:rFonts w:asciiTheme="minorHAnsi" w:hAnsiTheme="minorHAnsi" w:cstheme="minorHAnsi"/>
                <w:color w:val="000000"/>
                <w:sz w:val="18"/>
                <w:szCs w:val="18"/>
              </w:rPr>
            </w:pPr>
            <w:r w:rsidRPr="0088248D">
              <w:rPr>
                <w:rFonts w:asciiTheme="minorHAnsi" w:hAnsiTheme="minorHAnsi" w:cstheme="minorHAnsi"/>
                <w:color w:val="000000"/>
                <w:sz w:val="18"/>
                <w:szCs w:val="18"/>
              </w:rPr>
              <w:t xml:space="preserve">All adalimumab indications except juvenile idiopathic arthritis </w:t>
            </w:r>
          </w:p>
          <w:p w14:paraId="581C7ACC" w14:textId="77777777" w:rsidR="00F523D3" w:rsidRPr="0088248D" w:rsidRDefault="00F523D3" w:rsidP="008E4349">
            <w:pPr>
              <w:keepLines/>
              <w:widowControl w:val="0"/>
              <w:jc w:val="center"/>
              <w:rPr>
                <w:rFonts w:asciiTheme="minorHAnsi" w:hAnsiTheme="minorHAnsi" w:cstheme="minorHAnsi"/>
                <w:color w:val="000000"/>
                <w:sz w:val="18"/>
                <w:szCs w:val="18"/>
              </w:rPr>
            </w:pPr>
          </w:p>
          <w:p w14:paraId="7147AB7A" w14:textId="08B8254C" w:rsidR="003717F5" w:rsidRPr="0088248D" w:rsidRDefault="003717F5" w:rsidP="008E4349">
            <w:pPr>
              <w:keepLines/>
              <w:widowControl w:val="0"/>
              <w:jc w:val="center"/>
              <w:rPr>
                <w:rFonts w:asciiTheme="minorHAnsi" w:hAnsiTheme="minorHAnsi" w:cstheme="minorHAnsi"/>
                <w:color w:val="000000"/>
                <w:sz w:val="18"/>
                <w:szCs w:val="18"/>
              </w:rPr>
            </w:pPr>
            <w:r w:rsidRPr="0088248D">
              <w:rPr>
                <w:rFonts w:asciiTheme="minorHAnsi" w:hAnsiTheme="minorHAnsi" w:cstheme="minorHAnsi"/>
                <w:color w:val="000000"/>
                <w:sz w:val="18"/>
                <w:szCs w:val="18"/>
              </w:rPr>
              <w:t xml:space="preserve">Severe active rheumatoid arthritis </w:t>
            </w:r>
          </w:p>
        </w:tc>
        <w:tc>
          <w:tcPr>
            <w:tcW w:w="3288" w:type="dxa"/>
            <w:shd w:val="clear" w:color="auto" w:fill="auto"/>
            <w:tcMar>
              <w:top w:w="28" w:type="dxa"/>
              <w:bottom w:w="28" w:type="dxa"/>
            </w:tcMar>
            <w:vAlign w:val="center"/>
          </w:tcPr>
          <w:p w14:paraId="631D916C" w14:textId="77777777" w:rsidR="00F523D3" w:rsidRPr="0088248D" w:rsidRDefault="003717F5" w:rsidP="00F523D3">
            <w:pPr>
              <w:pStyle w:val="ListParagraph"/>
              <w:keepLines/>
              <w:ind w:left="0"/>
              <w:jc w:val="center"/>
              <w:rPr>
                <w:rFonts w:asciiTheme="minorHAnsi" w:hAnsiTheme="minorHAnsi" w:cstheme="minorHAnsi"/>
                <w:color w:val="000000"/>
                <w:sz w:val="18"/>
                <w:szCs w:val="18"/>
              </w:rPr>
            </w:pPr>
            <w:r w:rsidRPr="0088248D">
              <w:rPr>
                <w:rFonts w:asciiTheme="minorHAnsi" w:hAnsiTheme="minorHAnsi" w:cstheme="minorHAnsi"/>
                <w:color w:val="000000"/>
                <w:sz w:val="18"/>
                <w:szCs w:val="18"/>
              </w:rPr>
              <w:t>To request that the authority levels for the current Humira listings be aligned with currently listed adalimumab biosimilars.</w:t>
            </w:r>
            <w:r w:rsidR="00F523D3" w:rsidRPr="0088248D">
              <w:rPr>
                <w:rFonts w:asciiTheme="minorHAnsi" w:hAnsiTheme="minorHAnsi" w:cstheme="minorHAnsi"/>
                <w:color w:val="000000"/>
                <w:sz w:val="18"/>
                <w:szCs w:val="18"/>
              </w:rPr>
              <w:t xml:space="preserve"> </w:t>
            </w:r>
          </w:p>
          <w:p w14:paraId="1ACDF636" w14:textId="77777777" w:rsidR="00F523D3" w:rsidRPr="0088248D" w:rsidRDefault="00F523D3" w:rsidP="00F523D3">
            <w:pPr>
              <w:pStyle w:val="ListParagraph"/>
              <w:keepLines/>
              <w:ind w:left="0"/>
              <w:jc w:val="center"/>
              <w:rPr>
                <w:rFonts w:asciiTheme="minorHAnsi" w:hAnsiTheme="minorHAnsi" w:cstheme="minorHAnsi"/>
                <w:color w:val="000000"/>
                <w:sz w:val="18"/>
                <w:szCs w:val="18"/>
              </w:rPr>
            </w:pPr>
          </w:p>
          <w:p w14:paraId="658A5457" w14:textId="44BEC25B" w:rsidR="003717F5" w:rsidRPr="00D60E67" w:rsidRDefault="00F523D3">
            <w:pPr>
              <w:pStyle w:val="ListParagraph"/>
              <w:keepLines/>
              <w:ind w:left="0"/>
              <w:jc w:val="center"/>
              <w:rPr>
                <w:rFonts w:asciiTheme="minorHAnsi" w:hAnsiTheme="minorHAnsi" w:cstheme="minorHAnsi"/>
                <w:color w:val="000000"/>
                <w:sz w:val="18"/>
                <w:szCs w:val="18"/>
              </w:rPr>
            </w:pPr>
            <w:r w:rsidRPr="0088248D">
              <w:rPr>
                <w:rFonts w:asciiTheme="minorHAnsi" w:hAnsiTheme="minorHAnsi" w:cstheme="minorHAnsi"/>
                <w:color w:val="000000"/>
                <w:sz w:val="18"/>
                <w:szCs w:val="18"/>
              </w:rPr>
              <w:t xml:space="preserve">To request that the upadacitinib listing for subsequent continuing treatment of severe active rheumatoid arthritis change from Authority Required (Written) to Authority Required (STREAMLINED). </w:t>
            </w:r>
          </w:p>
        </w:tc>
        <w:tc>
          <w:tcPr>
            <w:tcW w:w="1987" w:type="dxa"/>
            <w:shd w:val="clear" w:color="auto" w:fill="auto"/>
            <w:vAlign w:val="center"/>
          </w:tcPr>
          <w:p w14:paraId="06D2728A" w14:textId="5AE0C5F8" w:rsidR="003717F5" w:rsidRPr="00D60E67" w:rsidRDefault="003717F5" w:rsidP="008E4349">
            <w:pPr>
              <w:pStyle w:val="ListParagraph"/>
              <w:keepLines/>
              <w:ind w:left="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Not Recommended</w:t>
            </w:r>
          </w:p>
        </w:tc>
        <w:tc>
          <w:tcPr>
            <w:tcW w:w="4336" w:type="dxa"/>
            <w:shd w:val="clear" w:color="auto" w:fill="auto"/>
            <w:vAlign w:val="center"/>
          </w:tcPr>
          <w:p w14:paraId="380AED40" w14:textId="77777777" w:rsidR="005448FE" w:rsidRPr="005448FE" w:rsidRDefault="005448FE" w:rsidP="005448FE">
            <w:pPr>
              <w:keepLines/>
              <w:rPr>
                <w:rFonts w:asciiTheme="minorHAnsi" w:hAnsiTheme="minorHAnsi" w:cstheme="minorHAnsi"/>
                <w:color w:val="000000"/>
                <w:sz w:val="18"/>
                <w:szCs w:val="18"/>
              </w:rPr>
            </w:pPr>
            <w:r w:rsidRPr="005448FE">
              <w:rPr>
                <w:rFonts w:asciiTheme="minorHAnsi" w:hAnsiTheme="minorHAnsi" w:cstheme="minorHAnsi"/>
                <w:color w:val="000000"/>
                <w:sz w:val="18"/>
                <w:szCs w:val="18"/>
              </w:rPr>
              <w:t xml:space="preserve">The PBAC did not recommend changes to the Authority Required levels of the Humira® brand of adalimumab to align with biosimilar brands for the requested indications and noted this recommendation aligns with the Government’s biosimilar policies. </w:t>
            </w:r>
          </w:p>
          <w:p w14:paraId="163C8C91" w14:textId="77777777" w:rsidR="005448FE" w:rsidRPr="005448FE" w:rsidRDefault="005448FE" w:rsidP="005448FE">
            <w:pPr>
              <w:keepLines/>
              <w:rPr>
                <w:rFonts w:asciiTheme="minorHAnsi" w:hAnsiTheme="minorHAnsi" w:cstheme="minorHAnsi"/>
                <w:color w:val="000000"/>
                <w:sz w:val="18"/>
                <w:szCs w:val="18"/>
              </w:rPr>
            </w:pPr>
          </w:p>
          <w:p w14:paraId="47BE153E" w14:textId="2E8C9A53" w:rsidR="007D090A" w:rsidRDefault="005448FE" w:rsidP="005448FE">
            <w:pPr>
              <w:keepLines/>
              <w:rPr>
                <w:rFonts w:asciiTheme="minorHAnsi" w:hAnsiTheme="minorHAnsi" w:cstheme="minorHAnsi"/>
                <w:color w:val="000000"/>
                <w:sz w:val="18"/>
                <w:szCs w:val="18"/>
              </w:rPr>
            </w:pPr>
            <w:r w:rsidRPr="005448FE">
              <w:rPr>
                <w:rFonts w:asciiTheme="minorHAnsi" w:hAnsiTheme="minorHAnsi" w:cstheme="minorHAnsi"/>
                <w:color w:val="000000"/>
                <w:sz w:val="18"/>
                <w:szCs w:val="18"/>
              </w:rPr>
              <w:t>The PBAC did not recommend changes to the Authority Required level for upadacitinib in the continuing phase listing for treatment of severe active rheumatoid arthritis to those recommended by the PBAC in March 2022 for other originator brands. The PBAC noted it was unable to determine whether the requested change would have a financial impact on the PBS based on the data provided in the submission.</w:t>
            </w:r>
          </w:p>
          <w:p w14:paraId="63093CBD" w14:textId="77777777" w:rsidR="005448FE" w:rsidRPr="009B76DB" w:rsidRDefault="005448FE" w:rsidP="005448FE">
            <w:pPr>
              <w:keepLines/>
              <w:rPr>
                <w:rFonts w:asciiTheme="minorHAnsi" w:hAnsiTheme="minorHAnsi" w:cstheme="minorHAnsi"/>
                <w:color w:val="000000"/>
                <w:sz w:val="18"/>
                <w:szCs w:val="18"/>
              </w:rPr>
            </w:pPr>
          </w:p>
          <w:p w14:paraId="3AB26DFC" w14:textId="77777777" w:rsidR="003717F5" w:rsidRDefault="00F523D3" w:rsidP="003717F5">
            <w:pPr>
              <w:keepLines/>
              <w:rPr>
                <w:rFonts w:asciiTheme="minorHAnsi" w:hAnsiTheme="minorHAnsi" w:cstheme="minorHAnsi"/>
                <w:color w:val="000000"/>
                <w:sz w:val="18"/>
                <w:szCs w:val="18"/>
                <w:u w:val="single"/>
              </w:rPr>
            </w:pPr>
            <w:r w:rsidRPr="0004257E">
              <w:rPr>
                <w:rFonts w:asciiTheme="minorHAnsi" w:hAnsiTheme="minorHAnsi" w:cstheme="minorHAnsi"/>
                <w:color w:val="000000"/>
                <w:sz w:val="18"/>
                <w:szCs w:val="18"/>
                <w:u w:val="single"/>
              </w:rPr>
              <w:t>Sponsor</w:t>
            </w:r>
            <w:r w:rsidR="007D090A" w:rsidRPr="00D60E67">
              <w:rPr>
                <w:rFonts w:asciiTheme="minorHAnsi" w:hAnsiTheme="minorHAnsi" w:cstheme="minorHAnsi"/>
                <w:color w:val="000000"/>
                <w:sz w:val="18"/>
                <w:szCs w:val="18"/>
                <w:u w:val="single"/>
              </w:rPr>
              <w:t>’s</w:t>
            </w:r>
            <w:r w:rsidRPr="00D60E67">
              <w:rPr>
                <w:rFonts w:asciiTheme="minorHAnsi" w:hAnsiTheme="minorHAnsi" w:cstheme="minorHAnsi"/>
                <w:color w:val="000000"/>
                <w:sz w:val="18"/>
                <w:szCs w:val="18"/>
                <w:u w:val="single"/>
              </w:rPr>
              <w:t xml:space="preserve"> Comment:</w:t>
            </w:r>
          </w:p>
          <w:p w14:paraId="5280BEF2" w14:textId="2584CFF1" w:rsidR="00D96248" w:rsidRPr="00320A02" w:rsidRDefault="00D96248" w:rsidP="003717F5">
            <w:pPr>
              <w:keepLines/>
              <w:rPr>
                <w:rFonts w:asciiTheme="minorHAnsi" w:hAnsiTheme="minorHAnsi" w:cstheme="minorHAnsi"/>
                <w:color w:val="000000"/>
                <w:sz w:val="18"/>
                <w:szCs w:val="18"/>
              </w:rPr>
            </w:pPr>
            <w:r>
              <w:rPr>
                <w:rFonts w:asciiTheme="minorHAnsi" w:hAnsiTheme="minorHAnsi" w:cstheme="minorHAnsi"/>
                <w:color w:val="000000"/>
                <w:sz w:val="18"/>
                <w:szCs w:val="18"/>
              </w:rPr>
              <w:t>The sponsor had no comment.</w:t>
            </w:r>
          </w:p>
        </w:tc>
      </w:tr>
      <w:tr w:rsidR="003717F5" w:rsidRPr="00544497" w14:paraId="3CA269BD" w14:textId="77777777" w:rsidTr="0088248D">
        <w:trPr>
          <w:cantSplit/>
          <w:trHeight w:val="518"/>
          <w:jc w:val="center"/>
        </w:trPr>
        <w:tc>
          <w:tcPr>
            <w:tcW w:w="3013" w:type="dxa"/>
            <w:shd w:val="clear" w:color="auto" w:fill="D9D9D9" w:themeFill="background1" w:themeFillShade="D9"/>
            <w:tcMar>
              <w:top w:w="28" w:type="dxa"/>
              <w:bottom w:w="28" w:type="dxa"/>
            </w:tcMar>
            <w:vAlign w:val="center"/>
          </w:tcPr>
          <w:p w14:paraId="63DDA492" w14:textId="633198F8" w:rsidR="003717F5" w:rsidRPr="00D60E67" w:rsidRDefault="003717F5" w:rsidP="008E4349">
            <w:pPr>
              <w:keepLines/>
              <w:jc w:val="center"/>
              <w:rPr>
                <w:rFonts w:asciiTheme="minorHAnsi" w:hAnsiTheme="minorHAnsi" w:cstheme="minorHAnsi"/>
                <w:color w:val="000000"/>
                <w:sz w:val="18"/>
                <w:szCs w:val="18"/>
              </w:rPr>
            </w:pPr>
            <w:r w:rsidRPr="00D60E67">
              <w:rPr>
                <w:rFonts w:asciiTheme="minorHAnsi" w:hAnsiTheme="minorHAnsi" w:cstheme="minorHAnsi"/>
                <w:sz w:val="18"/>
                <w:szCs w:val="18"/>
              </w:rPr>
              <w:t>ALIROCUMAB</w:t>
            </w:r>
            <w:r w:rsidRPr="00D60E67">
              <w:rPr>
                <w:rFonts w:asciiTheme="minorHAnsi" w:hAnsiTheme="minorHAnsi" w:cstheme="minorHAnsi"/>
                <w:sz w:val="18"/>
                <w:szCs w:val="18"/>
              </w:rPr>
              <w:br/>
            </w:r>
            <w:r w:rsidRPr="00D60E67">
              <w:rPr>
                <w:rFonts w:asciiTheme="minorHAnsi" w:hAnsiTheme="minorHAnsi" w:cstheme="minorHAnsi"/>
                <w:sz w:val="18"/>
                <w:szCs w:val="18"/>
              </w:rPr>
              <w:br/>
              <w:t>Injection 75 mg in 1 mL single use pre-filled pen</w:t>
            </w:r>
            <w:r w:rsidRPr="00D60E67">
              <w:rPr>
                <w:rFonts w:asciiTheme="minorHAnsi" w:hAnsiTheme="minorHAnsi" w:cstheme="minorHAnsi"/>
                <w:sz w:val="18"/>
                <w:szCs w:val="18"/>
              </w:rPr>
              <w:br/>
              <w:t>Injection 150 mg in 1 mL single use pre-filled pen</w:t>
            </w:r>
            <w:r w:rsidRPr="00D60E67">
              <w:rPr>
                <w:rFonts w:asciiTheme="minorHAnsi" w:hAnsiTheme="minorHAnsi" w:cstheme="minorHAnsi"/>
                <w:sz w:val="18"/>
                <w:szCs w:val="18"/>
              </w:rPr>
              <w:br/>
            </w:r>
            <w:r w:rsidRPr="00D60E67">
              <w:rPr>
                <w:rFonts w:asciiTheme="minorHAnsi" w:hAnsiTheme="minorHAnsi" w:cstheme="minorHAnsi"/>
                <w:sz w:val="18"/>
                <w:szCs w:val="18"/>
              </w:rPr>
              <w:br/>
              <w:t>Praluent®</w:t>
            </w:r>
            <w:r w:rsidRPr="00D60E67">
              <w:rPr>
                <w:rFonts w:asciiTheme="minorHAnsi" w:hAnsiTheme="minorHAnsi" w:cstheme="minorHAnsi"/>
                <w:sz w:val="18"/>
                <w:szCs w:val="18"/>
              </w:rPr>
              <w:br/>
            </w:r>
            <w:r w:rsidRPr="00D60E67">
              <w:rPr>
                <w:rFonts w:asciiTheme="minorHAnsi" w:hAnsiTheme="minorHAnsi" w:cstheme="minorHAnsi"/>
                <w:sz w:val="18"/>
                <w:szCs w:val="18"/>
              </w:rPr>
              <w:br/>
              <w:t>SANOFI-AVENTIS AUSTRALIA PTY LTD</w:t>
            </w:r>
            <w:r w:rsidRPr="00D60E67">
              <w:rPr>
                <w:rFonts w:asciiTheme="minorHAnsi" w:hAnsiTheme="minorHAnsi" w:cstheme="minorHAnsi"/>
                <w:sz w:val="18"/>
                <w:szCs w:val="18"/>
              </w:rPr>
              <w:br/>
            </w:r>
            <w:r w:rsidRPr="00D60E67">
              <w:rPr>
                <w:rFonts w:asciiTheme="minorHAnsi" w:hAnsiTheme="minorHAnsi" w:cstheme="minorHAnsi"/>
                <w:sz w:val="18"/>
                <w:szCs w:val="18"/>
              </w:rPr>
              <w:br/>
              <w:t>Category 4 submission</w:t>
            </w:r>
            <w:r w:rsidRPr="00D60E67">
              <w:rPr>
                <w:rFonts w:asciiTheme="minorHAnsi" w:hAnsiTheme="minorHAnsi" w:cstheme="minorHAnsi"/>
                <w:sz w:val="18"/>
                <w:szCs w:val="18"/>
              </w:rPr>
              <w:br/>
              <w:t>(Change to PBS listing)</w:t>
            </w:r>
            <w:r w:rsidRPr="00D60E67">
              <w:rPr>
                <w:rFonts w:asciiTheme="minorHAnsi" w:hAnsiTheme="minorHAnsi" w:cstheme="minorHAnsi"/>
                <w:sz w:val="18"/>
                <w:szCs w:val="18"/>
              </w:rPr>
              <w:br/>
            </w:r>
            <w:r w:rsidRPr="00D60E67">
              <w:rPr>
                <w:rFonts w:asciiTheme="minorHAnsi" w:hAnsiTheme="minorHAnsi" w:cstheme="minorHAnsi"/>
                <w:sz w:val="18"/>
                <w:szCs w:val="18"/>
              </w:rPr>
              <w:br/>
              <w:t>WITHDRAWN</w:t>
            </w:r>
          </w:p>
        </w:tc>
        <w:tc>
          <w:tcPr>
            <w:tcW w:w="2764" w:type="dxa"/>
            <w:shd w:val="clear" w:color="auto" w:fill="D9D9D9" w:themeFill="background1" w:themeFillShade="D9"/>
            <w:vAlign w:val="center"/>
          </w:tcPr>
          <w:p w14:paraId="48FF6E6C" w14:textId="41B95E9F" w:rsidR="003717F5" w:rsidRPr="00D60E67" w:rsidRDefault="003717F5" w:rsidP="008E4349">
            <w:pPr>
              <w:keepLines/>
              <w:widowControl w:val="0"/>
              <w:jc w:val="center"/>
              <w:rPr>
                <w:rFonts w:asciiTheme="minorHAnsi" w:hAnsiTheme="minorHAnsi" w:cstheme="minorHAnsi"/>
                <w:sz w:val="18"/>
                <w:szCs w:val="18"/>
              </w:rPr>
            </w:pPr>
            <w:r w:rsidRPr="00D60E67">
              <w:rPr>
                <w:rFonts w:asciiTheme="minorHAnsi" w:hAnsiTheme="minorHAnsi" w:cstheme="minorHAnsi"/>
                <w:color w:val="000000"/>
                <w:sz w:val="18"/>
                <w:szCs w:val="18"/>
              </w:rPr>
              <w:t>Hypercholesterolaemia</w:t>
            </w:r>
          </w:p>
        </w:tc>
        <w:tc>
          <w:tcPr>
            <w:tcW w:w="3288" w:type="dxa"/>
            <w:shd w:val="clear" w:color="auto" w:fill="D9D9D9" w:themeFill="background1" w:themeFillShade="D9"/>
            <w:tcMar>
              <w:top w:w="28" w:type="dxa"/>
              <w:bottom w:w="28" w:type="dxa"/>
            </w:tcMar>
            <w:vAlign w:val="center"/>
          </w:tcPr>
          <w:p w14:paraId="0A3C08F8" w14:textId="6BC43FC5" w:rsidR="003717F5" w:rsidRPr="00D60E67" w:rsidRDefault="003717F5" w:rsidP="008E4349">
            <w:pPr>
              <w:pStyle w:val="ListParagraph"/>
              <w:keepLines/>
              <w:ind w:left="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To request an expansion of the current alirocumab listing to change to the low-density lipoprotein cholesterol criterion from 2.6 mmol/L to 1.8 mmol/L, and to allow general practitioners to initiate treatment in consultation with a specialist physician.</w:t>
            </w:r>
          </w:p>
        </w:tc>
        <w:tc>
          <w:tcPr>
            <w:tcW w:w="1987" w:type="dxa"/>
            <w:shd w:val="clear" w:color="auto" w:fill="D9D9D9" w:themeFill="background1" w:themeFillShade="D9"/>
            <w:vAlign w:val="center"/>
          </w:tcPr>
          <w:p w14:paraId="3C30BC81" w14:textId="01BEF97B" w:rsidR="003717F5" w:rsidRPr="00D60E67" w:rsidRDefault="003717F5" w:rsidP="008E4349">
            <w:pPr>
              <w:pStyle w:val="ListParagraph"/>
              <w:keepLines/>
              <w:ind w:left="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Not Applicable</w:t>
            </w:r>
          </w:p>
        </w:tc>
        <w:tc>
          <w:tcPr>
            <w:tcW w:w="4336" w:type="dxa"/>
            <w:shd w:val="clear" w:color="auto" w:fill="D9D9D9" w:themeFill="background1" w:themeFillShade="D9"/>
            <w:vAlign w:val="center"/>
          </w:tcPr>
          <w:p w14:paraId="34BC735C" w14:textId="16759AC2" w:rsidR="003717F5" w:rsidRPr="00D60E67" w:rsidRDefault="003717F5" w:rsidP="003717F5">
            <w:pPr>
              <w:keepLines/>
              <w:rPr>
                <w:rFonts w:asciiTheme="minorHAnsi" w:hAnsiTheme="minorHAnsi" w:cstheme="minorHAnsi"/>
                <w:color w:val="000000"/>
                <w:sz w:val="18"/>
                <w:szCs w:val="18"/>
              </w:rPr>
            </w:pPr>
            <w:r w:rsidRPr="00D60E67">
              <w:rPr>
                <w:rFonts w:asciiTheme="minorHAnsi" w:hAnsiTheme="minorHAnsi" w:cstheme="minorHAnsi"/>
                <w:color w:val="000000"/>
                <w:sz w:val="18"/>
                <w:szCs w:val="18"/>
              </w:rPr>
              <w:t>This item was withdrawn.</w:t>
            </w:r>
          </w:p>
        </w:tc>
      </w:tr>
      <w:tr w:rsidR="003717F5" w:rsidRPr="00544497" w14:paraId="79E57C53" w14:textId="77777777" w:rsidTr="0088248D">
        <w:trPr>
          <w:cantSplit/>
          <w:trHeight w:val="518"/>
          <w:jc w:val="center"/>
        </w:trPr>
        <w:tc>
          <w:tcPr>
            <w:tcW w:w="3013" w:type="dxa"/>
            <w:shd w:val="clear" w:color="auto" w:fill="auto"/>
            <w:tcMar>
              <w:top w:w="28" w:type="dxa"/>
              <w:bottom w:w="28" w:type="dxa"/>
            </w:tcMar>
            <w:vAlign w:val="center"/>
          </w:tcPr>
          <w:p w14:paraId="233368F2" w14:textId="6F2A288B" w:rsidR="003717F5" w:rsidRPr="00D60E67" w:rsidRDefault="003717F5" w:rsidP="008E4349">
            <w:pPr>
              <w:keepLines/>
              <w:jc w:val="center"/>
              <w:rPr>
                <w:rFonts w:asciiTheme="minorHAnsi" w:hAnsiTheme="minorHAnsi" w:cstheme="minorHAnsi"/>
                <w:sz w:val="18"/>
                <w:szCs w:val="18"/>
              </w:rPr>
            </w:pPr>
            <w:r w:rsidRPr="00D60E67">
              <w:rPr>
                <w:rFonts w:asciiTheme="minorHAnsi" w:hAnsiTheme="minorHAnsi" w:cstheme="minorHAnsi"/>
                <w:color w:val="000000"/>
                <w:sz w:val="18"/>
                <w:szCs w:val="18"/>
              </w:rPr>
              <w:lastRenderedPageBreak/>
              <w:t>AMINO ACID FORMULA WITH VITAMINS AND MINERALS WITHOUT PHENYLALANINE</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Oral gel 85 g, 30 (PKU Squeezie)</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PKU Squeezie®</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VITAFLO AUSTRALIA PTY LIMITED</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Committee Secretariat submission</w:t>
            </w:r>
            <w:r w:rsidRPr="00D60E67">
              <w:rPr>
                <w:rFonts w:asciiTheme="minorHAnsi" w:hAnsiTheme="minorHAnsi" w:cstheme="minorHAnsi"/>
                <w:color w:val="000000"/>
                <w:sz w:val="18"/>
                <w:szCs w:val="18"/>
              </w:rPr>
              <w:br/>
              <w:t>(Change to PBS listing)</w:t>
            </w:r>
          </w:p>
        </w:tc>
        <w:tc>
          <w:tcPr>
            <w:tcW w:w="2764" w:type="dxa"/>
            <w:shd w:val="clear" w:color="auto" w:fill="auto"/>
            <w:vAlign w:val="center"/>
          </w:tcPr>
          <w:p w14:paraId="064DE35C" w14:textId="3F624373" w:rsidR="003717F5" w:rsidRPr="00D60E67" w:rsidRDefault="003717F5" w:rsidP="008E4349">
            <w:pPr>
              <w:keepLines/>
              <w:widowControl w:val="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Phenylketonuria</w:t>
            </w:r>
          </w:p>
        </w:tc>
        <w:tc>
          <w:tcPr>
            <w:tcW w:w="3288" w:type="dxa"/>
            <w:shd w:val="clear" w:color="auto" w:fill="auto"/>
            <w:tcMar>
              <w:top w:w="28" w:type="dxa"/>
              <w:bottom w:w="28" w:type="dxa"/>
            </w:tcMar>
            <w:vAlign w:val="center"/>
          </w:tcPr>
          <w:p w14:paraId="7517F2EC" w14:textId="0EDA9CF3" w:rsidR="003717F5" w:rsidRPr="00D60E67" w:rsidRDefault="003717F5" w:rsidP="008E4349">
            <w:pPr>
              <w:pStyle w:val="ListParagraph"/>
              <w:keepLines/>
              <w:ind w:left="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To request that PKU Squeezie</w:t>
            </w:r>
            <w:r w:rsidR="00804C27">
              <w:rPr>
                <w:rFonts w:asciiTheme="minorHAnsi" w:hAnsiTheme="minorHAnsi" w:cstheme="minorHAnsi"/>
                <w:color w:val="000000"/>
                <w:sz w:val="18"/>
                <w:szCs w:val="18"/>
              </w:rPr>
              <w:t>®</w:t>
            </w:r>
            <w:r w:rsidRPr="00D60E67">
              <w:rPr>
                <w:rFonts w:asciiTheme="minorHAnsi" w:hAnsiTheme="minorHAnsi" w:cstheme="minorHAnsi"/>
                <w:color w:val="000000"/>
                <w:sz w:val="18"/>
                <w:szCs w:val="18"/>
              </w:rPr>
              <w:t xml:space="preserve"> with new source of vitamin A continue to be listed on the PBS under existing conditions.</w:t>
            </w:r>
          </w:p>
        </w:tc>
        <w:tc>
          <w:tcPr>
            <w:tcW w:w="1987" w:type="dxa"/>
            <w:shd w:val="clear" w:color="auto" w:fill="auto"/>
            <w:vAlign w:val="center"/>
          </w:tcPr>
          <w:p w14:paraId="32CF31E9" w14:textId="3660D701" w:rsidR="003717F5" w:rsidRPr="00D60E67" w:rsidRDefault="003717F5" w:rsidP="008E4349">
            <w:pPr>
              <w:pStyle w:val="ListParagraph"/>
              <w:keepLines/>
              <w:ind w:left="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Recommended</w:t>
            </w:r>
          </w:p>
        </w:tc>
        <w:tc>
          <w:tcPr>
            <w:tcW w:w="4336" w:type="dxa"/>
            <w:shd w:val="clear" w:color="auto" w:fill="auto"/>
            <w:vAlign w:val="center"/>
          </w:tcPr>
          <w:p w14:paraId="51BA79F5" w14:textId="2E4BBEB6" w:rsidR="003717F5" w:rsidRPr="0088248D" w:rsidRDefault="003717F5" w:rsidP="003717F5">
            <w:pPr>
              <w:keepLines/>
              <w:rPr>
                <w:rFonts w:asciiTheme="minorHAnsi" w:hAnsiTheme="minorHAnsi" w:cstheme="minorHAnsi"/>
                <w:color w:val="000000"/>
                <w:sz w:val="18"/>
                <w:szCs w:val="18"/>
              </w:rPr>
            </w:pPr>
            <w:r w:rsidRPr="00D60E67">
              <w:rPr>
                <w:rFonts w:asciiTheme="minorHAnsi" w:hAnsiTheme="minorHAnsi" w:cstheme="minorHAnsi"/>
                <w:color w:val="000000"/>
                <w:sz w:val="18"/>
                <w:szCs w:val="18"/>
              </w:rPr>
              <w:t xml:space="preserve">The PBAC recommended that PKU </w:t>
            </w:r>
            <w:r w:rsidR="006C04B0" w:rsidRPr="00D60E67">
              <w:rPr>
                <w:rFonts w:asciiTheme="minorHAnsi" w:hAnsiTheme="minorHAnsi" w:cstheme="minorHAnsi"/>
                <w:color w:val="000000"/>
                <w:sz w:val="18"/>
                <w:szCs w:val="18"/>
              </w:rPr>
              <w:t>S</w:t>
            </w:r>
            <w:r w:rsidRPr="00D60E67">
              <w:rPr>
                <w:rFonts w:asciiTheme="minorHAnsi" w:hAnsiTheme="minorHAnsi" w:cstheme="minorHAnsi"/>
                <w:color w:val="000000"/>
                <w:sz w:val="18"/>
                <w:szCs w:val="18"/>
              </w:rPr>
              <w:t xml:space="preserve">queezie® </w:t>
            </w:r>
            <w:r w:rsidRPr="0088248D">
              <w:rPr>
                <w:rFonts w:asciiTheme="minorHAnsi" w:hAnsiTheme="minorHAnsi" w:cstheme="minorHAnsi"/>
                <w:color w:val="000000"/>
                <w:sz w:val="18"/>
                <w:szCs w:val="18"/>
              </w:rPr>
              <w:t xml:space="preserve">continue to be </w:t>
            </w:r>
            <w:r w:rsidR="00473FF9">
              <w:rPr>
                <w:rFonts w:asciiTheme="minorHAnsi" w:hAnsiTheme="minorHAnsi" w:cstheme="minorHAnsi"/>
                <w:color w:val="000000"/>
                <w:sz w:val="18"/>
                <w:szCs w:val="18"/>
              </w:rPr>
              <w:t>PBS-</w:t>
            </w:r>
            <w:r w:rsidRPr="0088248D">
              <w:rPr>
                <w:rFonts w:asciiTheme="minorHAnsi" w:hAnsiTheme="minorHAnsi" w:cstheme="minorHAnsi"/>
                <w:color w:val="000000"/>
                <w:sz w:val="18"/>
                <w:szCs w:val="18"/>
              </w:rPr>
              <w:t xml:space="preserve">listed under the same conditions as currently listed. The PBAC considered the new source of </w:t>
            </w:r>
            <w:r w:rsidR="00E34523" w:rsidRPr="0088248D">
              <w:rPr>
                <w:rFonts w:asciiTheme="minorHAnsi" w:hAnsiTheme="minorHAnsi" w:cstheme="minorHAnsi"/>
                <w:color w:val="000000"/>
                <w:sz w:val="18"/>
                <w:szCs w:val="18"/>
              </w:rPr>
              <w:t>vitamin</w:t>
            </w:r>
            <w:r w:rsidR="00DD4EA1">
              <w:rPr>
                <w:rFonts w:asciiTheme="minorHAnsi" w:hAnsiTheme="minorHAnsi" w:cstheme="minorHAnsi"/>
                <w:color w:val="000000"/>
                <w:sz w:val="18"/>
                <w:szCs w:val="18"/>
              </w:rPr>
              <w:t> </w:t>
            </w:r>
            <w:r w:rsidRPr="0088248D">
              <w:rPr>
                <w:rFonts w:asciiTheme="minorHAnsi" w:hAnsiTheme="minorHAnsi" w:cstheme="minorHAnsi"/>
                <w:color w:val="000000"/>
                <w:sz w:val="18"/>
                <w:szCs w:val="18"/>
              </w:rPr>
              <w:t>A, retinyl palmitate, to be safe and appropriate.</w:t>
            </w:r>
          </w:p>
        </w:tc>
      </w:tr>
      <w:tr w:rsidR="003717F5" w:rsidRPr="00544497" w14:paraId="18B64E8D" w14:textId="77777777" w:rsidTr="0088248D">
        <w:trPr>
          <w:cantSplit/>
          <w:trHeight w:val="518"/>
          <w:jc w:val="center"/>
        </w:trPr>
        <w:tc>
          <w:tcPr>
            <w:tcW w:w="3013" w:type="dxa"/>
            <w:shd w:val="clear" w:color="auto" w:fill="auto"/>
            <w:tcMar>
              <w:top w:w="28" w:type="dxa"/>
              <w:bottom w:w="28" w:type="dxa"/>
            </w:tcMar>
            <w:vAlign w:val="center"/>
          </w:tcPr>
          <w:p w14:paraId="33D66E4C" w14:textId="77AB1EE3" w:rsidR="003717F5" w:rsidRPr="00D60E67" w:rsidRDefault="003717F5" w:rsidP="008E4349">
            <w:pPr>
              <w:keepLines/>
              <w:jc w:val="center"/>
              <w:rPr>
                <w:rFonts w:asciiTheme="minorHAnsi" w:hAnsiTheme="minorHAnsi" w:cstheme="minorHAnsi"/>
                <w:sz w:val="18"/>
                <w:szCs w:val="18"/>
              </w:rPr>
            </w:pPr>
            <w:r w:rsidRPr="00D60E67">
              <w:rPr>
                <w:rFonts w:asciiTheme="minorHAnsi" w:hAnsiTheme="minorHAnsi" w:cstheme="minorHAnsi"/>
                <w:sz w:val="18"/>
                <w:szCs w:val="18"/>
              </w:rPr>
              <w:t>AMINO ACID SYNTHETIC FORMULA SUPPLEMENTED WITH LONG CHAIN POLYUNSATURATED FATTY ACIDS, MEDIUM CHAIN TRIGLYCERIDES, 2’- FUCOSYLLACTOSE AND LACTO-N-NEOTETRAOSE</w:t>
            </w:r>
            <w:r w:rsidRPr="00D60E67">
              <w:rPr>
                <w:rFonts w:asciiTheme="minorHAnsi" w:hAnsiTheme="minorHAnsi" w:cstheme="minorHAnsi"/>
                <w:sz w:val="18"/>
                <w:szCs w:val="18"/>
              </w:rPr>
              <w:br/>
            </w:r>
            <w:r w:rsidRPr="00D60E67">
              <w:rPr>
                <w:rFonts w:asciiTheme="minorHAnsi" w:hAnsiTheme="minorHAnsi" w:cstheme="minorHAnsi"/>
                <w:sz w:val="18"/>
                <w:szCs w:val="18"/>
              </w:rPr>
              <w:br/>
              <w:t>Oral powder 400 g</w:t>
            </w:r>
            <w:r w:rsidRPr="00D60E67">
              <w:rPr>
                <w:rFonts w:asciiTheme="minorHAnsi" w:hAnsiTheme="minorHAnsi" w:cstheme="minorHAnsi"/>
                <w:sz w:val="18"/>
                <w:szCs w:val="18"/>
              </w:rPr>
              <w:br/>
            </w:r>
            <w:r w:rsidRPr="00D60E67">
              <w:rPr>
                <w:rFonts w:asciiTheme="minorHAnsi" w:hAnsiTheme="minorHAnsi" w:cstheme="minorHAnsi"/>
                <w:sz w:val="18"/>
                <w:szCs w:val="18"/>
              </w:rPr>
              <w:br/>
              <w:t>Alfamino®</w:t>
            </w:r>
            <w:r w:rsidRPr="00D60E67">
              <w:rPr>
                <w:rFonts w:asciiTheme="minorHAnsi" w:hAnsiTheme="minorHAnsi" w:cstheme="minorHAnsi"/>
                <w:sz w:val="18"/>
                <w:szCs w:val="18"/>
              </w:rPr>
              <w:br/>
            </w:r>
            <w:r w:rsidRPr="00D60E67">
              <w:rPr>
                <w:rFonts w:asciiTheme="minorHAnsi" w:hAnsiTheme="minorHAnsi" w:cstheme="minorHAnsi"/>
                <w:sz w:val="18"/>
                <w:szCs w:val="18"/>
              </w:rPr>
              <w:br/>
              <w:t>NESTLE AUSTRALIA LTD</w:t>
            </w:r>
            <w:r w:rsidRPr="00D60E67">
              <w:rPr>
                <w:rFonts w:asciiTheme="minorHAnsi" w:hAnsiTheme="minorHAnsi" w:cstheme="minorHAnsi"/>
                <w:sz w:val="18"/>
                <w:szCs w:val="18"/>
              </w:rPr>
              <w:br/>
            </w:r>
            <w:r w:rsidRPr="00D60E67">
              <w:rPr>
                <w:rFonts w:asciiTheme="minorHAnsi" w:hAnsiTheme="minorHAnsi" w:cstheme="minorHAnsi"/>
                <w:sz w:val="18"/>
                <w:szCs w:val="18"/>
              </w:rPr>
              <w:br/>
              <w:t>Category 3 submission</w:t>
            </w:r>
            <w:r w:rsidRPr="00D60E67">
              <w:rPr>
                <w:rFonts w:asciiTheme="minorHAnsi" w:hAnsiTheme="minorHAnsi" w:cstheme="minorHAnsi"/>
                <w:sz w:val="18"/>
                <w:szCs w:val="18"/>
              </w:rPr>
              <w:br/>
              <w:t>(New PBS listing)</w:t>
            </w:r>
          </w:p>
        </w:tc>
        <w:tc>
          <w:tcPr>
            <w:tcW w:w="2764" w:type="dxa"/>
            <w:shd w:val="clear" w:color="auto" w:fill="auto"/>
            <w:vAlign w:val="center"/>
          </w:tcPr>
          <w:p w14:paraId="4452212A" w14:textId="7ACCD5FC" w:rsidR="003717F5" w:rsidRPr="00D60E67" w:rsidRDefault="003717F5" w:rsidP="008E4349">
            <w:pPr>
              <w:keepLines/>
              <w:widowControl w:val="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 xml:space="preserve">Cows' milk protein enteropathy </w:t>
            </w:r>
            <w:r w:rsidRPr="00D60E67">
              <w:rPr>
                <w:rFonts w:asciiTheme="minorHAnsi" w:hAnsiTheme="minorHAnsi" w:cstheme="minorHAnsi"/>
                <w:color w:val="000000"/>
                <w:sz w:val="18"/>
                <w:szCs w:val="18"/>
              </w:rPr>
              <w:br/>
              <w:t xml:space="preserve">Severe cows' milk protein enteropathy with failure to thrive </w:t>
            </w:r>
            <w:r w:rsidRPr="00D60E67">
              <w:rPr>
                <w:rFonts w:asciiTheme="minorHAnsi" w:hAnsiTheme="minorHAnsi" w:cstheme="minorHAnsi"/>
                <w:color w:val="000000"/>
                <w:sz w:val="18"/>
                <w:szCs w:val="18"/>
              </w:rPr>
              <w:br/>
              <w:t xml:space="preserve">Combined intolerance to cows' milk protein, soy protein and protein hydrolysate formulae </w:t>
            </w:r>
            <w:r w:rsidRPr="00D60E67">
              <w:rPr>
                <w:rFonts w:asciiTheme="minorHAnsi" w:hAnsiTheme="minorHAnsi" w:cstheme="minorHAnsi"/>
                <w:color w:val="000000"/>
                <w:sz w:val="18"/>
                <w:szCs w:val="18"/>
              </w:rPr>
              <w:br/>
              <w:t xml:space="preserve">Cows' milk anaphylaxis </w:t>
            </w:r>
            <w:r w:rsidRPr="00D60E67">
              <w:rPr>
                <w:rFonts w:asciiTheme="minorHAnsi" w:hAnsiTheme="minorHAnsi" w:cstheme="minorHAnsi"/>
                <w:color w:val="000000"/>
                <w:sz w:val="18"/>
                <w:szCs w:val="18"/>
              </w:rPr>
              <w:br/>
              <w:t xml:space="preserve">Proven combined immunoglobulin E (IgE) mediated allergy to cows' milk protein and soy protein </w:t>
            </w:r>
            <w:r w:rsidRPr="00D60E67">
              <w:rPr>
                <w:rFonts w:asciiTheme="minorHAnsi" w:hAnsiTheme="minorHAnsi" w:cstheme="minorHAnsi"/>
                <w:color w:val="000000"/>
                <w:sz w:val="18"/>
                <w:szCs w:val="18"/>
              </w:rPr>
              <w:br/>
              <w:t xml:space="preserve">Severe intestinal malabsorption including short bowel syndrome </w:t>
            </w:r>
            <w:r w:rsidRPr="00D60E67">
              <w:rPr>
                <w:rFonts w:asciiTheme="minorHAnsi" w:hAnsiTheme="minorHAnsi" w:cstheme="minorHAnsi"/>
                <w:color w:val="000000"/>
                <w:sz w:val="18"/>
                <w:szCs w:val="18"/>
              </w:rPr>
              <w:br/>
              <w:t>Eosinophilic oesophagitis</w:t>
            </w:r>
          </w:p>
        </w:tc>
        <w:tc>
          <w:tcPr>
            <w:tcW w:w="3288" w:type="dxa"/>
            <w:shd w:val="clear" w:color="auto" w:fill="auto"/>
            <w:tcMar>
              <w:top w:w="28" w:type="dxa"/>
              <w:bottom w:w="28" w:type="dxa"/>
            </w:tcMar>
            <w:vAlign w:val="center"/>
          </w:tcPr>
          <w:p w14:paraId="1DCF3402" w14:textId="0BFF3541" w:rsidR="003717F5" w:rsidRPr="00D60E67" w:rsidRDefault="003717F5" w:rsidP="008E4349">
            <w:pPr>
              <w:pStyle w:val="ListParagraph"/>
              <w:keepLines/>
              <w:ind w:left="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To request General Schedule Authority Required listing under the same conditions as the currently listed Alfamino</w:t>
            </w:r>
            <w:r w:rsidR="005F570C">
              <w:rPr>
                <w:rFonts w:asciiTheme="minorHAnsi" w:hAnsiTheme="minorHAnsi" w:cstheme="minorHAnsi"/>
                <w:color w:val="000000"/>
                <w:sz w:val="18"/>
                <w:szCs w:val="18"/>
              </w:rPr>
              <w:t>®</w:t>
            </w:r>
            <w:r w:rsidRPr="00D60E67">
              <w:rPr>
                <w:rFonts w:asciiTheme="minorHAnsi" w:hAnsiTheme="minorHAnsi" w:cstheme="minorHAnsi"/>
                <w:color w:val="000000"/>
                <w:sz w:val="18"/>
                <w:szCs w:val="18"/>
              </w:rPr>
              <w:t>.</w:t>
            </w:r>
          </w:p>
        </w:tc>
        <w:tc>
          <w:tcPr>
            <w:tcW w:w="1987" w:type="dxa"/>
            <w:shd w:val="clear" w:color="auto" w:fill="auto"/>
            <w:vAlign w:val="center"/>
          </w:tcPr>
          <w:p w14:paraId="310AEBD9" w14:textId="12A6C243" w:rsidR="003717F5" w:rsidRPr="00D60E67" w:rsidRDefault="003717F5" w:rsidP="008E4349">
            <w:pPr>
              <w:pStyle w:val="ListParagraph"/>
              <w:keepLines/>
              <w:ind w:left="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Recommended</w:t>
            </w:r>
          </w:p>
        </w:tc>
        <w:tc>
          <w:tcPr>
            <w:tcW w:w="4336" w:type="dxa"/>
            <w:shd w:val="clear" w:color="auto" w:fill="auto"/>
            <w:vAlign w:val="center"/>
          </w:tcPr>
          <w:p w14:paraId="0B06A360" w14:textId="73BF4FCF" w:rsidR="003717F5" w:rsidRPr="00D60E67" w:rsidRDefault="003717F5" w:rsidP="003717F5">
            <w:pPr>
              <w:keepLines/>
              <w:rPr>
                <w:rFonts w:asciiTheme="minorHAnsi" w:hAnsiTheme="minorHAnsi" w:cstheme="minorHAnsi"/>
                <w:color w:val="000000"/>
                <w:sz w:val="18"/>
                <w:szCs w:val="18"/>
              </w:rPr>
            </w:pPr>
            <w:r w:rsidRPr="00D60E67">
              <w:rPr>
                <w:rFonts w:asciiTheme="minorHAnsi" w:hAnsiTheme="minorHAnsi" w:cstheme="minorHAnsi"/>
                <w:sz w:val="18"/>
                <w:szCs w:val="18"/>
              </w:rPr>
              <w:t>The PBAC recommended the General Schedule Authority Required listing of amino acid synthetic formula supplemented with long chain polyunsaturated fatty acids, medium chain triglycerides, 2’-fucosyllactose and lacto-n-neotetraose (referred to as Alfamino</w:t>
            </w:r>
            <w:r w:rsidR="00804C27">
              <w:rPr>
                <w:rFonts w:asciiTheme="minorHAnsi" w:hAnsiTheme="minorHAnsi" w:cstheme="minorHAnsi"/>
                <w:sz w:val="18"/>
                <w:szCs w:val="18"/>
              </w:rPr>
              <w:t>®</w:t>
            </w:r>
            <w:r w:rsidRPr="00D60E67">
              <w:rPr>
                <w:rFonts w:asciiTheme="minorHAnsi" w:hAnsiTheme="minorHAnsi" w:cstheme="minorHAnsi"/>
                <w:sz w:val="18"/>
                <w:szCs w:val="18"/>
              </w:rPr>
              <w:t xml:space="preserve"> HMO) under the same conditions as the currently listed amino acid synthetic formula supplemented with long chain polyunsaturated fatty acids and medium chain triglycerides (referred to as Alfamino</w:t>
            </w:r>
            <w:r w:rsidR="00804C27">
              <w:rPr>
                <w:rFonts w:asciiTheme="minorHAnsi" w:hAnsiTheme="minorHAnsi" w:cstheme="minorHAnsi"/>
                <w:sz w:val="18"/>
                <w:szCs w:val="18"/>
              </w:rPr>
              <w:t>®</w:t>
            </w:r>
            <w:r w:rsidRPr="00D60E67">
              <w:rPr>
                <w:rFonts w:asciiTheme="minorHAnsi" w:hAnsiTheme="minorHAnsi" w:cstheme="minorHAnsi"/>
                <w:sz w:val="18"/>
                <w:szCs w:val="18"/>
              </w:rPr>
              <w:t xml:space="preserve">). </w:t>
            </w:r>
            <w:r w:rsidRPr="00D60E67">
              <w:rPr>
                <w:rFonts w:asciiTheme="minorHAnsi" w:hAnsiTheme="minorHAnsi" w:cstheme="minorHAnsi"/>
                <w:color w:val="000000"/>
                <w:sz w:val="18"/>
                <w:szCs w:val="18"/>
              </w:rPr>
              <w:t>The PBAC’s recommendation for listing was based on, among other matters, its assessment that the cost-effectiveness of Alfamino</w:t>
            </w:r>
            <w:r w:rsidR="00804C27">
              <w:rPr>
                <w:rFonts w:asciiTheme="minorHAnsi" w:hAnsiTheme="minorHAnsi" w:cstheme="minorHAnsi"/>
                <w:color w:val="000000"/>
                <w:sz w:val="18"/>
                <w:szCs w:val="18"/>
              </w:rPr>
              <w:t>®</w:t>
            </w:r>
            <w:r w:rsidRPr="00D60E67">
              <w:rPr>
                <w:rFonts w:asciiTheme="minorHAnsi" w:hAnsiTheme="minorHAnsi" w:cstheme="minorHAnsi"/>
                <w:color w:val="000000"/>
                <w:sz w:val="18"/>
                <w:szCs w:val="18"/>
              </w:rPr>
              <w:t xml:space="preserve"> HMO would be acceptable if it were cost-minimised to Alfamino</w:t>
            </w:r>
            <w:r w:rsidR="00804C27">
              <w:rPr>
                <w:rFonts w:asciiTheme="minorHAnsi" w:hAnsiTheme="minorHAnsi" w:cstheme="minorHAnsi"/>
                <w:color w:val="000000"/>
                <w:sz w:val="18"/>
                <w:szCs w:val="18"/>
              </w:rPr>
              <w:t>®</w:t>
            </w:r>
            <w:r w:rsidRPr="00D60E67">
              <w:rPr>
                <w:rFonts w:asciiTheme="minorHAnsi" w:hAnsiTheme="minorHAnsi" w:cstheme="minorHAnsi"/>
                <w:color w:val="000000"/>
                <w:sz w:val="18"/>
                <w:szCs w:val="18"/>
              </w:rPr>
              <w:t>. The PBAC recommended that Alfamino</w:t>
            </w:r>
            <w:r w:rsidR="00804C27">
              <w:rPr>
                <w:rFonts w:asciiTheme="minorHAnsi" w:hAnsiTheme="minorHAnsi" w:cstheme="minorHAnsi"/>
                <w:color w:val="000000"/>
                <w:sz w:val="18"/>
                <w:szCs w:val="18"/>
              </w:rPr>
              <w:t>®</w:t>
            </w:r>
            <w:r w:rsidRPr="00D60E67">
              <w:rPr>
                <w:rFonts w:asciiTheme="minorHAnsi" w:hAnsiTheme="minorHAnsi" w:cstheme="minorHAnsi"/>
                <w:color w:val="000000"/>
                <w:sz w:val="18"/>
                <w:szCs w:val="18"/>
              </w:rPr>
              <w:t xml:space="preserve"> HMO be listed at the same price per gram of protein as Alfamino</w:t>
            </w:r>
            <w:r w:rsidR="00804C27">
              <w:rPr>
                <w:rFonts w:asciiTheme="minorHAnsi" w:hAnsiTheme="minorHAnsi" w:cstheme="minorHAnsi"/>
                <w:color w:val="000000"/>
                <w:sz w:val="18"/>
                <w:szCs w:val="18"/>
              </w:rPr>
              <w:t>®</w:t>
            </w:r>
            <w:r w:rsidRPr="00D60E67">
              <w:rPr>
                <w:rFonts w:asciiTheme="minorHAnsi" w:hAnsiTheme="minorHAnsi" w:cstheme="minorHAnsi"/>
                <w:color w:val="000000"/>
                <w:sz w:val="18"/>
                <w:szCs w:val="18"/>
              </w:rPr>
              <w:t xml:space="preserve">. </w:t>
            </w:r>
          </w:p>
        </w:tc>
      </w:tr>
      <w:tr w:rsidR="003717F5" w:rsidRPr="00544497" w14:paraId="4575DB7A" w14:textId="77777777" w:rsidTr="0088248D">
        <w:trPr>
          <w:cantSplit/>
          <w:trHeight w:val="518"/>
          <w:jc w:val="center"/>
        </w:trPr>
        <w:tc>
          <w:tcPr>
            <w:tcW w:w="3013" w:type="dxa"/>
            <w:shd w:val="clear" w:color="auto" w:fill="auto"/>
            <w:tcMar>
              <w:top w:w="28" w:type="dxa"/>
              <w:bottom w:w="28" w:type="dxa"/>
            </w:tcMar>
            <w:vAlign w:val="center"/>
          </w:tcPr>
          <w:p w14:paraId="3D168D18" w14:textId="52315B42" w:rsidR="003717F5" w:rsidRPr="00D60E67" w:rsidRDefault="003717F5" w:rsidP="008E4349">
            <w:pPr>
              <w:keepLines/>
              <w:jc w:val="center"/>
              <w:rPr>
                <w:rFonts w:asciiTheme="minorHAnsi" w:hAnsiTheme="minorHAnsi" w:cstheme="minorHAnsi"/>
                <w:sz w:val="18"/>
                <w:szCs w:val="18"/>
              </w:rPr>
            </w:pPr>
            <w:r w:rsidRPr="00D60E67">
              <w:rPr>
                <w:rFonts w:asciiTheme="minorHAnsi" w:hAnsiTheme="minorHAnsi" w:cstheme="minorHAnsi"/>
                <w:color w:val="000000"/>
                <w:sz w:val="18"/>
                <w:szCs w:val="18"/>
              </w:rPr>
              <w:lastRenderedPageBreak/>
              <w:t>ASCIMINIB</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Tablet 20 mg</w:t>
            </w:r>
            <w:r w:rsidRPr="00D60E67">
              <w:rPr>
                <w:rFonts w:asciiTheme="minorHAnsi" w:hAnsiTheme="minorHAnsi" w:cstheme="minorHAnsi"/>
                <w:color w:val="000000"/>
                <w:sz w:val="18"/>
                <w:szCs w:val="18"/>
              </w:rPr>
              <w:br/>
              <w:t>Tablet 40 mg</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Scemblix®</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Novartis Pharmaceuticals Australia Pty Limited</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Early re-entry submission</w:t>
            </w:r>
            <w:r w:rsidRPr="00D60E67">
              <w:rPr>
                <w:rFonts w:asciiTheme="minorHAnsi" w:hAnsiTheme="minorHAnsi" w:cstheme="minorHAnsi"/>
                <w:color w:val="000000"/>
                <w:sz w:val="18"/>
                <w:szCs w:val="18"/>
              </w:rPr>
              <w:br/>
              <w:t>(New PBS listing)</w:t>
            </w:r>
          </w:p>
        </w:tc>
        <w:tc>
          <w:tcPr>
            <w:tcW w:w="2764" w:type="dxa"/>
            <w:shd w:val="clear" w:color="auto" w:fill="auto"/>
            <w:vAlign w:val="center"/>
          </w:tcPr>
          <w:p w14:paraId="252FAFD5" w14:textId="4A86CE04" w:rsidR="003717F5" w:rsidRPr="00D60E67" w:rsidRDefault="003717F5" w:rsidP="008E4349">
            <w:pPr>
              <w:keepLines/>
              <w:widowControl w:val="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Chronic myeloid leukaemia</w:t>
            </w:r>
          </w:p>
        </w:tc>
        <w:tc>
          <w:tcPr>
            <w:tcW w:w="3288" w:type="dxa"/>
            <w:shd w:val="clear" w:color="auto" w:fill="auto"/>
            <w:tcMar>
              <w:top w:w="28" w:type="dxa"/>
              <w:bottom w:w="28" w:type="dxa"/>
            </w:tcMar>
            <w:vAlign w:val="center"/>
          </w:tcPr>
          <w:p w14:paraId="31793740" w14:textId="309A3D88" w:rsidR="003717F5" w:rsidRPr="00D60E67" w:rsidRDefault="003717F5" w:rsidP="008E4349">
            <w:pPr>
              <w:pStyle w:val="ListParagraph"/>
              <w:keepLines/>
              <w:ind w:left="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Resubmission to request a General Schedule Authority Required listing for the treatment of patients with Philadelphia chromosome-positive chronic myeloid leukaemia in chronic phase previously treated with two or more tyrosine kinase inhibitors.</w:t>
            </w:r>
          </w:p>
        </w:tc>
        <w:tc>
          <w:tcPr>
            <w:tcW w:w="1987" w:type="dxa"/>
            <w:shd w:val="clear" w:color="auto" w:fill="auto"/>
            <w:vAlign w:val="center"/>
          </w:tcPr>
          <w:p w14:paraId="124966EC" w14:textId="28374839" w:rsidR="003717F5" w:rsidRPr="00D60E67" w:rsidRDefault="003717F5" w:rsidP="008E4349">
            <w:pPr>
              <w:pStyle w:val="ListParagraph"/>
              <w:keepLines/>
              <w:ind w:left="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Recommended</w:t>
            </w:r>
          </w:p>
        </w:tc>
        <w:tc>
          <w:tcPr>
            <w:tcW w:w="4336" w:type="dxa"/>
            <w:shd w:val="clear" w:color="auto" w:fill="auto"/>
            <w:vAlign w:val="center"/>
          </w:tcPr>
          <w:p w14:paraId="474E2DBB" w14:textId="677F50C8" w:rsidR="00FB4E05" w:rsidRDefault="003717F5" w:rsidP="003717F5">
            <w:pPr>
              <w:keepLines/>
              <w:rPr>
                <w:rFonts w:asciiTheme="minorHAnsi" w:hAnsiTheme="minorHAnsi" w:cstheme="minorHAnsi"/>
                <w:color w:val="000000"/>
                <w:sz w:val="18"/>
                <w:szCs w:val="18"/>
              </w:rPr>
            </w:pPr>
            <w:r w:rsidRPr="00D60E67">
              <w:rPr>
                <w:rFonts w:asciiTheme="minorHAnsi" w:hAnsiTheme="minorHAnsi" w:cstheme="minorHAnsi"/>
                <w:color w:val="000000"/>
                <w:sz w:val="18"/>
                <w:szCs w:val="18"/>
              </w:rPr>
              <w:t xml:space="preserve">The PBAC recommended the listing of asciminib for the treatment of (i) patients with Philadelphia chromosome-positive chronic myeloid leukaemia (Ph+ CML) in chronic phase (CP) or accelerated phase (AP), who had been previously treated with two or more tyrosine kinase inhibitors (TKIs); and (ii) patients with Ph+ CML in CP or AP, who had been previously treated with one or more TKIs and harbouring the T315I mutation. </w:t>
            </w:r>
          </w:p>
          <w:p w14:paraId="1A4AF78E" w14:textId="77777777" w:rsidR="005F570C" w:rsidRPr="00D60E67" w:rsidRDefault="005F570C" w:rsidP="003717F5">
            <w:pPr>
              <w:keepLines/>
              <w:rPr>
                <w:rFonts w:asciiTheme="minorHAnsi" w:hAnsiTheme="minorHAnsi" w:cstheme="minorHAnsi"/>
                <w:color w:val="000000"/>
                <w:sz w:val="18"/>
                <w:szCs w:val="18"/>
              </w:rPr>
            </w:pPr>
          </w:p>
          <w:p w14:paraId="4223705B" w14:textId="6A26F612" w:rsidR="003717F5" w:rsidRDefault="003717F5" w:rsidP="003717F5">
            <w:pPr>
              <w:keepLines/>
              <w:rPr>
                <w:rFonts w:asciiTheme="minorHAnsi" w:hAnsiTheme="minorHAnsi" w:cstheme="minorHAnsi"/>
                <w:color w:val="000000"/>
                <w:sz w:val="18"/>
                <w:szCs w:val="18"/>
              </w:rPr>
            </w:pPr>
            <w:r w:rsidRPr="00D60E67">
              <w:rPr>
                <w:rFonts w:asciiTheme="minorHAnsi" w:hAnsiTheme="minorHAnsi" w:cstheme="minorHAnsi"/>
                <w:color w:val="000000"/>
                <w:sz w:val="18"/>
                <w:szCs w:val="18"/>
              </w:rPr>
              <w:t>The PBAC considered that, despite the limitations of the clinical evidence, ascimin</w:t>
            </w:r>
            <w:r w:rsidR="005F570C">
              <w:rPr>
                <w:rFonts w:asciiTheme="minorHAnsi" w:hAnsiTheme="minorHAnsi" w:cstheme="minorHAnsi"/>
                <w:color w:val="000000"/>
                <w:sz w:val="18"/>
                <w:szCs w:val="18"/>
              </w:rPr>
              <w:t>i</w:t>
            </w:r>
            <w:r w:rsidRPr="00D60E67">
              <w:rPr>
                <w:rFonts w:asciiTheme="minorHAnsi" w:hAnsiTheme="minorHAnsi" w:cstheme="minorHAnsi"/>
                <w:color w:val="000000"/>
                <w:sz w:val="18"/>
                <w:szCs w:val="18"/>
              </w:rPr>
              <w:t xml:space="preserve">b is non-inferior to nilotinib in patients without the T315I mutation, and non-inferior to ponatinib in patients with the T315I mutation. The PBAC considered that benchmarking against the second generation TKIs, nilotinib and dasatinib, in patients without the T315I mutation, was appropriate to establish a cost-effective price for asciminib, and </w:t>
            </w:r>
            <w:r w:rsidR="00050DA9">
              <w:rPr>
                <w:rFonts w:asciiTheme="minorHAnsi" w:hAnsiTheme="minorHAnsi" w:cstheme="minorHAnsi"/>
                <w:color w:val="000000"/>
                <w:sz w:val="18"/>
                <w:szCs w:val="18"/>
              </w:rPr>
              <w:t xml:space="preserve">an </w:t>
            </w:r>
            <w:r w:rsidRPr="00D60E67">
              <w:rPr>
                <w:rFonts w:asciiTheme="minorHAnsi" w:hAnsiTheme="minorHAnsi" w:cstheme="minorHAnsi"/>
                <w:color w:val="000000"/>
                <w:sz w:val="18"/>
                <w:szCs w:val="18"/>
              </w:rPr>
              <w:t xml:space="preserve">extension of this price to the very small number of patients who harbour the T315I mutation was acceptable. The PBAC considered that a written authority for T315I patients will be required. </w:t>
            </w:r>
          </w:p>
          <w:p w14:paraId="071E633C" w14:textId="77777777" w:rsidR="00B13427" w:rsidRDefault="00B13427" w:rsidP="003717F5">
            <w:pPr>
              <w:keepLines/>
              <w:rPr>
                <w:rFonts w:asciiTheme="minorHAnsi" w:hAnsiTheme="minorHAnsi" w:cstheme="minorHAnsi"/>
                <w:sz w:val="18"/>
                <w:szCs w:val="18"/>
              </w:rPr>
            </w:pPr>
          </w:p>
          <w:p w14:paraId="24FE28F4" w14:textId="1C877FA3" w:rsidR="00B13427" w:rsidRPr="00D60E67" w:rsidRDefault="00B13427" w:rsidP="0088248D">
            <w:pPr>
              <w:rPr>
                <w:rFonts w:asciiTheme="minorHAnsi" w:hAnsiTheme="minorHAnsi" w:cstheme="minorHAnsi"/>
                <w:sz w:val="18"/>
                <w:szCs w:val="18"/>
              </w:rPr>
            </w:pPr>
            <w:r w:rsidRPr="0088248D">
              <w:rPr>
                <w:rFonts w:asciiTheme="minorHAnsi" w:hAnsiTheme="minorHAnsi" w:cstheme="minorHAnsi"/>
                <w:color w:val="000000"/>
                <w:sz w:val="18"/>
                <w:szCs w:val="18"/>
              </w:rPr>
              <w:t>The PBAC recommended flow</w:t>
            </w:r>
            <w:r w:rsidR="002C1F7B">
              <w:rPr>
                <w:rFonts w:asciiTheme="minorHAnsi" w:hAnsiTheme="minorHAnsi" w:cstheme="minorHAnsi"/>
                <w:color w:val="000000"/>
                <w:sz w:val="18"/>
                <w:szCs w:val="18"/>
              </w:rPr>
              <w:t>-</w:t>
            </w:r>
            <w:r w:rsidRPr="0088248D">
              <w:rPr>
                <w:rFonts w:asciiTheme="minorHAnsi" w:hAnsiTheme="minorHAnsi" w:cstheme="minorHAnsi"/>
                <w:color w:val="000000"/>
                <w:sz w:val="18"/>
                <w:szCs w:val="18"/>
              </w:rPr>
              <w:t>on changes to the PBS restrictions for imatinib, dasatinib, nilotinib, and ponatinib, to add asciminib to the list of TKIs that can only be used as single agents at any one time and without concomitant interferon alfa therapy.</w:t>
            </w:r>
          </w:p>
        </w:tc>
      </w:tr>
      <w:tr w:rsidR="006841F4" w:rsidRPr="00544497" w14:paraId="21433199" w14:textId="77777777" w:rsidTr="0088248D">
        <w:trPr>
          <w:cantSplit/>
          <w:trHeight w:val="1525"/>
          <w:jc w:val="center"/>
        </w:trPr>
        <w:tc>
          <w:tcPr>
            <w:tcW w:w="3013" w:type="dxa"/>
            <w:shd w:val="clear" w:color="auto" w:fill="auto"/>
            <w:tcMar>
              <w:top w:w="28" w:type="dxa"/>
              <w:bottom w:w="28" w:type="dxa"/>
            </w:tcMar>
            <w:vAlign w:val="center"/>
          </w:tcPr>
          <w:p w14:paraId="362E85ED" w14:textId="2D15427D" w:rsidR="006841F4" w:rsidRPr="00D60E67" w:rsidRDefault="006841F4" w:rsidP="008E4349">
            <w:pPr>
              <w:keepLines/>
              <w:jc w:val="center"/>
              <w:rPr>
                <w:rFonts w:asciiTheme="minorHAnsi" w:hAnsiTheme="minorHAnsi" w:cstheme="minorHAnsi"/>
                <w:sz w:val="18"/>
                <w:szCs w:val="18"/>
                <w:highlight w:val="yellow"/>
              </w:rPr>
            </w:pPr>
            <w:r w:rsidRPr="00D60E67">
              <w:rPr>
                <w:rFonts w:asciiTheme="minorHAnsi" w:hAnsiTheme="minorHAnsi" w:cstheme="minorHAnsi"/>
                <w:sz w:val="18"/>
                <w:szCs w:val="18"/>
              </w:rPr>
              <w:lastRenderedPageBreak/>
              <w:t>AVATROMBOPAG</w:t>
            </w:r>
            <w:r w:rsidRPr="00D60E67">
              <w:rPr>
                <w:rFonts w:asciiTheme="minorHAnsi" w:hAnsiTheme="minorHAnsi" w:cstheme="minorHAnsi"/>
                <w:sz w:val="18"/>
                <w:szCs w:val="18"/>
              </w:rPr>
              <w:br/>
            </w:r>
            <w:r w:rsidRPr="00D60E67">
              <w:rPr>
                <w:rFonts w:asciiTheme="minorHAnsi" w:hAnsiTheme="minorHAnsi" w:cstheme="minorHAnsi"/>
                <w:sz w:val="18"/>
                <w:szCs w:val="18"/>
              </w:rPr>
              <w:br/>
              <w:t>Tablet 20 mg</w:t>
            </w:r>
            <w:r w:rsidRPr="00D60E67">
              <w:rPr>
                <w:rFonts w:asciiTheme="minorHAnsi" w:hAnsiTheme="minorHAnsi" w:cstheme="minorHAnsi"/>
                <w:sz w:val="18"/>
                <w:szCs w:val="18"/>
              </w:rPr>
              <w:br/>
            </w:r>
            <w:r w:rsidRPr="00D60E67">
              <w:rPr>
                <w:rFonts w:asciiTheme="minorHAnsi" w:hAnsiTheme="minorHAnsi" w:cstheme="minorHAnsi"/>
                <w:sz w:val="18"/>
                <w:szCs w:val="18"/>
              </w:rPr>
              <w:br/>
              <w:t>Doptelet®</w:t>
            </w:r>
            <w:r w:rsidRPr="00D60E67">
              <w:rPr>
                <w:rFonts w:asciiTheme="minorHAnsi" w:hAnsiTheme="minorHAnsi" w:cstheme="minorHAnsi"/>
                <w:sz w:val="18"/>
                <w:szCs w:val="18"/>
              </w:rPr>
              <w:br/>
            </w:r>
            <w:r w:rsidRPr="00D60E67">
              <w:rPr>
                <w:rFonts w:asciiTheme="minorHAnsi" w:hAnsiTheme="minorHAnsi" w:cstheme="minorHAnsi"/>
                <w:sz w:val="18"/>
                <w:szCs w:val="18"/>
              </w:rPr>
              <w:br/>
              <w:t>SWEDISH ORPHAN BIOVITRUM PTY LTD</w:t>
            </w:r>
            <w:r w:rsidRPr="00D60E67">
              <w:rPr>
                <w:rFonts w:asciiTheme="minorHAnsi" w:hAnsiTheme="minorHAnsi" w:cstheme="minorHAnsi"/>
                <w:sz w:val="18"/>
                <w:szCs w:val="18"/>
              </w:rPr>
              <w:br/>
            </w:r>
            <w:r w:rsidRPr="00D60E67">
              <w:rPr>
                <w:rFonts w:asciiTheme="minorHAnsi" w:hAnsiTheme="minorHAnsi" w:cstheme="minorHAnsi"/>
                <w:sz w:val="18"/>
                <w:szCs w:val="18"/>
              </w:rPr>
              <w:br/>
              <w:t>Category 2 submission</w:t>
            </w:r>
            <w:r w:rsidRPr="00D60E67">
              <w:rPr>
                <w:rFonts w:asciiTheme="minorHAnsi" w:hAnsiTheme="minorHAnsi" w:cstheme="minorHAnsi"/>
                <w:sz w:val="18"/>
                <w:szCs w:val="18"/>
              </w:rPr>
              <w:br/>
              <w:t>(New PBS listing)</w:t>
            </w:r>
          </w:p>
        </w:tc>
        <w:tc>
          <w:tcPr>
            <w:tcW w:w="2764" w:type="dxa"/>
            <w:shd w:val="clear" w:color="auto" w:fill="auto"/>
            <w:vAlign w:val="center"/>
          </w:tcPr>
          <w:p w14:paraId="31D498FC" w14:textId="23A480B7" w:rsidR="006841F4" w:rsidRPr="00D60E67" w:rsidRDefault="006841F4" w:rsidP="008E4349">
            <w:pPr>
              <w:keepLines/>
              <w:widowControl w:val="0"/>
              <w:jc w:val="center"/>
              <w:rPr>
                <w:rFonts w:asciiTheme="minorHAnsi" w:hAnsiTheme="minorHAnsi" w:cstheme="minorHAnsi"/>
                <w:snapToGrid w:val="0"/>
                <w:sz w:val="18"/>
                <w:szCs w:val="18"/>
                <w:highlight w:val="yellow"/>
                <w:lang w:eastAsia="en-US"/>
              </w:rPr>
            </w:pPr>
            <w:r w:rsidRPr="00D60E67">
              <w:rPr>
                <w:rFonts w:asciiTheme="minorHAnsi" w:hAnsiTheme="minorHAnsi" w:cstheme="minorHAnsi"/>
                <w:color w:val="000000"/>
                <w:sz w:val="18"/>
                <w:szCs w:val="18"/>
              </w:rPr>
              <w:t>Chronic immune (idiopathic) thrombocytopenia purpura</w:t>
            </w:r>
          </w:p>
        </w:tc>
        <w:tc>
          <w:tcPr>
            <w:tcW w:w="3288" w:type="dxa"/>
            <w:shd w:val="clear" w:color="auto" w:fill="auto"/>
            <w:tcMar>
              <w:top w:w="28" w:type="dxa"/>
              <w:bottom w:w="28" w:type="dxa"/>
            </w:tcMar>
            <w:vAlign w:val="center"/>
          </w:tcPr>
          <w:p w14:paraId="43FDC4C0" w14:textId="4907AF78" w:rsidR="006841F4" w:rsidRPr="00D60E67" w:rsidRDefault="006841F4" w:rsidP="008E4349">
            <w:pPr>
              <w:pStyle w:val="ListParagraph"/>
              <w:keepLines/>
              <w:ind w:left="0"/>
              <w:jc w:val="center"/>
              <w:rPr>
                <w:rFonts w:asciiTheme="minorHAnsi" w:hAnsiTheme="minorHAnsi" w:cstheme="minorHAnsi"/>
                <w:snapToGrid w:val="0"/>
                <w:sz w:val="18"/>
                <w:szCs w:val="18"/>
                <w:highlight w:val="yellow"/>
                <w:lang w:eastAsia="en-US"/>
              </w:rPr>
            </w:pPr>
            <w:r w:rsidRPr="00D60E67">
              <w:rPr>
                <w:rFonts w:asciiTheme="minorHAnsi" w:hAnsiTheme="minorHAnsi" w:cstheme="minorHAnsi"/>
                <w:color w:val="000000"/>
                <w:sz w:val="18"/>
                <w:szCs w:val="18"/>
              </w:rPr>
              <w:t>To request a Section 100 (Highly Specialised Drugs Program) Authority Required (Written) listing for the treatment of severe thrombocytopenia in patients with chronic immune (idiopathic) thrombocytopenia purpura who have had an inadequate response or are intolerant to corticosteroids and intravenous immunoglobulin.</w:t>
            </w:r>
          </w:p>
        </w:tc>
        <w:tc>
          <w:tcPr>
            <w:tcW w:w="1987" w:type="dxa"/>
            <w:shd w:val="clear" w:color="auto" w:fill="auto"/>
            <w:vAlign w:val="center"/>
          </w:tcPr>
          <w:p w14:paraId="7971E558" w14:textId="5F2F0755" w:rsidR="006841F4" w:rsidRPr="00D60E67" w:rsidRDefault="006841F4" w:rsidP="008E4349">
            <w:pPr>
              <w:pStyle w:val="ListParagraph"/>
              <w:keepLines/>
              <w:ind w:left="0"/>
              <w:jc w:val="center"/>
              <w:rPr>
                <w:rFonts w:asciiTheme="minorHAnsi" w:hAnsiTheme="minorHAnsi" w:cstheme="minorHAnsi"/>
                <w:snapToGrid w:val="0"/>
                <w:sz w:val="18"/>
                <w:szCs w:val="18"/>
                <w:highlight w:val="yellow"/>
                <w:lang w:eastAsia="en-US"/>
              </w:rPr>
            </w:pPr>
            <w:r w:rsidRPr="00D60E67">
              <w:rPr>
                <w:rFonts w:asciiTheme="minorHAnsi" w:hAnsiTheme="minorHAnsi" w:cstheme="minorHAnsi"/>
                <w:color w:val="000000"/>
                <w:sz w:val="18"/>
                <w:szCs w:val="18"/>
              </w:rPr>
              <w:t>Recommended</w:t>
            </w:r>
          </w:p>
        </w:tc>
        <w:tc>
          <w:tcPr>
            <w:tcW w:w="4336" w:type="dxa"/>
            <w:shd w:val="clear" w:color="auto" w:fill="auto"/>
            <w:vAlign w:val="center"/>
          </w:tcPr>
          <w:p w14:paraId="56675D40" w14:textId="726FC51B" w:rsidR="00FB4E05" w:rsidRPr="00D60E67" w:rsidRDefault="003717F5" w:rsidP="003717F5">
            <w:pPr>
              <w:rPr>
                <w:rFonts w:asciiTheme="minorHAnsi" w:hAnsiTheme="minorHAnsi" w:cstheme="minorHAnsi"/>
                <w:sz w:val="18"/>
                <w:szCs w:val="18"/>
              </w:rPr>
            </w:pPr>
            <w:r w:rsidRPr="00D60E67">
              <w:rPr>
                <w:rFonts w:asciiTheme="minorHAnsi" w:hAnsiTheme="minorHAnsi" w:cstheme="minorHAnsi"/>
                <w:sz w:val="18"/>
                <w:szCs w:val="18"/>
              </w:rPr>
              <w:t xml:space="preserve">The PBAC recommended the Section 100 (Highly Specialised Drugs Program – Public and Private Hospital), Authority Required listing of avatrombopag for the treatment of severe thrombocytopenia in patients with chronic idiopathic thrombocytopenic purpura (ITP). The PBAC’s recommendation for listing was based on, among other matters, its assessment that the cost-effectiveness of avatrombopag would be acceptable if it were cost-minimised to eltrombopag. </w:t>
            </w:r>
            <w:r w:rsidRPr="00D60E67">
              <w:rPr>
                <w:rFonts w:asciiTheme="minorHAnsi" w:hAnsiTheme="minorHAnsi" w:cstheme="minorHAnsi"/>
                <w:sz w:val="18"/>
                <w:szCs w:val="18"/>
              </w:rPr>
              <w:br/>
            </w:r>
          </w:p>
          <w:p w14:paraId="0E51C7EF" w14:textId="77777777" w:rsidR="00FB4E05" w:rsidRPr="00D60E67" w:rsidRDefault="003717F5" w:rsidP="003717F5">
            <w:pPr>
              <w:rPr>
                <w:rFonts w:asciiTheme="minorHAnsi" w:hAnsiTheme="minorHAnsi" w:cstheme="minorHAnsi"/>
                <w:sz w:val="18"/>
                <w:szCs w:val="18"/>
              </w:rPr>
            </w:pPr>
            <w:r w:rsidRPr="00D60E67">
              <w:rPr>
                <w:rFonts w:asciiTheme="minorHAnsi" w:hAnsiTheme="minorHAnsi" w:cstheme="minorHAnsi"/>
                <w:sz w:val="18"/>
                <w:szCs w:val="18"/>
              </w:rPr>
              <w:t xml:space="preserve">The PBAC considered there was uncertain but acceptable clinical evidence of non-inferiority to eltrombopag, and a moderate unmet clinical need for those patients for whom eltrombopag and romiplostim are unsuitable. The PBAC considered the equi-effective doses to be avatrombopag 22.34 mg daily = eltrombopag 55.2 mg daily. </w:t>
            </w:r>
            <w:r w:rsidRPr="00D60E67">
              <w:rPr>
                <w:rFonts w:asciiTheme="minorHAnsi" w:hAnsiTheme="minorHAnsi" w:cstheme="minorHAnsi"/>
                <w:sz w:val="18"/>
                <w:szCs w:val="18"/>
              </w:rPr>
              <w:br/>
            </w:r>
          </w:p>
          <w:p w14:paraId="21785AE1" w14:textId="2D9A6BAB" w:rsidR="006841F4" w:rsidRPr="0088248D" w:rsidRDefault="003717F5" w:rsidP="0088248D">
            <w:pPr>
              <w:rPr>
                <w:highlight w:val="yellow"/>
              </w:rPr>
            </w:pPr>
            <w:r w:rsidRPr="00D60E67">
              <w:rPr>
                <w:rFonts w:asciiTheme="minorHAnsi" w:hAnsiTheme="minorHAnsi" w:cstheme="minorHAnsi"/>
                <w:sz w:val="18"/>
                <w:szCs w:val="18"/>
              </w:rPr>
              <w:t xml:space="preserve">The PBAC </w:t>
            </w:r>
            <w:r w:rsidR="002C1F7B">
              <w:rPr>
                <w:rFonts w:asciiTheme="minorHAnsi" w:hAnsiTheme="minorHAnsi" w:cstheme="minorHAnsi"/>
                <w:sz w:val="18"/>
                <w:szCs w:val="18"/>
              </w:rPr>
              <w:t>recommended</w:t>
            </w:r>
            <w:r w:rsidRPr="00D60E67">
              <w:rPr>
                <w:rFonts w:asciiTheme="minorHAnsi" w:hAnsiTheme="minorHAnsi" w:cstheme="minorHAnsi"/>
                <w:sz w:val="18"/>
                <w:szCs w:val="18"/>
              </w:rPr>
              <w:t xml:space="preserve"> flow</w:t>
            </w:r>
            <w:r w:rsidR="002C1F7B">
              <w:rPr>
                <w:rFonts w:asciiTheme="minorHAnsi" w:hAnsiTheme="minorHAnsi" w:cstheme="minorHAnsi"/>
                <w:sz w:val="18"/>
                <w:szCs w:val="18"/>
              </w:rPr>
              <w:t>-</w:t>
            </w:r>
            <w:r w:rsidRPr="00D60E67">
              <w:rPr>
                <w:rFonts w:asciiTheme="minorHAnsi" w:hAnsiTheme="minorHAnsi" w:cstheme="minorHAnsi"/>
                <w:sz w:val="18"/>
                <w:szCs w:val="18"/>
              </w:rPr>
              <w:t>on changes to the restriction criteria for eltrombopag and romiplostim would be required to allow for switching to avatrombopag.</w:t>
            </w:r>
          </w:p>
        </w:tc>
      </w:tr>
      <w:tr w:rsidR="003717F5" w:rsidRPr="00544497" w14:paraId="1293704A" w14:textId="77777777" w:rsidTr="0088248D">
        <w:trPr>
          <w:cantSplit/>
          <w:trHeight w:val="2948"/>
          <w:jc w:val="center"/>
        </w:trPr>
        <w:tc>
          <w:tcPr>
            <w:tcW w:w="3013" w:type="dxa"/>
            <w:shd w:val="clear" w:color="auto" w:fill="auto"/>
            <w:tcMar>
              <w:top w:w="28" w:type="dxa"/>
              <w:bottom w:w="28" w:type="dxa"/>
            </w:tcMar>
            <w:vAlign w:val="center"/>
          </w:tcPr>
          <w:p w14:paraId="03BE52E3" w14:textId="72D70616" w:rsidR="003717F5" w:rsidRPr="00D60E67" w:rsidRDefault="003717F5" w:rsidP="008E4349">
            <w:pPr>
              <w:keepLines/>
              <w:jc w:val="center"/>
              <w:rPr>
                <w:rFonts w:asciiTheme="minorHAnsi" w:hAnsiTheme="minorHAnsi" w:cstheme="minorHAnsi"/>
                <w:sz w:val="18"/>
                <w:szCs w:val="18"/>
              </w:rPr>
            </w:pPr>
            <w:r w:rsidRPr="00D60E67">
              <w:rPr>
                <w:rFonts w:asciiTheme="minorHAnsi" w:hAnsiTheme="minorHAnsi" w:cstheme="minorHAnsi"/>
                <w:color w:val="000000"/>
                <w:sz w:val="18"/>
                <w:szCs w:val="18"/>
              </w:rPr>
              <w:lastRenderedPageBreak/>
              <w:t>BUDESONIDE WITH GLYCOPYRRONIUM AND FORMOTEROL</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 xml:space="preserve">Pressurised inhalation containing budesonide 160 micrograms with glycopyrronium 7.2 micrograms and formoterol fumarate dihydrate </w:t>
            </w:r>
            <w:r w:rsidR="005F570C" w:rsidRPr="00D60E67">
              <w:rPr>
                <w:rFonts w:asciiTheme="minorHAnsi" w:hAnsiTheme="minorHAnsi" w:cstheme="minorHAnsi"/>
                <w:color w:val="000000"/>
                <w:sz w:val="18"/>
                <w:szCs w:val="18"/>
              </w:rPr>
              <w:t>5</w:t>
            </w:r>
            <w:r w:rsidR="005F570C">
              <w:rPr>
                <w:rFonts w:asciiTheme="minorHAnsi" w:hAnsiTheme="minorHAnsi" w:cstheme="minorHAnsi"/>
                <w:color w:val="000000"/>
                <w:sz w:val="18"/>
                <w:szCs w:val="18"/>
              </w:rPr>
              <w:t> </w:t>
            </w:r>
            <w:r w:rsidRPr="00D60E67">
              <w:rPr>
                <w:rFonts w:asciiTheme="minorHAnsi" w:hAnsiTheme="minorHAnsi" w:cstheme="minorHAnsi"/>
                <w:color w:val="000000"/>
                <w:sz w:val="18"/>
                <w:szCs w:val="18"/>
              </w:rPr>
              <w:t>micrograms per dose, 120 doses</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Breztri Aerosphere® DFP-EvoCap</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ASTRAZENECA PTY LTD</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Category 4 submission</w:t>
            </w:r>
            <w:r w:rsidRPr="00D60E67">
              <w:rPr>
                <w:rFonts w:asciiTheme="minorHAnsi" w:hAnsiTheme="minorHAnsi" w:cstheme="minorHAnsi"/>
                <w:color w:val="000000"/>
                <w:sz w:val="18"/>
                <w:szCs w:val="18"/>
              </w:rPr>
              <w:br/>
              <w:t>(Change to PBS listing)</w:t>
            </w:r>
          </w:p>
        </w:tc>
        <w:tc>
          <w:tcPr>
            <w:tcW w:w="2764" w:type="dxa"/>
            <w:shd w:val="clear" w:color="auto" w:fill="auto"/>
            <w:vAlign w:val="center"/>
          </w:tcPr>
          <w:p w14:paraId="377E88FC" w14:textId="485BA910" w:rsidR="003717F5" w:rsidRPr="00D60E67" w:rsidRDefault="003717F5" w:rsidP="008E4349">
            <w:pPr>
              <w:keepLines/>
              <w:widowControl w:val="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Chronic obstructive pulmonary disease</w:t>
            </w:r>
          </w:p>
        </w:tc>
        <w:tc>
          <w:tcPr>
            <w:tcW w:w="3288" w:type="dxa"/>
            <w:shd w:val="clear" w:color="auto" w:fill="auto"/>
            <w:tcMar>
              <w:top w:w="28" w:type="dxa"/>
              <w:bottom w:w="28" w:type="dxa"/>
            </w:tcMar>
            <w:vAlign w:val="center"/>
          </w:tcPr>
          <w:p w14:paraId="0C5A0012" w14:textId="70EDEBAA" w:rsidR="003717F5" w:rsidRPr="00D60E67" w:rsidRDefault="003717F5" w:rsidP="008E4349">
            <w:pPr>
              <w:pStyle w:val="ListParagraph"/>
              <w:keepLines/>
              <w:ind w:left="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To request General Schedule Authority Required (STREAMLINED) listing for a new inhaler device under the same conditions as the current inhaler device.</w:t>
            </w:r>
          </w:p>
        </w:tc>
        <w:tc>
          <w:tcPr>
            <w:tcW w:w="1987" w:type="dxa"/>
            <w:shd w:val="clear" w:color="auto" w:fill="auto"/>
            <w:vAlign w:val="center"/>
          </w:tcPr>
          <w:p w14:paraId="73C161D1" w14:textId="4841AFC2" w:rsidR="003717F5" w:rsidRPr="00D60E67" w:rsidRDefault="003717F5" w:rsidP="008E4349">
            <w:pPr>
              <w:pStyle w:val="ListParagraph"/>
              <w:keepLines/>
              <w:ind w:left="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Recommended</w:t>
            </w:r>
          </w:p>
        </w:tc>
        <w:tc>
          <w:tcPr>
            <w:tcW w:w="4336" w:type="dxa"/>
            <w:shd w:val="clear" w:color="auto" w:fill="auto"/>
            <w:vAlign w:val="center"/>
          </w:tcPr>
          <w:p w14:paraId="5CD2805E" w14:textId="46A575E9" w:rsidR="003717F5" w:rsidRPr="00D60E67" w:rsidRDefault="003717F5" w:rsidP="003717F5">
            <w:pPr>
              <w:rPr>
                <w:rFonts w:asciiTheme="minorHAnsi" w:hAnsiTheme="minorHAnsi" w:cstheme="minorHAnsi"/>
                <w:sz w:val="18"/>
                <w:szCs w:val="18"/>
              </w:rPr>
            </w:pPr>
            <w:r w:rsidRPr="00D60E67">
              <w:rPr>
                <w:rFonts w:asciiTheme="minorHAnsi" w:hAnsiTheme="minorHAnsi" w:cstheme="minorHAnsi"/>
                <w:color w:val="000000"/>
                <w:sz w:val="18"/>
                <w:szCs w:val="18"/>
              </w:rPr>
              <w:t>The PBAC held no objections to the planned replacement of the existing</w:t>
            </w:r>
            <w:r w:rsidR="007E2170" w:rsidRPr="00B06582">
              <w:t xml:space="preserve"> </w:t>
            </w:r>
            <w:r w:rsidR="007E2170" w:rsidRPr="0088248D">
              <w:rPr>
                <w:rFonts w:ascii="Calibri" w:hAnsi="Calibri" w:cs="Calibri"/>
                <w:sz w:val="18"/>
                <w:szCs w:val="18"/>
              </w:rPr>
              <w:t>pressurised metered dose inhaler</w:t>
            </w:r>
            <w:r w:rsidRPr="0088248D">
              <w:rPr>
                <w:rFonts w:asciiTheme="minorHAnsi" w:hAnsiTheme="minorHAnsi" w:cstheme="minorHAnsi"/>
                <w:color w:val="000000"/>
                <w:sz w:val="16"/>
                <w:szCs w:val="16"/>
              </w:rPr>
              <w:t xml:space="preserve"> </w:t>
            </w:r>
            <w:r w:rsidR="007E2170">
              <w:rPr>
                <w:rFonts w:asciiTheme="minorHAnsi" w:hAnsiTheme="minorHAnsi" w:cstheme="minorHAnsi"/>
                <w:color w:val="000000"/>
                <w:sz w:val="18"/>
                <w:szCs w:val="18"/>
              </w:rPr>
              <w:t>(</w:t>
            </w:r>
            <w:r w:rsidRPr="00D60E67">
              <w:rPr>
                <w:rFonts w:asciiTheme="minorHAnsi" w:hAnsiTheme="minorHAnsi" w:cstheme="minorHAnsi"/>
                <w:color w:val="000000"/>
                <w:sz w:val="18"/>
                <w:szCs w:val="18"/>
              </w:rPr>
              <w:t>pMDI</w:t>
            </w:r>
            <w:r w:rsidR="007E2170">
              <w:rPr>
                <w:rFonts w:asciiTheme="minorHAnsi" w:hAnsiTheme="minorHAnsi" w:cstheme="minorHAnsi"/>
                <w:color w:val="000000"/>
                <w:sz w:val="18"/>
                <w:szCs w:val="18"/>
              </w:rPr>
              <w:t>)</w:t>
            </w:r>
            <w:r w:rsidRPr="00D60E67">
              <w:rPr>
                <w:rFonts w:asciiTheme="minorHAnsi" w:hAnsiTheme="minorHAnsi" w:cstheme="minorHAnsi"/>
                <w:color w:val="000000"/>
                <w:sz w:val="18"/>
                <w:szCs w:val="18"/>
              </w:rPr>
              <w:t xml:space="preserve"> containing budesonide, glycopyrronium and formoterol (Breztri Aerosphere</w:t>
            </w:r>
            <w:r w:rsidR="00A14987">
              <w:rPr>
                <w:rFonts w:asciiTheme="minorHAnsi" w:hAnsiTheme="minorHAnsi" w:cstheme="minorHAnsi"/>
                <w:color w:val="000000"/>
                <w:sz w:val="18"/>
                <w:szCs w:val="18"/>
              </w:rPr>
              <w:t>®</w:t>
            </w:r>
            <w:r w:rsidRPr="00D60E67">
              <w:rPr>
                <w:rFonts w:asciiTheme="minorHAnsi" w:hAnsiTheme="minorHAnsi" w:cstheme="minorHAnsi"/>
                <w:color w:val="000000"/>
                <w:sz w:val="18"/>
                <w:szCs w:val="18"/>
              </w:rPr>
              <w:t xml:space="preserve">) with a pMDI with a desiccated flow path (Breztri Aerosphere® DFP-EvoCap). The PBAC noted that the new </w:t>
            </w:r>
            <w:r w:rsidR="00F83F7C">
              <w:rPr>
                <w:rFonts w:asciiTheme="minorHAnsi" w:hAnsiTheme="minorHAnsi" w:cstheme="minorHAnsi"/>
                <w:color w:val="000000"/>
                <w:sz w:val="18"/>
                <w:szCs w:val="18"/>
              </w:rPr>
              <w:t xml:space="preserve">Breztri Aerosphere® </w:t>
            </w:r>
            <w:r w:rsidRPr="00D60E67">
              <w:rPr>
                <w:rFonts w:asciiTheme="minorHAnsi" w:hAnsiTheme="minorHAnsi" w:cstheme="minorHAnsi"/>
                <w:color w:val="000000"/>
                <w:sz w:val="18"/>
                <w:szCs w:val="18"/>
              </w:rPr>
              <w:t>DFP-EvoCap would retain the same listing description as Breztri Aerosphere</w:t>
            </w:r>
            <w:r w:rsidR="00A14987">
              <w:rPr>
                <w:rFonts w:asciiTheme="minorHAnsi" w:hAnsiTheme="minorHAnsi" w:cstheme="minorHAnsi"/>
                <w:color w:val="000000"/>
                <w:sz w:val="18"/>
                <w:szCs w:val="18"/>
              </w:rPr>
              <w:t>®</w:t>
            </w:r>
            <w:r w:rsidRPr="00D60E67">
              <w:rPr>
                <w:rFonts w:asciiTheme="minorHAnsi" w:hAnsiTheme="minorHAnsi" w:cstheme="minorHAnsi"/>
                <w:color w:val="000000"/>
                <w:sz w:val="18"/>
                <w:szCs w:val="18"/>
              </w:rPr>
              <w:t xml:space="preserve"> and would therefore be listed under the same PBS item code as an additional brand. The PBAC advised, under Section 101 (4AACD) of the </w:t>
            </w:r>
            <w:r w:rsidRPr="00D60E67">
              <w:rPr>
                <w:rFonts w:asciiTheme="minorHAnsi" w:hAnsiTheme="minorHAnsi" w:cstheme="minorHAnsi"/>
                <w:i/>
                <w:iCs/>
                <w:color w:val="000000"/>
                <w:sz w:val="18"/>
                <w:szCs w:val="18"/>
              </w:rPr>
              <w:t>National Health Act</w:t>
            </w:r>
            <w:r w:rsidRPr="00D60E67">
              <w:rPr>
                <w:rFonts w:asciiTheme="minorHAnsi" w:hAnsiTheme="minorHAnsi" w:cstheme="minorHAnsi"/>
                <w:color w:val="000000"/>
                <w:sz w:val="18"/>
                <w:szCs w:val="18"/>
              </w:rPr>
              <w:t xml:space="preserve">, that </w:t>
            </w:r>
            <w:r w:rsidR="00F83F7C">
              <w:rPr>
                <w:rFonts w:asciiTheme="minorHAnsi" w:hAnsiTheme="minorHAnsi" w:cstheme="minorHAnsi"/>
                <w:color w:val="000000"/>
                <w:sz w:val="18"/>
                <w:szCs w:val="18"/>
              </w:rPr>
              <w:t>Breztri</w:t>
            </w:r>
            <w:r w:rsidR="00503C6D">
              <w:rPr>
                <w:rFonts w:asciiTheme="minorHAnsi" w:hAnsiTheme="minorHAnsi" w:cstheme="minorHAnsi"/>
                <w:color w:val="000000"/>
                <w:sz w:val="18"/>
                <w:szCs w:val="18"/>
              </w:rPr>
              <w:t> </w:t>
            </w:r>
            <w:r w:rsidR="00F83F7C">
              <w:rPr>
                <w:rFonts w:asciiTheme="minorHAnsi" w:hAnsiTheme="minorHAnsi" w:cstheme="minorHAnsi"/>
                <w:color w:val="000000"/>
                <w:sz w:val="18"/>
                <w:szCs w:val="18"/>
              </w:rPr>
              <w:t>Aerosphere®</w:t>
            </w:r>
            <w:r w:rsidR="00503C6D">
              <w:rPr>
                <w:rFonts w:asciiTheme="minorHAnsi" w:hAnsiTheme="minorHAnsi" w:cstheme="minorHAnsi"/>
                <w:color w:val="000000"/>
                <w:sz w:val="18"/>
                <w:szCs w:val="18"/>
              </w:rPr>
              <w:t> </w:t>
            </w:r>
            <w:r w:rsidRPr="00D60E67">
              <w:rPr>
                <w:rFonts w:asciiTheme="minorHAnsi" w:hAnsiTheme="minorHAnsi" w:cstheme="minorHAnsi"/>
                <w:color w:val="000000"/>
                <w:sz w:val="18"/>
                <w:szCs w:val="18"/>
              </w:rPr>
              <w:t>DFP-</w:t>
            </w:r>
            <w:r w:rsidR="00503C6D">
              <w:rPr>
                <w:rFonts w:asciiTheme="minorHAnsi" w:hAnsiTheme="minorHAnsi" w:cstheme="minorHAnsi"/>
                <w:color w:val="000000"/>
                <w:sz w:val="18"/>
                <w:szCs w:val="18"/>
              </w:rPr>
              <w:t> </w:t>
            </w:r>
            <w:r w:rsidRPr="00D60E67">
              <w:rPr>
                <w:rFonts w:asciiTheme="minorHAnsi" w:hAnsiTheme="minorHAnsi" w:cstheme="minorHAnsi"/>
                <w:color w:val="000000"/>
                <w:sz w:val="18"/>
                <w:szCs w:val="18"/>
              </w:rPr>
              <w:t>EvoCap and Breztri</w:t>
            </w:r>
            <w:r w:rsidR="00503C6D">
              <w:rPr>
                <w:rFonts w:asciiTheme="minorHAnsi" w:hAnsiTheme="minorHAnsi" w:cstheme="minorHAnsi"/>
                <w:color w:val="000000"/>
                <w:sz w:val="18"/>
                <w:szCs w:val="18"/>
              </w:rPr>
              <w:t> </w:t>
            </w:r>
            <w:r w:rsidRPr="00D60E67">
              <w:rPr>
                <w:rFonts w:asciiTheme="minorHAnsi" w:hAnsiTheme="minorHAnsi" w:cstheme="minorHAnsi"/>
                <w:color w:val="000000"/>
                <w:sz w:val="18"/>
                <w:szCs w:val="18"/>
              </w:rPr>
              <w:t>Aerosphere</w:t>
            </w:r>
            <w:r w:rsidR="00A14987">
              <w:rPr>
                <w:rFonts w:asciiTheme="minorHAnsi" w:hAnsiTheme="minorHAnsi" w:cstheme="minorHAnsi"/>
                <w:color w:val="000000"/>
                <w:sz w:val="18"/>
                <w:szCs w:val="18"/>
              </w:rPr>
              <w:t>®</w:t>
            </w:r>
            <w:r w:rsidRPr="00D60E67">
              <w:rPr>
                <w:rFonts w:asciiTheme="minorHAnsi" w:hAnsiTheme="minorHAnsi" w:cstheme="minorHAnsi"/>
                <w:color w:val="000000"/>
                <w:sz w:val="18"/>
                <w:szCs w:val="18"/>
              </w:rPr>
              <w:t xml:space="preserve"> should be considered equivalent for the purposes of substitution (i.e. a-flagged in the Schedule).</w:t>
            </w:r>
          </w:p>
        </w:tc>
      </w:tr>
      <w:tr w:rsidR="007411F0" w:rsidRPr="00544497" w14:paraId="395DA206" w14:textId="77777777" w:rsidTr="0088248D">
        <w:trPr>
          <w:cantSplit/>
          <w:trHeight w:val="2948"/>
          <w:jc w:val="center"/>
        </w:trPr>
        <w:tc>
          <w:tcPr>
            <w:tcW w:w="3013" w:type="dxa"/>
            <w:shd w:val="clear" w:color="auto" w:fill="auto"/>
            <w:tcMar>
              <w:top w:w="28" w:type="dxa"/>
              <w:bottom w:w="28" w:type="dxa"/>
            </w:tcMar>
            <w:vAlign w:val="center"/>
          </w:tcPr>
          <w:p w14:paraId="6594737B" w14:textId="1184D826" w:rsidR="007411F0" w:rsidRPr="00D60E67" w:rsidRDefault="007411F0" w:rsidP="007411F0">
            <w:pPr>
              <w:keepLines/>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lastRenderedPageBreak/>
              <w:t>DAROLUTAMIDE</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Tablet 300 mg</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Nubeqa®</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BAYER AUSTRALIA LTD</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Category 2 submission</w:t>
            </w:r>
            <w:r w:rsidRPr="00D60E67">
              <w:rPr>
                <w:rFonts w:asciiTheme="minorHAnsi" w:hAnsiTheme="minorHAnsi" w:cstheme="minorHAnsi"/>
                <w:color w:val="000000"/>
                <w:sz w:val="18"/>
                <w:szCs w:val="18"/>
              </w:rPr>
              <w:br/>
              <w:t>(Change to PBS listing)</w:t>
            </w:r>
          </w:p>
        </w:tc>
        <w:tc>
          <w:tcPr>
            <w:tcW w:w="2764" w:type="dxa"/>
            <w:shd w:val="clear" w:color="auto" w:fill="auto"/>
            <w:vAlign w:val="center"/>
          </w:tcPr>
          <w:p w14:paraId="0B1F35E4" w14:textId="3064D557" w:rsidR="007411F0" w:rsidRPr="00D60E67" w:rsidRDefault="007411F0" w:rsidP="007411F0">
            <w:pPr>
              <w:keepLines/>
              <w:widowControl w:val="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Prostate cancer</w:t>
            </w:r>
          </w:p>
        </w:tc>
        <w:tc>
          <w:tcPr>
            <w:tcW w:w="3288" w:type="dxa"/>
            <w:shd w:val="clear" w:color="auto" w:fill="auto"/>
            <w:tcMar>
              <w:top w:w="28" w:type="dxa"/>
              <w:bottom w:w="28" w:type="dxa"/>
            </w:tcMar>
            <w:vAlign w:val="center"/>
          </w:tcPr>
          <w:p w14:paraId="47631723" w14:textId="2759328A" w:rsidR="007411F0" w:rsidRPr="00D60E67" w:rsidRDefault="007411F0" w:rsidP="007411F0">
            <w:pPr>
              <w:pStyle w:val="ListParagraph"/>
              <w:keepLines/>
              <w:ind w:left="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To request a General Schedule Authority Required listing, for use in combination with androgen deprivation therapy and docetaxel, for the treatment of metastatic hormone sensitive prostate cancer.</w:t>
            </w:r>
          </w:p>
        </w:tc>
        <w:tc>
          <w:tcPr>
            <w:tcW w:w="1987" w:type="dxa"/>
            <w:shd w:val="clear" w:color="auto" w:fill="auto"/>
            <w:vAlign w:val="center"/>
          </w:tcPr>
          <w:p w14:paraId="3F7B731B" w14:textId="4C2FE408" w:rsidR="007411F0" w:rsidRPr="00D60E67" w:rsidRDefault="007411F0" w:rsidP="007411F0">
            <w:pPr>
              <w:pStyle w:val="ListParagraph"/>
              <w:keepLines/>
              <w:ind w:left="0"/>
              <w:jc w:val="center"/>
              <w:rPr>
                <w:rFonts w:asciiTheme="minorHAnsi" w:hAnsiTheme="minorHAnsi" w:cstheme="minorHAnsi"/>
                <w:color w:val="000000"/>
                <w:sz w:val="18"/>
                <w:szCs w:val="18"/>
              </w:rPr>
            </w:pPr>
            <w:r w:rsidRPr="007411F0">
              <w:rPr>
                <w:rFonts w:asciiTheme="minorHAnsi" w:hAnsiTheme="minorHAnsi" w:cstheme="minorHAnsi"/>
                <w:color w:val="000000"/>
                <w:sz w:val="18"/>
                <w:szCs w:val="18"/>
              </w:rPr>
              <w:t>Deferred</w:t>
            </w:r>
          </w:p>
        </w:tc>
        <w:tc>
          <w:tcPr>
            <w:tcW w:w="4336" w:type="dxa"/>
            <w:shd w:val="clear" w:color="auto" w:fill="auto"/>
            <w:vAlign w:val="center"/>
          </w:tcPr>
          <w:p w14:paraId="4DFF90CD" w14:textId="77777777" w:rsidR="007411F0" w:rsidRDefault="007411F0" w:rsidP="007411F0">
            <w:pPr>
              <w:rPr>
                <w:rFonts w:ascii="Calibri" w:hAnsi="Calibri" w:cs="Calibri"/>
                <w:color w:val="000000"/>
                <w:sz w:val="18"/>
                <w:szCs w:val="18"/>
              </w:rPr>
            </w:pPr>
            <w:r w:rsidRPr="003C7FA1">
              <w:rPr>
                <w:rFonts w:ascii="Calibri" w:hAnsi="Calibri" w:cs="Calibri"/>
                <w:color w:val="000000"/>
                <w:sz w:val="18"/>
                <w:szCs w:val="18"/>
              </w:rPr>
              <w:t xml:space="preserve">The PBAC deferred its decision on whether to recommend darolutamide for the treatment of mHSPC. The PBAC was of a mind to recommend darolutamide, pending advice from the </w:t>
            </w:r>
            <w:r>
              <w:rPr>
                <w:rFonts w:ascii="Calibri" w:hAnsi="Calibri" w:cs="Calibri"/>
                <w:color w:val="000000"/>
                <w:sz w:val="18"/>
                <w:szCs w:val="18"/>
              </w:rPr>
              <w:t>TGA</w:t>
            </w:r>
            <w:r w:rsidRPr="003C7FA1">
              <w:rPr>
                <w:rFonts w:ascii="Calibri" w:hAnsi="Calibri" w:cs="Calibri"/>
                <w:color w:val="000000"/>
                <w:sz w:val="18"/>
                <w:szCs w:val="18"/>
              </w:rPr>
              <w:t xml:space="preserve"> Delegate and, in the circumstance where apalutamide is not PBS</w:t>
            </w:r>
            <w:r>
              <w:rPr>
                <w:rFonts w:ascii="Calibri" w:hAnsi="Calibri" w:cs="Calibri"/>
                <w:color w:val="000000"/>
                <w:sz w:val="18"/>
                <w:szCs w:val="18"/>
              </w:rPr>
              <w:t>-</w:t>
            </w:r>
            <w:r w:rsidRPr="003C7FA1">
              <w:rPr>
                <w:rFonts w:ascii="Calibri" w:hAnsi="Calibri" w:cs="Calibri"/>
                <w:color w:val="000000"/>
                <w:sz w:val="18"/>
                <w:szCs w:val="18"/>
              </w:rPr>
              <w:t>listed for mHSPC, revised financials estimates and parameters for a risk sharing arrangement (RSA) are provided. The PBAC noted the submission’s proposed listing was for darolutamide in combination with docetaxel and androgen deprivation therapy (ADT), i.e. triple therapy only. However, the PBAC considered that, in order to increase clinical choice, the PBS restriction for darolutamide should mirror that previously recommended for apalutamide and allow use as dual therapy in combination with ADT or as triple therapy in combination with docetaxel and ADT. The PBAC considered that darolutamide, in combination with docetaxel and ADT, provides a moderate clinical benefit for patients with mHSPC compared with docetaxel plus ADT. The PBAC advised that changes should be made to the economic model and that for darolutamide to be considered cost</w:t>
            </w:r>
            <w:r>
              <w:rPr>
                <w:rFonts w:ascii="Calibri" w:hAnsi="Calibri" w:cs="Calibri"/>
                <w:color w:val="000000"/>
                <w:sz w:val="18"/>
                <w:szCs w:val="18"/>
              </w:rPr>
              <w:t>-</w:t>
            </w:r>
            <w:r w:rsidRPr="003C7FA1">
              <w:rPr>
                <w:rFonts w:ascii="Calibri" w:hAnsi="Calibri" w:cs="Calibri"/>
                <w:color w:val="000000"/>
                <w:sz w:val="18"/>
                <w:szCs w:val="18"/>
              </w:rPr>
              <w:t>effective, the price should be reduced such that the incremental cost-effectiveness ratio</w:t>
            </w:r>
            <w:r>
              <w:rPr>
                <w:rFonts w:ascii="Calibri" w:hAnsi="Calibri" w:cs="Calibri"/>
                <w:color w:val="000000"/>
                <w:sz w:val="18"/>
                <w:szCs w:val="18"/>
              </w:rPr>
              <w:t xml:space="preserve"> </w:t>
            </w:r>
            <w:r w:rsidRPr="003C7FA1">
              <w:rPr>
                <w:rFonts w:ascii="Calibri" w:hAnsi="Calibri" w:cs="Calibri"/>
                <w:color w:val="000000"/>
                <w:sz w:val="18"/>
                <w:szCs w:val="18"/>
              </w:rPr>
              <w:t xml:space="preserve">is no more than </w:t>
            </w:r>
            <w:r>
              <w:rPr>
                <w:rFonts w:ascii="Calibri" w:hAnsi="Calibri" w:cs="Calibri"/>
                <w:color w:val="000000"/>
                <w:sz w:val="18"/>
                <w:szCs w:val="18"/>
              </w:rPr>
              <w:t xml:space="preserve">$35,000 to &lt; </w:t>
            </w:r>
            <w:r w:rsidRPr="003C7FA1">
              <w:rPr>
                <w:rFonts w:ascii="Calibri" w:hAnsi="Calibri" w:cs="Calibri"/>
                <w:color w:val="000000"/>
                <w:sz w:val="18"/>
                <w:szCs w:val="18"/>
              </w:rPr>
              <w:t>$45,000 per quality adjusted life year gained, which was consistent with previous PBAC recommendations for this condition. The PBAC considered that uncertainties in the utilisation estimates could be managed by</w:t>
            </w:r>
            <w:r>
              <w:rPr>
                <w:rFonts w:ascii="Calibri" w:hAnsi="Calibri" w:cs="Calibri"/>
                <w:color w:val="000000"/>
                <w:sz w:val="18"/>
                <w:szCs w:val="18"/>
              </w:rPr>
              <w:t xml:space="preserve"> an</w:t>
            </w:r>
            <w:r w:rsidRPr="003C7FA1">
              <w:rPr>
                <w:rFonts w:ascii="Calibri" w:hAnsi="Calibri" w:cs="Calibri"/>
                <w:color w:val="000000"/>
                <w:sz w:val="18"/>
                <w:szCs w:val="18"/>
              </w:rPr>
              <w:t xml:space="preserve"> RSA.</w:t>
            </w:r>
          </w:p>
          <w:p w14:paraId="6062D99E" w14:textId="77777777" w:rsidR="007411F0" w:rsidRPr="00E61469" w:rsidRDefault="007411F0" w:rsidP="007411F0">
            <w:pPr>
              <w:rPr>
                <w:rFonts w:ascii="Calibri" w:hAnsi="Calibri" w:cs="Calibri"/>
                <w:color w:val="000000"/>
                <w:sz w:val="18"/>
                <w:szCs w:val="18"/>
              </w:rPr>
            </w:pPr>
          </w:p>
          <w:p w14:paraId="4B4377BC" w14:textId="77777777" w:rsidR="007411F0" w:rsidRPr="007915B5" w:rsidRDefault="007411F0" w:rsidP="007411F0">
            <w:pPr>
              <w:rPr>
                <w:rFonts w:ascii="Calibri" w:hAnsi="Calibri" w:cs="Calibri"/>
                <w:color w:val="000000"/>
                <w:sz w:val="18"/>
                <w:szCs w:val="18"/>
                <w:u w:val="single"/>
              </w:rPr>
            </w:pPr>
            <w:r w:rsidRPr="007915B5">
              <w:rPr>
                <w:rFonts w:ascii="Calibri" w:hAnsi="Calibri" w:cs="Calibri"/>
                <w:color w:val="000000"/>
                <w:sz w:val="18"/>
                <w:szCs w:val="18"/>
                <w:u w:val="single"/>
              </w:rPr>
              <w:t xml:space="preserve">Sponsor’s Comment: </w:t>
            </w:r>
          </w:p>
          <w:p w14:paraId="7DFBA108" w14:textId="7655525E" w:rsidR="007411F0" w:rsidRPr="00D60E67" w:rsidRDefault="007411F0" w:rsidP="007411F0">
            <w:pPr>
              <w:pStyle w:val="ListParagraph"/>
              <w:keepLines/>
              <w:ind w:left="0"/>
              <w:rPr>
                <w:rFonts w:ascii="Arial" w:hAnsi="Arial" w:cs="Arial"/>
                <w:color w:val="000000"/>
              </w:rPr>
            </w:pPr>
            <w:r w:rsidRPr="009059E3">
              <w:rPr>
                <w:rFonts w:ascii="Calibri" w:hAnsi="Calibri" w:cs="Calibri"/>
                <w:color w:val="000000"/>
                <w:sz w:val="18"/>
                <w:szCs w:val="18"/>
              </w:rPr>
              <w:t>Bayer will continue to work with the PBAC’s deferral decision to enable earliest possible access to darolut</w:t>
            </w:r>
            <w:r>
              <w:rPr>
                <w:rFonts w:ascii="Calibri" w:hAnsi="Calibri" w:cs="Calibri"/>
                <w:color w:val="000000"/>
                <w:sz w:val="18"/>
                <w:szCs w:val="18"/>
              </w:rPr>
              <w:t>a</w:t>
            </w:r>
            <w:r w:rsidRPr="009059E3">
              <w:rPr>
                <w:rFonts w:ascii="Calibri" w:hAnsi="Calibri" w:cs="Calibri"/>
                <w:color w:val="000000"/>
                <w:sz w:val="18"/>
                <w:szCs w:val="18"/>
              </w:rPr>
              <w:t>mide for mHSPC patients.</w:t>
            </w:r>
          </w:p>
        </w:tc>
      </w:tr>
      <w:tr w:rsidR="007D090A" w:rsidRPr="00544497" w14:paraId="4E8916DE" w14:textId="77777777" w:rsidTr="0088248D">
        <w:trPr>
          <w:cantSplit/>
          <w:trHeight w:val="2948"/>
          <w:jc w:val="center"/>
        </w:trPr>
        <w:tc>
          <w:tcPr>
            <w:tcW w:w="3013" w:type="dxa"/>
            <w:shd w:val="clear" w:color="auto" w:fill="auto"/>
            <w:tcMar>
              <w:top w:w="28" w:type="dxa"/>
              <w:bottom w:w="28" w:type="dxa"/>
            </w:tcMar>
            <w:vAlign w:val="center"/>
          </w:tcPr>
          <w:p w14:paraId="025554DC" w14:textId="2CD91E0A" w:rsidR="007D090A" w:rsidRPr="00D60E67" w:rsidRDefault="007D090A" w:rsidP="007D090A">
            <w:pPr>
              <w:keepLines/>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lastRenderedPageBreak/>
              <w:t>DEUCRAVACITINIB</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Tablet 6 mg</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Sotyktu®</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BRISTOL-MYERS SQUIBB AUSTRALIA PTY LTD</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Category 1 submission</w:t>
            </w:r>
            <w:r w:rsidRPr="00D60E67">
              <w:rPr>
                <w:rFonts w:asciiTheme="minorHAnsi" w:hAnsiTheme="minorHAnsi" w:cstheme="minorHAnsi"/>
                <w:color w:val="000000"/>
                <w:sz w:val="18"/>
                <w:szCs w:val="18"/>
              </w:rPr>
              <w:br/>
              <w:t>(New PBS listing)</w:t>
            </w:r>
          </w:p>
        </w:tc>
        <w:tc>
          <w:tcPr>
            <w:tcW w:w="2764" w:type="dxa"/>
            <w:shd w:val="clear" w:color="auto" w:fill="auto"/>
            <w:vAlign w:val="center"/>
          </w:tcPr>
          <w:p w14:paraId="1EA52044" w14:textId="20623DD3" w:rsidR="007D090A" w:rsidRPr="00D60E67" w:rsidRDefault="007D090A" w:rsidP="007D090A">
            <w:pPr>
              <w:keepLines/>
              <w:widowControl w:val="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Plaque psoriasis</w:t>
            </w:r>
          </w:p>
        </w:tc>
        <w:tc>
          <w:tcPr>
            <w:tcW w:w="3288" w:type="dxa"/>
            <w:shd w:val="clear" w:color="auto" w:fill="auto"/>
            <w:tcMar>
              <w:top w:w="28" w:type="dxa"/>
              <w:bottom w:w="28" w:type="dxa"/>
            </w:tcMar>
            <w:vAlign w:val="center"/>
          </w:tcPr>
          <w:p w14:paraId="3FD387DA" w14:textId="224531EF" w:rsidR="007D090A" w:rsidRPr="00D60E67" w:rsidRDefault="007D090A" w:rsidP="007D090A">
            <w:pPr>
              <w:pStyle w:val="ListParagraph"/>
              <w:keepLines/>
              <w:ind w:left="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To request a General Schedule Authority Required (STREAMLINED) listing for the treatment of severe chronic plaque psoriasis, in patients who have not responded to, or have a contraindication or demonstrated intolerance to methotrexate.</w:t>
            </w:r>
          </w:p>
        </w:tc>
        <w:tc>
          <w:tcPr>
            <w:tcW w:w="1987" w:type="dxa"/>
            <w:shd w:val="clear" w:color="auto" w:fill="auto"/>
            <w:vAlign w:val="center"/>
          </w:tcPr>
          <w:p w14:paraId="310F9B0D" w14:textId="0A0E9E49" w:rsidR="007D090A" w:rsidRPr="00D60E67" w:rsidRDefault="007D090A" w:rsidP="007D090A">
            <w:pPr>
              <w:pStyle w:val="ListParagraph"/>
              <w:keepLines/>
              <w:ind w:left="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Deferred</w:t>
            </w:r>
          </w:p>
        </w:tc>
        <w:tc>
          <w:tcPr>
            <w:tcW w:w="4336" w:type="dxa"/>
            <w:shd w:val="clear" w:color="auto" w:fill="auto"/>
            <w:vAlign w:val="center"/>
          </w:tcPr>
          <w:p w14:paraId="51F9B370" w14:textId="7D423968" w:rsidR="007D090A" w:rsidRPr="0088248D" w:rsidRDefault="009D7591" w:rsidP="007D090A">
            <w:pPr>
              <w:keepLines/>
              <w:rPr>
                <w:rFonts w:asciiTheme="minorHAnsi" w:hAnsiTheme="minorHAnsi" w:cstheme="minorHAnsi"/>
                <w:color w:val="000000"/>
                <w:sz w:val="18"/>
                <w:szCs w:val="18"/>
              </w:rPr>
            </w:pPr>
            <w:r w:rsidRPr="0088248D">
              <w:rPr>
                <w:rFonts w:asciiTheme="minorHAnsi" w:hAnsiTheme="minorHAnsi" w:cstheme="minorHAnsi"/>
                <w:color w:val="000000"/>
                <w:sz w:val="18"/>
                <w:szCs w:val="18"/>
              </w:rPr>
              <w:t>The PBAC deferred making a recommendation for the listing of deucravacitinib for the treatment of severe chronic plaque psoriasis, to seek additional expert clinical advice on its appropriate and likely place in therapy. In deferring the matter, the PBAC was uncertain as to whether the proposed clinical place of deucravacitinib, in the same line of therapy as apremilast, i.e. non- or inadequate response/intolerance/contraindication to methotrexate, but prior to treatment with biologics was reflective of its appropriate use in practice, and whether there was potentially a substantial overlap with the population eligible for biologics. The PBAC requested further dermatology expert clinical advice to resolve this uncertainty, as the cost-effectiveness proposition of deucravacitinib was dependent on the likely place in therapy and most appropriate comparator selection.</w:t>
            </w:r>
          </w:p>
          <w:p w14:paraId="70A14FC7" w14:textId="77777777" w:rsidR="009D7591" w:rsidRPr="00D60E67" w:rsidRDefault="009D7591" w:rsidP="007D090A">
            <w:pPr>
              <w:keepLines/>
              <w:rPr>
                <w:rFonts w:asciiTheme="minorHAnsi" w:hAnsiTheme="minorHAnsi" w:cstheme="minorHAnsi"/>
                <w:color w:val="000000"/>
                <w:sz w:val="18"/>
                <w:szCs w:val="18"/>
                <w:u w:val="single"/>
              </w:rPr>
            </w:pPr>
          </w:p>
          <w:p w14:paraId="51CD0225" w14:textId="77777777" w:rsidR="007D090A" w:rsidRDefault="007D090A" w:rsidP="007D090A">
            <w:pPr>
              <w:pStyle w:val="ListParagraph"/>
              <w:keepLines/>
              <w:ind w:left="0"/>
              <w:rPr>
                <w:rFonts w:asciiTheme="minorHAnsi" w:hAnsiTheme="minorHAnsi" w:cstheme="minorHAnsi"/>
                <w:color w:val="000000"/>
                <w:sz w:val="18"/>
                <w:szCs w:val="18"/>
                <w:u w:val="single"/>
              </w:rPr>
            </w:pPr>
            <w:r w:rsidRPr="00D60E67">
              <w:rPr>
                <w:rFonts w:asciiTheme="minorHAnsi" w:hAnsiTheme="minorHAnsi" w:cstheme="minorHAnsi"/>
                <w:color w:val="000000"/>
                <w:sz w:val="18"/>
                <w:szCs w:val="18"/>
                <w:u w:val="single"/>
              </w:rPr>
              <w:t>Sponsor’s Comment:</w:t>
            </w:r>
          </w:p>
          <w:p w14:paraId="3EBC07EE" w14:textId="366F524B" w:rsidR="00990FEA" w:rsidRPr="00D60E67" w:rsidRDefault="00990FEA" w:rsidP="007D090A">
            <w:pPr>
              <w:pStyle w:val="ListParagraph"/>
              <w:keepLines/>
              <w:ind w:left="0"/>
              <w:rPr>
                <w:rFonts w:asciiTheme="minorHAnsi" w:hAnsiTheme="minorHAnsi" w:cstheme="minorHAnsi"/>
                <w:color w:val="000000"/>
                <w:sz w:val="18"/>
                <w:szCs w:val="18"/>
                <w:highlight w:val="yellow"/>
              </w:rPr>
            </w:pPr>
            <w:r w:rsidRPr="00990FEA">
              <w:rPr>
                <w:rFonts w:asciiTheme="minorHAnsi" w:hAnsiTheme="minorHAnsi" w:cstheme="minorHAnsi"/>
                <w:color w:val="000000"/>
                <w:sz w:val="18"/>
                <w:szCs w:val="18"/>
              </w:rPr>
              <w:t>The Sponsor is committed to working with the PBAC to bring deucravacitinib for the treatment of chronic plaque psoriasis to Australian patients in a timely manner.</w:t>
            </w:r>
          </w:p>
        </w:tc>
      </w:tr>
      <w:tr w:rsidR="007D090A" w:rsidRPr="00544497" w14:paraId="39A1B111" w14:textId="77777777" w:rsidTr="0088248D">
        <w:trPr>
          <w:cantSplit/>
          <w:trHeight w:val="2948"/>
          <w:jc w:val="center"/>
        </w:trPr>
        <w:tc>
          <w:tcPr>
            <w:tcW w:w="3013" w:type="dxa"/>
            <w:shd w:val="clear" w:color="auto" w:fill="auto"/>
            <w:tcMar>
              <w:top w:w="28" w:type="dxa"/>
              <w:bottom w:w="28" w:type="dxa"/>
            </w:tcMar>
            <w:vAlign w:val="center"/>
          </w:tcPr>
          <w:p w14:paraId="7D1778DF" w14:textId="185E6303" w:rsidR="007D090A" w:rsidRPr="00D60E67" w:rsidRDefault="007D090A" w:rsidP="007D090A">
            <w:pPr>
              <w:keepLines/>
              <w:jc w:val="center"/>
              <w:rPr>
                <w:rFonts w:asciiTheme="minorHAnsi" w:hAnsiTheme="minorHAnsi" w:cstheme="minorHAnsi"/>
                <w:sz w:val="18"/>
                <w:szCs w:val="18"/>
                <w:highlight w:val="yellow"/>
              </w:rPr>
            </w:pPr>
            <w:r w:rsidRPr="00D60E67">
              <w:rPr>
                <w:rFonts w:asciiTheme="minorHAnsi" w:hAnsiTheme="minorHAnsi" w:cstheme="minorHAnsi"/>
                <w:color w:val="000000"/>
                <w:sz w:val="18"/>
                <w:szCs w:val="18"/>
              </w:rPr>
              <w:lastRenderedPageBreak/>
              <w:t>DOSTARLIMAB</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Solution concentrate for I.V. infusion 500 mg in 10 mL</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Jemperli®</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GLAXOSMITHKLINE AUSTRALIA PTY LTD</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Standard re-entry submission</w:t>
            </w:r>
            <w:r w:rsidRPr="00D60E67">
              <w:rPr>
                <w:rFonts w:asciiTheme="minorHAnsi" w:hAnsiTheme="minorHAnsi" w:cstheme="minorHAnsi"/>
                <w:color w:val="000000"/>
                <w:sz w:val="18"/>
                <w:szCs w:val="18"/>
              </w:rPr>
              <w:br/>
              <w:t>(New PBS listing)</w:t>
            </w:r>
          </w:p>
        </w:tc>
        <w:tc>
          <w:tcPr>
            <w:tcW w:w="2764" w:type="dxa"/>
            <w:shd w:val="clear" w:color="auto" w:fill="auto"/>
            <w:vAlign w:val="center"/>
          </w:tcPr>
          <w:p w14:paraId="08850311" w14:textId="1318E8B0" w:rsidR="007D090A" w:rsidRPr="00D60E67" w:rsidRDefault="007D090A" w:rsidP="007D090A">
            <w:pPr>
              <w:keepLines/>
              <w:widowControl w:val="0"/>
              <w:jc w:val="center"/>
              <w:rPr>
                <w:rFonts w:asciiTheme="minorHAnsi" w:hAnsiTheme="minorHAnsi" w:cstheme="minorHAnsi"/>
                <w:snapToGrid w:val="0"/>
                <w:sz w:val="18"/>
                <w:szCs w:val="18"/>
                <w:lang w:eastAsia="en-US"/>
              </w:rPr>
            </w:pPr>
            <w:r w:rsidRPr="00D60E67">
              <w:rPr>
                <w:rFonts w:asciiTheme="minorHAnsi" w:hAnsiTheme="minorHAnsi" w:cstheme="minorHAnsi"/>
                <w:color w:val="000000"/>
                <w:sz w:val="18"/>
                <w:szCs w:val="18"/>
              </w:rPr>
              <w:t>Endometrial cancer</w:t>
            </w:r>
          </w:p>
        </w:tc>
        <w:tc>
          <w:tcPr>
            <w:tcW w:w="3288" w:type="dxa"/>
            <w:shd w:val="clear" w:color="auto" w:fill="auto"/>
            <w:tcMar>
              <w:top w:w="28" w:type="dxa"/>
              <w:bottom w:w="28" w:type="dxa"/>
            </w:tcMar>
            <w:vAlign w:val="center"/>
          </w:tcPr>
          <w:p w14:paraId="71D366FC" w14:textId="49CCD497" w:rsidR="007D090A" w:rsidRPr="00D60E67" w:rsidRDefault="007D090A" w:rsidP="007D090A">
            <w:pPr>
              <w:pStyle w:val="ListParagraph"/>
              <w:keepLines/>
              <w:ind w:left="0"/>
              <w:jc w:val="center"/>
              <w:rPr>
                <w:rFonts w:asciiTheme="minorHAnsi" w:hAnsiTheme="minorHAnsi" w:cstheme="minorHAnsi"/>
                <w:snapToGrid w:val="0"/>
                <w:sz w:val="18"/>
                <w:szCs w:val="18"/>
                <w:highlight w:val="yellow"/>
                <w:lang w:eastAsia="en-US"/>
              </w:rPr>
            </w:pPr>
            <w:bookmarkStart w:id="0" w:name="RANGE!E13"/>
            <w:r w:rsidRPr="00D60E67">
              <w:rPr>
                <w:rFonts w:asciiTheme="minorHAnsi" w:hAnsiTheme="minorHAnsi" w:cstheme="minorHAnsi"/>
                <w:color w:val="000000"/>
                <w:sz w:val="18"/>
                <w:szCs w:val="18"/>
              </w:rPr>
              <w:t>Resubmission to request a Section 100 (Efficient Funding of Chemotherapy Program) Authority Required (STREAMLINED) listing for the treatment of recurrent or advanced mismatch repair deficient</w:t>
            </w:r>
            <w:r w:rsidR="00B214E4">
              <w:rPr>
                <w:rFonts w:asciiTheme="minorHAnsi" w:hAnsiTheme="minorHAnsi" w:cstheme="minorHAnsi"/>
                <w:color w:val="000000"/>
                <w:sz w:val="18"/>
                <w:szCs w:val="18"/>
              </w:rPr>
              <w:t xml:space="preserve"> (dMMR)</w:t>
            </w:r>
            <w:r w:rsidRPr="00D60E67">
              <w:rPr>
                <w:rFonts w:asciiTheme="minorHAnsi" w:hAnsiTheme="minorHAnsi" w:cstheme="minorHAnsi"/>
                <w:color w:val="000000"/>
                <w:sz w:val="18"/>
                <w:szCs w:val="18"/>
              </w:rPr>
              <w:t xml:space="preserve"> endometrial cancer that has progressed on or following prior treatment with a platinum-containing regimen.</w:t>
            </w:r>
            <w:bookmarkEnd w:id="0"/>
          </w:p>
        </w:tc>
        <w:tc>
          <w:tcPr>
            <w:tcW w:w="1987" w:type="dxa"/>
            <w:shd w:val="clear" w:color="auto" w:fill="auto"/>
            <w:vAlign w:val="center"/>
          </w:tcPr>
          <w:p w14:paraId="5622BA25" w14:textId="0C59D4C0" w:rsidR="007D090A" w:rsidRPr="00D60E67" w:rsidRDefault="007D090A" w:rsidP="007D090A">
            <w:pPr>
              <w:pStyle w:val="ListParagraph"/>
              <w:keepLines/>
              <w:ind w:left="0"/>
              <w:jc w:val="center"/>
              <w:rPr>
                <w:rFonts w:asciiTheme="minorHAnsi" w:hAnsiTheme="minorHAnsi" w:cstheme="minorHAnsi"/>
                <w:snapToGrid w:val="0"/>
                <w:sz w:val="18"/>
                <w:szCs w:val="18"/>
                <w:highlight w:val="yellow"/>
                <w:lang w:eastAsia="en-US"/>
              </w:rPr>
            </w:pPr>
            <w:r w:rsidRPr="00D60E67">
              <w:rPr>
                <w:rFonts w:asciiTheme="minorHAnsi" w:hAnsiTheme="minorHAnsi" w:cstheme="minorHAnsi"/>
                <w:color w:val="000000"/>
                <w:sz w:val="18"/>
                <w:szCs w:val="18"/>
              </w:rPr>
              <w:t>Not Recommended</w:t>
            </w:r>
          </w:p>
        </w:tc>
        <w:tc>
          <w:tcPr>
            <w:tcW w:w="4336" w:type="dxa"/>
            <w:shd w:val="clear" w:color="auto" w:fill="auto"/>
            <w:vAlign w:val="center"/>
          </w:tcPr>
          <w:p w14:paraId="7BFFB70B" w14:textId="694FA57C" w:rsidR="007D090A" w:rsidRDefault="00C11990" w:rsidP="007D090A">
            <w:pPr>
              <w:keepLines/>
              <w:rPr>
                <w:rFonts w:asciiTheme="minorHAnsi" w:hAnsiTheme="minorHAnsi" w:cstheme="minorHAnsi"/>
                <w:sz w:val="18"/>
                <w:szCs w:val="18"/>
              </w:rPr>
            </w:pPr>
            <w:r w:rsidRPr="0088248D">
              <w:rPr>
                <w:rFonts w:asciiTheme="minorHAnsi" w:hAnsiTheme="minorHAnsi" w:cstheme="minorHAnsi"/>
                <w:sz w:val="18"/>
                <w:szCs w:val="18"/>
              </w:rPr>
              <w:t>The resubmission requested a Section 100 listing for dostarlimab for the treatment of recurrent or advanced dMMR endometrial cancer that has progressed on or following prior treatment with a platinum-containing regimen.</w:t>
            </w:r>
          </w:p>
          <w:p w14:paraId="06FC90FE" w14:textId="77777777" w:rsidR="0024736F" w:rsidRPr="0088248D" w:rsidRDefault="0024736F" w:rsidP="007D090A">
            <w:pPr>
              <w:keepLines/>
              <w:rPr>
                <w:rFonts w:asciiTheme="minorHAnsi" w:hAnsiTheme="minorHAnsi" w:cstheme="minorHAnsi"/>
                <w:sz w:val="18"/>
                <w:szCs w:val="18"/>
              </w:rPr>
            </w:pPr>
          </w:p>
          <w:p w14:paraId="76EE6239" w14:textId="294C17C8" w:rsidR="00C11990" w:rsidRDefault="00C11990" w:rsidP="00C11990">
            <w:pPr>
              <w:keepNext/>
              <w:keepLines/>
              <w:rPr>
                <w:rFonts w:asciiTheme="minorHAnsi" w:hAnsiTheme="minorHAnsi" w:cstheme="minorHAnsi"/>
                <w:sz w:val="18"/>
                <w:szCs w:val="18"/>
              </w:rPr>
            </w:pPr>
            <w:r w:rsidRPr="0024736F">
              <w:rPr>
                <w:rFonts w:asciiTheme="minorHAnsi" w:hAnsiTheme="minorHAnsi" w:cstheme="minorHAnsi"/>
                <w:sz w:val="18"/>
                <w:szCs w:val="18"/>
                <w:u w:val="single"/>
              </w:rPr>
              <w:t>Comparator:</w:t>
            </w:r>
            <w:r w:rsidRPr="0088248D">
              <w:rPr>
                <w:rFonts w:asciiTheme="minorHAnsi" w:hAnsiTheme="minorHAnsi" w:cstheme="minorHAnsi"/>
                <w:sz w:val="18"/>
                <w:szCs w:val="18"/>
              </w:rPr>
              <w:t xml:space="preserve"> Standard of care (SoC) comprising single-agent chemotherapy and platinum-based chemotherapy (PBC) was nominated as the main comparator. The resubmission also nominated pembrolizumab in combination with lenvatinib (PEM+LEN) and pembrolizumab monotherapy as near market comparators.</w:t>
            </w:r>
          </w:p>
          <w:p w14:paraId="67392B52" w14:textId="77777777" w:rsidR="00CD5D93" w:rsidRPr="0024736F" w:rsidRDefault="00CD5D93" w:rsidP="00C11990">
            <w:pPr>
              <w:keepNext/>
              <w:keepLines/>
              <w:rPr>
                <w:rFonts w:asciiTheme="minorHAnsi" w:hAnsiTheme="minorHAnsi" w:cstheme="minorHAnsi"/>
                <w:sz w:val="18"/>
                <w:szCs w:val="18"/>
              </w:rPr>
            </w:pPr>
          </w:p>
          <w:p w14:paraId="451BBE0A" w14:textId="173FD690" w:rsidR="00C11990" w:rsidRDefault="00C11990" w:rsidP="00C11990">
            <w:pPr>
              <w:rPr>
                <w:rFonts w:asciiTheme="minorHAnsi" w:hAnsiTheme="minorHAnsi" w:cstheme="minorHAnsi"/>
                <w:sz w:val="18"/>
                <w:szCs w:val="18"/>
              </w:rPr>
            </w:pPr>
            <w:r w:rsidRPr="0088248D">
              <w:rPr>
                <w:rFonts w:asciiTheme="minorHAnsi" w:hAnsiTheme="minorHAnsi" w:cstheme="minorHAnsi"/>
                <w:sz w:val="18"/>
                <w:szCs w:val="18"/>
              </w:rPr>
              <w:t xml:space="preserve">The PBAC considered that SoC comprising single-agent chemotherapy and PBC was appropriate as the main comparator. </w:t>
            </w:r>
          </w:p>
          <w:p w14:paraId="071709C3" w14:textId="77777777" w:rsidR="00CD5D93" w:rsidRPr="0088248D" w:rsidRDefault="00CD5D93" w:rsidP="00C11990">
            <w:pPr>
              <w:rPr>
                <w:rFonts w:asciiTheme="minorHAnsi" w:hAnsiTheme="minorHAnsi" w:cstheme="minorHAnsi"/>
                <w:sz w:val="18"/>
                <w:szCs w:val="18"/>
              </w:rPr>
            </w:pPr>
          </w:p>
          <w:p w14:paraId="323B2C67" w14:textId="2F8C80DB" w:rsidR="00C11990" w:rsidRDefault="00C11990" w:rsidP="00C11990">
            <w:pPr>
              <w:keepNext/>
              <w:keepLines/>
              <w:rPr>
                <w:rFonts w:asciiTheme="minorHAnsi" w:hAnsiTheme="minorHAnsi" w:cstheme="minorHAnsi"/>
                <w:sz w:val="18"/>
                <w:szCs w:val="18"/>
              </w:rPr>
            </w:pPr>
            <w:r w:rsidRPr="0088248D">
              <w:rPr>
                <w:rFonts w:asciiTheme="minorHAnsi" w:hAnsiTheme="minorHAnsi" w:cstheme="minorHAnsi"/>
                <w:sz w:val="18"/>
                <w:szCs w:val="18"/>
              </w:rPr>
              <w:t>The PBAC considered PEM+LEN was an appropriate near-market comparator, but noted it was not PBS-listed at the time of PBAC consideration</w:t>
            </w:r>
          </w:p>
          <w:p w14:paraId="6782C5EC" w14:textId="77777777" w:rsidR="0024736F" w:rsidRPr="0024736F" w:rsidRDefault="0024736F" w:rsidP="00C11990">
            <w:pPr>
              <w:keepNext/>
              <w:keepLines/>
              <w:rPr>
                <w:rFonts w:asciiTheme="minorHAnsi" w:hAnsiTheme="minorHAnsi" w:cstheme="minorHAnsi"/>
                <w:color w:val="000000"/>
                <w:sz w:val="18"/>
                <w:szCs w:val="18"/>
              </w:rPr>
            </w:pPr>
          </w:p>
          <w:p w14:paraId="07F5737D" w14:textId="204B34A1" w:rsidR="00CD5D93" w:rsidRPr="00503C6D" w:rsidRDefault="00C11990" w:rsidP="00503C6D">
            <w:pPr>
              <w:keepNext/>
              <w:keepLines/>
              <w:rPr>
                <w:rFonts w:asciiTheme="minorHAnsi" w:hAnsiTheme="minorHAnsi" w:cstheme="minorHAnsi"/>
                <w:sz w:val="18"/>
                <w:szCs w:val="18"/>
                <w:u w:val="single"/>
              </w:rPr>
            </w:pPr>
            <w:r w:rsidRPr="0024736F">
              <w:rPr>
                <w:rFonts w:asciiTheme="minorHAnsi" w:hAnsiTheme="minorHAnsi" w:cstheme="minorHAnsi"/>
                <w:sz w:val="18"/>
                <w:szCs w:val="18"/>
                <w:u w:val="single"/>
              </w:rPr>
              <w:t>Clinical claim:</w:t>
            </w:r>
            <w:r w:rsidRPr="0088248D">
              <w:rPr>
                <w:rFonts w:asciiTheme="minorHAnsi" w:hAnsiTheme="minorHAnsi" w:cstheme="minorHAnsi"/>
                <w:sz w:val="18"/>
                <w:szCs w:val="18"/>
              </w:rPr>
              <w:t xml:space="preserve"> Superior efficacy and non-inferior safety compared to SoC</w:t>
            </w:r>
            <w:r w:rsidR="0024736F">
              <w:rPr>
                <w:rFonts w:asciiTheme="minorHAnsi" w:hAnsiTheme="minorHAnsi" w:cstheme="minorHAnsi"/>
                <w:sz w:val="18"/>
                <w:szCs w:val="18"/>
              </w:rPr>
              <w:t>.</w:t>
            </w:r>
          </w:p>
          <w:p w14:paraId="4D541F27" w14:textId="363AC71D" w:rsidR="00C11990" w:rsidRPr="0088248D" w:rsidRDefault="00C11990" w:rsidP="0088248D">
            <w:pPr>
              <w:widowControl w:val="0"/>
              <w:rPr>
                <w:rFonts w:asciiTheme="minorHAnsi" w:hAnsiTheme="minorHAnsi" w:cstheme="minorHAnsi"/>
                <w:snapToGrid w:val="0"/>
                <w:sz w:val="18"/>
                <w:szCs w:val="18"/>
              </w:rPr>
            </w:pPr>
            <w:r w:rsidRPr="0088248D">
              <w:rPr>
                <w:rFonts w:asciiTheme="minorHAnsi" w:hAnsiTheme="minorHAnsi" w:cstheme="minorHAnsi"/>
                <w:sz w:val="18"/>
                <w:szCs w:val="18"/>
              </w:rPr>
              <w:t>The PBAC considered that the claim of superior comparative effectiveness versus SoC was reasonable, but the magnitude of the incremental benefit versus SoC was unable to be reliably estimated. The PBAC considered that the claim of non-inferior comparative safety versus SoC was reasonable.</w:t>
            </w:r>
          </w:p>
          <w:p w14:paraId="4BEB9F53" w14:textId="77777777" w:rsidR="00CD5D93" w:rsidRDefault="00CD5D93" w:rsidP="00C11990">
            <w:pPr>
              <w:rPr>
                <w:rFonts w:asciiTheme="minorHAnsi" w:hAnsiTheme="minorHAnsi" w:cstheme="minorHAnsi"/>
                <w:sz w:val="18"/>
                <w:szCs w:val="18"/>
              </w:rPr>
            </w:pPr>
          </w:p>
          <w:p w14:paraId="2B7CB9C2" w14:textId="1C4CDDF4" w:rsidR="0024736F" w:rsidRDefault="00C11990" w:rsidP="00C11990">
            <w:pPr>
              <w:rPr>
                <w:rFonts w:asciiTheme="minorHAnsi" w:hAnsiTheme="minorHAnsi" w:cstheme="minorHAnsi"/>
                <w:sz w:val="18"/>
                <w:szCs w:val="18"/>
              </w:rPr>
            </w:pPr>
            <w:r w:rsidRPr="0088248D">
              <w:rPr>
                <w:rFonts w:asciiTheme="minorHAnsi" w:hAnsiTheme="minorHAnsi" w:cstheme="minorHAnsi"/>
                <w:sz w:val="18"/>
                <w:szCs w:val="18"/>
              </w:rPr>
              <w:t>Non-inferior comparative effectiveness and superior safety compared with PEM+LEN.</w:t>
            </w:r>
          </w:p>
          <w:p w14:paraId="00176366" w14:textId="77777777" w:rsidR="00CD5D93" w:rsidRDefault="00CD5D93">
            <w:pPr>
              <w:rPr>
                <w:rFonts w:asciiTheme="minorHAnsi" w:hAnsiTheme="minorHAnsi" w:cstheme="minorHAnsi"/>
                <w:sz w:val="18"/>
                <w:szCs w:val="18"/>
              </w:rPr>
            </w:pPr>
          </w:p>
          <w:p w14:paraId="164BBA52" w14:textId="7AF2CDB3" w:rsidR="00C11990" w:rsidRPr="00503C6D" w:rsidRDefault="00C11990" w:rsidP="00503C6D">
            <w:pPr>
              <w:rPr>
                <w:rFonts w:asciiTheme="minorHAnsi" w:hAnsiTheme="minorHAnsi" w:cstheme="minorHAnsi"/>
                <w:sz w:val="18"/>
                <w:szCs w:val="18"/>
              </w:rPr>
            </w:pPr>
            <w:r w:rsidRPr="0088248D">
              <w:rPr>
                <w:rFonts w:asciiTheme="minorHAnsi" w:hAnsiTheme="minorHAnsi" w:cstheme="minorHAnsi"/>
                <w:sz w:val="18"/>
                <w:szCs w:val="18"/>
              </w:rPr>
              <w:t>The PBAC considered that the claim of non-inferior comparative effectiveness versus PEM+LEN was not adequately supported by the data given the high risk of bias in the comparison, and the immaturity of the overall survival data.</w:t>
            </w:r>
            <w:r w:rsidR="0024736F">
              <w:rPr>
                <w:rFonts w:asciiTheme="minorHAnsi" w:hAnsiTheme="minorHAnsi" w:cstheme="minorHAnsi"/>
                <w:sz w:val="18"/>
                <w:szCs w:val="18"/>
              </w:rPr>
              <w:t xml:space="preserve"> </w:t>
            </w:r>
            <w:r w:rsidRPr="0088248D">
              <w:rPr>
                <w:rFonts w:asciiTheme="minorHAnsi" w:hAnsiTheme="minorHAnsi" w:cstheme="minorHAnsi"/>
                <w:sz w:val="18"/>
                <w:szCs w:val="18"/>
              </w:rPr>
              <w:t xml:space="preserve">The PBAC considered that the </w:t>
            </w:r>
            <w:r w:rsidRPr="0088248D">
              <w:rPr>
                <w:rFonts w:asciiTheme="minorHAnsi" w:hAnsiTheme="minorHAnsi" w:cstheme="minorHAnsi"/>
                <w:sz w:val="18"/>
                <w:szCs w:val="18"/>
              </w:rPr>
              <w:lastRenderedPageBreak/>
              <w:t>claim of superior comparative safety versus PEM+LEN was likely to be reasonable.</w:t>
            </w:r>
          </w:p>
          <w:p w14:paraId="617543AE" w14:textId="77777777" w:rsidR="00CD5D93" w:rsidRDefault="00CD5D93" w:rsidP="00C11990">
            <w:pPr>
              <w:rPr>
                <w:rFonts w:asciiTheme="minorHAnsi" w:hAnsiTheme="minorHAnsi" w:cstheme="minorHAnsi"/>
                <w:sz w:val="18"/>
                <w:szCs w:val="18"/>
                <w:u w:val="single"/>
                <w:lang w:eastAsia="en-US"/>
              </w:rPr>
            </w:pPr>
          </w:p>
          <w:p w14:paraId="56451D3C" w14:textId="4FCA55D2" w:rsidR="00CD5D93" w:rsidRDefault="00C11990" w:rsidP="00C11990">
            <w:pPr>
              <w:rPr>
                <w:rFonts w:asciiTheme="minorHAnsi" w:hAnsiTheme="minorHAnsi" w:cstheme="minorHAnsi"/>
                <w:sz w:val="18"/>
                <w:szCs w:val="18"/>
              </w:rPr>
            </w:pPr>
            <w:r w:rsidRPr="0024736F">
              <w:rPr>
                <w:rFonts w:asciiTheme="minorHAnsi" w:hAnsiTheme="minorHAnsi" w:cstheme="minorHAnsi"/>
                <w:sz w:val="18"/>
                <w:szCs w:val="18"/>
                <w:u w:val="single"/>
                <w:lang w:eastAsia="en-US"/>
              </w:rPr>
              <w:t>Economic claim:</w:t>
            </w:r>
            <w:r w:rsidRPr="0088248D">
              <w:rPr>
                <w:rFonts w:asciiTheme="minorHAnsi" w:hAnsiTheme="minorHAnsi" w:cstheme="minorHAnsi"/>
                <w:sz w:val="18"/>
                <w:szCs w:val="18"/>
                <w:lang w:eastAsia="en-US"/>
              </w:rPr>
              <w:t xml:space="preserve"> </w:t>
            </w:r>
            <w:r w:rsidR="0024736F">
              <w:rPr>
                <w:rFonts w:asciiTheme="minorHAnsi" w:hAnsiTheme="minorHAnsi" w:cstheme="minorHAnsi"/>
                <w:sz w:val="18"/>
                <w:szCs w:val="18"/>
              </w:rPr>
              <w:t>C</w:t>
            </w:r>
            <w:r w:rsidRPr="0088248D">
              <w:rPr>
                <w:rFonts w:asciiTheme="minorHAnsi" w:hAnsiTheme="minorHAnsi" w:cstheme="minorHAnsi"/>
                <w:sz w:val="18"/>
                <w:szCs w:val="18"/>
              </w:rPr>
              <w:t>ost-utility analysis versus SoC.</w:t>
            </w:r>
          </w:p>
          <w:p w14:paraId="1FA44DD2" w14:textId="6AB253C8" w:rsidR="00C11990" w:rsidRPr="0088248D" w:rsidRDefault="00C11990" w:rsidP="00C11990">
            <w:pPr>
              <w:rPr>
                <w:rFonts w:asciiTheme="minorHAnsi" w:hAnsiTheme="minorHAnsi" w:cstheme="minorHAnsi"/>
                <w:sz w:val="18"/>
                <w:szCs w:val="18"/>
              </w:rPr>
            </w:pPr>
            <w:r w:rsidRPr="0088248D">
              <w:rPr>
                <w:rFonts w:asciiTheme="minorHAnsi" w:hAnsiTheme="minorHAnsi" w:cstheme="minorHAnsi"/>
                <w:sz w:val="18"/>
                <w:szCs w:val="18"/>
              </w:rPr>
              <w:t>The PBAC considered that the cost-effectiveness of dostarlimab versus SoC was unable to be reliably assessed due to the uncertain magnitude of benefit for dostarlimab, based on data from a relatively small single arm study.</w:t>
            </w:r>
          </w:p>
          <w:p w14:paraId="18238270" w14:textId="77777777" w:rsidR="00CD5D93" w:rsidRDefault="00CD5D93" w:rsidP="00C11990">
            <w:pPr>
              <w:keepNext/>
              <w:keepLines/>
              <w:rPr>
                <w:rFonts w:asciiTheme="minorHAnsi" w:hAnsiTheme="minorHAnsi" w:cstheme="minorHAnsi"/>
                <w:sz w:val="18"/>
                <w:szCs w:val="18"/>
              </w:rPr>
            </w:pPr>
          </w:p>
          <w:p w14:paraId="7237A105" w14:textId="54ADFD67" w:rsidR="00C11990" w:rsidRPr="0088248D" w:rsidRDefault="0024736F" w:rsidP="00C11990">
            <w:pPr>
              <w:keepNext/>
              <w:keepLines/>
              <w:rPr>
                <w:rFonts w:asciiTheme="minorHAnsi" w:hAnsiTheme="minorHAnsi" w:cstheme="minorHAnsi"/>
                <w:color w:val="000000"/>
                <w:sz w:val="18"/>
                <w:szCs w:val="18"/>
              </w:rPr>
            </w:pPr>
            <w:r>
              <w:rPr>
                <w:rFonts w:asciiTheme="minorHAnsi" w:hAnsiTheme="minorHAnsi" w:cstheme="minorHAnsi"/>
                <w:sz w:val="18"/>
                <w:szCs w:val="18"/>
              </w:rPr>
              <w:t>C</w:t>
            </w:r>
            <w:r w:rsidR="00C11990" w:rsidRPr="0088248D">
              <w:rPr>
                <w:rFonts w:asciiTheme="minorHAnsi" w:hAnsiTheme="minorHAnsi" w:cstheme="minorHAnsi"/>
                <w:sz w:val="18"/>
                <w:szCs w:val="18"/>
              </w:rPr>
              <w:t>ost-minimisation approach versus PEM+LEN.</w:t>
            </w:r>
          </w:p>
          <w:p w14:paraId="7BC73B4A" w14:textId="6BEBC077" w:rsidR="00C11990" w:rsidRDefault="00C11990" w:rsidP="007D090A">
            <w:pPr>
              <w:keepLines/>
              <w:rPr>
                <w:rFonts w:asciiTheme="minorHAnsi" w:hAnsiTheme="minorHAnsi" w:cstheme="minorHAnsi"/>
                <w:sz w:val="18"/>
                <w:szCs w:val="18"/>
              </w:rPr>
            </w:pPr>
            <w:r w:rsidRPr="0088248D">
              <w:rPr>
                <w:rFonts w:asciiTheme="minorHAnsi" w:hAnsiTheme="minorHAnsi" w:cstheme="minorHAnsi"/>
                <w:sz w:val="18"/>
                <w:szCs w:val="18"/>
              </w:rPr>
              <w:t>The PBAC considered that the cost-minimisation approach versus PEM+LEN was not informative as non-inferiority had not been adequately established.</w:t>
            </w:r>
          </w:p>
          <w:p w14:paraId="4E437CB5" w14:textId="77777777" w:rsidR="00C078C1" w:rsidRPr="0024736F" w:rsidRDefault="00C078C1" w:rsidP="007D090A">
            <w:pPr>
              <w:keepLines/>
              <w:rPr>
                <w:rFonts w:asciiTheme="minorHAnsi" w:hAnsiTheme="minorHAnsi" w:cstheme="minorHAnsi"/>
                <w:color w:val="000000"/>
                <w:sz w:val="18"/>
                <w:szCs w:val="18"/>
                <w:u w:val="single"/>
              </w:rPr>
            </w:pPr>
          </w:p>
          <w:p w14:paraId="1EBF22E8" w14:textId="77777777" w:rsidR="00D96248" w:rsidRDefault="007D090A" w:rsidP="007D090A">
            <w:pPr>
              <w:pStyle w:val="ListParagraph"/>
              <w:keepLines/>
              <w:ind w:left="0"/>
              <w:rPr>
                <w:rFonts w:asciiTheme="minorHAnsi" w:hAnsiTheme="minorHAnsi" w:cstheme="minorHAnsi"/>
                <w:color w:val="000000"/>
                <w:sz w:val="18"/>
                <w:szCs w:val="18"/>
                <w:u w:val="single"/>
              </w:rPr>
            </w:pPr>
            <w:r w:rsidRPr="0024736F">
              <w:rPr>
                <w:rFonts w:asciiTheme="minorHAnsi" w:hAnsiTheme="minorHAnsi" w:cstheme="minorHAnsi"/>
                <w:color w:val="000000"/>
                <w:sz w:val="18"/>
                <w:szCs w:val="18"/>
                <w:u w:val="single"/>
              </w:rPr>
              <w:t>Sponsor’s Comment:</w:t>
            </w:r>
          </w:p>
          <w:p w14:paraId="0D4C0D2A" w14:textId="60A11568" w:rsidR="007D090A" w:rsidRPr="00D60E67" w:rsidRDefault="00D96248" w:rsidP="007D090A">
            <w:pPr>
              <w:pStyle w:val="ListParagraph"/>
              <w:keepLines/>
              <w:ind w:left="0"/>
              <w:rPr>
                <w:rFonts w:asciiTheme="minorHAnsi" w:hAnsiTheme="minorHAnsi" w:cstheme="minorHAnsi"/>
                <w:color w:val="000000"/>
                <w:sz w:val="18"/>
                <w:szCs w:val="18"/>
              </w:rPr>
            </w:pPr>
            <w:r>
              <w:rPr>
                <w:rFonts w:asciiTheme="minorHAnsi" w:hAnsiTheme="minorHAnsi" w:cstheme="minorHAnsi"/>
                <w:color w:val="000000"/>
                <w:sz w:val="18"/>
                <w:szCs w:val="18"/>
              </w:rPr>
              <w:t>The sponsor had no comment.</w:t>
            </w:r>
          </w:p>
        </w:tc>
      </w:tr>
      <w:tr w:rsidR="007D090A" w:rsidRPr="00544497" w14:paraId="56ACE188" w14:textId="77777777" w:rsidTr="0088248D">
        <w:trPr>
          <w:cantSplit/>
          <w:trHeight w:val="2948"/>
          <w:jc w:val="center"/>
        </w:trPr>
        <w:tc>
          <w:tcPr>
            <w:tcW w:w="3013" w:type="dxa"/>
            <w:shd w:val="clear" w:color="auto" w:fill="auto"/>
            <w:tcMar>
              <w:top w:w="28" w:type="dxa"/>
              <w:bottom w:w="28" w:type="dxa"/>
            </w:tcMar>
            <w:vAlign w:val="center"/>
          </w:tcPr>
          <w:p w14:paraId="48E36446" w14:textId="31145F79" w:rsidR="007D090A" w:rsidRPr="0004257E" w:rsidRDefault="007D090A" w:rsidP="007D090A">
            <w:pPr>
              <w:keepLines/>
              <w:jc w:val="center"/>
              <w:rPr>
                <w:rFonts w:asciiTheme="minorHAnsi" w:hAnsiTheme="minorHAnsi" w:cstheme="minorHAnsi"/>
                <w:color w:val="000000"/>
                <w:sz w:val="18"/>
                <w:szCs w:val="18"/>
              </w:rPr>
            </w:pPr>
            <w:r w:rsidRPr="0004257E">
              <w:rPr>
                <w:rFonts w:asciiTheme="minorHAnsi" w:hAnsiTheme="minorHAnsi" w:cstheme="minorHAnsi"/>
                <w:color w:val="000000"/>
                <w:sz w:val="18"/>
                <w:szCs w:val="18"/>
              </w:rPr>
              <w:lastRenderedPageBreak/>
              <w:t>DUPILUMAB</w:t>
            </w:r>
            <w:r w:rsidRPr="0004257E">
              <w:rPr>
                <w:rFonts w:asciiTheme="minorHAnsi" w:hAnsiTheme="minorHAnsi" w:cstheme="minorHAnsi"/>
                <w:color w:val="000000"/>
                <w:sz w:val="18"/>
                <w:szCs w:val="18"/>
              </w:rPr>
              <w:br/>
            </w:r>
            <w:r w:rsidRPr="0004257E">
              <w:rPr>
                <w:rFonts w:asciiTheme="minorHAnsi" w:hAnsiTheme="minorHAnsi" w:cstheme="minorHAnsi"/>
                <w:color w:val="000000"/>
                <w:sz w:val="18"/>
                <w:szCs w:val="18"/>
              </w:rPr>
              <w:br/>
              <w:t xml:space="preserve">Injection 300 mg in 2 mL single dose autoinjector </w:t>
            </w:r>
            <w:r w:rsidRPr="0004257E">
              <w:rPr>
                <w:rFonts w:asciiTheme="minorHAnsi" w:hAnsiTheme="minorHAnsi" w:cstheme="minorHAnsi"/>
                <w:color w:val="000000"/>
                <w:sz w:val="18"/>
                <w:szCs w:val="18"/>
              </w:rPr>
              <w:br/>
              <w:t>Injection 200 mg in 1.14 mL single dose autoinjector</w:t>
            </w:r>
            <w:r w:rsidRPr="0004257E">
              <w:rPr>
                <w:rFonts w:asciiTheme="minorHAnsi" w:hAnsiTheme="minorHAnsi" w:cstheme="minorHAnsi"/>
                <w:color w:val="000000"/>
                <w:sz w:val="18"/>
                <w:szCs w:val="18"/>
              </w:rPr>
              <w:br/>
            </w:r>
            <w:r w:rsidRPr="0004257E">
              <w:rPr>
                <w:rFonts w:asciiTheme="minorHAnsi" w:hAnsiTheme="minorHAnsi" w:cstheme="minorHAnsi"/>
                <w:color w:val="000000"/>
                <w:sz w:val="18"/>
                <w:szCs w:val="18"/>
              </w:rPr>
              <w:br/>
              <w:t>Dupixent®</w:t>
            </w:r>
            <w:r w:rsidRPr="0004257E">
              <w:rPr>
                <w:rFonts w:asciiTheme="minorHAnsi" w:hAnsiTheme="minorHAnsi" w:cstheme="minorHAnsi"/>
                <w:color w:val="000000"/>
                <w:sz w:val="18"/>
                <w:szCs w:val="18"/>
              </w:rPr>
              <w:br/>
            </w:r>
            <w:r w:rsidRPr="0004257E">
              <w:rPr>
                <w:rFonts w:asciiTheme="minorHAnsi" w:hAnsiTheme="minorHAnsi" w:cstheme="minorHAnsi"/>
                <w:color w:val="000000"/>
                <w:sz w:val="18"/>
                <w:szCs w:val="18"/>
              </w:rPr>
              <w:br/>
              <w:t>SANOFI-AVENTIS AUSTRALIA PTY LTD</w:t>
            </w:r>
            <w:r w:rsidRPr="0004257E">
              <w:rPr>
                <w:rFonts w:asciiTheme="minorHAnsi" w:hAnsiTheme="minorHAnsi" w:cstheme="minorHAnsi"/>
                <w:color w:val="000000"/>
                <w:sz w:val="18"/>
                <w:szCs w:val="18"/>
              </w:rPr>
              <w:br/>
            </w:r>
            <w:r w:rsidRPr="0004257E">
              <w:rPr>
                <w:rFonts w:asciiTheme="minorHAnsi" w:hAnsiTheme="minorHAnsi" w:cstheme="minorHAnsi"/>
                <w:color w:val="000000"/>
                <w:sz w:val="18"/>
                <w:szCs w:val="18"/>
              </w:rPr>
              <w:br/>
              <w:t>Category 4 submission</w:t>
            </w:r>
            <w:r w:rsidRPr="0004257E">
              <w:rPr>
                <w:rFonts w:asciiTheme="minorHAnsi" w:hAnsiTheme="minorHAnsi" w:cstheme="minorHAnsi"/>
                <w:color w:val="000000"/>
                <w:sz w:val="18"/>
                <w:szCs w:val="18"/>
              </w:rPr>
              <w:br/>
              <w:t>(Change to PBS listing)</w:t>
            </w:r>
          </w:p>
        </w:tc>
        <w:tc>
          <w:tcPr>
            <w:tcW w:w="2764" w:type="dxa"/>
            <w:shd w:val="clear" w:color="auto" w:fill="auto"/>
            <w:vAlign w:val="center"/>
          </w:tcPr>
          <w:p w14:paraId="568AB622" w14:textId="759F749A" w:rsidR="007D090A" w:rsidRPr="0004257E" w:rsidRDefault="007D090A" w:rsidP="007D090A">
            <w:pPr>
              <w:keepLines/>
              <w:widowControl w:val="0"/>
              <w:jc w:val="center"/>
              <w:rPr>
                <w:rFonts w:asciiTheme="minorHAnsi" w:hAnsiTheme="minorHAnsi" w:cstheme="minorHAnsi"/>
                <w:color w:val="000000"/>
                <w:sz w:val="18"/>
                <w:szCs w:val="18"/>
              </w:rPr>
            </w:pPr>
            <w:r w:rsidRPr="0004257E">
              <w:rPr>
                <w:rFonts w:asciiTheme="minorHAnsi" w:hAnsiTheme="minorHAnsi" w:cstheme="minorHAnsi"/>
                <w:color w:val="000000"/>
                <w:sz w:val="18"/>
                <w:szCs w:val="18"/>
              </w:rPr>
              <w:t>Chronic severe atopic dermatitis Uncontrolled severe asthma</w:t>
            </w:r>
          </w:p>
        </w:tc>
        <w:tc>
          <w:tcPr>
            <w:tcW w:w="3288" w:type="dxa"/>
            <w:shd w:val="clear" w:color="auto" w:fill="auto"/>
            <w:tcMar>
              <w:top w:w="28" w:type="dxa"/>
              <w:bottom w:w="28" w:type="dxa"/>
            </w:tcMar>
            <w:vAlign w:val="center"/>
          </w:tcPr>
          <w:p w14:paraId="227A14FD" w14:textId="5BDAFD39" w:rsidR="007D090A" w:rsidRPr="0004257E" w:rsidRDefault="007D090A" w:rsidP="007D090A">
            <w:pPr>
              <w:pStyle w:val="ListParagraph"/>
              <w:keepLines/>
              <w:ind w:left="0"/>
              <w:jc w:val="center"/>
              <w:rPr>
                <w:rFonts w:asciiTheme="minorHAnsi" w:hAnsiTheme="minorHAnsi" w:cstheme="minorHAnsi"/>
                <w:color w:val="000000"/>
                <w:sz w:val="18"/>
                <w:szCs w:val="18"/>
              </w:rPr>
            </w:pPr>
            <w:r w:rsidRPr="0004257E">
              <w:rPr>
                <w:rFonts w:asciiTheme="minorHAnsi" w:hAnsiTheme="minorHAnsi" w:cstheme="minorHAnsi"/>
                <w:color w:val="000000"/>
                <w:sz w:val="18"/>
                <w:szCs w:val="18"/>
              </w:rPr>
              <w:t>To request a General Schedule Authority Required listing for chronic severe atopic dermatitis and a Section 100 (Highly Specialised Drugs Program) Authority Required listing for uncontrolled severe asthma of two new forms under the same conditions as the currently listed forms of dupilumab.</w:t>
            </w:r>
          </w:p>
        </w:tc>
        <w:tc>
          <w:tcPr>
            <w:tcW w:w="1987" w:type="dxa"/>
            <w:shd w:val="clear" w:color="auto" w:fill="auto"/>
            <w:vAlign w:val="center"/>
          </w:tcPr>
          <w:p w14:paraId="4083F132" w14:textId="71777610" w:rsidR="007D090A" w:rsidRPr="0004257E" w:rsidRDefault="007D090A" w:rsidP="007D090A">
            <w:pPr>
              <w:pStyle w:val="ListParagraph"/>
              <w:keepLines/>
              <w:ind w:left="0"/>
              <w:jc w:val="center"/>
              <w:rPr>
                <w:rFonts w:asciiTheme="minorHAnsi" w:hAnsiTheme="minorHAnsi" w:cstheme="minorHAnsi"/>
                <w:color w:val="000000"/>
                <w:sz w:val="18"/>
                <w:szCs w:val="18"/>
              </w:rPr>
            </w:pPr>
            <w:r w:rsidRPr="0004257E">
              <w:rPr>
                <w:rFonts w:asciiTheme="minorHAnsi" w:hAnsiTheme="minorHAnsi" w:cstheme="minorHAnsi"/>
                <w:color w:val="000000"/>
                <w:sz w:val="18"/>
                <w:szCs w:val="18"/>
              </w:rPr>
              <w:t>Recommended</w:t>
            </w:r>
          </w:p>
        </w:tc>
        <w:tc>
          <w:tcPr>
            <w:tcW w:w="4336" w:type="dxa"/>
            <w:shd w:val="clear" w:color="auto" w:fill="auto"/>
            <w:vAlign w:val="center"/>
          </w:tcPr>
          <w:p w14:paraId="20C8E95A" w14:textId="1A1309F7" w:rsidR="007D090A" w:rsidRPr="00D60E67" w:rsidRDefault="007D090A" w:rsidP="007D090A">
            <w:pPr>
              <w:pStyle w:val="ListParagraph"/>
              <w:keepLines/>
              <w:ind w:left="0"/>
              <w:rPr>
                <w:rFonts w:asciiTheme="minorHAnsi" w:hAnsiTheme="minorHAnsi" w:cstheme="minorHAnsi"/>
                <w:color w:val="000000"/>
                <w:sz w:val="18"/>
                <w:szCs w:val="18"/>
              </w:rPr>
            </w:pPr>
            <w:r w:rsidRPr="0004257E">
              <w:rPr>
                <w:rFonts w:asciiTheme="minorHAnsi" w:hAnsiTheme="minorHAnsi" w:cstheme="minorHAnsi"/>
                <w:color w:val="000000"/>
                <w:sz w:val="18"/>
                <w:szCs w:val="18"/>
              </w:rPr>
              <w:t xml:space="preserve">The PBAC recommended the listing of two new forms of dupilumab: 200 mg in 1.14 mL and 300 mg in </w:t>
            </w:r>
            <w:r w:rsidR="00D1643C" w:rsidRPr="0004257E">
              <w:rPr>
                <w:rFonts w:asciiTheme="minorHAnsi" w:hAnsiTheme="minorHAnsi" w:cstheme="minorHAnsi"/>
                <w:color w:val="000000"/>
                <w:sz w:val="18"/>
                <w:szCs w:val="18"/>
              </w:rPr>
              <w:t>2</w:t>
            </w:r>
            <w:r w:rsidR="00D1643C">
              <w:rPr>
                <w:rFonts w:asciiTheme="minorHAnsi" w:hAnsiTheme="minorHAnsi" w:cstheme="minorHAnsi"/>
                <w:color w:val="000000"/>
                <w:sz w:val="18"/>
                <w:szCs w:val="18"/>
              </w:rPr>
              <w:t> </w:t>
            </w:r>
            <w:r w:rsidRPr="00D60E67">
              <w:rPr>
                <w:rFonts w:asciiTheme="minorHAnsi" w:hAnsiTheme="minorHAnsi" w:cstheme="minorHAnsi"/>
                <w:color w:val="000000"/>
                <w:sz w:val="18"/>
                <w:szCs w:val="18"/>
              </w:rPr>
              <w:t>mL single dose autoinjector (AI) under the same circumstances as the currently listed dupilumab 200</w:t>
            </w:r>
            <w:r w:rsidR="00D1643C">
              <w:rPr>
                <w:rFonts w:asciiTheme="minorHAnsi" w:hAnsiTheme="minorHAnsi" w:cstheme="minorHAnsi"/>
                <w:color w:val="000000"/>
                <w:sz w:val="18"/>
                <w:szCs w:val="18"/>
              </w:rPr>
              <w:t> </w:t>
            </w:r>
            <w:r w:rsidRPr="0088248D">
              <w:rPr>
                <w:rFonts w:asciiTheme="minorHAnsi" w:hAnsiTheme="minorHAnsi" w:cstheme="minorHAnsi"/>
                <w:color w:val="000000"/>
                <w:sz w:val="18"/>
                <w:szCs w:val="18"/>
              </w:rPr>
              <w:t xml:space="preserve">mg in 1.14 mL and 300 mg in 2 mL single dose pre-filled syringe (PFS). The PBAC recommended the listing on a cost-minimisation basis compared to the relevant lowest-cost comparator. The PBAC noted that the submission had estimated the following equi-effective doses and considered that they were appropriate: </w:t>
            </w:r>
            <w:r w:rsidR="00D1643C" w:rsidRPr="0088248D">
              <w:rPr>
                <w:rFonts w:asciiTheme="minorHAnsi" w:hAnsiTheme="minorHAnsi" w:cstheme="minorHAnsi"/>
                <w:color w:val="000000"/>
                <w:sz w:val="18"/>
                <w:szCs w:val="18"/>
              </w:rPr>
              <w:t>200</w:t>
            </w:r>
            <w:r w:rsidR="00D1643C">
              <w:rPr>
                <w:rFonts w:asciiTheme="minorHAnsi" w:hAnsiTheme="minorHAnsi" w:cstheme="minorHAnsi"/>
                <w:color w:val="000000"/>
                <w:sz w:val="18"/>
                <w:szCs w:val="18"/>
              </w:rPr>
              <w:t> </w:t>
            </w:r>
            <w:r w:rsidRPr="00D60E67">
              <w:rPr>
                <w:rFonts w:asciiTheme="minorHAnsi" w:hAnsiTheme="minorHAnsi" w:cstheme="minorHAnsi"/>
                <w:color w:val="000000"/>
                <w:sz w:val="18"/>
                <w:szCs w:val="18"/>
              </w:rPr>
              <w:t>mg in 1.14 mL dupilumab AI = 200 mg in 1.14</w:t>
            </w:r>
            <w:r w:rsidR="00D1643C">
              <w:rPr>
                <w:rFonts w:asciiTheme="minorHAnsi" w:hAnsiTheme="minorHAnsi" w:cstheme="minorHAnsi"/>
                <w:color w:val="000000"/>
                <w:sz w:val="18"/>
                <w:szCs w:val="18"/>
              </w:rPr>
              <w:t> </w:t>
            </w:r>
            <w:r w:rsidRPr="0088248D">
              <w:rPr>
                <w:rFonts w:asciiTheme="minorHAnsi" w:hAnsiTheme="minorHAnsi" w:cstheme="minorHAnsi"/>
                <w:color w:val="000000"/>
                <w:sz w:val="18"/>
                <w:szCs w:val="18"/>
              </w:rPr>
              <w:t>mL dupilumab PFS; 300 mg in 2 mL dupilumab AI = 300</w:t>
            </w:r>
            <w:r w:rsidR="00D1643C">
              <w:rPr>
                <w:rFonts w:asciiTheme="minorHAnsi" w:hAnsiTheme="minorHAnsi" w:cstheme="minorHAnsi"/>
                <w:color w:val="000000"/>
                <w:sz w:val="18"/>
                <w:szCs w:val="18"/>
              </w:rPr>
              <w:t> </w:t>
            </w:r>
            <w:r w:rsidRPr="0088248D">
              <w:rPr>
                <w:rFonts w:asciiTheme="minorHAnsi" w:hAnsiTheme="minorHAnsi" w:cstheme="minorHAnsi"/>
                <w:color w:val="000000"/>
                <w:sz w:val="18"/>
                <w:szCs w:val="18"/>
              </w:rPr>
              <w:t>mg in 2 mL dupilumab PFS. The PBAC considered that, under Section 101(4AACD) of the</w:t>
            </w:r>
            <w:r w:rsidRPr="0004257E">
              <w:rPr>
                <w:rFonts w:asciiTheme="minorHAnsi" w:hAnsiTheme="minorHAnsi" w:cstheme="minorHAnsi"/>
                <w:i/>
                <w:iCs/>
                <w:color w:val="000000"/>
                <w:sz w:val="18"/>
                <w:szCs w:val="18"/>
              </w:rPr>
              <w:t xml:space="preserve"> National Health Act 1953</w:t>
            </w:r>
            <w:r w:rsidRPr="00D60E67">
              <w:rPr>
                <w:rFonts w:asciiTheme="minorHAnsi" w:hAnsiTheme="minorHAnsi" w:cstheme="minorHAnsi"/>
                <w:color w:val="000000"/>
                <w:sz w:val="18"/>
                <w:szCs w:val="18"/>
              </w:rPr>
              <w:t>, the AI and PFS forms of the same strength of dupilumab should be considered equivalent for the purposes of substitution (i.e., ‘a’-flagged to each other in the Schedule).</w:t>
            </w:r>
          </w:p>
        </w:tc>
      </w:tr>
      <w:tr w:rsidR="007D090A" w:rsidRPr="00544497" w14:paraId="26F1A4E1" w14:textId="77777777" w:rsidTr="0088248D">
        <w:trPr>
          <w:cantSplit/>
          <w:trHeight w:val="2948"/>
          <w:jc w:val="center"/>
        </w:trPr>
        <w:tc>
          <w:tcPr>
            <w:tcW w:w="3013" w:type="dxa"/>
            <w:shd w:val="clear" w:color="auto" w:fill="auto"/>
            <w:tcMar>
              <w:top w:w="28" w:type="dxa"/>
              <w:bottom w:w="28" w:type="dxa"/>
            </w:tcMar>
            <w:vAlign w:val="center"/>
          </w:tcPr>
          <w:p w14:paraId="0E736B06" w14:textId="5FCFA56B" w:rsidR="007D090A" w:rsidRPr="00D60E67" w:rsidRDefault="007D090A" w:rsidP="007D090A">
            <w:pPr>
              <w:keepLines/>
              <w:jc w:val="center"/>
              <w:rPr>
                <w:rFonts w:asciiTheme="minorHAnsi" w:hAnsiTheme="minorHAnsi" w:cstheme="minorHAnsi"/>
                <w:sz w:val="18"/>
                <w:szCs w:val="18"/>
                <w:highlight w:val="yellow"/>
              </w:rPr>
            </w:pPr>
            <w:r w:rsidRPr="00D60E67">
              <w:rPr>
                <w:rFonts w:asciiTheme="minorHAnsi" w:hAnsiTheme="minorHAnsi" w:cstheme="minorHAnsi"/>
                <w:color w:val="000000"/>
                <w:sz w:val="18"/>
                <w:szCs w:val="18"/>
              </w:rPr>
              <w:lastRenderedPageBreak/>
              <w:t>ELEXACAFTOR WITH TEZACAFTOR AND WITH IVACAFTOR, AND IVACAFTOR</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 xml:space="preserve">Pack containing 56 tablets elexacaftor 100 mg with tezacaftor 50 mg and with ivacaftor 75 mg and 28 tablets ivacaftor 150 mg </w:t>
            </w:r>
            <w:r w:rsidRPr="00D60E67">
              <w:rPr>
                <w:rFonts w:asciiTheme="minorHAnsi" w:hAnsiTheme="minorHAnsi" w:cstheme="minorHAnsi"/>
                <w:color w:val="000000"/>
                <w:sz w:val="18"/>
                <w:szCs w:val="18"/>
              </w:rPr>
              <w:br/>
              <w:t>Pack containing 56 tablets elexacaftor 50 mg with tezacaftor 25 mg and with ivacaftor 37.5 mg and 28 tablets ivacaftor 75 mg</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Trikafta®</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VERTEX PHARMACEUTICALS (AUSTRALIA) PTY. LTD.</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Category 2 submission</w:t>
            </w:r>
            <w:r w:rsidRPr="00D60E67">
              <w:rPr>
                <w:rFonts w:asciiTheme="minorHAnsi" w:hAnsiTheme="minorHAnsi" w:cstheme="minorHAnsi"/>
                <w:color w:val="000000"/>
                <w:sz w:val="18"/>
                <w:szCs w:val="18"/>
              </w:rPr>
              <w:br/>
              <w:t>(New PBS listing)</w:t>
            </w:r>
          </w:p>
        </w:tc>
        <w:tc>
          <w:tcPr>
            <w:tcW w:w="2764" w:type="dxa"/>
            <w:shd w:val="clear" w:color="auto" w:fill="auto"/>
            <w:vAlign w:val="center"/>
          </w:tcPr>
          <w:p w14:paraId="7CDD756E" w14:textId="3C09E58B" w:rsidR="007D090A" w:rsidRPr="00D60E67" w:rsidRDefault="007D090A" w:rsidP="007D090A">
            <w:pPr>
              <w:keepLines/>
              <w:widowControl w:val="0"/>
              <w:jc w:val="center"/>
              <w:rPr>
                <w:rFonts w:asciiTheme="minorHAnsi" w:hAnsiTheme="minorHAnsi" w:cstheme="minorHAnsi"/>
                <w:snapToGrid w:val="0"/>
                <w:sz w:val="18"/>
                <w:szCs w:val="18"/>
                <w:highlight w:val="yellow"/>
                <w:lang w:eastAsia="en-US"/>
              </w:rPr>
            </w:pPr>
            <w:r w:rsidRPr="00D60E67">
              <w:rPr>
                <w:rFonts w:asciiTheme="minorHAnsi" w:hAnsiTheme="minorHAnsi" w:cstheme="minorHAnsi"/>
                <w:color w:val="000000"/>
                <w:sz w:val="18"/>
                <w:szCs w:val="18"/>
              </w:rPr>
              <w:t>Cystic fibrosis</w:t>
            </w:r>
          </w:p>
        </w:tc>
        <w:tc>
          <w:tcPr>
            <w:tcW w:w="3288" w:type="dxa"/>
            <w:shd w:val="clear" w:color="auto" w:fill="auto"/>
            <w:tcMar>
              <w:top w:w="28" w:type="dxa"/>
              <w:bottom w:w="28" w:type="dxa"/>
            </w:tcMar>
            <w:vAlign w:val="center"/>
          </w:tcPr>
          <w:p w14:paraId="56EEFC43" w14:textId="62B7E002" w:rsidR="007D090A" w:rsidRPr="00D60E67" w:rsidRDefault="007D090A" w:rsidP="007D090A">
            <w:pPr>
              <w:pStyle w:val="ListParagraph"/>
              <w:keepLines/>
              <w:ind w:left="0"/>
              <w:jc w:val="center"/>
              <w:rPr>
                <w:rFonts w:asciiTheme="minorHAnsi" w:hAnsiTheme="minorHAnsi" w:cstheme="minorHAnsi"/>
                <w:snapToGrid w:val="0"/>
                <w:sz w:val="18"/>
                <w:szCs w:val="18"/>
                <w:lang w:eastAsia="en-US"/>
              </w:rPr>
            </w:pPr>
            <w:r w:rsidRPr="00D60E67">
              <w:rPr>
                <w:rFonts w:asciiTheme="minorHAnsi" w:hAnsiTheme="minorHAnsi" w:cstheme="minorHAnsi"/>
                <w:color w:val="000000"/>
                <w:sz w:val="18"/>
                <w:szCs w:val="18"/>
              </w:rPr>
              <w:t>To request a Section 100 (Highly Specialised Drugs Program) Authority Required listing for the treatment of cystic fibrosis in patients who are aged 6 to 11 years and who have at least one F508del mutation on the cystic fibrosis transmembrane conductance regulator (CFTR) gene.</w:t>
            </w:r>
          </w:p>
        </w:tc>
        <w:tc>
          <w:tcPr>
            <w:tcW w:w="1987" w:type="dxa"/>
            <w:shd w:val="clear" w:color="auto" w:fill="auto"/>
            <w:vAlign w:val="center"/>
          </w:tcPr>
          <w:p w14:paraId="2950878F" w14:textId="431996C0" w:rsidR="007D090A" w:rsidRPr="00D60E67" w:rsidRDefault="007D090A" w:rsidP="007D090A">
            <w:pPr>
              <w:pStyle w:val="ListParagraph"/>
              <w:keepLines/>
              <w:ind w:left="0"/>
              <w:jc w:val="center"/>
              <w:rPr>
                <w:rFonts w:asciiTheme="minorHAnsi" w:hAnsiTheme="minorHAnsi" w:cstheme="minorHAnsi"/>
                <w:snapToGrid w:val="0"/>
                <w:sz w:val="18"/>
                <w:szCs w:val="18"/>
                <w:highlight w:val="yellow"/>
                <w:lang w:eastAsia="en-US"/>
              </w:rPr>
            </w:pPr>
            <w:r w:rsidRPr="00D60E67">
              <w:rPr>
                <w:rFonts w:asciiTheme="minorHAnsi" w:hAnsiTheme="minorHAnsi" w:cstheme="minorHAnsi"/>
                <w:color w:val="000000"/>
                <w:sz w:val="18"/>
                <w:szCs w:val="18"/>
              </w:rPr>
              <w:t>Recommended</w:t>
            </w:r>
          </w:p>
        </w:tc>
        <w:tc>
          <w:tcPr>
            <w:tcW w:w="4336" w:type="dxa"/>
            <w:shd w:val="clear" w:color="auto" w:fill="auto"/>
            <w:vAlign w:val="center"/>
          </w:tcPr>
          <w:p w14:paraId="116D3E09" w14:textId="6C22CEBB" w:rsidR="007D090A" w:rsidRPr="0088248D" w:rsidRDefault="007D090A" w:rsidP="0088248D">
            <w:pPr>
              <w:rPr>
                <w:highlight w:val="yellow"/>
              </w:rPr>
            </w:pPr>
            <w:r w:rsidRPr="00D60E67">
              <w:rPr>
                <w:rFonts w:asciiTheme="minorHAnsi" w:hAnsiTheme="minorHAnsi" w:cstheme="minorHAnsi"/>
                <w:color w:val="000000"/>
                <w:sz w:val="18"/>
                <w:szCs w:val="18"/>
              </w:rPr>
              <w:t>The PBAC recommended elexacaftor/ tezacaftor/ ivacaftor (ELZ/TEZ/IVA) for the treatment of cystic fibrosis in patients who are aged 6 to 11 years and who have at least one F508del mutation on the</w:t>
            </w:r>
            <w:r w:rsidR="00AA62A1">
              <w:rPr>
                <w:rFonts w:asciiTheme="minorHAnsi" w:hAnsiTheme="minorHAnsi" w:cstheme="minorHAnsi"/>
                <w:color w:val="000000"/>
                <w:sz w:val="18"/>
                <w:szCs w:val="18"/>
              </w:rPr>
              <w:t xml:space="preserve"> </w:t>
            </w:r>
            <w:r w:rsidRPr="00D60E67">
              <w:rPr>
                <w:rFonts w:asciiTheme="minorHAnsi" w:hAnsiTheme="minorHAnsi" w:cstheme="minorHAnsi"/>
                <w:color w:val="000000"/>
                <w:sz w:val="18"/>
                <w:szCs w:val="18"/>
              </w:rPr>
              <w:t>CFTR gene. The PBAC noted the evidence presented could not accurately quantify the benefit of treating patients with ELX/TEZ/IVA from a younger age but acknowledged treatment from a young age was likely to be beneficial. The PBAC considered ELX/TEZ/IVA was likely to be cost</w:t>
            </w:r>
            <w:r w:rsidR="00503C6D">
              <w:rPr>
                <w:rFonts w:asciiTheme="minorHAnsi" w:hAnsiTheme="minorHAnsi" w:cstheme="minorHAnsi"/>
                <w:color w:val="000000"/>
                <w:sz w:val="18"/>
                <w:szCs w:val="18"/>
              </w:rPr>
              <w:t>-</w:t>
            </w:r>
            <w:r w:rsidRPr="00D60E67">
              <w:rPr>
                <w:rFonts w:asciiTheme="minorHAnsi" w:hAnsiTheme="minorHAnsi" w:cstheme="minorHAnsi"/>
                <w:color w:val="000000"/>
                <w:sz w:val="18"/>
                <w:szCs w:val="18"/>
              </w:rPr>
              <w:t>effective for this population at a unit price no higher than that of the current PBS listing (for patients over 12 years of age) as proposed by the sponsor in its pre-PBAC response. The PBAC considered a number of assumptions applied in the financial estimates were overly optimistic and should be reduced to be consistent with the assumptions applied to the financial estimates agreed for the population of patients over 12</w:t>
            </w:r>
            <w:r w:rsidR="00CF6EB7">
              <w:rPr>
                <w:rFonts w:asciiTheme="minorHAnsi" w:hAnsiTheme="minorHAnsi" w:cstheme="minorHAnsi"/>
                <w:color w:val="000000"/>
                <w:sz w:val="18"/>
                <w:szCs w:val="18"/>
              </w:rPr>
              <w:t> </w:t>
            </w:r>
            <w:r w:rsidRPr="00D60E67">
              <w:rPr>
                <w:rFonts w:asciiTheme="minorHAnsi" w:hAnsiTheme="minorHAnsi" w:cstheme="minorHAnsi"/>
                <w:color w:val="000000"/>
                <w:sz w:val="18"/>
                <w:szCs w:val="18"/>
              </w:rPr>
              <w:t>years of age.</w:t>
            </w:r>
          </w:p>
        </w:tc>
      </w:tr>
      <w:tr w:rsidR="007D090A" w:rsidRPr="00544497" w14:paraId="2548894E" w14:textId="77777777" w:rsidTr="0088248D">
        <w:trPr>
          <w:cantSplit/>
          <w:trHeight w:val="2948"/>
          <w:jc w:val="center"/>
        </w:trPr>
        <w:tc>
          <w:tcPr>
            <w:tcW w:w="3013" w:type="dxa"/>
            <w:shd w:val="clear" w:color="auto" w:fill="auto"/>
            <w:tcMar>
              <w:top w:w="28" w:type="dxa"/>
              <w:bottom w:w="28" w:type="dxa"/>
            </w:tcMar>
            <w:vAlign w:val="center"/>
          </w:tcPr>
          <w:p w14:paraId="0B7E3248" w14:textId="01F7E9B2" w:rsidR="007D090A" w:rsidRPr="00D60E67" w:rsidRDefault="007D090A" w:rsidP="007D090A">
            <w:pPr>
              <w:keepLines/>
              <w:jc w:val="center"/>
              <w:rPr>
                <w:rFonts w:asciiTheme="minorHAnsi" w:hAnsiTheme="minorHAnsi" w:cstheme="minorHAnsi"/>
                <w:sz w:val="18"/>
                <w:szCs w:val="18"/>
                <w:highlight w:val="yellow"/>
              </w:rPr>
            </w:pPr>
            <w:r w:rsidRPr="00D60E67">
              <w:rPr>
                <w:rFonts w:asciiTheme="minorHAnsi" w:hAnsiTheme="minorHAnsi" w:cstheme="minorHAnsi"/>
                <w:color w:val="000000"/>
                <w:sz w:val="18"/>
                <w:szCs w:val="18"/>
              </w:rPr>
              <w:lastRenderedPageBreak/>
              <w:t>EMPAGLIFLOZIN</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Tablet 10 mg</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Jardiance®</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BOEHRINGER INGELHEIM PTY LTD</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Category 2 submission</w:t>
            </w:r>
            <w:r w:rsidRPr="00D60E67">
              <w:rPr>
                <w:rFonts w:asciiTheme="minorHAnsi" w:hAnsiTheme="minorHAnsi" w:cstheme="minorHAnsi"/>
                <w:color w:val="000000"/>
                <w:sz w:val="18"/>
                <w:szCs w:val="18"/>
              </w:rPr>
              <w:br/>
              <w:t>(Change to PBS listing)</w:t>
            </w:r>
          </w:p>
        </w:tc>
        <w:tc>
          <w:tcPr>
            <w:tcW w:w="2764" w:type="dxa"/>
            <w:shd w:val="clear" w:color="auto" w:fill="auto"/>
            <w:vAlign w:val="center"/>
          </w:tcPr>
          <w:p w14:paraId="035BAAF8" w14:textId="1ECD09A3" w:rsidR="007D090A" w:rsidRPr="00D60E67" w:rsidRDefault="007D090A" w:rsidP="007D090A">
            <w:pPr>
              <w:keepLines/>
              <w:widowControl w:val="0"/>
              <w:jc w:val="center"/>
              <w:rPr>
                <w:rFonts w:asciiTheme="minorHAnsi" w:hAnsiTheme="minorHAnsi" w:cstheme="minorHAnsi"/>
                <w:snapToGrid w:val="0"/>
                <w:sz w:val="18"/>
                <w:szCs w:val="18"/>
                <w:highlight w:val="yellow"/>
                <w:lang w:eastAsia="en-US"/>
              </w:rPr>
            </w:pPr>
            <w:r w:rsidRPr="00D60E67">
              <w:rPr>
                <w:rFonts w:asciiTheme="minorHAnsi" w:hAnsiTheme="minorHAnsi" w:cstheme="minorHAnsi"/>
                <w:color w:val="000000"/>
                <w:sz w:val="18"/>
                <w:szCs w:val="18"/>
              </w:rPr>
              <w:t>Chronic heart failure</w:t>
            </w:r>
          </w:p>
        </w:tc>
        <w:tc>
          <w:tcPr>
            <w:tcW w:w="3288" w:type="dxa"/>
            <w:shd w:val="clear" w:color="auto" w:fill="auto"/>
            <w:tcMar>
              <w:top w:w="28" w:type="dxa"/>
              <w:bottom w:w="28" w:type="dxa"/>
            </w:tcMar>
            <w:vAlign w:val="center"/>
          </w:tcPr>
          <w:p w14:paraId="6EBA99A6" w14:textId="1954E9AA" w:rsidR="007D090A" w:rsidRPr="00D60E67" w:rsidRDefault="007D090A" w:rsidP="007D090A">
            <w:pPr>
              <w:pStyle w:val="ListParagraph"/>
              <w:keepLines/>
              <w:ind w:left="0"/>
              <w:jc w:val="center"/>
              <w:rPr>
                <w:rFonts w:asciiTheme="minorHAnsi" w:hAnsiTheme="minorHAnsi" w:cstheme="minorHAnsi"/>
                <w:snapToGrid w:val="0"/>
                <w:sz w:val="18"/>
                <w:szCs w:val="18"/>
                <w:highlight w:val="yellow"/>
                <w:lang w:eastAsia="en-US"/>
              </w:rPr>
            </w:pPr>
            <w:r w:rsidRPr="00D60E67">
              <w:rPr>
                <w:rFonts w:asciiTheme="minorHAnsi" w:hAnsiTheme="minorHAnsi" w:cstheme="minorHAnsi"/>
                <w:color w:val="000000"/>
                <w:sz w:val="18"/>
                <w:szCs w:val="18"/>
              </w:rPr>
              <w:t>To request a General Schedule Authority Required (STREAMLINED) listing for the treatment of chronic heart failure (NYHA classes II, III or IV) in patients with a left ventricular ejection fraction greater than 40%.</w:t>
            </w:r>
          </w:p>
        </w:tc>
        <w:tc>
          <w:tcPr>
            <w:tcW w:w="1987" w:type="dxa"/>
            <w:shd w:val="clear" w:color="auto" w:fill="auto"/>
            <w:vAlign w:val="center"/>
          </w:tcPr>
          <w:p w14:paraId="07A55FEE" w14:textId="43F61295" w:rsidR="007D090A" w:rsidRPr="00D60E67" w:rsidRDefault="007D090A" w:rsidP="007D090A">
            <w:pPr>
              <w:pStyle w:val="ListParagraph"/>
              <w:keepLines/>
              <w:ind w:left="0"/>
              <w:jc w:val="center"/>
              <w:rPr>
                <w:rFonts w:asciiTheme="minorHAnsi" w:hAnsiTheme="minorHAnsi" w:cstheme="minorHAnsi"/>
                <w:snapToGrid w:val="0"/>
                <w:sz w:val="18"/>
                <w:szCs w:val="18"/>
                <w:highlight w:val="yellow"/>
                <w:lang w:eastAsia="en-US"/>
              </w:rPr>
            </w:pPr>
            <w:r w:rsidRPr="00D60E67">
              <w:rPr>
                <w:rFonts w:asciiTheme="minorHAnsi" w:hAnsiTheme="minorHAnsi" w:cstheme="minorHAnsi"/>
                <w:color w:val="000000"/>
                <w:sz w:val="18"/>
                <w:szCs w:val="18"/>
              </w:rPr>
              <w:t>Not Recommended</w:t>
            </w:r>
          </w:p>
        </w:tc>
        <w:tc>
          <w:tcPr>
            <w:tcW w:w="4336" w:type="dxa"/>
            <w:shd w:val="clear" w:color="auto" w:fill="auto"/>
            <w:vAlign w:val="center"/>
          </w:tcPr>
          <w:p w14:paraId="5116F579" w14:textId="47E0E015" w:rsidR="00B865EE" w:rsidRDefault="00B865EE" w:rsidP="00B865EE">
            <w:pPr>
              <w:keepLines/>
              <w:rPr>
                <w:rFonts w:asciiTheme="minorHAnsi" w:hAnsiTheme="minorHAnsi" w:cstheme="minorHAnsi"/>
                <w:color w:val="000000"/>
                <w:sz w:val="18"/>
                <w:szCs w:val="18"/>
              </w:rPr>
            </w:pPr>
            <w:r w:rsidRPr="0088248D">
              <w:rPr>
                <w:rFonts w:asciiTheme="minorHAnsi" w:hAnsiTheme="minorHAnsi" w:cstheme="minorHAnsi"/>
                <w:color w:val="000000"/>
                <w:sz w:val="18"/>
                <w:szCs w:val="18"/>
              </w:rPr>
              <w:t>The PBAC did not recommend empagliflozin for the treatment of chronic heart failure in patients with a left ventricular ejection fraction greater than 40%. The PBAC considered there was a high unmet clinical need for effective treatments for patients with this condition. The PBAC noted that empagliflozin when added to standard care provided a statistically significant improvement in efficacy over standard care alone in the proposed population. However, the reduction in hospitalisations due to heart failure were modest and there remained some uncertainty in the extent of any mortality benefit. The PBAC noted the economic model did not adequately capture the progressive nature of the disease. The PBAC considered that a price reduction to achieve a lower incremental cost-effectiveness ratio was required to reflect the moderate clinical benefits shown in the clinical evidence and the uncertain extrapolated benefit. The PBAC considered that a risk sharing arrangement would be required due to a high risk of utilisation outside the proposed restriction.</w:t>
            </w:r>
          </w:p>
          <w:p w14:paraId="7E7826AD" w14:textId="77777777" w:rsidR="00CD5D93" w:rsidRPr="0088248D" w:rsidRDefault="00CD5D93" w:rsidP="00B865EE">
            <w:pPr>
              <w:keepLines/>
              <w:rPr>
                <w:rFonts w:asciiTheme="minorHAnsi" w:hAnsiTheme="minorHAnsi" w:cstheme="minorHAnsi"/>
                <w:color w:val="000000"/>
                <w:sz w:val="18"/>
                <w:szCs w:val="18"/>
              </w:rPr>
            </w:pPr>
          </w:p>
          <w:p w14:paraId="0E009212" w14:textId="7B2DC665" w:rsidR="007D090A" w:rsidRPr="0088248D" w:rsidRDefault="00B865EE" w:rsidP="00B865EE">
            <w:pPr>
              <w:keepLines/>
              <w:rPr>
                <w:rFonts w:asciiTheme="minorHAnsi" w:hAnsiTheme="minorHAnsi" w:cstheme="minorHAnsi"/>
                <w:color w:val="000000"/>
                <w:sz w:val="18"/>
                <w:szCs w:val="18"/>
              </w:rPr>
            </w:pPr>
            <w:r w:rsidRPr="0088248D">
              <w:rPr>
                <w:rFonts w:asciiTheme="minorHAnsi" w:hAnsiTheme="minorHAnsi" w:cstheme="minorHAnsi"/>
                <w:color w:val="000000"/>
                <w:sz w:val="18"/>
                <w:szCs w:val="18"/>
              </w:rPr>
              <w:t>The PBAC nominated the Early Re-entry re-submission pathway for this item.</w:t>
            </w:r>
          </w:p>
          <w:p w14:paraId="26210236" w14:textId="77777777" w:rsidR="00B865EE" w:rsidRPr="00D60E67" w:rsidRDefault="00B865EE" w:rsidP="00B865EE">
            <w:pPr>
              <w:keepLines/>
              <w:rPr>
                <w:rFonts w:asciiTheme="minorHAnsi" w:hAnsiTheme="minorHAnsi" w:cstheme="minorHAnsi"/>
                <w:color w:val="000000"/>
                <w:sz w:val="18"/>
                <w:szCs w:val="18"/>
                <w:u w:val="single"/>
              </w:rPr>
            </w:pPr>
          </w:p>
          <w:p w14:paraId="6026AA81" w14:textId="77777777" w:rsidR="007D090A" w:rsidRDefault="007D090A" w:rsidP="007D090A">
            <w:pPr>
              <w:pStyle w:val="ListParagraph"/>
              <w:keepLines/>
              <w:ind w:left="0"/>
              <w:rPr>
                <w:rFonts w:asciiTheme="minorHAnsi" w:hAnsiTheme="minorHAnsi" w:cstheme="minorHAnsi"/>
                <w:color w:val="000000"/>
                <w:sz w:val="18"/>
                <w:szCs w:val="18"/>
                <w:u w:val="single"/>
              </w:rPr>
            </w:pPr>
            <w:r w:rsidRPr="00D60E67">
              <w:rPr>
                <w:rFonts w:asciiTheme="minorHAnsi" w:hAnsiTheme="minorHAnsi" w:cstheme="minorHAnsi"/>
                <w:color w:val="000000"/>
                <w:sz w:val="18"/>
                <w:szCs w:val="18"/>
                <w:u w:val="single"/>
              </w:rPr>
              <w:t>Sponsor’s Comment:</w:t>
            </w:r>
          </w:p>
          <w:p w14:paraId="6E5DF337" w14:textId="721EC8D0" w:rsidR="006D0655" w:rsidRPr="006D0655" w:rsidRDefault="00D96248" w:rsidP="007D090A">
            <w:pPr>
              <w:pStyle w:val="ListParagraph"/>
              <w:keepLines/>
              <w:ind w:left="0"/>
              <w:rPr>
                <w:rFonts w:asciiTheme="minorHAnsi" w:hAnsiTheme="minorHAnsi" w:cstheme="minorHAnsi"/>
                <w:color w:val="000000"/>
                <w:sz w:val="18"/>
                <w:szCs w:val="18"/>
                <w:highlight w:val="yellow"/>
              </w:rPr>
            </w:pPr>
            <w:r>
              <w:rPr>
                <w:rFonts w:asciiTheme="minorHAnsi" w:hAnsiTheme="minorHAnsi" w:cstheme="minorHAnsi"/>
                <w:color w:val="000000"/>
                <w:sz w:val="18"/>
                <w:szCs w:val="18"/>
              </w:rPr>
              <w:t>The sponsor had no comment.</w:t>
            </w:r>
          </w:p>
        </w:tc>
      </w:tr>
      <w:tr w:rsidR="007D090A" w:rsidRPr="00544497" w14:paraId="4066E669" w14:textId="77777777" w:rsidTr="0088248D">
        <w:trPr>
          <w:cantSplit/>
          <w:trHeight w:val="2948"/>
          <w:jc w:val="center"/>
        </w:trPr>
        <w:tc>
          <w:tcPr>
            <w:tcW w:w="3013" w:type="dxa"/>
            <w:shd w:val="clear" w:color="auto" w:fill="auto"/>
            <w:tcMar>
              <w:top w:w="28" w:type="dxa"/>
              <w:bottom w:w="28" w:type="dxa"/>
            </w:tcMar>
            <w:vAlign w:val="center"/>
          </w:tcPr>
          <w:p w14:paraId="7C319911" w14:textId="6598862D" w:rsidR="007D090A" w:rsidRPr="0088248D" w:rsidRDefault="007D090A" w:rsidP="007D090A">
            <w:pPr>
              <w:keepLines/>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lastRenderedPageBreak/>
              <w:t>ENFORTUMAB VEDOTIN</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 xml:space="preserve">Powder for I.V. infusion </w:t>
            </w:r>
            <w:r w:rsidR="00D1643C" w:rsidRPr="00D60E67">
              <w:rPr>
                <w:rFonts w:asciiTheme="minorHAnsi" w:hAnsiTheme="minorHAnsi" w:cstheme="minorHAnsi"/>
                <w:color w:val="000000"/>
                <w:sz w:val="18"/>
                <w:szCs w:val="18"/>
              </w:rPr>
              <w:t>20</w:t>
            </w:r>
            <w:r w:rsidR="00D1643C">
              <w:rPr>
                <w:rFonts w:asciiTheme="minorHAnsi" w:hAnsiTheme="minorHAnsi" w:cstheme="minorHAnsi"/>
                <w:color w:val="000000"/>
                <w:sz w:val="18"/>
                <w:szCs w:val="18"/>
              </w:rPr>
              <w:t> </w:t>
            </w:r>
            <w:r w:rsidRPr="00D60E67">
              <w:rPr>
                <w:rFonts w:asciiTheme="minorHAnsi" w:hAnsiTheme="minorHAnsi" w:cstheme="minorHAnsi"/>
                <w:color w:val="000000"/>
                <w:sz w:val="18"/>
                <w:szCs w:val="18"/>
              </w:rPr>
              <w:t>mg</w:t>
            </w:r>
            <w:r w:rsidRPr="00D60E67">
              <w:rPr>
                <w:rFonts w:asciiTheme="minorHAnsi" w:hAnsiTheme="minorHAnsi" w:cstheme="minorHAnsi"/>
                <w:color w:val="000000"/>
                <w:sz w:val="18"/>
                <w:szCs w:val="18"/>
              </w:rPr>
              <w:br/>
              <w:t>Powder for I.V. infusion 30</w:t>
            </w:r>
            <w:r w:rsidR="00D1643C">
              <w:rPr>
                <w:rFonts w:asciiTheme="minorHAnsi" w:hAnsiTheme="minorHAnsi" w:cstheme="minorHAnsi"/>
                <w:color w:val="000000"/>
                <w:sz w:val="18"/>
                <w:szCs w:val="18"/>
              </w:rPr>
              <w:t> </w:t>
            </w:r>
            <w:r w:rsidRPr="0088248D">
              <w:rPr>
                <w:rFonts w:asciiTheme="minorHAnsi" w:hAnsiTheme="minorHAnsi" w:cstheme="minorHAnsi"/>
                <w:color w:val="000000"/>
                <w:sz w:val="18"/>
                <w:szCs w:val="18"/>
              </w:rPr>
              <w:t>mg</w:t>
            </w:r>
            <w:r w:rsidRPr="0088248D">
              <w:rPr>
                <w:rFonts w:asciiTheme="minorHAnsi" w:hAnsiTheme="minorHAnsi" w:cstheme="minorHAnsi"/>
                <w:color w:val="000000"/>
                <w:sz w:val="18"/>
                <w:szCs w:val="18"/>
              </w:rPr>
              <w:br/>
            </w:r>
            <w:r w:rsidRPr="0088248D">
              <w:rPr>
                <w:rFonts w:asciiTheme="minorHAnsi" w:hAnsiTheme="minorHAnsi" w:cstheme="minorHAnsi"/>
                <w:color w:val="000000"/>
                <w:sz w:val="18"/>
                <w:szCs w:val="18"/>
              </w:rPr>
              <w:br/>
              <w:t>Padcev®</w:t>
            </w:r>
            <w:r w:rsidRPr="0088248D">
              <w:rPr>
                <w:rFonts w:asciiTheme="minorHAnsi" w:hAnsiTheme="minorHAnsi" w:cstheme="minorHAnsi"/>
                <w:color w:val="000000"/>
                <w:sz w:val="18"/>
                <w:szCs w:val="18"/>
              </w:rPr>
              <w:br/>
            </w:r>
            <w:r w:rsidRPr="0088248D">
              <w:rPr>
                <w:rFonts w:asciiTheme="minorHAnsi" w:hAnsiTheme="minorHAnsi" w:cstheme="minorHAnsi"/>
                <w:color w:val="000000"/>
                <w:sz w:val="18"/>
                <w:szCs w:val="18"/>
              </w:rPr>
              <w:br/>
              <w:t>Astellas Pharma Australia Pty Ltd</w:t>
            </w:r>
            <w:r w:rsidRPr="0088248D">
              <w:rPr>
                <w:rFonts w:asciiTheme="minorHAnsi" w:hAnsiTheme="minorHAnsi" w:cstheme="minorHAnsi"/>
                <w:color w:val="000000"/>
                <w:sz w:val="18"/>
                <w:szCs w:val="18"/>
              </w:rPr>
              <w:br/>
            </w:r>
            <w:r w:rsidRPr="0088248D">
              <w:rPr>
                <w:rFonts w:asciiTheme="minorHAnsi" w:hAnsiTheme="minorHAnsi" w:cstheme="minorHAnsi"/>
                <w:color w:val="000000"/>
                <w:sz w:val="18"/>
                <w:szCs w:val="18"/>
              </w:rPr>
              <w:br/>
              <w:t>Early re-entry submission</w:t>
            </w:r>
            <w:r w:rsidRPr="0088248D">
              <w:rPr>
                <w:rFonts w:asciiTheme="minorHAnsi" w:hAnsiTheme="minorHAnsi" w:cstheme="minorHAnsi"/>
                <w:color w:val="000000"/>
                <w:sz w:val="18"/>
                <w:szCs w:val="18"/>
              </w:rPr>
              <w:br/>
              <w:t>(New PBS listing)</w:t>
            </w:r>
          </w:p>
        </w:tc>
        <w:tc>
          <w:tcPr>
            <w:tcW w:w="2764" w:type="dxa"/>
            <w:shd w:val="clear" w:color="auto" w:fill="auto"/>
            <w:vAlign w:val="center"/>
          </w:tcPr>
          <w:p w14:paraId="15CA1312" w14:textId="008F782E" w:rsidR="007D090A" w:rsidRPr="0088248D" w:rsidRDefault="007D090A" w:rsidP="007D090A">
            <w:pPr>
              <w:keepLines/>
              <w:widowControl w:val="0"/>
              <w:jc w:val="center"/>
              <w:rPr>
                <w:rFonts w:asciiTheme="minorHAnsi" w:hAnsiTheme="minorHAnsi" w:cstheme="minorHAnsi"/>
                <w:color w:val="000000"/>
                <w:sz w:val="18"/>
                <w:szCs w:val="18"/>
              </w:rPr>
            </w:pPr>
            <w:r w:rsidRPr="0088248D">
              <w:rPr>
                <w:rFonts w:asciiTheme="minorHAnsi" w:hAnsiTheme="minorHAnsi" w:cstheme="minorHAnsi"/>
                <w:color w:val="000000"/>
                <w:sz w:val="18"/>
                <w:szCs w:val="18"/>
              </w:rPr>
              <w:t>Urothelial cancer</w:t>
            </w:r>
          </w:p>
        </w:tc>
        <w:tc>
          <w:tcPr>
            <w:tcW w:w="3288" w:type="dxa"/>
            <w:shd w:val="clear" w:color="auto" w:fill="auto"/>
            <w:tcMar>
              <w:top w:w="28" w:type="dxa"/>
              <w:bottom w:w="28" w:type="dxa"/>
            </w:tcMar>
            <w:vAlign w:val="center"/>
          </w:tcPr>
          <w:p w14:paraId="044A509E" w14:textId="337AE77C" w:rsidR="007D090A" w:rsidRPr="0088248D" w:rsidRDefault="007D090A" w:rsidP="007D090A">
            <w:pPr>
              <w:pStyle w:val="ListParagraph"/>
              <w:keepLines/>
              <w:ind w:left="0"/>
              <w:jc w:val="center"/>
              <w:rPr>
                <w:rFonts w:asciiTheme="minorHAnsi" w:hAnsiTheme="minorHAnsi" w:cstheme="minorHAnsi"/>
                <w:color w:val="000000"/>
                <w:sz w:val="18"/>
                <w:szCs w:val="18"/>
              </w:rPr>
            </w:pPr>
            <w:r w:rsidRPr="0088248D">
              <w:rPr>
                <w:rFonts w:asciiTheme="minorHAnsi" w:hAnsiTheme="minorHAnsi" w:cstheme="minorHAnsi"/>
                <w:color w:val="000000"/>
                <w:sz w:val="18"/>
                <w:szCs w:val="18"/>
              </w:rPr>
              <w:t>Resubmission to request a Section 100 (Efficient Funding of Chemotherapy Program) Authority Required (STREAMLINED) listing for the treatment of patients with locally advanced (Stage III) or metastatic (Stage IV) urothelial cancer who have progressed on or after treatment with a platinum-containing chemotherapy regimen and either a programmed cell death-1 (PD-1) inhibitor or a programmed cell death ligand-1 (PD-L1) inhibitor.</w:t>
            </w:r>
          </w:p>
        </w:tc>
        <w:tc>
          <w:tcPr>
            <w:tcW w:w="1987" w:type="dxa"/>
            <w:shd w:val="clear" w:color="auto" w:fill="auto"/>
            <w:vAlign w:val="center"/>
          </w:tcPr>
          <w:p w14:paraId="32035DEB" w14:textId="3E0812B9" w:rsidR="007D090A" w:rsidRPr="0088248D" w:rsidRDefault="007D090A" w:rsidP="007D090A">
            <w:pPr>
              <w:pStyle w:val="ListParagraph"/>
              <w:keepLines/>
              <w:ind w:left="0"/>
              <w:jc w:val="center"/>
              <w:rPr>
                <w:rFonts w:asciiTheme="minorHAnsi" w:hAnsiTheme="minorHAnsi" w:cstheme="minorHAnsi"/>
                <w:color w:val="000000"/>
                <w:sz w:val="18"/>
                <w:szCs w:val="18"/>
              </w:rPr>
            </w:pPr>
            <w:r w:rsidRPr="0088248D">
              <w:rPr>
                <w:rFonts w:asciiTheme="minorHAnsi" w:hAnsiTheme="minorHAnsi" w:cstheme="minorHAnsi"/>
                <w:color w:val="000000"/>
                <w:sz w:val="18"/>
                <w:szCs w:val="18"/>
              </w:rPr>
              <w:t>Deferred</w:t>
            </w:r>
          </w:p>
        </w:tc>
        <w:tc>
          <w:tcPr>
            <w:tcW w:w="4336" w:type="dxa"/>
            <w:shd w:val="clear" w:color="auto" w:fill="auto"/>
            <w:vAlign w:val="center"/>
          </w:tcPr>
          <w:p w14:paraId="78FDF808" w14:textId="74605FB2" w:rsidR="007D090A" w:rsidRPr="0088248D" w:rsidRDefault="00D6317D" w:rsidP="007D090A">
            <w:pPr>
              <w:keepLines/>
              <w:rPr>
                <w:rFonts w:asciiTheme="minorHAnsi" w:hAnsiTheme="minorHAnsi" w:cstheme="minorHAnsi"/>
                <w:color w:val="000000"/>
                <w:sz w:val="18"/>
                <w:szCs w:val="18"/>
              </w:rPr>
            </w:pPr>
            <w:r w:rsidRPr="0088248D">
              <w:rPr>
                <w:rFonts w:asciiTheme="minorHAnsi" w:hAnsiTheme="minorHAnsi" w:cstheme="minorHAnsi"/>
                <w:color w:val="000000"/>
                <w:sz w:val="18"/>
                <w:szCs w:val="18"/>
              </w:rPr>
              <w:t>The PBAC deferred making a recommendation for enfortumab vedotin for the treatment of patients with locally advanced (Stage III) or metastatic (Stage IV) urothelial cancer who have progressed on or after a platinum-containing chemotherapy regimen and either a PD-1 or a PD-L1 inhibitor to allow further consultation with the sponsor regarding the approach to achieving an acceptable incremental cost</w:t>
            </w:r>
            <w:r w:rsidR="00503C6D">
              <w:rPr>
                <w:rFonts w:asciiTheme="minorHAnsi" w:hAnsiTheme="minorHAnsi" w:cstheme="minorHAnsi"/>
                <w:color w:val="000000"/>
                <w:sz w:val="18"/>
                <w:szCs w:val="18"/>
              </w:rPr>
              <w:t>-</w:t>
            </w:r>
            <w:r w:rsidRPr="0088248D">
              <w:rPr>
                <w:rFonts w:asciiTheme="minorHAnsi" w:hAnsiTheme="minorHAnsi" w:cstheme="minorHAnsi"/>
                <w:color w:val="000000"/>
                <w:sz w:val="18"/>
                <w:szCs w:val="18"/>
              </w:rPr>
              <w:t>effectiveness ratio.</w:t>
            </w:r>
          </w:p>
          <w:p w14:paraId="3D6A2F43" w14:textId="77777777" w:rsidR="00D6317D" w:rsidRPr="0088248D" w:rsidRDefault="00D6317D" w:rsidP="007D090A">
            <w:pPr>
              <w:keepLines/>
              <w:rPr>
                <w:rFonts w:asciiTheme="minorHAnsi" w:hAnsiTheme="minorHAnsi" w:cstheme="minorHAnsi"/>
                <w:color w:val="000000"/>
                <w:sz w:val="18"/>
                <w:szCs w:val="18"/>
                <w:u w:val="single"/>
              </w:rPr>
            </w:pPr>
          </w:p>
          <w:p w14:paraId="66406173" w14:textId="77777777" w:rsidR="007D090A" w:rsidRDefault="007D090A" w:rsidP="007D090A">
            <w:pPr>
              <w:pStyle w:val="ListParagraph"/>
              <w:keepLines/>
              <w:ind w:left="0"/>
              <w:rPr>
                <w:rFonts w:asciiTheme="minorHAnsi" w:hAnsiTheme="minorHAnsi" w:cstheme="minorHAnsi"/>
                <w:color w:val="000000"/>
                <w:sz w:val="18"/>
                <w:szCs w:val="18"/>
              </w:rPr>
            </w:pPr>
            <w:r w:rsidRPr="0088248D">
              <w:rPr>
                <w:rFonts w:asciiTheme="minorHAnsi" w:hAnsiTheme="minorHAnsi" w:cstheme="minorHAnsi"/>
                <w:color w:val="000000"/>
                <w:sz w:val="18"/>
                <w:szCs w:val="18"/>
                <w:u w:val="single"/>
              </w:rPr>
              <w:t>Sponsor’s Comment:</w:t>
            </w:r>
          </w:p>
          <w:p w14:paraId="4636D3C4" w14:textId="7176138B" w:rsidR="007A2790" w:rsidRPr="007A2790" w:rsidRDefault="007A2790" w:rsidP="007D090A">
            <w:pPr>
              <w:pStyle w:val="ListParagraph"/>
              <w:keepLines/>
              <w:ind w:left="0"/>
              <w:rPr>
                <w:rFonts w:asciiTheme="minorHAnsi" w:hAnsiTheme="minorHAnsi" w:cstheme="minorHAnsi"/>
                <w:color w:val="000000"/>
                <w:sz w:val="18"/>
                <w:szCs w:val="18"/>
                <w:highlight w:val="yellow"/>
              </w:rPr>
            </w:pPr>
            <w:r w:rsidRPr="007A2790">
              <w:rPr>
                <w:rFonts w:asciiTheme="minorHAnsi" w:hAnsiTheme="minorHAnsi" w:cstheme="minorHAnsi"/>
                <w:color w:val="000000"/>
                <w:sz w:val="18"/>
                <w:szCs w:val="18"/>
              </w:rPr>
              <w:t>Astellas Australia looks forward to progressing through the PBAC processes to enable enfortumab vedotin to be available on the PBS for suitable patients with locally advanced (Stage III) or metastatic (Stage IV) urothelial cancer</w:t>
            </w:r>
            <w:r>
              <w:rPr>
                <w:rFonts w:asciiTheme="minorHAnsi" w:hAnsiTheme="minorHAnsi" w:cstheme="minorHAnsi"/>
                <w:color w:val="000000"/>
                <w:sz w:val="18"/>
                <w:szCs w:val="18"/>
              </w:rPr>
              <w:t>.</w:t>
            </w:r>
          </w:p>
        </w:tc>
      </w:tr>
      <w:tr w:rsidR="007D090A" w:rsidRPr="00544497" w14:paraId="7A6C2869" w14:textId="77777777" w:rsidTr="0088248D">
        <w:trPr>
          <w:cantSplit/>
          <w:trHeight w:val="2948"/>
          <w:jc w:val="center"/>
        </w:trPr>
        <w:tc>
          <w:tcPr>
            <w:tcW w:w="3013" w:type="dxa"/>
            <w:shd w:val="clear" w:color="auto" w:fill="auto"/>
            <w:tcMar>
              <w:top w:w="28" w:type="dxa"/>
              <w:bottom w:w="28" w:type="dxa"/>
            </w:tcMar>
            <w:vAlign w:val="center"/>
          </w:tcPr>
          <w:p w14:paraId="4D2CAA91" w14:textId="1A463DB8" w:rsidR="007D090A" w:rsidRPr="0004257E" w:rsidRDefault="007D090A" w:rsidP="007D090A">
            <w:pPr>
              <w:keepLines/>
              <w:jc w:val="center"/>
              <w:rPr>
                <w:rFonts w:asciiTheme="minorHAnsi" w:hAnsiTheme="minorHAnsi" w:cstheme="minorHAnsi"/>
                <w:color w:val="000000"/>
                <w:sz w:val="18"/>
                <w:szCs w:val="18"/>
              </w:rPr>
            </w:pPr>
            <w:r w:rsidRPr="0004257E">
              <w:rPr>
                <w:rFonts w:asciiTheme="minorHAnsi" w:hAnsiTheme="minorHAnsi" w:cstheme="minorHAnsi"/>
                <w:color w:val="000000"/>
                <w:sz w:val="18"/>
                <w:szCs w:val="18"/>
              </w:rPr>
              <w:lastRenderedPageBreak/>
              <w:t xml:space="preserve">ETANERCEPT </w:t>
            </w:r>
            <w:r w:rsidRPr="0004257E">
              <w:rPr>
                <w:rFonts w:asciiTheme="minorHAnsi" w:hAnsiTheme="minorHAnsi" w:cstheme="minorHAnsi"/>
                <w:color w:val="000000"/>
                <w:sz w:val="18"/>
                <w:szCs w:val="18"/>
              </w:rPr>
              <w:br/>
            </w:r>
            <w:r w:rsidRPr="0004257E">
              <w:rPr>
                <w:rFonts w:asciiTheme="minorHAnsi" w:hAnsiTheme="minorHAnsi" w:cstheme="minorHAnsi"/>
                <w:color w:val="000000"/>
                <w:sz w:val="18"/>
                <w:szCs w:val="18"/>
              </w:rPr>
              <w:br/>
              <w:t>Injection 50 mg in 1 mL single use auto-injector, 4</w:t>
            </w:r>
            <w:r w:rsidRPr="0004257E">
              <w:rPr>
                <w:rFonts w:asciiTheme="minorHAnsi" w:hAnsiTheme="minorHAnsi" w:cstheme="minorHAnsi"/>
                <w:color w:val="000000"/>
                <w:sz w:val="18"/>
                <w:szCs w:val="18"/>
              </w:rPr>
              <w:br/>
            </w:r>
            <w:r w:rsidRPr="0004257E">
              <w:rPr>
                <w:rFonts w:asciiTheme="minorHAnsi" w:hAnsiTheme="minorHAnsi" w:cstheme="minorHAnsi"/>
                <w:color w:val="000000"/>
                <w:sz w:val="18"/>
                <w:szCs w:val="18"/>
              </w:rPr>
              <w:br/>
              <w:t>Nepexto®</w:t>
            </w:r>
            <w:r w:rsidRPr="0004257E">
              <w:rPr>
                <w:rFonts w:asciiTheme="minorHAnsi" w:hAnsiTheme="minorHAnsi" w:cstheme="minorHAnsi"/>
                <w:color w:val="000000"/>
                <w:sz w:val="18"/>
                <w:szCs w:val="18"/>
              </w:rPr>
              <w:br/>
            </w:r>
            <w:r w:rsidRPr="0004257E">
              <w:rPr>
                <w:rFonts w:asciiTheme="minorHAnsi" w:hAnsiTheme="minorHAnsi" w:cstheme="minorHAnsi"/>
                <w:color w:val="000000"/>
                <w:sz w:val="18"/>
                <w:szCs w:val="18"/>
              </w:rPr>
              <w:br/>
              <w:t>ALPHAPHARM PTY LTD</w:t>
            </w:r>
            <w:r w:rsidRPr="0004257E">
              <w:rPr>
                <w:rFonts w:asciiTheme="minorHAnsi" w:hAnsiTheme="minorHAnsi" w:cstheme="minorHAnsi"/>
                <w:color w:val="000000"/>
                <w:sz w:val="18"/>
                <w:szCs w:val="18"/>
              </w:rPr>
              <w:br/>
            </w:r>
            <w:r w:rsidRPr="0004257E">
              <w:rPr>
                <w:rFonts w:asciiTheme="minorHAnsi" w:hAnsiTheme="minorHAnsi" w:cstheme="minorHAnsi"/>
                <w:color w:val="000000"/>
                <w:sz w:val="18"/>
                <w:szCs w:val="18"/>
              </w:rPr>
              <w:br/>
              <w:t>Category 3 submission</w:t>
            </w:r>
            <w:r w:rsidRPr="0004257E">
              <w:rPr>
                <w:rFonts w:asciiTheme="minorHAnsi" w:hAnsiTheme="minorHAnsi" w:cstheme="minorHAnsi"/>
                <w:color w:val="000000"/>
                <w:sz w:val="18"/>
                <w:szCs w:val="18"/>
              </w:rPr>
              <w:br/>
              <w:t>(New PBS listing)</w:t>
            </w:r>
          </w:p>
        </w:tc>
        <w:tc>
          <w:tcPr>
            <w:tcW w:w="2764" w:type="dxa"/>
            <w:shd w:val="clear" w:color="auto" w:fill="auto"/>
            <w:vAlign w:val="center"/>
          </w:tcPr>
          <w:p w14:paraId="2225FD8F" w14:textId="77777777" w:rsidR="00D1643C" w:rsidRDefault="007D090A" w:rsidP="007D090A">
            <w:pPr>
              <w:keepLines/>
              <w:widowControl w:val="0"/>
              <w:jc w:val="center"/>
              <w:rPr>
                <w:rFonts w:asciiTheme="minorHAnsi" w:hAnsiTheme="minorHAnsi" w:cstheme="minorHAnsi"/>
                <w:color w:val="000000"/>
                <w:sz w:val="18"/>
                <w:szCs w:val="18"/>
              </w:rPr>
            </w:pPr>
            <w:r w:rsidRPr="0004257E">
              <w:rPr>
                <w:rFonts w:asciiTheme="minorHAnsi" w:hAnsiTheme="minorHAnsi" w:cstheme="minorHAnsi"/>
                <w:color w:val="000000"/>
                <w:sz w:val="18"/>
                <w:szCs w:val="18"/>
              </w:rPr>
              <w:t xml:space="preserve">Rheumatoid arthritis </w:t>
            </w:r>
          </w:p>
          <w:p w14:paraId="2A193A53" w14:textId="77777777" w:rsidR="00D1643C" w:rsidRDefault="007D090A" w:rsidP="007D090A">
            <w:pPr>
              <w:keepLines/>
              <w:widowControl w:val="0"/>
              <w:jc w:val="center"/>
              <w:rPr>
                <w:rFonts w:asciiTheme="minorHAnsi" w:hAnsiTheme="minorHAnsi" w:cstheme="minorHAnsi"/>
                <w:color w:val="000000"/>
                <w:sz w:val="18"/>
                <w:szCs w:val="18"/>
              </w:rPr>
            </w:pPr>
            <w:r w:rsidRPr="0004257E">
              <w:rPr>
                <w:rFonts w:asciiTheme="minorHAnsi" w:hAnsiTheme="minorHAnsi" w:cstheme="minorHAnsi"/>
                <w:color w:val="000000"/>
                <w:sz w:val="18"/>
                <w:szCs w:val="18"/>
              </w:rPr>
              <w:t>Juvenile idiopathic arthritis</w:t>
            </w:r>
          </w:p>
          <w:p w14:paraId="27D05156" w14:textId="27605D91" w:rsidR="00D1643C" w:rsidRDefault="007D090A" w:rsidP="007D090A">
            <w:pPr>
              <w:keepLines/>
              <w:widowControl w:val="0"/>
              <w:jc w:val="center"/>
              <w:rPr>
                <w:rFonts w:asciiTheme="minorHAnsi" w:hAnsiTheme="minorHAnsi" w:cstheme="minorHAnsi"/>
                <w:color w:val="000000"/>
                <w:sz w:val="18"/>
                <w:szCs w:val="18"/>
              </w:rPr>
            </w:pPr>
            <w:r w:rsidRPr="0004257E">
              <w:rPr>
                <w:rFonts w:asciiTheme="minorHAnsi" w:hAnsiTheme="minorHAnsi" w:cstheme="minorHAnsi"/>
                <w:color w:val="000000"/>
                <w:sz w:val="18"/>
                <w:szCs w:val="18"/>
              </w:rPr>
              <w:t xml:space="preserve">Psoriatic arthritis </w:t>
            </w:r>
          </w:p>
          <w:p w14:paraId="3EDD86F4" w14:textId="77777777" w:rsidR="00D1643C" w:rsidRDefault="007D090A" w:rsidP="007D090A">
            <w:pPr>
              <w:keepLines/>
              <w:widowControl w:val="0"/>
              <w:jc w:val="center"/>
              <w:rPr>
                <w:rFonts w:asciiTheme="minorHAnsi" w:hAnsiTheme="minorHAnsi" w:cstheme="minorHAnsi"/>
                <w:color w:val="000000"/>
                <w:sz w:val="18"/>
                <w:szCs w:val="18"/>
              </w:rPr>
            </w:pPr>
            <w:r w:rsidRPr="0004257E">
              <w:rPr>
                <w:rFonts w:asciiTheme="minorHAnsi" w:hAnsiTheme="minorHAnsi" w:cstheme="minorHAnsi"/>
                <w:color w:val="000000"/>
                <w:sz w:val="18"/>
                <w:szCs w:val="18"/>
              </w:rPr>
              <w:t xml:space="preserve">Plaque psoriasis </w:t>
            </w:r>
          </w:p>
          <w:p w14:paraId="45985A43" w14:textId="7DCD0FA1" w:rsidR="007D090A" w:rsidRPr="0004257E" w:rsidRDefault="007D090A" w:rsidP="007D090A">
            <w:pPr>
              <w:keepLines/>
              <w:widowControl w:val="0"/>
              <w:jc w:val="center"/>
              <w:rPr>
                <w:rFonts w:asciiTheme="minorHAnsi" w:hAnsiTheme="minorHAnsi" w:cstheme="minorHAnsi"/>
                <w:color w:val="000000"/>
                <w:sz w:val="18"/>
                <w:szCs w:val="18"/>
              </w:rPr>
            </w:pPr>
            <w:r w:rsidRPr="0004257E">
              <w:rPr>
                <w:rFonts w:asciiTheme="minorHAnsi" w:hAnsiTheme="minorHAnsi" w:cstheme="minorHAnsi"/>
                <w:color w:val="000000"/>
                <w:sz w:val="18"/>
                <w:szCs w:val="18"/>
              </w:rPr>
              <w:t>Ankylosing spondylitis</w:t>
            </w:r>
          </w:p>
        </w:tc>
        <w:tc>
          <w:tcPr>
            <w:tcW w:w="3288" w:type="dxa"/>
            <w:shd w:val="clear" w:color="auto" w:fill="auto"/>
            <w:tcMar>
              <w:top w:w="28" w:type="dxa"/>
              <w:bottom w:w="28" w:type="dxa"/>
            </w:tcMar>
            <w:vAlign w:val="center"/>
          </w:tcPr>
          <w:p w14:paraId="00CB912A" w14:textId="74DFB0D8" w:rsidR="007D090A" w:rsidRPr="0004257E" w:rsidRDefault="007D090A" w:rsidP="007D090A">
            <w:pPr>
              <w:pStyle w:val="ListParagraph"/>
              <w:keepLines/>
              <w:ind w:left="0"/>
              <w:jc w:val="center"/>
              <w:rPr>
                <w:rFonts w:asciiTheme="minorHAnsi" w:hAnsiTheme="minorHAnsi" w:cstheme="minorHAnsi"/>
                <w:color w:val="000000"/>
                <w:sz w:val="18"/>
                <w:szCs w:val="18"/>
              </w:rPr>
            </w:pPr>
            <w:r w:rsidRPr="0004257E">
              <w:rPr>
                <w:rFonts w:asciiTheme="minorHAnsi" w:hAnsiTheme="minorHAnsi" w:cstheme="minorHAnsi"/>
                <w:color w:val="000000"/>
                <w:sz w:val="18"/>
                <w:szCs w:val="18"/>
              </w:rPr>
              <w:t>To request General Schedule Authority Required listing of an etanercept biosimilar under the same conditions as its reference biologic.</w:t>
            </w:r>
          </w:p>
        </w:tc>
        <w:tc>
          <w:tcPr>
            <w:tcW w:w="1987" w:type="dxa"/>
            <w:shd w:val="clear" w:color="auto" w:fill="auto"/>
            <w:vAlign w:val="center"/>
          </w:tcPr>
          <w:p w14:paraId="1C8C9D0D" w14:textId="44903738" w:rsidR="007D090A" w:rsidRPr="0004257E" w:rsidRDefault="007D090A" w:rsidP="007D090A">
            <w:pPr>
              <w:pStyle w:val="ListParagraph"/>
              <w:keepLines/>
              <w:ind w:left="0"/>
              <w:jc w:val="center"/>
              <w:rPr>
                <w:rFonts w:asciiTheme="minorHAnsi" w:hAnsiTheme="minorHAnsi" w:cstheme="minorHAnsi"/>
                <w:color w:val="000000"/>
                <w:sz w:val="18"/>
                <w:szCs w:val="18"/>
              </w:rPr>
            </w:pPr>
            <w:r w:rsidRPr="0004257E">
              <w:rPr>
                <w:rFonts w:asciiTheme="minorHAnsi" w:hAnsiTheme="minorHAnsi" w:cstheme="minorHAnsi"/>
                <w:color w:val="000000"/>
                <w:sz w:val="18"/>
                <w:szCs w:val="18"/>
              </w:rPr>
              <w:t>Recommended</w:t>
            </w:r>
          </w:p>
        </w:tc>
        <w:tc>
          <w:tcPr>
            <w:tcW w:w="4336" w:type="dxa"/>
            <w:shd w:val="clear" w:color="auto" w:fill="auto"/>
            <w:vAlign w:val="center"/>
          </w:tcPr>
          <w:p w14:paraId="5971B651" w14:textId="6304E3D1" w:rsidR="007D090A" w:rsidRPr="00D60E67" w:rsidRDefault="007D090A" w:rsidP="007D090A">
            <w:pPr>
              <w:pStyle w:val="ListParagraph"/>
              <w:keepLines/>
              <w:ind w:left="0"/>
              <w:rPr>
                <w:rFonts w:asciiTheme="minorHAnsi" w:hAnsiTheme="minorHAnsi" w:cstheme="minorHAnsi"/>
                <w:color w:val="000000"/>
                <w:sz w:val="18"/>
                <w:szCs w:val="18"/>
                <w:highlight w:val="yellow"/>
              </w:rPr>
            </w:pPr>
            <w:r w:rsidRPr="0004257E">
              <w:rPr>
                <w:rFonts w:asciiTheme="minorHAnsi" w:hAnsiTheme="minorHAnsi" w:cstheme="minorHAnsi"/>
                <w:color w:val="000000"/>
                <w:sz w:val="18"/>
                <w:szCs w:val="18"/>
              </w:rPr>
              <w:t xml:space="preserve">The PBAC recommended the Authority Required listing of etanercept (Nepexto®) in the form of injection </w:t>
            </w:r>
            <w:r w:rsidR="00D1643C" w:rsidRPr="0004257E">
              <w:rPr>
                <w:rFonts w:asciiTheme="minorHAnsi" w:hAnsiTheme="minorHAnsi" w:cstheme="minorHAnsi"/>
                <w:color w:val="000000"/>
                <w:sz w:val="18"/>
                <w:szCs w:val="18"/>
              </w:rPr>
              <w:t>50</w:t>
            </w:r>
            <w:r w:rsidR="00D1643C">
              <w:rPr>
                <w:rFonts w:asciiTheme="minorHAnsi" w:hAnsiTheme="minorHAnsi" w:cstheme="minorHAnsi"/>
                <w:color w:val="000000"/>
                <w:sz w:val="18"/>
                <w:szCs w:val="18"/>
              </w:rPr>
              <w:t> </w:t>
            </w:r>
            <w:r w:rsidRPr="00D60E67">
              <w:rPr>
                <w:rFonts w:asciiTheme="minorHAnsi" w:hAnsiTheme="minorHAnsi" w:cstheme="minorHAnsi"/>
                <w:color w:val="000000"/>
                <w:sz w:val="18"/>
                <w:szCs w:val="18"/>
              </w:rPr>
              <w:t xml:space="preserve">mg in </w:t>
            </w:r>
            <w:r w:rsidR="00D1643C" w:rsidRPr="00D60E67">
              <w:rPr>
                <w:rFonts w:asciiTheme="minorHAnsi" w:hAnsiTheme="minorHAnsi" w:cstheme="minorHAnsi"/>
                <w:color w:val="000000"/>
                <w:sz w:val="18"/>
                <w:szCs w:val="18"/>
              </w:rPr>
              <w:t>1</w:t>
            </w:r>
            <w:r w:rsidR="00D1643C">
              <w:rPr>
                <w:rFonts w:asciiTheme="minorHAnsi" w:hAnsiTheme="minorHAnsi" w:cstheme="minorHAnsi"/>
                <w:color w:val="000000"/>
                <w:sz w:val="18"/>
                <w:szCs w:val="18"/>
              </w:rPr>
              <w:t> </w:t>
            </w:r>
            <w:r w:rsidRPr="00D60E67">
              <w:rPr>
                <w:rFonts w:asciiTheme="minorHAnsi" w:hAnsiTheme="minorHAnsi" w:cstheme="minorHAnsi"/>
                <w:color w:val="000000"/>
                <w:sz w:val="18"/>
                <w:szCs w:val="18"/>
              </w:rPr>
              <w:t xml:space="preserve">mL single use auto-injector as a biosimilar brand of Enbrel® on the General Schedule and Section 100 </w:t>
            </w:r>
            <w:r w:rsidR="003D1303">
              <w:rPr>
                <w:rFonts w:asciiTheme="minorHAnsi" w:hAnsiTheme="minorHAnsi" w:cstheme="minorHAnsi"/>
                <w:color w:val="000000"/>
                <w:sz w:val="18"/>
                <w:szCs w:val="18"/>
              </w:rPr>
              <w:t>(</w:t>
            </w:r>
            <w:r w:rsidRPr="00D60E67">
              <w:rPr>
                <w:rFonts w:asciiTheme="minorHAnsi" w:hAnsiTheme="minorHAnsi" w:cstheme="minorHAnsi"/>
                <w:color w:val="000000"/>
                <w:sz w:val="18"/>
                <w:szCs w:val="18"/>
              </w:rPr>
              <w:t>Highly Specialised Drug Program</w:t>
            </w:r>
            <w:r w:rsidR="003D1303">
              <w:rPr>
                <w:rFonts w:asciiTheme="minorHAnsi" w:hAnsiTheme="minorHAnsi" w:cstheme="minorHAnsi"/>
                <w:color w:val="000000"/>
                <w:sz w:val="18"/>
                <w:szCs w:val="18"/>
              </w:rPr>
              <w:t>)</w:t>
            </w:r>
            <w:r w:rsidRPr="00D60E67">
              <w:rPr>
                <w:rFonts w:asciiTheme="minorHAnsi" w:hAnsiTheme="minorHAnsi" w:cstheme="minorHAnsi"/>
                <w:color w:val="000000"/>
                <w:sz w:val="18"/>
                <w:szCs w:val="18"/>
              </w:rPr>
              <w:t xml:space="preserve"> for the same indications as Enbrel</w:t>
            </w:r>
            <w:r w:rsidR="003D1303">
              <w:rPr>
                <w:rFonts w:asciiTheme="minorHAnsi" w:hAnsiTheme="minorHAnsi" w:cstheme="minorHAnsi"/>
                <w:color w:val="000000"/>
                <w:sz w:val="18"/>
                <w:szCs w:val="18"/>
              </w:rPr>
              <w:t>®</w:t>
            </w:r>
            <w:r w:rsidRPr="00D60E67">
              <w:rPr>
                <w:rFonts w:asciiTheme="minorHAnsi" w:hAnsiTheme="minorHAnsi" w:cstheme="minorHAnsi"/>
                <w:color w:val="000000"/>
                <w:sz w:val="18"/>
                <w:szCs w:val="18"/>
              </w:rPr>
              <w:t xml:space="preserve"> 50 mg in 1 mL single use auto-injector. The PBAC’s recommendation for listing was based on, among other matters, its assessment that the cost-effectiveness of Nepexto</w:t>
            </w:r>
            <w:r w:rsidR="003D1303">
              <w:rPr>
                <w:rFonts w:asciiTheme="minorHAnsi" w:hAnsiTheme="minorHAnsi" w:cstheme="minorHAnsi"/>
                <w:color w:val="000000"/>
                <w:sz w:val="18"/>
                <w:szCs w:val="18"/>
              </w:rPr>
              <w:t>®</w:t>
            </w:r>
            <w:r w:rsidRPr="00D60E67">
              <w:rPr>
                <w:rFonts w:asciiTheme="minorHAnsi" w:hAnsiTheme="minorHAnsi" w:cstheme="minorHAnsi"/>
                <w:color w:val="000000"/>
                <w:sz w:val="18"/>
                <w:szCs w:val="18"/>
              </w:rPr>
              <w:t xml:space="preserve"> would be acceptable if it were cost-minimised to Enbrel</w:t>
            </w:r>
            <w:r w:rsidR="008C0396">
              <w:rPr>
                <w:rFonts w:asciiTheme="minorHAnsi" w:hAnsiTheme="minorHAnsi" w:cstheme="minorHAnsi"/>
                <w:color w:val="000000"/>
                <w:sz w:val="18"/>
                <w:szCs w:val="18"/>
              </w:rPr>
              <w:t>®</w:t>
            </w:r>
            <w:r w:rsidRPr="00D60E67">
              <w:rPr>
                <w:rFonts w:asciiTheme="minorHAnsi" w:hAnsiTheme="minorHAnsi" w:cstheme="minorHAnsi"/>
                <w:color w:val="000000"/>
                <w:sz w:val="18"/>
                <w:szCs w:val="18"/>
              </w:rPr>
              <w:t>. The PBAC noted the listing of Nepexto</w:t>
            </w:r>
            <w:r w:rsidR="003D1303">
              <w:rPr>
                <w:rFonts w:asciiTheme="minorHAnsi" w:hAnsiTheme="minorHAnsi" w:cstheme="minorHAnsi"/>
                <w:color w:val="000000"/>
                <w:sz w:val="18"/>
                <w:szCs w:val="18"/>
              </w:rPr>
              <w:t>®</w:t>
            </w:r>
            <w:r w:rsidRPr="00D60E67">
              <w:rPr>
                <w:rFonts w:asciiTheme="minorHAnsi" w:hAnsiTheme="minorHAnsi" w:cstheme="minorHAnsi"/>
                <w:color w:val="000000"/>
                <w:sz w:val="18"/>
                <w:szCs w:val="18"/>
              </w:rPr>
              <w:t xml:space="preserve"> is expected to have no change in the overall net cost to the government. The PBAC advised the equi-effective doses are Nepexto</w:t>
            </w:r>
            <w:r w:rsidR="003D1303">
              <w:rPr>
                <w:rFonts w:asciiTheme="minorHAnsi" w:hAnsiTheme="minorHAnsi" w:cstheme="minorHAnsi"/>
                <w:color w:val="000000"/>
                <w:sz w:val="18"/>
                <w:szCs w:val="18"/>
              </w:rPr>
              <w:t>®</w:t>
            </w:r>
            <w:r w:rsidRPr="00D60E67">
              <w:rPr>
                <w:rFonts w:asciiTheme="minorHAnsi" w:hAnsiTheme="minorHAnsi" w:cstheme="minorHAnsi"/>
                <w:color w:val="000000"/>
                <w:sz w:val="18"/>
                <w:szCs w:val="18"/>
              </w:rPr>
              <w:t xml:space="preserve"> 50 mg = Enbrel</w:t>
            </w:r>
            <w:r w:rsidR="003D1303">
              <w:rPr>
                <w:rFonts w:asciiTheme="minorHAnsi" w:hAnsiTheme="minorHAnsi" w:cstheme="minorHAnsi"/>
                <w:color w:val="000000"/>
                <w:sz w:val="18"/>
                <w:szCs w:val="18"/>
              </w:rPr>
              <w:t>®</w:t>
            </w:r>
            <w:r w:rsidRPr="00D60E67">
              <w:rPr>
                <w:rFonts w:asciiTheme="minorHAnsi" w:hAnsiTheme="minorHAnsi" w:cstheme="minorHAnsi"/>
                <w:color w:val="000000"/>
                <w:sz w:val="18"/>
                <w:szCs w:val="18"/>
              </w:rPr>
              <w:t xml:space="preserve"> </w:t>
            </w:r>
            <w:r w:rsidR="003D1303" w:rsidRPr="00D60E67">
              <w:rPr>
                <w:rFonts w:asciiTheme="minorHAnsi" w:hAnsiTheme="minorHAnsi" w:cstheme="minorHAnsi"/>
                <w:color w:val="000000"/>
                <w:sz w:val="18"/>
                <w:szCs w:val="18"/>
              </w:rPr>
              <w:t>50</w:t>
            </w:r>
            <w:r w:rsidR="003D1303">
              <w:rPr>
                <w:rFonts w:asciiTheme="minorHAnsi" w:hAnsiTheme="minorHAnsi" w:cstheme="minorHAnsi"/>
                <w:color w:val="000000"/>
                <w:sz w:val="18"/>
                <w:szCs w:val="18"/>
              </w:rPr>
              <w:t> </w:t>
            </w:r>
            <w:r w:rsidRPr="00D60E67">
              <w:rPr>
                <w:rFonts w:asciiTheme="minorHAnsi" w:hAnsiTheme="minorHAnsi" w:cstheme="minorHAnsi"/>
                <w:color w:val="000000"/>
                <w:sz w:val="18"/>
                <w:szCs w:val="18"/>
              </w:rPr>
              <w:t>mg = Brenzys</w:t>
            </w:r>
            <w:r w:rsidR="003D1303">
              <w:rPr>
                <w:rFonts w:asciiTheme="minorHAnsi" w:hAnsiTheme="minorHAnsi" w:cstheme="minorHAnsi"/>
                <w:color w:val="000000"/>
                <w:sz w:val="18"/>
                <w:szCs w:val="18"/>
              </w:rPr>
              <w:t>®</w:t>
            </w:r>
            <w:r w:rsidRPr="00D60E67">
              <w:rPr>
                <w:rFonts w:asciiTheme="minorHAnsi" w:hAnsiTheme="minorHAnsi" w:cstheme="minorHAnsi"/>
                <w:color w:val="000000"/>
                <w:sz w:val="18"/>
                <w:szCs w:val="18"/>
              </w:rPr>
              <w:t xml:space="preserve"> 50 mg. The PBAC advised that, the same strengths of Enbrel</w:t>
            </w:r>
            <w:r w:rsidR="008C0396">
              <w:rPr>
                <w:rFonts w:asciiTheme="minorHAnsi" w:hAnsiTheme="minorHAnsi" w:cstheme="minorHAnsi"/>
                <w:color w:val="000000"/>
                <w:sz w:val="18"/>
                <w:szCs w:val="18"/>
              </w:rPr>
              <w:t>®</w:t>
            </w:r>
            <w:r w:rsidRPr="00D60E67">
              <w:rPr>
                <w:rFonts w:asciiTheme="minorHAnsi" w:hAnsiTheme="minorHAnsi" w:cstheme="minorHAnsi"/>
                <w:color w:val="000000"/>
                <w:sz w:val="18"/>
                <w:szCs w:val="18"/>
              </w:rPr>
              <w:t>, Brenzys®, Rymti® (if listed) and Nepexto</w:t>
            </w:r>
            <w:r w:rsidR="003D1303">
              <w:rPr>
                <w:rFonts w:asciiTheme="minorHAnsi" w:hAnsiTheme="minorHAnsi" w:cstheme="minorHAnsi"/>
                <w:color w:val="000000"/>
                <w:sz w:val="18"/>
                <w:szCs w:val="18"/>
              </w:rPr>
              <w:t>®</w:t>
            </w:r>
            <w:r w:rsidRPr="00D60E67">
              <w:rPr>
                <w:rFonts w:asciiTheme="minorHAnsi" w:hAnsiTheme="minorHAnsi" w:cstheme="minorHAnsi"/>
                <w:color w:val="000000"/>
                <w:sz w:val="18"/>
                <w:szCs w:val="18"/>
              </w:rPr>
              <w:t xml:space="preserve"> in all forms should be treated as equivalent to each other for the purpose of substitution. The PBAC considered that biosimilar uptake drivers should apply to Nepexto</w:t>
            </w:r>
            <w:r w:rsidR="003D1303">
              <w:rPr>
                <w:rFonts w:asciiTheme="minorHAnsi" w:hAnsiTheme="minorHAnsi" w:cstheme="minorHAnsi"/>
                <w:color w:val="000000"/>
                <w:sz w:val="18"/>
                <w:szCs w:val="18"/>
              </w:rPr>
              <w:t>®</w:t>
            </w:r>
            <w:r w:rsidRPr="00D60E67">
              <w:rPr>
                <w:rFonts w:asciiTheme="minorHAnsi" w:hAnsiTheme="minorHAnsi" w:cstheme="minorHAnsi"/>
                <w:color w:val="000000"/>
                <w:sz w:val="18"/>
                <w:szCs w:val="18"/>
              </w:rPr>
              <w:t xml:space="preserve"> consistent with the current PBS listings for etanercept biosimilar Brenzys</w:t>
            </w:r>
            <w:r w:rsidR="003D1303">
              <w:rPr>
                <w:rFonts w:asciiTheme="minorHAnsi" w:hAnsiTheme="minorHAnsi" w:cstheme="minorHAnsi"/>
                <w:color w:val="000000"/>
                <w:sz w:val="18"/>
                <w:szCs w:val="18"/>
              </w:rPr>
              <w:t>®</w:t>
            </w:r>
            <w:r w:rsidRPr="00D60E67">
              <w:rPr>
                <w:rFonts w:asciiTheme="minorHAnsi" w:hAnsiTheme="minorHAnsi" w:cstheme="minorHAnsi"/>
                <w:color w:val="000000"/>
                <w:sz w:val="18"/>
                <w:szCs w:val="18"/>
              </w:rPr>
              <w:t>. The PBAC advised the addition of the following caution to Nepexto</w:t>
            </w:r>
            <w:r w:rsidR="003D1303">
              <w:rPr>
                <w:rFonts w:asciiTheme="minorHAnsi" w:hAnsiTheme="minorHAnsi" w:cstheme="minorHAnsi"/>
                <w:color w:val="000000"/>
                <w:sz w:val="18"/>
                <w:szCs w:val="18"/>
              </w:rPr>
              <w:t>®</w:t>
            </w:r>
            <w:r w:rsidRPr="00D60E67">
              <w:rPr>
                <w:rFonts w:asciiTheme="minorHAnsi" w:hAnsiTheme="minorHAnsi" w:cstheme="minorHAnsi"/>
                <w:color w:val="000000"/>
                <w:sz w:val="18"/>
                <w:szCs w:val="18"/>
              </w:rPr>
              <w:t xml:space="preserve"> and flow</w:t>
            </w:r>
            <w:r w:rsidR="00D92D23">
              <w:rPr>
                <w:rFonts w:asciiTheme="minorHAnsi" w:hAnsiTheme="minorHAnsi" w:cstheme="minorHAnsi"/>
                <w:color w:val="000000"/>
                <w:sz w:val="18"/>
                <w:szCs w:val="18"/>
              </w:rPr>
              <w:t>-</w:t>
            </w:r>
            <w:r w:rsidRPr="00D60E67">
              <w:rPr>
                <w:rFonts w:asciiTheme="minorHAnsi" w:hAnsiTheme="minorHAnsi" w:cstheme="minorHAnsi"/>
                <w:color w:val="000000"/>
                <w:sz w:val="18"/>
                <w:szCs w:val="18"/>
              </w:rPr>
              <w:t>on restriction to relevant indications/products for Enbrel</w:t>
            </w:r>
            <w:r w:rsidR="003D1303">
              <w:rPr>
                <w:rFonts w:asciiTheme="minorHAnsi" w:hAnsiTheme="minorHAnsi" w:cstheme="minorHAnsi"/>
                <w:color w:val="000000"/>
                <w:sz w:val="18"/>
                <w:szCs w:val="18"/>
              </w:rPr>
              <w:t>®</w:t>
            </w:r>
            <w:r w:rsidRPr="00D60E67">
              <w:rPr>
                <w:rFonts w:asciiTheme="minorHAnsi" w:hAnsiTheme="minorHAnsi" w:cstheme="minorHAnsi"/>
                <w:color w:val="000000"/>
                <w:sz w:val="18"/>
                <w:szCs w:val="18"/>
              </w:rPr>
              <w:t xml:space="preserve"> to align with the TGA Product Information: ‘This formulation of etanercept is intended for use in children and adolescents weighing 62.5</w:t>
            </w:r>
            <w:r w:rsidR="003D1303">
              <w:rPr>
                <w:rFonts w:asciiTheme="minorHAnsi" w:hAnsiTheme="minorHAnsi" w:cstheme="minorHAnsi"/>
                <w:color w:val="000000"/>
                <w:sz w:val="18"/>
                <w:szCs w:val="18"/>
              </w:rPr>
              <w:t> </w:t>
            </w:r>
            <w:r w:rsidRPr="00D60E67">
              <w:rPr>
                <w:rFonts w:asciiTheme="minorHAnsi" w:hAnsiTheme="minorHAnsi" w:cstheme="minorHAnsi"/>
                <w:color w:val="000000"/>
                <w:sz w:val="18"/>
                <w:szCs w:val="18"/>
              </w:rPr>
              <w:t>kg or more</w:t>
            </w:r>
            <w:r w:rsidR="00EF0965">
              <w:rPr>
                <w:rFonts w:asciiTheme="minorHAnsi" w:hAnsiTheme="minorHAnsi" w:cstheme="minorHAnsi"/>
                <w:color w:val="000000"/>
                <w:sz w:val="18"/>
                <w:szCs w:val="18"/>
              </w:rPr>
              <w:t>.</w:t>
            </w:r>
            <w:r w:rsidRPr="00D60E67">
              <w:rPr>
                <w:rFonts w:asciiTheme="minorHAnsi" w:hAnsiTheme="minorHAnsi" w:cstheme="minorHAnsi"/>
                <w:color w:val="000000"/>
                <w:sz w:val="18"/>
                <w:szCs w:val="18"/>
              </w:rPr>
              <w:t>’</w:t>
            </w:r>
          </w:p>
        </w:tc>
      </w:tr>
      <w:tr w:rsidR="007D090A" w:rsidRPr="00544497" w14:paraId="38CDF8BE" w14:textId="77777777" w:rsidTr="0088248D">
        <w:trPr>
          <w:cantSplit/>
          <w:trHeight w:val="2948"/>
          <w:jc w:val="center"/>
        </w:trPr>
        <w:tc>
          <w:tcPr>
            <w:tcW w:w="3013" w:type="dxa"/>
            <w:shd w:val="clear" w:color="auto" w:fill="auto"/>
            <w:tcMar>
              <w:top w:w="28" w:type="dxa"/>
              <w:bottom w:w="28" w:type="dxa"/>
            </w:tcMar>
            <w:vAlign w:val="center"/>
          </w:tcPr>
          <w:p w14:paraId="249AC7D6" w14:textId="464A33C7" w:rsidR="007D090A" w:rsidRPr="0088248D" w:rsidRDefault="007D090A" w:rsidP="007D090A">
            <w:pPr>
              <w:keepLines/>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lastRenderedPageBreak/>
              <w:t>FREMANEZUMAB</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Solution for injection 225 mg in 1.</w:t>
            </w:r>
            <w:r w:rsidR="003D1303" w:rsidRPr="00D60E67">
              <w:rPr>
                <w:rFonts w:asciiTheme="minorHAnsi" w:hAnsiTheme="minorHAnsi" w:cstheme="minorHAnsi"/>
                <w:color w:val="000000"/>
                <w:sz w:val="18"/>
                <w:szCs w:val="18"/>
              </w:rPr>
              <w:t>5</w:t>
            </w:r>
            <w:r w:rsidR="003D1303">
              <w:rPr>
                <w:rFonts w:asciiTheme="minorHAnsi" w:hAnsiTheme="minorHAnsi" w:cstheme="minorHAnsi"/>
                <w:color w:val="000000"/>
                <w:sz w:val="18"/>
                <w:szCs w:val="18"/>
              </w:rPr>
              <w:t> </w:t>
            </w:r>
            <w:r w:rsidRPr="0004257E">
              <w:rPr>
                <w:rFonts w:asciiTheme="minorHAnsi" w:hAnsiTheme="minorHAnsi" w:cstheme="minorHAnsi"/>
                <w:color w:val="000000"/>
                <w:sz w:val="18"/>
                <w:szCs w:val="18"/>
              </w:rPr>
              <w:t xml:space="preserve">mL single dose pre-filled syringe </w:t>
            </w:r>
            <w:r w:rsidRPr="0004257E">
              <w:rPr>
                <w:rFonts w:asciiTheme="minorHAnsi" w:hAnsiTheme="minorHAnsi" w:cstheme="minorHAnsi"/>
                <w:color w:val="000000"/>
                <w:sz w:val="18"/>
                <w:szCs w:val="18"/>
              </w:rPr>
              <w:br/>
              <w:t>Solution for injection 225 mg in 1.5</w:t>
            </w:r>
            <w:r w:rsidR="003D1303">
              <w:rPr>
                <w:rFonts w:asciiTheme="minorHAnsi" w:hAnsiTheme="minorHAnsi" w:cstheme="minorHAnsi"/>
                <w:color w:val="000000"/>
                <w:sz w:val="18"/>
                <w:szCs w:val="18"/>
              </w:rPr>
              <w:t> </w:t>
            </w:r>
            <w:r w:rsidRPr="0088248D">
              <w:rPr>
                <w:rFonts w:asciiTheme="minorHAnsi" w:hAnsiTheme="minorHAnsi" w:cstheme="minorHAnsi"/>
                <w:color w:val="000000"/>
                <w:sz w:val="18"/>
                <w:szCs w:val="18"/>
              </w:rPr>
              <w:t>mL single dose autoinjector</w:t>
            </w:r>
            <w:r w:rsidRPr="0088248D">
              <w:rPr>
                <w:rFonts w:asciiTheme="minorHAnsi" w:hAnsiTheme="minorHAnsi" w:cstheme="minorHAnsi"/>
                <w:color w:val="000000"/>
                <w:sz w:val="18"/>
                <w:szCs w:val="18"/>
              </w:rPr>
              <w:br/>
            </w:r>
            <w:r w:rsidRPr="0088248D">
              <w:rPr>
                <w:rFonts w:asciiTheme="minorHAnsi" w:hAnsiTheme="minorHAnsi" w:cstheme="minorHAnsi"/>
                <w:color w:val="000000"/>
                <w:sz w:val="18"/>
                <w:szCs w:val="18"/>
              </w:rPr>
              <w:br/>
              <w:t>Ajovy®</w:t>
            </w:r>
            <w:r w:rsidRPr="0088248D">
              <w:rPr>
                <w:rFonts w:asciiTheme="minorHAnsi" w:hAnsiTheme="minorHAnsi" w:cstheme="minorHAnsi"/>
                <w:color w:val="000000"/>
                <w:sz w:val="18"/>
                <w:szCs w:val="18"/>
              </w:rPr>
              <w:br/>
            </w:r>
            <w:r w:rsidRPr="0088248D">
              <w:rPr>
                <w:rFonts w:asciiTheme="minorHAnsi" w:hAnsiTheme="minorHAnsi" w:cstheme="minorHAnsi"/>
                <w:color w:val="000000"/>
                <w:sz w:val="18"/>
                <w:szCs w:val="18"/>
              </w:rPr>
              <w:br/>
              <w:t>TEVA PHARMA AUSTRALIA PTY LTD</w:t>
            </w:r>
            <w:r w:rsidRPr="0088248D">
              <w:rPr>
                <w:rFonts w:asciiTheme="minorHAnsi" w:hAnsiTheme="minorHAnsi" w:cstheme="minorHAnsi"/>
                <w:color w:val="000000"/>
                <w:sz w:val="18"/>
                <w:szCs w:val="18"/>
              </w:rPr>
              <w:br/>
            </w:r>
            <w:r w:rsidRPr="0088248D">
              <w:rPr>
                <w:rFonts w:asciiTheme="minorHAnsi" w:hAnsiTheme="minorHAnsi" w:cstheme="minorHAnsi"/>
                <w:color w:val="000000"/>
                <w:sz w:val="18"/>
                <w:szCs w:val="18"/>
              </w:rPr>
              <w:br/>
              <w:t>Category 2 submission</w:t>
            </w:r>
            <w:r w:rsidRPr="0088248D">
              <w:rPr>
                <w:rFonts w:asciiTheme="minorHAnsi" w:hAnsiTheme="minorHAnsi" w:cstheme="minorHAnsi"/>
                <w:color w:val="000000"/>
                <w:sz w:val="18"/>
                <w:szCs w:val="18"/>
              </w:rPr>
              <w:br/>
              <w:t>(Change to PBS listing)</w:t>
            </w:r>
          </w:p>
        </w:tc>
        <w:tc>
          <w:tcPr>
            <w:tcW w:w="2764" w:type="dxa"/>
            <w:shd w:val="clear" w:color="auto" w:fill="auto"/>
            <w:vAlign w:val="center"/>
          </w:tcPr>
          <w:p w14:paraId="60F11EE7" w14:textId="32BE7036" w:rsidR="007D090A" w:rsidRPr="0088248D" w:rsidRDefault="007D090A" w:rsidP="007D090A">
            <w:pPr>
              <w:keepLines/>
              <w:widowControl w:val="0"/>
              <w:jc w:val="center"/>
              <w:rPr>
                <w:rFonts w:asciiTheme="minorHAnsi" w:hAnsiTheme="minorHAnsi" w:cstheme="minorHAnsi"/>
                <w:color w:val="000000"/>
                <w:sz w:val="18"/>
                <w:szCs w:val="18"/>
              </w:rPr>
            </w:pPr>
            <w:r w:rsidRPr="0088248D">
              <w:rPr>
                <w:rFonts w:asciiTheme="minorHAnsi" w:hAnsiTheme="minorHAnsi" w:cstheme="minorHAnsi"/>
                <w:color w:val="000000"/>
                <w:sz w:val="18"/>
                <w:szCs w:val="18"/>
              </w:rPr>
              <w:t>Migraine</w:t>
            </w:r>
          </w:p>
        </w:tc>
        <w:tc>
          <w:tcPr>
            <w:tcW w:w="3288" w:type="dxa"/>
            <w:shd w:val="clear" w:color="auto" w:fill="auto"/>
            <w:tcMar>
              <w:top w:w="28" w:type="dxa"/>
              <w:bottom w:w="28" w:type="dxa"/>
            </w:tcMar>
            <w:vAlign w:val="center"/>
          </w:tcPr>
          <w:p w14:paraId="1D3B6CAC" w14:textId="7E785F30" w:rsidR="007D090A" w:rsidRPr="0088248D" w:rsidRDefault="007D090A" w:rsidP="007D090A">
            <w:pPr>
              <w:pStyle w:val="ListParagraph"/>
              <w:keepLines/>
              <w:ind w:left="0"/>
              <w:jc w:val="center"/>
              <w:rPr>
                <w:rFonts w:asciiTheme="minorHAnsi" w:hAnsiTheme="minorHAnsi" w:cstheme="minorHAnsi"/>
                <w:color w:val="000000"/>
                <w:sz w:val="18"/>
                <w:szCs w:val="18"/>
              </w:rPr>
            </w:pPr>
            <w:r w:rsidRPr="0088248D">
              <w:rPr>
                <w:rFonts w:asciiTheme="minorHAnsi" w:hAnsiTheme="minorHAnsi" w:cstheme="minorHAnsi"/>
                <w:color w:val="000000"/>
                <w:sz w:val="18"/>
                <w:szCs w:val="18"/>
              </w:rPr>
              <w:t xml:space="preserve">To request a General Schedule Authority Required (STREAMLINED) listing for the treatment of high frequency episodic migraine </w:t>
            </w:r>
            <w:r w:rsidR="00EF0965">
              <w:rPr>
                <w:rFonts w:asciiTheme="minorHAnsi" w:hAnsiTheme="minorHAnsi" w:cstheme="minorHAnsi"/>
                <w:color w:val="000000"/>
                <w:sz w:val="18"/>
                <w:szCs w:val="18"/>
              </w:rPr>
              <w:t xml:space="preserve">(HFEM) </w:t>
            </w:r>
            <w:r w:rsidRPr="0088248D">
              <w:rPr>
                <w:rFonts w:asciiTheme="minorHAnsi" w:hAnsiTheme="minorHAnsi" w:cstheme="minorHAnsi"/>
                <w:color w:val="000000"/>
                <w:sz w:val="18"/>
                <w:szCs w:val="18"/>
              </w:rPr>
              <w:t>in patients who have had an inadequate response, intolerance or a contraindication to at least three prophylactic migraine medications.</w:t>
            </w:r>
          </w:p>
        </w:tc>
        <w:tc>
          <w:tcPr>
            <w:tcW w:w="1987" w:type="dxa"/>
            <w:shd w:val="clear" w:color="auto" w:fill="auto"/>
            <w:vAlign w:val="center"/>
          </w:tcPr>
          <w:p w14:paraId="0BC4B36B" w14:textId="0D2BDD63" w:rsidR="007D090A" w:rsidRPr="0088248D" w:rsidRDefault="007D090A" w:rsidP="007D090A">
            <w:pPr>
              <w:pStyle w:val="ListParagraph"/>
              <w:keepLines/>
              <w:ind w:left="0"/>
              <w:jc w:val="center"/>
              <w:rPr>
                <w:rFonts w:asciiTheme="minorHAnsi" w:hAnsiTheme="minorHAnsi" w:cstheme="minorHAnsi"/>
                <w:color w:val="000000"/>
                <w:sz w:val="18"/>
                <w:szCs w:val="18"/>
              </w:rPr>
            </w:pPr>
            <w:r w:rsidRPr="0088248D">
              <w:rPr>
                <w:rFonts w:asciiTheme="minorHAnsi" w:hAnsiTheme="minorHAnsi" w:cstheme="minorHAnsi"/>
                <w:color w:val="000000"/>
                <w:sz w:val="18"/>
                <w:szCs w:val="18"/>
              </w:rPr>
              <w:t>Recommended</w:t>
            </w:r>
          </w:p>
        </w:tc>
        <w:tc>
          <w:tcPr>
            <w:tcW w:w="4336" w:type="dxa"/>
            <w:shd w:val="clear" w:color="auto" w:fill="auto"/>
            <w:vAlign w:val="center"/>
          </w:tcPr>
          <w:p w14:paraId="1423B470" w14:textId="577E7627" w:rsidR="007D090A" w:rsidRPr="00D60E67" w:rsidRDefault="007D090A" w:rsidP="007D090A">
            <w:pPr>
              <w:pStyle w:val="ListParagraph"/>
              <w:keepLines/>
              <w:ind w:left="0"/>
              <w:rPr>
                <w:rFonts w:asciiTheme="minorHAnsi" w:hAnsiTheme="minorHAnsi" w:cstheme="minorHAnsi"/>
                <w:color w:val="000000"/>
                <w:sz w:val="18"/>
                <w:szCs w:val="18"/>
              </w:rPr>
            </w:pPr>
            <w:r w:rsidRPr="0088248D">
              <w:rPr>
                <w:rFonts w:asciiTheme="minorHAnsi" w:hAnsiTheme="minorHAnsi" w:cstheme="minorHAnsi"/>
                <w:color w:val="000000"/>
                <w:sz w:val="18"/>
                <w:szCs w:val="18"/>
              </w:rPr>
              <w:t xml:space="preserve">The PBAC recommended amending the current listing of fremanezumab for chronic migraine to include the treatment of patients with treatment-resistant HFEM. Consistent with its March 2022 recommendation for galcanezumab in this population, the PBAC considered fremanezumab would be cost-effective for the HFEM population at a price no higher than the effective price for fremanezumab for patients with chronic migraine. The PBAC considered that the treatment-resistant HFEM population should be included in the current </w:t>
            </w:r>
            <w:r w:rsidR="003D1303">
              <w:rPr>
                <w:rFonts w:asciiTheme="minorHAnsi" w:hAnsiTheme="minorHAnsi" w:cstheme="minorHAnsi"/>
                <w:color w:val="000000"/>
                <w:sz w:val="18"/>
                <w:szCs w:val="18"/>
              </w:rPr>
              <w:t xml:space="preserve">risk sharing arrangement (RSA) </w:t>
            </w:r>
            <w:r w:rsidRPr="00D60E67">
              <w:rPr>
                <w:rFonts w:asciiTheme="minorHAnsi" w:hAnsiTheme="minorHAnsi" w:cstheme="minorHAnsi"/>
                <w:color w:val="000000"/>
                <w:sz w:val="18"/>
                <w:szCs w:val="18"/>
              </w:rPr>
              <w:t>in place for chronic migraine. The PBAC noted that patients may move between these categories and considered that including the HFEM population in the RSA would help to manage the risk of use in a broader population where treatment may be less cost-effective.</w:t>
            </w:r>
            <w:r w:rsidR="003D1303">
              <w:rPr>
                <w:rFonts w:asciiTheme="minorHAnsi" w:hAnsiTheme="minorHAnsi" w:cstheme="minorHAnsi"/>
                <w:color w:val="000000"/>
                <w:sz w:val="18"/>
                <w:szCs w:val="18"/>
              </w:rPr>
              <w:t xml:space="preserve"> </w:t>
            </w:r>
            <w:r w:rsidRPr="00D60E67">
              <w:rPr>
                <w:rFonts w:asciiTheme="minorHAnsi" w:hAnsiTheme="minorHAnsi" w:cstheme="minorHAnsi"/>
                <w:color w:val="000000"/>
                <w:sz w:val="18"/>
                <w:szCs w:val="18"/>
              </w:rPr>
              <w:t>The PBAC recommended minor editorial flow</w:t>
            </w:r>
            <w:r w:rsidR="002C1F7B">
              <w:rPr>
                <w:rFonts w:asciiTheme="minorHAnsi" w:hAnsiTheme="minorHAnsi" w:cstheme="minorHAnsi"/>
                <w:color w:val="000000"/>
                <w:sz w:val="18"/>
                <w:szCs w:val="18"/>
              </w:rPr>
              <w:t>-</w:t>
            </w:r>
            <w:r w:rsidRPr="00D60E67">
              <w:rPr>
                <w:rFonts w:asciiTheme="minorHAnsi" w:hAnsiTheme="minorHAnsi" w:cstheme="minorHAnsi"/>
                <w:color w:val="000000"/>
                <w:sz w:val="18"/>
                <w:szCs w:val="18"/>
              </w:rPr>
              <w:t>on changes to the PBS restrictions for other listed or recommended migraine drugs (galcanezumab, eptinezumab).</w:t>
            </w:r>
          </w:p>
        </w:tc>
      </w:tr>
      <w:tr w:rsidR="007D090A" w:rsidRPr="00544497" w14:paraId="12FE3230" w14:textId="77777777" w:rsidTr="0088248D">
        <w:trPr>
          <w:cantSplit/>
          <w:trHeight w:val="2948"/>
          <w:jc w:val="center"/>
        </w:trPr>
        <w:tc>
          <w:tcPr>
            <w:tcW w:w="3013" w:type="dxa"/>
            <w:shd w:val="clear" w:color="auto" w:fill="auto"/>
            <w:tcMar>
              <w:top w:w="28" w:type="dxa"/>
              <w:bottom w:w="28" w:type="dxa"/>
            </w:tcMar>
            <w:vAlign w:val="center"/>
          </w:tcPr>
          <w:p w14:paraId="56B2D095" w14:textId="38BACAD4" w:rsidR="007D090A" w:rsidRPr="00D60E67" w:rsidRDefault="00EE78E9" w:rsidP="007D090A">
            <w:pPr>
              <w:keepLines/>
              <w:jc w:val="center"/>
              <w:rPr>
                <w:rFonts w:asciiTheme="minorHAnsi" w:hAnsiTheme="minorHAnsi" w:cstheme="minorHAnsi"/>
                <w:color w:val="000000"/>
                <w:sz w:val="18"/>
                <w:szCs w:val="18"/>
              </w:rPr>
            </w:pPr>
            <w:r w:rsidRPr="005B1C78">
              <w:rPr>
                <w:rFonts w:asciiTheme="minorHAnsi" w:hAnsiTheme="minorHAnsi" w:cstheme="minorHAnsi"/>
                <w:color w:val="000000"/>
                <w:sz w:val="18"/>
                <w:szCs w:val="18"/>
              </w:rPr>
              <w:t>GLYCOMACROPEPTIDE FORMULA WITH LONG CHAIN POLYUNSATURATED FATTY ACIDS AND DOCOSAHEXAENOIC ACID AND LOW IN PHENYLALANINE</w:t>
            </w:r>
            <w:r>
              <w:rPr>
                <w:rFonts w:asciiTheme="minorHAnsi" w:hAnsiTheme="minorHAnsi" w:cstheme="minorHAnsi"/>
                <w:color w:val="000000"/>
                <w:sz w:val="18"/>
                <w:szCs w:val="18"/>
              </w:rPr>
              <w:t xml:space="preserve"> </w:t>
            </w:r>
            <w:r w:rsidR="007D090A" w:rsidRPr="00D60E67">
              <w:rPr>
                <w:rFonts w:asciiTheme="minorHAnsi" w:hAnsiTheme="minorHAnsi" w:cstheme="minorHAnsi"/>
                <w:color w:val="000000"/>
                <w:sz w:val="18"/>
                <w:szCs w:val="18"/>
              </w:rPr>
              <w:br/>
            </w:r>
            <w:r w:rsidR="007D090A" w:rsidRPr="00D60E67">
              <w:rPr>
                <w:rFonts w:asciiTheme="minorHAnsi" w:hAnsiTheme="minorHAnsi" w:cstheme="minorHAnsi"/>
                <w:color w:val="000000"/>
                <w:sz w:val="18"/>
                <w:szCs w:val="18"/>
              </w:rPr>
              <w:br/>
              <w:t xml:space="preserve">Oral liquid, 237 mL, 15 (PKU Sphere Liquid) </w:t>
            </w:r>
            <w:r w:rsidR="007D090A" w:rsidRPr="00D60E67">
              <w:rPr>
                <w:rFonts w:asciiTheme="minorHAnsi" w:hAnsiTheme="minorHAnsi" w:cstheme="minorHAnsi"/>
                <w:color w:val="000000"/>
                <w:sz w:val="18"/>
                <w:szCs w:val="18"/>
              </w:rPr>
              <w:br/>
            </w:r>
            <w:r w:rsidR="007D090A" w:rsidRPr="00D60E67">
              <w:rPr>
                <w:rFonts w:asciiTheme="minorHAnsi" w:hAnsiTheme="minorHAnsi" w:cstheme="minorHAnsi"/>
                <w:color w:val="000000"/>
                <w:sz w:val="18"/>
                <w:szCs w:val="18"/>
              </w:rPr>
              <w:br/>
              <w:t>PKU Sphere Liquid</w:t>
            </w:r>
            <w:r w:rsidR="007D090A" w:rsidRPr="00D60E67">
              <w:rPr>
                <w:rFonts w:asciiTheme="minorHAnsi" w:hAnsiTheme="minorHAnsi" w:cstheme="minorHAnsi"/>
                <w:color w:val="000000"/>
                <w:sz w:val="18"/>
                <w:szCs w:val="18"/>
              </w:rPr>
              <w:br/>
            </w:r>
            <w:r w:rsidR="007D090A" w:rsidRPr="00D60E67">
              <w:rPr>
                <w:rFonts w:asciiTheme="minorHAnsi" w:hAnsiTheme="minorHAnsi" w:cstheme="minorHAnsi"/>
                <w:color w:val="000000"/>
                <w:sz w:val="18"/>
                <w:szCs w:val="18"/>
              </w:rPr>
              <w:br/>
              <w:t>VITAFLO AUSTRALIA PTY LIMITED</w:t>
            </w:r>
            <w:r w:rsidR="007D090A" w:rsidRPr="00D60E67">
              <w:rPr>
                <w:rFonts w:asciiTheme="minorHAnsi" w:hAnsiTheme="minorHAnsi" w:cstheme="minorHAnsi"/>
                <w:color w:val="000000"/>
                <w:sz w:val="18"/>
                <w:szCs w:val="18"/>
              </w:rPr>
              <w:br/>
            </w:r>
            <w:r w:rsidR="007D090A" w:rsidRPr="00D60E67">
              <w:rPr>
                <w:rFonts w:asciiTheme="minorHAnsi" w:hAnsiTheme="minorHAnsi" w:cstheme="minorHAnsi"/>
                <w:color w:val="000000"/>
                <w:sz w:val="18"/>
                <w:szCs w:val="18"/>
              </w:rPr>
              <w:br/>
              <w:t>Category 3 submission</w:t>
            </w:r>
            <w:r w:rsidR="007D090A" w:rsidRPr="00D60E67">
              <w:rPr>
                <w:rFonts w:asciiTheme="minorHAnsi" w:hAnsiTheme="minorHAnsi" w:cstheme="minorHAnsi"/>
                <w:color w:val="000000"/>
                <w:sz w:val="18"/>
                <w:szCs w:val="18"/>
              </w:rPr>
              <w:br/>
              <w:t>(New PBS listing)</w:t>
            </w:r>
          </w:p>
        </w:tc>
        <w:tc>
          <w:tcPr>
            <w:tcW w:w="2764" w:type="dxa"/>
            <w:shd w:val="clear" w:color="auto" w:fill="auto"/>
            <w:vAlign w:val="center"/>
          </w:tcPr>
          <w:p w14:paraId="24F8B5E1" w14:textId="0E7F5287" w:rsidR="007D090A" w:rsidRPr="00D60E67" w:rsidRDefault="007D090A" w:rsidP="007D090A">
            <w:pPr>
              <w:keepLines/>
              <w:widowControl w:val="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Phenylketonuria</w:t>
            </w:r>
          </w:p>
        </w:tc>
        <w:tc>
          <w:tcPr>
            <w:tcW w:w="3288" w:type="dxa"/>
            <w:shd w:val="clear" w:color="auto" w:fill="auto"/>
            <w:tcMar>
              <w:top w:w="28" w:type="dxa"/>
              <w:bottom w:w="28" w:type="dxa"/>
            </w:tcMar>
            <w:vAlign w:val="center"/>
          </w:tcPr>
          <w:p w14:paraId="746632BB" w14:textId="0FFCFF0C" w:rsidR="007D090A" w:rsidRPr="00D60E67" w:rsidRDefault="007D090A" w:rsidP="007D090A">
            <w:pPr>
              <w:pStyle w:val="ListParagraph"/>
              <w:keepLines/>
              <w:ind w:left="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To request a General Schedule Restricted Benefit listing for the dietary management of patients with phenylketonuria.</w:t>
            </w:r>
          </w:p>
        </w:tc>
        <w:tc>
          <w:tcPr>
            <w:tcW w:w="1987" w:type="dxa"/>
            <w:shd w:val="clear" w:color="auto" w:fill="auto"/>
            <w:vAlign w:val="center"/>
          </w:tcPr>
          <w:p w14:paraId="0FB52067" w14:textId="6A98E4B7" w:rsidR="007D090A" w:rsidRPr="00D60E67" w:rsidRDefault="007D090A" w:rsidP="007D090A">
            <w:pPr>
              <w:pStyle w:val="ListParagraph"/>
              <w:keepLines/>
              <w:ind w:left="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Recommended</w:t>
            </w:r>
          </w:p>
        </w:tc>
        <w:tc>
          <w:tcPr>
            <w:tcW w:w="4336" w:type="dxa"/>
            <w:shd w:val="clear" w:color="auto" w:fill="auto"/>
            <w:vAlign w:val="center"/>
          </w:tcPr>
          <w:p w14:paraId="32A8DB9F" w14:textId="6410E870" w:rsidR="007D090A" w:rsidRPr="00D60E67" w:rsidRDefault="007D090A" w:rsidP="007D090A">
            <w:pPr>
              <w:pStyle w:val="ListParagraph"/>
              <w:keepLines/>
              <w:ind w:left="0"/>
              <w:rPr>
                <w:rFonts w:asciiTheme="minorHAnsi" w:hAnsiTheme="minorHAnsi" w:cstheme="minorHAnsi"/>
                <w:color w:val="000000"/>
                <w:sz w:val="18"/>
                <w:szCs w:val="18"/>
              </w:rPr>
            </w:pPr>
            <w:r w:rsidRPr="00D60E67">
              <w:rPr>
                <w:rFonts w:asciiTheme="minorHAnsi" w:hAnsiTheme="minorHAnsi" w:cstheme="minorHAnsi"/>
                <w:color w:val="000000"/>
                <w:sz w:val="18"/>
                <w:szCs w:val="18"/>
              </w:rPr>
              <w:t>The PBAC recommended the General Schedule Restricted Benefit listing of glycomacropeptide formula with</w:t>
            </w:r>
            <w:r w:rsidR="00F57F0C">
              <w:rPr>
                <w:rFonts w:asciiTheme="minorHAnsi" w:hAnsiTheme="minorHAnsi" w:cstheme="minorHAnsi"/>
                <w:color w:val="000000"/>
                <w:sz w:val="18"/>
                <w:szCs w:val="18"/>
              </w:rPr>
              <w:t xml:space="preserve"> long chain polyunsaturated fatty acids and</w:t>
            </w:r>
            <w:r w:rsidRPr="00D60E67">
              <w:rPr>
                <w:rFonts w:asciiTheme="minorHAnsi" w:hAnsiTheme="minorHAnsi" w:cstheme="minorHAnsi"/>
                <w:color w:val="000000"/>
                <w:sz w:val="18"/>
                <w:szCs w:val="18"/>
              </w:rPr>
              <w:t xml:space="preserve"> docosahexaenoic acid and low</w:t>
            </w:r>
            <w:r w:rsidR="00F57F0C">
              <w:rPr>
                <w:rFonts w:asciiTheme="minorHAnsi" w:hAnsiTheme="minorHAnsi" w:cstheme="minorHAnsi"/>
                <w:color w:val="000000"/>
                <w:sz w:val="18"/>
                <w:szCs w:val="18"/>
              </w:rPr>
              <w:t xml:space="preserve"> in</w:t>
            </w:r>
            <w:r w:rsidRPr="00D60E67">
              <w:rPr>
                <w:rFonts w:asciiTheme="minorHAnsi" w:hAnsiTheme="minorHAnsi" w:cstheme="minorHAnsi"/>
                <w:color w:val="000000"/>
                <w:sz w:val="18"/>
                <w:szCs w:val="18"/>
              </w:rPr>
              <w:t xml:space="preserve"> phenylalanine, bottle containing oral liquid, 237 mL (PKU Sphere Liquid) for the dietary management of patients with phenylketonuria under the same circumstances as, and on a cost-minimisation basis to, PKU Sphere20® Powder at the same price per gram protein equivalent. </w:t>
            </w:r>
          </w:p>
        </w:tc>
      </w:tr>
      <w:tr w:rsidR="007D090A" w:rsidRPr="00544497" w14:paraId="6A1DA692" w14:textId="77777777" w:rsidTr="0088248D">
        <w:trPr>
          <w:cantSplit/>
          <w:trHeight w:val="2948"/>
          <w:jc w:val="center"/>
        </w:trPr>
        <w:tc>
          <w:tcPr>
            <w:tcW w:w="3013" w:type="dxa"/>
            <w:shd w:val="clear" w:color="auto" w:fill="D9D9D9" w:themeFill="background1" w:themeFillShade="D9"/>
            <w:tcMar>
              <w:top w:w="28" w:type="dxa"/>
              <w:bottom w:w="28" w:type="dxa"/>
            </w:tcMar>
            <w:vAlign w:val="center"/>
          </w:tcPr>
          <w:p w14:paraId="55478C7E" w14:textId="3289966A" w:rsidR="007D090A" w:rsidRPr="00D60E67" w:rsidRDefault="007D090A" w:rsidP="007D090A">
            <w:pPr>
              <w:keepLines/>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lastRenderedPageBreak/>
              <w:t>IBRUTINIB</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Capsule 140 mg</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Imbruvica®</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JANSSEN-CILAG PTY LTD</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Category 2 submission</w:t>
            </w:r>
            <w:r w:rsidRPr="00D60E67">
              <w:rPr>
                <w:rFonts w:asciiTheme="minorHAnsi" w:hAnsiTheme="minorHAnsi" w:cstheme="minorHAnsi"/>
                <w:color w:val="000000"/>
                <w:sz w:val="18"/>
                <w:szCs w:val="18"/>
              </w:rPr>
              <w:br/>
              <w:t>(Change to PBS listing)</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To be considered at a future PBAC meeting</w:t>
            </w:r>
          </w:p>
        </w:tc>
        <w:tc>
          <w:tcPr>
            <w:tcW w:w="2764" w:type="dxa"/>
            <w:shd w:val="clear" w:color="auto" w:fill="D9D9D9" w:themeFill="background1" w:themeFillShade="D9"/>
            <w:vAlign w:val="center"/>
          </w:tcPr>
          <w:p w14:paraId="34E599C9" w14:textId="635C243E" w:rsidR="007D090A" w:rsidRPr="00D60E67" w:rsidRDefault="007D090A" w:rsidP="007D090A">
            <w:pPr>
              <w:keepLines/>
              <w:widowControl w:val="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Chronic lymphocytic leukaemia or small lymphocytic lymphoma</w:t>
            </w:r>
          </w:p>
        </w:tc>
        <w:tc>
          <w:tcPr>
            <w:tcW w:w="3288" w:type="dxa"/>
            <w:shd w:val="clear" w:color="auto" w:fill="D9D9D9" w:themeFill="background1" w:themeFillShade="D9"/>
            <w:tcMar>
              <w:top w:w="28" w:type="dxa"/>
              <w:bottom w:w="28" w:type="dxa"/>
            </w:tcMar>
            <w:vAlign w:val="center"/>
          </w:tcPr>
          <w:p w14:paraId="67498FF4" w14:textId="2C7721E0" w:rsidR="007D090A" w:rsidRPr="00D60E67" w:rsidRDefault="007D090A" w:rsidP="007D090A">
            <w:pPr>
              <w:pStyle w:val="ListParagraph"/>
              <w:keepLines/>
              <w:ind w:left="0"/>
              <w:jc w:val="center"/>
              <w:rPr>
                <w:rFonts w:asciiTheme="minorHAnsi" w:eastAsia="Times New Roman" w:hAnsiTheme="minorHAnsi" w:cstheme="minorHAnsi"/>
                <w:color w:val="000000"/>
                <w:sz w:val="18"/>
                <w:szCs w:val="18"/>
              </w:rPr>
            </w:pPr>
            <w:r w:rsidRPr="00D60E67">
              <w:rPr>
                <w:rFonts w:asciiTheme="minorHAnsi" w:eastAsia="Times New Roman" w:hAnsiTheme="minorHAnsi" w:cstheme="minorHAnsi"/>
                <w:color w:val="000000"/>
                <w:sz w:val="18"/>
                <w:szCs w:val="18"/>
              </w:rPr>
              <w:t>To request a General Schedule Authority Required (Written) listing, for use in combination with venetoclax, for the treatment of previously untreated chronic lymphocytic leukaemia or small lymphocytic lymphoma.</w:t>
            </w:r>
          </w:p>
        </w:tc>
        <w:tc>
          <w:tcPr>
            <w:tcW w:w="1987" w:type="dxa"/>
            <w:shd w:val="clear" w:color="auto" w:fill="D9D9D9" w:themeFill="background1" w:themeFillShade="D9"/>
            <w:vAlign w:val="center"/>
          </w:tcPr>
          <w:p w14:paraId="0C247EFA" w14:textId="2607844E" w:rsidR="007D090A" w:rsidRPr="00D60E67" w:rsidRDefault="007D090A" w:rsidP="007D090A">
            <w:pPr>
              <w:pStyle w:val="ListParagraph"/>
              <w:keepLines/>
              <w:ind w:left="0"/>
              <w:jc w:val="center"/>
              <w:rPr>
                <w:rFonts w:asciiTheme="minorHAnsi" w:eastAsia="Times New Roman" w:hAnsiTheme="minorHAnsi" w:cstheme="minorHAnsi"/>
                <w:color w:val="000000"/>
                <w:sz w:val="18"/>
                <w:szCs w:val="18"/>
              </w:rPr>
            </w:pPr>
            <w:r w:rsidRPr="00D60E67">
              <w:rPr>
                <w:rFonts w:asciiTheme="minorHAnsi" w:eastAsia="Times New Roman" w:hAnsiTheme="minorHAnsi" w:cstheme="minorHAnsi"/>
                <w:color w:val="000000"/>
                <w:sz w:val="18"/>
                <w:szCs w:val="18"/>
              </w:rPr>
              <w:t>Not Applicable</w:t>
            </w:r>
          </w:p>
        </w:tc>
        <w:tc>
          <w:tcPr>
            <w:tcW w:w="4336" w:type="dxa"/>
            <w:shd w:val="clear" w:color="auto" w:fill="D9D9D9" w:themeFill="background1" w:themeFillShade="D9"/>
            <w:vAlign w:val="center"/>
          </w:tcPr>
          <w:p w14:paraId="6F27EF8B" w14:textId="40571290" w:rsidR="007D090A" w:rsidRPr="00D60E67" w:rsidRDefault="007D090A" w:rsidP="0088248D">
            <w:pPr>
              <w:rPr>
                <w:rFonts w:asciiTheme="minorHAnsi" w:hAnsiTheme="minorHAnsi" w:cstheme="minorHAnsi"/>
                <w:sz w:val="18"/>
                <w:szCs w:val="18"/>
                <w:highlight w:val="yellow"/>
              </w:rPr>
            </w:pPr>
            <w:r w:rsidRPr="00D60E67">
              <w:rPr>
                <w:rFonts w:asciiTheme="minorHAnsi" w:hAnsiTheme="minorHAnsi" w:cstheme="minorHAnsi"/>
                <w:color w:val="000000"/>
                <w:sz w:val="18"/>
                <w:szCs w:val="18"/>
              </w:rPr>
              <w:t>This item is to be considered at a future PBAC meeting.</w:t>
            </w:r>
          </w:p>
        </w:tc>
      </w:tr>
      <w:tr w:rsidR="007D090A" w:rsidRPr="00544497" w14:paraId="03411DCB" w14:textId="77777777" w:rsidTr="0088248D">
        <w:trPr>
          <w:cantSplit/>
          <w:trHeight w:val="2948"/>
          <w:jc w:val="center"/>
        </w:trPr>
        <w:tc>
          <w:tcPr>
            <w:tcW w:w="3013" w:type="dxa"/>
            <w:shd w:val="clear" w:color="auto" w:fill="auto"/>
            <w:tcMar>
              <w:top w:w="28" w:type="dxa"/>
              <w:bottom w:w="28" w:type="dxa"/>
            </w:tcMar>
            <w:vAlign w:val="center"/>
          </w:tcPr>
          <w:p w14:paraId="2F2AC7F2" w14:textId="4F72AC1D" w:rsidR="007D090A" w:rsidRPr="0088248D" w:rsidRDefault="007D090A" w:rsidP="007D090A">
            <w:pPr>
              <w:keepLines/>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INFLIXIMAB</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Solution for injection 120 mg in 1</w:t>
            </w:r>
            <w:r w:rsidR="00C468CE">
              <w:rPr>
                <w:rFonts w:asciiTheme="minorHAnsi" w:hAnsiTheme="minorHAnsi" w:cstheme="minorHAnsi"/>
                <w:color w:val="000000"/>
                <w:sz w:val="18"/>
                <w:szCs w:val="18"/>
              </w:rPr>
              <w:t> </w:t>
            </w:r>
            <w:r w:rsidRPr="00D60E67">
              <w:rPr>
                <w:rFonts w:asciiTheme="minorHAnsi" w:hAnsiTheme="minorHAnsi" w:cstheme="minorHAnsi"/>
                <w:color w:val="000000"/>
                <w:sz w:val="18"/>
                <w:szCs w:val="18"/>
              </w:rPr>
              <w:t xml:space="preserve">mL </w:t>
            </w:r>
            <w:r w:rsidRPr="00D60E67">
              <w:rPr>
                <w:rFonts w:asciiTheme="minorHAnsi" w:hAnsiTheme="minorHAnsi" w:cstheme="minorHAnsi"/>
                <w:color w:val="000000"/>
                <w:sz w:val="18"/>
                <w:szCs w:val="18"/>
              </w:rPr>
              <w:br/>
              <w:t>pre-filled pen</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Solution for injection 120 mg in 1</w:t>
            </w:r>
            <w:r w:rsidR="00C468CE">
              <w:rPr>
                <w:rFonts w:asciiTheme="minorHAnsi" w:hAnsiTheme="minorHAnsi" w:cstheme="minorHAnsi"/>
                <w:color w:val="000000"/>
                <w:sz w:val="18"/>
                <w:szCs w:val="18"/>
              </w:rPr>
              <w:t> </w:t>
            </w:r>
            <w:r w:rsidRPr="0088248D">
              <w:rPr>
                <w:rFonts w:asciiTheme="minorHAnsi" w:hAnsiTheme="minorHAnsi" w:cstheme="minorHAnsi"/>
                <w:color w:val="000000"/>
                <w:sz w:val="18"/>
                <w:szCs w:val="18"/>
              </w:rPr>
              <w:t xml:space="preserve">mL </w:t>
            </w:r>
            <w:r w:rsidRPr="0088248D">
              <w:rPr>
                <w:rFonts w:asciiTheme="minorHAnsi" w:hAnsiTheme="minorHAnsi" w:cstheme="minorHAnsi"/>
                <w:color w:val="000000"/>
                <w:sz w:val="18"/>
                <w:szCs w:val="18"/>
              </w:rPr>
              <w:br/>
              <w:t xml:space="preserve">pre-filled syringe </w:t>
            </w:r>
            <w:r w:rsidRPr="0088248D">
              <w:rPr>
                <w:rFonts w:asciiTheme="minorHAnsi" w:hAnsiTheme="minorHAnsi" w:cstheme="minorHAnsi"/>
                <w:color w:val="000000"/>
                <w:sz w:val="18"/>
                <w:szCs w:val="18"/>
              </w:rPr>
              <w:br/>
            </w:r>
            <w:r w:rsidRPr="0088248D">
              <w:rPr>
                <w:rFonts w:asciiTheme="minorHAnsi" w:hAnsiTheme="minorHAnsi" w:cstheme="minorHAnsi"/>
                <w:color w:val="000000"/>
                <w:sz w:val="18"/>
                <w:szCs w:val="18"/>
              </w:rPr>
              <w:br/>
              <w:t>Remsima® SC</w:t>
            </w:r>
            <w:r w:rsidRPr="0088248D">
              <w:rPr>
                <w:rFonts w:asciiTheme="minorHAnsi" w:hAnsiTheme="minorHAnsi" w:cstheme="minorHAnsi"/>
                <w:color w:val="000000"/>
                <w:sz w:val="18"/>
                <w:szCs w:val="18"/>
              </w:rPr>
              <w:br/>
            </w:r>
            <w:r w:rsidRPr="0088248D">
              <w:rPr>
                <w:rFonts w:asciiTheme="minorHAnsi" w:hAnsiTheme="minorHAnsi" w:cstheme="minorHAnsi"/>
                <w:color w:val="000000"/>
                <w:sz w:val="18"/>
                <w:szCs w:val="18"/>
              </w:rPr>
              <w:br/>
              <w:t>CELLTRION HEALTHCARE AUSTRALIA PTY LTD</w:t>
            </w:r>
            <w:r w:rsidRPr="0088248D">
              <w:rPr>
                <w:rFonts w:asciiTheme="minorHAnsi" w:hAnsiTheme="minorHAnsi" w:cstheme="minorHAnsi"/>
                <w:color w:val="000000"/>
                <w:sz w:val="18"/>
                <w:szCs w:val="18"/>
              </w:rPr>
              <w:br/>
            </w:r>
            <w:r w:rsidRPr="0088248D">
              <w:rPr>
                <w:rFonts w:asciiTheme="minorHAnsi" w:hAnsiTheme="minorHAnsi" w:cstheme="minorHAnsi"/>
                <w:color w:val="000000"/>
                <w:sz w:val="18"/>
                <w:szCs w:val="18"/>
              </w:rPr>
              <w:br/>
              <w:t>Category 3 submission</w:t>
            </w:r>
            <w:r w:rsidRPr="0088248D">
              <w:rPr>
                <w:rFonts w:asciiTheme="minorHAnsi" w:hAnsiTheme="minorHAnsi" w:cstheme="minorHAnsi"/>
                <w:color w:val="000000"/>
                <w:sz w:val="18"/>
                <w:szCs w:val="18"/>
              </w:rPr>
              <w:br/>
              <w:t>(Change to PBS listing)</w:t>
            </w:r>
          </w:p>
        </w:tc>
        <w:tc>
          <w:tcPr>
            <w:tcW w:w="2764" w:type="dxa"/>
            <w:shd w:val="clear" w:color="auto" w:fill="auto"/>
            <w:vAlign w:val="center"/>
          </w:tcPr>
          <w:p w14:paraId="17456875" w14:textId="41388240" w:rsidR="007D090A" w:rsidRPr="0088248D" w:rsidRDefault="007D090A" w:rsidP="007D090A">
            <w:pPr>
              <w:keepLines/>
              <w:widowControl w:val="0"/>
              <w:jc w:val="center"/>
              <w:rPr>
                <w:rFonts w:asciiTheme="minorHAnsi" w:hAnsiTheme="minorHAnsi" w:cstheme="minorHAnsi"/>
                <w:color w:val="000000"/>
                <w:sz w:val="18"/>
                <w:szCs w:val="18"/>
              </w:rPr>
            </w:pPr>
            <w:r w:rsidRPr="0088248D">
              <w:rPr>
                <w:rFonts w:asciiTheme="minorHAnsi" w:hAnsiTheme="minorHAnsi" w:cstheme="minorHAnsi"/>
                <w:color w:val="000000"/>
                <w:sz w:val="18"/>
                <w:szCs w:val="18"/>
              </w:rPr>
              <w:t>Rheumatoid arthritis</w:t>
            </w:r>
          </w:p>
        </w:tc>
        <w:tc>
          <w:tcPr>
            <w:tcW w:w="3288" w:type="dxa"/>
            <w:shd w:val="clear" w:color="auto" w:fill="auto"/>
            <w:tcMar>
              <w:top w:w="28" w:type="dxa"/>
              <w:bottom w:w="28" w:type="dxa"/>
            </w:tcMar>
            <w:vAlign w:val="center"/>
          </w:tcPr>
          <w:p w14:paraId="5CC5064D" w14:textId="2FE9B68E" w:rsidR="007D090A" w:rsidRPr="0088248D" w:rsidRDefault="007D090A" w:rsidP="007D090A">
            <w:pPr>
              <w:pStyle w:val="ListParagraph"/>
              <w:keepLines/>
              <w:ind w:left="0"/>
              <w:jc w:val="center"/>
              <w:rPr>
                <w:rFonts w:asciiTheme="minorHAnsi" w:eastAsia="Times New Roman" w:hAnsiTheme="minorHAnsi" w:cstheme="minorHAnsi"/>
                <w:color w:val="000000"/>
                <w:sz w:val="18"/>
                <w:szCs w:val="18"/>
              </w:rPr>
            </w:pPr>
            <w:r w:rsidRPr="0088248D">
              <w:rPr>
                <w:rFonts w:asciiTheme="minorHAnsi" w:hAnsiTheme="minorHAnsi" w:cstheme="minorHAnsi"/>
                <w:color w:val="000000"/>
                <w:sz w:val="18"/>
                <w:szCs w:val="18"/>
              </w:rPr>
              <w:t>To request a Section 100 (Highly Specialised Drugs Program) Authority Required listing for initial treatment of severe active rheumatoid arthritis.</w:t>
            </w:r>
          </w:p>
        </w:tc>
        <w:tc>
          <w:tcPr>
            <w:tcW w:w="1987" w:type="dxa"/>
            <w:shd w:val="clear" w:color="auto" w:fill="auto"/>
            <w:vAlign w:val="center"/>
          </w:tcPr>
          <w:p w14:paraId="0D8FA1DA" w14:textId="340D2F3E" w:rsidR="007D090A" w:rsidRPr="0088248D" w:rsidRDefault="007D090A" w:rsidP="007D090A">
            <w:pPr>
              <w:pStyle w:val="ListParagraph"/>
              <w:keepLines/>
              <w:ind w:left="0"/>
              <w:jc w:val="center"/>
              <w:rPr>
                <w:rFonts w:asciiTheme="minorHAnsi" w:eastAsia="Times New Roman" w:hAnsiTheme="minorHAnsi" w:cstheme="minorHAnsi"/>
                <w:color w:val="000000"/>
                <w:sz w:val="18"/>
                <w:szCs w:val="18"/>
              </w:rPr>
            </w:pPr>
            <w:r w:rsidRPr="0088248D">
              <w:rPr>
                <w:rFonts w:asciiTheme="minorHAnsi" w:hAnsiTheme="minorHAnsi" w:cstheme="minorHAnsi"/>
                <w:color w:val="000000"/>
                <w:sz w:val="18"/>
                <w:szCs w:val="18"/>
              </w:rPr>
              <w:t>Recommended</w:t>
            </w:r>
          </w:p>
        </w:tc>
        <w:tc>
          <w:tcPr>
            <w:tcW w:w="4336" w:type="dxa"/>
            <w:shd w:val="clear" w:color="auto" w:fill="auto"/>
            <w:vAlign w:val="center"/>
          </w:tcPr>
          <w:p w14:paraId="5A40CE8F" w14:textId="794226DB" w:rsidR="007D090A" w:rsidRPr="0088248D" w:rsidRDefault="007D090A" w:rsidP="007D090A">
            <w:pPr>
              <w:rPr>
                <w:rFonts w:asciiTheme="minorHAnsi" w:hAnsiTheme="minorHAnsi" w:cstheme="minorHAnsi"/>
                <w:color w:val="000000"/>
                <w:sz w:val="18"/>
                <w:szCs w:val="18"/>
              </w:rPr>
            </w:pPr>
            <w:r w:rsidRPr="0088248D">
              <w:rPr>
                <w:rFonts w:asciiTheme="minorHAnsi" w:hAnsiTheme="minorHAnsi" w:cstheme="minorHAnsi"/>
                <w:color w:val="000000"/>
                <w:sz w:val="18"/>
                <w:szCs w:val="18"/>
              </w:rPr>
              <w:t>The PBAC recommended a new Authority Required listing that provides loading doses for infliximab (Remsima® SC) for the treatment of severe active rheumatoid arthritis whereby 120 mg is given subcutaneously at weeks 0, 1, 2, 3 and 4, and then every 2 weeks thereafter. The PBAC’s recommendation was made on the basis that, among other matters, it should be listed on a cost</w:t>
            </w:r>
            <w:r w:rsidR="00503C6D">
              <w:rPr>
                <w:rFonts w:asciiTheme="minorHAnsi" w:hAnsiTheme="minorHAnsi" w:cstheme="minorHAnsi"/>
                <w:color w:val="000000"/>
                <w:sz w:val="18"/>
                <w:szCs w:val="18"/>
              </w:rPr>
              <w:t>-</w:t>
            </w:r>
            <w:r w:rsidRPr="0088248D">
              <w:rPr>
                <w:rFonts w:asciiTheme="minorHAnsi" w:hAnsiTheme="minorHAnsi" w:cstheme="minorHAnsi"/>
                <w:color w:val="000000"/>
                <w:sz w:val="18"/>
                <w:szCs w:val="18"/>
              </w:rPr>
              <w:t>minimisation basis with the lowest cost alternative treatment, calculated over 2</w:t>
            </w:r>
            <w:r w:rsidR="00CF6EB7">
              <w:rPr>
                <w:rFonts w:asciiTheme="minorHAnsi" w:hAnsiTheme="minorHAnsi" w:cstheme="minorHAnsi"/>
                <w:color w:val="000000"/>
                <w:sz w:val="18"/>
                <w:szCs w:val="18"/>
              </w:rPr>
              <w:t> </w:t>
            </w:r>
            <w:r w:rsidRPr="0088248D">
              <w:rPr>
                <w:rFonts w:asciiTheme="minorHAnsi" w:hAnsiTheme="minorHAnsi" w:cstheme="minorHAnsi"/>
                <w:color w:val="000000"/>
                <w:sz w:val="18"/>
                <w:szCs w:val="18"/>
              </w:rPr>
              <w:t>years at the ex-manufacturer price.</w:t>
            </w:r>
          </w:p>
        </w:tc>
      </w:tr>
      <w:tr w:rsidR="007D090A" w:rsidRPr="00544497" w14:paraId="2A9E90FC" w14:textId="77777777" w:rsidTr="0088248D">
        <w:trPr>
          <w:cantSplit/>
          <w:trHeight w:val="2948"/>
          <w:jc w:val="center"/>
        </w:trPr>
        <w:tc>
          <w:tcPr>
            <w:tcW w:w="3013" w:type="dxa"/>
            <w:shd w:val="clear" w:color="auto" w:fill="auto"/>
            <w:tcMar>
              <w:top w:w="28" w:type="dxa"/>
              <w:bottom w:w="28" w:type="dxa"/>
            </w:tcMar>
            <w:vAlign w:val="center"/>
          </w:tcPr>
          <w:p w14:paraId="127FF454" w14:textId="62E3BA24" w:rsidR="007D090A" w:rsidRPr="00D60E67" w:rsidRDefault="007D090A" w:rsidP="007D090A">
            <w:pPr>
              <w:keepLines/>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lastRenderedPageBreak/>
              <w:t xml:space="preserve">LANREOTIDE </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Injection 60 mg (as acetate) in single dose pre-filled syringe</w:t>
            </w:r>
            <w:r w:rsidRPr="00D60E67">
              <w:rPr>
                <w:rFonts w:asciiTheme="minorHAnsi" w:hAnsiTheme="minorHAnsi" w:cstheme="minorHAnsi"/>
                <w:color w:val="000000"/>
                <w:sz w:val="18"/>
                <w:szCs w:val="18"/>
              </w:rPr>
              <w:br/>
              <w:t>Injection 90 mg (as acetate) in single dose pre-filled syringe</w:t>
            </w:r>
            <w:r w:rsidRPr="00D60E67">
              <w:rPr>
                <w:rFonts w:asciiTheme="minorHAnsi" w:hAnsiTheme="minorHAnsi" w:cstheme="minorHAnsi"/>
                <w:color w:val="000000"/>
                <w:sz w:val="18"/>
                <w:szCs w:val="18"/>
              </w:rPr>
              <w:br/>
              <w:t>Injection 120 mg (as acetate) in single dose pre-filled syringe</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Mytolac®</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AMDIPHARM MERCURY (AUSTRALIA) PTY LIMITED</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Category 3 submission</w:t>
            </w:r>
            <w:r w:rsidRPr="00D60E67">
              <w:rPr>
                <w:rFonts w:asciiTheme="minorHAnsi" w:hAnsiTheme="minorHAnsi" w:cstheme="minorHAnsi"/>
                <w:color w:val="000000"/>
                <w:sz w:val="18"/>
                <w:szCs w:val="18"/>
              </w:rPr>
              <w:br/>
              <w:t>(New PBS listing)</w:t>
            </w:r>
          </w:p>
        </w:tc>
        <w:tc>
          <w:tcPr>
            <w:tcW w:w="2764" w:type="dxa"/>
            <w:shd w:val="clear" w:color="auto" w:fill="auto"/>
            <w:vAlign w:val="center"/>
          </w:tcPr>
          <w:p w14:paraId="5816D211" w14:textId="77777777" w:rsidR="00C468CE" w:rsidRDefault="007D090A" w:rsidP="007D090A">
            <w:pPr>
              <w:keepLines/>
              <w:widowControl w:val="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 xml:space="preserve">Acromegaly </w:t>
            </w:r>
          </w:p>
          <w:p w14:paraId="6C845B2E" w14:textId="77777777" w:rsidR="00C468CE" w:rsidRDefault="007D090A" w:rsidP="007D090A">
            <w:pPr>
              <w:keepLines/>
              <w:widowControl w:val="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 xml:space="preserve">Functional carcinoid tumour </w:t>
            </w:r>
          </w:p>
          <w:p w14:paraId="51CCFEA0" w14:textId="7E85C285" w:rsidR="007D090A" w:rsidRPr="0004257E" w:rsidRDefault="007D090A" w:rsidP="007D090A">
            <w:pPr>
              <w:keepLines/>
              <w:widowControl w:val="0"/>
              <w:jc w:val="center"/>
              <w:rPr>
                <w:rFonts w:asciiTheme="minorHAnsi" w:hAnsiTheme="minorHAnsi" w:cstheme="minorHAnsi"/>
                <w:color w:val="000000"/>
                <w:sz w:val="18"/>
                <w:szCs w:val="18"/>
              </w:rPr>
            </w:pPr>
            <w:r w:rsidRPr="0004257E">
              <w:rPr>
                <w:rFonts w:asciiTheme="minorHAnsi" w:hAnsiTheme="minorHAnsi" w:cstheme="minorHAnsi"/>
                <w:color w:val="000000"/>
                <w:sz w:val="18"/>
                <w:szCs w:val="18"/>
              </w:rPr>
              <w:t>Non-functional gastroenteropancreatic neuroendocrine tumour (GEP-NET)</w:t>
            </w:r>
          </w:p>
        </w:tc>
        <w:tc>
          <w:tcPr>
            <w:tcW w:w="3288" w:type="dxa"/>
            <w:shd w:val="clear" w:color="auto" w:fill="auto"/>
            <w:tcMar>
              <w:top w:w="28" w:type="dxa"/>
              <w:bottom w:w="28" w:type="dxa"/>
            </w:tcMar>
            <w:vAlign w:val="center"/>
          </w:tcPr>
          <w:p w14:paraId="40511E3C" w14:textId="2CAADF16" w:rsidR="007D090A" w:rsidRPr="0004257E" w:rsidRDefault="007D090A" w:rsidP="007D090A">
            <w:pPr>
              <w:pStyle w:val="ListParagraph"/>
              <w:keepLines/>
              <w:ind w:left="0"/>
              <w:jc w:val="center"/>
              <w:rPr>
                <w:rFonts w:asciiTheme="minorHAnsi" w:hAnsiTheme="minorHAnsi" w:cstheme="minorHAnsi"/>
                <w:color w:val="000000"/>
                <w:sz w:val="18"/>
                <w:szCs w:val="18"/>
              </w:rPr>
            </w:pPr>
            <w:r w:rsidRPr="0004257E">
              <w:rPr>
                <w:rFonts w:asciiTheme="minorHAnsi" w:hAnsiTheme="minorHAnsi" w:cstheme="minorHAnsi"/>
                <w:color w:val="000000"/>
                <w:sz w:val="18"/>
                <w:szCs w:val="18"/>
              </w:rPr>
              <w:t>To request Section 100 (Highly Specialised Drugs Program) Authority Required (STREAMLINED) listing of a new pre-filled syringe under the same conditions as the current pre-filled syringe.</w:t>
            </w:r>
          </w:p>
        </w:tc>
        <w:tc>
          <w:tcPr>
            <w:tcW w:w="1987" w:type="dxa"/>
            <w:shd w:val="clear" w:color="auto" w:fill="auto"/>
            <w:vAlign w:val="center"/>
          </w:tcPr>
          <w:p w14:paraId="0301C309" w14:textId="254BE93B" w:rsidR="007D090A" w:rsidRPr="0004257E" w:rsidRDefault="007D090A" w:rsidP="007D090A">
            <w:pPr>
              <w:pStyle w:val="ListParagraph"/>
              <w:keepLines/>
              <w:ind w:left="0"/>
              <w:jc w:val="center"/>
              <w:rPr>
                <w:rFonts w:asciiTheme="minorHAnsi" w:hAnsiTheme="minorHAnsi" w:cstheme="minorHAnsi"/>
                <w:color w:val="000000"/>
                <w:sz w:val="18"/>
                <w:szCs w:val="18"/>
              </w:rPr>
            </w:pPr>
            <w:r w:rsidRPr="0004257E">
              <w:rPr>
                <w:rFonts w:asciiTheme="minorHAnsi" w:hAnsiTheme="minorHAnsi" w:cstheme="minorHAnsi"/>
                <w:color w:val="000000"/>
                <w:sz w:val="18"/>
                <w:szCs w:val="18"/>
              </w:rPr>
              <w:t>Recommended</w:t>
            </w:r>
          </w:p>
        </w:tc>
        <w:tc>
          <w:tcPr>
            <w:tcW w:w="4336" w:type="dxa"/>
            <w:shd w:val="clear" w:color="auto" w:fill="auto"/>
            <w:vAlign w:val="center"/>
          </w:tcPr>
          <w:p w14:paraId="75A3DE93" w14:textId="29879A0D" w:rsidR="007D090A" w:rsidRPr="00D60E67" w:rsidRDefault="007D090A" w:rsidP="007D090A">
            <w:pPr>
              <w:rPr>
                <w:rFonts w:asciiTheme="minorHAnsi" w:hAnsiTheme="minorHAnsi" w:cstheme="minorHAnsi"/>
                <w:color w:val="000000"/>
                <w:sz w:val="18"/>
                <w:szCs w:val="18"/>
              </w:rPr>
            </w:pPr>
            <w:r w:rsidRPr="0004257E">
              <w:rPr>
                <w:rFonts w:asciiTheme="minorHAnsi" w:hAnsiTheme="minorHAnsi" w:cstheme="minorHAnsi"/>
                <w:color w:val="000000"/>
                <w:sz w:val="18"/>
                <w:szCs w:val="18"/>
              </w:rPr>
              <w:t xml:space="preserve">The PBAC recommended the Authority Required listing of lanreotide (Mytolac®) </w:t>
            </w:r>
            <w:r w:rsidR="00C468CE" w:rsidRPr="0004257E">
              <w:rPr>
                <w:rFonts w:asciiTheme="minorHAnsi" w:hAnsiTheme="minorHAnsi" w:cstheme="minorHAnsi"/>
                <w:color w:val="000000"/>
                <w:sz w:val="18"/>
                <w:szCs w:val="18"/>
              </w:rPr>
              <w:t>60</w:t>
            </w:r>
            <w:r w:rsidR="00C468CE">
              <w:rPr>
                <w:rFonts w:asciiTheme="minorHAnsi" w:hAnsiTheme="minorHAnsi" w:cstheme="minorHAnsi"/>
                <w:color w:val="000000"/>
                <w:sz w:val="18"/>
                <w:szCs w:val="18"/>
              </w:rPr>
              <w:t> </w:t>
            </w:r>
            <w:r w:rsidRPr="00D60E67">
              <w:rPr>
                <w:rFonts w:asciiTheme="minorHAnsi" w:hAnsiTheme="minorHAnsi" w:cstheme="minorHAnsi"/>
                <w:color w:val="000000"/>
                <w:sz w:val="18"/>
                <w:szCs w:val="18"/>
              </w:rPr>
              <w:t>mg, 90</w:t>
            </w:r>
            <w:r w:rsidR="00C468CE">
              <w:rPr>
                <w:rFonts w:asciiTheme="minorHAnsi" w:hAnsiTheme="minorHAnsi" w:cstheme="minorHAnsi"/>
                <w:color w:val="000000"/>
                <w:sz w:val="18"/>
                <w:szCs w:val="18"/>
              </w:rPr>
              <w:t> </w:t>
            </w:r>
            <w:r w:rsidRPr="0004257E">
              <w:rPr>
                <w:rFonts w:asciiTheme="minorHAnsi" w:hAnsiTheme="minorHAnsi" w:cstheme="minorHAnsi"/>
                <w:color w:val="000000"/>
                <w:sz w:val="18"/>
                <w:szCs w:val="18"/>
              </w:rPr>
              <w:t>mg and 120</w:t>
            </w:r>
            <w:r w:rsidR="00C468CE">
              <w:rPr>
                <w:rFonts w:asciiTheme="minorHAnsi" w:hAnsiTheme="minorHAnsi" w:cstheme="minorHAnsi"/>
                <w:color w:val="000000"/>
                <w:sz w:val="18"/>
                <w:szCs w:val="18"/>
              </w:rPr>
              <w:t> </w:t>
            </w:r>
            <w:r w:rsidRPr="0088248D">
              <w:rPr>
                <w:rFonts w:asciiTheme="minorHAnsi" w:hAnsiTheme="minorHAnsi" w:cstheme="minorHAnsi"/>
                <w:color w:val="000000"/>
                <w:sz w:val="18"/>
                <w:szCs w:val="18"/>
              </w:rPr>
              <w:t xml:space="preserve">mg (as acetate) in pre-filled, single use syringe as part of the Section 100 </w:t>
            </w:r>
            <w:r w:rsidR="00C468CE">
              <w:rPr>
                <w:rFonts w:asciiTheme="minorHAnsi" w:hAnsiTheme="minorHAnsi" w:cstheme="minorHAnsi"/>
                <w:color w:val="000000"/>
                <w:sz w:val="18"/>
                <w:szCs w:val="18"/>
              </w:rPr>
              <w:t>(</w:t>
            </w:r>
            <w:r w:rsidRPr="0004257E">
              <w:rPr>
                <w:rFonts w:asciiTheme="minorHAnsi" w:hAnsiTheme="minorHAnsi" w:cstheme="minorHAnsi"/>
                <w:color w:val="000000"/>
                <w:sz w:val="18"/>
                <w:szCs w:val="18"/>
              </w:rPr>
              <w:t>Highly Specialised Drug Program</w:t>
            </w:r>
            <w:r w:rsidR="00C468CE">
              <w:rPr>
                <w:rFonts w:asciiTheme="minorHAnsi" w:hAnsiTheme="minorHAnsi" w:cstheme="minorHAnsi"/>
                <w:color w:val="000000"/>
                <w:sz w:val="18"/>
                <w:szCs w:val="18"/>
              </w:rPr>
              <w:t>)</w:t>
            </w:r>
            <w:r w:rsidRPr="00D60E67">
              <w:rPr>
                <w:rFonts w:asciiTheme="minorHAnsi" w:hAnsiTheme="minorHAnsi" w:cstheme="minorHAnsi"/>
                <w:color w:val="000000"/>
                <w:sz w:val="18"/>
                <w:szCs w:val="18"/>
              </w:rPr>
              <w:t xml:space="preserve"> under the same circumstances as the PBS-listed reference brand Somatuline Autogel®. The PBAC’s recommendation for listing was based on, among other matters, its assessment that the cost</w:t>
            </w:r>
            <w:r w:rsidR="00503C6D">
              <w:rPr>
                <w:rFonts w:asciiTheme="minorHAnsi" w:hAnsiTheme="minorHAnsi" w:cstheme="minorHAnsi"/>
                <w:color w:val="000000"/>
                <w:sz w:val="18"/>
                <w:szCs w:val="18"/>
              </w:rPr>
              <w:t>-</w:t>
            </w:r>
            <w:r w:rsidRPr="00D60E67">
              <w:rPr>
                <w:rFonts w:asciiTheme="minorHAnsi" w:hAnsiTheme="minorHAnsi" w:cstheme="minorHAnsi"/>
                <w:color w:val="000000"/>
                <w:sz w:val="18"/>
                <w:szCs w:val="18"/>
              </w:rPr>
              <w:t>effectiveness of Mytolac</w:t>
            </w:r>
            <w:r w:rsidR="00C468CE">
              <w:rPr>
                <w:rFonts w:asciiTheme="minorHAnsi" w:hAnsiTheme="minorHAnsi" w:cstheme="minorHAnsi"/>
                <w:color w:val="000000"/>
                <w:sz w:val="18"/>
                <w:szCs w:val="18"/>
              </w:rPr>
              <w:t>®</w:t>
            </w:r>
            <w:r w:rsidRPr="00D60E67">
              <w:rPr>
                <w:rFonts w:asciiTheme="minorHAnsi" w:hAnsiTheme="minorHAnsi" w:cstheme="minorHAnsi"/>
                <w:color w:val="000000"/>
                <w:sz w:val="18"/>
                <w:szCs w:val="18"/>
              </w:rPr>
              <w:t xml:space="preserve"> would be acceptable if it were cost</w:t>
            </w:r>
            <w:r w:rsidR="00503C6D">
              <w:rPr>
                <w:rFonts w:asciiTheme="minorHAnsi" w:hAnsiTheme="minorHAnsi" w:cstheme="minorHAnsi"/>
                <w:color w:val="000000"/>
                <w:sz w:val="18"/>
                <w:szCs w:val="18"/>
              </w:rPr>
              <w:t>-</w:t>
            </w:r>
            <w:r w:rsidRPr="00D60E67">
              <w:rPr>
                <w:rFonts w:asciiTheme="minorHAnsi" w:hAnsiTheme="minorHAnsi" w:cstheme="minorHAnsi"/>
                <w:color w:val="000000"/>
                <w:sz w:val="18"/>
                <w:szCs w:val="18"/>
              </w:rPr>
              <w:t>minimised to Somatuline Autogel</w:t>
            </w:r>
            <w:r w:rsidR="00C468CE">
              <w:rPr>
                <w:rFonts w:asciiTheme="minorHAnsi" w:hAnsiTheme="minorHAnsi" w:cstheme="minorHAnsi"/>
                <w:color w:val="000000"/>
                <w:sz w:val="18"/>
                <w:szCs w:val="18"/>
              </w:rPr>
              <w:t>®</w:t>
            </w:r>
            <w:r w:rsidRPr="00D60E67">
              <w:rPr>
                <w:rFonts w:asciiTheme="minorHAnsi" w:hAnsiTheme="minorHAnsi" w:cstheme="minorHAnsi"/>
                <w:color w:val="000000"/>
                <w:sz w:val="18"/>
                <w:szCs w:val="18"/>
              </w:rPr>
              <w:t xml:space="preserve"> for the same indications. In making this recommendation, the PBAC noted concerns raised by the Consumer Comments regarding quality use of medicines but considered that the training and support programs provided by the sponsor should adequately address these concerns. The PBAC therefore considered that Mytolac</w:t>
            </w:r>
            <w:r w:rsidR="00C468CE">
              <w:rPr>
                <w:rFonts w:asciiTheme="minorHAnsi" w:hAnsiTheme="minorHAnsi" w:cstheme="minorHAnsi"/>
                <w:color w:val="000000"/>
                <w:sz w:val="18"/>
                <w:szCs w:val="18"/>
              </w:rPr>
              <w:t>®</w:t>
            </w:r>
            <w:r w:rsidRPr="00D60E67">
              <w:rPr>
                <w:rFonts w:asciiTheme="minorHAnsi" w:hAnsiTheme="minorHAnsi" w:cstheme="minorHAnsi"/>
                <w:color w:val="000000"/>
                <w:sz w:val="18"/>
                <w:szCs w:val="18"/>
              </w:rPr>
              <w:t xml:space="preserve"> and Somatuline Autogel</w:t>
            </w:r>
            <w:r w:rsidR="00C468CE">
              <w:rPr>
                <w:rFonts w:asciiTheme="minorHAnsi" w:hAnsiTheme="minorHAnsi" w:cstheme="minorHAnsi"/>
                <w:color w:val="000000"/>
                <w:sz w:val="18"/>
                <w:szCs w:val="18"/>
              </w:rPr>
              <w:t>®</w:t>
            </w:r>
            <w:r w:rsidRPr="00D60E67">
              <w:rPr>
                <w:rFonts w:asciiTheme="minorHAnsi" w:hAnsiTheme="minorHAnsi" w:cstheme="minorHAnsi"/>
                <w:color w:val="000000"/>
                <w:sz w:val="18"/>
                <w:szCs w:val="18"/>
              </w:rPr>
              <w:t xml:space="preserve"> be considered equivalent for the purposes of substitution. The PBAC recommended flow</w:t>
            </w:r>
            <w:r w:rsidR="002C1F7B">
              <w:rPr>
                <w:rFonts w:asciiTheme="minorHAnsi" w:hAnsiTheme="minorHAnsi" w:cstheme="minorHAnsi"/>
                <w:color w:val="000000"/>
                <w:sz w:val="18"/>
                <w:szCs w:val="18"/>
              </w:rPr>
              <w:t>-</w:t>
            </w:r>
            <w:r w:rsidRPr="00D60E67">
              <w:rPr>
                <w:rFonts w:asciiTheme="minorHAnsi" w:hAnsiTheme="minorHAnsi" w:cstheme="minorHAnsi"/>
                <w:color w:val="000000"/>
                <w:sz w:val="18"/>
                <w:szCs w:val="18"/>
              </w:rPr>
              <w:t>on changes to the PBS listings for Somatuline Autogel</w:t>
            </w:r>
            <w:r w:rsidR="00C468CE">
              <w:rPr>
                <w:rFonts w:asciiTheme="minorHAnsi" w:hAnsiTheme="minorHAnsi" w:cstheme="minorHAnsi"/>
                <w:color w:val="000000"/>
                <w:sz w:val="18"/>
                <w:szCs w:val="18"/>
              </w:rPr>
              <w:t>®</w:t>
            </w:r>
            <w:r w:rsidRPr="00D60E67">
              <w:rPr>
                <w:rFonts w:asciiTheme="minorHAnsi" w:hAnsiTheme="minorHAnsi" w:cstheme="minorHAnsi"/>
                <w:color w:val="000000"/>
                <w:sz w:val="18"/>
                <w:szCs w:val="18"/>
              </w:rPr>
              <w:t xml:space="preserve"> to note that patients should be educated regarding the correct administration of the injection upon dispensing.</w:t>
            </w:r>
          </w:p>
        </w:tc>
      </w:tr>
      <w:tr w:rsidR="007411F0" w:rsidRPr="00544497" w14:paraId="3DCDEF42" w14:textId="77777777" w:rsidTr="0088248D">
        <w:trPr>
          <w:cantSplit/>
          <w:trHeight w:val="2948"/>
          <w:jc w:val="center"/>
        </w:trPr>
        <w:tc>
          <w:tcPr>
            <w:tcW w:w="3013" w:type="dxa"/>
            <w:shd w:val="clear" w:color="auto" w:fill="auto"/>
            <w:tcMar>
              <w:top w:w="28" w:type="dxa"/>
              <w:bottom w:w="28" w:type="dxa"/>
            </w:tcMar>
            <w:vAlign w:val="center"/>
          </w:tcPr>
          <w:p w14:paraId="7549BFC3" w14:textId="705F6ADB" w:rsidR="007411F0" w:rsidRPr="0088248D" w:rsidRDefault="007411F0" w:rsidP="007411F0">
            <w:pPr>
              <w:keepLines/>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lastRenderedPageBreak/>
              <w:t>LENACAPAVIR</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Tablet 300</w:t>
            </w:r>
            <w:r>
              <w:rPr>
                <w:rFonts w:asciiTheme="minorHAnsi" w:hAnsiTheme="minorHAnsi" w:cstheme="minorHAnsi"/>
                <w:color w:val="000000"/>
                <w:sz w:val="18"/>
                <w:szCs w:val="18"/>
              </w:rPr>
              <w:t> </w:t>
            </w:r>
            <w:r w:rsidRPr="0088248D">
              <w:rPr>
                <w:rFonts w:asciiTheme="minorHAnsi" w:hAnsiTheme="minorHAnsi" w:cstheme="minorHAnsi"/>
                <w:color w:val="000000"/>
                <w:sz w:val="18"/>
                <w:szCs w:val="18"/>
              </w:rPr>
              <w:t xml:space="preserve">mg </w:t>
            </w:r>
            <w:r w:rsidRPr="0088248D">
              <w:rPr>
                <w:rFonts w:asciiTheme="minorHAnsi" w:hAnsiTheme="minorHAnsi" w:cstheme="minorHAnsi"/>
                <w:color w:val="000000"/>
                <w:sz w:val="18"/>
                <w:szCs w:val="18"/>
              </w:rPr>
              <w:br/>
              <w:t>Pack containing 2 injection sets 463.5</w:t>
            </w:r>
            <w:r>
              <w:rPr>
                <w:rFonts w:asciiTheme="minorHAnsi" w:hAnsiTheme="minorHAnsi" w:cstheme="minorHAnsi"/>
                <w:color w:val="000000"/>
                <w:sz w:val="18"/>
                <w:szCs w:val="18"/>
              </w:rPr>
              <w:t> </w:t>
            </w:r>
            <w:r w:rsidRPr="0088248D">
              <w:rPr>
                <w:rFonts w:asciiTheme="minorHAnsi" w:hAnsiTheme="minorHAnsi" w:cstheme="minorHAnsi"/>
                <w:color w:val="000000"/>
                <w:sz w:val="18"/>
                <w:szCs w:val="18"/>
              </w:rPr>
              <w:t>mg in 1.5</w:t>
            </w:r>
            <w:r>
              <w:rPr>
                <w:rFonts w:asciiTheme="minorHAnsi" w:hAnsiTheme="minorHAnsi" w:cstheme="minorHAnsi"/>
                <w:color w:val="000000"/>
                <w:sz w:val="18"/>
                <w:szCs w:val="18"/>
              </w:rPr>
              <w:t> </w:t>
            </w:r>
            <w:r w:rsidRPr="0088248D">
              <w:rPr>
                <w:rFonts w:asciiTheme="minorHAnsi" w:hAnsiTheme="minorHAnsi" w:cstheme="minorHAnsi"/>
                <w:color w:val="000000"/>
                <w:sz w:val="18"/>
                <w:szCs w:val="18"/>
              </w:rPr>
              <w:t>mL</w:t>
            </w:r>
            <w:r w:rsidRPr="0088248D">
              <w:rPr>
                <w:rFonts w:asciiTheme="minorHAnsi" w:hAnsiTheme="minorHAnsi" w:cstheme="minorHAnsi"/>
                <w:color w:val="000000"/>
                <w:sz w:val="18"/>
                <w:szCs w:val="18"/>
              </w:rPr>
              <w:br/>
            </w:r>
            <w:r w:rsidRPr="0088248D">
              <w:rPr>
                <w:rFonts w:asciiTheme="minorHAnsi" w:hAnsiTheme="minorHAnsi" w:cstheme="minorHAnsi"/>
                <w:color w:val="000000"/>
                <w:sz w:val="18"/>
                <w:szCs w:val="18"/>
              </w:rPr>
              <w:br/>
              <w:t>Sunlenca®</w:t>
            </w:r>
            <w:r w:rsidRPr="0088248D">
              <w:rPr>
                <w:rFonts w:asciiTheme="minorHAnsi" w:hAnsiTheme="minorHAnsi" w:cstheme="minorHAnsi"/>
                <w:color w:val="000000"/>
                <w:sz w:val="18"/>
                <w:szCs w:val="18"/>
              </w:rPr>
              <w:br/>
            </w:r>
            <w:r w:rsidRPr="0088248D">
              <w:rPr>
                <w:rFonts w:asciiTheme="minorHAnsi" w:hAnsiTheme="minorHAnsi" w:cstheme="minorHAnsi"/>
                <w:color w:val="000000"/>
                <w:sz w:val="18"/>
                <w:szCs w:val="18"/>
              </w:rPr>
              <w:br/>
              <w:t>GILEAD SCIENCES PTY LIMITED</w:t>
            </w:r>
            <w:r w:rsidRPr="0088248D">
              <w:rPr>
                <w:rFonts w:asciiTheme="minorHAnsi" w:hAnsiTheme="minorHAnsi" w:cstheme="minorHAnsi"/>
                <w:color w:val="000000"/>
                <w:sz w:val="18"/>
                <w:szCs w:val="18"/>
              </w:rPr>
              <w:br/>
            </w:r>
            <w:r w:rsidRPr="0088248D">
              <w:rPr>
                <w:rFonts w:asciiTheme="minorHAnsi" w:hAnsiTheme="minorHAnsi" w:cstheme="minorHAnsi"/>
                <w:color w:val="000000"/>
                <w:sz w:val="18"/>
                <w:szCs w:val="18"/>
              </w:rPr>
              <w:br/>
              <w:t>Category 1 submission</w:t>
            </w:r>
            <w:r w:rsidRPr="0088248D">
              <w:rPr>
                <w:rFonts w:asciiTheme="minorHAnsi" w:hAnsiTheme="minorHAnsi" w:cstheme="minorHAnsi"/>
                <w:color w:val="000000"/>
                <w:sz w:val="18"/>
                <w:szCs w:val="18"/>
              </w:rPr>
              <w:br/>
              <w:t>(New PBS listing)</w:t>
            </w:r>
          </w:p>
        </w:tc>
        <w:tc>
          <w:tcPr>
            <w:tcW w:w="2764" w:type="dxa"/>
            <w:shd w:val="clear" w:color="auto" w:fill="auto"/>
            <w:vAlign w:val="center"/>
          </w:tcPr>
          <w:p w14:paraId="294EA3D6" w14:textId="1ABC127B" w:rsidR="007411F0" w:rsidRPr="0088248D" w:rsidRDefault="007411F0" w:rsidP="007411F0">
            <w:pPr>
              <w:keepLines/>
              <w:widowControl w:val="0"/>
              <w:jc w:val="center"/>
              <w:rPr>
                <w:rFonts w:asciiTheme="minorHAnsi" w:hAnsiTheme="minorHAnsi" w:cstheme="minorHAnsi"/>
                <w:color w:val="000000"/>
                <w:sz w:val="18"/>
                <w:szCs w:val="18"/>
              </w:rPr>
            </w:pPr>
            <w:r w:rsidRPr="0088248D">
              <w:rPr>
                <w:rFonts w:asciiTheme="minorHAnsi" w:hAnsiTheme="minorHAnsi" w:cstheme="minorHAnsi"/>
                <w:color w:val="000000"/>
                <w:sz w:val="18"/>
                <w:szCs w:val="18"/>
              </w:rPr>
              <w:t>Human immunodeficiency virus infection</w:t>
            </w:r>
          </w:p>
        </w:tc>
        <w:tc>
          <w:tcPr>
            <w:tcW w:w="3288" w:type="dxa"/>
            <w:shd w:val="clear" w:color="auto" w:fill="auto"/>
            <w:tcMar>
              <w:top w:w="28" w:type="dxa"/>
              <w:bottom w:w="28" w:type="dxa"/>
            </w:tcMar>
            <w:vAlign w:val="center"/>
          </w:tcPr>
          <w:p w14:paraId="48F0164B" w14:textId="41F7CF93" w:rsidR="007411F0" w:rsidRPr="0088248D" w:rsidRDefault="007411F0" w:rsidP="007411F0">
            <w:pPr>
              <w:pStyle w:val="ListParagraph"/>
              <w:keepLines/>
              <w:ind w:left="0"/>
              <w:jc w:val="center"/>
              <w:rPr>
                <w:rFonts w:asciiTheme="minorHAnsi" w:hAnsiTheme="minorHAnsi" w:cstheme="minorHAnsi"/>
                <w:color w:val="000000"/>
                <w:sz w:val="18"/>
                <w:szCs w:val="18"/>
              </w:rPr>
            </w:pPr>
            <w:r w:rsidRPr="0088248D">
              <w:rPr>
                <w:rFonts w:asciiTheme="minorHAnsi" w:hAnsiTheme="minorHAnsi" w:cstheme="minorHAnsi"/>
                <w:color w:val="000000"/>
                <w:sz w:val="18"/>
                <w:szCs w:val="18"/>
              </w:rPr>
              <w:t>To request both a Section 100 (Highly Specialised Drugs Program) and Section 100 (Highly Specialised Drugs Program – Community Access) Authority Required (STREAMLINED) listing for the treatment of patients with highly multi-drug resistant human immunodeficiency virus type 1 infection.</w:t>
            </w:r>
          </w:p>
        </w:tc>
        <w:tc>
          <w:tcPr>
            <w:tcW w:w="1987" w:type="dxa"/>
            <w:shd w:val="clear" w:color="auto" w:fill="auto"/>
            <w:vAlign w:val="center"/>
          </w:tcPr>
          <w:p w14:paraId="3D941503" w14:textId="7B22582A" w:rsidR="007411F0" w:rsidRPr="0088248D" w:rsidRDefault="007411F0" w:rsidP="007411F0">
            <w:pPr>
              <w:pStyle w:val="ListParagraph"/>
              <w:keepLines/>
              <w:ind w:left="0"/>
              <w:jc w:val="center"/>
              <w:rPr>
                <w:rFonts w:asciiTheme="minorHAnsi" w:hAnsiTheme="minorHAnsi" w:cstheme="minorHAnsi"/>
                <w:color w:val="000000"/>
                <w:sz w:val="18"/>
                <w:szCs w:val="18"/>
              </w:rPr>
            </w:pPr>
            <w:r w:rsidRPr="007411F0">
              <w:rPr>
                <w:rFonts w:asciiTheme="minorHAnsi" w:hAnsiTheme="minorHAnsi" w:cstheme="minorHAnsi"/>
                <w:color w:val="000000"/>
                <w:sz w:val="18"/>
                <w:szCs w:val="18"/>
              </w:rPr>
              <w:t>Not Recommended</w:t>
            </w:r>
          </w:p>
        </w:tc>
        <w:tc>
          <w:tcPr>
            <w:tcW w:w="4336" w:type="dxa"/>
            <w:shd w:val="clear" w:color="auto" w:fill="auto"/>
            <w:vAlign w:val="center"/>
          </w:tcPr>
          <w:p w14:paraId="7D9C89EC" w14:textId="77777777" w:rsidR="007411F0" w:rsidRPr="007411F0" w:rsidRDefault="007411F0" w:rsidP="007411F0">
            <w:pPr>
              <w:pStyle w:val="ListParagraph"/>
              <w:keepLines/>
              <w:ind w:left="0"/>
              <w:rPr>
                <w:rFonts w:asciiTheme="minorHAnsi" w:hAnsiTheme="minorHAnsi" w:cstheme="minorHAnsi"/>
                <w:color w:val="000000"/>
                <w:sz w:val="18"/>
                <w:szCs w:val="18"/>
              </w:rPr>
            </w:pPr>
            <w:r w:rsidRPr="007411F0">
              <w:rPr>
                <w:rFonts w:asciiTheme="minorHAnsi" w:hAnsiTheme="minorHAnsi" w:cstheme="minorHAnsi"/>
                <w:color w:val="000000"/>
                <w:sz w:val="18"/>
                <w:szCs w:val="18"/>
              </w:rPr>
              <w:t>The PBAC did not recommend the listing of lenacapavir for the treatment of hMDR HIV-1 infection. The PBAC considered that the composition of the nominated comparator of optimised background regimen (OBR) was not reflective of contemporary Australian practice and therefore the comparative effectiveness of lenacapavir + OBR to OBR alone was uncertain, although noted lenacapavir appears to be effective for some patients for the treatment of HIV-1 infection when used in combination with OBR. The PBAC considered that the economic model was highly uncertain due to the extremely limited amount of data to inform the transitions between a large number of health states. Overall, the PBAC considered the economic model was largely uninformative and the incremental cost-effectiveness ratio unacceptably high at the proposed price.</w:t>
            </w:r>
          </w:p>
          <w:p w14:paraId="79640FC0" w14:textId="77777777" w:rsidR="007411F0" w:rsidRPr="008E6A6A" w:rsidRDefault="007411F0" w:rsidP="007411F0">
            <w:pPr>
              <w:keepLines/>
              <w:rPr>
                <w:rFonts w:cstheme="minorHAnsi"/>
                <w:color w:val="000000"/>
                <w:sz w:val="18"/>
                <w:szCs w:val="18"/>
              </w:rPr>
            </w:pPr>
          </w:p>
          <w:p w14:paraId="0EBD440C" w14:textId="77777777" w:rsidR="007411F0" w:rsidRPr="007411F0" w:rsidRDefault="007411F0" w:rsidP="007411F0">
            <w:pPr>
              <w:keepLines/>
              <w:rPr>
                <w:rFonts w:asciiTheme="minorHAnsi" w:hAnsiTheme="minorHAnsi" w:cstheme="minorHAnsi"/>
                <w:color w:val="000000"/>
                <w:sz w:val="18"/>
                <w:szCs w:val="18"/>
                <w:u w:val="single"/>
              </w:rPr>
            </w:pPr>
            <w:r w:rsidRPr="007411F0">
              <w:rPr>
                <w:rFonts w:asciiTheme="minorHAnsi" w:hAnsiTheme="minorHAnsi" w:cstheme="minorHAnsi"/>
                <w:color w:val="000000"/>
                <w:sz w:val="18"/>
                <w:szCs w:val="18"/>
                <w:u w:val="single"/>
              </w:rPr>
              <w:t>Sponsor’s Comment:</w:t>
            </w:r>
          </w:p>
          <w:p w14:paraId="74F6DECA" w14:textId="0DE82740" w:rsidR="007411F0" w:rsidRPr="0088248D" w:rsidRDefault="007411F0" w:rsidP="007411F0">
            <w:pPr>
              <w:rPr>
                <w:rFonts w:asciiTheme="minorHAnsi" w:hAnsiTheme="minorHAnsi" w:cstheme="minorHAnsi"/>
                <w:color w:val="000000"/>
                <w:sz w:val="18"/>
                <w:szCs w:val="18"/>
              </w:rPr>
            </w:pPr>
            <w:r w:rsidRPr="007411F0">
              <w:rPr>
                <w:rFonts w:asciiTheme="minorHAnsi" w:hAnsiTheme="minorHAnsi" w:cstheme="minorHAnsi"/>
                <w:color w:val="000000"/>
                <w:sz w:val="18"/>
                <w:szCs w:val="18"/>
              </w:rPr>
              <w:t>Gilead is disappointed by the decision however acknowledges the PBAC’s recognition of the high unmet clinical need for the treatment of people with HIV who are highly multidrug resistant. Gilead will continue to seek to gain PBAC recommendation and PBS listing to ensure that people living with HIV who are highly multidrug resistant have access to a much-needed new treatment option.</w:t>
            </w:r>
          </w:p>
        </w:tc>
      </w:tr>
      <w:tr w:rsidR="007D090A" w:rsidRPr="00544497" w14:paraId="11F15CDD" w14:textId="77777777" w:rsidTr="0088248D">
        <w:trPr>
          <w:cantSplit/>
          <w:trHeight w:val="2948"/>
          <w:jc w:val="center"/>
        </w:trPr>
        <w:tc>
          <w:tcPr>
            <w:tcW w:w="3013" w:type="dxa"/>
            <w:shd w:val="clear" w:color="auto" w:fill="auto"/>
            <w:tcMar>
              <w:top w:w="28" w:type="dxa"/>
              <w:bottom w:w="28" w:type="dxa"/>
            </w:tcMar>
            <w:vAlign w:val="center"/>
          </w:tcPr>
          <w:p w14:paraId="73989EFC" w14:textId="302B644D" w:rsidR="007D090A" w:rsidRPr="00D60E67" w:rsidRDefault="007D090A" w:rsidP="007D090A">
            <w:pPr>
              <w:keepLines/>
              <w:jc w:val="center"/>
              <w:rPr>
                <w:rFonts w:asciiTheme="minorHAnsi" w:hAnsiTheme="minorHAnsi" w:cstheme="minorHAnsi"/>
                <w:sz w:val="18"/>
                <w:szCs w:val="18"/>
              </w:rPr>
            </w:pPr>
            <w:r w:rsidRPr="00D60E67">
              <w:rPr>
                <w:rFonts w:asciiTheme="minorHAnsi" w:hAnsiTheme="minorHAnsi" w:cstheme="minorHAnsi"/>
                <w:color w:val="000000"/>
                <w:sz w:val="18"/>
                <w:szCs w:val="18"/>
              </w:rPr>
              <w:lastRenderedPageBreak/>
              <w:t>MAVACAMTEN</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 xml:space="preserve">Capsule 2.5 mg </w:t>
            </w:r>
            <w:r w:rsidRPr="00D60E67">
              <w:rPr>
                <w:rFonts w:asciiTheme="minorHAnsi" w:hAnsiTheme="minorHAnsi" w:cstheme="minorHAnsi"/>
                <w:color w:val="000000"/>
                <w:sz w:val="18"/>
                <w:szCs w:val="18"/>
              </w:rPr>
              <w:br/>
              <w:t xml:space="preserve">Capsule 5 mg </w:t>
            </w:r>
            <w:r w:rsidRPr="00D60E67">
              <w:rPr>
                <w:rFonts w:asciiTheme="minorHAnsi" w:hAnsiTheme="minorHAnsi" w:cstheme="minorHAnsi"/>
                <w:color w:val="000000"/>
                <w:sz w:val="18"/>
                <w:szCs w:val="18"/>
              </w:rPr>
              <w:br/>
              <w:t xml:space="preserve">Capsule 10 mg </w:t>
            </w:r>
            <w:r w:rsidRPr="00D60E67">
              <w:rPr>
                <w:rFonts w:asciiTheme="minorHAnsi" w:hAnsiTheme="minorHAnsi" w:cstheme="minorHAnsi"/>
                <w:color w:val="000000"/>
                <w:sz w:val="18"/>
                <w:szCs w:val="18"/>
              </w:rPr>
              <w:br/>
              <w:t>Capsule 15 mg</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Camzyos®</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BRISTOL-MYERS SQUIBB AUSTRALIA PTY LTD</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Category 1 submission</w:t>
            </w:r>
            <w:r w:rsidRPr="00D60E67">
              <w:rPr>
                <w:rFonts w:asciiTheme="minorHAnsi" w:hAnsiTheme="minorHAnsi" w:cstheme="minorHAnsi"/>
                <w:color w:val="000000"/>
                <w:sz w:val="18"/>
                <w:szCs w:val="18"/>
              </w:rPr>
              <w:br/>
              <w:t>(New PBS listing)</w:t>
            </w:r>
          </w:p>
        </w:tc>
        <w:tc>
          <w:tcPr>
            <w:tcW w:w="2764" w:type="dxa"/>
            <w:shd w:val="clear" w:color="auto" w:fill="auto"/>
            <w:vAlign w:val="center"/>
          </w:tcPr>
          <w:p w14:paraId="41180E2D" w14:textId="0BB3ADC6" w:rsidR="007D090A" w:rsidRPr="00D60E67" w:rsidRDefault="007D090A" w:rsidP="007D090A">
            <w:pPr>
              <w:keepLines/>
              <w:widowControl w:val="0"/>
              <w:jc w:val="center"/>
              <w:rPr>
                <w:rFonts w:asciiTheme="minorHAnsi" w:hAnsiTheme="minorHAnsi" w:cstheme="minorHAnsi"/>
                <w:snapToGrid w:val="0"/>
                <w:sz w:val="18"/>
                <w:szCs w:val="18"/>
                <w:lang w:eastAsia="en-US"/>
              </w:rPr>
            </w:pPr>
            <w:r w:rsidRPr="00D60E67">
              <w:rPr>
                <w:rFonts w:asciiTheme="minorHAnsi" w:hAnsiTheme="minorHAnsi" w:cstheme="minorHAnsi"/>
                <w:color w:val="000000"/>
                <w:sz w:val="18"/>
                <w:szCs w:val="18"/>
              </w:rPr>
              <w:t>Hypertrophic cardiomyopathy</w:t>
            </w:r>
          </w:p>
        </w:tc>
        <w:tc>
          <w:tcPr>
            <w:tcW w:w="3288" w:type="dxa"/>
            <w:shd w:val="clear" w:color="auto" w:fill="auto"/>
            <w:tcMar>
              <w:top w:w="28" w:type="dxa"/>
              <w:bottom w:w="28" w:type="dxa"/>
            </w:tcMar>
            <w:vAlign w:val="center"/>
          </w:tcPr>
          <w:p w14:paraId="52E4AC16" w14:textId="1C30FB58" w:rsidR="007D090A" w:rsidRPr="00D60E67" w:rsidRDefault="007D090A" w:rsidP="007D090A">
            <w:pPr>
              <w:pStyle w:val="ListParagraph"/>
              <w:keepLines/>
              <w:ind w:left="0"/>
              <w:jc w:val="center"/>
              <w:rPr>
                <w:rFonts w:asciiTheme="minorHAnsi" w:hAnsiTheme="minorHAnsi" w:cstheme="minorHAnsi"/>
                <w:snapToGrid w:val="0"/>
                <w:sz w:val="18"/>
                <w:szCs w:val="18"/>
                <w:highlight w:val="yellow"/>
                <w:lang w:eastAsia="en-US"/>
              </w:rPr>
            </w:pPr>
            <w:r w:rsidRPr="00D60E67">
              <w:rPr>
                <w:rFonts w:asciiTheme="minorHAnsi" w:hAnsiTheme="minorHAnsi" w:cstheme="minorHAnsi"/>
                <w:color w:val="000000"/>
                <w:sz w:val="18"/>
                <w:szCs w:val="18"/>
              </w:rPr>
              <w:t>To request a General Schedule Authority Required listing for the treatment of adults with symptomatic obstructive hypertrophic cardiomyopathy</w:t>
            </w:r>
            <w:r w:rsidR="003D2F1C">
              <w:rPr>
                <w:rFonts w:asciiTheme="minorHAnsi" w:hAnsiTheme="minorHAnsi" w:cstheme="minorHAnsi"/>
                <w:color w:val="000000"/>
                <w:sz w:val="18"/>
                <w:szCs w:val="18"/>
              </w:rPr>
              <w:t xml:space="preserve"> (HCM)</w:t>
            </w:r>
            <w:r w:rsidRPr="00D60E67">
              <w:rPr>
                <w:rFonts w:asciiTheme="minorHAnsi" w:hAnsiTheme="minorHAnsi" w:cstheme="minorHAnsi"/>
                <w:color w:val="000000"/>
                <w:sz w:val="18"/>
                <w:szCs w:val="18"/>
              </w:rPr>
              <w:t>.</w:t>
            </w:r>
          </w:p>
        </w:tc>
        <w:tc>
          <w:tcPr>
            <w:tcW w:w="1987" w:type="dxa"/>
            <w:shd w:val="clear" w:color="auto" w:fill="auto"/>
            <w:vAlign w:val="center"/>
          </w:tcPr>
          <w:p w14:paraId="29AABCBB" w14:textId="2FF901D7" w:rsidR="007D090A" w:rsidRPr="00D60E67" w:rsidRDefault="007D090A" w:rsidP="007D090A">
            <w:pPr>
              <w:pStyle w:val="ListParagraph"/>
              <w:keepLines/>
              <w:ind w:left="0"/>
              <w:jc w:val="center"/>
              <w:rPr>
                <w:rFonts w:asciiTheme="minorHAnsi" w:hAnsiTheme="minorHAnsi" w:cstheme="minorHAnsi"/>
                <w:snapToGrid w:val="0"/>
                <w:sz w:val="18"/>
                <w:szCs w:val="18"/>
                <w:lang w:eastAsia="en-US"/>
              </w:rPr>
            </w:pPr>
            <w:r w:rsidRPr="00D60E67">
              <w:rPr>
                <w:rFonts w:asciiTheme="minorHAnsi" w:hAnsiTheme="minorHAnsi" w:cstheme="minorHAnsi"/>
                <w:color w:val="000000"/>
                <w:sz w:val="18"/>
                <w:szCs w:val="18"/>
              </w:rPr>
              <w:t>Not Recommended</w:t>
            </w:r>
          </w:p>
        </w:tc>
        <w:tc>
          <w:tcPr>
            <w:tcW w:w="4336" w:type="dxa"/>
            <w:shd w:val="clear" w:color="auto" w:fill="auto"/>
            <w:vAlign w:val="center"/>
          </w:tcPr>
          <w:p w14:paraId="39CB8382" w14:textId="11EC96D0" w:rsidR="007D090A" w:rsidRPr="0088248D" w:rsidRDefault="00B346E2" w:rsidP="007D090A">
            <w:pPr>
              <w:keepLines/>
              <w:rPr>
                <w:rFonts w:asciiTheme="minorHAnsi" w:hAnsiTheme="minorHAnsi" w:cstheme="minorHAnsi"/>
                <w:color w:val="000000"/>
                <w:sz w:val="18"/>
                <w:szCs w:val="18"/>
              </w:rPr>
            </w:pPr>
            <w:r w:rsidRPr="0088248D">
              <w:rPr>
                <w:rFonts w:asciiTheme="minorHAnsi" w:hAnsiTheme="minorHAnsi" w:cstheme="minorHAnsi"/>
                <w:color w:val="000000"/>
                <w:sz w:val="18"/>
                <w:szCs w:val="18"/>
              </w:rPr>
              <w:t xml:space="preserve">The PBAC did not recommend the listing of mavacamten for the treatment of adults with symptomatic obstructive HCM. The PBAC considered it is likely that mavacamten </w:t>
            </w:r>
            <w:r w:rsidR="000648E2">
              <w:rPr>
                <w:rFonts w:asciiTheme="minorHAnsi" w:hAnsiTheme="minorHAnsi" w:cstheme="minorHAnsi"/>
                <w:color w:val="000000"/>
                <w:sz w:val="18"/>
                <w:szCs w:val="18"/>
              </w:rPr>
              <w:t>with or without</w:t>
            </w:r>
            <w:r w:rsidRPr="0088248D">
              <w:rPr>
                <w:rFonts w:asciiTheme="minorHAnsi" w:hAnsiTheme="minorHAnsi" w:cstheme="minorHAnsi"/>
                <w:color w:val="000000"/>
                <w:sz w:val="18"/>
                <w:szCs w:val="18"/>
              </w:rPr>
              <w:t xml:space="preserve"> </w:t>
            </w:r>
            <w:r w:rsidR="000648E2">
              <w:rPr>
                <w:rFonts w:asciiTheme="minorHAnsi" w:hAnsiTheme="minorHAnsi" w:cstheme="minorHAnsi"/>
                <w:color w:val="000000"/>
                <w:sz w:val="18"/>
                <w:szCs w:val="18"/>
              </w:rPr>
              <w:t>beta-blocker (</w:t>
            </w:r>
            <w:r w:rsidRPr="0088248D">
              <w:rPr>
                <w:rFonts w:asciiTheme="minorHAnsi" w:hAnsiTheme="minorHAnsi" w:cstheme="minorHAnsi"/>
                <w:color w:val="000000"/>
                <w:sz w:val="18"/>
                <w:szCs w:val="18"/>
              </w:rPr>
              <w:t>BB</w:t>
            </w:r>
            <w:r w:rsidR="000648E2">
              <w:rPr>
                <w:rFonts w:asciiTheme="minorHAnsi" w:hAnsiTheme="minorHAnsi" w:cstheme="minorHAnsi"/>
                <w:color w:val="000000"/>
                <w:sz w:val="18"/>
                <w:szCs w:val="18"/>
              </w:rPr>
              <w:t>)</w:t>
            </w:r>
            <w:r w:rsidRPr="0088248D">
              <w:rPr>
                <w:rFonts w:asciiTheme="minorHAnsi" w:hAnsiTheme="minorHAnsi" w:cstheme="minorHAnsi"/>
                <w:color w:val="000000"/>
                <w:sz w:val="18"/>
                <w:szCs w:val="18"/>
              </w:rPr>
              <w:t>/</w:t>
            </w:r>
            <w:r w:rsidR="000648E2">
              <w:rPr>
                <w:rFonts w:asciiTheme="minorHAnsi" w:hAnsiTheme="minorHAnsi" w:cstheme="minorHAnsi"/>
                <w:color w:val="000000"/>
                <w:sz w:val="18"/>
                <w:szCs w:val="18"/>
              </w:rPr>
              <w:t>calcium channel blocker (</w:t>
            </w:r>
            <w:r w:rsidRPr="0088248D">
              <w:rPr>
                <w:rFonts w:asciiTheme="minorHAnsi" w:hAnsiTheme="minorHAnsi" w:cstheme="minorHAnsi"/>
                <w:color w:val="000000"/>
                <w:sz w:val="18"/>
                <w:szCs w:val="18"/>
              </w:rPr>
              <w:t>CCB</w:t>
            </w:r>
            <w:r w:rsidR="000648E2">
              <w:rPr>
                <w:rFonts w:asciiTheme="minorHAnsi" w:hAnsiTheme="minorHAnsi" w:cstheme="minorHAnsi"/>
                <w:color w:val="000000"/>
                <w:sz w:val="18"/>
                <w:szCs w:val="18"/>
              </w:rPr>
              <w:t>)</w:t>
            </w:r>
            <w:r w:rsidRPr="0088248D">
              <w:rPr>
                <w:rFonts w:asciiTheme="minorHAnsi" w:hAnsiTheme="minorHAnsi" w:cstheme="minorHAnsi"/>
                <w:color w:val="000000"/>
                <w:sz w:val="18"/>
                <w:szCs w:val="18"/>
              </w:rPr>
              <w:t xml:space="preserve"> provided a short-term, moderate clinical benefit over standard of care (BB/CCB), in terms of symptomatic improvement, but the </w:t>
            </w:r>
            <w:r w:rsidR="00503C6D" w:rsidRPr="0088248D">
              <w:rPr>
                <w:rFonts w:asciiTheme="minorHAnsi" w:hAnsiTheme="minorHAnsi" w:cstheme="minorHAnsi"/>
                <w:color w:val="000000"/>
                <w:sz w:val="18"/>
                <w:szCs w:val="18"/>
              </w:rPr>
              <w:t>longer-term</w:t>
            </w:r>
            <w:r w:rsidRPr="0088248D">
              <w:rPr>
                <w:rFonts w:asciiTheme="minorHAnsi" w:hAnsiTheme="minorHAnsi" w:cstheme="minorHAnsi"/>
                <w:color w:val="000000"/>
                <w:sz w:val="18"/>
                <w:szCs w:val="18"/>
              </w:rPr>
              <w:t xml:space="preserve"> clinical benefit and safety and the impact on other patient-relevant clinical endpoints such as hospitalisations or mortality is unknown. The PBAC considered that the model relied on highly uncertain and optimistic assumptions regarding the long-term clinical benefit and the </w:t>
            </w:r>
            <w:r w:rsidR="007D4CA7">
              <w:rPr>
                <w:rFonts w:asciiTheme="minorHAnsi" w:hAnsiTheme="minorHAnsi" w:cstheme="minorHAnsi"/>
                <w:color w:val="000000"/>
                <w:sz w:val="18"/>
                <w:szCs w:val="18"/>
              </w:rPr>
              <w:t>incremental cost</w:t>
            </w:r>
            <w:r w:rsidR="00503C6D">
              <w:rPr>
                <w:rFonts w:asciiTheme="minorHAnsi" w:hAnsiTheme="minorHAnsi" w:cstheme="minorHAnsi"/>
                <w:color w:val="000000"/>
                <w:sz w:val="18"/>
                <w:szCs w:val="18"/>
              </w:rPr>
              <w:t>-</w:t>
            </w:r>
            <w:r w:rsidR="007D4CA7">
              <w:rPr>
                <w:rFonts w:asciiTheme="minorHAnsi" w:hAnsiTheme="minorHAnsi" w:cstheme="minorHAnsi"/>
                <w:color w:val="000000"/>
                <w:sz w:val="18"/>
                <w:szCs w:val="18"/>
              </w:rPr>
              <w:t xml:space="preserve">effectiveness ratio </w:t>
            </w:r>
            <w:r w:rsidRPr="0088248D">
              <w:rPr>
                <w:rFonts w:asciiTheme="minorHAnsi" w:hAnsiTheme="minorHAnsi" w:cstheme="minorHAnsi"/>
                <w:color w:val="000000"/>
                <w:sz w:val="18"/>
                <w:szCs w:val="18"/>
              </w:rPr>
              <w:t>presented in the submission was underestimated.</w:t>
            </w:r>
          </w:p>
          <w:p w14:paraId="2BE501E5" w14:textId="77777777" w:rsidR="000648E2" w:rsidRPr="00D60E67" w:rsidRDefault="000648E2" w:rsidP="007D090A">
            <w:pPr>
              <w:keepLines/>
              <w:rPr>
                <w:rFonts w:asciiTheme="minorHAnsi" w:hAnsiTheme="minorHAnsi" w:cstheme="minorHAnsi"/>
                <w:color w:val="000000"/>
                <w:sz w:val="18"/>
                <w:szCs w:val="18"/>
                <w:u w:val="single"/>
              </w:rPr>
            </w:pPr>
          </w:p>
          <w:p w14:paraId="6A6A9CDB" w14:textId="77777777" w:rsidR="007D090A" w:rsidRDefault="007D090A" w:rsidP="007D090A">
            <w:pPr>
              <w:keepLines/>
              <w:rPr>
                <w:rFonts w:asciiTheme="minorHAnsi" w:hAnsiTheme="minorHAnsi" w:cstheme="minorHAnsi"/>
                <w:color w:val="000000"/>
                <w:sz w:val="18"/>
                <w:szCs w:val="18"/>
              </w:rPr>
            </w:pPr>
            <w:r w:rsidRPr="00D60E67">
              <w:rPr>
                <w:rFonts w:asciiTheme="minorHAnsi" w:hAnsiTheme="minorHAnsi" w:cstheme="minorHAnsi"/>
                <w:color w:val="000000"/>
                <w:sz w:val="18"/>
                <w:szCs w:val="18"/>
                <w:u w:val="single"/>
              </w:rPr>
              <w:t>Sponsor’s Comment:</w:t>
            </w:r>
          </w:p>
          <w:p w14:paraId="16172BA0" w14:textId="16A5FA12" w:rsidR="00CE166B" w:rsidRPr="00CE166B" w:rsidRDefault="00CE166B" w:rsidP="007D090A">
            <w:pPr>
              <w:keepLines/>
              <w:rPr>
                <w:rFonts w:asciiTheme="minorHAnsi" w:hAnsiTheme="minorHAnsi" w:cstheme="minorHAnsi"/>
                <w:color w:val="000000"/>
                <w:sz w:val="18"/>
                <w:szCs w:val="18"/>
              </w:rPr>
            </w:pPr>
            <w:r w:rsidRPr="00CE166B">
              <w:rPr>
                <w:rFonts w:asciiTheme="minorHAnsi" w:hAnsiTheme="minorHAnsi" w:cstheme="minorHAnsi"/>
                <w:color w:val="000000"/>
                <w:sz w:val="18"/>
                <w:szCs w:val="18"/>
              </w:rPr>
              <w:t>The Sponsor is committed to working with the PBAC to bring mavacamten for the treatment of adults with symptomatic obstructive HCM to Australian patients in a timely manner.</w:t>
            </w:r>
          </w:p>
        </w:tc>
      </w:tr>
      <w:tr w:rsidR="007D090A" w:rsidRPr="00544497" w14:paraId="4F6B80D5" w14:textId="77777777" w:rsidTr="0088248D">
        <w:trPr>
          <w:cantSplit/>
          <w:trHeight w:val="2948"/>
          <w:jc w:val="center"/>
        </w:trPr>
        <w:tc>
          <w:tcPr>
            <w:tcW w:w="3013" w:type="dxa"/>
            <w:shd w:val="clear" w:color="auto" w:fill="auto"/>
            <w:tcMar>
              <w:top w:w="28" w:type="dxa"/>
              <w:bottom w:w="28" w:type="dxa"/>
            </w:tcMar>
            <w:vAlign w:val="center"/>
          </w:tcPr>
          <w:p w14:paraId="59D22535" w14:textId="2189A1C0" w:rsidR="007D090A" w:rsidRPr="00D60E67" w:rsidRDefault="007D090A" w:rsidP="007D090A">
            <w:pPr>
              <w:keepLines/>
              <w:jc w:val="center"/>
              <w:rPr>
                <w:rFonts w:asciiTheme="minorHAnsi" w:hAnsiTheme="minorHAnsi" w:cstheme="minorHAnsi"/>
                <w:sz w:val="18"/>
                <w:szCs w:val="18"/>
                <w:highlight w:val="yellow"/>
              </w:rPr>
            </w:pPr>
            <w:r w:rsidRPr="00D60E67">
              <w:rPr>
                <w:rFonts w:asciiTheme="minorHAnsi" w:hAnsiTheme="minorHAnsi" w:cstheme="minorHAnsi"/>
                <w:color w:val="000000"/>
                <w:sz w:val="18"/>
                <w:szCs w:val="18"/>
              </w:rPr>
              <w:lastRenderedPageBreak/>
              <w:t>MEPOLIZUMAB</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Injection 100 mg in 1 mL single dose pre-filled pen</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Nucala®</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GLAXOSMITHKLINE AUSTRALIA PTY LTD</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Standard re-entry submission</w:t>
            </w:r>
            <w:r w:rsidRPr="00D60E67">
              <w:rPr>
                <w:rFonts w:asciiTheme="minorHAnsi" w:hAnsiTheme="minorHAnsi" w:cstheme="minorHAnsi"/>
                <w:color w:val="000000"/>
                <w:sz w:val="18"/>
                <w:szCs w:val="18"/>
              </w:rPr>
              <w:br/>
              <w:t>(Change to PBS listing)</w:t>
            </w:r>
          </w:p>
        </w:tc>
        <w:tc>
          <w:tcPr>
            <w:tcW w:w="2764" w:type="dxa"/>
            <w:shd w:val="clear" w:color="auto" w:fill="auto"/>
            <w:vAlign w:val="center"/>
          </w:tcPr>
          <w:p w14:paraId="6DEA3F16" w14:textId="33227410" w:rsidR="007D090A" w:rsidRPr="00D60E67" w:rsidRDefault="007D090A" w:rsidP="007D090A">
            <w:pPr>
              <w:keepLines/>
              <w:widowControl w:val="0"/>
              <w:jc w:val="center"/>
              <w:rPr>
                <w:rFonts w:asciiTheme="minorHAnsi" w:hAnsiTheme="minorHAnsi" w:cstheme="minorHAnsi"/>
                <w:snapToGrid w:val="0"/>
                <w:sz w:val="18"/>
                <w:szCs w:val="18"/>
                <w:highlight w:val="yellow"/>
                <w:lang w:eastAsia="en-US"/>
              </w:rPr>
            </w:pPr>
            <w:r w:rsidRPr="00D60E67">
              <w:rPr>
                <w:rFonts w:asciiTheme="minorHAnsi" w:hAnsiTheme="minorHAnsi" w:cstheme="minorHAnsi"/>
                <w:color w:val="000000"/>
                <w:sz w:val="18"/>
                <w:szCs w:val="18"/>
              </w:rPr>
              <w:t>Chronic rhinosinusitis with nasal polyps</w:t>
            </w:r>
          </w:p>
        </w:tc>
        <w:tc>
          <w:tcPr>
            <w:tcW w:w="3288" w:type="dxa"/>
            <w:shd w:val="clear" w:color="auto" w:fill="auto"/>
            <w:tcMar>
              <w:top w:w="28" w:type="dxa"/>
              <w:bottom w:w="28" w:type="dxa"/>
            </w:tcMar>
            <w:vAlign w:val="center"/>
          </w:tcPr>
          <w:p w14:paraId="4E833138" w14:textId="5AE3160A" w:rsidR="007D090A" w:rsidRPr="00D60E67" w:rsidRDefault="007D090A" w:rsidP="007D090A">
            <w:pPr>
              <w:pStyle w:val="ListParagraph"/>
              <w:keepLines/>
              <w:ind w:left="0"/>
              <w:jc w:val="center"/>
              <w:rPr>
                <w:rFonts w:asciiTheme="minorHAnsi" w:hAnsiTheme="minorHAnsi" w:cstheme="minorHAnsi"/>
                <w:snapToGrid w:val="0"/>
                <w:sz w:val="18"/>
                <w:szCs w:val="18"/>
                <w:highlight w:val="yellow"/>
                <w:lang w:eastAsia="en-US"/>
              </w:rPr>
            </w:pPr>
            <w:r w:rsidRPr="00D60E67">
              <w:rPr>
                <w:rFonts w:asciiTheme="minorHAnsi" w:hAnsiTheme="minorHAnsi" w:cstheme="minorHAnsi"/>
                <w:color w:val="000000"/>
                <w:sz w:val="18"/>
                <w:szCs w:val="18"/>
              </w:rPr>
              <w:t>Resubmission to request a Section 100 (Highly Specialised Drugs Program) Authority Required (Written) listing for the treatment of chronic rhinosinusitis with nasal polyps.</w:t>
            </w:r>
          </w:p>
        </w:tc>
        <w:tc>
          <w:tcPr>
            <w:tcW w:w="1987" w:type="dxa"/>
            <w:shd w:val="clear" w:color="auto" w:fill="auto"/>
            <w:vAlign w:val="center"/>
          </w:tcPr>
          <w:p w14:paraId="1A03FF7F" w14:textId="733EAB72" w:rsidR="007D090A" w:rsidRPr="00D60E67" w:rsidRDefault="007D090A" w:rsidP="007D090A">
            <w:pPr>
              <w:pStyle w:val="ListParagraph"/>
              <w:keepLines/>
              <w:ind w:left="0"/>
              <w:jc w:val="center"/>
              <w:rPr>
                <w:rFonts w:asciiTheme="minorHAnsi" w:hAnsiTheme="minorHAnsi" w:cstheme="minorHAnsi"/>
                <w:snapToGrid w:val="0"/>
                <w:sz w:val="18"/>
                <w:szCs w:val="18"/>
                <w:highlight w:val="yellow"/>
                <w:lang w:eastAsia="en-US"/>
              </w:rPr>
            </w:pPr>
            <w:r w:rsidRPr="00D60E67">
              <w:rPr>
                <w:rFonts w:asciiTheme="minorHAnsi" w:hAnsiTheme="minorHAnsi" w:cstheme="minorHAnsi"/>
                <w:color w:val="000000"/>
                <w:sz w:val="18"/>
                <w:szCs w:val="18"/>
              </w:rPr>
              <w:t>Recommended</w:t>
            </w:r>
          </w:p>
        </w:tc>
        <w:tc>
          <w:tcPr>
            <w:tcW w:w="4336" w:type="dxa"/>
            <w:shd w:val="clear" w:color="auto" w:fill="auto"/>
            <w:vAlign w:val="center"/>
          </w:tcPr>
          <w:p w14:paraId="266D6FEC" w14:textId="0E32C396" w:rsidR="007D090A" w:rsidRPr="0088248D" w:rsidRDefault="007D090A" w:rsidP="0088248D">
            <w:pPr>
              <w:rPr>
                <w:rFonts w:asciiTheme="minorHAnsi" w:hAnsiTheme="minorHAnsi" w:cstheme="minorHAnsi"/>
                <w:sz w:val="18"/>
                <w:szCs w:val="18"/>
                <w:highlight w:val="yellow"/>
              </w:rPr>
            </w:pPr>
            <w:r w:rsidRPr="00D60E67">
              <w:rPr>
                <w:rFonts w:asciiTheme="minorHAnsi" w:hAnsiTheme="minorHAnsi" w:cstheme="minorHAnsi"/>
                <w:sz w:val="18"/>
                <w:szCs w:val="18"/>
              </w:rPr>
              <w:t>The PBAC recommended the Authority Required listing of mepolizumab for the treatment of chronic rhinosinusitis with nasal polyps, on the basis that it should be available only under special arrangements under Section 100 (Highly Specialised Drugs Program). The PBAC considered that the blood eosinophil count threshold for access to mepolizumab should be ≥300</w:t>
            </w:r>
            <w:r w:rsidR="00C468CE">
              <w:rPr>
                <w:rFonts w:asciiTheme="minorHAnsi" w:hAnsiTheme="minorHAnsi" w:cstheme="minorHAnsi"/>
                <w:sz w:val="18"/>
                <w:szCs w:val="18"/>
              </w:rPr>
              <w:t> </w:t>
            </w:r>
            <w:r w:rsidRPr="0088248D">
              <w:rPr>
                <w:rFonts w:asciiTheme="minorHAnsi" w:hAnsiTheme="minorHAnsi" w:cstheme="minorHAnsi"/>
                <w:sz w:val="18"/>
                <w:szCs w:val="18"/>
              </w:rPr>
              <w:t>cells/µL. The PBAC is satisfied that mepolizumab provides, for some patients, a significant improvement in efficacy over standard of care. The PBAC considered that due to the limitations of the treatment options currently available</w:t>
            </w:r>
            <w:r w:rsidR="002E5E35">
              <w:rPr>
                <w:rFonts w:asciiTheme="minorHAnsi" w:hAnsiTheme="minorHAnsi" w:cstheme="minorHAnsi"/>
                <w:sz w:val="18"/>
                <w:szCs w:val="18"/>
              </w:rPr>
              <w:t>,</w:t>
            </w:r>
            <w:r w:rsidRPr="0088248D">
              <w:rPr>
                <w:rFonts w:asciiTheme="minorHAnsi" w:hAnsiTheme="minorHAnsi" w:cstheme="minorHAnsi"/>
                <w:sz w:val="18"/>
                <w:szCs w:val="18"/>
              </w:rPr>
              <w:t xml:space="preserve"> the addition of mepolizumab offered high added therapeutic value. </w:t>
            </w:r>
            <w:r w:rsidRPr="0088248D">
              <w:rPr>
                <w:rFonts w:asciiTheme="minorHAnsi" w:hAnsiTheme="minorHAnsi" w:cstheme="minorHAnsi"/>
                <w:sz w:val="18"/>
                <w:szCs w:val="18"/>
              </w:rPr>
              <w:br/>
              <w:t xml:space="preserve">The PBAC’s recommendation for listing was based on, among other matters, its assessment, that the cost-effectiveness of mepolizumab would be acceptable at the price proposed in the pre-PBAC response, and with a risk sharing arrangement to address the uncertainty associated with including patients unsuitable for surgery in the proposed PBS population. </w:t>
            </w:r>
          </w:p>
        </w:tc>
      </w:tr>
      <w:tr w:rsidR="007D090A" w:rsidRPr="00544497" w14:paraId="0600C8BD" w14:textId="77777777" w:rsidTr="0088248D">
        <w:trPr>
          <w:cantSplit/>
          <w:trHeight w:val="2948"/>
          <w:jc w:val="center"/>
        </w:trPr>
        <w:tc>
          <w:tcPr>
            <w:tcW w:w="3013" w:type="dxa"/>
            <w:shd w:val="clear" w:color="auto" w:fill="auto"/>
            <w:tcMar>
              <w:top w:w="28" w:type="dxa"/>
              <w:bottom w:w="28" w:type="dxa"/>
            </w:tcMar>
            <w:vAlign w:val="center"/>
          </w:tcPr>
          <w:p w14:paraId="5EE034E5" w14:textId="4EE68D2A" w:rsidR="007D090A" w:rsidRPr="00D60E67" w:rsidRDefault="007D090A" w:rsidP="007D090A">
            <w:pPr>
              <w:keepLines/>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lastRenderedPageBreak/>
              <w:t xml:space="preserve">MIDAZOLAM </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Oromucosal solution in pre-filled syringe 2.5 mg in 0.</w:t>
            </w:r>
            <w:r w:rsidR="00B00E2D" w:rsidRPr="00D60E67">
              <w:rPr>
                <w:rFonts w:asciiTheme="minorHAnsi" w:hAnsiTheme="minorHAnsi" w:cstheme="minorHAnsi"/>
                <w:color w:val="000000"/>
                <w:sz w:val="18"/>
                <w:szCs w:val="18"/>
              </w:rPr>
              <w:t>25</w:t>
            </w:r>
            <w:r w:rsidR="00B00E2D">
              <w:rPr>
                <w:rFonts w:asciiTheme="minorHAnsi" w:hAnsiTheme="minorHAnsi" w:cstheme="minorHAnsi"/>
                <w:color w:val="000000"/>
                <w:sz w:val="18"/>
                <w:szCs w:val="18"/>
              </w:rPr>
              <w:t> </w:t>
            </w:r>
            <w:r w:rsidRPr="00D60E67">
              <w:rPr>
                <w:rFonts w:asciiTheme="minorHAnsi" w:hAnsiTheme="minorHAnsi" w:cstheme="minorHAnsi"/>
                <w:color w:val="000000"/>
                <w:sz w:val="18"/>
                <w:szCs w:val="18"/>
              </w:rPr>
              <w:t>mL</w:t>
            </w:r>
            <w:r w:rsidRPr="00D60E67">
              <w:rPr>
                <w:rFonts w:asciiTheme="minorHAnsi" w:hAnsiTheme="minorHAnsi" w:cstheme="minorHAnsi"/>
                <w:color w:val="000000"/>
                <w:sz w:val="18"/>
                <w:szCs w:val="18"/>
              </w:rPr>
              <w:br/>
              <w:t>Oromucosal solution in pre-filled syringe 5 mg in 0.5</w:t>
            </w:r>
            <w:r w:rsidR="00B00E2D">
              <w:rPr>
                <w:rFonts w:asciiTheme="minorHAnsi" w:hAnsiTheme="minorHAnsi" w:cstheme="minorHAnsi"/>
                <w:color w:val="000000"/>
                <w:sz w:val="18"/>
                <w:szCs w:val="18"/>
              </w:rPr>
              <w:t> </w:t>
            </w:r>
            <w:r w:rsidRPr="0088248D">
              <w:rPr>
                <w:rFonts w:asciiTheme="minorHAnsi" w:hAnsiTheme="minorHAnsi" w:cstheme="minorHAnsi"/>
                <w:color w:val="000000"/>
                <w:sz w:val="18"/>
                <w:szCs w:val="18"/>
              </w:rPr>
              <w:t>mL</w:t>
            </w:r>
            <w:r w:rsidRPr="0088248D">
              <w:rPr>
                <w:rFonts w:asciiTheme="minorHAnsi" w:hAnsiTheme="minorHAnsi" w:cstheme="minorHAnsi"/>
                <w:color w:val="000000"/>
                <w:sz w:val="18"/>
                <w:szCs w:val="18"/>
              </w:rPr>
              <w:br/>
              <w:t>Oromucosal solution in pre-filled syringe 7.5 mg in 0.75</w:t>
            </w:r>
            <w:r w:rsidR="00B00E2D">
              <w:rPr>
                <w:rFonts w:asciiTheme="minorHAnsi" w:hAnsiTheme="minorHAnsi" w:cstheme="minorHAnsi"/>
                <w:color w:val="000000"/>
                <w:sz w:val="18"/>
                <w:szCs w:val="18"/>
              </w:rPr>
              <w:t> </w:t>
            </w:r>
            <w:r w:rsidRPr="0088248D">
              <w:rPr>
                <w:rFonts w:asciiTheme="minorHAnsi" w:hAnsiTheme="minorHAnsi" w:cstheme="minorHAnsi"/>
                <w:color w:val="000000"/>
                <w:sz w:val="18"/>
                <w:szCs w:val="18"/>
              </w:rPr>
              <w:t>mL</w:t>
            </w:r>
            <w:r w:rsidRPr="0088248D">
              <w:rPr>
                <w:rFonts w:asciiTheme="minorHAnsi" w:hAnsiTheme="minorHAnsi" w:cstheme="minorHAnsi"/>
                <w:color w:val="000000"/>
                <w:sz w:val="18"/>
                <w:szCs w:val="18"/>
              </w:rPr>
              <w:br/>
              <w:t>Oromucosal solution in pre-filled syringe 10 mg in 1</w:t>
            </w:r>
            <w:r w:rsidR="00B00E2D">
              <w:rPr>
                <w:rFonts w:asciiTheme="minorHAnsi" w:hAnsiTheme="minorHAnsi" w:cstheme="minorHAnsi"/>
                <w:color w:val="000000"/>
                <w:sz w:val="18"/>
                <w:szCs w:val="18"/>
              </w:rPr>
              <w:t> </w:t>
            </w:r>
            <w:r w:rsidRPr="00D60E67">
              <w:rPr>
                <w:rFonts w:asciiTheme="minorHAnsi" w:hAnsiTheme="minorHAnsi" w:cstheme="minorHAnsi"/>
                <w:color w:val="000000"/>
                <w:sz w:val="18"/>
                <w:szCs w:val="18"/>
              </w:rPr>
              <w:t>mL</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Zyamis®</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Clinect Pty Ltd</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Early re-entry submission</w:t>
            </w:r>
            <w:r w:rsidRPr="00D60E67">
              <w:rPr>
                <w:rFonts w:asciiTheme="minorHAnsi" w:hAnsiTheme="minorHAnsi" w:cstheme="minorHAnsi"/>
                <w:color w:val="000000"/>
                <w:sz w:val="18"/>
                <w:szCs w:val="18"/>
              </w:rPr>
              <w:br/>
              <w:t>(New PBS listing)</w:t>
            </w:r>
          </w:p>
        </w:tc>
        <w:tc>
          <w:tcPr>
            <w:tcW w:w="2764" w:type="dxa"/>
            <w:shd w:val="clear" w:color="auto" w:fill="auto"/>
            <w:vAlign w:val="center"/>
          </w:tcPr>
          <w:p w14:paraId="5A5A19E5" w14:textId="386FE4B7" w:rsidR="007D090A" w:rsidRPr="00D60E67" w:rsidRDefault="007D090A" w:rsidP="007D090A">
            <w:pPr>
              <w:keepLines/>
              <w:widowControl w:val="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Epilepsy</w:t>
            </w:r>
          </w:p>
        </w:tc>
        <w:tc>
          <w:tcPr>
            <w:tcW w:w="3288" w:type="dxa"/>
            <w:shd w:val="clear" w:color="auto" w:fill="auto"/>
            <w:tcMar>
              <w:top w:w="28" w:type="dxa"/>
              <w:bottom w:w="28" w:type="dxa"/>
            </w:tcMar>
            <w:vAlign w:val="center"/>
          </w:tcPr>
          <w:p w14:paraId="4DA044D3" w14:textId="37A61740" w:rsidR="007D090A" w:rsidRPr="00D60E67" w:rsidRDefault="007D090A" w:rsidP="007D090A">
            <w:pPr>
              <w:pStyle w:val="ListParagraph"/>
              <w:keepLines/>
              <w:ind w:left="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Resubmission to request a General Schedule Authority Required listing for the treatment of generalised convulsive status epilepticus in patients with epilepsy aged over 6 months and a high risk of status epilepticus.</w:t>
            </w:r>
          </w:p>
        </w:tc>
        <w:tc>
          <w:tcPr>
            <w:tcW w:w="1987" w:type="dxa"/>
            <w:shd w:val="clear" w:color="auto" w:fill="auto"/>
            <w:vAlign w:val="center"/>
          </w:tcPr>
          <w:p w14:paraId="187D3C4E" w14:textId="79D6B2C3" w:rsidR="007D090A" w:rsidRPr="00D60E67" w:rsidRDefault="007D090A" w:rsidP="007D090A">
            <w:pPr>
              <w:pStyle w:val="ListParagraph"/>
              <w:keepLines/>
              <w:ind w:left="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Recommended</w:t>
            </w:r>
          </w:p>
        </w:tc>
        <w:tc>
          <w:tcPr>
            <w:tcW w:w="4336" w:type="dxa"/>
            <w:shd w:val="clear" w:color="auto" w:fill="auto"/>
            <w:vAlign w:val="center"/>
          </w:tcPr>
          <w:p w14:paraId="177F3429" w14:textId="1C143D87" w:rsidR="007D090A" w:rsidRPr="00D60E67" w:rsidRDefault="007D090A" w:rsidP="007D090A">
            <w:pPr>
              <w:rPr>
                <w:rFonts w:asciiTheme="minorHAnsi" w:hAnsiTheme="minorHAnsi" w:cstheme="minorHAnsi"/>
                <w:sz w:val="18"/>
                <w:szCs w:val="18"/>
              </w:rPr>
            </w:pPr>
            <w:r w:rsidRPr="00D60E67">
              <w:rPr>
                <w:rFonts w:asciiTheme="minorHAnsi" w:hAnsiTheme="minorHAnsi" w:cstheme="minorHAnsi"/>
                <w:color w:val="000000"/>
                <w:sz w:val="18"/>
                <w:szCs w:val="18"/>
              </w:rPr>
              <w:t>The PBAC recommended the listing of midazolam oromucosal solution in pre-filled syringes (2.</w:t>
            </w:r>
            <w:r w:rsidR="00B00E2D" w:rsidRPr="00D60E67">
              <w:rPr>
                <w:rFonts w:asciiTheme="minorHAnsi" w:hAnsiTheme="minorHAnsi" w:cstheme="minorHAnsi"/>
                <w:color w:val="000000"/>
                <w:sz w:val="18"/>
                <w:szCs w:val="18"/>
              </w:rPr>
              <w:t>5</w:t>
            </w:r>
            <w:r w:rsidR="00B00E2D">
              <w:rPr>
                <w:rFonts w:asciiTheme="minorHAnsi" w:hAnsiTheme="minorHAnsi" w:cstheme="minorHAnsi"/>
                <w:color w:val="000000"/>
                <w:sz w:val="18"/>
                <w:szCs w:val="18"/>
              </w:rPr>
              <w:t> </w:t>
            </w:r>
            <w:r w:rsidRPr="0004257E">
              <w:rPr>
                <w:rFonts w:asciiTheme="minorHAnsi" w:hAnsiTheme="minorHAnsi" w:cstheme="minorHAnsi"/>
                <w:color w:val="000000"/>
                <w:sz w:val="18"/>
                <w:szCs w:val="18"/>
              </w:rPr>
              <w:t>mg, 5</w:t>
            </w:r>
            <w:r w:rsidR="00B00E2D">
              <w:rPr>
                <w:rFonts w:asciiTheme="minorHAnsi" w:hAnsiTheme="minorHAnsi" w:cstheme="minorHAnsi"/>
                <w:color w:val="000000"/>
                <w:sz w:val="18"/>
                <w:szCs w:val="18"/>
              </w:rPr>
              <w:t> </w:t>
            </w:r>
            <w:r w:rsidRPr="0088248D">
              <w:rPr>
                <w:rFonts w:asciiTheme="minorHAnsi" w:hAnsiTheme="minorHAnsi" w:cstheme="minorHAnsi"/>
                <w:color w:val="000000"/>
                <w:sz w:val="18"/>
                <w:szCs w:val="18"/>
              </w:rPr>
              <w:t>mg, 7.</w:t>
            </w:r>
            <w:r w:rsidR="00B00E2D" w:rsidRPr="0088248D">
              <w:rPr>
                <w:rFonts w:asciiTheme="minorHAnsi" w:hAnsiTheme="minorHAnsi" w:cstheme="minorHAnsi"/>
                <w:color w:val="000000"/>
                <w:sz w:val="18"/>
                <w:szCs w:val="18"/>
              </w:rPr>
              <w:t>5</w:t>
            </w:r>
            <w:r w:rsidR="00B00E2D">
              <w:rPr>
                <w:rFonts w:asciiTheme="minorHAnsi" w:hAnsiTheme="minorHAnsi" w:cstheme="minorHAnsi"/>
                <w:color w:val="000000"/>
                <w:sz w:val="18"/>
                <w:szCs w:val="18"/>
              </w:rPr>
              <w:t> </w:t>
            </w:r>
            <w:r w:rsidRPr="00D60E67">
              <w:rPr>
                <w:rFonts w:asciiTheme="minorHAnsi" w:hAnsiTheme="minorHAnsi" w:cstheme="minorHAnsi"/>
                <w:color w:val="000000"/>
                <w:sz w:val="18"/>
                <w:szCs w:val="18"/>
              </w:rPr>
              <w:t>mg and 10 mg), for the treatment of generalised convulsive status epilepticus (GCSE) in patients aged over 6 months. The PBAC noted that GCSE is a stressful situation for parents and carers, and considered that the proposed listing, incorporating expert clinical advice, offered clinically meaningful benefits by improved quality use of medicines with easier and more accurate administration. This is consistent with stakeholder comments which were received from health professionals, individuals and organisations. The PBAC’s recommendation for listing was based on, among other matters, its assessment that the cost-effectiveness of midazolam oromucosal solution in pre-filled syringes would be acceptable if it were cost-minimised against off</w:t>
            </w:r>
            <w:r w:rsidR="00285792">
              <w:rPr>
                <w:rFonts w:asciiTheme="minorHAnsi" w:hAnsiTheme="minorHAnsi" w:cstheme="minorHAnsi"/>
                <w:color w:val="000000"/>
                <w:sz w:val="18"/>
                <w:szCs w:val="18"/>
              </w:rPr>
              <w:t>-</w:t>
            </w:r>
            <w:r w:rsidRPr="00D60E67">
              <w:rPr>
                <w:rFonts w:asciiTheme="minorHAnsi" w:hAnsiTheme="minorHAnsi" w:cstheme="minorHAnsi"/>
                <w:color w:val="000000"/>
                <w:sz w:val="18"/>
                <w:szCs w:val="18"/>
              </w:rPr>
              <w:t>label use of midazolam ampoules. However, the PBAC recognised there were additional health outcome benefits to this formulation associated with the accurate and timely administration of midazolam during an acute health emergency that justified a significant price premium under the specific circumstances of the restriction. The PBAC considered that the resubmission had partly addressed the concerns raised at the July 2022 PBAC meeting, and the remaining concerns could be addressed with an appropriate risk sharing arrangement.</w:t>
            </w:r>
          </w:p>
        </w:tc>
      </w:tr>
      <w:tr w:rsidR="007D090A" w:rsidRPr="00544497" w14:paraId="2EC70EBE" w14:textId="77777777" w:rsidTr="0088248D">
        <w:trPr>
          <w:cantSplit/>
          <w:trHeight w:val="2948"/>
          <w:jc w:val="center"/>
        </w:trPr>
        <w:tc>
          <w:tcPr>
            <w:tcW w:w="3013" w:type="dxa"/>
            <w:shd w:val="clear" w:color="auto" w:fill="auto"/>
            <w:tcMar>
              <w:top w:w="28" w:type="dxa"/>
              <w:bottom w:w="28" w:type="dxa"/>
            </w:tcMar>
            <w:vAlign w:val="center"/>
          </w:tcPr>
          <w:p w14:paraId="51F9C8DB" w14:textId="030AA16F" w:rsidR="007D090A" w:rsidRPr="00D60E67" w:rsidRDefault="007D090A" w:rsidP="007D090A">
            <w:pPr>
              <w:keepLines/>
              <w:jc w:val="center"/>
              <w:rPr>
                <w:rFonts w:asciiTheme="minorHAnsi" w:hAnsiTheme="minorHAnsi" w:cstheme="minorHAnsi"/>
                <w:sz w:val="18"/>
                <w:szCs w:val="18"/>
                <w:highlight w:val="yellow"/>
              </w:rPr>
            </w:pPr>
            <w:r w:rsidRPr="00D60E67">
              <w:rPr>
                <w:rFonts w:asciiTheme="minorHAnsi" w:hAnsiTheme="minorHAnsi" w:cstheme="minorHAnsi"/>
                <w:color w:val="000000"/>
                <w:sz w:val="18"/>
                <w:szCs w:val="18"/>
              </w:rPr>
              <w:lastRenderedPageBreak/>
              <w:t>MOBOCERTINIB</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Capsule 40 mg</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Exkivity®</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TAKEDA PHARMACEUTICALS AUSTRALIA PTY. LTD.</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Category 1 submission</w:t>
            </w:r>
            <w:r w:rsidRPr="00D60E67">
              <w:rPr>
                <w:rFonts w:asciiTheme="minorHAnsi" w:hAnsiTheme="minorHAnsi" w:cstheme="minorHAnsi"/>
                <w:color w:val="000000"/>
                <w:sz w:val="18"/>
                <w:szCs w:val="18"/>
              </w:rPr>
              <w:br/>
              <w:t>(New PBS listing)</w:t>
            </w:r>
          </w:p>
        </w:tc>
        <w:tc>
          <w:tcPr>
            <w:tcW w:w="2764" w:type="dxa"/>
            <w:shd w:val="clear" w:color="auto" w:fill="auto"/>
            <w:vAlign w:val="center"/>
          </w:tcPr>
          <w:p w14:paraId="769B6C1F" w14:textId="49DFBEF2" w:rsidR="007D090A" w:rsidRPr="00D60E67" w:rsidRDefault="007D090A" w:rsidP="007D090A">
            <w:pPr>
              <w:keepLines/>
              <w:widowControl w:val="0"/>
              <w:jc w:val="center"/>
              <w:rPr>
                <w:rFonts w:asciiTheme="minorHAnsi" w:hAnsiTheme="minorHAnsi" w:cstheme="minorHAnsi"/>
                <w:snapToGrid w:val="0"/>
                <w:sz w:val="18"/>
                <w:szCs w:val="18"/>
                <w:highlight w:val="yellow"/>
                <w:lang w:eastAsia="en-US"/>
              </w:rPr>
            </w:pPr>
            <w:r w:rsidRPr="00D60E67">
              <w:rPr>
                <w:rFonts w:asciiTheme="minorHAnsi" w:hAnsiTheme="minorHAnsi" w:cstheme="minorHAnsi"/>
                <w:color w:val="000000"/>
                <w:sz w:val="18"/>
                <w:szCs w:val="18"/>
              </w:rPr>
              <w:t>Non-small cell lung cancer</w:t>
            </w:r>
          </w:p>
        </w:tc>
        <w:tc>
          <w:tcPr>
            <w:tcW w:w="3288" w:type="dxa"/>
            <w:shd w:val="clear" w:color="auto" w:fill="auto"/>
            <w:tcMar>
              <w:top w:w="28" w:type="dxa"/>
              <w:bottom w:w="28" w:type="dxa"/>
            </w:tcMar>
            <w:vAlign w:val="center"/>
          </w:tcPr>
          <w:p w14:paraId="438FD70D" w14:textId="2013A8BA" w:rsidR="007D090A" w:rsidRPr="00D60E67" w:rsidRDefault="007D090A" w:rsidP="007D090A">
            <w:pPr>
              <w:pStyle w:val="ListParagraph"/>
              <w:keepLines/>
              <w:ind w:left="0"/>
              <w:jc w:val="center"/>
              <w:rPr>
                <w:rFonts w:asciiTheme="minorHAnsi" w:hAnsiTheme="minorHAnsi" w:cstheme="minorHAnsi"/>
                <w:snapToGrid w:val="0"/>
                <w:sz w:val="18"/>
                <w:szCs w:val="18"/>
                <w:lang w:eastAsia="en-US"/>
              </w:rPr>
            </w:pPr>
            <w:r w:rsidRPr="00D60E67">
              <w:rPr>
                <w:rFonts w:asciiTheme="minorHAnsi" w:hAnsiTheme="minorHAnsi" w:cstheme="minorHAnsi"/>
                <w:color w:val="000000"/>
                <w:sz w:val="18"/>
                <w:szCs w:val="18"/>
              </w:rPr>
              <w:t>To request a General Schedule Authority Required listing for the treatment of adults with epidermal growth factor receptor</w:t>
            </w:r>
            <w:r w:rsidR="003D2F1C">
              <w:rPr>
                <w:rFonts w:asciiTheme="minorHAnsi" w:hAnsiTheme="minorHAnsi" w:cstheme="minorHAnsi"/>
                <w:color w:val="000000"/>
                <w:sz w:val="18"/>
                <w:szCs w:val="18"/>
              </w:rPr>
              <w:t xml:space="preserve"> (</w:t>
            </w:r>
            <w:r w:rsidR="003D2F1C">
              <w:rPr>
                <w:rFonts w:asciiTheme="minorHAnsi" w:hAnsiTheme="minorHAnsi" w:cstheme="minorHAnsi"/>
                <w:i/>
                <w:iCs/>
                <w:color w:val="000000"/>
                <w:sz w:val="18"/>
                <w:szCs w:val="18"/>
              </w:rPr>
              <w:t>EGFR</w:t>
            </w:r>
            <w:r w:rsidR="003D2F1C">
              <w:rPr>
                <w:rFonts w:asciiTheme="minorHAnsi" w:hAnsiTheme="minorHAnsi" w:cstheme="minorHAnsi"/>
                <w:color w:val="000000"/>
                <w:sz w:val="18"/>
                <w:szCs w:val="18"/>
              </w:rPr>
              <w:t>)</w:t>
            </w:r>
            <w:r w:rsidRPr="00D60E67">
              <w:rPr>
                <w:rFonts w:asciiTheme="minorHAnsi" w:hAnsiTheme="minorHAnsi" w:cstheme="minorHAnsi"/>
                <w:color w:val="000000"/>
                <w:sz w:val="18"/>
                <w:szCs w:val="18"/>
              </w:rPr>
              <w:t xml:space="preserve"> exon 20 insertion positive locally advanced or metastatic (Stage IIIB/IV) non-small cell lung cancer who have received platinum-based chemotherapy.</w:t>
            </w:r>
          </w:p>
        </w:tc>
        <w:tc>
          <w:tcPr>
            <w:tcW w:w="1987" w:type="dxa"/>
            <w:shd w:val="clear" w:color="auto" w:fill="auto"/>
            <w:vAlign w:val="center"/>
          </w:tcPr>
          <w:p w14:paraId="0039D5E2" w14:textId="3641E2CF" w:rsidR="007D090A" w:rsidRPr="00D60E67" w:rsidRDefault="007D090A" w:rsidP="007D090A">
            <w:pPr>
              <w:pStyle w:val="ListParagraph"/>
              <w:keepLines/>
              <w:ind w:left="0"/>
              <w:jc w:val="center"/>
              <w:rPr>
                <w:rFonts w:asciiTheme="minorHAnsi" w:hAnsiTheme="minorHAnsi" w:cstheme="minorHAnsi"/>
                <w:snapToGrid w:val="0"/>
                <w:sz w:val="18"/>
                <w:szCs w:val="18"/>
                <w:lang w:eastAsia="en-US"/>
              </w:rPr>
            </w:pPr>
            <w:r w:rsidRPr="00D60E67">
              <w:rPr>
                <w:rFonts w:asciiTheme="minorHAnsi" w:hAnsiTheme="minorHAnsi" w:cstheme="minorHAnsi"/>
                <w:color w:val="000000"/>
                <w:sz w:val="18"/>
                <w:szCs w:val="18"/>
              </w:rPr>
              <w:t>Not Recommended</w:t>
            </w:r>
          </w:p>
        </w:tc>
        <w:tc>
          <w:tcPr>
            <w:tcW w:w="4336" w:type="dxa"/>
            <w:shd w:val="clear" w:color="auto" w:fill="auto"/>
            <w:vAlign w:val="center"/>
          </w:tcPr>
          <w:p w14:paraId="32F05690" w14:textId="34B41F44" w:rsidR="00062F87" w:rsidRPr="0088248D" w:rsidRDefault="00062F87" w:rsidP="00062F87">
            <w:pPr>
              <w:keepLines/>
              <w:rPr>
                <w:rFonts w:asciiTheme="minorHAnsi" w:hAnsiTheme="minorHAnsi" w:cstheme="minorHAnsi"/>
                <w:color w:val="000000"/>
                <w:sz w:val="18"/>
                <w:szCs w:val="18"/>
              </w:rPr>
            </w:pPr>
            <w:r w:rsidRPr="0088248D">
              <w:rPr>
                <w:rFonts w:asciiTheme="minorHAnsi" w:hAnsiTheme="minorHAnsi" w:cstheme="minorHAnsi"/>
                <w:color w:val="000000"/>
                <w:sz w:val="18"/>
                <w:szCs w:val="18"/>
              </w:rPr>
              <w:t xml:space="preserve">The PBAC did not recommend mobocertinib for the treatment of adults with </w:t>
            </w:r>
            <w:r w:rsidR="00CD5D93" w:rsidRPr="0088248D">
              <w:rPr>
                <w:rFonts w:asciiTheme="minorHAnsi" w:hAnsiTheme="minorHAnsi" w:cstheme="minorHAnsi"/>
                <w:i/>
                <w:iCs/>
                <w:color w:val="000000"/>
                <w:sz w:val="18"/>
                <w:szCs w:val="18"/>
              </w:rPr>
              <w:t>EGFR</w:t>
            </w:r>
            <w:r w:rsidR="00CD5D93">
              <w:rPr>
                <w:rFonts w:asciiTheme="minorHAnsi" w:hAnsiTheme="minorHAnsi" w:cstheme="minorHAnsi"/>
                <w:color w:val="000000"/>
                <w:sz w:val="18"/>
                <w:szCs w:val="18"/>
              </w:rPr>
              <w:t xml:space="preserve"> </w:t>
            </w:r>
            <w:r w:rsidRPr="0088248D">
              <w:rPr>
                <w:rFonts w:asciiTheme="minorHAnsi" w:hAnsiTheme="minorHAnsi" w:cstheme="minorHAnsi"/>
                <w:color w:val="000000"/>
                <w:sz w:val="18"/>
                <w:szCs w:val="18"/>
              </w:rPr>
              <w:t xml:space="preserve">exon 20 insertion positive locally advanced or metastatic (Stage IIIB/IV) non-small cell lung cancer (NSCLC) who have received platinum-based chemotherapy. The PBAC considered the nominated comparator of Standard of Care, comprising </w:t>
            </w:r>
            <w:r w:rsidRPr="002C1F7B">
              <w:rPr>
                <w:rFonts w:asciiTheme="minorHAnsi" w:hAnsiTheme="minorHAnsi" w:cstheme="minorHAnsi"/>
                <w:color w:val="000000"/>
                <w:sz w:val="18"/>
                <w:szCs w:val="18"/>
              </w:rPr>
              <w:t>EGFR</w:t>
            </w:r>
            <w:r w:rsidRPr="0088248D">
              <w:rPr>
                <w:rFonts w:asciiTheme="minorHAnsi" w:hAnsiTheme="minorHAnsi" w:cstheme="minorHAnsi"/>
                <w:color w:val="000000"/>
                <w:sz w:val="18"/>
                <w:szCs w:val="18"/>
              </w:rPr>
              <w:t xml:space="preserve"> tyrosine kinase inhibitors </w:t>
            </w:r>
            <w:r w:rsidR="00C168E7">
              <w:rPr>
                <w:rFonts w:asciiTheme="minorHAnsi" w:hAnsiTheme="minorHAnsi" w:cstheme="minorHAnsi"/>
                <w:color w:val="000000"/>
                <w:sz w:val="18"/>
                <w:szCs w:val="18"/>
              </w:rPr>
              <w:t>(</w:t>
            </w:r>
            <w:r w:rsidRPr="0088248D">
              <w:rPr>
                <w:rFonts w:asciiTheme="minorHAnsi" w:hAnsiTheme="minorHAnsi" w:cstheme="minorHAnsi"/>
                <w:color w:val="000000"/>
                <w:sz w:val="18"/>
                <w:szCs w:val="18"/>
              </w:rPr>
              <w:t>TKIs</w:t>
            </w:r>
            <w:r w:rsidR="00C168E7">
              <w:rPr>
                <w:rFonts w:asciiTheme="minorHAnsi" w:hAnsiTheme="minorHAnsi" w:cstheme="minorHAnsi"/>
                <w:color w:val="000000"/>
                <w:sz w:val="18"/>
                <w:szCs w:val="18"/>
              </w:rPr>
              <w:t>)</w:t>
            </w:r>
            <w:r w:rsidRPr="0088248D">
              <w:rPr>
                <w:rFonts w:asciiTheme="minorHAnsi" w:hAnsiTheme="minorHAnsi" w:cstheme="minorHAnsi"/>
                <w:color w:val="000000"/>
                <w:sz w:val="18"/>
                <w:szCs w:val="18"/>
              </w:rPr>
              <w:t xml:space="preserve">, immune checkpoint inhibitor (ICI) monotherapy, and chemotherapy was inappropriate as </w:t>
            </w:r>
            <w:r w:rsidRPr="002C1F7B">
              <w:rPr>
                <w:rFonts w:asciiTheme="minorHAnsi" w:hAnsiTheme="minorHAnsi" w:cstheme="minorHAnsi"/>
                <w:color w:val="000000"/>
                <w:sz w:val="18"/>
                <w:szCs w:val="18"/>
              </w:rPr>
              <w:t>EGFR</w:t>
            </w:r>
            <w:r w:rsidRPr="0088248D">
              <w:rPr>
                <w:rFonts w:asciiTheme="minorHAnsi" w:hAnsiTheme="minorHAnsi" w:cstheme="minorHAnsi"/>
                <w:color w:val="000000"/>
                <w:sz w:val="18"/>
                <w:szCs w:val="18"/>
              </w:rPr>
              <w:t xml:space="preserve"> TKI and ICI are generally not used in these patients. The PBAC considered that the evidence presented is associated with a very high degree of uncertainty and did not permit either a comparison of mobocertinib with purely chemotherapy-based treatments, or a comparison of safety. </w:t>
            </w:r>
          </w:p>
          <w:p w14:paraId="59F0905A" w14:textId="77777777" w:rsidR="00062F87" w:rsidRPr="00D60E67" w:rsidRDefault="00062F87" w:rsidP="00062F87">
            <w:pPr>
              <w:keepLines/>
              <w:rPr>
                <w:rFonts w:asciiTheme="minorHAnsi" w:hAnsiTheme="minorHAnsi" w:cstheme="minorHAnsi"/>
                <w:color w:val="000000"/>
                <w:sz w:val="18"/>
                <w:szCs w:val="18"/>
                <w:u w:val="single"/>
              </w:rPr>
            </w:pPr>
          </w:p>
          <w:p w14:paraId="6050D58D" w14:textId="77777777" w:rsidR="007D090A" w:rsidRDefault="007D090A" w:rsidP="007D090A">
            <w:pPr>
              <w:pStyle w:val="ListParagraph"/>
              <w:keepLines/>
              <w:ind w:left="0"/>
              <w:rPr>
                <w:rFonts w:asciiTheme="minorHAnsi" w:hAnsiTheme="minorHAnsi" w:cstheme="minorHAnsi"/>
                <w:color w:val="000000"/>
                <w:sz w:val="18"/>
                <w:szCs w:val="18"/>
              </w:rPr>
            </w:pPr>
            <w:r w:rsidRPr="00D60E67">
              <w:rPr>
                <w:rFonts w:asciiTheme="minorHAnsi" w:hAnsiTheme="minorHAnsi" w:cstheme="minorHAnsi"/>
                <w:color w:val="000000"/>
                <w:sz w:val="18"/>
                <w:szCs w:val="18"/>
                <w:u w:val="single"/>
              </w:rPr>
              <w:t>Sponsor’s Comment:</w:t>
            </w:r>
          </w:p>
          <w:p w14:paraId="5A41DAFA" w14:textId="77777777" w:rsidR="004A4728" w:rsidRPr="00100A53" w:rsidRDefault="004A4728" w:rsidP="00100A53">
            <w:pPr>
              <w:keepLines/>
              <w:rPr>
                <w:rFonts w:asciiTheme="minorHAnsi" w:hAnsiTheme="minorHAnsi" w:cstheme="minorHAnsi"/>
                <w:color w:val="000000"/>
                <w:sz w:val="18"/>
                <w:szCs w:val="18"/>
              </w:rPr>
            </w:pPr>
            <w:r w:rsidRPr="00100A53">
              <w:rPr>
                <w:rFonts w:asciiTheme="minorHAnsi" w:hAnsiTheme="minorHAnsi" w:cstheme="minorHAnsi"/>
                <w:color w:val="000000"/>
                <w:sz w:val="18"/>
                <w:szCs w:val="18"/>
              </w:rPr>
              <w:t>Takeda acknowledges the limited evidence base available for mobocertinib which has been listed with provisional registration in Australia.</w:t>
            </w:r>
          </w:p>
          <w:p w14:paraId="2B7A93D2" w14:textId="77777777" w:rsidR="004A4728" w:rsidRPr="00100A53" w:rsidRDefault="004A4728" w:rsidP="00100A53">
            <w:pPr>
              <w:keepLines/>
              <w:rPr>
                <w:rFonts w:asciiTheme="minorHAnsi" w:hAnsiTheme="minorHAnsi" w:cstheme="minorHAnsi"/>
                <w:color w:val="000000"/>
                <w:sz w:val="18"/>
                <w:szCs w:val="18"/>
              </w:rPr>
            </w:pPr>
          </w:p>
          <w:p w14:paraId="45CEEF81" w14:textId="55AEED59" w:rsidR="004A4728" w:rsidRPr="004A4728" w:rsidRDefault="004A4728" w:rsidP="004A4728">
            <w:pPr>
              <w:pStyle w:val="ListParagraph"/>
              <w:keepLines/>
              <w:ind w:left="0"/>
              <w:rPr>
                <w:rFonts w:asciiTheme="minorHAnsi" w:hAnsiTheme="minorHAnsi" w:cstheme="minorHAnsi"/>
                <w:color w:val="000000"/>
                <w:sz w:val="18"/>
                <w:szCs w:val="18"/>
              </w:rPr>
            </w:pPr>
            <w:r w:rsidRPr="004A4728">
              <w:rPr>
                <w:rFonts w:asciiTheme="minorHAnsi" w:hAnsiTheme="minorHAnsi" w:cstheme="minorHAnsi"/>
                <w:color w:val="000000"/>
                <w:sz w:val="18"/>
                <w:szCs w:val="18"/>
              </w:rPr>
              <w:t>The Sponsor is committed to working with the PBAC to bring this new medicine for a rare subtype of lung cancer to Australian patients in a timely manner</w:t>
            </w:r>
            <w:r w:rsidR="00100A53">
              <w:rPr>
                <w:rFonts w:asciiTheme="minorHAnsi" w:hAnsiTheme="minorHAnsi" w:cstheme="minorHAnsi"/>
                <w:color w:val="000000"/>
                <w:sz w:val="18"/>
                <w:szCs w:val="18"/>
              </w:rPr>
              <w:t>.</w:t>
            </w:r>
          </w:p>
        </w:tc>
      </w:tr>
      <w:tr w:rsidR="007D090A" w:rsidRPr="00544497" w14:paraId="3447A859" w14:textId="77777777" w:rsidTr="0088248D">
        <w:trPr>
          <w:cantSplit/>
          <w:trHeight w:val="2948"/>
          <w:jc w:val="center"/>
        </w:trPr>
        <w:tc>
          <w:tcPr>
            <w:tcW w:w="3013" w:type="dxa"/>
            <w:shd w:val="clear" w:color="auto" w:fill="auto"/>
            <w:tcMar>
              <w:top w:w="28" w:type="dxa"/>
              <w:bottom w:w="28" w:type="dxa"/>
            </w:tcMar>
            <w:vAlign w:val="center"/>
          </w:tcPr>
          <w:p w14:paraId="2FA0FE0C" w14:textId="4F0BD63F" w:rsidR="007D090A" w:rsidRPr="00D60E67" w:rsidRDefault="007D090A" w:rsidP="007D090A">
            <w:pPr>
              <w:keepLines/>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lastRenderedPageBreak/>
              <w:t xml:space="preserve">NIVOLUMAB </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Injection concentrate for I.V. infusion 40</w:t>
            </w:r>
            <w:r w:rsidR="00B00E2D">
              <w:rPr>
                <w:rFonts w:asciiTheme="minorHAnsi" w:hAnsiTheme="minorHAnsi" w:cstheme="minorHAnsi"/>
                <w:color w:val="000000"/>
                <w:sz w:val="18"/>
                <w:szCs w:val="18"/>
              </w:rPr>
              <w:t> </w:t>
            </w:r>
            <w:r w:rsidRPr="0088248D">
              <w:rPr>
                <w:rFonts w:asciiTheme="minorHAnsi" w:hAnsiTheme="minorHAnsi" w:cstheme="minorHAnsi"/>
                <w:color w:val="000000"/>
                <w:sz w:val="18"/>
                <w:szCs w:val="18"/>
              </w:rPr>
              <w:t>mg in 4 mL</w:t>
            </w:r>
            <w:r w:rsidRPr="0088248D">
              <w:rPr>
                <w:rFonts w:asciiTheme="minorHAnsi" w:hAnsiTheme="minorHAnsi" w:cstheme="minorHAnsi"/>
                <w:color w:val="000000"/>
                <w:sz w:val="18"/>
                <w:szCs w:val="18"/>
              </w:rPr>
              <w:br/>
              <w:t>Injection concentrate for I.V. infusion 100</w:t>
            </w:r>
            <w:r w:rsidR="00B00E2D">
              <w:rPr>
                <w:rFonts w:asciiTheme="minorHAnsi" w:hAnsiTheme="minorHAnsi" w:cstheme="minorHAnsi"/>
                <w:color w:val="000000"/>
                <w:sz w:val="18"/>
                <w:szCs w:val="18"/>
              </w:rPr>
              <w:t> </w:t>
            </w:r>
            <w:r w:rsidRPr="00D60E67">
              <w:rPr>
                <w:rFonts w:asciiTheme="minorHAnsi" w:hAnsiTheme="minorHAnsi" w:cstheme="minorHAnsi"/>
                <w:color w:val="000000"/>
                <w:sz w:val="18"/>
                <w:szCs w:val="18"/>
              </w:rPr>
              <w:t>mg in 10 mL</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Opdivo®</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Bristol-Myers Squibb Australia Pty Ltd</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Early re-entry submission</w:t>
            </w:r>
            <w:r w:rsidRPr="00D60E67">
              <w:rPr>
                <w:rFonts w:asciiTheme="minorHAnsi" w:hAnsiTheme="minorHAnsi" w:cstheme="minorHAnsi"/>
                <w:color w:val="000000"/>
                <w:sz w:val="18"/>
                <w:szCs w:val="18"/>
              </w:rPr>
              <w:br/>
              <w:t>(Change to PBS listing)</w:t>
            </w:r>
          </w:p>
        </w:tc>
        <w:tc>
          <w:tcPr>
            <w:tcW w:w="2764" w:type="dxa"/>
            <w:shd w:val="clear" w:color="auto" w:fill="auto"/>
            <w:vAlign w:val="center"/>
          </w:tcPr>
          <w:p w14:paraId="4E3ED951" w14:textId="43A84E8D" w:rsidR="007D090A" w:rsidRPr="00D60E67" w:rsidRDefault="007D090A" w:rsidP="007D090A">
            <w:pPr>
              <w:keepLines/>
              <w:widowControl w:val="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Oesophageal carcinoma or gastroesophageal junction carcinoma</w:t>
            </w:r>
          </w:p>
        </w:tc>
        <w:tc>
          <w:tcPr>
            <w:tcW w:w="3288" w:type="dxa"/>
            <w:shd w:val="clear" w:color="auto" w:fill="auto"/>
            <w:tcMar>
              <w:top w:w="28" w:type="dxa"/>
              <w:bottom w:w="28" w:type="dxa"/>
            </w:tcMar>
            <w:vAlign w:val="center"/>
          </w:tcPr>
          <w:p w14:paraId="5C23D2CA" w14:textId="2ADA5110" w:rsidR="007D090A" w:rsidRPr="00D60E67" w:rsidRDefault="007D090A" w:rsidP="007D090A">
            <w:pPr>
              <w:pStyle w:val="ListParagraph"/>
              <w:keepLines/>
              <w:ind w:left="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Resubmission to request a Section 100 (Efficient Funding of Chemotherapy Program) Authority Required listing for the adjuvant treatment of patients with oesophageal carcinoma or gastroesophageal junction carcinoma who have previously received platinum-based chemoradiotherapy and surgery.</w:t>
            </w:r>
          </w:p>
        </w:tc>
        <w:tc>
          <w:tcPr>
            <w:tcW w:w="1987" w:type="dxa"/>
            <w:shd w:val="clear" w:color="auto" w:fill="auto"/>
            <w:vAlign w:val="center"/>
          </w:tcPr>
          <w:p w14:paraId="655A6B78" w14:textId="1464A47D" w:rsidR="007D090A" w:rsidRPr="00D60E67" w:rsidRDefault="007D090A" w:rsidP="007D090A">
            <w:pPr>
              <w:pStyle w:val="ListParagraph"/>
              <w:keepLines/>
              <w:ind w:left="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Recommended</w:t>
            </w:r>
          </w:p>
        </w:tc>
        <w:tc>
          <w:tcPr>
            <w:tcW w:w="4336" w:type="dxa"/>
            <w:shd w:val="clear" w:color="auto" w:fill="auto"/>
            <w:vAlign w:val="center"/>
          </w:tcPr>
          <w:p w14:paraId="58D9BD7F" w14:textId="0E61C151" w:rsidR="007D090A" w:rsidRPr="00D60E67" w:rsidRDefault="007D090A" w:rsidP="007D090A">
            <w:pPr>
              <w:pStyle w:val="ListParagraph"/>
              <w:keepLines/>
              <w:ind w:left="0"/>
              <w:rPr>
                <w:rFonts w:asciiTheme="minorHAnsi" w:hAnsiTheme="minorHAnsi" w:cstheme="minorHAnsi"/>
                <w:color w:val="000000"/>
                <w:sz w:val="18"/>
                <w:szCs w:val="18"/>
              </w:rPr>
            </w:pPr>
            <w:r w:rsidRPr="00D60E67">
              <w:rPr>
                <w:rFonts w:asciiTheme="minorHAnsi" w:hAnsiTheme="minorHAnsi" w:cstheme="minorHAnsi"/>
                <w:color w:val="000000"/>
                <w:sz w:val="18"/>
                <w:szCs w:val="18"/>
              </w:rPr>
              <w:t>The PBAC recommended the Section 100 (Efficient Funding of Chemotherapy Program) Authority Required listing of nivolumab for the adjuvant treatment of patients with oesophageal cancer or gastroesophageal junction cancer who have received platinum-based chemoradiotherapy and surgery. The PBAC considered that the resubmission had addressed the substantive outstanding issues identified at the July 2022 PBAC meeting. However, the PBAC noted that additional revisions were made to the economic model that were not included in the early re-entry pathway nominated at the July 2022 PBAC meeting and noted that the additional changes made to the economic model favoured nivolumab. The PBAC therefore considered a further price reduction would be required to achieve a cost-effective listing for adjuvant nivolumab. The PBAC advised the net cost of listing nivolumab in the adjuvant treatment setting should be revised to account for the reduced use of immunotherapies in the advanced/metastatic treatment setting.</w:t>
            </w:r>
            <w:r w:rsidRPr="00D60E67">
              <w:rPr>
                <w:rFonts w:asciiTheme="minorHAnsi" w:hAnsiTheme="minorHAnsi" w:cstheme="minorHAnsi"/>
                <w:color w:val="000000"/>
                <w:sz w:val="18"/>
                <w:szCs w:val="18"/>
              </w:rPr>
              <w:br/>
              <w:t xml:space="preserve">The PBAC </w:t>
            </w:r>
            <w:r w:rsidR="002C1F7B">
              <w:rPr>
                <w:rFonts w:asciiTheme="minorHAnsi" w:hAnsiTheme="minorHAnsi" w:cstheme="minorHAnsi"/>
                <w:color w:val="000000"/>
                <w:sz w:val="18"/>
                <w:szCs w:val="18"/>
              </w:rPr>
              <w:t>recommended</w:t>
            </w:r>
            <w:r w:rsidR="00AA62A1">
              <w:rPr>
                <w:rFonts w:asciiTheme="minorHAnsi" w:hAnsiTheme="minorHAnsi" w:cstheme="minorHAnsi"/>
                <w:color w:val="000000"/>
                <w:sz w:val="18"/>
                <w:szCs w:val="18"/>
              </w:rPr>
              <w:t xml:space="preserve"> </w:t>
            </w:r>
            <w:r w:rsidRPr="00D60E67">
              <w:rPr>
                <w:rFonts w:asciiTheme="minorHAnsi" w:hAnsiTheme="minorHAnsi" w:cstheme="minorHAnsi"/>
                <w:color w:val="000000"/>
                <w:sz w:val="18"/>
                <w:szCs w:val="18"/>
              </w:rPr>
              <w:t>flow</w:t>
            </w:r>
            <w:r w:rsidR="002C1F7B">
              <w:rPr>
                <w:rFonts w:asciiTheme="minorHAnsi" w:hAnsiTheme="minorHAnsi" w:cstheme="minorHAnsi"/>
                <w:color w:val="000000"/>
                <w:sz w:val="18"/>
                <w:szCs w:val="18"/>
              </w:rPr>
              <w:t>-</w:t>
            </w:r>
            <w:r w:rsidRPr="00D60E67">
              <w:rPr>
                <w:rFonts w:asciiTheme="minorHAnsi" w:hAnsiTheme="minorHAnsi" w:cstheme="minorHAnsi"/>
                <w:color w:val="000000"/>
                <w:sz w:val="18"/>
                <w:szCs w:val="18"/>
              </w:rPr>
              <w:t xml:space="preserve">on restriction changes would be required to immunotherapies listed for advanced/metastatic gastro-oesophageal cancers to reflect one treatment course per patient per lifetime. </w:t>
            </w:r>
          </w:p>
        </w:tc>
      </w:tr>
      <w:tr w:rsidR="007D090A" w:rsidRPr="00544497" w14:paraId="4DC652CD" w14:textId="77777777" w:rsidTr="0088248D">
        <w:trPr>
          <w:cantSplit/>
          <w:trHeight w:val="2948"/>
          <w:jc w:val="center"/>
        </w:trPr>
        <w:tc>
          <w:tcPr>
            <w:tcW w:w="3013" w:type="dxa"/>
            <w:shd w:val="clear" w:color="auto" w:fill="auto"/>
            <w:tcMar>
              <w:top w:w="28" w:type="dxa"/>
              <w:bottom w:w="28" w:type="dxa"/>
            </w:tcMar>
            <w:vAlign w:val="center"/>
          </w:tcPr>
          <w:p w14:paraId="7FC143AF" w14:textId="5DABA796" w:rsidR="007D090A" w:rsidRPr="0088248D" w:rsidRDefault="007D090A" w:rsidP="007D090A">
            <w:pPr>
              <w:keepLines/>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lastRenderedPageBreak/>
              <w:t xml:space="preserve">NIVOLUMAB plus </w:t>
            </w:r>
            <w:r w:rsidRPr="00D60E67">
              <w:rPr>
                <w:rFonts w:asciiTheme="minorHAnsi" w:hAnsiTheme="minorHAnsi" w:cstheme="minorHAnsi"/>
                <w:color w:val="000000"/>
                <w:sz w:val="18"/>
                <w:szCs w:val="18"/>
              </w:rPr>
              <w:br/>
              <w:t>IPILIMUMAB</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 xml:space="preserve">NIVOLUMAB: Injection concentrate for I.V. infusion 100 mg in </w:t>
            </w:r>
            <w:r w:rsidR="002A0D05" w:rsidRPr="00D60E67">
              <w:rPr>
                <w:rFonts w:asciiTheme="minorHAnsi" w:hAnsiTheme="minorHAnsi" w:cstheme="minorHAnsi"/>
                <w:color w:val="000000"/>
                <w:sz w:val="18"/>
                <w:szCs w:val="18"/>
              </w:rPr>
              <w:t>10</w:t>
            </w:r>
            <w:r w:rsidR="002A0D05">
              <w:rPr>
                <w:rFonts w:asciiTheme="minorHAnsi" w:hAnsiTheme="minorHAnsi" w:cstheme="minorHAnsi"/>
                <w:color w:val="000000"/>
                <w:sz w:val="18"/>
                <w:szCs w:val="18"/>
              </w:rPr>
              <w:t> </w:t>
            </w:r>
            <w:r w:rsidRPr="00D60E67">
              <w:rPr>
                <w:rFonts w:asciiTheme="minorHAnsi" w:hAnsiTheme="minorHAnsi" w:cstheme="minorHAnsi"/>
                <w:color w:val="000000"/>
                <w:sz w:val="18"/>
                <w:szCs w:val="18"/>
              </w:rPr>
              <w:t xml:space="preserve">mL, Injection concentrate for I.V. infusion 40 mg in </w:t>
            </w:r>
            <w:r w:rsidR="002A0D05" w:rsidRPr="00D60E67">
              <w:rPr>
                <w:rFonts w:asciiTheme="minorHAnsi" w:hAnsiTheme="minorHAnsi" w:cstheme="minorHAnsi"/>
                <w:color w:val="000000"/>
                <w:sz w:val="18"/>
                <w:szCs w:val="18"/>
              </w:rPr>
              <w:t>4</w:t>
            </w:r>
            <w:r w:rsidR="002A0D05">
              <w:rPr>
                <w:rFonts w:asciiTheme="minorHAnsi" w:hAnsiTheme="minorHAnsi" w:cstheme="minorHAnsi"/>
                <w:color w:val="000000"/>
                <w:sz w:val="18"/>
                <w:szCs w:val="18"/>
              </w:rPr>
              <w:t> </w:t>
            </w:r>
            <w:r w:rsidRPr="00D60E67">
              <w:rPr>
                <w:rFonts w:asciiTheme="minorHAnsi" w:hAnsiTheme="minorHAnsi" w:cstheme="minorHAnsi"/>
                <w:color w:val="000000"/>
                <w:sz w:val="18"/>
                <w:szCs w:val="18"/>
              </w:rPr>
              <w:t xml:space="preserve">mL </w:t>
            </w:r>
            <w:r w:rsidRPr="00D60E67">
              <w:rPr>
                <w:rFonts w:asciiTheme="minorHAnsi" w:hAnsiTheme="minorHAnsi" w:cstheme="minorHAnsi"/>
                <w:color w:val="000000"/>
                <w:sz w:val="18"/>
                <w:szCs w:val="18"/>
              </w:rPr>
              <w:br/>
              <w:t>IPILIMUMAB: Injection concentrate for I.V. infusion 200 mg in 40</w:t>
            </w:r>
            <w:r w:rsidR="002A0D05">
              <w:rPr>
                <w:rFonts w:asciiTheme="minorHAnsi" w:hAnsiTheme="minorHAnsi" w:cstheme="minorHAnsi"/>
                <w:color w:val="000000"/>
                <w:sz w:val="18"/>
                <w:szCs w:val="18"/>
              </w:rPr>
              <w:t> </w:t>
            </w:r>
            <w:r w:rsidRPr="0088248D">
              <w:rPr>
                <w:rFonts w:asciiTheme="minorHAnsi" w:hAnsiTheme="minorHAnsi" w:cstheme="minorHAnsi"/>
                <w:color w:val="000000"/>
                <w:sz w:val="18"/>
                <w:szCs w:val="18"/>
              </w:rPr>
              <w:t>mL, Injection concentrate for I.V. infusion 50 mg in 10</w:t>
            </w:r>
            <w:r w:rsidR="002A0D05">
              <w:rPr>
                <w:rFonts w:asciiTheme="minorHAnsi" w:hAnsiTheme="minorHAnsi" w:cstheme="minorHAnsi"/>
                <w:color w:val="000000"/>
                <w:sz w:val="18"/>
                <w:szCs w:val="18"/>
              </w:rPr>
              <w:t> </w:t>
            </w:r>
            <w:r w:rsidRPr="0088248D">
              <w:rPr>
                <w:rFonts w:asciiTheme="minorHAnsi" w:hAnsiTheme="minorHAnsi" w:cstheme="minorHAnsi"/>
                <w:color w:val="000000"/>
                <w:sz w:val="18"/>
                <w:szCs w:val="18"/>
              </w:rPr>
              <w:t>mL</w:t>
            </w:r>
            <w:r w:rsidRPr="0088248D">
              <w:rPr>
                <w:rFonts w:asciiTheme="minorHAnsi" w:hAnsiTheme="minorHAnsi" w:cstheme="minorHAnsi"/>
                <w:color w:val="000000"/>
                <w:sz w:val="18"/>
                <w:szCs w:val="18"/>
              </w:rPr>
              <w:br/>
            </w:r>
            <w:r w:rsidRPr="0088248D">
              <w:rPr>
                <w:rFonts w:asciiTheme="minorHAnsi" w:hAnsiTheme="minorHAnsi" w:cstheme="minorHAnsi"/>
                <w:color w:val="000000"/>
                <w:sz w:val="18"/>
                <w:szCs w:val="18"/>
              </w:rPr>
              <w:br/>
              <w:t xml:space="preserve">Opdivo® </w:t>
            </w:r>
            <w:r w:rsidRPr="0088248D">
              <w:rPr>
                <w:rFonts w:asciiTheme="minorHAnsi" w:hAnsiTheme="minorHAnsi" w:cstheme="minorHAnsi"/>
                <w:color w:val="000000"/>
                <w:sz w:val="18"/>
                <w:szCs w:val="18"/>
              </w:rPr>
              <w:br/>
              <w:t>Yervoy®</w:t>
            </w:r>
            <w:r w:rsidRPr="0088248D">
              <w:rPr>
                <w:rFonts w:asciiTheme="minorHAnsi" w:hAnsiTheme="minorHAnsi" w:cstheme="minorHAnsi"/>
                <w:color w:val="000000"/>
                <w:sz w:val="18"/>
                <w:szCs w:val="18"/>
              </w:rPr>
              <w:br/>
            </w:r>
            <w:r w:rsidRPr="0088248D">
              <w:rPr>
                <w:rFonts w:asciiTheme="minorHAnsi" w:hAnsiTheme="minorHAnsi" w:cstheme="minorHAnsi"/>
                <w:color w:val="000000"/>
                <w:sz w:val="18"/>
                <w:szCs w:val="18"/>
              </w:rPr>
              <w:br/>
              <w:t>BRISTOL-MYERS SQUIBB AUSTRALIA PTY LTD</w:t>
            </w:r>
            <w:r w:rsidRPr="0088248D">
              <w:rPr>
                <w:rFonts w:asciiTheme="minorHAnsi" w:hAnsiTheme="minorHAnsi" w:cstheme="minorHAnsi"/>
                <w:color w:val="000000"/>
                <w:sz w:val="18"/>
                <w:szCs w:val="18"/>
              </w:rPr>
              <w:br/>
            </w:r>
            <w:r w:rsidRPr="0088248D">
              <w:rPr>
                <w:rFonts w:asciiTheme="minorHAnsi" w:hAnsiTheme="minorHAnsi" w:cstheme="minorHAnsi"/>
                <w:color w:val="000000"/>
                <w:sz w:val="18"/>
                <w:szCs w:val="18"/>
              </w:rPr>
              <w:br/>
              <w:t>Category 2 submission</w:t>
            </w:r>
            <w:r w:rsidRPr="0088248D">
              <w:rPr>
                <w:rFonts w:asciiTheme="minorHAnsi" w:hAnsiTheme="minorHAnsi" w:cstheme="minorHAnsi"/>
                <w:color w:val="000000"/>
                <w:sz w:val="18"/>
                <w:szCs w:val="18"/>
              </w:rPr>
              <w:br/>
              <w:t>(Change to PBS listing)</w:t>
            </w:r>
          </w:p>
        </w:tc>
        <w:tc>
          <w:tcPr>
            <w:tcW w:w="2764" w:type="dxa"/>
            <w:shd w:val="clear" w:color="auto" w:fill="auto"/>
            <w:vAlign w:val="center"/>
          </w:tcPr>
          <w:p w14:paraId="344E8A1C" w14:textId="7F6609E0" w:rsidR="007D090A" w:rsidRPr="0088248D" w:rsidRDefault="007D090A" w:rsidP="007D090A">
            <w:pPr>
              <w:keepLines/>
              <w:widowControl w:val="0"/>
              <w:jc w:val="center"/>
              <w:rPr>
                <w:rFonts w:asciiTheme="minorHAnsi" w:hAnsiTheme="minorHAnsi" w:cstheme="minorHAnsi"/>
                <w:color w:val="000000"/>
                <w:sz w:val="18"/>
                <w:szCs w:val="18"/>
              </w:rPr>
            </w:pPr>
            <w:r w:rsidRPr="0088248D">
              <w:rPr>
                <w:rFonts w:asciiTheme="minorHAnsi" w:hAnsiTheme="minorHAnsi" w:cstheme="minorHAnsi"/>
                <w:color w:val="000000"/>
                <w:sz w:val="18"/>
                <w:szCs w:val="18"/>
              </w:rPr>
              <w:t>Melanoma</w:t>
            </w:r>
          </w:p>
        </w:tc>
        <w:tc>
          <w:tcPr>
            <w:tcW w:w="3288" w:type="dxa"/>
            <w:shd w:val="clear" w:color="auto" w:fill="auto"/>
            <w:tcMar>
              <w:top w:w="28" w:type="dxa"/>
              <w:bottom w:w="28" w:type="dxa"/>
            </w:tcMar>
            <w:vAlign w:val="center"/>
          </w:tcPr>
          <w:p w14:paraId="44151FA0" w14:textId="0895C0ED" w:rsidR="007D090A" w:rsidRPr="0088248D" w:rsidRDefault="007D090A" w:rsidP="007D090A">
            <w:pPr>
              <w:pStyle w:val="ListParagraph"/>
              <w:keepLines/>
              <w:ind w:left="0"/>
              <w:jc w:val="center"/>
              <w:rPr>
                <w:rFonts w:asciiTheme="minorHAnsi" w:hAnsiTheme="minorHAnsi" w:cstheme="minorHAnsi"/>
                <w:color w:val="000000"/>
                <w:sz w:val="18"/>
                <w:szCs w:val="18"/>
              </w:rPr>
            </w:pPr>
            <w:r w:rsidRPr="0088248D">
              <w:rPr>
                <w:rFonts w:asciiTheme="minorHAnsi" w:hAnsiTheme="minorHAnsi" w:cstheme="minorHAnsi"/>
                <w:color w:val="000000"/>
                <w:sz w:val="18"/>
                <w:szCs w:val="18"/>
              </w:rPr>
              <w:t>To request an expansion of the current nivolumab plus ipilimumab listing to allow patients who experience disease recurrence either while receiving or within 6 months of completing adjuvant treatment with an anti-programmed death-1 (PD-1) based therapy to receive nivolumab plus ipilimumab in the metastatic setting.</w:t>
            </w:r>
          </w:p>
        </w:tc>
        <w:tc>
          <w:tcPr>
            <w:tcW w:w="1987" w:type="dxa"/>
            <w:shd w:val="clear" w:color="auto" w:fill="auto"/>
            <w:vAlign w:val="center"/>
          </w:tcPr>
          <w:p w14:paraId="796B1397" w14:textId="741702F6" w:rsidR="007D090A" w:rsidRPr="0088248D" w:rsidRDefault="007D090A" w:rsidP="007D090A">
            <w:pPr>
              <w:pStyle w:val="ListParagraph"/>
              <w:keepLines/>
              <w:ind w:left="0"/>
              <w:jc w:val="center"/>
              <w:rPr>
                <w:rFonts w:asciiTheme="minorHAnsi" w:hAnsiTheme="minorHAnsi" w:cstheme="minorHAnsi"/>
                <w:color w:val="000000"/>
                <w:sz w:val="18"/>
                <w:szCs w:val="18"/>
              </w:rPr>
            </w:pPr>
            <w:r w:rsidRPr="0088248D">
              <w:rPr>
                <w:rFonts w:asciiTheme="minorHAnsi" w:hAnsiTheme="minorHAnsi" w:cstheme="minorHAnsi"/>
                <w:color w:val="000000"/>
                <w:sz w:val="18"/>
                <w:szCs w:val="18"/>
              </w:rPr>
              <w:t>Recommended</w:t>
            </w:r>
          </w:p>
        </w:tc>
        <w:tc>
          <w:tcPr>
            <w:tcW w:w="4336" w:type="dxa"/>
            <w:shd w:val="clear" w:color="auto" w:fill="auto"/>
            <w:vAlign w:val="center"/>
          </w:tcPr>
          <w:p w14:paraId="1BDB7939" w14:textId="2020BA28" w:rsidR="007D090A" w:rsidRPr="0088248D" w:rsidRDefault="007D090A" w:rsidP="007D090A">
            <w:pPr>
              <w:pStyle w:val="ListParagraph"/>
              <w:keepLines/>
              <w:ind w:left="0"/>
              <w:rPr>
                <w:rFonts w:asciiTheme="minorHAnsi" w:hAnsiTheme="minorHAnsi" w:cstheme="minorHAnsi"/>
                <w:color w:val="000000"/>
                <w:sz w:val="18"/>
                <w:szCs w:val="18"/>
              </w:rPr>
            </w:pPr>
            <w:r w:rsidRPr="0088248D">
              <w:rPr>
                <w:rFonts w:asciiTheme="minorHAnsi" w:hAnsiTheme="minorHAnsi" w:cstheme="minorHAnsi"/>
                <w:color w:val="000000"/>
                <w:sz w:val="18"/>
                <w:szCs w:val="18"/>
              </w:rPr>
              <w:t>The PBAC recommended expanding the listing of nivolumab in combination with ipilimumab (NIVO + IPI) to allow the treatment of Stage III or IV malignant melanoma in patients who experience melanoma recurrence while receiving or within 6 months of completing adjuvant PD-1 inhibitor monotherapy. The PBAC noted that the magnitude of benefit of NIVO + IPI in the proposed population was highly uncertain due to the low quality of the clinical evidence presented. The PBAC considered that, although uncertain, the cost-effectiveness of NIVO + IPI as previously determined for patients with unresectable Stage III or IV malignant melanoma was unlikely to be substantially altered by inclusion of the expanded population. The PBAC considered these uncertainties were acceptable in the context of the modest financial impact and advised that the financial impact be managed through the existing PD-1 inhibitor melanoma risk sharing arrangement.</w:t>
            </w:r>
          </w:p>
        </w:tc>
      </w:tr>
      <w:tr w:rsidR="007D090A" w:rsidRPr="00544497" w14:paraId="1917BAB1" w14:textId="77777777" w:rsidTr="0088248D">
        <w:trPr>
          <w:cantSplit/>
          <w:trHeight w:val="2948"/>
          <w:jc w:val="center"/>
        </w:trPr>
        <w:tc>
          <w:tcPr>
            <w:tcW w:w="3013" w:type="dxa"/>
            <w:shd w:val="clear" w:color="auto" w:fill="auto"/>
            <w:tcMar>
              <w:top w:w="28" w:type="dxa"/>
              <w:bottom w:w="28" w:type="dxa"/>
            </w:tcMar>
            <w:vAlign w:val="center"/>
          </w:tcPr>
          <w:p w14:paraId="0FECC05C" w14:textId="72B3B421" w:rsidR="007D090A" w:rsidRPr="00D60E67" w:rsidRDefault="007D090A" w:rsidP="007D090A">
            <w:pPr>
              <w:keepLines/>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lastRenderedPageBreak/>
              <w:t xml:space="preserve">OLAPARIB </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Tablet 100 mg</w:t>
            </w:r>
            <w:r w:rsidRPr="00D60E67">
              <w:rPr>
                <w:rFonts w:asciiTheme="minorHAnsi" w:hAnsiTheme="minorHAnsi" w:cstheme="minorHAnsi"/>
                <w:color w:val="000000"/>
                <w:sz w:val="18"/>
                <w:szCs w:val="18"/>
              </w:rPr>
              <w:br/>
              <w:t>Tablet 150 mg</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Lynparza®</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AstraZeneca Pty Ltd</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Early re-entry submission</w:t>
            </w:r>
            <w:r w:rsidRPr="00D60E67">
              <w:rPr>
                <w:rFonts w:asciiTheme="minorHAnsi" w:hAnsiTheme="minorHAnsi" w:cstheme="minorHAnsi"/>
                <w:color w:val="000000"/>
                <w:sz w:val="18"/>
                <w:szCs w:val="18"/>
              </w:rPr>
              <w:br/>
              <w:t>(Change to PBS listing)</w:t>
            </w:r>
          </w:p>
        </w:tc>
        <w:tc>
          <w:tcPr>
            <w:tcW w:w="2764" w:type="dxa"/>
            <w:shd w:val="clear" w:color="auto" w:fill="auto"/>
            <w:vAlign w:val="center"/>
          </w:tcPr>
          <w:p w14:paraId="089C527B" w14:textId="73123DFC" w:rsidR="007D090A" w:rsidRPr="00D60E67" w:rsidRDefault="007D090A" w:rsidP="007D090A">
            <w:pPr>
              <w:keepLines/>
              <w:widowControl w:val="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Ovarian cancer</w:t>
            </w:r>
          </w:p>
        </w:tc>
        <w:tc>
          <w:tcPr>
            <w:tcW w:w="3288" w:type="dxa"/>
            <w:shd w:val="clear" w:color="auto" w:fill="auto"/>
            <w:tcMar>
              <w:top w:w="28" w:type="dxa"/>
              <w:bottom w:w="28" w:type="dxa"/>
            </w:tcMar>
            <w:vAlign w:val="center"/>
          </w:tcPr>
          <w:p w14:paraId="7014EFFA" w14:textId="1DE0F13F" w:rsidR="007D090A" w:rsidRPr="00D60E67" w:rsidRDefault="007D090A" w:rsidP="007D090A">
            <w:pPr>
              <w:pStyle w:val="ListParagraph"/>
              <w:keepLines/>
              <w:ind w:left="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Resubmission to request a General Schedule Authority Required listing for use in combination with bevacizumab for maintenance therapy in patients with newly diagnosed homologous recombination deficiency (HRD) positive BRCA wild type advanced epithelial ovarian, fallopian tube or primary peritoneal cancer.</w:t>
            </w:r>
          </w:p>
        </w:tc>
        <w:tc>
          <w:tcPr>
            <w:tcW w:w="1987" w:type="dxa"/>
            <w:shd w:val="clear" w:color="auto" w:fill="auto"/>
            <w:vAlign w:val="center"/>
          </w:tcPr>
          <w:p w14:paraId="6E474BF8" w14:textId="5993CBBC" w:rsidR="007D090A" w:rsidRPr="00D60E67" w:rsidRDefault="007D090A" w:rsidP="007D090A">
            <w:pPr>
              <w:pStyle w:val="ListParagraph"/>
              <w:keepLines/>
              <w:ind w:left="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Deferred</w:t>
            </w:r>
          </w:p>
        </w:tc>
        <w:tc>
          <w:tcPr>
            <w:tcW w:w="4336" w:type="dxa"/>
            <w:shd w:val="clear" w:color="auto" w:fill="auto"/>
            <w:vAlign w:val="center"/>
          </w:tcPr>
          <w:p w14:paraId="76219EAD" w14:textId="62477B60" w:rsidR="007D090A" w:rsidRDefault="005448FE" w:rsidP="007D090A">
            <w:pPr>
              <w:keepLines/>
              <w:rPr>
                <w:rFonts w:asciiTheme="minorHAnsi" w:hAnsiTheme="minorHAnsi" w:cstheme="minorHAnsi"/>
                <w:color w:val="000000"/>
                <w:sz w:val="18"/>
                <w:szCs w:val="18"/>
              </w:rPr>
            </w:pPr>
            <w:r w:rsidRPr="0088248D">
              <w:rPr>
                <w:rFonts w:asciiTheme="minorHAnsi" w:hAnsiTheme="minorHAnsi" w:cstheme="minorHAnsi"/>
                <w:color w:val="000000"/>
                <w:sz w:val="18"/>
                <w:szCs w:val="18"/>
              </w:rPr>
              <w:t>The PBAC deferred its decision on whether to recommend olaparib for maintenance therapy in patients with newly diagnosed HRD positive BRCA wild type advanced epithelial ovarian, fallopian tube or primary peritoneal cancer. The PBAC was of a mind to recommend olaparib pending MSAC consideration of HRD testing. The PBAC noted that MSAC did not support public funding of HRD testing for access to olaparib during its consideration in July 2022 and that a resubmission for MBS funding had been lodged by the sponsor. The PBAC noted the new data provided in the Early Re-entry resubmission and considered that the resubmission was largely consistent with the changes requested by the PBAC at its July 2022 meeting. The PBAC considered that a further price reduction would be required to ensure cost-effectiveness given the remaining uncertainty in the modelled benefit of olaparib in the proposed population. The PBAC noted that uncertainties remained with respect to the proposed HRD testing which would require MSAC advice.</w:t>
            </w:r>
          </w:p>
          <w:p w14:paraId="0F47D75A" w14:textId="77777777" w:rsidR="005448FE" w:rsidRPr="0088248D" w:rsidRDefault="005448FE" w:rsidP="007D090A">
            <w:pPr>
              <w:keepLines/>
              <w:rPr>
                <w:rFonts w:asciiTheme="minorHAnsi" w:hAnsiTheme="minorHAnsi" w:cstheme="minorHAnsi"/>
                <w:color w:val="000000"/>
                <w:sz w:val="18"/>
                <w:szCs w:val="18"/>
              </w:rPr>
            </w:pPr>
          </w:p>
          <w:p w14:paraId="7638136D" w14:textId="77777777" w:rsidR="007D090A" w:rsidRDefault="007D090A" w:rsidP="007D090A">
            <w:pPr>
              <w:pStyle w:val="ListParagraph"/>
              <w:keepLines/>
              <w:ind w:left="0"/>
              <w:rPr>
                <w:rFonts w:asciiTheme="minorHAnsi" w:hAnsiTheme="minorHAnsi" w:cstheme="minorHAnsi"/>
                <w:color w:val="000000"/>
                <w:sz w:val="18"/>
                <w:szCs w:val="18"/>
                <w:u w:val="single"/>
              </w:rPr>
            </w:pPr>
            <w:r w:rsidRPr="00D60E67">
              <w:rPr>
                <w:rFonts w:asciiTheme="minorHAnsi" w:hAnsiTheme="minorHAnsi" w:cstheme="minorHAnsi"/>
                <w:color w:val="000000"/>
                <w:sz w:val="18"/>
                <w:szCs w:val="18"/>
                <w:u w:val="single"/>
              </w:rPr>
              <w:t>Sponsor’s Comment:</w:t>
            </w:r>
          </w:p>
          <w:p w14:paraId="403A5690" w14:textId="604E33CF" w:rsidR="00D96248" w:rsidRPr="00D60E67" w:rsidRDefault="00D96248" w:rsidP="007D090A">
            <w:pPr>
              <w:pStyle w:val="ListParagraph"/>
              <w:keepLines/>
              <w:ind w:left="0"/>
              <w:rPr>
                <w:rFonts w:asciiTheme="minorHAnsi" w:hAnsiTheme="minorHAnsi" w:cstheme="minorHAnsi"/>
                <w:color w:val="000000"/>
                <w:sz w:val="18"/>
                <w:szCs w:val="18"/>
              </w:rPr>
            </w:pPr>
            <w:r>
              <w:rPr>
                <w:rFonts w:asciiTheme="minorHAnsi" w:hAnsiTheme="minorHAnsi" w:cstheme="minorHAnsi"/>
                <w:color w:val="000000"/>
                <w:sz w:val="18"/>
                <w:szCs w:val="18"/>
              </w:rPr>
              <w:t>The sponsor had no comment.</w:t>
            </w:r>
          </w:p>
        </w:tc>
      </w:tr>
      <w:tr w:rsidR="007D090A" w:rsidRPr="00544497" w14:paraId="44DA33D7" w14:textId="77777777" w:rsidTr="0088248D">
        <w:trPr>
          <w:cantSplit/>
          <w:trHeight w:val="2948"/>
          <w:jc w:val="center"/>
        </w:trPr>
        <w:tc>
          <w:tcPr>
            <w:tcW w:w="3013" w:type="dxa"/>
            <w:shd w:val="clear" w:color="auto" w:fill="auto"/>
            <w:tcMar>
              <w:top w:w="28" w:type="dxa"/>
              <w:bottom w:w="28" w:type="dxa"/>
            </w:tcMar>
            <w:vAlign w:val="center"/>
          </w:tcPr>
          <w:p w14:paraId="693420B2" w14:textId="391BEDEE" w:rsidR="007D090A" w:rsidRPr="00D60E67" w:rsidRDefault="007D090A" w:rsidP="007D090A">
            <w:pPr>
              <w:keepLines/>
              <w:jc w:val="center"/>
              <w:rPr>
                <w:rFonts w:asciiTheme="minorHAnsi" w:hAnsiTheme="minorHAnsi" w:cstheme="minorHAnsi"/>
                <w:color w:val="000000"/>
                <w:sz w:val="18"/>
                <w:szCs w:val="18"/>
                <w:highlight w:val="cyan"/>
              </w:rPr>
            </w:pPr>
            <w:r w:rsidRPr="00D60E67">
              <w:rPr>
                <w:rFonts w:asciiTheme="minorHAnsi" w:hAnsiTheme="minorHAnsi" w:cstheme="minorHAnsi"/>
                <w:color w:val="000000"/>
                <w:sz w:val="18"/>
                <w:szCs w:val="18"/>
              </w:rPr>
              <w:lastRenderedPageBreak/>
              <w:t>ONASEMNOGENE ABEPARVOVEC</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Solution for injection, customised based on patient weight</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Zolgensma®</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NOVARTIS PHARMACEUTICALS AUSTRALIA PTY LIMITED</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Category 2 submission</w:t>
            </w:r>
            <w:r w:rsidRPr="00D60E67">
              <w:rPr>
                <w:rFonts w:asciiTheme="minorHAnsi" w:hAnsiTheme="minorHAnsi" w:cstheme="minorHAnsi"/>
                <w:color w:val="000000"/>
                <w:sz w:val="18"/>
                <w:szCs w:val="18"/>
              </w:rPr>
              <w:br/>
              <w:t>(Change to PBS listing)</w:t>
            </w:r>
          </w:p>
        </w:tc>
        <w:tc>
          <w:tcPr>
            <w:tcW w:w="2764" w:type="dxa"/>
            <w:shd w:val="clear" w:color="auto" w:fill="auto"/>
            <w:vAlign w:val="center"/>
          </w:tcPr>
          <w:p w14:paraId="0FD7320C" w14:textId="77AF1F36" w:rsidR="007D090A" w:rsidRPr="00D60E67" w:rsidRDefault="007D090A" w:rsidP="007D090A">
            <w:pPr>
              <w:keepLines/>
              <w:widowControl w:val="0"/>
              <w:jc w:val="center"/>
              <w:rPr>
                <w:rFonts w:asciiTheme="minorHAnsi" w:hAnsiTheme="minorHAnsi" w:cstheme="minorHAnsi"/>
                <w:color w:val="000000"/>
                <w:sz w:val="18"/>
                <w:szCs w:val="18"/>
                <w:highlight w:val="cyan"/>
              </w:rPr>
            </w:pPr>
            <w:r w:rsidRPr="00D60E67">
              <w:rPr>
                <w:rFonts w:asciiTheme="minorHAnsi" w:hAnsiTheme="minorHAnsi" w:cstheme="minorHAnsi"/>
                <w:color w:val="000000"/>
                <w:sz w:val="18"/>
                <w:szCs w:val="18"/>
              </w:rPr>
              <w:t>Spinal muscular atrophy</w:t>
            </w:r>
          </w:p>
        </w:tc>
        <w:tc>
          <w:tcPr>
            <w:tcW w:w="3288" w:type="dxa"/>
            <w:shd w:val="clear" w:color="auto" w:fill="auto"/>
            <w:tcMar>
              <w:top w:w="28" w:type="dxa"/>
              <w:bottom w:w="28" w:type="dxa"/>
            </w:tcMar>
            <w:vAlign w:val="center"/>
          </w:tcPr>
          <w:p w14:paraId="4DA7A09E" w14:textId="09D72652" w:rsidR="007D090A" w:rsidRPr="00D60E67" w:rsidRDefault="007D090A" w:rsidP="007D090A">
            <w:pPr>
              <w:pStyle w:val="ListParagraph"/>
              <w:keepLines/>
              <w:ind w:left="0"/>
              <w:jc w:val="center"/>
              <w:rPr>
                <w:rFonts w:asciiTheme="minorHAnsi" w:hAnsiTheme="minorHAnsi" w:cstheme="minorHAnsi"/>
                <w:color w:val="000000"/>
                <w:sz w:val="18"/>
                <w:szCs w:val="18"/>
                <w:highlight w:val="cyan"/>
              </w:rPr>
            </w:pPr>
            <w:r w:rsidRPr="00D60E67">
              <w:rPr>
                <w:rFonts w:asciiTheme="minorHAnsi" w:hAnsiTheme="minorHAnsi" w:cstheme="minorHAnsi"/>
                <w:color w:val="000000"/>
                <w:sz w:val="18"/>
                <w:szCs w:val="18"/>
              </w:rPr>
              <w:t>To request an expansion of the current onasemnogene abeparvovec listing to include the presymptomatic treatment of children with 3 copies of the</w:t>
            </w:r>
            <w:r w:rsidR="003D2F1C">
              <w:rPr>
                <w:rFonts w:asciiTheme="minorHAnsi" w:hAnsiTheme="minorHAnsi" w:cstheme="minorHAnsi"/>
                <w:color w:val="000000"/>
                <w:sz w:val="18"/>
                <w:szCs w:val="18"/>
              </w:rPr>
              <w:t xml:space="preserve"> </w:t>
            </w:r>
            <w:r w:rsidR="003D2F1C" w:rsidRPr="0088248D">
              <w:rPr>
                <w:rFonts w:asciiTheme="minorHAnsi" w:hAnsiTheme="minorHAnsi" w:cstheme="minorHAnsi"/>
                <w:color w:val="000000"/>
                <w:sz w:val="18"/>
                <w:szCs w:val="18"/>
              </w:rPr>
              <w:t>Survival Motor Neuron 2</w:t>
            </w:r>
            <w:r w:rsidRPr="00D60E67">
              <w:rPr>
                <w:rFonts w:asciiTheme="minorHAnsi" w:hAnsiTheme="minorHAnsi" w:cstheme="minorHAnsi"/>
                <w:color w:val="000000"/>
                <w:sz w:val="18"/>
                <w:szCs w:val="18"/>
              </w:rPr>
              <w:t xml:space="preserve"> </w:t>
            </w:r>
            <w:r w:rsidR="003D2F1C">
              <w:rPr>
                <w:rFonts w:asciiTheme="minorHAnsi" w:hAnsiTheme="minorHAnsi" w:cstheme="minorHAnsi"/>
                <w:color w:val="000000"/>
                <w:sz w:val="18"/>
                <w:szCs w:val="18"/>
              </w:rPr>
              <w:t>(</w:t>
            </w:r>
            <w:r w:rsidRPr="00A35948">
              <w:rPr>
                <w:rFonts w:asciiTheme="minorHAnsi" w:hAnsiTheme="minorHAnsi" w:cstheme="minorHAnsi"/>
                <w:i/>
                <w:iCs/>
                <w:color w:val="000000"/>
                <w:sz w:val="18"/>
                <w:szCs w:val="18"/>
              </w:rPr>
              <w:t>SMN2</w:t>
            </w:r>
            <w:r w:rsidR="003D2F1C">
              <w:rPr>
                <w:rFonts w:asciiTheme="minorHAnsi" w:hAnsiTheme="minorHAnsi" w:cstheme="minorHAnsi"/>
                <w:color w:val="000000"/>
                <w:sz w:val="18"/>
                <w:szCs w:val="18"/>
              </w:rPr>
              <w:t>)</w:t>
            </w:r>
            <w:r w:rsidRPr="00D60E67">
              <w:rPr>
                <w:rFonts w:asciiTheme="minorHAnsi" w:hAnsiTheme="minorHAnsi" w:cstheme="minorHAnsi"/>
                <w:color w:val="000000"/>
                <w:sz w:val="18"/>
                <w:szCs w:val="18"/>
              </w:rPr>
              <w:t xml:space="preserve"> gene with spinal muscular atrophy. </w:t>
            </w:r>
          </w:p>
        </w:tc>
        <w:tc>
          <w:tcPr>
            <w:tcW w:w="1987" w:type="dxa"/>
            <w:shd w:val="clear" w:color="auto" w:fill="auto"/>
            <w:vAlign w:val="center"/>
          </w:tcPr>
          <w:p w14:paraId="32C9B852" w14:textId="581C8566" w:rsidR="007D090A" w:rsidRPr="00D60E67" w:rsidRDefault="007D090A" w:rsidP="007D090A">
            <w:pPr>
              <w:pStyle w:val="ListParagraph"/>
              <w:keepLines/>
              <w:ind w:left="0"/>
              <w:jc w:val="center"/>
              <w:rPr>
                <w:rFonts w:asciiTheme="minorHAnsi" w:hAnsiTheme="minorHAnsi" w:cstheme="minorHAnsi"/>
                <w:color w:val="000000"/>
                <w:sz w:val="18"/>
                <w:szCs w:val="18"/>
                <w:highlight w:val="cyan"/>
              </w:rPr>
            </w:pPr>
            <w:r w:rsidRPr="00D60E67">
              <w:rPr>
                <w:rFonts w:asciiTheme="minorHAnsi" w:hAnsiTheme="minorHAnsi" w:cstheme="minorHAnsi"/>
                <w:color w:val="000000"/>
                <w:sz w:val="18"/>
                <w:szCs w:val="18"/>
              </w:rPr>
              <w:t>Not Recommended</w:t>
            </w:r>
          </w:p>
        </w:tc>
        <w:tc>
          <w:tcPr>
            <w:tcW w:w="4336" w:type="dxa"/>
            <w:shd w:val="clear" w:color="auto" w:fill="auto"/>
            <w:vAlign w:val="center"/>
          </w:tcPr>
          <w:p w14:paraId="42245848" w14:textId="38DFE3BB" w:rsidR="007D090A" w:rsidRPr="0088248D" w:rsidRDefault="0042646A" w:rsidP="007D090A">
            <w:pPr>
              <w:keepLines/>
              <w:rPr>
                <w:rFonts w:asciiTheme="minorHAnsi" w:hAnsiTheme="minorHAnsi" w:cstheme="minorHAnsi"/>
                <w:color w:val="000000"/>
                <w:sz w:val="18"/>
                <w:szCs w:val="18"/>
              </w:rPr>
            </w:pPr>
            <w:r w:rsidRPr="0088248D">
              <w:rPr>
                <w:rFonts w:asciiTheme="minorHAnsi" w:hAnsiTheme="minorHAnsi" w:cstheme="minorHAnsi"/>
                <w:color w:val="000000"/>
                <w:sz w:val="18"/>
                <w:szCs w:val="18"/>
              </w:rPr>
              <w:t xml:space="preserve">The PBAC did not recommend onasemnogene abeparvovec (ONA) (Zolgensma®) for the treatment of pre-symptomatic patients who are genetically diagnosed with spinal muscular atrophy (SMA) and have 3 copies of the </w:t>
            </w:r>
            <w:r w:rsidRPr="00C962BE">
              <w:rPr>
                <w:rFonts w:asciiTheme="minorHAnsi" w:hAnsiTheme="minorHAnsi" w:cstheme="minorHAnsi"/>
                <w:i/>
                <w:iCs/>
                <w:color w:val="000000"/>
                <w:sz w:val="18"/>
                <w:szCs w:val="18"/>
              </w:rPr>
              <w:t>SMN2</w:t>
            </w:r>
            <w:r w:rsidRPr="0088248D">
              <w:rPr>
                <w:rFonts w:asciiTheme="minorHAnsi" w:hAnsiTheme="minorHAnsi" w:cstheme="minorHAnsi"/>
                <w:color w:val="000000"/>
                <w:sz w:val="18"/>
                <w:szCs w:val="18"/>
              </w:rPr>
              <w:t xml:space="preserve"> gene. The PBAC considered that pre-symptomatic treatment with ONA may provide clinical benefit for some patients compared to treatment with existing disease modifying therapies following the onset of symptoms. However, the PBAC noted the magnitude of benefit was unclear from the limited clinical data available. The PBAC considered that the economic model presented was unreliable for informing the cost-effectiveness of ONA. The PBAC noted that the price requested was substantially higher than the current price for patients with 1-2 copies of </w:t>
            </w:r>
            <w:r w:rsidRPr="00C962BE">
              <w:rPr>
                <w:rFonts w:asciiTheme="minorHAnsi" w:hAnsiTheme="minorHAnsi" w:cstheme="minorHAnsi"/>
                <w:i/>
                <w:iCs/>
                <w:color w:val="000000"/>
                <w:sz w:val="18"/>
                <w:szCs w:val="18"/>
              </w:rPr>
              <w:t>SMN2</w:t>
            </w:r>
            <w:r w:rsidRPr="0088248D">
              <w:rPr>
                <w:rFonts w:asciiTheme="minorHAnsi" w:hAnsiTheme="minorHAnsi" w:cstheme="minorHAnsi"/>
                <w:color w:val="000000"/>
                <w:sz w:val="18"/>
                <w:szCs w:val="18"/>
              </w:rPr>
              <w:t xml:space="preserve"> and considered this to be inconsistent with the reduced incremental benefit that would be observed for patients with 3 copies of </w:t>
            </w:r>
            <w:r w:rsidRPr="00A35948">
              <w:rPr>
                <w:rFonts w:asciiTheme="minorHAnsi" w:hAnsiTheme="minorHAnsi" w:cstheme="minorHAnsi"/>
                <w:i/>
                <w:iCs/>
                <w:color w:val="000000"/>
                <w:sz w:val="18"/>
                <w:szCs w:val="18"/>
              </w:rPr>
              <w:t>SMN2</w:t>
            </w:r>
            <w:r w:rsidRPr="0088248D">
              <w:rPr>
                <w:rFonts w:asciiTheme="minorHAnsi" w:hAnsiTheme="minorHAnsi" w:cstheme="minorHAnsi"/>
                <w:color w:val="000000"/>
                <w:sz w:val="18"/>
                <w:szCs w:val="18"/>
              </w:rPr>
              <w:t>. The PBAC considered for ONA to be similarly cost effective in the expanded population that the price of ONA would need to be substantially less than for the current listing.</w:t>
            </w:r>
          </w:p>
          <w:p w14:paraId="462FC1EB" w14:textId="77777777" w:rsidR="0042646A" w:rsidRPr="00D60E67" w:rsidRDefault="0042646A" w:rsidP="007D090A">
            <w:pPr>
              <w:keepLines/>
              <w:rPr>
                <w:rFonts w:asciiTheme="minorHAnsi" w:hAnsiTheme="minorHAnsi" w:cstheme="minorHAnsi"/>
                <w:color w:val="000000"/>
                <w:sz w:val="18"/>
                <w:szCs w:val="18"/>
                <w:u w:val="single"/>
              </w:rPr>
            </w:pPr>
          </w:p>
          <w:p w14:paraId="640C267C" w14:textId="77777777" w:rsidR="007D090A" w:rsidRDefault="007D090A" w:rsidP="007D090A">
            <w:pPr>
              <w:pStyle w:val="ListParagraph"/>
              <w:keepLines/>
              <w:ind w:left="0"/>
              <w:rPr>
                <w:rFonts w:asciiTheme="minorHAnsi" w:hAnsiTheme="minorHAnsi" w:cstheme="minorHAnsi"/>
                <w:color w:val="000000"/>
                <w:sz w:val="18"/>
                <w:szCs w:val="18"/>
              </w:rPr>
            </w:pPr>
            <w:r w:rsidRPr="00D60E67">
              <w:rPr>
                <w:rFonts w:asciiTheme="minorHAnsi" w:hAnsiTheme="minorHAnsi" w:cstheme="minorHAnsi"/>
                <w:color w:val="000000"/>
                <w:sz w:val="18"/>
                <w:szCs w:val="18"/>
                <w:u w:val="single"/>
              </w:rPr>
              <w:t>Sponsor’s Comment:</w:t>
            </w:r>
          </w:p>
          <w:p w14:paraId="7FB10358" w14:textId="43C98E58" w:rsidR="009110BA" w:rsidRPr="009110BA" w:rsidRDefault="009110BA" w:rsidP="007D090A">
            <w:pPr>
              <w:pStyle w:val="ListParagraph"/>
              <w:keepLines/>
              <w:ind w:left="0"/>
              <w:rPr>
                <w:rFonts w:asciiTheme="minorHAnsi" w:hAnsiTheme="minorHAnsi" w:cstheme="minorHAnsi"/>
                <w:color w:val="000000"/>
                <w:sz w:val="18"/>
                <w:szCs w:val="18"/>
                <w:highlight w:val="cyan"/>
              </w:rPr>
            </w:pPr>
            <w:r w:rsidRPr="009110BA">
              <w:rPr>
                <w:rFonts w:asciiTheme="minorHAnsi" w:hAnsiTheme="minorHAnsi" w:cstheme="minorHAnsi"/>
                <w:color w:val="000000"/>
                <w:sz w:val="18"/>
                <w:szCs w:val="18"/>
              </w:rPr>
              <w:t>Zolgensma</w:t>
            </w:r>
            <w:r>
              <w:rPr>
                <w:rFonts w:asciiTheme="minorHAnsi" w:hAnsiTheme="minorHAnsi" w:cstheme="minorHAnsi"/>
                <w:color w:val="000000"/>
                <w:sz w:val="18"/>
                <w:szCs w:val="18"/>
              </w:rPr>
              <w:t>®</w:t>
            </w:r>
            <w:r w:rsidRPr="009110BA">
              <w:rPr>
                <w:rFonts w:asciiTheme="minorHAnsi" w:hAnsiTheme="minorHAnsi" w:cstheme="minorHAnsi"/>
                <w:color w:val="000000"/>
                <w:sz w:val="18"/>
                <w:szCs w:val="18"/>
              </w:rPr>
              <w:t xml:space="preserve"> has demonstrated significant impact on the lives of SMA babies with 3 </w:t>
            </w:r>
            <w:r w:rsidRPr="002D6635">
              <w:rPr>
                <w:rFonts w:asciiTheme="minorHAnsi" w:hAnsiTheme="minorHAnsi" w:cstheme="minorHAnsi"/>
                <w:i/>
                <w:iCs/>
                <w:color w:val="000000"/>
                <w:sz w:val="18"/>
                <w:szCs w:val="18"/>
              </w:rPr>
              <w:t>SMN</w:t>
            </w:r>
            <w:r w:rsidR="004F1E92">
              <w:rPr>
                <w:rFonts w:asciiTheme="minorHAnsi" w:hAnsiTheme="minorHAnsi" w:cstheme="minorHAnsi"/>
                <w:i/>
                <w:iCs/>
                <w:color w:val="000000"/>
                <w:sz w:val="18"/>
                <w:szCs w:val="18"/>
              </w:rPr>
              <w:t>2</w:t>
            </w:r>
            <w:r w:rsidRPr="009110BA">
              <w:rPr>
                <w:rFonts w:asciiTheme="minorHAnsi" w:hAnsiTheme="minorHAnsi" w:cstheme="minorHAnsi"/>
                <w:color w:val="000000"/>
                <w:sz w:val="18"/>
                <w:szCs w:val="18"/>
              </w:rPr>
              <w:t xml:space="preserve"> copies and has the potential to fundamentally change the quality of life of these Australians, with a single dose treatment. Novartis appreciates that the PBAC has recognised this clinical benefit. With newborn screening becoming more available in Australia, Novartis will continue to work with PBAC in</w:t>
            </w:r>
            <w:r w:rsidR="003D63D1">
              <w:rPr>
                <w:rFonts w:asciiTheme="minorHAnsi" w:hAnsiTheme="minorHAnsi" w:cstheme="minorHAnsi"/>
                <w:color w:val="000000"/>
                <w:sz w:val="18"/>
                <w:szCs w:val="18"/>
              </w:rPr>
              <w:t xml:space="preserve"> the</w:t>
            </w:r>
            <w:r w:rsidRPr="009110BA">
              <w:rPr>
                <w:rFonts w:asciiTheme="minorHAnsi" w:hAnsiTheme="minorHAnsi" w:cstheme="minorHAnsi"/>
                <w:color w:val="000000"/>
                <w:sz w:val="18"/>
                <w:szCs w:val="18"/>
              </w:rPr>
              <w:t xml:space="preserve"> hope </w:t>
            </w:r>
            <w:r w:rsidR="00C46816">
              <w:rPr>
                <w:rFonts w:asciiTheme="minorHAnsi" w:hAnsiTheme="minorHAnsi" w:cstheme="minorHAnsi"/>
                <w:color w:val="000000"/>
                <w:sz w:val="18"/>
                <w:szCs w:val="18"/>
              </w:rPr>
              <w:t xml:space="preserve">that </w:t>
            </w:r>
            <w:r w:rsidRPr="009110BA">
              <w:rPr>
                <w:rFonts w:asciiTheme="minorHAnsi" w:hAnsiTheme="minorHAnsi" w:cstheme="minorHAnsi"/>
                <w:color w:val="000000"/>
                <w:sz w:val="18"/>
                <w:szCs w:val="18"/>
              </w:rPr>
              <w:t>this treatment will be available to all diagnosed presymptomatic SMA babies.</w:t>
            </w:r>
          </w:p>
        </w:tc>
      </w:tr>
      <w:tr w:rsidR="007D090A" w:rsidRPr="00544497" w14:paraId="3C61E7DA" w14:textId="77777777" w:rsidTr="0088248D">
        <w:trPr>
          <w:cantSplit/>
          <w:trHeight w:val="517"/>
          <w:jc w:val="center"/>
        </w:trPr>
        <w:tc>
          <w:tcPr>
            <w:tcW w:w="3013" w:type="dxa"/>
            <w:shd w:val="clear" w:color="auto" w:fill="auto"/>
            <w:tcMar>
              <w:top w:w="28" w:type="dxa"/>
              <w:bottom w:w="28" w:type="dxa"/>
            </w:tcMar>
            <w:vAlign w:val="center"/>
          </w:tcPr>
          <w:p w14:paraId="0093EBD3" w14:textId="33ED1C4C" w:rsidR="007D090A" w:rsidRPr="00B0328C" w:rsidRDefault="007D090A" w:rsidP="007D090A">
            <w:pPr>
              <w:keepLines/>
              <w:jc w:val="center"/>
              <w:rPr>
                <w:rFonts w:asciiTheme="minorHAnsi" w:hAnsiTheme="minorHAnsi" w:cstheme="minorHAnsi"/>
                <w:sz w:val="18"/>
                <w:szCs w:val="18"/>
                <w:highlight w:val="yellow"/>
              </w:rPr>
            </w:pPr>
            <w:r w:rsidRPr="00D60E67">
              <w:rPr>
                <w:rFonts w:asciiTheme="minorHAnsi" w:hAnsiTheme="minorHAnsi" w:cstheme="minorHAnsi"/>
                <w:color w:val="000000"/>
                <w:sz w:val="18"/>
                <w:szCs w:val="18"/>
              </w:rPr>
              <w:lastRenderedPageBreak/>
              <w:t xml:space="preserve">OZANIMOD </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 xml:space="preserve">Capsule </w:t>
            </w:r>
            <w:r w:rsidR="002A0D05" w:rsidRPr="00D60E67">
              <w:rPr>
                <w:rFonts w:asciiTheme="minorHAnsi" w:hAnsiTheme="minorHAnsi" w:cstheme="minorHAnsi"/>
                <w:color w:val="000000"/>
                <w:sz w:val="18"/>
                <w:szCs w:val="18"/>
              </w:rPr>
              <w:t>920</w:t>
            </w:r>
            <w:r w:rsidR="002A0D05">
              <w:rPr>
                <w:rFonts w:asciiTheme="minorHAnsi" w:hAnsiTheme="minorHAnsi" w:cstheme="minorHAnsi"/>
                <w:color w:val="000000"/>
                <w:sz w:val="18"/>
                <w:szCs w:val="18"/>
              </w:rPr>
              <w:t> </w:t>
            </w:r>
            <w:r w:rsidRPr="00B0328C">
              <w:rPr>
                <w:rFonts w:asciiTheme="minorHAnsi" w:hAnsiTheme="minorHAnsi" w:cstheme="minorHAnsi"/>
                <w:color w:val="000000"/>
                <w:sz w:val="18"/>
                <w:szCs w:val="18"/>
              </w:rPr>
              <w:t>micrograms</w:t>
            </w:r>
            <w:r w:rsidRPr="00B0328C">
              <w:rPr>
                <w:rFonts w:asciiTheme="minorHAnsi" w:hAnsiTheme="minorHAnsi" w:cstheme="minorHAnsi"/>
                <w:color w:val="000000"/>
                <w:sz w:val="18"/>
                <w:szCs w:val="18"/>
              </w:rPr>
              <w:br/>
              <w:t xml:space="preserve">Pack containing 4 capsules </w:t>
            </w:r>
            <w:r w:rsidR="002A0D05" w:rsidRPr="00B0328C">
              <w:rPr>
                <w:rFonts w:asciiTheme="minorHAnsi" w:hAnsiTheme="minorHAnsi" w:cstheme="minorHAnsi"/>
                <w:color w:val="000000"/>
                <w:sz w:val="18"/>
                <w:szCs w:val="18"/>
              </w:rPr>
              <w:t>230</w:t>
            </w:r>
            <w:r w:rsidR="002A0D05">
              <w:rPr>
                <w:rFonts w:asciiTheme="minorHAnsi" w:hAnsiTheme="minorHAnsi" w:cstheme="minorHAnsi"/>
                <w:color w:val="000000"/>
                <w:sz w:val="18"/>
                <w:szCs w:val="18"/>
              </w:rPr>
              <w:t> </w:t>
            </w:r>
            <w:r w:rsidRPr="0004257E">
              <w:rPr>
                <w:rFonts w:asciiTheme="minorHAnsi" w:hAnsiTheme="minorHAnsi" w:cstheme="minorHAnsi"/>
                <w:color w:val="000000"/>
                <w:sz w:val="18"/>
                <w:szCs w:val="18"/>
              </w:rPr>
              <w:t xml:space="preserve">micrograms and 3 capsules </w:t>
            </w:r>
            <w:r w:rsidR="002A0D05" w:rsidRPr="0004257E">
              <w:rPr>
                <w:rFonts w:asciiTheme="minorHAnsi" w:hAnsiTheme="minorHAnsi" w:cstheme="minorHAnsi"/>
                <w:color w:val="000000"/>
                <w:sz w:val="18"/>
                <w:szCs w:val="18"/>
              </w:rPr>
              <w:t>460</w:t>
            </w:r>
            <w:r w:rsidR="002A0D05">
              <w:rPr>
                <w:rFonts w:asciiTheme="minorHAnsi" w:hAnsiTheme="minorHAnsi" w:cstheme="minorHAnsi"/>
                <w:color w:val="000000"/>
                <w:sz w:val="18"/>
                <w:szCs w:val="18"/>
              </w:rPr>
              <w:t> </w:t>
            </w:r>
            <w:r w:rsidRPr="00B0328C">
              <w:rPr>
                <w:rFonts w:asciiTheme="minorHAnsi" w:hAnsiTheme="minorHAnsi" w:cstheme="minorHAnsi"/>
                <w:color w:val="000000"/>
                <w:sz w:val="18"/>
                <w:szCs w:val="18"/>
              </w:rPr>
              <w:t xml:space="preserve">micrograms </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Zeposia®</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CELGENE PTY LIMITED</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Category 2 submission</w:t>
            </w:r>
            <w:r w:rsidRPr="00B0328C">
              <w:rPr>
                <w:rFonts w:asciiTheme="minorHAnsi" w:hAnsiTheme="minorHAnsi" w:cstheme="minorHAnsi"/>
                <w:color w:val="000000"/>
                <w:sz w:val="18"/>
                <w:szCs w:val="18"/>
              </w:rPr>
              <w:br/>
              <w:t>(Other matters)</w:t>
            </w:r>
          </w:p>
        </w:tc>
        <w:tc>
          <w:tcPr>
            <w:tcW w:w="2764" w:type="dxa"/>
            <w:shd w:val="clear" w:color="auto" w:fill="auto"/>
            <w:vAlign w:val="center"/>
          </w:tcPr>
          <w:p w14:paraId="45CAA24B" w14:textId="0B976834" w:rsidR="007D090A" w:rsidRPr="00B0328C" w:rsidRDefault="007D090A" w:rsidP="007D090A">
            <w:pPr>
              <w:keepLines/>
              <w:widowControl w:val="0"/>
              <w:jc w:val="center"/>
              <w:rPr>
                <w:rFonts w:asciiTheme="minorHAnsi" w:hAnsiTheme="minorHAnsi" w:cstheme="minorHAnsi"/>
                <w:snapToGrid w:val="0"/>
                <w:sz w:val="18"/>
                <w:szCs w:val="18"/>
                <w:highlight w:val="yellow"/>
                <w:lang w:eastAsia="en-US"/>
              </w:rPr>
            </w:pPr>
            <w:r w:rsidRPr="00B0328C">
              <w:rPr>
                <w:rFonts w:asciiTheme="minorHAnsi" w:hAnsiTheme="minorHAnsi" w:cstheme="minorHAnsi"/>
                <w:color w:val="000000"/>
                <w:sz w:val="18"/>
                <w:szCs w:val="18"/>
              </w:rPr>
              <w:t>Ulcerative colitis</w:t>
            </w:r>
          </w:p>
        </w:tc>
        <w:tc>
          <w:tcPr>
            <w:tcW w:w="3288" w:type="dxa"/>
            <w:shd w:val="clear" w:color="auto" w:fill="auto"/>
            <w:tcMar>
              <w:top w:w="28" w:type="dxa"/>
              <w:bottom w:w="28" w:type="dxa"/>
            </w:tcMar>
            <w:vAlign w:val="center"/>
          </w:tcPr>
          <w:p w14:paraId="09C0EA45" w14:textId="491DBFED" w:rsidR="007D090A" w:rsidRPr="00B0328C" w:rsidRDefault="007D090A" w:rsidP="007D090A">
            <w:pPr>
              <w:pStyle w:val="ListParagraph"/>
              <w:keepLines/>
              <w:ind w:left="0"/>
              <w:jc w:val="center"/>
              <w:rPr>
                <w:rFonts w:asciiTheme="minorHAnsi" w:hAnsiTheme="minorHAnsi" w:cstheme="minorHAnsi"/>
                <w:snapToGrid w:val="0"/>
                <w:sz w:val="18"/>
                <w:szCs w:val="18"/>
                <w:lang w:eastAsia="en-US"/>
              </w:rPr>
            </w:pPr>
            <w:r w:rsidRPr="00B0328C">
              <w:rPr>
                <w:rFonts w:asciiTheme="minorHAnsi" w:hAnsiTheme="minorHAnsi" w:cstheme="minorHAnsi"/>
                <w:color w:val="000000"/>
                <w:sz w:val="18"/>
                <w:szCs w:val="18"/>
              </w:rPr>
              <w:t>To request the PBAC consider its previous recommendation to list ozanimod for the treatment of moderate to severe ulcerative colitis</w:t>
            </w:r>
            <w:r w:rsidR="006701F6">
              <w:rPr>
                <w:rFonts w:asciiTheme="minorHAnsi" w:hAnsiTheme="minorHAnsi" w:cstheme="minorHAnsi"/>
                <w:color w:val="000000"/>
                <w:sz w:val="18"/>
                <w:szCs w:val="18"/>
              </w:rPr>
              <w:t xml:space="preserve"> (MSUC)</w:t>
            </w:r>
            <w:r w:rsidRPr="00B0328C">
              <w:rPr>
                <w:rFonts w:asciiTheme="minorHAnsi" w:hAnsiTheme="minorHAnsi" w:cstheme="minorHAnsi"/>
                <w:color w:val="000000"/>
                <w:sz w:val="18"/>
                <w:szCs w:val="18"/>
              </w:rPr>
              <w:t xml:space="preserve"> on a cost-minimisation basis with the least costly alternative disease-modifying anti-rheumatic drug.</w:t>
            </w:r>
          </w:p>
        </w:tc>
        <w:tc>
          <w:tcPr>
            <w:tcW w:w="1987" w:type="dxa"/>
            <w:shd w:val="clear" w:color="auto" w:fill="auto"/>
            <w:vAlign w:val="center"/>
          </w:tcPr>
          <w:p w14:paraId="48E821E6" w14:textId="79253092" w:rsidR="007D090A" w:rsidRPr="00B0328C" w:rsidRDefault="007D090A" w:rsidP="007D090A">
            <w:pPr>
              <w:pStyle w:val="ListParagraph"/>
              <w:keepLines/>
              <w:ind w:left="0"/>
              <w:jc w:val="center"/>
              <w:rPr>
                <w:rFonts w:asciiTheme="minorHAnsi" w:hAnsiTheme="minorHAnsi" w:cstheme="minorHAnsi"/>
                <w:snapToGrid w:val="0"/>
                <w:sz w:val="18"/>
                <w:szCs w:val="18"/>
                <w:lang w:eastAsia="en-US"/>
              </w:rPr>
            </w:pPr>
            <w:r w:rsidRPr="00B0328C">
              <w:rPr>
                <w:rFonts w:asciiTheme="minorHAnsi" w:hAnsiTheme="minorHAnsi" w:cstheme="minorHAnsi"/>
                <w:color w:val="000000"/>
                <w:sz w:val="18"/>
                <w:szCs w:val="18"/>
              </w:rPr>
              <w:t>Recommended</w:t>
            </w:r>
          </w:p>
        </w:tc>
        <w:tc>
          <w:tcPr>
            <w:tcW w:w="4336" w:type="dxa"/>
            <w:shd w:val="clear" w:color="auto" w:fill="auto"/>
            <w:vAlign w:val="center"/>
          </w:tcPr>
          <w:p w14:paraId="0C693D50" w14:textId="4161BBB8" w:rsidR="007D090A" w:rsidRPr="0088248D" w:rsidRDefault="007D090A" w:rsidP="0088248D">
            <w:r w:rsidRPr="00B0328C">
              <w:rPr>
                <w:rFonts w:asciiTheme="minorHAnsi" w:hAnsiTheme="minorHAnsi" w:cstheme="minorHAnsi"/>
                <w:color w:val="000000"/>
                <w:sz w:val="18"/>
                <w:szCs w:val="18"/>
              </w:rPr>
              <w:t>The PBAC revised its March 2022 recommendation of a General Schedule, Authority Required listing of ozanimod (OZA) for the treatment of MSUC, to specify that OZA should be listed on a cost</w:t>
            </w:r>
            <w:r w:rsidR="00503C6D">
              <w:rPr>
                <w:rFonts w:asciiTheme="minorHAnsi" w:hAnsiTheme="minorHAnsi" w:cstheme="minorHAnsi"/>
                <w:color w:val="000000"/>
                <w:sz w:val="18"/>
                <w:szCs w:val="18"/>
              </w:rPr>
              <w:t>-</w:t>
            </w:r>
            <w:r w:rsidRPr="00B0328C">
              <w:rPr>
                <w:rFonts w:asciiTheme="minorHAnsi" w:hAnsiTheme="minorHAnsi" w:cstheme="minorHAnsi"/>
                <w:color w:val="000000"/>
                <w:sz w:val="18"/>
                <w:szCs w:val="18"/>
              </w:rPr>
              <w:t>minimisation with the least costly alternative biologic or targeted synthetic disease modifying anti-rheumatic drug (bDMARD/tsDMARD) listed for MSUC, excluding adalimumab (ADA).</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In revising its recommendation, the PBAC considered additional evidence including a matching-adjusted indirect comparison</w:t>
            </w:r>
            <w:r w:rsidR="002A0D05">
              <w:rPr>
                <w:rFonts w:asciiTheme="minorHAnsi" w:hAnsiTheme="minorHAnsi" w:cstheme="minorHAnsi"/>
                <w:color w:val="000000"/>
                <w:sz w:val="18"/>
                <w:szCs w:val="18"/>
              </w:rPr>
              <w:t>,</w:t>
            </w:r>
            <w:r w:rsidRPr="00B0328C">
              <w:rPr>
                <w:rFonts w:asciiTheme="minorHAnsi" w:hAnsiTheme="minorHAnsi" w:cstheme="minorHAnsi"/>
                <w:color w:val="000000"/>
                <w:sz w:val="18"/>
                <w:szCs w:val="18"/>
              </w:rPr>
              <w:t xml:space="preserve"> and network meta-analysis</w:t>
            </w:r>
            <w:r w:rsidR="002A0D05">
              <w:rPr>
                <w:rFonts w:asciiTheme="minorHAnsi" w:hAnsiTheme="minorHAnsi" w:cstheme="minorHAnsi"/>
                <w:color w:val="000000"/>
                <w:sz w:val="18"/>
                <w:szCs w:val="18"/>
              </w:rPr>
              <w:t>,</w:t>
            </w:r>
            <w:r w:rsidRPr="00B0328C">
              <w:rPr>
                <w:rFonts w:asciiTheme="minorHAnsi" w:hAnsiTheme="minorHAnsi" w:cstheme="minorHAnsi"/>
                <w:color w:val="000000"/>
                <w:sz w:val="18"/>
                <w:szCs w:val="18"/>
              </w:rPr>
              <w:t xml:space="preserve"> which it considered were methodologically sound and reliable for assessing a claim that OZA provides, for some patients, a significant improvement in effectiveness over ADA. The PBAC considered the additional analyses supported such a claim and therefore revised its March 2022 recommendation to specify that ADA should not be considered as part of the cost</w:t>
            </w:r>
            <w:r w:rsidR="00503C6D">
              <w:rPr>
                <w:rFonts w:asciiTheme="minorHAnsi" w:hAnsiTheme="minorHAnsi" w:cstheme="minorHAnsi"/>
                <w:color w:val="000000"/>
                <w:sz w:val="18"/>
                <w:szCs w:val="18"/>
              </w:rPr>
              <w:t>-</w:t>
            </w:r>
            <w:r w:rsidRPr="00B0328C">
              <w:rPr>
                <w:rFonts w:asciiTheme="minorHAnsi" w:hAnsiTheme="minorHAnsi" w:cstheme="minorHAnsi"/>
                <w:color w:val="000000"/>
                <w:sz w:val="18"/>
                <w:szCs w:val="18"/>
              </w:rPr>
              <w:t>minimisation to the least costly alternative bDMARD/tsDMARD. The PBAC noted a claim of superior comparative effectiveness was also made versus golimumab (GOL), however considered the evidence presented did not adequately support a claim of superiority over GOL.</w:t>
            </w:r>
          </w:p>
        </w:tc>
      </w:tr>
      <w:tr w:rsidR="007D090A" w:rsidRPr="00544497" w14:paraId="28D29A29" w14:textId="77777777" w:rsidTr="0088248D">
        <w:trPr>
          <w:cantSplit/>
          <w:trHeight w:val="1191"/>
          <w:jc w:val="center"/>
        </w:trPr>
        <w:tc>
          <w:tcPr>
            <w:tcW w:w="3013" w:type="dxa"/>
            <w:shd w:val="clear" w:color="auto" w:fill="auto"/>
            <w:tcMar>
              <w:top w:w="28" w:type="dxa"/>
              <w:bottom w:w="28" w:type="dxa"/>
            </w:tcMar>
            <w:vAlign w:val="center"/>
          </w:tcPr>
          <w:p w14:paraId="4C1269CE" w14:textId="0427B5BB" w:rsidR="007D090A" w:rsidRPr="00B0328C" w:rsidRDefault="007D090A" w:rsidP="007D090A">
            <w:pPr>
              <w:keepLines/>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lastRenderedPageBreak/>
              <w:t>PATIROMER</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 xml:space="preserve">Sachet, 8.4 g powder for oral liquid </w:t>
            </w:r>
            <w:r w:rsidRPr="00B0328C">
              <w:rPr>
                <w:rFonts w:asciiTheme="minorHAnsi" w:hAnsiTheme="minorHAnsi" w:cstheme="minorHAnsi"/>
                <w:color w:val="000000"/>
                <w:sz w:val="18"/>
                <w:szCs w:val="18"/>
              </w:rPr>
              <w:br/>
              <w:t>Sachet, 16.8 g powder for oral liquid</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Veltassa®</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VIFOR PHARMA PTY LIMITED</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Standard re-entry submission</w:t>
            </w:r>
            <w:r w:rsidRPr="00B0328C">
              <w:rPr>
                <w:rFonts w:asciiTheme="minorHAnsi" w:hAnsiTheme="minorHAnsi" w:cstheme="minorHAnsi"/>
                <w:color w:val="000000"/>
                <w:sz w:val="18"/>
                <w:szCs w:val="18"/>
              </w:rPr>
              <w:br/>
              <w:t>(New PBS listing)</w:t>
            </w:r>
          </w:p>
        </w:tc>
        <w:tc>
          <w:tcPr>
            <w:tcW w:w="2764" w:type="dxa"/>
            <w:shd w:val="clear" w:color="auto" w:fill="auto"/>
            <w:vAlign w:val="center"/>
          </w:tcPr>
          <w:p w14:paraId="7971D189" w14:textId="027386C7" w:rsidR="007D090A" w:rsidRPr="00B0328C" w:rsidRDefault="007D090A" w:rsidP="007D090A">
            <w:pPr>
              <w:keepLines/>
              <w:widowControl w:val="0"/>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t>Hyperkalaemia</w:t>
            </w:r>
          </w:p>
        </w:tc>
        <w:tc>
          <w:tcPr>
            <w:tcW w:w="3288" w:type="dxa"/>
            <w:shd w:val="clear" w:color="auto" w:fill="auto"/>
            <w:tcMar>
              <w:top w:w="28" w:type="dxa"/>
              <w:bottom w:w="28" w:type="dxa"/>
            </w:tcMar>
            <w:vAlign w:val="center"/>
          </w:tcPr>
          <w:p w14:paraId="1E805C79" w14:textId="3156D441" w:rsidR="007D090A" w:rsidRPr="00B0328C" w:rsidRDefault="007D090A" w:rsidP="007D090A">
            <w:pPr>
              <w:pStyle w:val="ListParagraph"/>
              <w:keepLines/>
              <w:ind w:left="0"/>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t>Resubmission to request a General Schedule Authority Required listing for the treatment of chronic hyperkalaemia in patients with stage 3 or stage 4 chronic kidney disease</w:t>
            </w:r>
            <w:r w:rsidR="006701F6">
              <w:rPr>
                <w:rFonts w:asciiTheme="minorHAnsi" w:hAnsiTheme="minorHAnsi" w:cstheme="minorHAnsi"/>
                <w:color w:val="000000"/>
                <w:sz w:val="18"/>
                <w:szCs w:val="18"/>
              </w:rPr>
              <w:t xml:space="preserve"> (CKD)</w:t>
            </w:r>
            <w:r w:rsidRPr="00B0328C">
              <w:rPr>
                <w:rFonts w:asciiTheme="minorHAnsi" w:hAnsiTheme="minorHAnsi" w:cstheme="minorHAnsi"/>
                <w:color w:val="000000"/>
                <w:sz w:val="18"/>
                <w:szCs w:val="18"/>
              </w:rPr>
              <w:t>.</w:t>
            </w:r>
          </w:p>
        </w:tc>
        <w:tc>
          <w:tcPr>
            <w:tcW w:w="1987" w:type="dxa"/>
            <w:shd w:val="clear" w:color="auto" w:fill="auto"/>
            <w:vAlign w:val="center"/>
          </w:tcPr>
          <w:p w14:paraId="3D68506B" w14:textId="78986E46" w:rsidR="007D090A" w:rsidRPr="00B0328C" w:rsidRDefault="007D090A" w:rsidP="007D090A">
            <w:pPr>
              <w:pStyle w:val="ListParagraph"/>
              <w:keepLines/>
              <w:ind w:left="0"/>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t>Not Recommended</w:t>
            </w:r>
          </w:p>
        </w:tc>
        <w:tc>
          <w:tcPr>
            <w:tcW w:w="4336" w:type="dxa"/>
            <w:shd w:val="clear" w:color="auto" w:fill="auto"/>
            <w:vAlign w:val="center"/>
          </w:tcPr>
          <w:p w14:paraId="43C6CB6D" w14:textId="6178A023" w:rsidR="004C20D0" w:rsidRPr="0088248D" w:rsidRDefault="004C20D0" w:rsidP="004C20D0">
            <w:pPr>
              <w:snapToGrid w:val="0"/>
              <w:spacing w:after="80"/>
              <w:rPr>
                <w:rFonts w:asciiTheme="minorHAnsi" w:hAnsiTheme="minorHAnsi" w:cstheme="minorHAnsi"/>
                <w:bCs/>
                <w:sz w:val="18"/>
                <w:szCs w:val="18"/>
              </w:rPr>
            </w:pPr>
            <w:r w:rsidRPr="0088248D">
              <w:rPr>
                <w:rFonts w:asciiTheme="minorHAnsi" w:hAnsiTheme="minorHAnsi" w:cstheme="minorHAnsi"/>
                <w:bCs/>
                <w:sz w:val="18"/>
                <w:szCs w:val="18"/>
              </w:rPr>
              <w:t xml:space="preserve">The PBAC did not recommend the listing of patiromer (Veltassa®) for the treatment of hyperkalaemia in </w:t>
            </w:r>
            <w:r w:rsidRPr="0088248D">
              <w:rPr>
                <w:rFonts w:asciiTheme="minorHAnsi" w:hAnsiTheme="minorHAnsi" w:cstheme="minorHAnsi"/>
                <w:sz w:val="18"/>
                <w:szCs w:val="18"/>
              </w:rPr>
              <w:t>patients with</w:t>
            </w:r>
            <w:r w:rsidR="00A17D5B">
              <w:rPr>
                <w:rFonts w:asciiTheme="minorHAnsi" w:hAnsiTheme="minorHAnsi" w:cstheme="minorHAnsi"/>
                <w:sz w:val="18"/>
                <w:szCs w:val="18"/>
              </w:rPr>
              <w:t xml:space="preserve"> </w:t>
            </w:r>
            <w:r w:rsidRPr="0088248D">
              <w:rPr>
                <w:rFonts w:asciiTheme="minorHAnsi" w:hAnsiTheme="minorHAnsi" w:cstheme="minorHAnsi"/>
                <w:sz w:val="18"/>
                <w:szCs w:val="18"/>
              </w:rPr>
              <w:t xml:space="preserve">CKD Stage 3 or 4 and chronic hyperkalaemia who are receiving or intolerant to a </w:t>
            </w:r>
            <w:r w:rsidR="00DD1091" w:rsidRPr="00DD1091">
              <w:rPr>
                <w:rFonts w:asciiTheme="minorHAnsi" w:hAnsiTheme="minorHAnsi" w:cstheme="minorHAnsi"/>
                <w:sz w:val="18"/>
                <w:szCs w:val="18"/>
              </w:rPr>
              <w:t xml:space="preserve">renin angiotensin aldosterone system inhibitor </w:t>
            </w:r>
            <w:r w:rsidR="00DD1091">
              <w:rPr>
                <w:rFonts w:asciiTheme="minorHAnsi" w:hAnsiTheme="minorHAnsi" w:cstheme="minorHAnsi"/>
                <w:sz w:val="18"/>
                <w:szCs w:val="18"/>
              </w:rPr>
              <w:t>(</w:t>
            </w:r>
            <w:r w:rsidRPr="0088248D">
              <w:rPr>
                <w:rFonts w:asciiTheme="minorHAnsi" w:hAnsiTheme="minorHAnsi" w:cstheme="minorHAnsi"/>
                <w:sz w:val="18"/>
                <w:szCs w:val="18"/>
              </w:rPr>
              <w:t>RAASi</w:t>
            </w:r>
            <w:r w:rsidR="00DD1091">
              <w:rPr>
                <w:rFonts w:asciiTheme="minorHAnsi" w:hAnsiTheme="minorHAnsi" w:cstheme="minorHAnsi"/>
                <w:sz w:val="18"/>
                <w:szCs w:val="18"/>
              </w:rPr>
              <w:t>)</w:t>
            </w:r>
            <w:r w:rsidRPr="0088248D">
              <w:rPr>
                <w:rFonts w:asciiTheme="minorHAnsi" w:hAnsiTheme="minorHAnsi" w:cstheme="minorHAnsi"/>
                <w:sz w:val="18"/>
                <w:szCs w:val="18"/>
              </w:rPr>
              <w:t>.</w:t>
            </w:r>
            <w:r w:rsidRPr="0088248D">
              <w:rPr>
                <w:rFonts w:asciiTheme="minorHAnsi" w:hAnsiTheme="minorHAnsi" w:cstheme="minorHAnsi"/>
                <w:bCs/>
                <w:sz w:val="18"/>
                <w:szCs w:val="18"/>
              </w:rPr>
              <w:t xml:space="preserve"> </w:t>
            </w:r>
          </w:p>
          <w:p w14:paraId="3C76E96B" w14:textId="7FC7230E" w:rsidR="004C20D0" w:rsidRPr="0088248D" w:rsidRDefault="004C20D0" w:rsidP="004C20D0">
            <w:pPr>
              <w:keepNext/>
              <w:keepLines/>
              <w:spacing w:after="80"/>
              <w:rPr>
                <w:rFonts w:asciiTheme="minorHAnsi" w:hAnsiTheme="minorHAnsi" w:cstheme="minorHAnsi"/>
                <w:bCs/>
                <w:sz w:val="18"/>
                <w:szCs w:val="18"/>
              </w:rPr>
            </w:pPr>
            <w:r w:rsidRPr="0088248D">
              <w:rPr>
                <w:rFonts w:asciiTheme="minorHAnsi" w:hAnsiTheme="minorHAnsi" w:cstheme="minorHAnsi"/>
                <w:sz w:val="18"/>
                <w:szCs w:val="18"/>
              </w:rPr>
              <w:t xml:space="preserve">The PBAC noted that the additional clinical evidence presented in the resubmission did not address the uncertainties surrounding the long-term benefits of patiromer. </w:t>
            </w:r>
            <w:r w:rsidRPr="0088248D">
              <w:rPr>
                <w:rFonts w:asciiTheme="minorHAnsi" w:hAnsiTheme="minorHAnsi" w:cstheme="minorHAnsi"/>
                <w:bCs/>
                <w:sz w:val="18"/>
                <w:szCs w:val="18"/>
              </w:rPr>
              <w:t>The PBAC considered that the cost</w:t>
            </w:r>
            <w:r w:rsidR="00503C6D">
              <w:rPr>
                <w:rFonts w:asciiTheme="minorHAnsi" w:hAnsiTheme="minorHAnsi" w:cstheme="minorHAnsi"/>
                <w:bCs/>
                <w:sz w:val="18"/>
                <w:szCs w:val="18"/>
              </w:rPr>
              <w:t>-</w:t>
            </w:r>
            <w:r w:rsidRPr="0088248D">
              <w:rPr>
                <w:rFonts w:asciiTheme="minorHAnsi" w:hAnsiTheme="minorHAnsi" w:cstheme="minorHAnsi"/>
                <w:bCs/>
                <w:sz w:val="18"/>
                <w:szCs w:val="18"/>
              </w:rPr>
              <w:t xml:space="preserve">utility analysis was unreliable for decision making </w:t>
            </w:r>
            <w:r w:rsidRPr="0088248D">
              <w:rPr>
                <w:rFonts w:asciiTheme="minorHAnsi" w:hAnsiTheme="minorHAnsi" w:cstheme="minorHAnsi"/>
                <w:sz w:val="18"/>
                <w:szCs w:val="18"/>
              </w:rPr>
              <w:t xml:space="preserve">and relied on long-term outcomes that were not supported by the clinical data. The PBAC advised that it would be more appropriate for the price of patiromer to be based on a cost-minimisation approach versus </w:t>
            </w:r>
            <w:r w:rsidR="00DD1091">
              <w:rPr>
                <w:rFonts w:asciiTheme="minorHAnsi" w:hAnsiTheme="minorHAnsi" w:cstheme="minorHAnsi"/>
                <w:sz w:val="18"/>
                <w:szCs w:val="18"/>
              </w:rPr>
              <w:t>s</w:t>
            </w:r>
            <w:r w:rsidR="00DD1091" w:rsidRPr="002B73B6">
              <w:rPr>
                <w:rFonts w:asciiTheme="minorHAnsi" w:hAnsiTheme="minorHAnsi" w:cstheme="minorHAnsi"/>
                <w:sz w:val="18"/>
                <w:szCs w:val="18"/>
              </w:rPr>
              <w:t xml:space="preserve">odium polystyrene sulfonate </w:t>
            </w:r>
            <w:r w:rsidR="00DD1091">
              <w:rPr>
                <w:rFonts w:asciiTheme="minorHAnsi" w:hAnsiTheme="minorHAnsi" w:cstheme="minorHAnsi"/>
                <w:sz w:val="18"/>
                <w:szCs w:val="18"/>
              </w:rPr>
              <w:t>(</w:t>
            </w:r>
            <w:r w:rsidRPr="0088248D">
              <w:rPr>
                <w:rFonts w:asciiTheme="minorHAnsi" w:hAnsiTheme="minorHAnsi" w:cstheme="minorHAnsi"/>
                <w:sz w:val="18"/>
                <w:szCs w:val="18"/>
              </w:rPr>
              <w:t>SPS</w:t>
            </w:r>
            <w:r w:rsidR="00DD1091">
              <w:rPr>
                <w:rFonts w:asciiTheme="minorHAnsi" w:hAnsiTheme="minorHAnsi" w:cstheme="minorHAnsi"/>
                <w:sz w:val="18"/>
                <w:szCs w:val="18"/>
              </w:rPr>
              <w:t xml:space="preserve">) or </w:t>
            </w:r>
            <w:r w:rsidR="00DD1091" w:rsidRPr="002B73B6">
              <w:rPr>
                <w:rFonts w:asciiTheme="minorHAnsi" w:hAnsiTheme="minorHAnsi" w:cstheme="minorHAnsi"/>
                <w:sz w:val="18"/>
                <w:szCs w:val="18"/>
              </w:rPr>
              <w:t xml:space="preserve">calcium polystyrene sulfonate </w:t>
            </w:r>
            <w:r w:rsidR="00DD1091">
              <w:rPr>
                <w:rFonts w:asciiTheme="minorHAnsi" w:hAnsiTheme="minorHAnsi" w:cstheme="minorHAnsi"/>
                <w:sz w:val="18"/>
                <w:szCs w:val="18"/>
              </w:rPr>
              <w:t>(</w:t>
            </w:r>
            <w:r w:rsidRPr="0088248D">
              <w:rPr>
                <w:rFonts w:asciiTheme="minorHAnsi" w:hAnsiTheme="minorHAnsi" w:cstheme="minorHAnsi"/>
                <w:sz w:val="18"/>
                <w:szCs w:val="18"/>
              </w:rPr>
              <w:t>CPS</w:t>
            </w:r>
            <w:r w:rsidR="00DD1091">
              <w:rPr>
                <w:rFonts w:asciiTheme="minorHAnsi" w:hAnsiTheme="minorHAnsi" w:cstheme="minorHAnsi"/>
                <w:sz w:val="18"/>
                <w:szCs w:val="18"/>
              </w:rPr>
              <w:t>)</w:t>
            </w:r>
            <w:r w:rsidRPr="0088248D">
              <w:rPr>
                <w:rFonts w:asciiTheme="minorHAnsi" w:hAnsiTheme="minorHAnsi" w:cstheme="minorHAnsi"/>
                <w:sz w:val="18"/>
                <w:szCs w:val="18"/>
              </w:rPr>
              <w:t xml:space="preserve"> resins given that SPS/CPS resins could be used to treat the overall target population.</w:t>
            </w:r>
            <w:r w:rsidRPr="0088248D">
              <w:rPr>
                <w:rFonts w:asciiTheme="minorHAnsi" w:hAnsiTheme="minorHAnsi" w:cstheme="minorHAnsi"/>
                <w:bCs/>
                <w:sz w:val="18"/>
                <w:szCs w:val="18"/>
              </w:rPr>
              <w:t xml:space="preserve"> </w:t>
            </w:r>
          </w:p>
          <w:p w14:paraId="38E57906" w14:textId="77777777" w:rsidR="004C20D0" w:rsidRPr="0088248D" w:rsidRDefault="004C20D0" w:rsidP="004C20D0">
            <w:pPr>
              <w:keepNext/>
              <w:keepLines/>
              <w:spacing w:after="80"/>
              <w:rPr>
                <w:rFonts w:asciiTheme="minorHAnsi" w:hAnsiTheme="minorHAnsi" w:cstheme="minorHAnsi"/>
                <w:sz w:val="18"/>
                <w:szCs w:val="18"/>
                <w:u w:val="single"/>
              </w:rPr>
            </w:pPr>
            <w:r w:rsidRPr="0088248D">
              <w:rPr>
                <w:rFonts w:asciiTheme="minorHAnsi" w:hAnsiTheme="minorHAnsi" w:cstheme="minorHAnsi"/>
                <w:bCs/>
                <w:sz w:val="18"/>
                <w:szCs w:val="18"/>
              </w:rPr>
              <w:t>The PBAC recommended the early re-entry pathway for this item.</w:t>
            </w:r>
          </w:p>
          <w:p w14:paraId="5660BC23" w14:textId="54B50FEA" w:rsidR="004C20D0" w:rsidRPr="0088248D" w:rsidRDefault="004C20D0" w:rsidP="004C20D0">
            <w:pPr>
              <w:keepNext/>
              <w:keepLines/>
              <w:spacing w:after="80"/>
              <w:rPr>
                <w:rFonts w:asciiTheme="minorHAnsi" w:hAnsiTheme="minorHAnsi" w:cstheme="minorHAnsi"/>
                <w:sz w:val="18"/>
                <w:szCs w:val="18"/>
                <w:u w:val="single"/>
              </w:rPr>
            </w:pPr>
            <w:r w:rsidRPr="004C20D0">
              <w:rPr>
                <w:rFonts w:asciiTheme="minorHAnsi" w:hAnsiTheme="minorHAnsi" w:cstheme="minorHAnsi"/>
                <w:sz w:val="18"/>
                <w:szCs w:val="18"/>
                <w:u w:val="single"/>
              </w:rPr>
              <w:t>Comparator:</w:t>
            </w:r>
            <w:r w:rsidRPr="0088248D">
              <w:rPr>
                <w:rFonts w:asciiTheme="minorHAnsi" w:hAnsiTheme="minorHAnsi" w:cstheme="minorHAnsi"/>
                <w:sz w:val="18"/>
                <w:szCs w:val="18"/>
              </w:rPr>
              <w:t xml:space="preserve"> Standard care was nominated as the main comparator. SPS and </w:t>
            </w:r>
            <w:r w:rsidR="00DD1091">
              <w:rPr>
                <w:rFonts w:asciiTheme="minorHAnsi" w:hAnsiTheme="minorHAnsi" w:cstheme="minorHAnsi"/>
                <w:sz w:val="18"/>
                <w:szCs w:val="18"/>
              </w:rPr>
              <w:t>C</w:t>
            </w:r>
            <w:r w:rsidRPr="0088248D">
              <w:rPr>
                <w:rFonts w:asciiTheme="minorHAnsi" w:hAnsiTheme="minorHAnsi" w:cstheme="minorHAnsi"/>
                <w:sz w:val="18"/>
                <w:szCs w:val="18"/>
              </w:rPr>
              <w:t>PS resins were nominated as secondary comparators.</w:t>
            </w:r>
          </w:p>
          <w:p w14:paraId="581E6633" w14:textId="77777777" w:rsidR="004C20D0" w:rsidRPr="0088248D" w:rsidRDefault="004C20D0" w:rsidP="004C20D0">
            <w:pPr>
              <w:keepNext/>
              <w:keepLines/>
              <w:spacing w:after="80"/>
              <w:rPr>
                <w:rFonts w:asciiTheme="minorHAnsi" w:hAnsiTheme="minorHAnsi" w:cstheme="minorHAnsi"/>
                <w:sz w:val="18"/>
                <w:szCs w:val="18"/>
                <w:u w:val="single"/>
              </w:rPr>
            </w:pPr>
            <w:r w:rsidRPr="0088248D">
              <w:rPr>
                <w:rFonts w:asciiTheme="minorHAnsi" w:hAnsiTheme="minorHAnsi" w:cstheme="minorHAnsi"/>
                <w:sz w:val="18"/>
                <w:szCs w:val="18"/>
              </w:rPr>
              <w:t>The PBAC considered that SPS and CPS resins were appropriate comparators.</w:t>
            </w:r>
          </w:p>
          <w:p w14:paraId="2143AA6A" w14:textId="77777777" w:rsidR="004C20D0" w:rsidRPr="0088248D" w:rsidRDefault="004C20D0" w:rsidP="004C20D0">
            <w:pPr>
              <w:keepNext/>
              <w:keepLines/>
              <w:spacing w:after="80"/>
              <w:rPr>
                <w:rFonts w:asciiTheme="minorHAnsi" w:hAnsiTheme="minorHAnsi" w:cstheme="minorHAnsi"/>
                <w:sz w:val="18"/>
                <w:szCs w:val="18"/>
              </w:rPr>
            </w:pPr>
            <w:r w:rsidRPr="004C20D0">
              <w:rPr>
                <w:rFonts w:asciiTheme="minorHAnsi" w:hAnsiTheme="minorHAnsi" w:cstheme="minorHAnsi"/>
                <w:sz w:val="18"/>
                <w:szCs w:val="18"/>
                <w:u w:val="single"/>
              </w:rPr>
              <w:t>Clinical claim vs standard of care:</w:t>
            </w:r>
            <w:r w:rsidRPr="0088248D">
              <w:rPr>
                <w:rFonts w:asciiTheme="minorHAnsi" w:hAnsiTheme="minorHAnsi" w:cstheme="minorHAnsi"/>
                <w:sz w:val="18"/>
                <w:szCs w:val="18"/>
              </w:rPr>
              <w:t xml:space="preserve"> Superior efficacy compared to standard care alone. Inferior safety compared to standard care alone. </w:t>
            </w:r>
          </w:p>
          <w:p w14:paraId="3BED6FF6" w14:textId="77777777" w:rsidR="004C20D0" w:rsidRPr="0088248D" w:rsidRDefault="004C20D0" w:rsidP="004C20D0">
            <w:pPr>
              <w:snapToGrid w:val="0"/>
              <w:spacing w:after="80"/>
              <w:rPr>
                <w:rFonts w:asciiTheme="minorHAnsi" w:hAnsiTheme="minorHAnsi" w:cstheme="minorHAnsi"/>
                <w:sz w:val="18"/>
                <w:szCs w:val="18"/>
              </w:rPr>
            </w:pPr>
            <w:r w:rsidRPr="0088248D">
              <w:rPr>
                <w:rFonts w:asciiTheme="minorHAnsi" w:hAnsiTheme="minorHAnsi" w:cstheme="minorHAnsi"/>
                <w:sz w:val="18"/>
                <w:szCs w:val="18"/>
              </w:rPr>
              <w:t>The PBAC considered that the claim of superior comparative effectiveness was adequately supported for the outcome of potassium lowering, however it remained unknown whether patiromer confers a clinically important difference in terms of optimisation/maintenance of RAASi treatment and long-term cardiovascular and renal outcomes.</w:t>
            </w:r>
          </w:p>
          <w:p w14:paraId="1EED06D6" w14:textId="77777777" w:rsidR="004C20D0" w:rsidRPr="0088248D" w:rsidRDefault="004C20D0" w:rsidP="004C20D0">
            <w:pPr>
              <w:keepNext/>
              <w:keepLines/>
              <w:spacing w:after="80"/>
              <w:rPr>
                <w:rFonts w:asciiTheme="minorHAnsi" w:hAnsiTheme="minorHAnsi" w:cstheme="minorHAnsi"/>
                <w:sz w:val="18"/>
                <w:szCs w:val="18"/>
                <w:u w:val="single"/>
              </w:rPr>
            </w:pPr>
            <w:r w:rsidRPr="0088248D">
              <w:rPr>
                <w:rFonts w:asciiTheme="minorHAnsi" w:hAnsiTheme="minorHAnsi" w:cstheme="minorHAnsi"/>
                <w:sz w:val="18"/>
                <w:szCs w:val="18"/>
              </w:rPr>
              <w:t>The PBAC considered that the claim of inferior comparative safety versus standard care was reasonable.</w:t>
            </w:r>
          </w:p>
          <w:p w14:paraId="062C0AC0" w14:textId="77777777" w:rsidR="004C20D0" w:rsidRPr="0088248D" w:rsidRDefault="004C20D0" w:rsidP="004C20D0">
            <w:pPr>
              <w:spacing w:after="80"/>
              <w:contextualSpacing/>
              <w:rPr>
                <w:rFonts w:asciiTheme="minorHAnsi" w:hAnsiTheme="minorHAnsi" w:cstheme="minorHAnsi"/>
                <w:sz w:val="18"/>
                <w:szCs w:val="18"/>
              </w:rPr>
            </w:pPr>
            <w:r w:rsidRPr="004C20D0">
              <w:rPr>
                <w:rFonts w:asciiTheme="minorHAnsi" w:hAnsiTheme="minorHAnsi" w:cstheme="minorHAnsi"/>
                <w:sz w:val="18"/>
                <w:szCs w:val="18"/>
                <w:u w:val="single"/>
              </w:rPr>
              <w:lastRenderedPageBreak/>
              <w:t>Clinical claim vs SPS/CPS resins:</w:t>
            </w:r>
            <w:r w:rsidRPr="004C20D0">
              <w:rPr>
                <w:rFonts w:asciiTheme="minorHAnsi" w:hAnsiTheme="minorHAnsi" w:cstheme="minorHAnsi"/>
                <w:sz w:val="18"/>
                <w:szCs w:val="18"/>
              </w:rPr>
              <w:t xml:space="preserve"> </w:t>
            </w:r>
            <w:r w:rsidRPr="0088248D">
              <w:rPr>
                <w:rFonts w:asciiTheme="minorHAnsi" w:hAnsiTheme="minorHAnsi" w:cstheme="minorHAnsi"/>
                <w:sz w:val="18"/>
                <w:szCs w:val="18"/>
              </w:rPr>
              <w:t>Non-inferior efficacy compared to SPS/CPS resins. Non-inferior safety compared to SPS/CPS resins.</w:t>
            </w:r>
          </w:p>
          <w:p w14:paraId="62A51468" w14:textId="77777777" w:rsidR="004C20D0" w:rsidRPr="0088248D" w:rsidRDefault="004C20D0" w:rsidP="004C20D0">
            <w:pPr>
              <w:snapToGrid w:val="0"/>
              <w:spacing w:after="80"/>
              <w:ind w:left="25" w:hanging="25"/>
              <w:rPr>
                <w:rFonts w:asciiTheme="minorHAnsi" w:hAnsiTheme="minorHAnsi" w:cstheme="minorHAnsi"/>
                <w:sz w:val="18"/>
                <w:szCs w:val="18"/>
              </w:rPr>
            </w:pPr>
            <w:r w:rsidRPr="0088248D">
              <w:rPr>
                <w:rFonts w:asciiTheme="minorHAnsi" w:hAnsiTheme="minorHAnsi" w:cstheme="minorHAnsi"/>
                <w:sz w:val="18"/>
                <w:szCs w:val="18"/>
              </w:rPr>
              <w:t>The PBAC considered that the claim that patiromer was non-inferior in terms of reducing potassium levels compared to SPS/CPS resins was likely reasonable.</w:t>
            </w:r>
          </w:p>
          <w:p w14:paraId="720CBD82" w14:textId="77777777" w:rsidR="004C20D0" w:rsidRPr="0088248D" w:rsidRDefault="004C20D0" w:rsidP="004C20D0">
            <w:pPr>
              <w:keepNext/>
              <w:keepLines/>
              <w:spacing w:after="80"/>
              <w:rPr>
                <w:rFonts w:asciiTheme="minorHAnsi" w:hAnsiTheme="minorHAnsi" w:cstheme="minorHAnsi"/>
                <w:sz w:val="18"/>
                <w:szCs w:val="18"/>
              </w:rPr>
            </w:pPr>
            <w:r w:rsidRPr="0088248D">
              <w:rPr>
                <w:rFonts w:asciiTheme="minorHAnsi" w:hAnsiTheme="minorHAnsi" w:cstheme="minorHAnsi"/>
                <w:sz w:val="18"/>
                <w:szCs w:val="18"/>
              </w:rPr>
              <w:t>The PBAC considered that the claim of non-inferior comparative safety versus SPS/CPS resins was reasonable and considered that patiromer may be associated with fewer gastrointestinal adverse events.</w:t>
            </w:r>
          </w:p>
          <w:p w14:paraId="6DCF1B5C" w14:textId="41305D2C" w:rsidR="004C20D0" w:rsidRPr="0088248D" w:rsidRDefault="004C20D0" w:rsidP="004C20D0">
            <w:pPr>
              <w:snapToGrid w:val="0"/>
              <w:spacing w:after="80"/>
              <w:rPr>
                <w:rFonts w:asciiTheme="minorHAnsi" w:hAnsiTheme="minorHAnsi" w:cstheme="minorHAnsi"/>
                <w:sz w:val="18"/>
                <w:szCs w:val="18"/>
              </w:rPr>
            </w:pPr>
            <w:r w:rsidRPr="004C20D0">
              <w:rPr>
                <w:rFonts w:asciiTheme="minorHAnsi" w:hAnsiTheme="minorHAnsi" w:cstheme="minorHAnsi"/>
                <w:sz w:val="18"/>
                <w:szCs w:val="18"/>
                <w:u w:val="single"/>
                <w:lang w:eastAsia="en-US"/>
              </w:rPr>
              <w:t>Economic claim vs standard of care:</w:t>
            </w:r>
            <w:r w:rsidRPr="0088248D">
              <w:rPr>
                <w:rFonts w:asciiTheme="minorHAnsi" w:hAnsiTheme="minorHAnsi" w:cstheme="minorHAnsi"/>
                <w:sz w:val="18"/>
                <w:szCs w:val="18"/>
                <w:lang w:eastAsia="en-US"/>
              </w:rPr>
              <w:t xml:space="preserve"> </w:t>
            </w:r>
            <w:r w:rsidR="00A17D5B">
              <w:rPr>
                <w:rFonts w:asciiTheme="minorHAnsi" w:hAnsiTheme="minorHAnsi" w:cstheme="minorHAnsi"/>
                <w:sz w:val="18"/>
                <w:szCs w:val="18"/>
              </w:rPr>
              <w:t>C</w:t>
            </w:r>
            <w:r w:rsidRPr="0088248D">
              <w:rPr>
                <w:rFonts w:asciiTheme="minorHAnsi" w:hAnsiTheme="minorHAnsi" w:cstheme="minorHAnsi"/>
                <w:sz w:val="18"/>
                <w:szCs w:val="18"/>
              </w:rPr>
              <w:t>ost-effectiveness analysis versus standard care (placebo).</w:t>
            </w:r>
          </w:p>
          <w:p w14:paraId="3D59916E" w14:textId="77777777" w:rsidR="004C20D0" w:rsidRPr="0088248D" w:rsidRDefault="004C20D0" w:rsidP="0088248D">
            <w:pPr>
              <w:spacing w:after="80"/>
              <w:jc w:val="both"/>
              <w:rPr>
                <w:rFonts w:asciiTheme="minorHAnsi" w:hAnsiTheme="minorHAnsi" w:cstheme="minorHAnsi"/>
                <w:snapToGrid w:val="0"/>
                <w:sz w:val="18"/>
                <w:szCs w:val="18"/>
                <w:highlight w:val="yellow"/>
              </w:rPr>
            </w:pPr>
            <w:r w:rsidRPr="0088248D">
              <w:rPr>
                <w:rFonts w:asciiTheme="minorHAnsi" w:hAnsiTheme="minorHAnsi" w:cstheme="minorHAnsi"/>
                <w:snapToGrid w:val="0"/>
                <w:sz w:val="18"/>
                <w:szCs w:val="18"/>
              </w:rPr>
              <w:t xml:space="preserve">The PBAC considered the economic model was overly complex and unreliable for decision making due to inconsistencies, double counting and systematic errors. The PBAC also considered that a number of assumptions included in the model were highly uncertain and favoured patiromer. </w:t>
            </w:r>
            <w:r w:rsidRPr="0088248D">
              <w:rPr>
                <w:rFonts w:asciiTheme="minorHAnsi" w:hAnsiTheme="minorHAnsi" w:cstheme="minorHAnsi"/>
                <w:snapToGrid w:val="0"/>
                <w:sz w:val="18"/>
                <w:szCs w:val="18"/>
                <w:lang w:val="en-GB"/>
              </w:rPr>
              <w:t>These included, the implausibly high rate of RAASi discontinuation in the placebo arm, the assumption that short-term patiromer treatment would result in prolonged RAASi therapy and the long-term gain of cardiovascular and renal benefits, the assumption that all patients would be receiving maximal RAASi therapy at baseline and the low assumed doses of patiromer.</w:t>
            </w:r>
          </w:p>
          <w:p w14:paraId="302D104A" w14:textId="777340AA" w:rsidR="004C20D0" w:rsidRPr="0088248D" w:rsidRDefault="004C20D0" w:rsidP="004C20D0">
            <w:pPr>
              <w:keepNext/>
              <w:keepLines/>
              <w:spacing w:after="80"/>
              <w:rPr>
                <w:rFonts w:asciiTheme="minorHAnsi" w:hAnsiTheme="minorHAnsi" w:cstheme="minorHAnsi"/>
                <w:sz w:val="18"/>
                <w:szCs w:val="18"/>
              </w:rPr>
            </w:pPr>
            <w:r w:rsidRPr="0088248D">
              <w:rPr>
                <w:rFonts w:asciiTheme="minorHAnsi" w:hAnsiTheme="minorHAnsi" w:cstheme="minorHAnsi"/>
                <w:sz w:val="18"/>
                <w:szCs w:val="18"/>
                <w:u w:val="single"/>
              </w:rPr>
              <w:t>Economic claim vs SPS/CPS resins:</w:t>
            </w:r>
            <w:r w:rsidRPr="0088248D">
              <w:rPr>
                <w:rFonts w:asciiTheme="minorHAnsi" w:hAnsiTheme="minorHAnsi" w:cstheme="minorHAnsi"/>
                <w:sz w:val="18"/>
                <w:szCs w:val="18"/>
              </w:rPr>
              <w:t xml:space="preserve"> </w:t>
            </w:r>
            <w:r w:rsidR="00A17D5B">
              <w:rPr>
                <w:rFonts w:asciiTheme="minorHAnsi" w:hAnsiTheme="minorHAnsi" w:cstheme="minorHAnsi"/>
                <w:sz w:val="18"/>
                <w:szCs w:val="18"/>
              </w:rPr>
              <w:t>C</w:t>
            </w:r>
            <w:r w:rsidRPr="0088248D">
              <w:rPr>
                <w:rFonts w:asciiTheme="minorHAnsi" w:hAnsiTheme="minorHAnsi" w:cstheme="minorHAnsi"/>
                <w:sz w:val="18"/>
                <w:szCs w:val="18"/>
              </w:rPr>
              <w:t>ost-minimisation approach versus SPS/CPS resins.</w:t>
            </w:r>
          </w:p>
          <w:p w14:paraId="4BD6ACDE" w14:textId="2045322F" w:rsidR="004C20D0" w:rsidRDefault="004C20D0" w:rsidP="00DD1091">
            <w:pPr>
              <w:keepNext/>
              <w:keepLines/>
              <w:rPr>
                <w:rFonts w:asciiTheme="minorHAnsi" w:hAnsiTheme="minorHAnsi" w:cstheme="minorHAnsi"/>
                <w:sz w:val="18"/>
                <w:szCs w:val="18"/>
              </w:rPr>
            </w:pPr>
            <w:r w:rsidRPr="0088248D">
              <w:rPr>
                <w:rFonts w:asciiTheme="minorHAnsi" w:hAnsiTheme="minorHAnsi" w:cstheme="minorHAnsi"/>
                <w:sz w:val="18"/>
                <w:szCs w:val="18"/>
              </w:rPr>
              <w:t>The PBAC noted that the cost</w:t>
            </w:r>
            <w:r w:rsidR="00503C6D">
              <w:rPr>
                <w:rFonts w:asciiTheme="minorHAnsi" w:hAnsiTheme="minorHAnsi" w:cstheme="minorHAnsi"/>
                <w:sz w:val="18"/>
                <w:szCs w:val="18"/>
              </w:rPr>
              <w:t>-</w:t>
            </w:r>
            <w:r w:rsidRPr="0088248D">
              <w:rPr>
                <w:rFonts w:asciiTheme="minorHAnsi" w:hAnsiTheme="minorHAnsi" w:cstheme="minorHAnsi"/>
                <w:sz w:val="18"/>
                <w:szCs w:val="18"/>
              </w:rPr>
              <w:t>minimisation approach incorrectly included patients with both acute and chronic hyperkalaemia which was inconsistent with the proposed patiromer restriction.</w:t>
            </w:r>
          </w:p>
          <w:p w14:paraId="2F54AFE8" w14:textId="77777777" w:rsidR="00DD1091" w:rsidRPr="0088248D" w:rsidRDefault="00DD1091" w:rsidP="0088248D">
            <w:pPr>
              <w:keepNext/>
              <w:keepLines/>
              <w:rPr>
                <w:rFonts w:asciiTheme="minorHAnsi" w:hAnsiTheme="minorHAnsi" w:cstheme="minorHAnsi"/>
                <w:sz w:val="18"/>
                <w:szCs w:val="18"/>
              </w:rPr>
            </w:pPr>
          </w:p>
          <w:p w14:paraId="72AC6529" w14:textId="77777777" w:rsidR="007D090A" w:rsidRDefault="007D090A" w:rsidP="007D090A">
            <w:pPr>
              <w:rPr>
                <w:rFonts w:asciiTheme="minorHAnsi" w:hAnsiTheme="minorHAnsi" w:cstheme="minorHAnsi"/>
                <w:color w:val="000000"/>
                <w:sz w:val="18"/>
                <w:szCs w:val="18"/>
                <w:u w:val="single"/>
              </w:rPr>
            </w:pPr>
            <w:r w:rsidRPr="004C20D0">
              <w:rPr>
                <w:rFonts w:asciiTheme="minorHAnsi" w:hAnsiTheme="minorHAnsi" w:cstheme="minorHAnsi"/>
                <w:color w:val="000000"/>
                <w:sz w:val="18"/>
                <w:szCs w:val="18"/>
                <w:u w:val="single"/>
              </w:rPr>
              <w:t>Sponsor’s Comment:</w:t>
            </w:r>
          </w:p>
          <w:p w14:paraId="65E1F721" w14:textId="5AB1C8FC" w:rsidR="00D96248" w:rsidRPr="004C20D0" w:rsidRDefault="00D96248" w:rsidP="007D090A">
            <w:pPr>
              <w:rPr>
                <w:rFonts w:asciiTheme="minorHAnsi" w:hAnsiTheme="minorHAnsi" w:cstheme="minorHAnsi"/>
                <w:color w:val="000000"/>
                <w:sz w:val="18"/>
                <w:szCs w:val="18"/>
              </w:rPr>
            </w:pPr>
            <w:r>
              <w:rPr>
                <w:rFonts w:asciiTheme="minorHAnsi" w:hAnsiTheme="minorHAnsi" w:cstheme="minorHAnsi"/>
                <w:color w:val="000000"/>
                <w:sz w:val="18"/>
                <w:szCs w:val="18"/>
              </w:rPr>
              <w:t>The sponsor had no comment.</w:t>
            </w:r>
          </w:p>
        </w:tc>
      </w:tr>
      <w:tr w:rsidR="007D090A" w:rsidRPr="00544497" w14:paraId="0F616E07" w14:textId="77777777" w:rsidTr="0088248D">
        <w:trPr>
          <w:cantSplit/>
          <w:trHeight w:val="376"/>
          <w:jc w:val="center"/>
        </w:trPr>
        <w:tc>
          <w:tcPr>
            <w:tcW w:w="3013" w:type="dxa"/>
            <w:shd w:val="clear" w:color="auto" w:fill="auto"/>
            <w:tcMar>
              <w:top w:w="28" w:type="dxa"/>
              <w:bottom w:w="28" w:type="dxa"/>
            </w:tcMar>
            <w:vAlign w:val="center"/>
          </w:tcPr>
          <w:p w14:paraId="5385F06D" w14:textId="1B84B83D" w:rsidR="007D090A" w:rsidRPr="00B0328C" w:rsidRDefault="007D090A" w:rsidP="007D090A">
            <w:pPr>
              <w:keepLines/>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lastRenderedPageBreak/>
              <w:t>PEMBROLIZUMAB</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 xml:space="preserve">Solution concentrate for I.V. infusion </w:t>
            </w:r>
            <w:r w:rsidR="002A0D05" w:rsidRPr="00B0328C">
              <w:rPr>
                <w:rFonts w:asciiTheme="minorHAnsi" w:hAnsiTheme="minorHAnsi" w:cstheme="minorHAnsi"/>
                <w:color w:val="000000"/>
                <w:sz w:val="18"/>
                <w:szCs w:val="18"/>
              </w:rPr>
              <w:t>100</w:t>
            </w:r>
            <w:r w:rsidR="002A0D05">
              <w:rPr>
                <w:rFonts w:asciiTheme="minorHAnsi" w:hAnsiTheme="minorHAnsi" w:cstheme="minorHAnsi"/>
                <w:color w:val="000000"/>
                <w:sz w:val="18"/>
                <w:szCs w:val="18"/>
              </w:rPr>
              <w:t> </w:t>
            </w:r>
            <w:r w:rsidRPr="00B0328C">
              <w:rPr>
                <w:rFonts w:asciiTheme="minorHAnsi" w:hAnsiTheme="minorHAnsi" w:cstheme="minorHAnsi"/>
                <w:color w:val="000000"/>
                <w:sz w:val="18"/>
                <w:szCs w:val="18"/>
              </w:rPr>
              <w:t>mg in 4 mL</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Keytruda®</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MERCK SHARP &amp; DOHME (AUSTRALIA) PTY LTD</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Category 2 submission</w:t>
            </w:r>
            <w:r w:rsidRPr="00B0328C">
              <w:rPr>
                <w:rFonts w:asciiTheme="minorHAnsi" w:hAnsiTheme="minorHAnsi" w:cstheme="minorHAnsi"/>
                <w:color w:val="000000"/>
                <w:sz w:val="18"/>
                <w:szCs w:val="18"/>
              </w:rPr>
              <w:br/>
              <w:t>(Change to PBS listing)</w:t>
            </w:r>
          </w:p>
        </w:tc>
        <w:tc>
          <w:tcPr>
            <w:tcW w:w="2764" w:type="dxa"/>
            <w:shd w:val="clear" w:color="auto" w:fill="auto"/>
            <w:vAlign w:val="center"/>
          </w:tcPr>
          <w:p w14:paraId="54656581" w14:textId="3E28A8D2" w:rsidR="007D090A" w:rsidRPr="00B0328C" w:rsidRDefault="007D090A" w:rsidP="007D090A">
            <w:pPr>
              <w:keepLines/>
              <w:widowControl w:val="0"/>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t>Cervical cancer</w:t>
            </w:r>
          </w:p>
        </w:tc>
        <w:tc>
          <w:tcPr>
            <w:tcW w:w="3288" w:type="dxa"/>
            <w:shd w:val="clear" w:color="auto" w:fill="auto"/>
            <w:tcMar>
              <w:top w:w="28" w:type="dxa"/>
              <w:bottom w:w="28" w:type="dxa"/>
            </w:tcMar>
            <w:vAlign w:val="center"/>
          </w:tcPr>
          <w:p w14:paraId="50F3F2E2" w14:textId="03AE587B" w:rsidR="007D090A" w:rsidRPr="00B0328C" w:rsidRDefault="007D090A" w:rsidP="007D090A">
            <w:pPr>
              <w:pStyle w:val="ListParagraph"/>
              <w:keepLines/>
              <w:ind w:left="0"/>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t xml:space="preserve">To request a Section 100 (Efficient Funding of Chemotherapy Program) Authority Required listing for the treatment of persistent, recurrent or metastatic (stage IVB) squamous cell carcinoma, adenocarcimoma and adenosquamous carcinoma of the cervix in patients whose tumours express </w:t>
            </w:r>
            <w:r w:rsidR="006D4721">
              <w:rPr>
                <w:rFonts w:asciiTheme="minorHAnsi" w:hAnsiTheme="minorHAnsi" w:cstheme="minorHAnsi"/>
                <w:sz w:val="18"/>
                <w:szCs w:val="18"/>
              </w:rPr>
              <w:t>programmed cell death ligand-1</w:t>
            </w:r>
            <w:r w:rsidR="006D4721" w:rsidRPr="00B0328C">
              <w:rPr>
                <w:rFonts w:asciiTheme="minorHAnsi" w:hAnsiTheme="minorHAnsi" w:cstheme="minorHAnsi"/>
                <w:sz w:val="18"/>
                <w:szCs w:val="18"/>
              </w:rPr>
              <w:t xml:space="preserve"> </w:t>
            </w:r>
            <w:r w:rsidR="006D4721">
              <w:rPr>
                <w:rFonts w:asciiTheme="minorHAnsi" w:hAnsiTheme="minorHAnsi" w:cstheme="minorHAnsi"/>
                <w:sz w:val="18"/>
                <w:szCs w:val="18"/>
              </w:rPr>
              <w:t>(</w:t>
            </w:r>
            <w:r w:rsidRPr="00B0328C">
              <w:rPr>
                <w:rFonts w:asciiTheme="minorHAnsi" w:hAnsiTheme="minorHAnsi" w:cstheme="minorHAnsi"/>
                <w:color w:val="000000"/>
                <w:sz w:val="18"/>
                <w:szCs w:val="18"/>
              </w:rPr>
              <w:t>PD-L1</w:t>
            </w:r>
            <w:r w:rsidR="006D4721">
              <w:rPr>
                <w:rFonts w:asciiTheme="minorHAnsi" w:hAnsiTheme="minorHAnsi" w:cstheme="minorHAnsi"/>
                <w:color w:val="000000"/>
                <w:sz w:val="18"/>
                <w:szCs w:val="18"/>
              </w:rPr>
              <w:t>)</w:t>
            </w:r>
            <w:r w:rsidRPr="00B0328C">
              <w:rPr>
                <w:rFonts w:asciiTheme="minorHAnsi" w:hAnsiTheme="minorHAnsi" w:cstheme="minorHAnsi"/>
                <w:color w:val="000000"/>
                <w:sz w:val="18"/>
                <w:szCs w:val="18"/>
              </w:rPr>
              <w:t xml:space="preserve"> combined positive score </w:t>
            </w:r>
            <w:r w:rsidR="006D4721">
              <w:rPr>
                <w:rFonts w:asciiTheme="minorHAnsi" w:hAnsiTheme="minorHAnsi" w:cstheme="minorHAnsi"/>
                <w:color w:val="000000"/>
                <w:sz w:val="18"/>
                <w:szCs w:val="18"/>
              </w:rPr>
              <w:t xml:space="preserve">(CPS) </w:t>
            </w:r>
            <w:r w:rsidRPr="00B0328C">
              <w:rPr>
                <w:rFonts w:asciiTheme="minorHAnsi" w:hAnsiTheme="minorHAnsi" w:cstheme="minorHAnsi"/>
                <w:color w:val="000000"/>
                <w:sz w:val="18"/>
                <w:szCs w:val="18"/>
              </w:rPr>
              <w:t>equal to or greater than 1.</w:t>
            </w:r>
          </w:p>
        </w:tc>
        <w:tc>
          <w:tcPr>
            <w:tcW w:w="1987" w:type="dxa"/>
            <w:shd w:val="clear" w:color="auto" w:fill="auto"/>
            <w:vAlign w:val="center"/>
          </w:tcPr>
          <w:p w14:paraId="39B9ACF5" w14:textId="37965DCF" w:rsidR="007D090A" w:rsidRPr="00B0328C" w:rsidRDefault="007D090A" w:rsidP="007D090A">
            <w:pPr>
              <w:pStyle w:val="ListParagraph"/>
              <w:keepLines/>
              <w:ind w:left="0"/>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t>Recommended</w:t>
            </w:r>
          </w:p>
        </w:tc>
        <w:tc>
          <w:tcPr>
            <w:tcW w:w="4336" w:type="dxa"/>
            <w:shd w:val="clear" w:color="auto" w:fill="auto"/>
            <w:vAlign w:val="center"/>
          </w:tcPr>
          <w:p w14:paraId="232CF937" w14:textId="5715B2BD" w:rsidR="007D090A" w:rsidRPr="00B0328C" w:rsidRDefault="007D090A" w:rsidP="0088248D">
            <w:r w:rsidRPr="00B0328C">
              <w:rPr>
                <w:rFonts w:asciiTheme="minorHAnsi" w:hAnsiTheme="minorHAnsi" w:cstheme="minorHAnsi"/>
                <w:sz w:val="18"/>
                <w:szCs w:val="18"/>
              </w:rPr>
              <w:t>The PBAC recommended the listing of pembrolizumab for the treatment of patients with persistent, recurrent, or metastatic (Stage IVB) cervical cancer. The PBAC noted that although rates of cervical cancer are declining, there remains a high clinical need for effective treatment in this patient population, particularly for communities disproportionately affected by cervical cancer. The PBAC was satisfied that pembrolizumab in combination with chemotherapy provides a meaningful improvement in overall survival, compared with standard chemotherapy alone. Although the submission proposed treatment in patients with</w:t>
            </w:r>
            <w:r w:rsidR="004028FD">
              <w:rPr>
                <w:rFonts w:asciiTheme="minorHAnsi" w:hAnsiTheme="minorHAnsi" w:cstheme="minorHAnsi"/>
                <w:sz w:val="18"/>
                <w:szCs w:val="18"/>
              </w:rPr>
              <w:t xml:space="preserve"> </w:t>
            </w:r>
            <w:r w:rsidRPr="00B0328C">
              <w:rPr>
                <w:rFonts w:asciiTheme="minorHAnsi" w:hAnsiTheme="minorHAnsi" w:cstheme="minorHAnsi"/>
                <w:sz w:val="18"/>
                <w:szCs w:val="18"/>
              </w:rPr>
              <w:t xml:space="preserve">PD-L1 CPS ≥1, the PBAC noted that the survival benefit was demonstrated in the full trial population and therefore recommended listing without restriction based on PD-L1 status. The PBAC considered that pembrolizumab would be cost-effective with a price reduction. </w:t>
            </w:r>
          </w:p>
        </w:tc>
      </w:tr>
      <w:tr w:rsidR="007D090A" w:rsidRPr="00544497" w14:paraId="0C291B71" w14:textId="77777777" w:rsidTr="0088248D">
        <w:trPr>
          <w:cantSplit/>
          <w:trHeight w:val="376"/>
          <w:jc w:val="center"/>
        </w:trPr>
        <w:tc>
          <w:tcPr>
            <w:tcW w:w="3013" w:type="dxa"/>
            <w:shd w:val="clear" w:color="auto" w:fill="auto"/>
            <w:tcMar>
              <w:top w:w="28" w:type="dxa"/>
              <w:bottom w:w="28" w:type="dxa"/>
            </w:tcMar>
            <w:vAlign w:val="center"/>
          </w:tcPr>
          <w:p w14:paraId="7DBDEEB8" w14:textId="22160B70" w:rsidR="007D090A" w:rsidRPr="00B0328C" w:rsidRDefault="007D090A" w:rsidP="007D090A">
            <w:pPr>
              <w:keepLines/>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lastRenderedPageBreak/>
              <w:t xml:space="preserve">PEMBROLIZUMAB </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Solution concentrate for I.V. infusion 100 mg in 4 mL</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Keytruda®</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MERCK SHARP &amp; DOHME (AUSTRALIA) PTY LTD</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Category 3 submission</w:t>
            </w:r>
            <w:r w:rsidRPr="00B0328C">
              <w:rPr>
                <w:rFonts w:asciiTheme="minorHAnsi" w:hAnsiTheme="minorHAnsi" w:cstheme="minorHAnsi"/>
                <w:color w:val="000000"/>
                <w:sz w:val="18"/>
                <w:szCs w:val="18"/>
              </w:rPr>
              <w:br/>
              <w:t>(Other matters)</w:t>
            </w:r>
          </w:p>
        </w:tc>
        <w:tc>
          <w:tcPr>
            <w:tcW w:w="2764" w:type="dxa"/>
            <w:shd w:val="clear" w:color="auto" w:fill="auto"/>
            <w:vAlign w:val="center"/>
          </w:tcPr>
          <w:p w14:paraId="7A7C1123" w14:textId="42C19ADC" w:rsidR="007D090A" w:rsidRPr="00B0328C" w:rsidRDefault="007D090A" w:rsidP="007D090A">
            <w:pPr>
              <w:keepLines/>
              <w:widowControl w:val="0"/>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t>Locally advanced (Stage III) or metastatic (Stage IV) urothelial cancer</w:t>
            </w:r>
          </w:p>
        </w:tc>
        <w:tc>
          <w:tcPr>
            <w:tcW w:w="3288" w:type="dxa"/>
            <w:shd w:val="clear" w:color="auto" w:fill="auto"/>
            <w:tcMar>
              <w:top w:w="28" w:type="dxa"/>
              <w:bottom w:w="28" w:type="dxa"/>
            </w:tcMar>
            <w:vAlign w:val="center"/>
          </w:tcPr>
          <w:p w14:paraId="04AA5525" w14:textId="44A7BEF3" w:rsidR="007D090A" w:rsidRPr="00B0328C" w:rsidRDefault="007D090A" w:rsidP="007D090A">
            <w:pPr>
              <w:pStyle w:val="ListParagraph"/>
              <w:keepLines/>
              <w:ind w:left="0"/>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t>To request the PBAC consider the previously estimated utilisation for locally advanced or metastatic urothelial cancer.</w:t>
            </w:r>
          </w:p>
        </w:tc>
        <w:tc>
          <w:tcPr>
            <w:tcW w:w="1987" w:type="dxa"/>
            <w:shd w:val="clear" w:color="auto" w:fill="auto"/>
            <w:vAlign w:val="center"/>
          </w:tcPr>
          <w:p w14:paraId="15910F70" w14:textId="045B3A9B" w:rsidR="007D090A" w:rsidRPr="00B0328C" w:rsidRDefault="007D090A" w:rsidP="007D090A">
            <w:pPr>
              <w:pStyle w:val="ListParagraph"/>
              <w:keepLines/>
              <w:ind w:left="0"/>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t>Not Recommended</w:t>
            </w:r>
          </w:p>
        </w:tc>
        <w:tc>
          <w:tcPr>
            <w:tcW w:w="4336" w:type="dxa"/>
            <w:shd w:val="clear" w:color="auto" w:fill="auto"/>
            <w:vAlign w:val="center"/>
          </w:tcPr>
          <w:p w14:paraId="5E3E9684" w14:textId="77777777" w:rsidR="002C1F7B" w:rsidRPr="002C1F7B" w:rsidRDefault="002C1F7B" w:rsidP="002C1F7B">
            <w:pPr>
              <w:pStyle w:val="NormalWeb"/>
              <w:spacing w:before="0" w:beforeAutospacing="0" w:after="0" w:afterAutospacing="0"/>
              <w:rPr>
                <w:rFonts w:asciiTheme="minorHAnsi" w:hAnsiTheme="minorHAnsi" w:cstheme="minorHAnsi"/>
                <w:color w:val="000000"/>
                <w:sz w:val="18"/>
                <w:szCs w:val="18"/>
              </w:rPr>
            </w:pPr>
            <w:r w:rsidRPr="002C1F7B">
              <w:rPr>
                <w:rFonts w:asciiTheme="minorHAnsi" w:hAnsiTheme="minorHAnsi" w:cstheme="minorHAnsi"/>
                <w:color w:val="000000"/>
                <w:sz w:val="18"/>
                <w:szCs w:val="18"/>
              </w:rPr>
              <w:t>The PBAC did not advise that it previous recommendation regarding the estimated utilisation for locally advanced (Stage III) or metastatic urothelial (Stage IV) cancer be amended. The PBAC noted the listing of avelumab as first-line maintenance treatment for urothelial cancer is likely to continue to reduce the uptake rate of second-line pembrolizumab steadily because restrictions for pembrolizumab prevent sequential use following treatment with avelumab.</w:t>
            </w:r>
          </w:p>
          <w:p w14:paraId="36D86F1B" w14:textId="77777777" w:rsidR="00823764" w:rsidRPr="00B0328C" w:rsidRDefault="00823764" w:rsidP="007D090A">
            <w:pPr>
              <w:keepLines/>
              <w:rPr>
                <w:rFonts w:asciiTheme="minorHAnsi" w:hAnsiTheme="minorHAnsi" w:cstheme="minorHAnsi"/>
                <w:color w:val="000000"/>
                <w:sz w:val="18"/>
                <w:szCs w:val="18"/>
                <w:u w:val="single"/>
              </w:rPr>
            </w:pPr>
          </w:p>
          <w:p w14:paraId="4496803D" w14:textId="77777777" w:rsidR="007D090A" w:rsidRDefault="007D090A" w:rsidP="007D090A">
            <w:pPr>
              <w:rPr>
                <w:rFonts w:asciiTheme="minorHAnsi" w:hAnsiTheme="minorHAnsi" w:cstheme="minorHAnsi"/>
                <w:color w:val="000000"/>
                <w:sz w:val="18"/>
                <w:szCs w:val="18"/>
                <w:u w:val="single"/>
              </w:rPr>
            </w:pPr>
            <w:r w:rsidRPr="00B0328C">
              <w:rPr>
                <w:rFonts w:asciiTheme="minorHAnsi" w:hAnsiTheme="minorHAnsi" w:cstheme="minorHAnsi"/>
                <w:color w:val="000000"/>
                <w:sz w:val="18"/>
                <w:szCs w:val="18"/>
                <w:u w:val="single"/>
              </w:rPr>
              <w:t>Sponsor’s Comment:</w:t>
            </w:r>
          </w:p>
          <w:p w14:paraId="7909E87E" w14:textId="45099C1F" w:rsidR="00DB4353" w:rsidRPr="00A535A7" w:rsidRDefault="00042970" w:rsidP="007D090A">
            <w:pPr>
              <w:rPr>
                <w:rFonts w:asciiTheme="minorHAnsi" w:hAnsiTheme="minorHAnsi" w:cstheme="minorHAnsi"/>
                <w:sz w:val="18"/>
                <w:szCs w:val="18"/>
              </w:rPr>
            </w:pPr>
            <w:r w:rsidRPr="00042970">
              <w:rPr>
                <w:rFonts w:asciiTheme="minorHAnsi" w:hAnsiTheme="minorHAnsi" w:cstheme="minorHAnsi"/>
                <w:color w:val="000000"/>
                <w:sz w:val="18"/>
                <w:szCs w:val="18"/>
              </w:rPr>
              <w:t>MSD is disappointed that PBAC has not recommended an amendment to the estimated utilisation for urothelial cancer given the independent DUSC review in Oct 2021 showed that the patient numbers were underestimated, with minimal leakage and shorter than anticipated time on treatment. MSD is of the view that the listing of avelumab is unlikely to significantly reduce the uptake rate of pembrolizumab, therefore presenting an ongoing risk to MSD. MSD will continue to assess what available options exist to support an appropriate amendment to the estimated utilisation of pembrolizumab</w:t>
            </w:r>
            <w:r>
              <w:rPr>
                <w:rFonts w:asciiTheme="minorHAnsi" w:hAnsiTheme="minorHAnsi" w:cstheme="minorHAnsi"/>
                <w:color w:val="000000"/>
                <w:sz w:val="18"/>
                <w:szCs w:val="18"/>
              </w:rPr>
              <w:t>.</w:t>
            </w:r>
          </w:p>
        </w:tc>
      </w:tr>
      <w:tr w:rsidR="007D090A" w:rsidRPr="00544497" w14:paraId="054008EC" w14:textId="77777777" w:rsidTr="0088248D">
        <w:trPr>
          <w:cantSplit/>
          <w:trHeight w:val="801"/>
          <w:jc w:val="center"/>
        </w:trPr>
        <w:tc>
          <w:tcPr>
            <w:tcW w:w="3013" w:type="dxa"/>
            <w:shd w:val="clear" w:color="auto" w:fill="auto"/>
            <w:tcMar>
              <w:top w:w="28" w:type="dxa"/>
              <w:bottom w:w="28" w:type="dxa"/>
            </w:tcMar>
            <w:vAlign w:val="center"/>
          </w:tcPr>
          <w:p w14:paraId="1444A385" w14:textId="12F3D8BF" w:rsidR="007D090A" w:rsidRPr="00B0328C" w:rsidRDefault="007D090A" w:rsidP="007D090A">
            <w:pPr>
              <w:keepLines/>
              <w:jc w:val="center"/>
              <w:rPr>
                <w:rFonts w:asciiTheme="minorHAnsi" w:hAnsiTheme="minorHAnsi" w:cstheme="minorHAnsi"/>
                <w:sz w:val="18"/>
                <w:szCs w:val="18"/>
                <w:highlight w:val="yellow"/>
              </w:rPr>
            </w:pPr>
            <w:r w:rsidRPr="00B0328C">
              <w:rPr>
                <w:rFonts w:asciiTheme="minorHAnsi" w:hAnsiTheme="minorHAnsi" w:cstheme="minorHAnsi"/>
                <w:color w:val="000000"/>
                <w:sz w:val="18"/>
                <w:szCs w:val="18"/>
              </w:rPr>
              <w:lastRenderedPageBreak/>
              <w:t>PNEUMOCOCCAL POLYSACCHARIDE CONJUGATE VACCINE, 20-VALENT ADSORBED</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0.5 mL pre</w:t>
            </w:r>
            <w:r w:rsidR="00D00FF7">
              <w:rPr>
                <w:rFonts w:asciiTheme="minorHAnsi" w:hAnsiTheme="minorHAnsi" w:cstheme="minorHAnsi"/>
                <w:color w:val="000000"/>
                <w:sz w:val="18"/>
                <w:szCs w:val="18"/>
              </w:rPr>
              <w:t>-</w:t>
            </w:r>
            <w:r w:rsidRPr="00B0328C">
              <w:rPr>
                <w:rFonts w:asciiTheme="minorHAnsi" w:hAnsiTheme="minorHAnsi" w:cstheme="minorHAnsi"/>
                <w:color w:val="000000"/>
                <w:sz w:val="18"/>
                <w:szCs w:val="18"/>
              </w:rPr>
              <w:t>filled syringe</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 xml:space="preserve">Prevenar 20® </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PFIZER AUSTRALIA PTY LTD</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Category 2 submission</w:t>
            </w:r>
            <w:r w:rsidRPr="00B0328C">
              <w:rPr>
                <w:rFonts w:asciiTheme="minorHAnsi" w:hAnsiTheme="minorHAnsi" w:cstheme="minorHAnsi"/>
                <w:color w:val="000000"/>
                <w:sz w:val="18"/>
                <w:szCs w:val="18"/>
              </w:rPr>
              <w:br/>
              <w:t>(New NIP listing)</w:t>
            </w:r>
          </w:p>
        </w:tc>
        <w:tc>
          <w:tcPr>
            <w:tcW w:w="2764" w:type="dxa"/>
            <w:shd w:val="clear" w:color="auto" w:fill="auto"/>
            <w:vAlign w:val="center"/>
          </w:tcPr>
          <w:p w14:paraId="2841D75F" w14:textId="2E523EFE" w:rsidR="007D090A" w:rsidRPr="00B0328C" w:rsidRDefault="007D090A" w:rsidP="007D090A">
            <w:pPr>
              <w:keepLines/>
              <w:widowControl w:val="0"/>
              <w:jc w:val="center"/>
              <w:rPr>
                <w:rFonts w:asciiTheme="minorHAnsi" w:hAnsiTheme="minorHAnsi" w:cstheme="minorHAnsi"/>
                <w:snapToGrid w:val="0"/>
                <w:sz w:val="18"/>
                <w:szCs w:val="18"/>
                <w:lang w:eastAsia="en-US"/>
              </w:rPr>
            </w:pPr>
            <w:r w:rsidRPr="00B0328C">
              <w:rPr>
                <w:rFonts w:asciiTheme="minorHAnsi" w:hAnsiTheme="minorHAnsi" w:cstheme="minorHAnsi"/>
                <w:color w:val="000000"/>
                <w:sz w:val="18"/>
                <w:szCs w:val="18"/>
              </w:rPr>
              <w:t>Prevention of pneumococcal disease</w:t>
            </w:r>
          </w:p>
        </w:tc>
        <w:tc>
          <w:tcPr>
            <w:tcW w:w="3288" w:type="dxa"/>
            <w:shd w:val="clear" w:color="auto" w:fill="auto"/>
            <w:tcMar>
              <w:top w:w="28" w:type="dxa"/>
              <w:bottom w:w="28" w:type="dxa"/>
            </w:tcMar>
            <w:vAlign w:val="center"/>
          </w:tcPr>
          <w:p w14:paraId="00F017E1" w14:textId="24475E95" w:rsidR="007D090A" w:rsidRPr="00B0328C" w:rsidRDefault="007D090A" w:rsidP="007D090A">
            <w:pPr>
              <w:pStyle w:val="ListParagraph"/>
              <w:keepLines/>
              <w:ind w:left="0"/>
              <w:jc w:val="center"/>
              <w:rPr>
                <w:rFonts w:asciiTheme="minorHAnsi" w:hAnsiTheme="minorHAnsi" w:cstheme="minorHAnsi"/>
                <w:snapToGrid w:val="0"/>
                <w:sz w:val="18"/>
                <w:szCs w:val="18"/>
                <w:lang w:eastAsia="en-US"/>
              </w:rPr>
            </w:pPr>
            <w:r w:rsidRPr="00B0328C">
              <w:rPr>
                <w:rFonts w:asciiTheme="minorHAnsi" w:hAnsiTheme="minorHAnsi" w:cstheme="minorHAnsi"/>
                <w:color w:val="000000"/>
                <w:sz w:val="18"/>
                <w:szCs w:val="18"/>
              </w:rPr>
              <w:t>To request a National Immunisation Program listing for the prevention of pneumococcal disease.</w:t>
            </w:r>
          </w:p>
        </w:tc>
        <w:tc>
          <w:tcPr>
            <w:tcW w:w="1987" w:type="dxa"/>
            <w:shd w:val="clear" w:color="auto" w:fill="auto"/>
            <w:vAlign w:val="center"/>
          </w:tcPr>
          <w:p w14:paraId="15D0C757" w14:textId="61043878" w:rsidR="007D090A" w:rsidRPr="00B0328C" w:rsidRDefault="007D090A" w:rsidP="007D090A">
            <w:pPr>
              <w:pStyle w:val="ListParagraph"/>
              <w:keepLines/>
              <w:ind w:left="0"/>
              <w:jc w:val="center"/>
              <w:rPr>
                <w:rFonts w:asciiTheme="minorHAnsi" w:hAnsiTheme="minorHAnsi" w:cstheme="minorHAnsi"/>
                <w:snapToGrid w:val="0"/>
                <w:sz w:val="18"/>
                <w:szCs w:val="18"/>
                <w:highlight w:val="yellow"/>
                <w:lang w:eastAsia="en-US"/>
              </w:rPr>
            </w:pPr>
            <w:r w:rsidRPr="00B0328C">
              <w:rPr>
                <w:rFonts w:asciiTheme="minorHAnsi" w:hAnsiTheme="minorHAnsi" w:cstheme="minorHAnsi"/>
                <w:color w:val="000000"/>
                <w:sz w:val="18"/>
                <w:szCs w:val="18"/>
              </w:rPr>
              <w:t>Recommended</w:t>
            </w:r>
          </w:p>
        </w:tc>
        <w:tc>
          <w:tcPr>
            <w:tcW w:w="4336" w:type="dxa"/>
            <w:shd w:val="clear" w:color="auto" w:fill="auto"/>
            <w:vAlign w:val="center"/>
          </w:tcPr>
          <w:p w14:paraId="057C1BB8" w14:textId="41C45B80" w:rsidR="001628AD" w:rsidRPr="0088248D" w:rsidRDefault="007D090A" w:rsidP="00320A02">
            <w:pPr>
              <w:rPr>
                <w:highlight w:val="yellow"/>
              </w:rPr>
            </w:pPr>
            <w:r w:rsidRPr="00B0328C">
              <w:rPr>
                <w:rFonts w:asciiTheme="minorHAnsi" w:hAnsiTheme="minorHAnsi" w:cstheme="minorHAnsi"/>
                <w:color w:val="000000"/>
                <w:sz w:val="18"/>
                <w:szCs w:val="18"/>
              </w:rPr>
              <w:t>The PBAC recommended that 20-valent pneumococcal conjugate vaccine (20vPCV, Prevenar 20</w:t>
            </w:r>
            <w:r w:rsidR="004028FD">
              <w:rPr>
                <w:rFonts w:asciiTheme="minorHAnsi" w:hAnsiTheme="minorHAnsi" w:cstheme="minorHAnsi"/>
                <w:color w:val="000000"/>
                <w:sz w:val="18"/>
                <w:szCs w:val="18"/>
              </w:rPr>
              <w:t>®</w:t>
            </w:r>
            <w:r w:rsidRPr="00B0328C">
              <w:rPr>
                <w:rFonts w:asciiTheme="minorHAnsi" w:hAnsiTheme="minorHAnsi" w:cstheme="minorHAnsi"/>
                <w:color w:val="000000"/>
                <w:sz w:val="18"/>
                <w:szCs w:val="18"/>
              </w:rPr>
              <w:t>) be a designated vaccine for the purposes of the</w:t>
            </w:r>
            <w:r w:rsidRPr="0004257E">
              <w:rPr>
                <w:rFonts w:asciiTheme="minorHAnsi" w:hAnsiTheme="minorHAnsi" w:cstheme="minorHAnsi"/>
                <w:i/>
                <w:iCs/>
                <w:color w:val="000000"/>
                <w:sz w:val="18"/>
                <w:szCs w:val="18"/>
              </w:rPr>
              <w:t xml:space="preserve"> National Health Act 1953</w:t>
            </w:r>
            <w:r w:rsidRPr="00B0328C">
              <w:rPr>
                <w:rFonts w:asciiTheme="minorHAnsi" w:hAnsiTheme="minorHAnsi" w:cstheme="minorHAnsi"/>
                <w:color w:val="000000"/>
                <w:sz w:val="18"/>
                <w:szCs w:val="18"/>
              </w:rPr>
              <w:t xml:space="preserve">, for the prevention of pneumococcal disease in individuals with an at-risk condition aged </w:t>
            </w:r>
            <w:r w:rsidR="00D00FF7" w:rsidRPr="00B0328C">
              <w:rPr>
                <w:rFonts w:asciiTheme="minorHAnsi" w:hAnsiTheme="minorHAnsi" w:cstheme="minorHAnsi"/>
                <w:color w:val="000000"/>
                <w:sz w:val="18"/>
                <w:szCs w:val="18"/>
              </w:rPr>
              <w:t>≥</w:t>
            </w:r>
            <w:r w:rsidR="00D00FF7">
              <w:rPr>
                <w:rFonts w:asciiTheme="minorHAnsi" w:hAnsiTheme="minorHAnsi" w:cstheme="minorHAnsi"/>
                <w:color w:val="000000"/>
                <w:sz w:val="18"/>
                <w:szCs w:val="18"/>
              </w:rPr>
              <w:t> </w:t>
            </w:r>
            <w:r w:rsidRPr="00B0328C">
              <w:rPr>
                <w:rFonts w:asciiTheme="minorHAnsi" w:hAnsiTheme="minorHAnsi" w:cstheme="minorHAnsi"/>
                <w:color w:val="000000"/>
                <w:sz w:val="18"/>
                <w:szCs w:val="18"/>
              </w:rPr>
              <w:t>18</w:t>
            </w:r>
            <w:r w:rsidR="00CA3AC7">
              <w:rPr>
                <w:rFonts w:asciiTheme="minorHAnsi" w:hAnsiTheme="minorHAnsi" w:cstheme="minorHAnsi"/>
                <w:color w:val="000000"/>
                <w:sz w:val="18"/>
                <w:szCs w:val="18"/>
              </w:rPr>
              <w:t> </w:t>
            </w:r>
            <w:r w:rsidRPr="00B0328C">
              <w:rPr>
                <w:rFonts w:asciiTheme="minorHAnsi" w:hAnsiTheme="minorHAnsi" w:cstheme="minorHAnsi"/>
                <w:color w:val="000000"/>
                <w:sz w:val="18"/>
                <w:szCs w:val="18"/>
              </w:rPr>
              <w:t>years, non-Indigenous adults aged ≥</w:t>
            </w:r>
            <w:r w:rsidR="00D00FF7">
              <w:rPr>
                <w:rFonts w:asciiTheme="minorHAnsi" w:hAnsiTheme="minorHAnsi" w:cstheme="minorHAnsi"/>
                <w:color w:val="000000"/>
                <w:sz w:val="18"/>
                <w:szCs w:val="18"/>
              </w:rPr>
              <w:t> </w:t>
            </w:r>
            <w:r w:rsidRPr="00B0328C">
              <w:rPr>
                <w:rFonts w:asciiTheme="minorHAnsi" w:hAnsiTheme="minorHAnsi" w:cstheme="minorHAnsi"/>
                <w:color w:val="000000"/>
                <w:sz w:val="18"/>
                <w:szCs w:val="18"/>
              </w:rPr>
              <w:t>70</w:t>
            </w:r>
            <w:r w:rsidR="00CA3AC7">
              <w:rPr>
                <w:rFonts w:asciiTheme="minorHAnsi" w:hAnsiTheme="minorHAnsi" w:cstheme="minorHAnsi"/>
                <w:color w:val="000000"/>
                <w:sz w:val="18"/>
                <w:szCs w:val="18"/>
              </w:rPr>
              <w:t> </w:t>
            </w:r>
            <w:r w:rsidRPr="00B0328C">
              <w:rPr>
                <w:rFonts w:asciiTheme="minorHAnsi" w:hAnsiTheme="minorHAnsi" w:cstheme="minorHAnsi"/>
                <w:color w:val="000000"/>
                <w:sz w:val="18"/>
                <w:szCs w:val="18"/>
              </w:rPr>
              <w:t>years and Aboriginal and Torres Strait Islander adults aged ≥</w:t>
            </w:r>
            <w:r w:rsidR="00D00FF7">
              <w:rPr>
                <w:rFonts w:asciiTheme="minorHAnsi" w:hAnsiTheme="minorHAnsi" w:cstheme="minorHAnsi"/>
                <w:color w:val="000000"/>
                <w:sz w:val="18"/>
                <w:szCs w:val="18"/>
              </w:rPr>
              <w:t> </w:t>
            </w:r>
            <w:r w:rsidRPr="00B0328C">
              <w:rPr>
                <w:rFonts w:asciiTheme="minorHAnsi" w:hAnsiTheme="minorHAnsi" w:cstheme="minorHAnsi"/>
                <w:color w:val="000000"/>
                <w:sz w:val="18"/>
                <w:szCs w:val="18"/>
              </w:rPr>
              <w:t>25</w:t>
            </w:r>
            <w:r w:rsidR="00CA3AC7">
              <w:rPr>
                <w:rFonts w:asciiTheme="minorHAnsi" w:hAnsiTheme="minorHAnsi" w:cstheme="minorHAnsi"/>
                <w:color w:val="000000"/>
                <w:sz w:val="18"/>
                <w:szCs w:val="18"/>
              </w:rPr>
              <w:t> </w:t>
            </w:r>
            <w:r w:rsidRPr="00B0328C">
              <w:rPr>
                <w:rFonts w:asciiTheme="minorHAnsi" w:hAnsiTheme="minorHAnsi" w:cstheme="minorHAnsi"/>
                <w:color w:val="000000"/>
                <w:sz w:val="18"/>
                <w:szCs w:val="18"/>
              </w:rPr>
              <w:t>years. The PBAC’s recommendation for listing the existing NIP populations (individuals with an at-risk condition aged ≥</w:t>
            </w:r>
            <w:r w:rsidR="00D00FF7">
              <w:rPr>
                <w:rFonts w:asciiTheme="minorHAnsi" w:hAnsiTheme="minorHAnsi" w:cstheme="minorHAnsi"/>
                <w:color w:val="000000"/>
                <w:sz w:val="18"/>
                <w:szCs w:val="18"/>
              </w:rPr>
              <w:t> </w:t>
            </w:r>
            <w:r w:rsidRPr="00B0328C">
              <w:rPr>
                <w:rFonts w:asciiTheme="minorHAnsi" w:hAnsiTheme="minorHAnsi" w:cstheme="minorHAnsi"/>
                <w:color w:val="000000"/>
                <w:sz w:val="18"/>
                <w:szCs w:val="18"/>
              </w:rPr>
              <w:t>18</w:t>
            </w:r>
            <w:r w:rsidR="00CA3AC7">
              <w:rPr>
                <w:rFonts w:asciiTheme="minorHAnsi" w:hAnsiTheme="minorHAnsi" w:cstheme="minorHAnsi"/>
                <w:color w:val="000000"/>
                <w:sz w:val="18"/>
                <w:szCs w:val="18"/>
              </w:rPr>
              <w:t> </w:t>
            </w:r>
            <w:r w:rsidRPr="00B0328C">
              <w:rPr>
                <w:rFonts w:asciiTheme="minorHAnsi" w:hAnsiTheme="minorHAnsi" w:cstheme="minorHAnsi"/>
                <w:color w:val="000000"/>
                <w:sz w:val="18"/>
                <w:szCs w:val="18"/>
              </w:rPr>
              <w:t>years, non-Indigenous adults aged ≥</w:t>
            </w:r>
            <w:r w:rsidR="00D00FF7">
              <w:rPr>
                <w:rFonts w:asciiTheme="minorHAnsi" w:hAnsiTheme="minorHAnsi" w:cstheme="minorHAnsi"/>
                <w:color w:val="000000"/>
                <w:sz w:val="18"/>
                <w:szCs w:val="18"/>
              </w:rPr>
              <w:t> </w:t>
            </w:r>
            <w:r w:rsidRPr="0088248D">
              <w:rPr>
                <w:rFonts w:asciiTheme="minorHAnsi" w:hAnsiTheme="minorHAnsi" w:cstheme="minorHAnsi"/>
                <w:color w:val="000000"/>
                <w:sz w:val="18"/>
                <w:szCs w:val="18"/>
              </w:rPr>
              <w:t>70</w:t>
            </w:r>
            <w:r w:rsidR="00CA3AC7">
              <w:rPr>
                <w:rFonts w:asciiTheme="minorHAnsi" w:hAnsiTheme="minorHAnsi" w:cstheme="minorHAnsi"/>
                <w:color w:val="000000"/>
                <w:sz w:val="18"/>
                <w:szCs w:val="18"/>
              </w:rPr>
              <w:t> </w:t>
            </w:r>
            <w:r w:rsidRPr="0088248D">
              <w:rPr>
                <w:rFonts w:asciiTheme="minorHAnsi" w:hAnsiTheme="minorHAnsi" w:cstheme="minorHAnsi"/>
                <w:color w:val="000000"/>
                <w:sz w:val="18"/>
                <w:szCs w:val="18"/>
              </w:rPr>
              <w:t>years and Aboriginal and Torres Strait Islander adults aged ≥</w:t>
            </w:r>
            <w:r w:rsidR="00D00FF7">
              <w:rPr>
                <w:rFonts w:asciiTheme="minorHAnsi" w:hAnsiTheme="minorHAnsi" w:cstheme="minorHAnsi"/>
                <w:color w:val="000000"/>
                <w:sz w:val="18"/>
                <w:szCs w:val="18"/>
              </w:rPr>
              <w:t> </w:t>
            </w:r>
            <w:r w:rsidRPr="0088248D">
              <w:rPr>
                <w:rFonts w:asciiTheme="minorHAnsi" w:hAnsiTheme="minorHAnsi" w:cstheme="minorHAnsi"/>
                <w:color w:val="000000"/>
                <w:sz w:val="18"/>
                <w:szCs w:val="18"/>
              </w:rPr>
              <w:t>50</w:t>
            </w:r>
            <w:r w:rsidR="00CA3AC7">
              <w:rPr>
                <w:rFonts w:asciiTheme="minorHAnsi" w:hAnsiTheme="minorHAnsi" w:cstheme="minorHAnsi"/>
                <w:color w:val="000000"/>
                <w:sz w:val="18"/>
                <w:szCs w:val="18"/>
              </w:rPr>
              <w:t> </w:t>
            </w:r>
            <w:r w:rsidRPr="0088248D">
              <w:rPr>
                <w:rFonts w:asciiTheme="minorHAnsi" w:hAnsiTheme="minorHAnsi" w:cstheme="minorHAnsi"/>
                <w:color w:val="000000"/>
                <w:sz w:val="18"/>
                <w:szCs w:val="18"/>
              </w:rPr>
              <w:t>years) was based on, among other matters, its assessment that the cost-effectiveness of 20vPCV would be acceptable if it were cost-minimised against the nominated comparators, 13-valent pneumococcal conjugate vaccine (Prevenar 13</w:t>
            </w:r>
            <w:r w:rsidR="004028FD">
              <w:rPr>
                <w:rFonts w:asciiTheme="minorHAnsi" w:hAnsiTheme="minorHAnsi" w:cstheme="minorHAnsi"/>
                <w:color w:val="000000"/>
                <w:sz w:val="18"/>
                <w:szCs w:val="18"/>
              </w:rPr>
              <w:t>®</w:t>
            </w:r>
            <w:r w:rsidRPr="0088248D">
              <w:rPr>
                <w:rFonts w:asciiTheme="minorHAnsi" w:hAnsiTheme="minorHAnsi" w:cstheme="minorHAnsi"/>
                <w:color w:val="000000"/>
                <w:sz w:val="18"/>
                <w:szCs w:val="18"/>
              </w:rPr>
              <w:t>) and 15-valent pneumococcal conjugate vaccine (Vaxneuvanc</w:t>
            </w:r>
            <w:r w:rsidR="00AD280C">
              <w:rPr>
                <w:rFonts w:asciiTheme="minorHAnsi" w:hAnsiTheme="minorHAnsi" w:cstheme="minorHAnsi"/>
                <w:color w:val="000000"/>
                <w:sz w:val="18"/>
                <w:szCs w:val="18"/>
              </w:rPr>
              <w:t>e®</w:t>
            </w:r>
            <w:r w:rsidRPr="0088248D">
              <w:rPr>
                <w:rFonts w:asciiTheme="minorHAnsi" w:hAnsiTheme="minorHAnsi" w:cstheme="minorHAnsi"/>
                <w:color w:val="000000"/>
                <w:sz w:val="18"/>
                <w:szCs w:val="18"/>
              </w:rPr>
              <w:t>). The PBAC acknowledged the disproportionately high burden of pneumococcal disease in the proposed expanded NIP population, Aboriginal and Torres Strait Islander adults aged 25</w:t>
            </w:r>
            <w:r w:rsidR="00CF6EB7">
              <w:rPr>
                <w:rFonts w:asciiTheme="minorHAnsi" w:hAnsiTheme="minorHAnsi" w:cstheme="minorHAnsi"/>
                <w:color w:val="000000"/>
                <w:sz w:val="18"/>
                <w:szCs w:val="18"/>
              </w:rPr>
              <w:t> </w:t>
            </w:r>
            <w:r w:rsidRPr="0088248D">
              <w:rPr>
                <w:rFonts w:asciiTheme="minorHAnsi" w:hAnsiTheme="minorHAnsi" w:cstheme="minorHAnsi"/>
                <w:color w:val="000000"/>
                <w:sz w:val="18"/>
                <w:szCs w:val="18"/>
              </w:rPr>
              <w:t>-</w:t>
            </w:r>
            <w:r w:rsidR="00CF6EB7">
              <w:rPr>
                <w:rFonts w:asciiTheme="minorHAnsi" w:hAnsiTheme="minorHAnsi" w:cstheme="minorHAnsi"/>
                <w:color w:val="000000"/>
                <w:sz w:val="18"/>
                <w:szCs w:val="18"/>
              </w:rPr>
              <w:t> </w:t>
            </w:r>
            <w:r w:rsidRPr="0088248D">
              <w:rPr>
                <w:rFonts w:asciiTheme="minorHAnsi" w:hAnsiTheme="minorHAnsi" w:cstheme="minorHAnsi"/>
                <w:color w:val="000000"/>
                <w:sz w:val="18"/>
                <w:szCs w:val="18"/>
              </w:rPr>
              <w:t>49</w:t>
            </w:r>
            <w:r w:rsidR="00CF6EB7">
              <w:rPr>
                <w:rFonts w:asciiTheme="minorHAnsi" w:hAnsiTheme="minorHAnsi" w:cstheme="minorHAnsi"/>
                <w:color w:val="000000"/>
                <w:sz w:val="18"/>
                <w:szCs w:val="18"/>
              </w:rPr>
              <w:t> </w:t>
            </w:r>
            <w:r w:rsidRPr="0088248D">
              <w:rPr>
                <w:rFonts w:asciiTheme="minorHAnsi" w:hAnsiTheme="minorHAnsi" w:cstheme="minorHAnsi"/>
                <w:color w:val="000000"/>
                <w:sz w:val="18"/>
                <w:szCs w:val="18"/>
              </w:rPr>
              <w:t>years, and recommended listing on the basis that 20vPCV, with or without one or two subsequent doses of 23vPPV, would be cost-effective at the cost per dose proposed in the sponsor’s pre-PBAC response.</w:t>
            </w:r>
          </w:p>
        </w:tc>
      </w:tr>
      <w:tr w:rsidR="007D090A" w:rsidRPr="00544497" w14:paraId="79287577" w14:textId="77777777" w:rsidTr="0088248D">
        <w:trPr>
          <w:cantSplit/>
          <w:trHeight w:val="2948"/>
          <w:jc w:val="center"/>
        </w:trPr>
        <w:tc>
          <w:tcPr>
            <w:tcW w:w="3013" w:type="dxa"/>
            <w:shd w:val="clear" w:color="auto" w:fill="auto"/>
            <w:tcMar>
              <w:top w:w="28" w:type="dxa"/>
              <w:bottom w:w="28" w:type="dxa"/>
            </w:tcMar>
            <w:vAlign w:val="center"/>
          </w:tcPr>
          <w:p w14:paraId="3F8122AD" w14:textId="2E8816AC" w:rsidR="007D090A" w:rsidRPr="0088248D" w:rsidRDefault="007D090A" w:rsidP="007D090A">
            <w:pPr>
              <w:keepLines/>
              <w:jc w:val="center"/>
              <w:rPr>
                <w:rFonts w:asciiTheme="minorHAnsi" w:hAnsiTheme="minorHAnsi" w:cstheme="minorHAnsi"/>
                <w:sz w:val="18"/>
                <w:szCs w:val="18"/>
                <w:highlight w:val="yellow"/>
              </w:rPr>
            </w:pPr>
            <w:r w:rsidRPr="00B0328C">
              <w:rPr>
                <w:rFonts w:asciiTheme="minorHAnsi" w:hAnsiTheme="minorHAnsi" w:cstheme="minorHAnsi"/>
                <w:color w:val="000000"/>
                <w:sz w:val="18"/>
                <w:szCs w:val="18"/>
              </w:rPr>
              <w:lastRenderedPageBreak/>
              <w:t>POLATUZUMAB VEDOTIN</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 xml:space="preserve">Powder for I.V. infusion </w:t>
            </w:r>
            <w:r w:rsidR="00D00FF7" w:rsidRPr="00B0328C">
              <w:rPr>
                <w:rFonts w:asciiTheme="minorHAnsi" w:hAnsiTheme="minorHAnsi" w:cstheme="minorHAnsi"/>
                <w:color w:val="000000"/>
                <w:sz w:val="18"/>
                <w:szCs w:val="18"/>
              </w:rPr>
              <w:t>30</w:t>
            </w:r>
            <w:r w:rsidR="00D00FF7">
              <w:rPr>
                <w:rFonts w:asciiTheme="minorHAnsi" w:hAnsiTheme="minorHAnsi" w:cstheme="minorHAnsi"/>
                <w:color w:val="000000"/>
                <w:sz w:val="18"/>
                <w:szCs w:val="18"/>
              </w:rPr>
              <w:t> </w:t>
            </w:r>
            <w:r w:rsidRPr="00B0328C">
              <w:rPr>
                <w:rFonts w:asciiTheme="minorHAnsi" w:hAnsiTheme="minorHAnsi" w:cstheme="minorHAnsi"/>
                <w:color w:val="000000"/>
                <w:sz w:val="18"/>
                <w:szCs w:val="18"/>
              </w:rPr>
              <w:t xml:space="preserve">mg </w:t>
            </w:r>
            <w:r w:rsidRPr="00B0328C">
              <w:rPr>
                <w:rFonts w:asciiTheme="minorHAnsi" w:hAnsiTheme="minorHAnsi" w:cstheme="minorHAnsi"/>
                <w:color w:val="000000"/>
                <w:sz w:val="18"/>
                <w:szCs w:val="18"/>
              </w:rPr>
              <w:br/>
              <w:t>Powder for I.V. infusion 140</w:t>
            </w:r>
            <w:r w:rsidR="00D00FF7">
              <w:rPr>
                <w:rFonts w:asciiTheme="minorHAnsi" w:hAnsiTheme="minorHAnsi" w:cstheme="minorHAnsi"/>
                <w:color w:val="000000"/>
                <w:sz w:val="18"/>
                <w:szCs w:val="18"/>
              </w:rPr>
              <w:t> </w:t>
            </w:r>
            <w:r w:rsidRPr="0088248D">
              <w:rPr>
                <w:rFonts w:asciiTheme="minorHAnsi" w:hAnsiTheme="minorHAnsi" w:cstheme="minorHAnsi"/>
                <w:color w:val="000000"/>
                <w:sz w:val="18"/>
                <w:szCs w:val="18"/>
              </w:rPr>
              <w:t>mg</w:t>
            </w:r>
            <w:r w:rsidRPr="0088248D">
              <w:rPr>
                <w:rFonts w:asciiTheme="minorHAnsi" w:hAnsiTheme="minorHAnsi" w:cstheme="minorHAnsi"/>
                <w:color w:val="000000"/>
                <w:sz w:val="18"/>
                <w:szCs w:val="18"/>
              </w:rPr>
              <w:br/>
            </w:r>
            <w:r w:rsidRPr="0088248D">
              <w:rPr>
                <w:rFonts w:asciiTheme="minorHAnsi" w:hAnsiTheme="minorHAnsi" w:cstheme="minorHAnsi"/>
                <w:color w:val="000000"/>
                <w:sz w:val="18"/>
                <w:szCs w:val="18"/>
              </w:rPr>
              <w:br/>
              <w:t>Polivy®</w:t>
            </w:r>
            <w:r w:rsidRPr="0088248D">
              <w:rPr>
                <w:rFonts w:asciiTheme="minorHAnsi" w:hAnsiTheme="minorHAnsi" w:cstheme="minorHAnsi"/>
                <w:color w:val="000000"/>
                <w:sz w:val="18"/>
                <w:szCs w:val="18"/>
              </w:rPr>
              <w:br/>
            </w:r>
            <w:r w:rsidRPr="0088248D">
              <w:rPr>
                <w:rFonts w:asciiTheme="minorHAnsi" w:hAnsiTheme="minorHAnsi" w:cstheme="minorHAnsi"/>
                <w:color w:val="000000"/>
                <w:sz w:val="18"/>
                <w:szCs w:val="18"/>
              </w:rPr>
              <w:br/>
              <w:t>ROCHE PRODUCTS PTY LTD</w:t>
            </w:r>
            <w:r w:rsidRPr="0088248D">
              <w:rPr>
                <w:rFonts w:asciiTheme="minorHAnsi" w:hAnsiTheme="minorHAnsi" w:cstheme="minorHAnsi"/>
                <w:color w:val="000000"/>
                <w:sz w:val="18"/>
                <w:szCs w:val="18"/>
              </w:rPr>
              <w:br/>
            </w:r>
            <w:r w:rsidRPr="0088248D">
              <w:rPr>
                <w:rFonts w:asciiTheme="minorHAnsi" w:hAnsiTheme="minorHAnsi" w:cstheme="minorHAnsi"/>
                <w:color w:val="000000"/>
                <w:sz w:val="18"/>
                <w:szCs w:val="18"/>
              </w:rPr>
              <w:br/>
              <w:t>Category 2 submission</w:t>
            </w:r>
            <w:r w:rsidRPr="0088248D">
              <w:rPr>
                <w:rFonts w:asciiTheme="minorHAnsi" w:hAnsiTheme="minorHAnsi" w:cstheme="minorHAnsi"/>
                <w:color w:val="000000"/>
                <w:sz w:val="18"/>
                <w:szCs w:val="18"/>
              </w:rPr>
              <w:br/>
              <w:t>(New PBS listing)</w:t>
            </w:r>
          </w:p>
        </w:tc>
        <w:tc>
          <w:tcPr>
            <w:tcW w:w="2764" w:type="dxa"/>
            <w:shd w:val="clear" w:color="auto" w:fill="auto"/>
            <w:vAlign w:val="center"/>
          </w:tcPr>
          <w:p w14:paraId="581C2867" w14:textId="04D4ED74" w:rsidR="007D090A" w:rsidRPr="0088248D" w:rsidRDefault="007D090A" w:rsidP="007D090A">
            <w:pPr>
              <w:keepLines/>
              <w:widowControl w:val="0"/>
              <w:jc w:val="center"/>
              <w:rPr>
                <w:rFonts w:asciiTheme="minorHAnsi" w:hAnsiTheme="minorHAnsi" w:cstheme="minorHAnsi"/>
                <w:snapToGrid w:val="0"/>
                <w:sz w:val="18"/>
                <w:szCs w:val="18"/>
                <w:lang w:eastAsia="en-US"/>
              </w:rPr>
            </w:pPr>
            <w:r w:rsidRPr="0088248D">
              <w:rPr>
                <w:rFonts w:asciiTheme="minorHAnsi" w:hAnsiTheme="minorHAnsi" w:cstheme="minorHAnsi"/>
                <w:color w:val="000000"/>
                <w:sz w:val="18"/>
                <w:szCs w:val="18"/>
              </w:rPr>
              <w:t>Diffuse large B-Cell lymphoma</w:t>
            </w:r>
          </w:p>
        </w:tc>
        <w:tc>
          <w:tcPr>
            <w:tcW w:w="3288" w:type="dxa"/>
            <w:shd w:val="clear" w:color="auto" w:fill="auto"/>
            <w:tcMar>
              <w:top w:w="28" w:type="dxa"/>
              <w:bottom w:w="28" w:type="dxa"/>
            </w:tcMar>
            <w:vAlign w:val="center"/>
          </w:tcPr>
          <w:p w14:paraId="4B46E44A" w14:textId="2E2751C9" w:rsidR="007D090A" w:rsidRPr="0088248D" w:rsidRDefault="007D090A" w:rsidP="007D090A">
            <w:pPr>
              <w:pStyle w:val="ListParagraph"/>
              <w:keepLines/>
              <w:ind w:left="0"/>
              <w:jc w:val="center"/>
              <w:rPr>
                <w:rFonts w:asciiTheme="minorHAnsi" w:hAnsiTheme="minorHAnsi" w:cstheme="minorHAnsi"/>
                <w:snapToGrid w:val="0"/>
                <w:sz w:val="18"/>
                <w:szCs w:val="18"/>
                <w:lang w:eastAsia="en-US"/>
              </w:rPr>
            </w:pPr>
            <w:r w:rsidRPr="0088248D">
              <w:rPr>
                <w:rFonts w:asciiTheme="minorHAnsi" w:hAnsiTheme="minorHAnsi" w:cstheme="minorHAnsi"/>
                <w:color w:val="000000"/>
                <w:sz w:val="18"/>
                <w:szCs w:val="18"/>
              </w:rPr>
              <w:t>To request a Section 100 (Efficient Funding of Chemotherapy Program) Authority Required (STREAMLINED) listing for use in combination with rituximab, cyclophosphamide, doxorubicin and prednisone, for the treatment of previously untreated diffuse large B-cell lymphoma.</w:t>
            </w:r>
          </w:p>
        </w:tc>
        <w:tc>
          <w:tcPr>
            <w:tcW w:w="1987" w:type="dxa"/>
            <w:shd w:val="clear" w:color="auto" w:fill="auto"/>
            <w:vAlign w:val="center"/>
          </w:tcPr>
          <w:p w14:paraId="79B0C1CC" w14:textId="3B8869E4" w:rsidR="007D090A" w:rsidRPr="0088248D" w:rsidRDefault="007D090A" w:rsidP="007D090A">
            <w:pPr>
              <w:pStyle w:val="ListParagraph"/>
              <w:keepLines/>
              <w:ind w:left="0"/>
              <w:jc w:val="center"/>
              <w:rPr>
                <w:rFonts w:asciiTheme="minorHAnsi" w:hAnsiTheme="minorHAnsi" w:cstheme="minorHAnsi"/>
                <w:snapToGrid w:val="0"/>
                <w:sz w:val="18"/>
                <w:szCs w:val="18"/>
                <w:lang w:eastAsia="en-US"/>
              </w:rPr>
            </w:pPr>
            <w:r w:rsidRPr="0088248D">
              <w:rPr>
                <w:rFonts w:asciiTheme="minorHAnsi" w:hAnsiTheme="minorHAnsi" w:cstheme="minorHAnsi"/>
                <w:color w:val="000000"/>
                <w:sz w:val="18"/>
                <w:szCs w:val="18"/>
              </w:rPr>
              <w:t>Not Recommended</w:t>
            </w:r>
          </w:p>
        </w:tc>
        <w:tc>
          <w:tcPr>
            <w:tcW w:w="4336" w:type="dxa"/>
            <w:shd w:val="clear" w:color="auto" w:fill="auto"/>
            <w:vAlign w:val="center"/>
          </w:tcPr>
          <w:p w14:paraId="75738F54" w14:textId="1CB438E2" w:rsidR="007D090A" w:rsidRPr="0088248D" w:rsidRDefault="00AF1E36" w:rsidP="007D090A">
            <w:pPr>
              <w:keepLines/>
              <w:rPr>
                <w:rFonts w:asciiTheme="minorHAnsi" w:hAnsiTheme="minorHAnsi" w:cstheme="minorHAnsi"/>
                <w:color w:val="000000"/>
                <w:sz w:val="18"/>
                <w:szCs w:val="18"/>
              </w:rPr>
            </w:pPr>
            <w:r w:rsidRPr="0088248D">
              <w:rPr>
                <w:rFonts w:asciiTheme="minorHAnsi" w:hAnsiTheme="minorHAnsi" w:cstheme="minorHAnsi"/>
                <w:color w:val="000000"/>
                <w:sz w:val="18"/>
                <w:szCs w:val="18"/>
              </w:rPr>
              <w:t>The PBAC did not recommend the listing of polatuzumab vedotin in combination with rituximab plus cyclophosphamide, doxorubicin and prednisone (Pola+R-CHP) for the treatment of diffuse large B</w:t>
            </w:r>
            <w:r w:rsidR="00CA3AC7">
              <w:rPr>
                <w:rFonts w:asciiTheme="minorHAnsi" w:hAnsiTheme="minorHAnsi" w:cstheme="minorHAnsi"/>
                <w:color w:val="000000"/>
                <w:sz w:val="18"/>
                <w:szCs w:val="18"/>
              </w:rPr>
              <w:t>-</w:t>
            </w:r>
            <w:r w:rsidRPr="0088248D">
              <w:rPr>
                <w:rFonts w:asciiTheme="minorHAnsi" w:hAnsiTheme="minorHAnsi" w:cstheme="minorHAnsi"/>
                <w:color w:val="000000"/>
                <w:sz w:val="18"/>
                <w:szCs w:val="18"/>
              </w:rPr>
              <w:t>cell lymphoma (DLBCL) in previously untreated patients with an international prognostic index (IPI) score of 3-5. The PBAC considered that Pola+R-CHP did not provide a benefit compared to the comparator, rituximab plus cyclophosphamide, doxorubicin, vincristine and prednisone (R-CHOP), in terms of overall survival and overall response rate. In addition, the PBAC considered that the estimated incremental cost</w:t>
            </w:r>
            <w:r w:rsidR="00503C6D">
              <w:rPr>
                <w:rFonts w:asciiTheme="minorHAnsi" w:hAnsiTheme="minorHAnsi" w:cstheme="minorHAnsi"/>
                <w:color w:val="000000"/>
                <w:sz w:val="18"/>
                <w:szCs w:val="18"/>
              </w:rPr>
              <w:t>-</w:t>
            </w:r>
            <w:r w:rsidRPr="0088248D">
              <w:rPr>
                <w:rFonts w:asciiTheme="minorHAnsi" w:hAnsiTheme="minorHAnsi" w:cstheme="minorHAnsi"/>
                <w:color w:val="000000"/>
                <w:sz w:val="18"/>
                <w:szCs w:val="18"/>
              </w:rPr>
              <w:t>effectiveness ratio was optimistic and the financial impact of listing polatuzumab vedotin was high.</w:t>
            </w:r>
          </w:p>
          <w:p w14:paraId="0649E7EB" w14:textId="77777777" w:rsidR="00AF1E36" w:rsidRPr="0088248D" w:rsidRDefault="00AF1E36" w:rsidP="007D090A">
            <w:pPr>
              <w:keepLines/>
              <w:rPr>
                <w:rFonts w:asciiTheme="minorHAnsi" w:hAnsiTheme="minorHAnsi" w:cstheme="minorHAnsi"/>
                <w:color w:val="000000"/>
                <w:sz w:val="18"/>
                <w:szCs w:val="18"/>
                <w:u w:val="single"/>
              </w:rPr>
            </w:pPr>
          </w:p>
          <w:p w14:paraId="1ED975D1" w14:textId="77777777" w:rsidR="007D090A" w:rsidRDefault="007D090A" w:rsidP="007D090A">
            <w:pPr>
              <w:pStyle w:val="ListParagraph"/>
              <w:keepLines/>
              <w:ind w:left="0"/>
              <w:rPr>
                <w:rFonts w:asciiTheme="minorHAnsi" w:hAnsiTheme="minorHAnsi" w:cstheme="minorHAnsi"/>
                <w:color w:val="000000"/>
                <w:sz w:val="18"/>
                <w:szCs w:val="18"/>
              </w:rPr>
            </w:pPr>
            <w:r w:rsidRPr="0088248D">
              <w:rPr>
                <w:rFonts w:asciiTheme="minorHAnsi" w:hAnsiTheme="minorHAnsi" w:cstheme="minorHAnsi"/>
                <w:color w:val="000000"/>
                <w:sz w:val="18"/>
                <w:szCs w:val="18"/>
                <w:u w:val="single"/>
              </w:rPr>
              <w:t>Sponsor’s Comment:</w:t>
            </w:r>
          </w:p>
          <w:p w14:paraId="0D07A3ED" w14:textId="6994A1BC" w:rsidR="00434C7F" w:rsidRPr="00434C7F" w:rsidRDefault="00434C7F" w:rsidP="007D090A">
            <w:pPr>
              <w:pStyle w:val="ListParagraph"/>
              <w:keepLines/>
              <w:ind w:left="0"/>
              <w:rPr>
                <w:rFonts w:asciiTheme="minorHAnsi" w:hAnsiTheme="minorHAnsi" w:cstheme="minorHAnsi"/>
                <w:color w:val="000000"/>
                <w:sz w:val="18"/>
                <w:szCs w:val="18"/>
              </w:rPr>
            </w:pPr>
            <w:r>
              <w:rPr>
                <w:rFonts w:asciiTheme="minorHAnsi" w:hAnsiTheme="minorHAnsi" w:cstheme="minorHAnsi"/>
                <w:color w:val="000000"/>
                <w:sz w:val="18"/>
                <w:szCs w:val="18"/>
              </w:rPr>
              <w:t xml:space="preserve">The </w:t>
            </w:r>
            <w:r w:rsidR="00D96248">
              <w:rPr>
                <w:rFonts w:asciiTheme="minorHAnsi" w:hAnsiTheme="minorHAnsi" w:cstheme="minorHAnsi"/>
                <w:color w:val="000000"/>
                <w:sz w:val="18"/>
                <w:szCs w:val="18"/>
              </w:rPr>
              <w:t>s</w:t>
            </w:r>
            <w:r>
              <w:rPr>
                <w:rFonts w:asciiTheme="minorHAnsi" w:hAnsiTheme="minorHAnsi" w:cstheme="minorHAnsi"/>
                <w:color w:val="000000"/>
                <w:sz w:val="18"/>
                <w:szCs w:val="18"/>
              </w:rPr>
              <w:t>ponsor had no comment.</w:t>
            </w:r>
          </w:p>
        </w:tc>
      </w:tr>
      <w:tr w:rsidR="007D090A" w:rsidRPr="00544497" w14:paraId="24B09955" w14:textId="77777777" w:rsidTr="0088248D">
        <w:trPr>
          <w:cantSplit/>
          <w:trHeight w:val="2948"/>
          <w:jc w:val="center"/>
        </w:trPr>
        <w:tc>
          <w:tcPr>
            <w:tcW w:w="3013" w:type="dxa"/>
            <w:shd w:val="clear" w:color="auto" w:fill="D9D9D9" w:themeFill="background1" w:themeFillShade="D9"/>
            <w:tcMar>
              <w:top w:w="28" w:type="dxa"/>
              <w:bottom w:w="28" w:type="dxa"/>
            </w:tcMar>
            <w:vAlign w:val="center"/>
          </w:tcPr>
          <w:p w14:paraId="39B30D17" w14:textId="5865A09F" w:rsidR="007D090A" w:rsidRPr="0088248D" w:rsidRDefault="007D090A" w:rsidP="007D090A">
            <w:pPr>
              <w:keepLines/>
              <w:jc w:val="center"/>
              <w:rPr>
                <w:rFonts w:asciiTheme="minorHAnsi" w:hAnsiTheme="minorHAnsi" w:cstheme="minorHAnsi"/>
                <w:sz w:val="18"/>
                <w:szCs w:val="18"/>
                <w:highlight w:val="yellow"/>
              </w:rPr>
            </w:pPr>
            <w:bookmarkStart w:id="1" w:name="_Hlk110427501"/>
            <w:r w:rsidRPr="00B0328C">
              <w:rPr>
                <w:rFonts w:asciiTheme="minorHAnsi" w:hAnsiTheme="minorHAnsi" w:cstheme="minorHAnsi"/>
                <w:color w:val="000000"/>
                <w:sz w:val="18"/>
                <w:szCs w:val="18"/>
              </w:rPr>
              <w:t>RANIBIZUMAB</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Solution for ocular implant 39.5</w:t>
            </w:r>
            <w:r w:rsidR="00D00FF7">
              <w:rPr>
                <w:rFonts w:asciiTheme="minorHAnsi" w:hAnsiTheme="minorHAnsi" w:cstheme="minorHAnsi"/>
                <w:color w:val="000000"/>
                <w:sz w:val="18"/>
                <w:szCs w:val="18"/>
              </w:rPr>
              <w:t> </w:t>
            </w:r>
            <w:r w:rsidRPr="00B0328C">
              <w:rPr>
                <w:rFonts w:asciiTheme="minorHAnsi" w:hAnsiTheme="minorHAnsi" w:cstheme="minorHAnsi"/>
                <w:color w:val="000000"/>
                <w:sz w:val="18"/>
                <w:szCs w:val="18"/>
              </w:rPr>
              <w:t>mg in 0.395</w:t>
            </w:r>
            <w:r w:rsidR="00D00FF7">
              <w:rPr>
                <w:rFonts w:asciiTheme="minorHAnsi" w:hAnsiTheme="minorHAnsi" w:cstheme="minorHAnsi"/>
                <w:color w:val="000000"/>
                <w:sz w:val="18"/>
                <w:szCs w:val="18"/>
              </w:rPr>
              <w:t> </w:t>
            </w:r>
            <w:r w:rsidRPr="0088248D">
              <w:rPr>
                <w:rFonts w:asciiTheme="minorHAnsi" w:hAnsiTheme="minorHAnsi" w:cstheme="minorHAnsi"/>
                <w:color w:val="000000"/>
                <w:sz w:val="18"/>
                <w:szCs w:val="18"/>
              </w:rPr>
              <w:t>mL</w:t>
            </w:r>
            <w:r w:rsidRPr="0088248D">
              <w:rPr>
                <w:rFonts w:asciiTheme="minorHAnsi" w:hAnsiTheme="minorHAnsi" w:cstheme="minorHAnsi"/>
                <w:color w:val="000000"/>
                <w:sz w:val="18"/>
                <w:szCs w:val="18"/>
              </w:rPr>
              <w:br/>
            </w:r>
            <w:r w:rsidRPr="0088248D">
              <w:rPr>
                <w:rFonts w:asciiTheme="minorHAnsi" w:hAnsiTheme="minorHAnsi" w:cstheme="minorHAnsi"/>
                <w:color w:val="000000"/>
                <w:sz w:val="18"/>
                <w:szCs w:val="18"/>
              </w:rPr>
              <w:br/>
              <w:t>Susvimo®</w:t>
            </w:r>
            <w:r w:rsidRPr="0088248D">
              <w:rPr>
                <w:rFonts w:asciiTheme="minorHAnsi" w:hAnsiTheme="minorHAnsi" w:cstheme="minorHAnsi"/>
                <w:color w:val="000000"/>
                <w:sz w:val="18"/>
                <w:szCs w:val="18"/>
              </w:rPr>
              <w:br/>
            </w:r>
            <w:r w:rsidRPr="0088248D">
              <w:rPr>
                <w:rFonts w:asciiTheme="minorHAnsi" w:hAnsiTheme="minorHAnsi" w:cstheme="minorHAnsi"/>
                <w:color w:val="000000"/>
                <w:sz w:val="18"/>
                <w:szCs w:val="18"/>
              </w:rPr>
              <w:br/>
              <w:t>ROCHE PRODUCTS PTY LTD</w:t>
            </w:r>
            <w:r w:rsidRPr="0088248D">
              <w:rPr>
                <w:rFonts w:asciiTheme="minorHAnsi" w:hAnsiTheme="minorHAnsi" w:cstheme="minorHAnsi"/>
                <w:color w:val="000000"/>
                <w:sz w:val="18"/>
                <w:szCs w:val="18"/>
              </w:rPr>
              <w:br/>
            </w:r>
            <w:r w:rsidRPr="0088248D">
              <w:rPr>
                <w:rFonts w:asciiTheme="minorHAnsi" w:hAnsiTheme="minorHAnsi" w:cstheme="minorHAnsi"/>
                <w:color w:val="000000"/>
                <w:sz w:val="18"/>
                <w:szCs w:val="18"/>
              </w:rPr>
              <w:br/>
              <w:t>Matters Outstanding</w:t>
            </w:r>
            <w:r w:rsidRPr="0088248D">
              <w:rPr>
                <w:rFonts w:asciiTheme="minorHAnsi" w:hAnsiTheme="minorHAnsi" w:cstheme="minorHAnsi"/>
                <w:color w:val="000000"/>
                <w:sz w:val="18"/>
                <w:szCs w:val="18"/>
              </w:rPr>
              <w:br/>
              <w:t>(New PBS listing)</w:t>
            </w:r>
            <w:r w:rsidRPr="0088248D">
              <w:rPr>
                <w:rFonts w:asciiTheme="minorHAnsi" w:hAnsiTheme="minorHAnsi" w:cstheme="minorHAnsi"/>
                <w:color w:val="000000"/>
                <w:sz w:val="18"/>
                <w:szCs w:val="18"/>
              </w:rPr>
              <w:br/>
            </w:r>
            <w:r w:rsidRPr="0088248D">
              <w:rPr>
                <w:rFonts w:asciiTheme="minorHAnsi" w:hAnsiTheme="minorHAnsi" w:cstheme="minorHAnsi"/>
                <w:color w:val="000000"/>
                <w:sz w:val="18"/>
                <w:szCs w:val="18"/>
              </w:rPr>
              <w:br/>
              <w:t>To be considered at a future PBAC meeting</w:t>
            </w:r>
          </w:p>
        </w:tc>
        <w:tc>
          <w:tcPr>
            <w:tcW w:w="2764" w:type="dxa"/>
            <w:shd w:val="clear" w:color="auto" w:fill="D9D9D9" w:themeFill="background1" w:themeFillShade="D9"/>
            <w:vAlign w:val="center"/>
          </w:tcPr>
          <w:p w14:paraId="2509F34A" w14:textId="6B39BB7A" w:rsidR="007D090A" w:rsidRPr="0088248D" w:rsidRDefault="007D090A" w:rsidP="007D090A">
            <w:pPr>
              <w:keepLines/>
              <w:widowControl w:val="0"/>
              <w:jc w:val="center"/>
              <w:rPr>
                <w:rFonts w:asciiTheme="minorHAnsi" w:hAnsiTheme="minorHAnsi" w:cstheme="minorHAnsi"/>
                <w:snapToGrid w:val="0"/>
                <w:sz w:val="18"/>
                <w:szCs w:val="18"/>
                <w:highlight w:val="yellow"/>
                <w:lang w:eastAsia="en-US"/>
              </w:rPr>
            </w:pPr>
            <w:r w:rsidRPr="0088248D">
              <w:rPr>
                <w:rFonts w:asciiTheme="minorHAnsi" w:hAnsiTheme="minorHAnsi" w:cstheme="minorHAnsi"/>
                <w:color w:val="000000"/>
                <w:sz w:val="18"/>
                <w:szCs w:val="18"/>
              </w:rPr>
              <w:t>Neovascular (wet) age-related macular degeneration</w:t>
            </w:r>
          </w:p>
        </w:tc>
        <w:tc>
          <w:tcPr>
            <w:tcW w:w="3288" w:type="dxa"/>
            <w:shd w:val="clear" w:color="auto" w:fill="D9D9D9" w:themeFill="background1" w:themeFillShade="D9"/>
            <w:tcMar>
              <w:top w:w="28" w:type="dxa"/>
              <w:bottom w:w="28" w:type="dxa"/>
            </w:tcMar>
            <w:vAlign w:val="center"/>
          </w:tcPr>
          <w:p w14:paraId="09C71FC0" w14:textId="20DA3341" w:rsidR="007D090A" w:rsidRPr="0088248D" w:rsidRDefault="007D090A" w:rsidP="007D090A">
            <w:pPr>
              <w:pStyle w:val="ListParagraph"/>
              <w:keepLines/>
              <w:ind w:left="0"/>
              <w:jc w:val="center"/>
              <w:rPr>
                <w:rFonts w:asciiTheme="minorHAnsi" w:hAnsiTheme="minorHAnsi" w:cstheme="minorHAnsi"/>
                <w:snapToGrid w:val="0"/>
                <w:sz w:val="18"/>
                <w:szCs w:val="18"/>
                <w:highlight w:val="yellow"/>
                <w:lang w:eastAsia="en-US"/>
              </w:rPr>
            </w:pPr>
            <w:r w:rsidRPr="0088248D">
              <w:rPr>
                <w:rFonts w:asciiTheme="minorHAnsi" w:hAnsiTheme="minorHAnsi" w:cstheme="minorHAnsi"/>
                <w:color w:val="000000"/>
                <w:sz w:val="18"/>
                <w:szCs w:val="18"/>
              </w:rPr>
              <w:t>To request General Schedule Authority Required listing for the treatment of neovascular (wet) age-related macular degeneration responsive to prior anti-vascular endothelial growth factor (anti-VEGF) treatment.</w:t>
            </w:r>
          </w:p>
        </w:tc>
        <w:tc>
          <w:tcPr>
            <w:tcW w:w="1987" w:type="dxa"/>
            <w:shd w:val="clear" w:color="auto" w:fill="D9D9D9" w:themeFill="background1" w:themeFillShade="D9"/>
            <w:vAlign w:val="center"/>
          </w:tcPr>
          <w:p w14:paraId="3719AF44" w14:textId="6DED08DF" w:rsidR="007D090A" w:rsidRPr="0088248D" w:rsidRDefault="007D090A" w:rsidP="007D090A">
            <w:pPr>
              <w:pStyle w:val="ListParagraph"/>
              <w:keepLines/>
              <w:ind w:left="0"/>
              <w:jc w:val="center"/>
              <w:rPr>
                <w:rFonts w:asciiTheme="minorHAnsi" w:hAnsiTheme="minorHAnsi" w:cstheme="minorHAnsi"/>
                <w:snapToGrid w:val="0"/>
                <w:sz w:val="18"/>
                <w:szCs w:val="18"/>
                <w:highlight w:val="yellow"/>
                <w:lang w:eastAsia="en-US"/>
              </w:rPr>
            </w:pPr>
            <w:r w:rsidRPr="0088248D">
              <w:rPr>
                <w:rFonts w:asciiTheme="minorHAnsi" w:hAnsiTheme="minorHAnsi" w:cstheme="minorHAnsi"/>
                <w:color w:val="000000"/>
                <w:sz w:val="18"/>
                <w:szCs w:val="18"/>
              </w:rPr>
              <w:t>Not Applicable</w:t>
            </w:r>
          </w:p>
        </w:tc>
        <w:tc>
          <w:tcPr>
            <w:tcW w:w="4336" w:type="dxa"/>
            <w:shd w:val="clear" w:color="auto" w:fill="D9D9D9" w:themeFill="background1" w:themeFillShade="D9"/>
            <w:vAlign w:val="center"/>
          </w:tcPr>
          <w:p w14:paraId="6F65851D" w14:textId="397A3F0F" w:rsidR="007D090A" w:rsidRPr="0088248D" w:rsidRDefault="007D090A" w:rsidP="007D090A">
            <w:pPr>
              <w:pStyle w:val="ListParagraph"/>
              <w:keepLines/>
              <w:ind w:left="0"/>
              <w:rPr>
                <w:rFonts w:asciiTheme="minorHAnsi" w:hAnsiTheme="minorHAnsi" w:cstheme="minorHAnsi"/>
                <w:color w:val="000000"/>
                <w:sz w:val="18"/>
                <w:szCs w:val="18"/>
                <w:highlight w:val="yellow"/>
              </w:rPr>
            </w:pPr>
            <w:r w:rsidRPr="0088248D">
              <w:rPr>
                <w:rFonts w:asciiTheme="minorHAnsi" w:hAnsiTheme="minorHAnsi" w:cstheme="minorHAnsi"/>
                <w:color w:val="000000"/>
                <w:sz w:val="18"/>
                <w:szCs w:val="18"/>
              </w:rPr>
              <w:t>This item is to be considered at a future PBAC meeting.</w:t>
            </w:r>
          </w:p>
        </w:tc>
      </w:tr>
      <w:tr w:rsidR="007D090A" w:rsidRPr="00544497" w14:paraId="31B2F9F5" w14:textId="77777777" w:rsidTr="0088248D">
        <w:trPr>
          <w:cantSplit/>
          <w:trHeight w:val="2948"/>
          <w:jc w:val="center"/>
        </w:trPr>
        <w:tc>
          <w:tcPr>
            <w:tcW w:w="3013" w:type="dxa"/>
            <w:shd w:val="clear" w:color="auto" w:fill="auto"/>
            <w:tcMar>
              <w:top w:w="28" w:type="dxa"/>
              <w:bottom w:w="28" w:type="dxa"/>
            </w:tcMar>
            <w:vAlign w:val="center"/>
          </w:tcPr>
          <w:p w14:paraId="2E2048B6" w14:textId="38FDF3E2" w:rsidR="007D090A" w:rsidRPr="00B0328C" w:rsidRDefault="007D090A" w:rsidP="007D090A">
            <w:pPr>
              <w:keepLines/>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lastRenderedPageBreak/>
              <w:t>RISANKIZUMAB</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Solution concentrate for I.V. infusion</w:t>
            </w:r>
            <w:r w:rsidRPr="00B0328C">
              <w:rPr>
                <w:rFonts w:asciiTheme="minorHAnsi" w:hAnsiTheme="minorHAnsi" w:cstheme="minorHAnsi"/>
                <w:color w:val="000000"/>
                <w:sz w:val="18"/>
                <w:szCs w:val="18"/>
              </w:rPr>
              <w:br/>
              <w:t>600</w:t>
            </w:r>
            <w:r w:rsidR="00544497">
              <w:rPr>
                <w:rFonts w:asciiTheme="minorHAnsi" w:hAnsiTheme="minorHAnsi" w:cstheme="minorHAnsi"/>
                <w:color w:val="000000"/>
                <w:sz w:val="18"/>
                <w:szCs w:val="18"/>
              </w:rPr>
              <w:t> </w:t>
            </w:r>
            <w:r w:rsidRPr="0088248D">
              <w:rPr>
                <w:rFonts w:asciiTheme="minorHAnsi" w:hAnsiTheme="minorHAnsi" w:cstheme="minorHAnsi"/>
                <w:color w:val="000000"/>
                <w:sz w:val="18"/>
                <w:szCs w:val="18"/>
              </w:rPr>
              <w:t>mg in 10</w:t>
            </w:r>
            <w:r w:rsidR="00544497">
              <w:rPr>
                <w:rFonts w:asciiTheme="minorHAnsi" w:hAnsiTheme="minorHAnsi" w:cstheme="minorHAnsi"/>
                <w:color w:val="000000"/>
                <w:sz w:val="18"/>
                <w:szCs w:val="18"/>
              </w:rPr>
              <w:t> </w:t>
            </w:r>
            <w:r w:rsidRPr="00B0328C">
              <w:rPr>
                <w:rFonts w:asciiTheme="minorHAnsi" w:hAnsiTheme="minorHAnsi" w:cstheme="minorHAnsi"/>
                <w:color w:val="000000"/>
                <w:sz w:val="18"/>
                <w:szCs w:val="18"/>
              </w:rPr>
              <w:t>mL</w:t>
            </w:r>
            <w:r w:rsidRPr="00B0328C">
              <w:rPr>
                <w:rFonts w:asciiTheme="minorHAnsi" w:hAnsiTheme="minorHAnsi" w:cstheme="minorHAnsi"/>
                <w:color w:val="000000"/>
                <w:sz w:val="18"/>
                <w:szCs w:val="18"/>
              </w:rPr>
              <w:br/>
              <w:t>Injection 360 mg in 2.4 mL in pre-filled</w:t>
            </w:r>
            <w:r w:rsidRPr="00B0328C">
              <w:rPr>
                <w:rFonts w:asciiTheme="minorHAnsi" w:hAnsiTheme="minorHAnsi" w:cstheme="minorHAnsi"/>
                <w:color w:val="000000"/>
                <w:sz w:val="18"/>
                <w:szCs w:val="18"/>
              </w:rPr>
              <w:br/>
              <w:t>cartridge</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Skyrizi®</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AbbVie Pty Ltd</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Matters Outstanding</w:t>
            </w:r>
            <w:r w:rsidRPr="00B0328C">
              <w:rPr>
                <w:rFonts w:asciiTheme="minorHAnsi" w:hAnsiTheme="minorHAnsi" w:cstheme="minorHAnsi"/>
                <w:color w:val="000000"/>
                <w:sz w:val="18"/>
                <w:szCs w:val="18"/>
              </w:rPr>
              <w:br/>
              <w:t>(New PBS listing)</w:t>
            </w:r>
          </w:p>
        </w:tc>
        <w:tc>
          <w:tcPr>
            <w:tcW w:w="2764" w:type="dxa"/>
            <w:shd w:val="clear" w:color="auto" w:fill="auto"/>
            <w:vAlign w:val="center"/>
          </w:tcPr>
          <w:p w14:paraId="279244F6" w14:textId="3EB2B06C" w:rsidR="007D090A" w:rsidRPr="00B0328C" w:rsidRDefault="007D090A" w:rsidP="007D090A">
            <w:pPr>
              <w:keepLines/>
              <w:widowControl w:val="0"/>
              <w:jc w:val="center"/>
              <w:rPr>
                <w:rFonts w:asciiTheme="minorHAnsi" w:hAnsiTheme="minorHAnsi" w:cstheme="minorHAnsi"/>
                <w:color w:val="000000"/>
                <w:sz w:val="18"/>
                <w:szCs w:val="18"/>
              </w:rPr>
            </w:pPr>
            <w:r w:rsidRPr="00B0328C">
              <w:rPr>
                <w:rFonts w:asciiTheme="minorHAnsi" w:hAnsiTheme="minorHAnsi" w:cstheme="minorHAnsi"/>
                <w:sz w:val="18"/>
                <w:szCs w:val="18"/>
              </w:rPr>
              <w:t>Crohn disease</w:t>
            </w:r>
          </w:p>
        </w:tc>
        <w:tc>
          <w:tcPr>
            <w:tcW w:w="3288" w:type="dxa"/>
            <w:shd w:val="clear" w:color="auto" w:fill="auto"/>
            <w:tcMar>
              <w:top w:w="28" w:type="dxa"/>
              <w:bottom w:w="28" w:type="dxa"/>
            </w:tcMar>
            <w:vAlign w:val="center"/>
          </w:tcPr>
          <w:p w14:paraId="316C58DA" w14:textId="7E6A1286" w:rsidR="007D090A" w:rsidRPr="00B0328C" w:rsidRDefault="007D090A" w:rsidP="007D090A">
            <w:pPr>
              <w:pStyle w:val="ListParagraph"/>
              <w:keepLines/>
              <w:ind w:left="0"/>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t>To request General Schedule Authority Required (Written) listings for the treatment of severe Crohn disease and for complex refractory fistulising Crohn disease.</w:t>
            </w:r>
          </w:p>
        </w:tc>
        <w:tc>
          <w:tcPr>
            <w:tcW w:w="1987" w:type="dxa"/>
            <w:shd w:val="clear" w:color="auto" w:fill="auto"/>
            <w:vAlign w:val="center"/>
          </w:tcPr>
          <w:p w14:paraId="2499619D" w14:textId="641B7F7C" w:rsidR="007D090A" w:rsidRPr="00B0328C" w:rsidRDefault="007D090A" w:rsidP="007D090A">
            <w:pPr>
              <w:pStyle w:val="ListParagraph"/>
              <w:keepLines/>
              <w:ind w:left="0"/>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t>Recommended</w:t>
            </w:r>
          </w:p>
        </w:tc>
        <w:tc>
          <w:tcPr>
            <w:tcW w:w="4336" w:type="dxa"/>
            <w:shd w:val="clear" w:color="auto" w:fill="auto"/>
            <w:vAlign w:val="center"/>
          </w:tcPr>
          <w:p w14:paraId="2B428347" w14:textId="3C49FC67" w:rsidR="007D090A" w:rsidRPr="00B0328C" w:rsidRDefault="007D090A" w:rsidP="007D090A">
            <w:pPr>
              <w:pStyle w:val="ListParagraph"/>
              <w:keepLines/>
              <w:ind w:left="0"/>
              <w:rPr>
                <w:rFonts w:asciiTheme="minorHAnsi" w:hAnsiTheme="minorHAnsi" w:cstheme="minorHAnsi"/>
                <w:color w:val="000000"/>
                <w:sz w:val="18"/>
                <w:szCs w:val="18"/>
              </w:rPr>
            </w:pPr>
            <w:r w:rsidRPr="00B0328C">
              <w:rPr>
                <w:rFonts w:asciiTheme="minorHAnsi" w:hAnsiTheme="minorHAnsi" w:cstheme="minorHAnsi"/>
                <w:sz w:val="18"/>
                <w:szCs w:val="18"/>
              </w:rPr>
              <w:t xml:space="preserve">The PBAC recommended the Section 100 (Highly Specialised Drugs Program) (intravenous administration) and General Schedule (subcutaneous administration) listings of risankizumab (RIS) for the treatment of severe Crohn disease, on a cost-minimisation basis with the least costly alternative biologic or targeted synthetic disease modifying anti-rheumatic drug (bDMARD/tsDMARD). The </w:t>
            </w:r>
            <w:r w:rsidR="00036531">
              <w:rPr>
                <w:rFonts w:asciiTheme="minorHAnsi" w:hAnsiTheme="minorHAnsi" w:cstheme="minorHAnsi"/>
                <w:sz w:val="18"/>
                <w:szCs w:val="18"/>
              </w:rPr>
              <w:t xml:space="preserve">PBAC </w:t>
            </w:r>
            <w:r w:rsidRPr="00B0328C">
              <w:rPr>
                <w:rFonts w:asciiTheme="minorHAnsi" w:hAnsiTheme="minorHAnsi" w:cstheme="minorHAnsi"/>
                <w:sz w:val="18"/>
                <w:szCs w:val="18"/>
              </w:rPr>
              <w:t xml:space="preserve">considered the claim of non-inferior comparative effectiveness and safety to the alternative bDMARDs/tsDMARDs was reasonable. The PBAC’s recommendation was therefore, among other matters, based on its assessment that the cost of RIS should be no greater than the cost of the alternative therapies over two years. The PBAC </w:t>
            </w:r>
            <w:r w:rsidR="002C1F7B">
              <w:rPr>
                <w:rFonts w:asciiTheme="minorHAnsi" w:hAnsiTheme="minorHAnsi" w:cstheme="minorHAnsi"/>
                <w:sz w:val="18"/>
                <w:szCs w:val="18"/>
              </w:rPr>
              <w:t>recommended</w:t>
            </w:r>
            <w:r w:rsidRPr="00B0328C">
              <w:rPr>
                <w:rFonts w:asciiTheme="minorHAnsi" w:hAnsiTheme="minorHAnsi" w:cstheme="minorHAnsi"/>
                <w:sz w:val="18"/>
                <w:szCs w:val="18"/>
              </w:rPr>
              <w:t xml:space="preserve"> flow-on changes to other bDMARD/tsDMARD listings in severe Crohn disease to include RIS in the list of eligible treatments in a treatment cycle.</w:t>
            </w:r>
          </w:p>
        </w:tc>
      </w:tr>
      <w:bookmarkEnd w:id="1"/>
      <w:tr w:rsidR="007D090A" w:rsidRPr="00544497" w14:paraId="1F955051" w14:textId="77777777" w:rsidTr="0088248D">
        <w:trPr>
          <w:cantSplit/>
          <w:trHeight w:val="2948"/>
          <w:jc w:val="center"/>
        </w:trPr>
        <w:tc>
          <w:tcPr>
            <w:tcW w:w="3013" w:type="dxa"/>
            <w:shd w:val="clear" w:color="auto" w:fill="auto"/>
            <w:tcMar>
              <w:top w:w="28" w:type="dxa"/>
              <w:bottom w:w="28" w:type="dxa"/>
            </w:tcMar>
            <w:vAlign w:val="center"/>
          </w:tcPr>
          <w:p w14:paraId="17FF0D8F" w14:textId="7FDF54D1" w:rsidR="007D090A" w:rsidRPr="00B0328C" w:rsidRDefault="007D090A" w:rsidP="007D090A">
            <w:pPr>
              <w:keepLines/>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lastRenderedPageBreak/>
              <w:t>RISEDRONIC ACID</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Tablet (enteric coated) containing risedronate sodium 35</w:t>
            </w:r>
            <w:r w:rsidR="00544497">
              <w:rPr>
                <w:rFonts w:asciiTheme="minorHAnsi" w:hAnsiTheme="minorHAnsi" w:cstheme="minorHAnsi"/>
                <w:color w:val="000000"/>
                <w:sz w:val="18"/>
                <w:szCs w:val="18"/>
              </w:rPr>
              <w:t> </w:t>
            </w:r>
            <w:r w:rsidRPr="00B0328C">
              <w:rPr>
                <w:rFonts w:asciiTheme="minorHAnsi" w:hAnsiTheme="minorHAnsi" w:cstheme="minorHAnsi"/>
                <w:color w:val="000000"/>
                <w:sz w:val="18"/>
                <w:szCs w:val="18"/>
              </w:rPr>
              <w:t>mg</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Actonel® EC</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THERAMEX AUSTRALIA PTY LTD</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Category 2 submission</w:t>
            </w:r>
            <w:r w:rsidRPr="00B0328C">
              <w:rPr>
                <w:rFonts w:asciiTheme="minorHAnsi" w:hAnsiTheme="minorHAnsi" w:cstheme="minorHAnsi"/>
                <w:color w:val="000000"/>
                <w:sz w:val="18"/>
                <w:szCs w:val="18"/>
              </w:rPr>
              <w:br/>
              <w:t>(Change to PBS listing)</w:t>
            </w:r>
          </w:p>
        </w:tc>
        <w:tc>
          <w:tcPr>
            <w:tcW w:w="2764" w:type="dxa"/>
            <w:shd w:val="clear" w:color="auto" w:fill="auto"/>
            <w:vAlign w:val="center"/>
          </w:tcPr>
          <w:p w14:paraId="2EB7E0A5" w14:textId="184862DB" w:rsidR="007D090A" w:rsidRPr="00B0328C" w:rsidRDefault="007D090A" w:rsidP="007D090A">
            <w:pPr>
              <w:keepLines/>
              <w:widowControl w:val="0"/>
              <w:jc w:val="center"/>
              <w:rPr>
                <w:rFonts w:asciiTheme="minorHAnsi" w:hAnsiTheme="minorHAnsi" w:cstheme="minorHAnsi"/>
                <w:sz w:val="18"/>
                <w:szCs w:val="18"/>
              </w:rPr>
            </w:pPr>
            <w:r w:rsidRPr="00B0328C">
              <w:rPr>
                <w:rFonts w:asciiTheme="minorHAnsi" w:hAnsiTheme="minorHAnsi" w:cstheme="minorHAnsi"/>
                <w:color w:val="000000"/>
                <w:sz w:val="18"/>
                <w:szCs w:val="18"/>
              </w:rPr>
              <w:t>Osteoporosis</w:t>
            </w:r>
          </w:p>
        </w:tc>
        <w:tc>
          <w:tcPr>
            <w:tcW w:w="3288" w:type="dxa"/>
            <w:shd w:val="clear" w:color="auto" w:fill="auto"/>
            <w:tcMar>
              <w:top w:w="28" w:type="dxa"/>
              <w:bottom w:w="28" w:type="dxa"/>
            </w:tcMar>
            <w:vAlign w:val="center"/>
          </w:tcPr>
          <w:p w14:paraId="5F31EE89" w14:textId="35C5C2B9" w:rsidR="007D090A" w:rsidRPr="00B0328C" w:rsidRDefault="007D090A" w:rsidP="007D090A">
            <w:pPr>
              <w:pStyle w:val="ListParagraph"/>
              <w:keepLines/>
              <w:ind w:left="0"/>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t>To request an expansion of the current risedronate listing to include patients with osteoporosis aged below 70</w:t>
            </w:r>
            <w:r w:rsidR="00B43F67">
              <w:rPr>
                <w:rFonts w:asciiTheme="minorHAnsi" w:hAnsiTheme="minorHAnsi" w:cstheme="minorHAnsi"/>
                <w:color w:val="000000"/>
                <w:sz w:val="18"/>
                <w:szCs w:val="18"/>
              </w:rPr>
              <w:t> </w:t>
            </w:r>
            <w:r w:rsidRPr="00B0328C">
              <w:rPr>
                <w:rFonts w:asciiTheme="minorHAnsi" w:hAnsiTheme="minorHAnsi" w:cstheme="minorHAnsi"/>
                <w:color w:val="000000"/>
                <w:sz w:val="18"/>
                <w:szCs w:val="18"/>
              </w:rPr>
              <w:t>years of age.</w:t>
            </w:r>
          </w:p>
        </w:tc>
        <w:tc>
          <w:tcPr>
            <w:tcW w:w="1987" w:type="dxa"/>
            <w:shd w:val="clear" w:color="auto" w:fill="auto"/>
            <w:vAlign w:val="center"/>
          </w:tcPr>
          <w:p w14:paraId="1998DA62" w14:textId="5AE6550E" w:rsidR="007D090A" w:rsidRPr="00B0328C" w:rsidRDefault="007D090A" w:rsidP="007D090A">
            <w:pPr>
              <w:pStyle w:val="ListParagraph"/>
              <w:keepLines/>
              <w:ind w:left="0"/>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t>Deferred</w:t>
            </w:r>
          </w:p>
        </w:tc>
        <w:tc>
          <w:tcPr>
            <w:tcW w:w="4336" w:type="dxa"/>
            <w:shd w:val="clear" w:color="auto" w:fill="auto"/>
            <w:vAlign w:val="center"/>
          </w:tcPr>
          <w:p w14:paraId="5EAD2584" w14:textId="73A1E819" w:rsidR="007D090A" w:rsidRPr="0088248D" w:rsidRDefault="00B43F67" w:rsidP="007D090A">
            <w:pPr>
              <w:keepLines/>
              <w:rPr>
                <w:rFonts w:asciiTheme="minorHAnsi" w:hAnsiTheme="minorHAnsi" w:cstheme="minorHAnsi"/>
                <w:color w:val="000000"/>
                <w:sz w:val="18"/>
                <w:szCs w:val="18"/>
              </w:rPr>
            </w:pPr>
            <w:r w:rsidRPr="0088248D">
              <w:rPr>
                <w:rFonts w:asciiTheme="minorHAnsi" w:hAnsiTheme="minorHAnsi" w:cstheme="minorHAnsi"/>
                <w:color w:val="000000"/>
                <w:sz w:val="18"/>
                <w:szCs w:val="18"/>
              </w:rPr>
              <w:t xml:space="preserve">The PBAC deferred making a recommendation to amend the current age restriction on the PBS listing of risedronic acid (risedronate) for primary prevention of fracture in patients with a bone mineral density (BMD) T-score of -2.5 or less. The PBAC advised it was of a mind to support amending the current age restriction of risedronate from patients aged 70 years and older, to patients aged 60 years based on the fracture risk in these patients. However, the PBAC deferred consideration pending a review of the </w:t>
            </w:r>
            <w:r w:rsidR="007A17E2">
              <w:rPr>
                <w:rFonts w:asciiTheme="minorHAnsi" w:hAnsiTheme="minorHAnsi" w:cstheme="minorHAnsi"/>
                <w:color w:val="000000"/>
                <w:sz w:val="18"/>
                <w:szCs w:val="18"/>
              </w:rPr>
              <w:t>MBS</w:t>
            </w:r>
            <w:r w:rsidRPr="0088248D">
              <w:rPr>
                <w:rFonts w:asciiTheme="minorHAnsi" w:hAnsiTheme="minorHAnsi" w:cstheme="minorHAnsi"/>
                <w:color w:val="000000"/>
                <w:sz w:val="18"/>
                <w:szCs w:val="18"/>
              </w:rPr>
              <w:t xml:space="preserve"> implications, to ensure that the bone densitometry MBS items could be aligned with the PBAC recommendations. The PBAC noted the cost-effectiveness of risedronate for the expanded population needs to be assessed considering the absolute fracture risk in these patients, the cost of alternative therapies and the impact of BMD screening.</w:t>
            </w:r>
          </w:p>
          <w:p w14:paraId="5646D99B" w14:textId="77777777" w:rsidR="00B43F67" w:rsidRPr="0088248D" w:rsidRDefault="00B43F67" w:rsidP="007D090A">
            <w:pPr>
              <w:keepLines/>
              <w:rPr>
                <w:rFonts w:asciiTheme="minorHAnsi" w:hAnsiTheme="minorHAnsi" w:cstheme="minorHAnsi"/>
                <w:color w:val="000000"/>
                <w:sz w:val="18"/>
                <w:szCs w:val="18"/>
              </w:rPr>
            </w:pPr>
          </w:p>
          <w:p w14:paraId="25F493B3" w14:textId="77777777" w:rsidR="007D090A" w:rsidRDefault="007D090A" w:rsidP="007D090A">
            <w:pPr>
              <w:pStyle w:val="ListParagraph"/>
              <w:keepLines/>
              <w:ind w:left="0"/>
              <w:rPr>
                <w:rFonts w:asciiTheme="minorHAnsi" w:hAnsiTheme="minorHAnsi" w:cstheme="minorHAnsi"/>
                <w:color w:val="000000"/>
                <w:sz w:val="18"/>
                <w:szCs w:val="18"/>
              </w:rPr>
            </w:pPr>
            <w:r w:rsidRPr="00B0328C">
              <w:rPr>
                <w:rFonts w:asciiTheme="minorHAnsi" w:hAnsiTheme="minorHAnsi" w:cstheme="minorHAnsi"/>
                <w:color w:val="000000"/>
                <w:sz w:val="18"/>
                <w:szCs w:val="18"/>
                <w:u w:val="single"/>
              </w:rPr>
              <w:t>Sponsor’s Comment:</w:t>
            </w:r>
          </w:p>
          <w:p w14:paraId="17FEA890" w14:textId="73619259" w:rsidR="002E28A0" w:rsidRPr="002E28A0" w:rsidRDefault="002E28A0" w:rsidP="007D090A">
            <w:pPr>
              <w:pStyle w:val="ListParagraph"/>
              <w:keepLines/>
              <w:ind w:left="0"/>
              <w:rPr>
                <w:rFonts w:asciiTheme="minorHAnsi" w:hAnsiTheme="minorHAnsi" w:cstheme="minorHAnsi"/>
                <w:sz w:val="18"/>
                <w:szCs w:val="18"/>
              </w:rPr>
            </w:pPr>
            <w:r w:rsidRPr="002E28A0">
              <w:rPr>
                <w:rFonts w:asciiTheme="minorHAnsi" w:hAnsiTheme="minorHAnsi" w:cstheme="minorHAnsi"/>
                <w:sz w:val="18"/>
                <w:szCs w:val="18"/>
              </w:rPr>
              <w:t>Theramex look forward to working with the PBAC to bring anti-resorptive medicine to a broader group of patients</w:t>
            </w:r>
            <w:r>
              <w:rPr>
                <w:rFonts w:asciiTheme="minorHAnsi" w:hAnsiTheme="minorHAnsi" w:cstheme="minorHAnsi"/>
                <w:sz w:val="18"/>
                <w:szCs w:val="18"/>
              </w:rPr>
              <w:t>.</w:t>
            </w:r>
          </w:p>
        </w:tc>
      </w:tr>
      <w:tr w:rsidR="007D090A" w:rsidRPr="00544497" w14:paraId="2C84A7E9" w14:textId="77777777" w:rsidTr="0088248D">
        <w:trPr>
          <w:cantSplit/>
          <w:trHeight w:val="2948"/>
          <w:jc w:val="center"/>
        </w:trPr>
        <w:tc>
          <w:tcPr>
            <w:tcW w:w="3013" w:type="dxa"/>
            <w:shd w:val="clear" w:color="auto" w:fill="auto"/>
            <w:tcMar>
              <w:top w:w="28" w:type="dxa"/>
              <w:bottom w:w="28" w:type="dxa"/>
            </w:tcMar>
            <w:vAlign w:val="center"/>
          </w:tcPr>
          <w:p w14:paraId="6014393E" w14:textId="0FE60118" w:rsidR="007D090A" w:rsidRPr="00B0328C" w:rsidRDefault="007D090A" w:rsidP="007D090A">
            <w:pPr>
              <w:keepLines/>
              <w:jc w:val="center"/>
              <w:rPr>
                <w:rFonts w:asciiTheme="minorHAnsi" w:hAnsiTheme="minorHAnsi" w:cstheme="minorHAnsi"/>
                <w:color w:val="000000"/>
                <w:sz w:val="18"/>
                <w:szCs w:val="18"/>
              </w:rPr>
            </w:pPr>
            <w:r w:rsidRPr="00B0328C">
              <w:rPr>
                <w:rFonts w:asciiTheme="minorHAnsi" w:hAnsiTheme="minorHAnsi" w:cstheme="minorHAnsi"/>
                <w:sz w:val="18"/>
                <w:szCs w:val="18"/>
              </w:rPr>
              <w:t xml:space="preserve">RUXOLITINIB </w:t>
            </w:r>
            <w:r w:rsidRPr="00B0328C">
              <w:rPr>
                <w:rFonts w:asciiTheme="minorHAnsi" w:hAnsiTheme="minorHAnsi" w:cstheme="minorHAnsi"/>
                <w:sz w:val="18"/>
                <w:szCs w:val="18"/>
              </w:rPr>
              <w:br/>
            </w:r>
            <w:r w:rsidRPr="00B0328C">
              <w:rPr>
                <w:rFonts w:asciiTheme="minorHAnsi" w:hAnsiTheme="minorHAnsi" w:cstheme="minorHAnsi"/>
                <w:sz w:val="18"/>
                <w:szCs w:val="18"/>
              </w:rPr>
              <w:br/>
              <w:t xml:space="preserve">Tablet 5 mg </w:t>
            </w:r>
            <w:r w:rsidRPr="00B0328C">
              <w:rPr>
                <w:rFonts w:asciiTheme="minorHAnsi" w:hAnsiTheme="minorHAnsi" w:cstheme="minorHAnsi"/>
                <w:sz w:val="18"/>
                <w:szCs w:val="18"/>
              </w:rPr>
              <w:br/>
              <w:t xml:space="preserve">Tablet 10 mg </w:t>
            </w:r>
            <w:r w:rsidRPr="00B0328C">
              <w:rPr>
                <w:rFonts w:asciiTheme="minorHAnsi" w:hAnsiTheme="minorHAnsi" w:cstheme="minorHAnsi"/>
                <w:sz w:val="18"/>
                <w:szCs w:val="18"/>
              </w:rPr>
              <w:br/>
            </w:r>
            <w:r w:rsidRPr="00B0328C">
              <w:rPr>
                <w:rFonts w:asciiTheme="minorHAnsi" w:hAnsiTheme="minorHAnsi" w:cstheme="minorHAnsi"/>
                <w:sz w:val="18"/>
                <w:szCs w:val="18"/>
              </w:rPr>
              <w:br/>
              <w:t xml:space="preserve">Jakavi® </w:t>
            </w:r>
            <w:r w:rsidRPr="00B0328C">
              <w:rPr>
                <w:rFonts w:asciiTheme="minorHAnsi" w:hAnsiTheme="minorHAnsi" w:cstheme="minorHAnsi"/>
                <w:sz w:val="18"/>
                <w:szCs w:val="18"/>
              </w:rPr>
              <w:br/>
            </w:r>
            <w:r w:rsidRPr="00B0328C">
              <w:rPr>
                <w:rFonts w:asciiTheme="minorHAnsi" w:hAnsiTheme="minorHAnsi" w:cstheme="minorHAnsi"/>
                <w:sz w:val="18"/>
                <w:szCs w:val="18"/>
              </w:rPr>
              <w:br/>
              <w:t>Novartis Pharmaceuticals Australia Pty Limited</w:t>
            </w:r>
            <w:r w:rsidRPr="00B0328C">
              <w:rPr>
                <w:rFonts w:asciiTheme="minorHAnsi" w:hAnsiTheme="minorHAnsi" w:cstheme="minorHAnsi"/>
                <w:sz w:val="18"/>
                <w:szCs w:val="18"/>
              </w:rPr>
              <w:br/>
            </w:r>
            <w:r w:rsidRPr="00B0328C">
              <w:rPr>
                <w:rFonts w:asciiTheme="minorHAnsi" w:hAnsiTheme="minorHAnsi" w:cstheme="minorHAnsi"/>
                <w:sz w:val="18"/>
                <w:szCs w:val="18"/>
              </w:rPr>
              <w:br/>
              <w:t>Matters Arising</w:t>
            </w:r>
            <w:r w:rsidRPr="00B0328C">
              <w:rPr>
                <w:rFonts w:asciiTheme="minorHAnsi" w:hAnsiTheme="minorHAnsi" w:cstheme="minorHAnsi"/>
                <w:sz w:val="18"/>
                <w:szCs w:val="18"/>
              </w:rPr>
              <w:br/>
              <w:t>(Change to PBS listing)</w:t>
            </w:r>
          </w:p>
        </w:tc>
        <w:tc>
          <w:tcPr>
            <w:tcW w:w="2764" w:type="dxa"/>
            <w:shd w:val="clear" w:color="auto" w:fill="auto"/>
            <w:vAlign w:val="center"/>
          </w:tcPr>
          <w:p w14:paraId="02E4EC40" w14:textId="05C49C89" w:rsidR="007D090A" w:rsidRPr="00B0328C" w:rsidRDefault="007D090A" w:rsidP="007D090A">
            <w:pPr>
              <w:keepLines/>
              <w:widowControl w:val="0"/>
              <w:jc w:val="center"/>
              <w:rPr>
                <w:rFonts w:asciiTheme="minorHAnsi" w:hAnsiTheme="minorHAnsi" w:cstheme="minorHAnsi"/>
                <w:color w:val="000000"/>
                <w:sz w:val="18"/>
                <w:szCs w:val="18"/>
              </w:rPr>
            </w:pPr>
            <w:r w:rsidRPr="00B0328C">
              <w:rPr>
                <w:rFonts w:asciiTheme="minorHAnsi" w:hAnsiTheme="minorHAnsi" w:cstheme="minorHAnsi"/>
                <w:sz w:val="18"/>
                <w:szCs w:val="18"/>
              </w:rPr>
              <w:t>Graft versus host disease</w:t>
            </w:r>
          </w:p>
        </w:tc>
        <w:tc>
          <w:tcPr>
            <w:tcW w:w="3288" w:type="dxa"/>
            <w:shd w:val="clear" w:color="auto" w:fill="auto"/>
            <w:tcMar>
              <w:top w:w="28" w:type="dxa"/>
              <w:bottom w:w="28" w:type="dxa"/>
            </w:tcMar>
            <w:vAlign w:val="center"/>
          </w:tcPr>
          <w:p w14:paraId="2347F5DE" w14:textId="5983A81C" w:rsidR="007D090A" w:rsidRPr="00B0328C" w:rsidRDefault="007D090A" w:rsidP="007D090A">
            <w:pPr>
              <w:pStyle w:val="ListParagraph"/>
              <w:keepLines/>
              <w:ind w:left="0"/>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t xml:space="preserve">To request a General Schedule Authority Required (STREAMLINED) listing for the treatment of patients aged 12 years and older with moderate to severe chronic graft </w:t>
            </w:r>
            <w:r w:rsidR="00544497" w:rsidRPr="00544497">
              <w:rPr>
                <w:rFonts w:asciiTheme="minorHAnsi" w:hAnsiTheme="minorHAnsi" w:cstheme="minorHAnsi"/>
                <w:color w:val="000000"/>
                <w:sz w:val="18"/>
                <w:szCs w:val="18"/>
              </w:rPr>
              <w:t>versus</w:t>
            </w:r>
            <w:r w:rsidRPr="00B0328C">
              <w:rPr>
                <w:rFonts w:asciiTheme="minorHAnsi" w:hAnsiTheme="minorHAnsi" w:cstheme="minorHAnsi"/>
                <w:color w:val="000000"/>
                <w:sz w:val="18"/>
                <w:szCs w:val="18"/>
              </w:rPr>
              <w:t xml:space="preserve"> host disease (cGVHD) who are refractory to, dependent on or intolerant of corticosteroids.</w:t>
            </w:r>
          </w:p>
        </w:tc>
        <w:tc>
          <w:tcPr>
            <w:tcW w:w="1987" w:type="dxa"/>
            <w:shd w:val="clear" w:color="auto" w:fill="auto"/>
            <w:vAlign w:val="center"/>
          </w:tcPr>
          <w:p w14:paraId="1AB01C58" w14:textId="77F9679B" w:rsidR="007D090A" w:rsidRPr="00B0328C" w:rsidRDefault="007D090A" w:rsidP="007D090A">
            <w:pPr>
              <w:pStyle w:val="ListParagraph"/>
              <w:keepLines/>
              <w:ind w:left="0"/>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t>Recommended</w:t>
            </w:r>
          </w:p>
        </w:tc>
        <w:tc>
          <w:tcPr>
            <w:tcW w:w="4336" w:type="dxa"/>
            <w:shd w:val="clear" w:color="auto" w:fill="auto"/>
            <w:vAlign w:val="center"/>
          </w:tcPr>
          <w:p w14:paraId="713C2C84" w14:textId="57EB41E2" w:rsidR="007D090A" w:rsidRPr="00B0328C" w:rsidRDefault="007D090A" w:rsidP="007D090A">
            <w:pPr>
              <w:pStyle w:val="ListParagraph"/>
              <w:keepLines/>
              <w:ind w:left="0"/>
              <w:rPr>
                <w:rFonts w:asciiTheme="minorHAnsi" w:hAnsiTheme="minorHAnsi" w:cstheme="minorHAnsi"/>
                <w:sz w:val="18"/>
                <w:szCs w:val="18"/>
              </w:rPr>
            </w:pPr>
            <w:r w:rsidRPr="00B0328C">
              <w:rPr>
                <w:rFonts w:asciiTheme="minorHAnsi" w:hAnsiTheme="minorHAnsi" w:cstheme="minorHAnsi"/>
                <w:color w:val="000000"/>
                <w:sz w:val="18"/>
                <w:szCs w:val="18"/>
              </w:rPr>
              <w:t xml:space="preserve">The PBAC recommended the listing of ruxolitinib for the treatment of patients with moderate to severe chronic graft versus host disease who are refractory to, dependent on, or intolerant of corticosteroids. The PBAC was satisfied that ruxolitinib provides, for some patients, a significant improvement in efficacy, including an improvement in overall response rate, compared with best available therapy. The PBAC considered that ruxolitinib would be acceptably cost-effective at the price proposed. Further, the PBAC considered that the changes to the financial estimates and risk sharing arrangements were reasonable. </w:t>
            </w:r>
          </w:p>
        </w:tc>
      </w:tr>
      <w:tr w:rsidR="007D090A" w:rsidRPr="00544497" w14:paraId="0BBA40E9" w14:textId="77777777" w:rsidTr="0088248D">
        <w:trPr>
          <w:cantSplit/>
          <w:trHeight w:val="2948"/>
          <w:jc w:val="center"/>
        </w:trPr>
        <w:tc>
          <w:tcPr>
            <w:tcW w:w="3013" w:type="dxa"/>
            <w:shd w:val="clear" w:color="auto" w:fill="auto"/>
            <w:tcMar>
              <w:top w:w="28" w:type="dxa"/>
              <w:bottom w:w="28" w:type="dxa"/>
            </w:tcMar>
            <w:vAlign w:val="center"/>
          </w:tcPr>
          <w:p w14:paraId="2C8CE8A7" w14:textId="2D51C750" w:rsidR="007D090A" w:rsidRPr="00B0328C" w:rsidRDefault="007D090A" w:rsidP="007D090A">
            <w:pPr>
              <w:keepLines/>
              <w:jc w:val="center"/>
              <w:rPr>
                <w:rFonts w:asciiTheme="minorHAnsi" w:hAnsiTheme="minorHAnsi" w:cstheme="minorHAnsi"/>
                <w:sz w:val="18"/>
                <w:szCs w:val="18"/>
              </w:rPr>
            </w:pPr>
            <w:r w:rsidRPr="00B0328C">
              <w:rPr>
                <w:rFonts w:asciiTheme="minorHAnsi" w:hAnsiTheme="minorHAnsi" w:cstheme="minorHAnsi"/>
                <w:color w:val="000000"/>
                <w:sz w:val="18"/>
                <w:szCs w:val="18"/>
              </w:rPr>
              <w:lastRenderedPageBreak/>
              <w:t>SELINEXOR</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Tablet 20 mg</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Xpovio®</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ANTENGENE (AUS) PTY. LTD.</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Standard re-entry submission</w:t>
            </w:r>
            <w:r w:rsidRPr="00B0328C">
              <w:rPr>
                <w:rFonts w:asciiTheme="minorHAnsi" w:hAnsiTheme="minorHAnsi" w:cstheme="minorHAnsi"/>
                <w:color w:val="000000"/>
                <w:sz w:val="18"/>
                <w:szCs w:val="18"/>
              </w:rPr>
              <w:br/>
              <w:t>(New PBS listing)</w:t>
            </w:r>
          </w:p>
        </w:tc>
        <w:tc>
          <w:tcPr>
            <w:tcW w:w="2764" w:type="dxa"/>
            <w:shd w:val="clear" w:color="auto" w:fill="auto"/>
            <w:vAlign w:val="center"/>
          </w:tcPr>
          <w:p w14:paraId="34C62476" w14:textId="35581FF4" w:rsidR="007D090A" w:rsidRPr="00B0328C" w:rsidRDefault="007D090A" w:rsidP="007D090A">
            <w:pPr>
              <w:keepLines/>
              <w:widowControl w:val="0"/>
              <w:jc w:val="center"/>
              <w:rPr>
                <w:rFonts w:asciiTheme="minorHAnsi" w:hAnsiTheme="minorHAnsi" w:cstheme="minorHAnsi"/>
                <w:sz w:val="18"/>
                <w:szCs w:val="18"/>
              </w:rPr>
            </w:pPr>
            <w:r w:rsidRPr="00B0328C">
              <w:rPr>
                <w:rFonts w:asciiTheme="minorHAnsi" w:hAnsiTheme="minorHAnsi" w:cstheme="minorHAnsi"/>
                <w:color w:val="000000"/>
                <w:sz w:val="18"/>
                <w:szCs w:val="18"/>
              </w:rPr>
              <w:t>Multiple myeloma</w:t>
            </w:r>
          </w:p>
        </w:tc>
        <w:tc>
          <w:tcPr>
            <w:tcW w:w="3288" w:type="dxa"/>
            <w:shd w:val="clear" w:color="auto" w:fill="auto"/>
            <w:tcMar>
              <w:top w:w="28" w:type="dxa"/>
              <w:bottom w:w="28" w:type="dxa"/>
            </w:tcMar>
            <w:vAlign w:val="center"/>
          </w:tcPr>
          <w:p w14:paraId="30719BE2" w14:textId="2527ACE5" w:rsidR="007D090A" w:rsidRPr="00B0328C" w:rsidRDefault="007D090A" w:rsidP="007D090A">
            <w:pPr>
              <w:pStyle w:val="ListParagraph"/>
              <w:keepLines/>
              <w:ind w:left="0"/>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t>Resubmission to request a Section 100 (Highly Specialised Drugs Program) Authority Required listing, for use in combination with bortezomib and dexamethasone, for the treatment of relapsed and/or refractory multiple myeloma</w:t>
            </w:r>
            <w:r w:rsidR="00444A0A">
              <w:rPr>
                <w:rFonts w:asciiTheme="minorHAnsi" w:hAnsiTheme="minorHAnsi" w:cstheme="minorHAnsi"/>
                <w:color w:val="000000"/>
                <w:sz w:val="18"/>
                <w:szCs w:val="18"/>
              </w:rPr>
              <w:t xml:space="preserve"> (RRMM)</w:t>
            </w:r>
            <w:r w:rsidRPr="00B0328C">
              <w:rPr>
                <w:rFonts w:asciiTheme="minorHAnsi" w:hAnsiTheme="minorHAnsi" w:cstheme="minorHAnsi"/>
                <w:color w:val="000000"/>
                <w:sz w:val="18"/>
                <w:szCs w:val="18"/>
              </w:rPr>
              <w:t>.</w:t>
            </w:r>
          </w:p>
        </w:tc>
        <w:tc>
          <w:tcPr>
            <w:tcW w:w="1987" w:type="dxa"/>
            <w:shd w:val="clear" w:color="auto" w:fill="auto"/>
            <w:vAlign w:val="center"/>
          </w:tcPr>
          <w:p w14:paraId="1175FEDA" w14:textId="6440F516" w:rsidR="007D090A" w:rsidRPr="00B0328C" w:rsidRDefault="007D090A" w:rsidP="007D090A">
            <w:pPr>
              <w:pStyle w:val="ListParagraph"/>
              <w:keepLines/>
              <w:ind w:left="0"/>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t>Recommended</w:t>
            </w:r>
          </w:p>
        </w:tc>
        <w:tc>
          <w:tcPr>
            <w:tcW w:w="4336" w:type="dxa"/>
            <w:shd w:val="clear" w:color="auto" w:fill="auto"/>
            <w:vAlign w:val="center"/>
          </w:tcPr>
          <w:p w14:paraId="76BEAB30" w14:textId="4AFA406E" w:rsidR="007D090A" w:rsidRPr="0088248D" w:rsidRDefault="007D090A" w:rsidP="007D090A">
            <w:pPr>
              <w:pStyle w:val="ListParagraph"/>
              <w:keepLines/>
              <w:ind w:left="0"/>
              <w:rPr>
                <w:rFonts w:asciiTheme="minorHAnsi" w:hAnsiTheme="minorHAnsi" w:cstheme="minorHAnsi"/>
                <w:color w:val="000000"/>
                <w:sz w:val="18"/>
                <w:szCs w:val="18"/>
              </w:rPr>
            </w:pPr>
            <w:r w:rsidRPr="00B0328C">
              <w:rPr>
                <w:rFonts w:asciiTheme="minorHAnsi" w:hAnsiTheme="minorHAnsi" w:cstheme="minorHAnsi"/>
                <w:color w:val="000000"/>
                <w:sz w:val="18"/>
                <w:szCs w:val="18"/>
              </w:rPr>
              <w:t xml:space="preserve">The PBAC recommended the listing of selinexor, for use in combination with bortezomib and dexamethasone (SBd), for the treatment of patients with RRMM who have received at least one prior therapy. The PBAC noted that </w:t>
            </w:r>
            <w:r w:rsidR="005F20C7">
              <w:rPr>
                <w:rFonts w:asciiTheme="minorHAnsi" w:hAnsiTheme="minorHAnsi" w:cstheme="minorHAnsi"/>
                <w:color w:val="000000"/>
                <w:sz w:val="18"/>
                <w:szCs w:val="18"/>
              </w:rPr>
              <w:t>multiple myeloma</w:t>
            </w:r>
            <w:r w:rsidRPr="00B0328C">
              <w:rPr>
                <w:rFonts w:asciiTheme="minorHAnsi" w:hAnsiTheme="minorHAnsi" w:cstheme="minorHAnsi"/>
                <w:color w:val="000000"/>
                <w:sz w:val="18"/>
                <w:szCs w:val="18"/>
              </w:rPr>
              <w:t xml:space="preserve"> is heterogeneous disease and that there is a clinical need for multiple treatment options, including different drug classes. The PBAC considered that there should be a single listing for selinexor which allows use in patients as a second or later line treatment either with or without bortezomib to enable clinicians to utilise the appropriate regimen for their patient (either SBd or </w:t>
            </w:r>
            <w:r w:rsidR="005F20C7">
              <w:rPr>
                <w:rFonts w:asciiTheme="minorHAnsi" w:hAnsiTheme="minorHAnsi" w:cstheme="minorHAnsi"/>
                <w:color w:val="000000"/>
                <w:sz w:val="18"/>
                <w:szCs w:val="18"/>
              </w:rPr>
              <w:t>selinexor in combination with dexamethasone</w:t>
            </w:r>
            <w:r w:rsidRPr="00B0328C">
              <w:rPr>
                <w:rFonts w:asciiTheme="minorHAnsi" w:hAnsiTheme="minorHAnsi" w:cstheme="minorHAnsi"/>
                <w:color w:val="000000"/>
                <w:sz w:val="18"/>
                <w:szCs w:val="18"/>
              </w:rPr>
              <w:t xml:space="preserve">) based on clinical judgement. The PBAC considered that the claim of non-inferior effectiveness versus </w:t>
            </w:r>
            <w:r w:rsidR="00900416" w:rsidRPr="00900416">
              <w:rPr>
                <w:rFonts w:asciiTheme="minorHAnsi" w:hAnsiTheme="minorHAnsi" w:cstheme="minorHAnsi"/>
                <w:color w:val="000000"/>
                <w:sz w:val="18"/>
                <w:szCs w:val="18"/>
              </w:rPr>
              <w:t xml:space="preserve">carfilzomib </w:t>
            </w:r>
            <w:r w:rsidR="00900416">
              <w:rPr>
                <w:rFonts w:asciiTheme="minorHAnsi" w:hAnsiTheme="minorHAnsi" w:cstheme="minorHAnsi"/>
                <w:color w:val="000000"/>
                <w:sz w:val="18"/>
                <w:szCs w:val="18"/>
              </w:rPr>
              <w:t>with</w:t>
            </w:r>
            <w:r w:rsidR="00900416" w:rsidRPr="00900416">
              <w:rPr>
                <w:rFonts w:asciiTheme="minorHAnsi" w:hAnsiTheme="minorHAnsi" w:cstheme="minorHAnsi"/>
                <w:color w:val="000000"/>
                <w:sz w:val="18"/>
                <w:szCs w:val="18"/>
              </w:rPr>
              <w:t xml:space="preserve"> dexamethasone </w:t>
            </w:r>
            <w:r w:rsidR="00900416">
              <w:rPr>
                <w:rFonts w:asciiTheme="minorHAnsi" w:hAnsiTheme="minorHAnsi" w:cstheme="minorHAnsi"/>
                <w:color w:val="000000"/>
                <w:sz w:val="18"/>
                <w:szCs w:val="18"/>
              </w:rPr>
              <w:t>(</w:t>
            </w:r>
            <w:r w:rsidRPr="00B0328C">
              <w:rPr>
                <w:rFonts w:asciiTheme="minorHAnsi" w:hAnsiTheme="minorHAnsi" w:cstheme="minorHAnsi"/>
                <w:color w:val="000000"/>
                <w:sz w:val="18"/>
                <w:szCs w:val="18"/>
              </w:rPr>
              <w:t>Cd</w:t>
            </w:r>
            <w:r w:rsidR="00900416">
              <w:rPr>
                <w:rFonts w:asciiTheme="minorHAnsi" w:hAnsiTheme="minorHAnsi" w:cstheme="minorHAnsi"/>
                <w:color w:val="000000"/>
                <w:sz w:val="18"/>
                <w:szCs w:val="18"/>
              </w:rPr>
              <w:t>)</w:t>
            </w:r>
            <w:r w:rsidRPr="00B0328C">
              <w:rPr>
                <w:rFonts w:asciiTheme="minorHAnsi" w:hAnsiTheme="minorHAnsi" w:cstheme="minorHAnsi"/>
                <w:color w:val="000000"/>
                <w:sz w:val="18"/>
                <w:szCs w:val="18"/>
              </w:rPr>
              <w:t xml:space="preserve"> was uncertain due to the transitivity issues across the trials and the wide confidence intervals for the indirect estimates. However, the PBAC accepted the effectiveness claim on the basis that further data are unlikely to be available to increase the certainty for the non-inferiority claim and that SBd will be used in a relatively small niche population. The PBAC noted that the revised </w:t>
            </w:r>
            <w:r w:rsidR="00544497">
              <w:rPr>
                <w:rFonts w:asciiTheme="minorHAnsi" w:hAnsiTheme="minorHAnsi" w:cstheme="minorHAnsi"/>
                <w:color w:val="000000"/>
                <w:sz w:val="18"/>
                <w:szCs w:val="18"/>
              </w:rPr>
              <w:t>cost</w:t>
            </w:r>
            <w:r w:rsidR="005F20C7">
              <w:rPr>
                <w:rFonts w:asciiTheme="minorHAnsi" w:hAnsiTheme="minorHAnsi" w:cstheme="minorHAnsi"/>
                <w:color w:val="000000"/>
                <w:sz w:val="18"/>
                <w:szCs w:val="18"/>
              </w:rPr>
              <w:t>-</w:t>
            </w:r>
            <w:r w:rsidR="00544497">
              <w:rPr>
                <w:rFonts w:asciiTheme="minorHAnsi" w:hAnsiTheme="minorHAnsi" w:cstheme="minorHAnsi"/>
                <w:color w:val="000000"/>
                <w:sz w:val="18"/>
                <w:szCs w:val="18"/>
              </w:rPr>
              <w:t xml:space="preserve">minimisation analysis (CMA) </w:t>
            </w:r>
            <w:r w:rsidRPr="0088248D">
              <w:rPr>
                <w:rFonts w:asciiTheme="minorHAnsi" w:hAnsiTheme="minorHAnsi" w:cstheme="minorHAnsi"/>
                <w:color w:val="000000"/>
                <w:sz w:val="18"/>
                <w:szCs w:val="18"/>
              </w:rPr>
              <w:t>was sufficiently conservative to address the uncertainty regarding the non-inferiority claim versus Cd and considered that SBd could be considered cost-effective if the selinexor price was determined on the basis of the CMA of SBd vs Cd presented in the resubmission, after inclusion of the confidential effective price for carfilzomib and an adjusted weighting for the use of carfilzomib once weekly and twice-weekly regimens.</w:t>
            </w:r>
          </w:p>
        </w:tc>
      </w:tr>
      <w:tr w:rsidR="007D090A" w:rsidRPr="00544497" w14:paraId="038CAA1B" w14:textId="77777777" w:rsidTr="0088248D">
        <w:trPr>
          <w:cantSplit/>
          <w:trHeight w:val="2948"/>
          <w:jc w:val="center"/>
        </w:trPr>
        <w:tc>
          <w:tcPr>
            <w:tcW w:w="3013" w:type="dxa"/>
            <w:shd w:val="clear" w:color="auto" w:fill="auto"/>
            <w:tcMar>
              <w:top w:w="28" w:type="dxa"/>
              <w:bottom w:w="28" w:type="dxa"/>
            </w:tcMar>
            <w:vAlign w:val="center"/>
          </w:tcPr>
          <w:p w14:paraId="3B22461C" w14:textId="16FB69C0" w:rsidR="007D090A" w:rsidRPr="00B0328C" w:rsidRDefault="007D090A" w:rsidP="007D090A">
            <w:pPr>
              <w:keepLines/>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lastRenderedPageBreak/>
              <w:t>SELUMETINIB</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 xml:space="preserve">Capsule 10 mg </w:t>
            </w:r>
            <w:r w:rsidRPr="00B0328C">
              <w:rPr>
                <w:rFonts w:asciiTheme="minorHAnsi" w:hAnsiTheme="minorHAnsi" w:cstheme="minorHAnsi"/>
                <w:color w:val="000000"/>
                <w:sz w:val="18"/>
                <w:szCs w:val="18"/>
              </w:rPr>
              <w:br/>
              <w:t>Capsule 25 mg</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Koselugo®</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Alexion Pharmaceuticals Australasia Pty Ltd</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Category 1 submission</w:t>
            </w:r>
            <w:r w:rsidRPr="00B0328C">
              <w:rPr>
                <w:rFonts w:asciiTheme="minorHAnsi" w:hAnsiTheme="minorHAnsi" w:cstheme="minorHAnsi"/>
                <w:color w:val="000000"/>
                <w:sz w:val="18"/>
                <w:szCs w:val="18"/>
              </w:rPr>
              <w:br/>
              <w:t>(New PBS listing)</w:t>
            </w:r>
          </w:p>
        </w:tc>
        <w:tc>
          <w:tcPr>
            <w:tcW w:w="2764" w:type="dxa"/>
            <w:shd w:val="clear" w:color="auto" w:fill="auto"/>
            <w:vAlign w:val="center"/>
          </w:tcPr>
          <w:p w14:paraId="2CE86D6D" w14:textId="4614BBBF" w:rsidR="007D090A" w:rsidRPr="00B0328C" w:rsidRDefault="007D090A" w:rsidP="007D090A">
            <w:pPr>
              <w:keepLines/>
              <w:widowControl w:val="0"/>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t>Neurofibromatosis type 1 (NF1)</w:t>
            </w:r>
          </w:p>
        </w:tc>
        <w:tc>
          <w:tcPr>
            <w:tcW w:w="3288" w:type="dxa"/>
            <w:shd w:val="clear" w:color="auto" w:fill="auto"/>
            <w:tcMar>
              <w:top w:w="28" w:type="dxa"/>
              <w:bottom w:w="28" w:type="dxa"/>
            </w:tcMar>
            <w:vAlign w:val="center"/>
          </w:tcPr>
          <w:p w14:paraId="6BBAAC7C" w14:textId="247375CA" w:rsidR="007D090A" w:rsidRPr="00B0328C" w:rsidRDefault="007D090A" w:rsidP="007D090A">
            <w:pPr>
              <w:pStyle w:val="ListParagraph"/>
              <w:keepLines/>
              <w:ind w:left="0"/>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t>To request both a Section 100 (Highly Specialised Drugs Program) and Section 100 (Highly Specialised Drugs Program – Community Access) Authority Required listing for the treatment of symptomatic, inoperable plexiform neurofibroma(s) in paediatric patients with NF1.</w:t>
            </w:r>
          </w:p>
        </w:tc>
        <w:tc>
          <w:tcPr>
            <w:tcW w:w="1987" w:type="dxa"/>
            <w:shd w:val="clear" w:color="auto" w:fill="auto"/>
            <w:vAlign w:val="center"/>
          </w:tcPr>
          <w:p w14:paraId="73781298" w14:textId="7C7A9355" w:rsidR="007D090A" w:rsidRPr="00B0328C" w:rsidRDefault="007D090A" w:rsidP="007D090A">
            <w:pPr>
              <w:pStyle w:val="ListParagraph"/>
              <w:keepLines/>
              <w:ind w:left="0"/>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t>Not Recommended</w:t>
            </w:r>
          </w:p>
        </w:tc>
        <w:tc>
          <w:tcPr>
            <w:tcW w:w="4336" w:type="dxa"/>
            <w:shd w:val="clear" w:color="auto" w:fill="auto"/>
            <w:vAlign w:val="center"/>
          </w:tcPr>
          <w:p w14:paraId="10C8833C" w14:textId="6C48C9FC" w:rsidR="005F20C7" w:rsidRDefault="006150FD" w:rsidP="007D090A">
            <w:pPr>
              <w:keepLines/>
              <w:rPr>
                <w:rFonts w:asciiTheme="minorHAnsi" w:hAnsiTheme="minorHAnsi" w:cstheme="minorHAnsi"/>
                <w:color w:val="000000"/>
                <w:sz w:val="18"/>
                <w:szCs w:val="18"/>
              </w:rPr>
            </w:pPr>
            <w:r w:rsidRPr="0088248D">
              <w:rPr>
                <w:rFonts w:asciiTheme="minorHAnsi" w:hAnsiTheme="minorHAnsi" w:cstheme="minorHAnsi"/>
                <w:color w:val="000000"/>
                <w:sz w:val="18"/>
                <w:szCs w:val="18"/>
              </w:rPr>
              <w:t>The PBAC did not recommend selumetinib for the treatment of symptomatic, inoperable plexiform neurofibroma(s) (</w:t>
            </w:r>
            <w:r w:rsidR="00DB4353">
              <w:rPr>
                <w:rFonts w:asciiTheme="minorHAnsi" w:hAnsiTheme="minorHAnsi" w:cstheme="minorHAnsi"/>
                <w:color w:val="000000"/>
                <w:sz w:val="18"/>
                <w:szCs w:val="18"/>
              </w:rPr>
              <w:t>PN</w:t>
            </w:r>
            <w:r w:rsidRPr="0088248D">
              <w:rPr>
                <w:rFonts w:asciiTheme="minorHAnsi" w:hAnsiTheme="minorHAnsi" w:cstheme="minorHAnsi"/>
                <w:color w:val="000000"/>
                <w:sz w:val="18"/>
                <w:szCs w:val="18"/>
              </w:rPr>
              <w:t xml:space="preserve">) in paediatric patients with neurofibromatosis (NF1). Although the PBAC considered that selumetinib provided a high clinical benefit for patients with </w:t>
            </w:r>
            <w:r w:rsidR="00DB4353">
              <w:rPr>
                <w:rFonts w:asciiTheme="minorHAnsi" w:hAnsiTheme="minorHAnsi" w:cstheme="minorHAnsi"/>
                <w:color w:val="000000"/>
                <w:sz w:val="18"/>
                <w:szCs w:val="18"/>
              </w:rPr>
              <w:t>P</w:t>
            </w:r>
            <w:r w:rsidRPr="0088248D">
              <w:rPr>
                <w:rFonts w:asciiTheme="minorHAnsi" w:hAnsiTheme="minorHAnsi" w:cstheme="minorHAnsi"/>
                <w:color w:val="000000"/>
                <w:sz w:val="18"/>
                <w:szCs w:val="18"/>
              </w:rPr>
              <w:t xml:space="preserve">N associated with NF1 compared to supportive care, the PBAC noted that there were significant issues with the proposed restriction, the economic model and the utilisation estimates. The PBAC also noted that there were quality use of medicine issues relating to the size of the capsule and the proposed use in young children (who were the most likely to benefit from treatment). </w:t>
            </w:r>
          </w:p>
          <w:p w14:paraId="1EBD6796" w14:textId="77777777" w:rsidR="005F20C7" w:rsidRDefault="005F20C7" w:rsidP="007D090A">
            <w:pPr>
              <w:keepLines/>
              <w:rPr>
                <w:rFonts w:asciiTheme="minorHAnsi" w:hAnsiTheme="minorHAnsi" w:cstheme="minorHAnsi"/>
                <w:color w:val="000000"/>
                <w:sz w:val="18"/>
                <w:szCs w:val="18"/>
              </w:rPr>
            </w:pPr>
          </w:p>
          <w:p w14:paraId="277720B5" w14:textId="775F5143" w:rsidR="007D090A" w:rsidRPr="0088248D" w:rsidRDefault="006150FD" w:rsidP="007D090A">
            <w:pPr>
              <w:keepLines/>
              <w:rPr>
                <w:rFonts w:asciiTheme="minorHAnsi" w:hAnsiTheme="minorHAnsi" w:cstheme="minorHAnsi"/>
                <w:color w:val="000000"/>
                <w:sz w:val="18"/>
                <w:szCs w:val="18"/>
              </w:rPr>
            </w:pPr>
            <w:r w:rsidRPr="0088248D">
              <w:rPr>
                <w:rFonts w:asciiTheme="minorHAnsi" w:hAnsiTheme="minorHAnsi" w:cstheme="minorHAnsi"/>
                <w:color w:val="000000"/>
                <w:sz w:val="18"/>
                <w:szCs w:val="18"/>
              </w:rPr>
              <w:t>The PBAC nominated the Facilitated Resolution pathway for this item given the high added therapeutic value and significant outstanding issues.</w:t>
            </w:r>
          </w:p>
          <w:p w14:paraId="31FBDC64" w14:textId="77777777" w:rsidR="006150FD" w:rsidRPr="00B0328C" w:rsidRDefault="006150FD" w:rsidP="007D090A">
            <w:pPr>
              <w:keepLines/>
              <w:rPr>
                <w:rFonts w:asciiTheme="minorHAnsi" w:hAnsiTheme="minorHAnsi" w:cstheme="minorHAnsi"/>
                <w:color w:val="000000"/>
                <w:sz w:val="18"/>
                <w:szCs w:val="18"/>
                <w:u w:val="single"/>
              </w:rPr>
            </w:pPr>
          </w:p>
          <w:p w14:paraId="399C1381" w14:textId="77777777" w:rsidR="007D090A" w:rsidRDefault="007D090A" w:rsidP="007D090A">
            <w:pPr>
              <w:pStyle w:val="ListParagraph"/>
              <w:keepLines/>
              <w:ind w:left="0"/>
              <w:rPr>
                <w:rFonts w:asciiTheme="minorHAnsi" w:hAnsiTheme="minorHAnsi" w:cstheme="minorHAnsi"/>
                <w:color w:val="000000"/>
                <w:sz w:val="18"/>
                <w:szCs w:val="18"/>
                <w:u w:val="single"/>
              </w:rPr>
            </w:pPr>
            <w:r w:rsidRPr="00B0328C">
              <w:rPr>
                <w:rFonts w:asciiTheme="minorHAnsi" w:hAnsiTheme="minorHAnsi" w:cstheme="minorHAnsi"/>
                <w:color w:val="000000"/>
                <w:sz w:val="18"/>
                <w:szCs w:val="18"/>
                <w:u w:val="single"/>
              </w:rPr>
              <w:t>Sponsor’s Comment:</w:t>
            </w:r>
          </w:p>
          <w:p w14:paraId="606E53AB" w14:textId="07E32262" w:rsidR="00DB4353" w:rsidRPr="00A535A7" w:rsidRDefault="00A535A7" w:rsidP="007D090A">
            <w:pPr>
              <w:pStyle w:val="ListParagraph"/>
              <w:keepLines/>
              <w:ind w:left="0"/>
              <w:rPr>
                <w:rFonts w:asciiTheme="minorHAnsi" w:hAnsiTheme="minorHAnsi" w:cstheme="minorHAnsi"/>
                <w:color w:val="000000"/>
                <w:sz w:val="18"/>
                <w:szCs w:val="18"/>
              </w:rPr>
            </w:pPr>
            <w:r w:rsidRPr="00A535A7">
              <w:rPr>
                <w:rFonts w:asciiTheme="minorHAnsi" w:hAnsiTheme="minorHAnsi" w:cstheme="minorHAnsi"/>
                <w:color w:val="000000"/>
                <w:sz w:val="18"/>
                <w:szCs w:val="18"/>
              </w:rPr>
              <w:t>Alexion welcomes the PBAC’s acknowledgment that selumetinib provides a high clinical benefit for paediatric patients with rare plexiform neurofibroma(s) (PN) with neurofibromatosis type 1 (NF1)</w:t>
            </w:r>
            <w:r w:rsidR="003D63D1">
              <w:rPr>
                <w:rFonts w:asciiTheme="minorHAnsi" w:hAnsiTheme="minorHAnsi" w:cstheme="minorHAnsi"/>
                <w:color w:val="000000"/>
                <w:sz w:val="18"/>
                <w:szCs w:val="18"/>
              </w:rPr>
              <w:t>.</w:t>
            </w:r>
            <w:r w:rsidR="00030887">
              <w:rPr>
                <w:rFonts w:asciiTheme="minorHAnsi" w:hAnsiTheme="minorHAnsi" w:cstheme="minorHAnsi"/>
                <w:color w:val="000000"/>
                <w:sz w:val="18"/>
                <w:szCs w:val="18"/>
              </w:rPr>
              <w:t xml:space="preserve"> </w:t>
            </w:r>
            <w:r w:rsidRPr="00A535A7">
              <w:rPr>
                <w:rFonts w:asciiTheme="minorHAnsi" w:hAnsiTheme="minorHAnsi" w:cstheme="minorHAnsi"/>
                <w:color w:val="000000"/>
                <w:sz w:val="18"/>
                <w:szCs w:val="18"/>
              </w:rPr>
              <w:t>We</w:t>
            </w:r>
            <w:r w:rsidR="00030887">
              <w:rPr>
                <w:rFonts w:asciiTheme="minorHAnsi" w:hAnsiTheme="minorHAnsi" w:cstheme="minorHAnsi"/>
                <w:color w:val="000000"/>
                <w:sz w:val="18"/>
                <w:szCs w:val="18"/>
              </w:rPr>
              <w:t xml:space="preserve"> </w:t>
            </w:r>
            <w:r w:rsidRPr="00A535A7">
              <w:rPr>
                <w:rFonts w:asciiTheme="minorHAnsi" w:hAnsiTheme="minorHAnsi" w:cstheme="minorHAnsi"/>
                <w:color w:val="000000"/>
                <w:sz w:val="18"/>
                <w:szCs w:val="18"/>
              </w:rPr>
              <w:t>look forward to continuing to work with the PBAC and the Department to secure access to selumetinib for children with this rare condition, where there are no alternative therapies available</w:t>
            </w:r>
          </w:p>
        </w:tc>
      </w:tr>
      <w:tr w:rsidR="007D090A" w:rsidRPr="00544497" w14:paraId="7AABCDE4" w14:textId="77777777" w:rsidTr="0088248D">
        <w:trPr>
          <w:cantSplit/>
          <w:trHeight w:val="2948"/>
          <w:jc w:val="center"/>
        </w:trPr>
        <w:tc>
          <w:tcPr>
            <w:tcW w:w="3013" w:type="dxa"/>
            <w:shd w:val="clear" w:color="auto" w:fill="D9D9D9" w:themeFill="background1" w:themeFillShade="D9"/>
            <w:tcMar>
              <w:top w:w="28" w:type="dxa"/>
              <w:bottom w:w="28" w:type="dxa"/>
            </w:tcMar>
            <w:vAlign w:val="center"/>
          </w:tcPr>
          <w:p w14:paraId="4EC074B6" w14:textId="7706480A" w:rsidR="007D090A" w:rsidRPr="00B0328C" w:rsidRDefault="007D090A" w:rsidP="007D090A">
            <w:pPr>
              <w:keepLines/>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lastRenderedPageBreak/>
              <w:t>SOTORASIB</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Tablet 120 mg</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Lumakras®</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AMGEN AUSTRALIA PTY LIMITED</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Standard re-entry submission</w:t>
            </w:r>
            <w:r w:rsidRPr="00B0328C">
              <w:rPr>
                <w:rFonts w:asciiTheme="minorHAnsi" w:hAnsiTheme="minorHAnsi" w:cstheme="minorHAnsi"/>
                <w:color w:val="000000"/>
                <w:sz w:val="18"/>
                <w:szCs w:val="18"/>
              </w:rPr>
              <w:br/>
              <w:t>(New PBS listing)</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WITHDRAWN</w:t>
            </w:r>
          </w:p>
        </w:tc>
        <w:tc>
          <w:tcPr>
            <w:tcW w:w="2764" w:type="dxa"/>
            <w:shd w:val="clear" w:color="auto" w:fill="D9D9D9" w:themeFill="background1" w:themeFillShade="D9"/>
            <w:vAlign w:val="center"/>
          </w:tcPr>
          <w:p w14:paraId="484A386B" w14:textId="47069075" w:rsidR="007D090A" w:rsidRPr="00B0328C" w:rsidRDefault="007D090A" w:rsidP="007D090A">
            <w:pPr>
              <w:keepLines/>
              <w:widowControl w:val="0"/>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t>Non-small cell lung cancer</w:t>
            </w:r>
          </w:p>
        </w:tc>
        <w:tc>
          <w:tcPr>
            <w:tcW w:w="3288" w:type="dxa"/>
            <w:shd w:val="clear" w:color="auto" w:fill="D9D9D9" w:themeFill="background1" w:themeFillShade="D9"/>
            <w:tcMar>
              <w:top w:w="28" w:type="dxa"/>
              <w:bottom w:w="28" w:type="dxa"/>
            </w:tcMar>
            <w:vAlign w:val="center"/>
          </w:tcPr>
          <w:p w14:paraId="62633397" w14:textId="61E0B6D6" w:rsidR="007D090A" w:rsidRPr="00B0328C" w:rsidRDefault="007D090A" w:rsidP="007D090A">
            <w:pPr>
              <w:pStyle w:val="ListParagraph"/>
              <w:keepLines/>
              <w:ind w:left="0"/>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t>Resubmission to request a General Schedule Authority Required listing for the treatment of Kirsten rat sarcoma (KRAS) G12C variant non-squamous or not otherwise specified stage IIIB (locally advanced) or stage IV (metastatic) non-small cell lung cancer in patients who have progressed on prior therapy.</w:t>
            </w:r>
          </w:p>
        </w:tc>
        <w:tc>
          <w:tcPr>
            <w:tcW w:w="1987" w:type="dxa"/>
            <w:shd w:val="clear" w:color="auto" w:fill="D9D9D9" w:themeFill="background1" w:themeFillShade="D9"/>
            <w:vAlign w:val="center"/>
          </w:tcPr>
          <w:p w14:paraId="12BF1614" w14:textId="04D323E3" w:rsidR="007D090A" w:rsidRPr="00B0328C" w:rsidRDefault="007D090A" w:rsidP="007D090A">
            <w:pPr>
              <w:pStyle w:val="ListParagraph"/>
              <w:keepLines/>
              <w:ind w:left="0"/>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t>Not Applicable</w:t>
            </w:r>
          </w:p>
        </w:tc>
        <w:tc>
          <w:tcPr>
            <w:tcW w:w="4336" w:type="dxa"/>
            <w:shd w:val="clear" w:color="auto" w:fill="D9D9D9" w:themeFill="background1" w:themeFillShade="D9"/>
            <w:vAlign w:val="center"/>
          </w:tcPr>
          <w:p w14:paraId="47BEB829" w14:textId="33145D69" w:rsidR="007D090A" w:rsidRPr="00B0328C" w:rsidRDefault="007D090A" w:rsidP="007D090A">
            <w:pPr>
              <w:pStyle w:val="ListParagraph"/>
              <w:keepLines/>
              <w:ind w:left="0"/>
              <w:rPr>
                <w:rFonts w:asciiTheme="minorHAnsi" w:hAnsiTheme="minorHAnsi" w:cstheme="minorHAnsi"/>
                <w:color w:val="000000"/>
                <w:sz w:val="18"/>
                <w:szCs w:val="18"/>
              </w:rPr>
            </w:pPr>
            <w:r w:rsidRPr="00B0328C">
              <w:rPr>
                <w:rFonts w:asciiTheme="minorHAnsi" w:hAnsiTheme="minorHAnsi" w:cstheme="minorHAnsi"/>
                <w:color w:val="000000"/>
                <w:sz w:val="18"/>
                <w:szCs w:val="18"/>
              </w:rPr>
              <w:t>This item was withdrawn.</w:t>
            </w:r>
          </w:p>
        </w:tc>
      </w:tr>
      <w:tr w:rsidR="007D090A" w:rsidRPr="00544497" w14:paraId="74293D60" w14:textId="77777777" w:rsidTr="0088248D">
        <w:trPr>
          <w:cantSplit/>
          <w:trHeight w:val="2948"/>
          <w:jc w:val="center"/>
        </w:trPr>
        <w:tc>
          <w:tcPr>
            <w:tcW w:w="3013" w:type="dxa"/>
            <w:shd w:val="clear" w:color="auto" w:fill="auto"/>
            <w:tcMar>
              <w:top w:w="28" w:type="dxa"/>
              <w:bottom w:w="28" w:type="dxa"/>
            </w:tcMar>
            <w:vAlign w:val="center"/>
          </w:tcPr>
          <w:p w14:paraId="7AE891FB" w14:textId="7E260970" w:rsidR="007D090A" w:rsidRPr="00B0328C" w:rsidRDefault="007D090A" w:rsidP="007D090A">
            <w:pPr>
              <w:keepLines/>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t>UPADACITINIB</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Tablet 15 mg</w:t>
            </w:r>
            <w:r w:rsidRPr="00B0328C">
              <w:rPr>
                <w:rFonts w:asciiTheme="minorHAnsi" w:hAnsiTheme="minorHAnsi" w:cstheme="minorHAnsi"/>
                <w:color w:val="000000"/>
                <w:sz w:val="18"/>
                <w:szCs w:val="18"/>
              </w:rPr>
              <w:br/>
              <w:t>Tablet 30 mg</w:t>
            </w:r>
            <w:r w:rsidRPr="00B0328C">
              <w:rPr>
                <w:rFonts w:asciiTheme="minorHAnsi" w:hAnsiTheme="minorHAnsi" w:cstheme="minorHAnsi"/>
                <w:color w:val="000000"/>
                <w:sz w:val="18"/>
                <w:szCs w:val="18"/>
              </w:rPr>
              <w:br/>
              <w:t>Tablet 45 mg</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Rinvoq®</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AbbVie Pty Ltd</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Matters Outstanding</w:t>
            </w:r>
            <w:r w:rsidRPr="00B0328C">
              <w:rPr>
                <w:rFonts w:asciiTheme="minorHAnsi" w:hAnsiTheme="minorHAnsi" w:cstheme="minorHAnsi"/>
                <w:color w:val="000000"/>
                <w:sz w:val="18"/>
                <w:szCs w:val="18"/>
              </w:rPr>
              <w:br/>
              <w:t>(Change to PBS listing)</w:t>
            </w:r>
          </w:p>
        </w:tc>
        <w:tc>
          <w:tcPr>
            <w:tcW w:w="2764" w:type="dxa"/>
            <w:shd w:val="clear" w:color="auto" w:fill="auto"/>
            <w:vAlign w:val="center"/>
          </w:tcPr>
          <w:p w14:paraId="4735401F" w14:textId="2C303472" w:rsidR="007D090A" w:rsidRPr="00B0328C" w:rsidRDefault="007D090A" w:rsidP="007D090A">
            <w:pPr>
              <w:keepLines/>
              <w:widowControl w:val="0"/>
              <w:jc w:val="center"/>
              <w:rPr>
                <w:rFonts w:asciiTheme="minorHAnsi" w:hAnsiTheme="minorHAnsi" w:cstheme="minorHAnsi"/>
                <w:color w:val="000000"/>
                <w:sz w:val="18"/>
                <w:szCs w:val="18"/>
              </w:rPr>
            </w:pPr>
            <w:r w:rsidRPr="00B0328C">
              <w:rPr>
                <w:rFonts w:asciiTheme="minorHAnsi" w:hAnsiTheme="minorHAnsi" w:cstheme="minorHAnsi"/>
                <w:sz w:val="18"/>
                <w:szCs w:val="18"/>
              </w:rPr>
              <w:t>Ulcerative colitis</w:t>
            </w:r>
          </w:p>
        </w:tc>
        <w:tc>
          <w:tcPr>
            <w:tcW w:w="3288" w:type="dxa"/>
            <w:shd w:val="clear" w:color="auto" w:fill="auto"/>
            <w:tcMar>
              <w:top w:w="28" w:type="dxa"/>
              <w:bottom w:w="28" w:type="dxa"/>
            </w:tcMar>
            <w:vAlign w:val="center"/>
          </w:tcPr>
          <w:p w14:paraId="60E9BB81" w14:textId="1970A1E8" w:rsidR="007D090A" w:rsidRPr="00B0328C" w:rsidRDefault="007D090A" w:rsidP="007D090A">
            <w:pPr>
              <w:pStyle w:val="ListParagraph"/>
              <w:keepLines/>
              <w:ind w:left="0"/>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t>To request a General Schedule Authority Required (Written) listing for the</w:t>
            </w:r>
            <w:r w:rsidR="00544497">
              <w:rPr>
                <w:rFonts w:asciiTheme="minorHAnsi" w:hAnsiTheme="minorHAnsi" w:cstheme="minorHAnsi"/>
                <w:color w:val="000000"/>
                <w:sz w:val="18"/>
                <w:szCs w:val="18"/>
              </w:rPr>
              <w:t xml:space="preserve"> </w:t>
            </w:r>
            <w:r w:rsidRPr="00B0328C">
              <w:rPr>
                <w:rFonts w:asciiTheme="minorHAnsi" w:hAnsiTheme="minorHAnsi" w:cstheme="minorHAnsi"/>
                <w:color w:val="000000"/>
                <w:sz w:val="18"/>
                <w:szCs w:val="18"/>
              </w:rPr>
              <w:t>treatment of moderate to severe ulcerative colitis</w:t>
            </w:r>
            <w:r w:rsidR="00444A0A">
              <w:rPr>
                <w:rFonts w:asciiTheme="minorHAnsi" w:hAnsiTheme="minorHAnsi" w:cstheme="minorHAnsi"/>
                <w:color w:val="000000"/>
                <w:sz w:val="18"/>
                <w:szCs w:val="18"/>
              </w:rPr>
              <w:t xml:space="preserve"> (MSUC)</w:t>
            </w:r>
            <w:r w:rsidRPr="00B0328C">
              <w:rPr>
                <w:rFonts w:asciiTheme="minorHAnsi" w:hAnsiTheme="minorHAnsi" w:cstheme="minorHAnsi"/>
                <w:color w:val="000000"/>
                <w:sz w:val="18"/>
                <w:szCs w:val="18"/>
              </w:rPr>
              <w:t>, in patients who are</w:t>
            </w:r>
            <w:r w:rsidR="00544497">
              <w:rPr>
                <w:rFonts w:asciiTheme="minorHAnsi" w:hAnsiTheme="minorHAnsi" w:cstheme="minorHAnsi"/>
                <w:color w:val="000000"/>
                <w:sz w:val="18"/>
                <w:szCs w:val="18"/>
              </w:rPr>
              <w:t xml:space="preserve"> </w:t>
            </w:r>
            <w:r w:rsidRPr="00B0328C">
              <w:rPr>
                <w:rFonts w:asciiTheme="minorHAnsi" w:hAnsiTheme="minorHAnsi" w:cstheme="minorHAnsi"/>
                <w:color w:val="000000"/>
                <w:sz w:val="18"/>
                <w:szCs w:val="18"/>
              </w:rPr>
              <w:t>contraindicated to, or whose disease has not adequately responded to</w:t>
            </w:r>
            <w:r w:rsidR="00544497">
              <w:rPr>
                <w:rFonts w:asciiTheme="minorHAnsi" w:hAnsiTheme="minorHAnsi" w:cstheme="minorHAnsi"/>
                <w:color w:val="000000"/>
                <w:sz w:val="18"/>
                <w:szCs w:val="18"/>
              </w:rPr>
              <w:t xml:space="preserve"> </w:t>
            </w:r>
            <w:r w:rsidRPr="00B0328C">
              <w:rPr>
                <w:rFonts w:asciiTheme="minorHAnsi" w:hAnsiTheme="minorHAnsi" w:cstheme="minorHAnsi"/>
                <w:color w:val="000000"/>
                <w:sz w:val="18"/>
                <w:szCs w:val="18"/>
              </w:rPr>
              <w:t>conventional therapies.</w:t>
            </w:r>
          </w:p>
        </w:tc>
        <w:tc>
          <w:tcPr>
            <w:tcW w:w="1987" w:type="dxa"/>
            <w:shd w:val="clear" w:color="auto" w:fill="auto"/>
            <w:vAlign w:val="center"/>
          </w:tcPr>
          <w:p w14:paraId="01CB2054" w14:textId="7837B29B" w:rsidR="007D090A" w:rsidRPr="00B0328C" w:rsidRDefault="007D090A" w:rsidP="007D090A">
            <w:pPr>
              <w:pStyle w:val="ListParagraph"/>
              <w:keepLines/>
              <w:ind w:left="0"/>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t>Recommended</w:t>
            </w:r>
          </w:p>
        </w:tc>
        <w:tc>
          <w:tcPr>
            <w:tcW w:w="4336" w:type="dxa"/>
            <w:shd w:val="clear" w:color="auto" w:fill="auto"/>
            <w:vAlign w:val="center"/>
          </w:tcPr>
          <w:p w14:paraId="68A3EF89" w14:textId="0E20C991" w:rsidR="007D090A" w:rsidRPr="00B0328C" w:rsidRDefault="007D090A" w:rsidP="007D090A">
            <w:pPr>
              <w:pStyle w:val="ListParagraph"/>
              <w:keepLines/>
              <w:ind w:left="0"/>
              <w:rPr>
                <w:rFonts w:asciiTheme="minorHAnsi" w:hAnsiTheme="minorHAnsi" w:cstheme="minorHAnsi"/>
                <w:color w:val="000000"/>
                <w:sz w:val="18"/>
                <w:szCs w:val="18"/>
              </w:rPr>
            </w:pPr>
            <w:r w:rsidRPr="00B0328C">
              <w:rPr>
                <w:rFonts w:asciiTheme="minorHAnsi" w:hAnsiTheme="minorHAnsi" w:cstheme="minorHAnsi"/>
                <w:sz w:val="18"/>
                <w:szCs w:val="18"/>
              </w:rPr>
              <w:t xml:space="preserve">The PBAC recommended the General Schedule listings of upadacitinib (UPA) for the treatment of MSUC, on a cost-minimisation basis with the least costly alternative biologic or targeted synthetic disease modifying anti-rheumatic drug (bDMARD/tsDMARD) (excluding adalimumab (ADA)). The </w:t>
            </w:r>
            <w:r w:rsidR="009C03C5">
              <w:rPr>
                <w:rFonts w:asciiTheme="minorHAnsi" w:hAnsiTheme="minorHAnsi" w:cstheme="minorHAnsi"/>
                <w:sz w:val="18"/>
                <w:szCs w:val="18"/>
              </w:rPr>
              <w:t>PBAC</w:t>
            </w:r>
            <w:r w:rsidRPr="00B0328C">
              <w:rPr>
                <w:rFonts w:asciiTheme="minorHAnsi" w:hAnsiTheme="minorHAnsi" w:cstheme="minorHAnsi"/>
                <w:sz w:val="18"/>
                <w:szCs w:val="18"/>
              </w:rPr>
              <w:t xml:space="preserve"> considered the claim of non-inferior comparative effectiveness to the alternative bDMARDs/tsDMARDs and superior comparative effectiveness to ADA were reasonable. The PBAC’s recommendation was therefore, among other matters, based on its assessment that the cost of UPA should be no greater than the cost of the alternative therapies (excluding ADA) over two years. </w:t>
            </w:r>
            <w:r w:rsidRPr="00B0328C">
              <w:rPr>
                <w:rFonts w:asciiTheme="minorHAnsi" w:hAnsiTheme="minorHAnsi" w:cstheme="minorHAnsi"/>
                <w:sz w:val="18"/>
                <w:szCs w:val="18"/>
              </w:rPr>
              <w:br/>
            </w:r>
            <w:r w:rsidRPr="00B0328C">
              <w:rPr>
                <w:rFonts w:asciiTheme="minorHAnsi" w:hAnsiTheme="minorHAnsi" w:cstheme="minorHAnsi"/>
                <w:sz w:val="18"/>
                <w:szCs w:val="18"/>
              </w:rPr>
              <w:br/>
              <w:t xml:space="preserve">The PBAC </w:t>
            </w:r>
            <w:r w:rsidR="002C1F7B">
              <w:rPr>
                <w:rFonts w:asciiTheme="minorHAnsi" w:hAnsiTheme="minorHAnsi" w:cstheme="minorHAnsi"/>
                <w:sz w:val="18"/>
                <w:szCs w:val="18"/>
              </w:rPr>
              <w:t>recommended</w:t>
            </w:r>
            <w:r w:rsidRPr="00B0328C">
              <w:rPr>
                <w:rFonts w:asciiTheme="minorHAnsi" w:hAnsiTheme="minorHAnsi" w:cstheme="minorHAnsi"/>
                <w:sz w:val="18"/>
                <w:szCs w:val="18"/>
              </w:rPr>
              <w:t xml:space="preserve"> flow-on changes to other bDMARD/tsDMARD listings in MSUC to include UPA in the list of eligible treatments in a treatment cycle.</w:t>
            </w:r>
          </w:p>
        </w:tc>
      </w:tr>
      <w:tr w:rsidR="007D090A" w:rsidRPr="00544497" w14:paraId="36256D48" w14:textId="77777777" w:rsidTr="0088248D">
        <w:trPr>
          <w:cantSplit/>
          <w:trHeight w:val="2948"/>
          <w:jc w:val="center"/>
        </w:trPr>
        <w:tc>
          <w:tcPr>
            <w:tcW w:w="3013" w:type="dxa"/>
            <w:shd w:val="clear" w:color="auto" w:fill="auto"/>
            <w:tcMar>
              <w:top w:w="28" w:type="dxa"/>
              <w:bottom w:w="28" w:type="dxa"/>
            </w:tcMar>
            <w:vAlign w:val="center"/>
          </w:tcPr>
          <w:p w14:paraId="605CB23A" w14:textId="69C7D743" w:rsidR="007D090A" w:rsidRPr="00B0328C" w:rsidRDefault="007D090A" w:rsidP="007D090A">
            <w:pPr>
              <w:keepLines/>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lastRenderedPageBreak/>
              <w:t>UPADACITINIB</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Tablet 15 mg</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Rinvoq®</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ABBVIE PTY LTD</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Category 2 submission</w:t>
            </w:r>
            <w:r w:rsidRPr="00B0328C">
              <w:rPr>
                <w:rFonts w:asciiTheme="minorHAnsi" w:hAnsiTheme="minorHAnsi" w:cstheme="minorHAnsi"/>
                <w:color w:val="000000"/>
                <w:sz w:val="18"/>
                <w:szCs w:val="18"/>
              </w:rPr>
              <w:br/>
              <w:t>(Change to PBS listing)</w:t>
            </w:r>
          </w:p>
        </w:tc>
        <w:tc>
          <w:tcPr>
            <w:tcW w:w="2764" w:type="dxa"/>
            <w:shd w:val="clear" w:color="auto" w:fill="auto"/>
            <w:vAlign w:val="center"/>
          </w:tcPr>
          <w:p w14:paraId="5F2E4192" w14:textId="329A1EBA" w:rsidR="007D090A" w:rsidRPr="00B0328C" w:rsidRDefault="007D090A" w:rsidP="007D090A">
            <w:pPr>
              <w:keepLines/>
              <w:widowControl w:val="0"/>
              <w:jc w:val="center"/>
              <w:rPr>
                <w:rFonts w:asciiTheme="minorHAnsi" w:hAnsiTheme="minorHAnsi" w:cstheme="minorHAnsi"/>
                <w:sz w:val="18"/>
                <w:szCs w:val="18"/>
              </w:rPr>
            </w:pPr>
            <w:r w:rsidRPr="00B0328C">
              <w:rPr>
                <w:rFonts w:asciiTheme="minorHAnsi" w:hAnsiTheme="minorHAnsi" w:cstheme="minorHAnsi"/>
                <w:color w:val="000000"/>
                <w:sz w:val="18"/>
                <w:szCs w:val="18"/>
              </w:rPr>
              <w:t>Non-radiographic axial spondyloarthritis</w:t>
            </w:r>
          </w:p>
        </w:tc>
        <w:tc>
          <w:tcPr>
            <w:tcW w:w="3288" w:type="dxa"/>
            <w:shd w:val="clear" w:color="auto" w:fill="auto"/>
            <w:tcMar>
              <w:top w:w="28" w:type="dxa"/>
              <w:bottom w:w="28" w:type="dxa"/>
            </w:tcMar>
            <w:vAlign w:val="center"/>
          </w:tcPr>
          <w:p w14:paraId="0C966A77" w14:textId="58C6B8B1" w:rsidR="007D090A" w:rsidRPr="00B0328C" w:rsidRDefault="007D090A" w:rsidP="007D090A">
            <w:pPr>
              <w:pStyle w:val="ListParagraph"/>
              <w:keepLines/>
              <w:ind w:left="0"/>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t>To request a General Schedule Authority Required (Written) listing for the treatment of non-radiographic axial spondyloarthritis</w:t>
            </w:r>
            <w:r w:rsidR="00444A0A">
              <w:rPr>
                <w:rFonts w:asciiTheme="minorHAnsi" w:hAnsiTheme="minorHAnsi" w:cstheme="minorHAnsi"/>
                <w:color w:val="000000"/>
                <w:sz w:val="18"/>
                <w:szCs w:val="18"/>
              </w:rPr>
              <w:t xml:space="preserve"> (nr-axSpA)</w:t>
            </w:r>
            <w:r w:rsidRPr="00B0328C">
              <w:rPr>
                <w:rFonts w:asciiTheme="minorHAnsi" w:hAnsiTheme="minorHAnsi" w:cstheme="minorHAnsi"/>
                <w:color w:val="000000"/>
                <w:sz w:val="18"/>
                <w:szCs w:val="18"/>
              </w:rPr>
              <w:t>.</w:t>
            </w:r>
          </w:p>
        </w:tc>
        <w:tc>
          <w:tcPr>
            <w:tcW w:w="1987" w:type="dxa"/>
            <w:shd w:val="clear" w:color="auto" w:fill="auto"/>
            <w:vAlign w:val="center"/>
          </w:tcPr>
          <w:p w14:paraId="017F0457" w14:textId="17302740" w:rsidR="007D090A" w:rsidRPr="00B0328C" w:rsidRDefault="007D090A" w:rsidP="007D090A">
            <w:pPr>
              <w:pStyle w:val="ListParagraph"/>
              <w:keepLines/>
              <w:ind w:left="0"/>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t>Deferred</w:t>
            </w:r>
          </w:p>
        </w:tc>
        <w:tc>
          <w:tcPr>
            <w:tcW w:w="4336" w:type="dxa"/>
            <w:shd w:val="clear" w:color="auto" w:fill="auto"/>
            <w:vAlign w:val="center"/>
          </w:tcPr>
          <w:p w14:paraId="2145FBD2" w14:textId="5575F790" w:rsidR="006E3A8F" w:rsidRPr="0088248D" w:rsidRDefault="006E3A8F" w:rsidP="006E3A8F">
            <w:pPr>
              <w:rPr>
                <w:rFonts w:asciiTheme="minorHAnsi" w:hAnsiTheme="minorHAnsi" w:cstheme="minorHAnsi"/>
                <w:color w:val="000000"/>
                <w:sz w:val="18"/>
                <w:szCs w:val="18"/>
              </w:rPr>
            </w:pPr>
            <w:r w:rsidRPr="0088248D">
              <w:rPr>
                <w:rFonts w:asciiTheme="minorHAnsi" w:hAnsiTheme="minorHAnsi" w:cstheme="minorHAnsi"/>
                <w:color w:val="000000"/>
                <w:sz w:val="18"/>
                <w:szCs w:val="18"/>
              </w:rPr>
              <w:t>The PBAC deferred making a recommendation on the submission seeking to list upadacitinib (UPA) for nr-axSpA, as the TGA Delegate’s Overview was not available at time of PBAC consideration. However, the PBAC was of a mind to recommend the listing of UPA on a cost</w:t>
            </w:r>
            <w:r w:rsidR="007A17E2">
              <w:rPr>
                <w:rFonts w:asciiTheme="minorHAnsi" w:hAnsiTheme="minorHAnsi" w:cstheme="minorHAnsi"/>
                <w:color w:val="000000"/>
                <w:sz w:val="18"/>
                <w:szCs w:val="18"/>
              </w:rPr>
              <w:t>-</w:t>
            </w:r>
            <w:r w:rsidRPr="0088248D">
              <w:rPr>
                <w:rFonts w:asciiTheme="minorHAnsi" w:hAnsiTheme="minorHAnsi" w:cstheme="minorHAnsi"/>
                <w:color w:val="000000"/>
                <w:sz w:val="18"/>
                <w:szCs w:val="18"/>
              </w:rPr>
              <w:t>minimisation basis with the least costly alternative biological or targeted synthetic disease modifying anti-rheumatic drug for nr-axSpA because UPA is likely to be of overall non-inferior comparative effectiveness and safety to the alternative therapies.</w:t>
            </w:r>
          </w:p>
          <w:p w14:paraId="0FBB31B1" w14:textId="77777777" w:rsidR="007D090A" w:rsidRPr="00B0328C" w:rsidRDefault="007D090A" w:rsidP="007D090A">
            <w:pPr>
              <w:keepLines/>
              <w:rPr>
                <w:rFonts w:asciiTheme="minorHAnsi" w:hAnsiTheme="minorHAnsi" w:cstheme="minorHAnsi"/>
                <w:color w:val="000000"/>
                <w:sz w:val="18"/>
                <w:szCs w:val="18"/>
                <w:u w:val="single"/>
              </w:rPr>
            </w:pPr>
          </w:p>
          <w:p w14:paraId="1ABA8820" w14:textId="77777777" w:rsidR="007D090A" w:rsidRDefault="007D090A" w:rsidP="007D090A">
            <w:pPr>
              <w:pStyle w:val="ListParagraph"/>
              <w:keepLines/>
              <w:ind w:left="0"/>
              <w:rPr>
                <w:rFonts w:asciiTheme="minorHAnsi" w:hAnsiTheme="minorHAnsi" w:cstheme="minorHAnsi"/>
                <w:color w:val="000000"/>
                <w:sz w:val="18"/>
                <w:szCs w:val="18"/>
                <w:u w:val="single"/>
              </w:rPr>
            </w:pPr>
            <w:r w:rsidRPr="00B0328C">
              <w:rPr>
                <w:rFonts w:asciiTheme="minorHAnsi" w:hAnsiTheme="minorHAnsi" w:cstheme="minorHAnsi"/>
                <w:color w:val="000000"/>
                <w:sz w:val="18"/>
                <w:szCs w:val="18"/>
                <w:u w:val="single"/>
              </w:rPr>
              <w:t>Sponsor’s Comment:</w:t>
            </w:r>
          </w:p>
          <w:p w14:paraId="00D63E6C" w14:textId="5199E2A5" w:rsidR="00850C7E" w:rsidRPr="00850C7E" w:rsidRDefault="00D96248" w:rsidP="007D090A">
            <w:pPr>
              <w:pStyle w:val="ListParagraph"/>
              <w:keepLines/>
              <w:ind w:left="0"/>
              <w:rPr>
                <w:rFonts w:asciiTheme="minorHAnsi" w:hAnsiTheme="minorHAnsi" w:cstheme="minorHAnsi"/>
                <w:sz w:val="18"/>
                <w:szCs w:val="18"/>
              </w:rPr>
            </w:pPr>
            <w:r>
              <w:rPr>
                <w:rFonts w:asciiTheme="minorHAnsi" w:hAnsiTheme="minorHAnsi" w:cstheme="minorHAnsi"/>
                <w:color w:val="000000"/>
                <w:sz w:val="18"/>
                <w:szCs w:val="18"/>
              </w:rPr>
              <w:t>The sponsor had no comment.</w:t>
            </w:r>
          </w:p>
        </w:tc>
      </w:tr>
      <w:tr w:rsidR="007D090A" w:rsidRPr="00544497" w14:paraId="78920005" w14:textId="77777777" w:rsidTr="0088248D">
        <w:trPr>
          <w:cantSplit/>
          <w:trHeight w:val="2948"/>
          <w:jc w:val="center"/>
        </w:trPr>
        <w:tc>
          <w:tcPr>
            <w:tcW w:w="3013" w:type="dxa"/>
            <w:shd w:val="clear" w:color="auto" w:fill="auto"/>
            <w:tcMar>
              <w:top w:w="28" w:type="dxa"/>
              <w:bottom w:w="28" w:type="dxa"/>
            </w:tcMar>
            <w:vAlign w:val="center"/>
          </w:tcPr>
          <w:p w14:paraId="09FCB8FC" w14:textId="5F280C11" w:rsidR="007D090A" w:rsidRPr="0088248D" w:rsidRDefault="007D090A" w:rsidP="007D090A">
            <w:pPr>
              <w:keepLines/>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t>VOSORITIDE</w:t>
            </w:r>
            <w:r w:rsidRPr="00B0328C">
              <w:rPr>
                <w:rFonts w:asciiTheme="minorHAnsi" w:hAnsiTheme="minorHAnsi" w:cstheme="minorHAnsi"/>
                <w:color w:val="000000"/>
                <w:sz w:val="18"/>
                <w:szCs w:val="18"/>
              </w:rPr>
              <w:br/>
            </w:r>
            <w:r w:rsidRPr="00B0328C">
              <w:rPr>
                <w:rFonts w:asciiTheme="minorHAnsi" w:hAnsiTheme="minorHAnsi" w:cstheme="minorHAnsi"/>
                <w:color w:val="000000"/>
                <w:sz w:val="18"/>
                <w:szCs w:val="18"/>
              </w:rPr>
              <w:br/>
              <w:t>Powder for injection 0.4</w:t>
            </w:r>
            <w:r w:rsidR="00804C27">
              <w:rPr>
                <w:rFonts w:asciiTheme="minorHAnsi" w:hAnsiTheme="minorHAnsi" w:cstheme="minorHAnsi"/>
                <w:color w:val="000000"/>
                <w:sz w:val="18"/>
                <w:szCs w:val="18"/>
              </w:rPr>
              <w:t> </w:t>
            </w:r>
            <w:r w:rsidRPr="0088248D">
              <w:rPr>
                <w:rFonts w:asciiTheme="minorHAnsi" w:hAnsiTheme="minorHAnsi" w:cstheme="minorHAnsi"/>
                <w:color w:val="000000"/>
                <w:sz w:val="18"/>
                <w:szCs w:val="18"/>
              </w:rPr>
              <w:t>mg with diluent</w:t>
            </w:r>
            <w:r w:rsidRPr="0088248D">
              <w:rPr>
                <w:rFonts w:asciiTheme="minorHAnsi" w:hAnsiTheme="minorHAnsi" w:cstheme="minorHAnsi"/>
                <w:color w:val="000000"/>
                <w:sz w:val="18"/>
                <w:szCs w:val="18"/>
              </w:rPr>
              <w:br/>
              <w:t>Powder for injection 0.56</w:t>
            </w:r>
            <w:r w:rsidR="00804C27">
              <w:rPr>
                <w:rFonts w:asciiTheme="minorHAnsi" w:hAnsiTheme="minorHAnsi" w:cstheme="minorHAnsi"/>
                <w:color w:val="000000"/>
                <w:sz w:val="18"/>
                <w:szCs w:val="18"/>
              </w:rPr>
              <w:t> </w:t>
            </w:r>
            <w:r w:rsidRPr="0088248D">
              <w:rPr>
                <w:rFonts w:asciiTheme="minorHAnsi" w:hAnsiTheme="minorHAnsi" w:cstheme="minorHAnsi"/>
                <w:color w:val="000000"/>
                <w:sz w:val="18"/>
                <w:szCs w:val="18"/>
              </w:rPr>
              <w:t>mg with diluent</w:t>
            </w:r>
            <w:r w:rsidRPr="0088248D">
              <w:rPr>
                <w:rFonts w:asciiTheme="minorHAnsi" w:hAnsiTheme="minorHAnsi" w:cstheme="minorHAnsi"/>
                <w:color w:val="000000"/>
                <w:sz w:val="18"/>
                <w:szCs w:val="18"/>
              </w:rPr>
              <w:br/>
              <w:t>Powder for injection 1.2</w:t>
            </w:r>
            <w:r w:rsidR="00804C27">
              <w:rPr>
                <w:rFonts w:asciiTheme="minorHAnsi" w:hAnsiTheme="minorHAnsi" w:cstheme="minorHAnsi"/>
                <w:color w:val="000000"/>
                <w:sz w:val="18"/>
                <w:szCs w:val="18"/>
              </w:rPr>
              <w:t> </w:t>
            </w:r>
            <w:r w:rsidRPr="0088248D">
              <w:rPr>
                <w:rFonts w:asciiTheme="minorHAnsi" w:hAnsiTheme="minorHAnsi" w:cstheme="minorHAnsi"/>
                <w:color w:val="000000"/>
                <w:sz w:val="18"/>
                <w:szCs w:val="18"/>
              </w:rPr>
              <w:t>mg with diluent</w:t>
            </w:r>
            <w:r w:rsidRPr="0088248D">
              <w:rPr>
                <w:rFonts w:asciiTheme="minorHAnsi" w:hAnsiTheme="minorHAnsi" w:cstheme="minorHAnsi"/>
                <w:color w:val="000000"/>
                <w:sz w:val="18"/>
                <w:szCs w:val="18"/>
              </w:rPr>
              <w:br/>
            </w:r>
            <w:r w:rsidRPr="0088248D">
              <w:rPr>
                <w:rFonts w:asciiTheme="minorHAnsi" w:hAnsiTheme="minorHAnsi" w:cstheme="minorHAnsi"/>
                <w:color w:val="000000"/>
                <w:sz w:val="18"/>
                <w:szCs w:val="18"/>
              </w:rPr>
              <w:br/>
              <w:t>Voxzogo®</w:t>
            </w:r>
            <w:r w:rsidRPr="0088248D">
              <w:rPr>
                <w:rFonts w:asciiTheme="minorHAnsi" w:hAnsiTheme="minorHAnsi" w:cstheme="minorHAnsi"/>
                <w:color w:val="000000"/>
                <w:sz w:val="18"/>
                <w:szCs w:val="18"/>
              </w:rPr>
              <w:br/>
            </w:r>
            <w:r w:rsidRPr="0088248D">
              <w:rPr>
                <w:rFonts w:asciiTheme="minorHAnsi" w:hAnsiTheme="minorHAnsi" w:cstheme="minorHAnsi"/>
                <w:color w:val="000000"/>
                <w:sz w:val="18"/>
                <w:szCs w:val="18"/>
              </w:rPr>
              <w:br/>
              <w:t>BioMarin Pharmaceutical Australia Pty Ltd</w:t>
            </w:r>
            <w:r w:rsidRPr="0088248D">
              <w:rPr>
                <w:rFonts w:asciiTheme="minorHAnsi" w:hAnsiTheme="minorHAnsi" w:cstheme="minorHAnsi"/>
                <w:color w:val="000000"/>
                <w:sz w:val="18"/>
                <w:szCs w:val="18"/>
              </w:rPr>
              <w:br/>
            </w:r>
            <w:r w:rsidRPr="0088248D">
              <w:rPr>
                <w:rFonts w:asciiTheme="minorHAnsi" w:hAnsiTheme="minorHAnsi" w:cstheme="minorHAnsi"/>
                <w:color w:val="000000"/>
                <w:sz w:val="18"/>
                <w:szCs w:val="18"/>
              </w:rPr>
              <w:br/>
              <w:t>Matters Outstanding</w:t>
            </w:r>
            <w:r w:rsidRPr="0088248D">
              <w:rPr>
                <w:rFonts w:asciiTheme="minorHAnsi" w:hAnsiTheme="minorHAnsi" w:cstheme="minorHAnsi"/>
                <w:color w:val="000000"/>
                <w:sz w:val="18"/>
                <w:szCs w:val="18"/>
              </w:rPr>
              <w:br/>
              <w:t>(New PBS listing)</w:t>
            </w:r>
          </w:p>
        </w:tc>
        <w:tc>
          <w:tcPr>
            <w:tcW w:w="2764" w:type="dxa"/>
            <w:shd w:val="clear" w:color="auto" w:fill="auto"/>
            <w:vAlign w:val="center"/>
          </w:tcPr>
          <w:p w14:paraId="3F515637" w14:textId="2DA7A438" w:rsidR="007D090A" w:rsidRPr="0088248D" w:rsidRDefault="007D090A" w:rsidP="007D090A">
            <w:pPr>
              <w:keepLines/>
              <w:widowControl w:val="0"/>
              <w:jc w:val="center"/>
              <w:rPr>
                <w:rFonts w:asciiTheme="minorHAnsi" w:hAnsiTheme="minorHAnsi" w:cstheme="minorHAnsi"/>
                <w:color w:val="000000"/>
                <w:sz w:val="18"/>
                <w:szCs w:val="18"/>
              </w:rPr>
            </w:pPr>
            <w:r w:rsidRPr="0088248D">
              <w:rPr>
                <w:rFonts w:asciiTheme="minorHAnsi" w:hAnsiTheme="minorHAnsi" w:cstheme="minorHAnsi"/>
                <w:sz w:val="18"/>
                <w:szCs w:val="18"/>
              </w:rPr>
              <w:t>Achondroplasia</w:t>
            </w:r>
          </w:p>
        </w:tc>
        <w:tc>
          <w:tcPr>
            <w:tcW w:w="3288" w:type="dxa"/>
            <w:shd w:val="clear" w:color="auto" w:fill="auto"/>
            <w:tcMar>
              <w:top w:w="28" w:type="dxa"/>
              <w:bottom w:w="28" w:type="dxa"/>
            </w:tcMar>
            <w:vAlign w:val="center"/>
          </w:tcPr>
          <w:p w14:paraId="2E655E70" w14:textId="1E63D7D2" w:rsidR="007D090A" w:rsidRPr="00B0328C" w:rsidRDefault="007D090A" w:rsidP="007D090A">
            <w:pPr>
              <w:pStyle w:val="ListParagraph"/>
              <w:keepLines/>
              <w:ind w:left="0"/>
              <w:jc w:val="center"/>
              <w:rPr>
                <w:rFonts w:asciiTheme="minorHAnsi" w:hAnsiTheme="minorHAnsi" w:cstheme="minorHAnsi"/>
                <w:color w:val="000000"/>
                <w:sz w:val="18"/>
                <w:szCs w:val="18"/>
              </w:rPr>
            </w:pPr>
            <w:r w:rsidRPr="0088248D">
              <w:rPr>
                <w:rFonts w:asciiTheme="minorHAnsi" w:hAnsiTheme="minorHAnsi" w:cstheme="minorHAnsi"/>
                <w:color w:val="000000"/>
                <w:sz w:val="18"/>
                <w:szCs w:val="18"/>
              </w:rPr>
              <w:t>To request a General Schedule Authority Required listing for the treatment of</w:t>
            </w:r>
            <w:r w:rsidR="00804C27">
              <w:rPr>
                <w:rFonts w:asciiTheme="minorHAnsi" w:hAnsiTheme="minorHAnsi" w:cstheme="minorHAnsi"/>
                <w:color w:val="000000"/>
                <w:sz w:val="18"/>
                <w:szCs w:val="18"/>
              </w:rPr>
              <w:t xml:space="preserve"> </w:t>
            </w:r>
            <w:r w:rsidRPr="00B0328C">
              <w:rPr>
                <w:rFonts w:asciiTheme="minorHAnsi" w:hAnsiTheme="minorHAnsi" w:cstheme="minorHAnsi"/>
                <w:color w:val="000000"/>
                <w:sz w:val="18"/>
                <w:szCs w:val="18"/>
              </w:rPr>
              <w:t>patients with achondroplasia whose epiphyses are not closed.</w:t>
            </w:r>
          </w:p>
        </w:tc>
        <w:tc>
          <w:tcPr>
            <w:tcW w:w="1987" w:type="dxa"/>
            <w:shd w:val="clear" w:color="auto" w:fill="auto"/>
            <w:vAlign w:val="center"/>
          </w:tcPr>
          <w:p w14:paraId="01E4BC18" w14:textId="0CB4004D" w:rsidR="007D090A" w:rsidRPr="00B0328C" w:rsidRDefault="007D090A" w:rsidP="007D090A">
            <w:pPr>
              <w:pStyle w:val="ListParagraph"/>
              <w:keepLines/>
              <w:ind w:left="0"/>
              <w:jc w:val="center"/>
              <w:rPr>
                <w:rFonts w:asciiTheme="minorHAnsi" w:hAnsiTheme="minorHAnsi" w:cstheme="minorHAnsi"/>
                <w:color w:val="000000"/>
                <w:sz w:val="18"/>
                <w:szCs w:val="18"/>
              </w:rPr>
            </w:pPr>
            <w:r w:rsidRPr="00B0328C">
              <w:rPr>
                <w:rFonts w:asciiTheme="minorHAnsi" w:hAnsiTheme="minorHAnsi" w:cstheme="minorHAnsi"/>
                <w:color w:val="000000"/>
                <w:sz w:val="18"/>
                <w:szCs w:val="18"/>
              </w:rPr>
              <w:t>Recommended</w:t>
            </w:r>
          </w:p>
        </w:tc>
        <w:tc>
          <w:tcPr>
            <w:tcW w:w="4336" w:type="dxa"/>
            <w:shd w:val="clear" w:color="auto" w:fill="auto"/>
            <w:vAlign w:val="center"/>
          </w:tcPr>
          <w:p w14:paraId="3F108A2F" w14:textId="775B5F7D" w:rsidR="007D090A" w:rsidRPr="00B0328C" w:rsidRDefault="007D090A" w:rsidP="007D090A">
            <w:pPr>
              <w:pStyle w:val="ListParagraph"/>
              <w:keepLines/>
              <w:ind w:left="0"/>
              <w:rPr>
                <w:rFonts w:asciiTheme="minorHAnsi" w:hAnsiTheme="minorHAnsi" w:cstheme="minorHAnsi"/>
                <w:sz w:val="18"/>
                <w:szCs w:val="18"/>
              </w:rPr>
            </w:pPr>
            <w:r w:rsidRPr="00B0328C">
              <w:rPr>
                <w:rFonts w:asciiTheme="minorHAnsi" w:hAnsiTheme="minorHAnsi" w:cstheme="minorHAnsi"/>
                <w:sz w:val="18"/>
                <w:szCs w:val="18"/>
              </w:rPr>
              <w:t>The PBAC recommended the listing of vosoritide for the treatment of patients with achondroplasia whose epiphyses are not closed. The PBAC was satisfied that vosoritide provides, for some patients, a significant improvement in efficacy over best supportive care. The PBAC reaffirmed that there are no treatments on the PBS available specifically for this condition, and it considered that the addition of vosoritide offered high added therapeutic value.</w:t>
            </w:r>
            <w:r w:rsidRPr="00B0328C">
              <w:rPr>
                <w:rFonts w:asciiTheme="minorHAnsi" w:hAnsiTheme="minorHAnsi" w:cstheme="minorHAnsi"/>
                <w:sz w:val="18"/>
                <w:szCs w:val="18"/>
              </w:rPr>
              <w:br/>
              <w:t>The PBAC’s recommendation for listing was based on, among other matters, its assessment, that the cost-effectiveness of vosoritide would be acceptable at the price proposed in the September 2022 resubmission, if additional measures were implemented, including a review of trial evidence available at three years post the date of listing, and a risk sharing arrangement.</w:t>
            </w:r>
          </w:p>
        </w:tc>
      </w:tr>
    </w:tbl>
    <w:p w14:paraId="6E704BBA" w14:textId="77777777" w:rsidR="001B15BA" w:rsidRPr="00292120" w:rsidRDefault="001B15BA">
      <w:pPr>
        <w:rPr>
          <w:rFonts w:ascii="Arial" w:hAnsi="Arial" w:cs="Arial"/>
        </w:rPr>
      </w:pPr>
    </w:p>
    <w:p w14:paraId="2CF311E1" w14:textId="4F960C14" w:rsidR="007F1C7A" w:rsidRPr="00292120" w:rsidRDefault="007F1C7A">
      <w:pPr>
        <w:rPr>
          <w:rFonts w:ascii="Arial" w:hAnsi="Arial" w:cs="Arial"/>
          <w:b/>
          <w:lang w:val="en-US"/>
        </w:rPr>
      </w:pPr>
      <w:r w:rsidRPr="00292120">
        <w:rPr>
          <w:rFonts w:ascii="Arial" w:hAnsi="Arial" w:cs="Arial"/>
          <w:b/>
          <w:lang w:val="en-US"/>
        </w:rPr>
        <w:br w:type="page"/>
      </w:r>
    </w:p>
    <w:tbl>
      <w:tblPr>
        <w:tblW w:w="5002" w:type="pct"/>
        <w:tblLayout w:type="fixed"/>
        <w:tblLook w:val="04A0" w:firstRow="1" w:lastRow="0" w:firstColumn="1" w:lastColumn="0" w:noHBand="0" w:noVBand="1"/>
      </w:tblPr>
      <w:tblGrid>
        <w:gridCol w:w="3824"/>
        <w:gridCol w:w="3827"/>
        <w:gridCol w:w="3685"/>
        <w:gridCol w:w="4058"/>
      </w:tblGrid>
      <w:tr w:rsidR="00155809" w:rsidRPr="00007932" w14:paraId="5471EC42" w14:textId="77777777" w:rsidTr="00A159CA">
        <w:trPr>
          <w:cantSplit/>
          <w:trHeight w:val="699"/>
          <w:tblHeader/>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04F48" w14:textId="6C24D4BD" w:rsidR="00155809" w:rsidRPr="00B0328C" w:rsidRDefault="00FB3935" w:rsidP="00C5261F">
            <w:pPr>
              <w:widowControl w:val="0"/>
              <w:spacing w:after="120"/>
              <w:jc w:val="center"/>
              <w:rPr>
                <w:rFonts w:asciiTheme="minorHAnsi" w:hAnsiTheme="minorHAnsi" w:cstheme="minorHAnsi"/>
                <w:b/>
                <w:bCs/>
                <w:snapToGrid w:val="0"/>
                <w:color w:val="000000"/>
                <w:sz w:val="18"/>
                <w:szCs w:val="18"/>
              </w:rPr>
            </w:pPr>
            <w:r w:rsidRPr="00B0328C">
              <w:rPr>
                <w:rFonts w:asciiTheme="minorHAnsi" w:hAnsiTheme="minorHAnsi" w:cstheme="minorHAnsi"/>
                <w:b/>
                <w:bCs/>
                <w:snapToGrid w:val="0"/>
                <w:color w:val="000000"/>
                <w:sz w:val="18"/>
                <w:szCs w:val="18"/>
              </w:rPr>
              <w:lastRenderedPageBreak/>
              <w:t>DRUG NAME, FORM(S), STRENGTH(S) AND SPONSOR</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14:paraId="278E5918" w14:textId="60B70EDC" w:rsidR="00155809" w:rsidRPr="00B0328C" w:rsidRDefault="00FB3935" w:rsidP="00C5261F">
            <w:pPr>
              <w:widowControl w:val="0"/>
              <w:spacing w:after="120"/>
              <w:jc w:val="center"/>
              <w:rPr>
                <w:rFonts w:asciiTheme="minorHAnsi" w:hAnsiTheme="minorHAnsi" w:cstheme="minorHAnsi"/>
                <w:b/>
                <w:bCs/>
                <w:snapToGrid w:val="0"/>
                <w:color w:val="000000"/>
                <w:sz w:val="18"/>
                <w:szCs w:val="18"/>
              </w:rPr>
            </w:pPr>
            <w:r w:rsidRPr="00B0328C">
              <w:rPr>
                <w:rFonts w:asciiTheme="minorHAnsi" w:hAnsiTheme="minorHAnsi" w:cstheme="minorHAnsi"/>
                <w:b/>
                <w:bCs/>
                <w:snapToGrid w:val="0"/>
                <w:color w:val="000000"/>
                <w:sz w:val="18"/>
                <w:szCs w:val="18"/>
              </w:rPr>
              <w:t>DRUG TYPE AND USE</w:t>
            </w:r>
          </w:p>
        </w:tc>
        <w:tc>
          <w:tcPr>
            <w:tcW w:w="1197" w:type="pct"/>
            <w:tcBorders>
              <w:top w:val="single" w:sz="4" w:space="0" w:color="auto"/>
              <w:left w:val="nil"/>
              <w:bottom w:val="single" w:sz="4" w:space="0" w:color="auto"/>
              <w:right w:val="single" w:sz="4" w:space="0" w:color="auto"/>
            </w:tcBorders>
            <w:shd w:val="clear" w:color="auto" w:fill="auto"/>
            <w:vAlign w:val="center"/>
            <w:hideMark/>
          </w:tcPr>
          <w:p w14:paraId="1AFCC2B1" w14:textId="5326647F" w:rsidR="00155809" w:rsidRPr="00B0328C" w:rsidRDefault="00FB3935" w:rsidP="00C5261F">
            <w:pPr>
              <w:widowControl w:val="0"/>
              <w:spacing w:after="120"/>
              <w:jc w:val="center"/>
              <w:rPr>
                <w:rFonts w:asciiTheme="minorHAnsi" w:hAnsiTheme="minorHAnsi" w:cstheme="minorHAnsi"/>
                <w:b/>
                <w:bCs/>
                <w:snapToGrid w:val="0"/>
                <w:color w:val="000000"/>
                <w:sz w:val="18"/>
                <w:szCs w:val="18"/>
              </w:rPr>
            </w:pPr>
            <w:r w:rsidRPr="00B0328C">
              <w:rPr>
                <w:rFonts w:asciiTheme="minorHAnsi" w:hAnsiTheme="minorHAnsi" w:cstheme="minorHAnsi"/>
                <w:b/>
                <w:bCs/>
                <w:snapToGrid w:val="0"/>
                <w:color w:val="000000"/>
                <w:sz w:val="18"/>
                <w:szCs w:val="18"/>
              </w:rPr>
              <w:t>LISTING REQUESTED BY SPONSOR / PURPOSE OF SUBMISSION</w:t>
            </w:r>
          </w:p>
        </w:tc>
        <w:tc>
          <w:tcPr>
            <w:tcW w:w="1318" w:type="pct"/>
            <w:tcBorders>
              <w:top w:val="single" w:sz="4" w:space="0" w:color="auto"/>
              <w:left w:val="nil"/>
              <w:bottom w:val="single" w:sz="4" w:space="0" w:color="auto"/>
              <w:right w:val="single" w:sz="4" w:space="0" w:color="auto"/>
            </w:tcBorders>
            <w:vAlign w:val="center"/>
          </w:tcPr>
          <w:p w14:paraId="6DC5B306" w14:textId="22A89F99" w:rsidR="00155809" w:rsidRPr="00B0328C" w:rsidRDefault="00FB3935" w:rsidP="00C5261F">
            <w:pPr>
              <w:widowControl w:val="0"/>
              <w:spacing w:after="120"/>
              <w:jc w:val="center"/>
              <w:rPr>
                <w:rFonts w:asciiTheme="minorHAnsi" w:hAnsiTheme="minorHAnsi" w:cstheme="minorHAnsi"/>
                <w:b/>
                <w:bCs/>
                <w:snapToGrid w:val="0"/>
                <w:color w:val="000000"/>
                <w:sz w:val="18"/>
                <w:szCs w:val="18"/>
              </w:rPr>
            </w:pPr>
            <w:r w:rsidRPr="00B0328C">
              <w:rPr>
                <w:rFonts w:asciiTheme="minorHAnsi" w:hAnsiTheme="minorHAnsi" w:cstheme="minorHAnsi"/>
                <w:b/>
                <w:bCs/>
                <w:snapToGrid w:val="0"/>
                <w:color w:val="000000"/>
                <w:sz w:val="18"/>
                <w:szCs w:val="18"/>
              </w:rPr>
              <w:t>PBAC OUTCOME</w:t>
            </w:r>
          </w:p>
        </w:tc>
      </w:tr>
      <w:tr w:rsidR="00213388" w:rsidRPr="00007932" w14:paraId="36138A4B" w14:textId="77777777" w:rsidTr="00D5001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18F5BD61" w14:textId="77777777" w:rsidR="00213388" w:rsidRPr="001374F4" w:rsidRDefault="00213388" w:rsidP="00213388">
            <w:pPr>
              <w:spacing w:line="256" w:lineRule="auto"/>
              <w:jc w:val="center"/>
              <w:rPr>
                <w:rFonts w:asciiTheme="minorHAnsi" w:hAnsiTheme="minorHAnsi" w:cstheme="minorHAnsi"/>
                <w:sz w:val="18"/>
                <w:szCs w:val="18"/>
                <w:lang w:eastAsia="en-US"/>
              </w:rPr>
            </w:pPr>
            <w:r w:rsidRPr="001374F4">
              <w:rPr>
                <w:rFonts w:asciiTheme="minorHAnsi" w:hAnsiTheme="minorHAnsi" w:cstheme="minorHAnsi"/>
                <w:sz w:val="18"/>
                <w:szCs w:val="18"/>
                <w:lang w:eastAsia="en-US"/>
              </w:rPr>
              <w:t>DURVALUMAB</w:t>
            </w:r>
          </w:p>
          <w:p w14:paraId="266F01AA" w14:textId="77777777" w:rsidR="00213388" w:rsidRPr="001374F4" w:rsidRDefault="00213388" w:rsidP="00213388">
            <w:pPr>
              <w:spacing w:line="256" w:lineRule="auto"/>
              <w:jc w:val="center"/>
              <w:rPr>
                <w:rFonts w:asciiTheme="minorHAnsi" w:hAnsiTheme="minorHAnsi" w:cstheme="minorHAnsi"/>
                <w:sz w:val="18"/>
                <w:szCs w:val="18"/>
                <w:lang w:eastAsia="en-US"/>
              </w:rPr>
            </w:pPr>
          </w:p>
          <w:p w14:paraId="0B9F9EEB" w14:textId="18BCE2CF" w:rsidR="00213388" w:rsidRPr="001374F4" w:rsidRDefault="00213388" w:rsidP="00213388">
            <w:pPr>
              <w:spacing w:line="256" w:lineRule="auto"/>
              <w:jc w:val="center"/>
              <w:rPr>
                <w:rFonts w:asciiTheme="minorHAnsi" w:hAnsiTheme="minorHAnsi" w:cstheme="minorHAnsi"/>
                <w:sz w:val="18"/>
                <w:szCs w:val="18"/>
                <w:lang w:eastAsia="en-US"/>
              </w:rPr>
            </w:pPr>
            <w:r w:rsidRPr="001374F4">
              <w:rPr>
                <w:rFonts w:asciiTheme="minorHAnsi" w:hAnsiTheme="minorHAnsi" w:cstheme="minorHAnsi"/>
                <w:sz w:val="18"/>
                <w:szCs w:val="18"/>
                <w:lang w:eastAsia="en-US"/>
              </w:rPr>
              <w:t>Solution concentrate for I.V. infusion 120</w:t>
            </w:r>
            <w:r>
              <w:rPr>
                <w:rFonts w:asciiTheme="minorHAnsi" w:hAnsiTheme="minorHAnsi" w:cstheme="minorHAnsi"/>
                <w:sz w:val="18"/>
                <w:szCs w:val="18"/>
                <w:lang w:eastAsia="en-US"/>
              </w:rPr>
              <w:t> </w:t>
            </w:r>
            <w:r w:rsidRPr="001374F4">
              <w:rPr>
                <w:rFonts w:asciiTheme="minorHAnsi" w:hAnsiTheme="minorHAnsi" w:cstheme="minorHAnsi"/>
                <w:sz w:val="18"/>
                <w:szCs w:val="18"/>
                <w:lang w:eastAsia="en-US"/>
              </w:rPr>
              <w:t>mg in 2.4</w:t>
            </w:r>
            <w:r>
              <w:rPr>
                <w:rFonts w:asciiTheme="minorHAnsi" w:hAnsiTheme="minorHAnsi" w:cstheme="minorHAnsi"/>
                <w:sz w:val="18"/>
                <w:szCs w:val="18"/>
                <w:lang w:eastAsia="en-US"/>
              </w:rPr>
              <w:t> </w:t>
            </w:r>
            <w:r w:rsidRPr="001374F4">
              <w:rPr>
                <w:rFonts w:asciiTheme="minorHAnsi" w:hAnsiTheme="minorHAnsi" w:cstheme="minorHAnsi"/>
                <w:sz w:val="18"/>
                <w:szCs w:val="18"/>
                <w:lang w:eastAsia="en-US"/>
              </w:rPr>
              <w:t>mL;</w:t>
            </w:r>
          </w:p>
          <w:p w14:paraId="05A04DC7" w14:textId="4C8960AF" w:rsidR="00213388" w:rsidRPr="0004257E" w:rsidRDefault="00213388" w:rsidP="00213388">
            <w:pPr>
              <w:spacing w:line="256" w:lineRule="auto"/>
              <w:jc w:val="center"/>
              <w:rPr>
                <w:rFonts w:asciiTheme="minorHAnsi" w:hAnsiTheme="minorHAnsi" w:cstheme="minorHAnsi"/>
                <w:sz w:val="18"/>
                <w:szCs w:val="18"/>
                <w:lang w:eastAsia="en-US"/>
              </w:rPr>
            </w:pPr>
            <w:r w:rsidRPr="001374F4">
              <w:rPr>
                <w:rFonts w:asciiTheme="minorHAnsi" w:hAnsiTheme="minorHAnsi" w:cstheme="minorHAnsi"/>
                <w:sz w:val="18"/>
                <w:szCs w:val="18"/>
                <w:lang w:eastAsia="en-US"/>
              </w:rPr>
              <w:t>Solution concentrate for I.V. infusion 500</w:t>
            </w:r>
            <w:r>
              <w:rPr>
                <w:rFonts w:asciiTheme="minorHAnsi" w:hAnsiTheme="minorHAnsi" w:cstheme="minorHAnsi"/>
                <w:sz w:val="18"/>
                <w:szCs w:val="18"/>
                <w:lang w:eastAsia="en-US"/>
              </w:rPr>
              <w:t> </w:t>
            </w:r>
            <w:r w:rsidRPr="001374F4">
              <w:rPr>
                <w:rFonts w:asciiTheme="minorHAnsi" w:hAnsiTheme="minorHAnsi" w:cstheme="minorHAnsi"/>
                <w:sz w:val="18"/>
                <w:szCs w:val="18"/>
                <w:lang w:eastAsia="en-US"/>
              </w:rPr>
              <w:t>mg in 10</w:t>
            </w:r>
            <w:r>
              <w:rPr>
                <w:rFonts w:asciiTheme="minorHAnsi" w:hAnsiTheme="minorHAnsi" w:cstheme="minorHAnsi"/>
                <w:sz w:val="18"/>
                <w:szCs w:val="18"/>
                <w:lang w:eastAsia="en-US"/>
              </w:rPr>
              <w:t> </w:t>
            </w:r>
            <w:r w:rsidRPr="0004257E">
              <w:rPr>
                <w:rFonts w:asciiTheme="minorHAnsi" w:hAnsiTheme="minorHAnsi" w:cstheme="minorHAnsi"/>
                <w:sz w:val="18"/>
                <w:szCs w:val="18"/>
                <w:lang w:eastAsia="en-US"/>
              </w:rPr>
              <w:t>mL</w:t>
            </w:r>
          </w:p>
          <w:p w14:paraId="71D48BCE" w14:textId="77777777" w:rsidR="00213388" w:rsidRPr="0004257E" w:rsidRDefault="00213388" w:rsidP="00213388">
            <w:pPr>
              <w:spacing w:line="256" w:lineRule="auto"/>
              <w:jc w:val="center"/>
              <w:rPr>
                <w:rFonts w:asciiTheme="minorHAnsi" w:hAnsiTheme="minorHAnsi" w:cstheme="minorHAnsi"/>
                <w:sz w:val="18"/>
                <w:szCs w:val="18"/>
                <w:lang w:eastAsia="en-US"/>
              </w:rPr>
            </w:pPr>
          </w:p>
          <w:p w14:paraId="020446BD" w14:textId="77777777" w:rsidR="00213388" w:rsidRPr="0004257E" w:rsidRDefault="00213388" w:rsidP="00213388">
            <w:pPr>
              <w:spacing w:line="256" w:lineRule="auto"/>
              <w:jc w:val="center"/>
              <w:rPr>
                <w:rFonts w:asciiTheme="minorHAnsi" w:hAnsiTheme="minorHAnsi" w:cstheme="minorHAnsi"/>
                <w:sz w:val="18"/>
                <w:szCs w:val="18"/>
                <w:lang w:eastAsia="en-US"/>
              </w:rPr>
            </w:pPr>
            <w:r w:rsidRPr="0004257E">
              <w:rPr>
                <w:rFonts w:asciiTheme="minorHAnsi" w:hAnsiTheme="minorHAnsi" w:cstheme="minorHAnsi"/>
                <w:sz w:val="18"/>
                <w:szCs w:val="18"/>
                <w:lang w:eastAsia="en-US"/>
              </w:rPr>
              <w:t>Imfinzi®</w:t>
            </w:r>
          </w:p>
          <w:p w14:paraId="791A7F86" w14:textId="77777777" w:rsidR="00213388" w:rsidRPr="0004257E" w:rsidRDefault="00213388" w:rsidP="00213388">
            <w:pPr>
              <w:spacing w:line="256" w:lineRule="auto"/>
              <w:jc w:val="center"/>
              <w:rPr>
                <w:rFonts w:asciiTheme="minorHAnsi" w:hAnsiTheme="minorHAnsi" w:cstheme="minorHAnsi"/>
                <w:sz w:val="18"/>
                <w:szCs w:val="18"/>
                <w:lang w:eastAsia="en-US"/>
              </w:rPr>
            </w:pPr>
          </w:p>
          <w:p w14:paraId="0702E352" w14:textId="089B20BC" w:rsidR="00213388" w:rsidRPr="0004257E" w:rsidRDefault="00213388" w:rsidP="0004257E">
            <w:pPr>
              <w:spacing w:line="256" w:lineRule="auto"/>
              <w:jc w:val="center"/>
              <w:rPr>
                <w:rFonts w:asciiTheme="minorHAnsi" w:hAnsiTheme="minorHAnsi" w:cstheme="minorHAnsi"/>
                <w:sz w:val="18"/>
                <w:szCs w:val="18"/>
                <w:lang w:eastAsia="en-US"/>
              </w:rPr>
            </w:pPr>
            <w:r w:rsidRPr="0004257E">
              <w:rPr>
                <w:rFonts w:asciiTheme="minorHAnsi" w:hAnsiTheme="minorHAnsi" w:cstheme="minorHAnsi"/>
                <w:sz w:val="18"/>
                <w:szCs w:val="18"/>
                <w:lang w:eastAsia="en-US"/>
              </w:rPr>
              <w:t>AstraZeneca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14D7838E" w14:textId="424389D0" w:rsidR="00213388" w:rsidRPr="0004257E" w:rsidRDefault="00213388" w:rsidP="00213388">
            <w:pPr>
              <w:widowControl w:val="0"/>
              <w:spacing w:after="120"/>
              <w:jc w:val="center"/>
              <w:rPr>
                <w:rFonts w:asciiTheme="minorHAnsi" w:hAnsiTheme="minorHAnsi" w:cstheme="minorHAnsi"/>
                <w:bCs/>
                <w:sz w:val="18"/>
                <w:szCs w:val="18"/>
                <w:lang w:eastAsia="en-US"/>
              </w:rPr>
            </w:pPr>
            <w:r w:rsidRPr="0004257E">
              <w:rPr>
                <w:rFonts w:asciiTheme="minorHAnsi" w:hAnsiTheme="minorHAnsi" w:cstheme="minorHAnsi"/>
                <w:bCs/>
                <w:sz w:val="18"/>
                <w:szCs w:val="18"/>
                <w:lang w:eastAsia="en-US"/>
              </w:rPr>
              <w:t>Small cell lung cancer</w:t>
            </w:r>
          </w:p>
        </w:tc>
        <w:tc>
          <w:tcPr>
            <w:tcW w:w="1197" w:type="pct"/>
            <w:tcBorders>
              <w:top w:val="single" w:sz="4" w:space="0" w:color="auto"/>
              <w:left w:val="nil"/>
              <w:bottom w:val="single" w:sz="4" w:space="0" w:color="auto"/>
              <w:right w:val="single" w:sz="4" w:space="0" w:color="auto"/>
            </w:tcBorders>
            <w:shd w:val="clear" w:color="auto" w:fill="auto"/>
            <w:vAlign w:val="center"/>
          </w:tcPr>
          <w:p w14:paraId="2ADE8BFE" w14:textId="340ACF46" w:rsidR="00213388" w:rsidRPr="0004257E" w:rsidRDefault="00213388" w:rsidP="00213388">
            <w:pPr>
              <w:widowControl w:val="0"/>
              <w:spacing w:after="120"/>
              <w:jc w:val="center"/>
              <w:rPr>
                <w:rFonts w:asciiTheme="minorHAnsi" w:hAnsiTheme="minorHAnsi" w:cstheme="minorHAnsi"/>
                <w:sz w:val="18"/>
                <w:szCs w:val="18"/>
                <w:lang w:eastAsia="en-US"/>
              </w:rPr>
            </w:pPr>
            <w:r w:rsidRPr="0004257E">
              <w:rPr>
                <w:rFonts w:asciiTheme="minorHAnsi" w:hAnsiTheme="minorHAnsi" w:cstheme="minorHAnsi"/>
                <w:sz w:val="18"/>
                <w:szCs w:val="18"/>
                <w:lang w:eastAsia="en-US"/>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36AD6BF6" w14:textId="7ABF1FA3" w:rsidR="00213388" w:rsidRPr="001374F4" w:rsidRDefault="00F8457A" w:rsidP="00213388">
            <w:pPr>
              <w:widowControl w:val="0"/>
              <w:spacing w:after="120"/>
              <w:jc w:val="center"/>
              <w:rPr>
                <w:rFonts w:asciiTheme="minorHAnsi" w:hAnsiTheme="minorHAnsi" w:cstheme="minorHAnsi"/>
                <w:bCs/>
                <w:snapToGrid w:val="0"/>
                <w:sz w:val="18"/>
                <w:szCs w:val="18"/>
              </w:rPr>
            </w:pPr>
            <w:r w:rsidRPr="00F8457A">
              <w:rPr>
                <w:rFonts w:asciiTheme="minorHAnsi" w:hAnsiTheme="minorHAnsi" w:cstheme="minorHAnsi"/>
                <w:bCs/>
                <w:snapToGrid w:val="0"/>
                <w:sz w:val="18"/>
                <w:szCs w:val="18"/>
              </w:rPr>
              <w:t>The PBAC advised that the November 2020 recommendation be extended for 6 months (if listing process has not commenced by the end of June 2023 the sponsor will be asked to justify the recommendation again).</w:t>
            </w:r>
          </w:p>
        </w:tc>
      </w:tr>
      <w:tr w:rsidR="00213388" w:rsidRPr="00007932" w14:paraId="408FF98A" w14:textId="77777777" w:rsidTr="00D5001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7B6BC9B2" w14:textId="77777777" w:rsidR="00213388" w:rsidRPr="001374F4" w:rsidRDefault="00213388" w:rsidP="00213388">
            <w:pPr>
              <w:spacing w:after="240" w:line="256" w:lineRule="auto"/>
              <w:jc w:val="center"/>
              <w:rPr>
                <w:rFonts w:asciiTheme="minorHAnsi" w:hAnsiTheme="minorHAnsi" w:cstheme="minorHAnsi"/>
                <w:sz w:val="18"/>
                <w:szCs w:val="18"/>
                <w:lang w:eastAsia="en-US"/>
              </w:rPr>
            </w:pPr>
            <w:r w:rsidRPr="001374F4">
              <w:rPr>
                <w:rFonts w:asciiTheme="minorHAnsi" w:hAnsiTheme="minorHAnsi" w:cstheme="minorHAnsi"/>
                <w:sz w:val="18"/>
                <w:szCs w:val="18"/>
                <w:lang w:eastAsia="en-US"/>
              </w:rPr>
              <w:t>ENOXAPARIN</w:t>
            </w:r>
          </w:p>
          <w:p w14:paraId="7125A341" w14:textId="6BB43A75" w:rsidR="00213388" w:rsidRPr="001374F4" w:rsidRDefault="00213388" w:rsidP="00213388">
            <w:pPr>
              <w:spacing w:line="256" w:lineRule="auto"/>
              <w:jc w:val="center"/>
              <w:rPr>
                <w:rFonts w:asciiTheme="minorHAnsi" w:hAnsiTheme="minorHAnsi" w:cstheme="minorHAnsi"/>
                <w:sz w:val="18"/>
                <w:szCs w:val="18"/>
                <w:lang w:eastAsia="en-US"/>
              </w:rPr>
            </w:pPr>
            <w:r w:rsidRPr="001374F4">
              <w:rPr>
                <w:rFonts w:asciiTheme="minorHAnsi" w:hAnsiTheme="minorHAnsi" w:cstheme="minorHAnsi"/>
                <w:sz w:val="18"/>
                <w:szCs w:val="18"/>
                <w:lang w:eastAsia="en-US"/>
              </w:rPr>
              <w:t>Injection containing enoxaparin sodium 100</w:t>
            </w:r>
            <w:r>
              <w:rPr>
                <w:rFonts w:asciiTheme="minorHAnsi" w:hAnsiTheme="minorHAnsi" w:cstheme="minorHAnsi"/>
                <w:sz w:val="18"/>
                <w:szCs w:val="18"/>
                <w:lang w:eastAsia="en-US"/>
              </w:rPr>
              <w:t> </w:t>
            </w:r>
            <w:r w:rsidRPr="001374F4">
              <w:rPr>
                <w:rFonts w:asciiTheme="minorHAnsi" w:hAnsiTheme="minorHAnsi" w:cstheme="minorHAnsi"/>
                <w:sz w:val="18"/>
                <w:szCs w:val="18"/>
                <w:lang w:eastAsia="en-US"/>
              </w:rPr>
              <w:t>mg (10,000 I.U. anti-Xa) in 1 mL pre-filled syringe</w:t>
            </w:r>
          </w:p>
          <w:p w14:paraId="4BF4DC8A" w14:textId="61AC101E" w:rsidR="00213388" w:rsidRPr="001374F4" w:rsidRDefault="00213388" w:rsidP="00213388">
            <w:pPr>
              <w:spacing w:line="256" w:lineRule="auto"/>
              <w:jc w:val="center"/>
              <w:rPr>
                <w:rFonts w:asciiTheme="minorHAnsi" w:hAnsiTheme="minorHAnsi" w:cstheme="minorHAnsi"/>
                <w:sz w:val="18"/>
                <w:szCs w:val="18"/>
                <w:lang w:eastAsia="en-US"/>
              </w:rPr>
            </w:pPr>
            <w:r w:rsidRPr="001374F4">
              <w:rPr>
                <w:rFonts w:asciiTheme="minorHAnsi" w:hAnsiTheme="minorHAnsi" w:cstheme="minorHAnsi"/>
                <w:sz w:val="18"/>
                <w:szCs w:val="18"/>
                <w:lang w:eastAsia="en-US"/>
              </w:rPr>
              <w:t>Injection containing enoxaparin sodium 120</w:t>
            </w:r>
            <w:r>
              <w:rPr>
                <w:rFonts w:asciiTheme="minorHAnsi" w:hAnsiTheme="minorHAnsi" w:cstheme="minorHAnsi"/>
                <w:sz w:val="18"/>
                <w:szCs w:val="18"/>
                <w:lang w:eastAsia="en-US"/>
              </w:rPr>
              <w:t> </w:t>
            </w:r>
            <w:r w:rsidRPr="001374F4">
              <w:rPr>
                <w:rFonts w:asciiTheme="minorHAnsi" w:hAnsiTheme="minorHAnsi" w:cstheme="minorHAnsi"/>
                <w:sz w:val="18"/>
                <w:szCs w:val="18"/>
                <w:lang w:eastAsia="en-US"/>
              </w:rPr>
              <w:t>mg (12,000 I.U. anti-Xa) in 0.8 mL syringe</w:t>
            </w:r>
          </w:p>
          <w:p w14:paraId="0BBD7194" w14:textId="2FE0F91F" w:rsidR="00213388" w:rsidRPr="001374F4" w:rsidRDefault="00213388" w:rsidP="00213388">
            <w:pPr>
              <w:spacing w:line="256" w:lineRule="auto"/>
              <w:jc w:val="center"/>
              <w:rPr>
                <w:rFonts w:asciiTheme="minorHAnsi" w:hAnsiTheme="minorHAnsi" w:cstheme="minorHAnsi"/>
                <w:sz w:val="18"/>
                <w:szCs w:val="18"/>
                <w:lang w:eastAsia="en-US"/>
              </w:rPr>
            </w:pPr>
            <w:r w:rsidRPr="001374F4">
              <w:rPr>
                <w:rFonts w:asciiTheme="minorHAnsi" w:hAnsiTheme="minorHAnsi" w:cstheme="minorHAnsi"/>
                <w:sz w:val="18"/>
                <w:szCs w:val="18"/>
                <w:lang w:eastAsia="en-US"/>
              </w:rPr>
              <w:t>Injection containing enoxaparin sodium 150</w:t>
            </w:r>
            <w:r>
              <w:rPr>
                <w:rFonts w:asciiTheme="minorHAnsi" w:hAnsiTheme="minorHAnsi" w:cstheme="minorHAnsi"/>
                <w:sz w:val="18"/>
                <w:szCs w:val="18"/>
                <w:lang w:eastAsia="en-US"/>
              </w:rPr>
              <w:t> </w:t>
            </w:r>
            <w:r w:rsidRPr="001374F4">
              <w:rPr>
                <w:rFonts w:asciiTheme="minorHAnsi" w:hAnsiTheme="minorHAnsi" w:cstheme="minorHAnsi"/>
                <w:sz w:val="18"/>
                <w:szCs w:val="18"/>
                <w:lang w:eastAsia="en-US"/>
              </w:rPr>
              <w:t>mg (15,000 I.U. anti-Xa) in 1 mL syringe</w:t>
            </w:r>
          </w:p>
          <w:p w14:paraId="7DBAED44" w14:textId="7C93BF95" w:rsidR="00213388" w:rsidRPr="001374F4" w:rsidRDefault="00213388" w:rsidP="00213388">
            <w:pPr>
              <w:spacing w:line="256" w:lineRule="auto"/>
              <w:jc w:val="center"/>
              <w:rPr>
                <w:rFonts w:asciiTheme="minorHAnsi" w:hAnsiTheme="minorHAnsi" w:cstheme="minorHAnsi"/>
                <w:sz w:val="18"/>
                <w:szCs w:val="18"/>
                <w:lang w:eastAsia="en-US"/>
              </w:rPr>
            </w:pPr>
            <w:r w:rsidRPr="001374F4">
              <w:rPr>
                <w:rFonts w:asciiTheme="minorHAnsi" w:hAnsiTheme="minorHAnsi" w:cstheme="minorHAnsi"/>
                <w:sz w:val="18"/>
                <w:szCs w:val="18"/>
                <w:lang w:eastAsia="en-US"/>
              </w:rPr>
              <w:t>Injection containing enoxaparin sodium 20</w:t>
            </w:r>
            <w:r>
              <w:rPr>
                <w:rFonts w:asciiTheme="minorHAnsi" w:hAnsiTheme="minorHAnsi" w:cstheme="minorHAnsi"/>
                <w:sz w:val="18"/>
                <w:szCs w:val="18"/>
                <w:lang w:eastAsia="en-US"/>
              </w:rPr>
              <w:t> </w:t>
            </w:r>
            <w:r w:rsidRPr="001374F4">
              <w:rPr>
                <w:rFonts w:asciiTheme="minorHAnsi" w:hAnsiTheme="minorHAnsi" w:cstheme="minorHAnsi"/>
                <w:sz w:val="18"/>
                <w:szCs w:val="18"/>
                <w:lang w:eastAsia="en-US"/>
              </w:rPr>
              <w:t>mg (2,000 I.U. anti-Xa) in 0.2 mL pre-filled syringe</w:t>
            </w:r>
          </w:p>
          <w:p w14:paraId="072D33E1" w14:textId="06899499" w:rsidR="00213388" w:rsidRPr="001374F4" w:rsidRDefault="00213388" w:rsidP="00213388">
            <w:pPr>
              <w:spacing w:line="256" w:lineRule="auto"/>
              <w:jc w:val="center"/>
              <w:rPr>
                <w:rFonts w:asciiTheme="minorHAnsi" w:hAnsiTheme="minorHAnsi" w:cstheme="minorHAnsi"/>
                <w:sz w:val="18"/>
                <w:szCs w:val="18"/>
                <w:lang w:eastAsia="en-US"/>
              </w:rPr>
            </w:pPr>
            <w:r w:rsidRPr="001374F4">
              <w:rPr>
                <w:rFonts w:asciiTheme="minorHAnsi" w:hAnsiTheme="minorHAnsi" w:cstheme="minorHAnsi"/>
                <w:sz w:val="18"/>
                <w:szCs w:val="18"/>
                <w:lang w:eastAsia="en-US"/>
              </w:rPr>
              <w:t>Injection containing enoxaparin sodium 40</w:t>
            </w:r>
            <w:r w:rsidR="00F8457A">
              <w:rPr>
                <w:rFonts w:asciiTheme="minorHAnsi" w:hAnsiTheme="minorHAnsi" w:cstheme="minorHAnsi"/>
                <w:sz w:val="18"/>
                <w:szCs w:val="18"/>
                <w:lang w:eastAsia="en-US"/>
              </w:rPr>
              <w:t> </w:t>
            </w:r>
            <w:r w:rsidRPr="001374F4">
              <w:rPr>
                <w:rFonts w:asciiTheme="minorHAnsi" w:hAnsiTheme="minorHAnsi" w:cstheme="minorHAnsi"/>
                <w:sz w:val="18"/>
                <w:szCs w:val="18"/>
                <w:lang w:eastAsia="en-US"/>
              </w:rPr>
              <w:t>mg (4,000 I.U. anti-Xa) in 0.4 mL pre-filled syringe</w:t>
            </w:r>
          </w:p>
          <w:p w14:paraId="6C2C010C" w14:textId="5F557775" w:rsidR="00213388" w:rsidRPr="001374F4" w:rsidRDefault="00213388" w:rsidP="00213388">
            <w:pPr>
              <w:spacing w:line="256" w:lineRule="auto"/>
              <w:jc w:val="center"/>
              <w:rPr>
                <w:rFonts w:asciiTheme="minorHAnsi" w:hAnsiTheme="minorHAnsi" w:cstheme="minorHAnsi"/>
                <w:sz w:val="18"/>
                <w:szCs w:val="18"/>
                <w:lang w:eastAsia="en-US"/>
              </w:rPr>
            </w:pPr>
            <w:r w:rsidRPr="001374F4">
              <w:rPr>
                <w:rFonts w:asciiTheme="minorHAnsi" w:hAnsiTheme="minorHAnsi" w:cstheme="minorHAnsi"/>
                <w:sz w:val="18"/>
                <w:szCs w:val="18"/>
                <w:lang w:eastAsia="en-US"/>
              </w:rPr>
              <w:t>Injection containing enoxaparin sodium 60</w:t>
            </w:r>
            <w:r w:rsidR="00F8457A">
              <w:rPr>
                <w:rFonts w:asciiTheme="minorHAnsi" w:hAnsiTheme="minorHAnsi" w:cstheme="minorHAnsi"/>
                <w:sz w:val="18"/>
                <w:szCs w:val="18"/>
                <w:lang w:eastAsia="en-US"/>
              </w:rPr>
              <w:t> </w:t>
            </w:r>
            <w:r w:rsidRPr="001374F4">
              <w:rPr>
                <w:rFonts w:asciiTheme="minorHAnsi" w:hAnsiTheme="minorHAnsi" w:cstheme="minorHAnsi"/>
                <w:sz w:val="18"/>
                <w:szCs w:val="18"/>
                <w:lang w:eastAsia="en-US"/>
              </w:rPr>
              <w:t>mg (6,000 I.U. anti-Xa) in 0.6 mL pre-filled syringe</w:t>
            </w:r>
          </w:p>
          <w:p w14:paraId="6F31200B" w14:textId="37BE3B70" w:rsidR="00213388" w:rsidRPr="0004257E" w:rsidRDefault="00213388" w:rsidP="00213388">
            <w:pPr>
              <w:spacing w:line="256" w:lineRule="auto"/>
              <w:jc w:val="center"/>
              <w:rPr>
                <w:rFonts w:asciiTheme="minorHAnsi" w:hAnsiTheme="minorHAnsi" w:cstheme="minorHAnsi"/>
                <w:sz w:val="18"/>
                <w:szCs w:val="18"/>
                <w:lang w:eastAsia="en-US"/>
              </w:rPr>
            </w:pPr>
            <w:r w:rsidRPr="001374F4">
              <w:rPr>
                <w:rFonts w:asciiTheme="minorHAnsi" w:hAnsiTheme="minorHAnsi" w:cstheme="minorHAnsi"/>
                <w:sz w:val="18"/>
                <w:szCs w:val="18"/>
                <w:lang w:eastAsia="en-US"/>
              </w:rPr>
              <w:t>Injection containing enoxaparin sodium 80</w:t>
            </w:r>
            <w:r w:rsidR="00F8457A">
              <w:rPr>
                <w:rFonts w:asciiTheme="minorHAnsi" w:hAnsiTheme="minorHAnsi" w:cstheme="minorHAnsi"/>
                <w:sz w:val="18"/>
                <w:szCs w:val="18"/>
                <w:lang w:eastAsia="en-US"/>
              </w:rPr>
              <w:t> </w:t>
            </w:r>
            <w:r w:rsidRPr="0004257E">
              <w:rPr>
                <w:rFonts w:asciiTheme="minorHAnsi" w:hAnsiTheme="minorHAnsi" w:cstheme="minorHAnsi"/>
                <w:sz w:val="18"/>
                <w:szCs w:val="18"/>
                <w:lang w:eastAsia="en-US"/>
              </w:rPr>
              <w:t>mg (8,000 I.U. anti-Xa) in 0.8 mL syringe</w:t>
            </w:r>
          </w:p>
          <w:p w14:paraId="4AA73B69" w14:textId="77777777" w:rsidR="00213388" w:rsidRPr="0004257E" w:rsidRDefault="00213388" w:rsidP="00DF02A0">
            <w:pPr>
              <w:spacing w:after="240" w:line="256" w:lineRule="auto"/>
              <w:rPr>
                <w:rFonts w:asciiTheme="minorHAnsi" w:hAnsiTheme="minorHAnsi" w:cstheme="minorHAnsi"/>
                <w:sz w:val="18"/>
                <w:szCs w:val="18"/>
                <w:lang w:eastAsia="en-US"/>
              </w:rPr>
            </w:pPr>
          </w:p>
          <w:p w14:paraId="0C9EF6E7" w14:textId="77777777" w:rsidR="00213388" w:rsidRPr="0004257E" w:rsidRDefault="00213388" w:rsidP="00213388">
            <w:pPr>
              <w:spacing w:after="240" w:line="256" w:lineRule="auto"/>
              <w:jc w:val="center"/>
              <w:rPr>
                <w:rFonts w:asciiTheme="minorHAnsi" w:hAnsiTheme="minorHAnsi" w:cstheme="minorHAnsi"/>
                <w:sz w:val="18"/>
                <w:szCs w:val="18"/>
                <w:lang w:eastAsia="en-US"/>
              </w:rPr>
            </w:pPr>
            <w:r w:rsidRPr="0004257E">
              <w:rPr>
                <w:rFonts w:asciiTheme="minorHAnsi" w:hAnsiTheme="minorHAnsi" w:cstheme="minorHAnsi"/>
                <w:sz w:val="18"/>
                <w:szCs w:val="18"/>
                <w:lang w:eastAsia="en-US"/>
              </w:rPr>
              <w:t>Enoxapro®</w:t>
            </w:r>
          </w:p>
          <w:p w14:paraId="6C9EC299" w14:textId="748428F8" w:rsidR="00213388" w:rsidRPr="0004257E" w:rsidRDefault="00213388" w:rsidP="0004257E">
            <w:pPr>
              <w:spacing w:line="256" w:lineRule="auto"/>
              <w:jc w:val="center"/>
              <w:rPr>
                <w:rFonts w:asciiTheme="minorHAnsi" w:hAnsiTheme="minorHAnsi" w:cstheme="minorHAnsi"/>
                <w:snapToGrid w:val="0"/>
                <w:sz w:val="18"/>
                <w:szCs w:val="18"/>
              </w:rPr>
            </w:pPr>
            <w:r w:rsidRPr="0004257E">
              <w:rPr>
                <w:rFonts w:asciiTheme="minorHAnsi" w:hAnsiTheme="minorHAnsi" w:cstheme="minorHAnsi"/>
                <w:sz w:val="18"/>
                <w:szCs w:val="18"/>
                <w:lang w:eastAsia="en-US"/>
              </w:rPr>
              <w:t>Apotex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03867266" w14:textId="50D64E67" w:rsidR="00213388" w:rsidRPr="0004257E" w:rsidRDefault="00213388" w:rsidP="00213388">
            <w:pPr>
              <w:widowControl w:val="0"/>
              <w:spacing w:after="120"/>
              <w:jc w:val="center"/>
              <w:rPr>
                <w:rFonts w:asciiTheme="minorHAnsi" w:hAnsiTheme="minorHAnsi" w:cstheme="minorHAnsi"/>
                <w:snapToGrid w:val="0"/>
                <w:sz w:val="18"/>
                <w:szCs w:val="18"/>
              </w:rPr>
            </w:pPr>
            <w:r w:rsidRPr="0004257E">
              <w:rPr>
                <w:rFonts w:asciiTheme="minorHAnsi" w:hAnsiTheme="minorHAnsi" w:cstheme="minorHAnsi"/>
                <w:bCs/>
                <w:sz w:val="18"/>
                <w:szCs w:val="18"/>
                <w:lang w:eastAsia="en-US"/>
              </w:rPr>
              <w:t>Prevention of deep vein thrombosis;</w:t>
            </w:r>
            <w:r w:rsidRPr="0004257E">
              <w:rPr>
                <w:rFonts w:asciiTheme="minorHAnsi" w:hAnsiTheme="minorHAnsi" w:cstheme="minorHAnsi"/>
                <w:bCs/>
                <w:sz w:val="18"/>
                <w:szCs w:val="18"/>
                <w:lang w:eastAsia="en-US"/>
              </w:rPr>
              <w:br/>
              <w:t>Haemodialysis</w:t>
            </w:r>
          </w:p>
        </w:tc>
        <w:tc>
          <w:tcPr>
            <w:tcW w:w="1197" w:type="pct"/>
            <w:tcBorders>
              <w:top w:val="single" w:sz="4" w:space="0" w:color="auto"/>
              <w:left w:val="nil"/>
              <w:bottom w:val="single" w:sz="4" w:space="0" w:color="auto"/>
              <w:right w:val="single" w:sz="4" w:space="0" w:color="auto"/>
            </w:tcBorders>
            <w:shd w:val="clear" w:color="auto" w:fill="auto"/>
            <w:vAlign w:val="center"/>
          </w:tcPr>
          <w:p w14:paraId="32E2C4C2" w14:textId="212758BC" w:rsidR="00213388" w:rsidRPr="0004257E" w:rsidRDefault="00213388" w:rsidP="00213388">
            <w:pPr>
              <w:widowControl w:val="0"/>
              <w:spacing w:after="120"/>
              <w:jc w:val="center"/>
              <w:rPr>
                <w:rFonts w:asciiTheme="minorHAnsi" w:hAnsiTheme="minorHAnsi" w:cstheme="minorHAnsi"/>
                <w:bCs/>
                <w:snapToGrid w:val="0"/>
                <w:color w:val="000000"/>
                <w:sz w:val="18"/>
                <w:szCs w:val="18"/>
              </w:rPr>
            </w:pPr>
            <w:r w:rsidRPr="0004257E">
              <w:rPr>
                <w:rFonts w:asciiTheme="minorHAnsi" w:hAnsiTheme="minorHAnsi" w:cstheme="minorHAnsi"/>
                <w:sz w:val="18"/>
                <w:szCs w:val="18"/>
                <w:lang w:eastAsia="en-US"/>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4A0518A9" w14:textId="3889DDFA" w:rsidR="00213388" w:rsidRPr="0004257E" w:rsidRDefault="00F8457A" w:rsidP="00213388">
            <w:pPr>
              <w:widowControl w:val="0"/>
              <w:spacing w:after="120"/>
              <w:jc w:val="center"/>
              <w:rPr>
                <w:rFonts w:asciiTheme="minorHAnsi" w:hAnsiTheme="minorHAnsi" w:cstheme="minorHAnsi"/>
                <w:bCs/>
                <w:snapToGrid w:val="0"/>
                <w:sz w:val="18"/>
                <w:szCs w:val="18"/>
              </w:rPr>
            </w:pPr>
            <w:r w:rsidRPr="00F8457A">
              <w:rPr>
                <w:rFonts w:asciiTheme="minorHAnsi" w:hAnsiTheme="minorHAnsi" w:cstheme="minorHAnsi"/>
                <w:bCs/>
                <w:snapToGrid w:val="0"/>
                <w:sz w:val="18"/>
                <w:szCs w:val="18"/>
              </w:rPr>
              <w:t>The PBAC advised that the July 2020 recommendation be extended for 12 months (if listing process has not commenced by the end of October 2023 the sponsor will be asked to justify the recommendation again).</w:t>
            </w:r>
          </w:p>
        </w:tc>
      </w:tr>
      <w:tr w:rsidR="00213388" w:rsidRPr="00007932" w14:paraId="6B5DB651" w14:textId="77777777" w:rsidTr="00D5001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488A9B10" w14:textId="77777777" w:rsidR="00213388" w:rsidRPr="00B0328C" w:rsidRDefault="00213388" w:rsidP="00213388">
            <w:pPr>
              <w:spacing w:line="256" w:lineRule="auto"/>
              <w:jc w:val="center"/>
              <w:rPr>
                <w:rFonts w:asciiTheme="minorHAnsi" w:hAnsiTheme="minorHAnsi" w:cstheme="minorHAnsi"/>
                <w:sz w:val="18"/>
                <w:szCs w:val="18"/>
                <w:lang w:eastAsia="en-US"/>
              </w:rPr>
            </w:pPr>
            <w:r w:rsidRPr="00B0328C">
              <w:rPr>
                <w:rFonts w:asciiTheme="minorHAnsi" w:hAnsiTheme="minorHAnsi" w:cstheme="minorHAnsi"/>
                <w:sz w:val="18"/>
                <w:szCs w:val="18"/>
                <w:lang w:eastAsia="en-US"/>
              </w:rPr>
              <w:lastRenderedPageBreak/>
              <w:t>FOSNETUPITANT (AS CHLORIDE HYDROCHLORIDE) / PALONOSETRON (AS HYDROCHLORIDE)</w:t>
            </w:r>
          </w:p>
          <w:p w14:paraId="086B7FE5" w14:textId="77777777" w:rsidR="00213388" w:rsidRPr="00B0328C" w:rsidRDefault="00213388" w:rsidP="00213388">
            <w:pPr>
              <w:spacing w:line="256" w:lineRule="auto"/>
              <w:jc w:val="center"/>
              <w:rPr>
                <w:rFonts w:asciiTheme="minorHAnsi" w:hAnsiTheme="minorHAnsi" w:cstheme="minorHAnsi"/>
                <w:sz w:val="18"/>
                <w:szCs w:val="18"/>
                <w:lang w:eastAsia="en-US"/>
              </w:rPr>
            </w:pPr>
          </w:p>
          <w:p w14:paraId="1F1627D2" w14:textId="48A7F487" w:rsidR="00213388" w:rsidRPr="00B0328C" w:rsidRDefault="00213388" w:rsidP="00213388">
            <w:pPr>
              <w:spacing w:line="256" w:lineRule="auto"/>
              <w:jc w:val="center"/>
              <w:rPr>
                <w:rFonts w:asciiTheme="minorHAnsi" w:hAnsiTheme="minorHAnsi" w:cstheme="minorHAnsi"/>
                <w:sz w:val="18"/>
                <w:szCs w:val="18"/>
                <w:lang w:eastAsia="en-US"/>
              </w:rPr>
            </w:pPr>
            <w:r w:rsidRPr="00B0328C">
              <w:rPr>
                <w:rFonts w:asciiTheme="minorHAnsi" w:hAnsiTheme="minorHAnsi" w:cstheme="minorHAnsi"/>
                <w:sz w:val="18"/>
                <w:szCs w:val="18"/>
                <w:lang w:eastAsia="en-US"/>
              </w:rPr>
              <w:t>Powder for Injection containing fosnetupitant 235</w:t>
            </w:r>
            <w:r w:rsidR="00F8457A">
              <w:rPr>
                <w:rFonts w:asciiTheme="minorHAnsi" w:hAnsiTheme="minorHAnsi" w:cstheme="minorHAnsi"/>
                <w:sz w:val="18"/>
                <w:szCs w:val="18"/>
                <w:lang w:eastAsia="en-US"/>
              </w:rPr>
              <w:t> </w:t>
            </w:r>
            <w:r w:rsidRPr="00B0328C">
              <w:rPr>
                <w:rFonts w:asciiTheme="minorHAnsi" w:hAnsiTheme="minorHAnsi" w:cstheme="minorHAnsi"/>
                <w:sz w:val="18"/>
                <w:szCs w:val="18"/>
                <w:lang w:eastAsia="en-US"/>
              </w:rPr>
              <w:t>mg and palonosetron 250</w:t>
            </w:r>
            <w:r w:rsidR="00F8457A">
              <w:rPr>
                <w:rFonts w:asciiTheme="minorHAnsi" w:hAnsiTheme="minorHAnsi" w:cstheme="minorHAnsi"/>
                <w:sz w:val="18"/>
                <w:szCs w:val="18"/>
                <w:lang w:eastAsia="en-US"/>
              </w:rPr>
              <w:t> </w:t>
            </w:r>
            <w:r w:rsidRPr="00B0328C">
              <w:rPr>
                <w:rFonts w:asciiTheme="minorHAnsi" w:hAnsiTheme="minorHAnsi" w:cstheme="minorHAnsi"/>
                <w:sz w:val="18"/>
                <w:szCs w:val="18"/>
                <w:lang w:eastAsia="en-US"/>
              </w:rPr>
              <w:t>mg</w:t>
            </w:r>
          </w:p>
          <w:p w14:paraId="30025C89" w14:textId="77777777" w:rsidR="00213388" w:rsidRPr="00B0328C" w:rsidRDefault="00213388" w:rsidP="00213388">
            <w:pPr>
              <w:spacing w:line="256" w:lineRule="auto"/>
              <w:jc w:val="center"/>
              <w:rPr>
                <w:rFonts w:asciiTheme="minorHAnsi" w:hAnsiTheme="minorHAnsi" w:cstheme="minorHAnsi"/>
                <w:sz w:val="18"/>
                <w:szCs w:val="18"/>
                <w:lang w:eastAsia="en-US"/>
              </w:rPr>
            </w:pPr>
          </w:p>
          <w:p w14:paraId="65A4C4EA" w14:textId="77777777" w:rsidR="00213388" w:rsidRPr="00B0328C" w:rsidRDefault="00213388" w:rsidP="00213388">
            <w:pPr>
              <w:spacing w:line="256" w:lineRule="auto"/>
              <w:jc w:val="center"/>
              <w:rPr>
                <w:rFonts w:asciiTheme="minorHAnsi" w:hAnsiTheme="minorHAnsi" w:cstheme="minorHAnsi"/>
                <w:sz w:val="18"/>
                <w:szCs w:val="18"/>
                <w:lang w:eastAsia="en-US"/>
              </w:rPr>
            </w:pPr>
            <w:r w:rsidRPr="00B0328C">
              <w:rPr>
                <w:rFonts w:asciiTheme="minorHAnsi" w:hAnsiTheme="minorHAnsi" w:cstheme="minorHAnsi"/>
                <w:sz w:val="18"/>
                <w:szCs w:val="18"/>
                <w:lang w:eastAsia="en-US"/>
              </w:rPr>
              <w:t>Akynzeo IV®</w:t>
            </w:r>
          </w:p>
          <w:p w14:paraId="7D233A58" w14:textId="77777777" w:rsidR="00213388" w:rsidRPr="00B0328C" w:rsidRDefault="00213388" w:rsidP="00213388">
            <w:pPr>
              <w:spacing w:line="256" w:lineRule="auto"/>
              <w:jc w:val="center"/>
              <w:rPr>
                <w:rFonts w:asciiTheme="minorHAnsi" w:hAnsiTheme="minorHAnsi" w:cstheme="minorHAnsi"/>
                <w:sz w:val="18"/>
                <w:szCs w:val="18"/>
                <w:lang w:eastAsia="en-US"/>
              </w:rPr>
            </w:pPr>
          </w:p>
          <w:p w14:paraId="3D138D7D" w14:textId="1213BA4A" w:rsidR="00213388" w:rsidRPr="00B0328C" w:rsidRDefault="00213388" w:rsidP="0004257E">
            <w:pPr>
              <w:spacing w:line="256" w:lineRule="auto"/>
              <w:jc w:val="center"/>
              <w:rPr>
                <w:rFonts w:asciiTheme="minorHAnsi" w:hAnsiTheme="minorHAnsi" w:cstheme="minorHAnsi"/>
                <w:snapToGrid w:val="0"/>
                <w:color w:val="FF0000"/>
                <w:sz w:val="18"/>
                <w:szCs w:val="18"/>
              </w:rPr>
            </w:pPr>
            <w:r w:rsidRPr="00B0328C">
              <w:rPr>
                <w:rFonts w:asciiTheme="minorHAnsi" w:hAnsiTheme="minorHAnsi" w:cstheme="minorHAnsi"/>
                <w:sz w:val="18"/>
                <w:szCs w:val="18"/>
                <w:lang w:eastAsia="en-US"/>
              </w:rPr>
              <w:t>Mundipharma Pty Limited</w:t>
            </w:r>
          </w:p>
        </w:tc>
        <w:tc>
          <w:tcPr>
            <w:tcW w:w="1243" w:type="pct"/>
            <w:tcBorders>
              <w:top w:val="single" w:sz="4" w:space="0" w:color="auto"/>
              <w:left w:val="nil"/>
              <w:bottom w:val="single" w:sz="4" w:space="0" w:color="auto"/>
              <w:right w:val="single" w:sz="4" w:space="0" w:color="auto"/>
            </w:tcBorders>
            <w:shd w:val="clear" w:color="auto" w:fill="auto"/>
            <w:vAlign w:val="center"/>
          </w:tcPr>
          <w:p w14:paraId="3227D25F" w14:textId="79E4F72B" w:rsidR="00213388" w:rsidRPr="00B0328C" w:rsidRDefault="00213388" w:rsidP="00213388">
            <w:pPr>
              <w:widowControl w:val="0"/>
              <w:spacing w:after="120"/>
              <w:jc w:val="center"/>
              <w:rPr>
                <w:rFonts w:asciiTheme="minorHAnsi" w:hAnsiTheme="minorHAnsi" w:cstheme="minorHAnsi"/>
                <w:snapToGrid w:val="0"/>
                <w:color w:val="FF0000"/>
                <w:sz w:val="18"/>
                <w:szCs w:val="18"/>
              </w:rPr>
            </w:pPr>
            <w:r w:rsidRPr="00B0328C">
              <w:rPr>
                <w:rFonts w:asciiTheme="minorHAnsi" w:hAnsiTheme="minorHAnsi" w:cstheme="minorHAnsi"/>
                <w:bCs/>
                <w:sz w:val="18"/>
                <w:szCs w:val="18"/>
                <w:lang w:eastAsia="en-US"/>
              </w:rPr>
              <w:t>Nausea and vomiting</w:t>
            </w:r>
          </w:p>
        </w:tc>
        <w:tc>
          <w:tcPr>
            <w:tcW w:w="1197" w:type="pct"/>
            <w:tcBorders>
              <w:top w:val="single" w:sz="4" w:space="0" w:color="auto"/>
              <w:left w:val="nil"/>
              <w:bottom w:val="single" w:sz="4" w:space="0" w:color="auto"/>
              <w:right w:val="single" w:sz="4" w:space="0" w:color="auto"/>
            </w:tcBorders>
            <w:shd w:val="clear" w:color="auto" w:fill="auto"/>
            <w:vAlign w:val="center"/>
          </w:tcPr>
          <w:p w14:paraId="6D3B7D1C" w14:textId="7D83D91E" w:rsidR="00213388" w:rsidRPr="00B0328C" w:rsidRDefault="00213388" w:rsidP="00213388">
            <w:pPr>
              <w:widowControl w:val="0"/>
              <w:spacing w:after="120"/>
              <w:jc w:val="center"/>
              <w:rPr>
                <w:rFonts w:asciiTheme="minorHAnsi" w:hAnsiTheme="minorHAnsi" w:cstheme="minorHAnsi"/>
                <w:bCs/>
                <w:snapToGrid w:val="0"/>
                <w:color w:val="000000"/>
                <w:sz w:val="18"/>
                <w:szCs w:val="18"/>
              </w:rPr>
            </w:pPr>
            <w:r w:rsidRPr="00B0328C">
              <w:rPr>
                <w:rFonts w:asciiTheme="minorHAnsi" w:hAnsiTheme="minorHAnsi" w:cstheme="minorHAnsi"/>
                <w:sz w:val="18"/>
                <w:szCs w:val="18"/>
                <w:lang w:eastAsia="en-US"/>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1E3B7E01" w14:textId="0C58F25A" w:rsidR="00213388" w:rsidRPr="00B0328C" w:rsidRDefault="00F8457A" w:rsidP="00213388">
            <w:pPr>
              <w:widowControl w:val="0"/>
              <w:spacing w:after="120"/>
              <w:jc w:val="center"/>
              <w:rPr>
                <w:rFonts w:asciiTheme="minorHAnsi" w:hAnsiTheme="minorHAnsi" w:cstheme="minorHAnsi"/>
                <w:bCs/>
                <w:snapToGrid w:val="0"/>
                <w:sz w:val="18"/>
                <w:szCs w:val="18"/>
              </w:rPr>
            </w:pPr>
            <w:r w:rsidRPr="00F8457A">
              <w:rPr>
                <w:rFonts w:asciiTheme="minorHAnsi" w:hAnsiTheme="minorHAnsi" w:cstheme="minorHAnsi"/>
                <w:bCs/>
                <w:snapToGrid w:val="0"/>
                <w:sz w:val="18"/>
                <w:szCs w:val="18"/>
              </w:rPr>
              <w:t>The PBAC advised that the July 2020 recommendation could be revoked, noting that another form of the product would be considered at the March 2023 PBAC meeting</w:t>
            </w:r>
            <w:r>
              <w:rPr>
                <w:rFonts w:asciiTheme="minorHAnsi" w:hAnsiTheme="minorHAnsi" w:cstheme="minorHAnsi"/>
                <w:bCs/>
                <w:snapToGrid w:val="0"/>
                <w:sz w:val="18"/>
                <w:szCs w:val="18"/>
              </w:rPr>
              <w:t>.</w:t>
            </w:r>
          </w:p>
        </w:tc>
      </w:tr>
      <w:tr w:rsidR="00213388" w:rsidRPr="00007932" w14:paraId="65B26D2F" w14:textId="77777777" w:rsidTr="00D5001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5FEB1AC4" w14:textId="77777777" w:rsidR="00213388" w:rsidRPr="00B0328C" w:rsidRDefault="00213388" w:rsidP="00213388">
            <w:pPr>
              <w:spacing w:line="256" w:lineRule="auto"/>
              <w:jc w:val="center"/>
              <w:rPr>
                <w:rFonts w:asciiTheme="minorHAnsi" w:hAnsiTheme="minorHAnsi" w:cstheme="minorHAnsi"/>
                <w:sz w:val="18"/>
                <w:szCs w:val="18"/>
                <w:lang w:eastAsia="en-US"/>
              </w:rPr>
            </w:pPr>
            <w:r w:rsidRPr="00B0328C">
              <w:rPr>
                <w:rFonts w:asciiTheme="minorHAnsi" w:hAnsiTheme="minorHAnsi" w:cstheme="minorHAnsi"/>
                <w:sz w:val="18"/>
                <w:szCs w:val="18"/>
                <w:lang w:eastAsia="en-US"/>
              </w:rPr>
              <w:t>FULVESTRANT</w:t>
            </w:r>
          </w:p>
          <w:p w14:paraId="596EABA4" w14:textId="77777777" w:rsidR="00213388" w:rsidRPr="00B0328C" w:rsidRDefault="00213388" w:rsidP="00213388">
            <w:pPr>
              <w:spacing w:line="256" w:lineRule="auto"/>
              <w:jc w:val="center"/>
              <w:rPr>
                <w:rFonts w:asciiTheme="minorHAnsi" w:hAnsiTheme="minorHAnsi" w:cstheme="minorHAnsi"/>
                <w:sz w:val="18"/>
                <w:szCs w:val="18"/>
                <w:lang w:eastAsia="en-US"/>
              </w:rPr>
            </w:pPr>
          </w:p>
          <w:p w14:paraId="05BB95A3" w14:textId="77777777" w:rsidR="00213388" w:rsidRPr="00B0328C" w:rsidRDefault="00213388" w:rsidP="00213388">
            <w:pPr>
              <w:spacing w:line="256" w:lineRule="auto"/>
              <w:jc w:val="center"/>
              <w:rPr>
                <w:rFonts w:asciiTheme="minorHAnsi" w:hAnsiTheme="minorHAnsi" w:cstheme="minorHAnsi"/>
                <w:sz w:val="18"/>
                <w:szCs w:val="18"/>
                <w:lang w:eastAsia="en-US"/>
              </w:rPr>
            </w:pPr>
            <w:r w:rsidRPr="00B0328C">
              <w:rPr>
                <w:rFonts w:asciiTheme="minorHAnsi" w:hAnsiTheme="minorHAnsi" w:cstheme="minorHAnsi"/>
                <w:sz w:val="18"/>
                <w:szCs w:val="18"/>
                <w:lang w:eastAsia="en-US"/>
              </w:rPr>
              <w:t>Injection 250 mg in 5 mL pre-filled syringe</w:t>
            </w:r>
          </w:p>
          <w:p w14:paraId="086846A4" w14:textId="77777777" w:rsidR="00213388" w:rsidRPr="00B0328C" w:rsidRDefault="00213388" w:rsidP="00213388">
            <w:pPr>
              <w:spacing w:line="256" w:lineRule="auto"/>
              <w:jc w:val="center"/>
              <w:rPr>
                <w:rFonts w:asciiTheme="minorHAnsi" w:hAnsiTheme="minorHAnsi" w:cstheme="minorHAnsi"/>
                <w:sz w:val="18"/>
                <w:szCs w:val="18"/>
                <w:lang w:eastAsia="en-US"/>
              </w:rPr>
            </w:pPr>
          </w:p>
          <w:p w14:paraId="236AAC70" w14:textId="77777777" w:rsidR="00213388" w:rsidRPr="00B0328C" w:rsidRDefault="00213388" w:rsidP="00213388">
            <w:pPr>
              <w:spacing w:line="256" w:lineRule="auto"/>
              <w:jc w:val="center"/>
              <w:rPr>
                <w:rFonts w:asciiTheme="minorHAnsi" w:hAnsiTheme="minorHAnsi" w:cstheme="minorHAnsi"/>
                <w:sz w:val="18"/>
                <w:szCs w:val="18"/>
                <w:lang w:eastAsia="en-US"/>
              </w:rPr>
            </w:pPr>
            <w:r w:rsidRPr="00B0328C">
              <w:rPr>
                <w:rFonts w:asciiTheme="minorHAnsi" w:hAnsiTheme="minorHAnsi" w:cstheme="minorHAnsi"/>
                <w:sz w:val="18"/>
                <w:szCs w:val="18"/>
                <w:lang w:eastAsia="en-US"/>
              </w:rPr>
              <w:t>Faslodex®</w:t>
            </w:r>
          </w:p>
          <w:p w14:paraId="4E661AA1" w14:textId="77777777" w:rsidR="00213388" w:rsidRPr="00B0328C" w:rsidRDefault="00213388" w:rsidP="00213388">
            <w:pPr>
              <w:spacing w:line="256" w:lineRule="auto"/>
              <w:jc w:val="center"/>
              <w:rPr>
                <w:rFonts w:asciiTheme="minorHAnsi" w:hAnsiTheme="minorHAnsi" w:cstheme="minorHAnsi"/>
                <w:sz w:val="18"/>
                <w:szCs w:val="18"/>
                <w:lang w:eastAsia="en-US"/>
              </w:rPr>
            </w:pPr>
          </w:p>
          <w:p w14:paraId="3645A09F" w14:textId="0C2D6346" w:rsidR="00213388" w:rsidRPr="00B0328C" w:rsidRDefault="00213388" w:rsidP="0004257E">
            <w:pPr>
              <w:spacing w:line="256" w:lineRule="auto"/>
              <w:jc w:val="center"/>
              <w:rPr>
                <w:rFonts w:asciiTheme="minorHAnsi" w:hAnsiTheme="minorHAnsi" w:cstheme="minorHAnsi"/>
                <w:sz w:val="18"/>
                <w:szCs w:val="18"/>
              </w:rPr>
            </w:pPr>
            <w:r w:rsidRPr="00B0328C">
              <w:rPr>
                <w:rFonts w:asciiTheme="minorHAnsi" w:hAnsiTheme="minorHAnsi" w:cstheme="minorHAnsi"/>
                <w:sz w:val="18"/>
                <w:szCs w:val="18"/>
                <w:lang w:eastAsia="en-US"/>
              </w:rPr>
              <w:t>AstraZeneca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282FB661" w14:textId="1BAFCCBA" w:rsidR="00213388" w:rsidRPr="00B0328C" w:rsidRDefault="00213388" w:rsidP="00213388">
            <w:pPr>
              <w:widowControl w:val="0"/>
              <w:spacing w:after="120"/>
              <w:jc w:val="center"/>
              <w:rPr>
                <w:rFonts w:asciiTheme="minorHAnsi" w:hAnsiTheme="minorHAnsi" w:cstheme="minorHAnsi"/>
                <w:sz w:val="18"/>
                <w:szCs w:val="18"/>
              </w:rPr>
            </w:pPr>
            <w:r w:rsidRPr="00B0328C">
              <w:rPr>
                <w:rFonts w:asciiTheme="minorHAnsi" w:hAnsiTheme="minorHAnsi" w:cstheme="minorHAnsi"/>
                <w:bCs/>
                <w:sz w:val="18"/>
                <w:szCs w:val="18"/>
                <w:lang w:eastAsia="en-US"/>
              </w:rPr>
              <w:t>Breast cancer</w:t>
            </w:r>
          </w:p>
        </w:tc>
        <w:tc>
          <w:tcPr>
            <w:tcW w:w="1197" w:type="pct"/>
            <w:tcBorders>
              <w:top w:val="single" w:sz="4" w:space="0" w:color="auto"/>
              <w:left w:val="nil"/>
              <w:bottom w:val="single" w:sz="4" w:space="0" w:color="auto"/>
              <w:right w:val="single" w:sz="4" w:space="0" w:color="auto"/>
            </w:tcBorders>
            <w:shd w:val="clear" w:color="auto" w:fill="auto"/>
            <w:vAlign w:val="center"/>
          </w:tcPr>
          <w:p w14:paraId="49745DB6" w14:textId="4726EFBD" w:rsidR="00213388" w:rsidRPr="00B0328C" w:rsidRDefault="00213388" w:rsidP="00213388">
            <w:pPr>
              <w:widowControl w:val="0"/>
              <w:spacing w:after="120"/>
              <w:jc w:val="center"/>
              <w:rPr>
                <w:rFonts w:asciiTheme="minorHAnsi" w:hAnsiTheme="minorHAnsi" w:cstheme="minorHAnsi"/>
                <w:sz w:val="18"/>
                <w:szCs w:val="18"/>
              </w:rPr>
            </w:pPr>
            <w:r w:rsidRPr="00B0328C">
              <w:rPr>
                <w:rFonts w:asciiTheme="minorHAnsi" w:hAnsiTheme="minorHAnsi" w:cstheme="minorHAnsi"/>
                <w:sz w:val="18"/>
                <w:szCs w:val="18"/>
                <w:lang w:eastAsia="en-US"/>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103BEAFC" w14:textId="13908367" w:rsidR="00213388" w:rsidRPr="00B0328C" w:rsidRDefault="00F8457A" w:rsidP="00213388">
            <w:pPr>
              <w:widowControl w:val="0"/>
              <w:spacing w:after="120"/>
              <w:jc w:val="center"/>
              <w:rPr>
                <w:rFonts w:asciiTheme="minorHAnsi" w:hAnsiTheme="minorHAnsi" w:cstheme="minorHAnsi"/>
                <w:sz w:val="18"/>
                <w:szCs w:val="18"/>
              </w:rPr>
            </w:pPr>
            <w:r w:rsidRPr="00F8457A">
              <w:rPr>
                <w:rFonts w:asciiTheme="minorHAnsi" w:hAnsiTheme="minorHAnsi" w:cstheme="minorHAnsi"/>
                <w:sz w:val="18"/>
                <w:szCs w:val="18"/>
              </w:rPr>
              <w:t>The PBAC advised that the July 2020 recommendation could be revoked, noting that other brands of the product were available on the PBS.</w:t>
            </w:r>
          </w:p>
        </w:tc>
      </w:tr>
      <w:tr w:rsidR="00213388" w:rsidRPr="00007932" w14:paraId="7A38C97D" w14:textId="77777777" w:rsidTr="00D5001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63DAEF36" w14:textId="77777777" w:rsidR="00213388" w:rsidRPr="00B0328C" w:rsidRDefault="00213388" w:rsidP="00213388">
            <w:pPr>
              <w:spacing w:line="256" w:lineRule="auto"/>
              <w:jc w:val="center"/>
              <w:rPr>
                <w:rFonts w:asciiTheme="minorHAnsi" w:hAnsiTheme="minorHAnsi" w:cstheme="minorHAnsi"/>
                <w:sz w:val="18"/>
                <w:szCs w:val="18"/>
                <w:lang w:eastAsia="en-US"/>
              </w:rPr>
            </w:pPr>
            <w:r w:rsidRPr="00B0328C">
              <w:rPr>
                <w:rFonts w:asciiTheme="minorHAnsi" w:hAnsiTheme="minorHAnsi" w:cstheme="minorHAnsi"/>
                <w:sz w:val="18"/>
                <w:szCs w:val="18"/>
                <w:lang w:eastAsia="en-US"/>
              </w:rPr>
              <w:t>IBRUTINIB</w:t>
            </w:r>
          </w:p>
          <w:p w14:paraId="6117D0D1" w14:textId="77777777" w:rsidR="00213388" w:rsidRPr="00B0328C" w:rsidRDefault="00213388" w:rsidP="00213388">
            <w:pPr>
              <w:spacing w:line="256" w:lineRule="auto"/>
              <w:jc w:val="center"/>
              <w:rPr>
                <w:rFonts w:asciiTheme="minorHAnsi" w:hAnsiTheme="minorHAnsi" w:cstheme="minorHAnsi"/>
                <w:sz w:val="18"/>
                <w:szCs w:val="18"/>
                <w:lang w:eastAsia="en-US"/>
              </w:rPr>
            </w:pPr>
          </w:p>
          <w:p w14:paraId="69B2D8D6" w14:textId="77777777" w:rsidR="00213388" w:rsidRPr="00B0328C" w:rsidRDefault="00213388" w:rsidP="00213388">
            <w:pPr>
              <w:spacing w:line="256" w:lineRule="auto"/>
              <w:jc w:val="center"/>
              <w:rPr>
                <w:rFonts w:asciiTheme="minorHAnsi" w:hAnsiTheme="minorHAnsi" w:cstheme="minorHAnsi"/>
                <w:sz w:val="18"/>
                <w:szCs w:val="18"/>
                <w:lang w:eastAsia="en-US"/>
              </w:rPr>
            </w:pPr>
            <w:r w:rsidRPr="00B0328C">
              <w:rPr>
                <w:rFonts w:asciiTheme="minorHAnsi" w:hAnsiTheme="minorHAnsi" w:cstheme="minorHAnsi"/>
                <w:sz w:val="18"/>
                <w:szCs w:val="18"/>
                <w:lang w:eastAsia="en-US"/>
              </w:rPr>
              <w:t>Tablet 140 mg</w:t>
            </w:r>
          </w:p>
          <w:p w14:paraId="0D356DB3" w14:textId="77777777" w:rsidR="00213388" w:rsidRPr="00B0328C" w:rsidRDefault="00213388" w:rsidP="00213388">
            <w:pPr>
              <w:spacing w:line="256" w:lineRule="auto"/>
              <w:jc w:val="center"/>
              <w:rPr>
                <w:rFonts w:asciiTheme="minorHAnsi" w:hAnsiTheme="minorHAnsi" w:cstheme="minorHAnsi"/>
                <w:sz w:val="18"/>
                <w:szCs w:val="18"/>
                <w:lang w:eastAsia="en-US"/>
              </w:rPr>
            </w:pPr>
            <w:r w:rsidRPr="00B0328C">
              <w:rPr>
                <w:rFonts w:asciiTheme="minorHAnsi" w:hAnsiTheme="minorHAnsi" w:cstheme="minorHAnsi"/>
                <w:sz w:val="18"/>
                <w:szCs w:val="18"/>
                <w:lang w:eastAsia="en-US"/>
              </w:rPr>
              <w:t>Tablet 280 mg</w:t>
            </w:r>
          </w:p>
          <w:p w14:paraId="55BE2B57" w14:textId="77777777" w:rsidR="00213388" w:rsidRPr="00B0328C" w:rsidRDefault="00213388" w:rsidP="00213388">
            <w:pPr>
              <w:spacing w:line="256" w:lineRule="auto"/>
              <w:jc w:val="center"/>
              <w:rPr>
                <w:rFonts w:asciiTheme="minorHAnsi" w:hAnsiTheme="minorHAnsi" w:cstheme="minorHAnsi"/>
                <w:sz w:val="18"/>
                <w:szCs w:val="18"/>
                <w:lang w:eastAsia="en-US"/>
              </w:rPr>
            </w:pPr>
            <w:r w:rsidRPr="00B0328C">
              <w:rPr>
                <w:rFonts w:asciiTheme="minorHAnsi" w:hAnsiTheme="minorHAnsi" w:cstheme="minorHAnsi"/>
                <w:sz w:val="18"/>
                <w:szCs w:val="18"/>
                <w:lang w:eastAsia="en-US"/>
              </w:rPr>
              <w:t>Tablet 420 mg</w:t>
            </w:r>
          </w:p>
          <w:p w14:paraId="7B919519" w14:textId="77777777" w:rsidR="00213388" w:rsidRPr="00B0328C" w:rsidRDefault="00213388" w:rsidP="00213388">
            <w:pPr>
              <w:spacing w:line="256" w:lineRule="auto"/>
              <w:jc w:val="center"/>
              <w:rPr>
                <w:rFonts w:asciiTheme="minorHAnsi" w:hAnsiTheme="minorHAnsi" w:cstheme="minorHAnsi"/>
                <w:sz w:val="18"/>
                <w:szCs w:val="18"/>
                <w:lang w:eastAsia="en-US"/>
              </w:rPr>
            </w:pPr>
            <w:r w:rsidRPr="00B0328C">
              <w:rPr>
                <w:rFonts w:asciiTheme="minorHAnsi" w:hAnsiTheme="minorHAnsi" w:cstheme="minorHAnsi"/>
                <w:sz w:val="18"/>
                <w:szCs w:val="18"/>
                <w:lang w:eastAsia="en-US"/>
              </w:rPr>
              <w:t>Tablet 560 mg</w:t>
            </w:r>
          </w:p>
          <w:p w14:paraId="1B11E0E3" w14:textId="77777777" w:rsidR="00213388" w:rsidRPr="00B0328C" w:rsidRDefault="00213388" w:rsidP="00213388">
            <w:pPr>
              <w:spacing w:line="256" w:lineRule="auto"/>
              <w:jc w:val="center"/>
              <w:rPr>
                <w:rFonts w:asciiTheme="minorHAnsi" w:hAnsiTheme="minorHAnsi" w:cstheme="minorHAnsi"/>
                <w:sz w:val="18"/>
                <w:szCs w:val="18"/>
                <w:lang w:eastAsia="en-US"/>
              </w:rPr>
            </w:pPr>
          </w:p>
          <w:p w14:paraId="17ED213C" w14:textId="77777777" w:rsidR="00213388" w:rsidRPr="00B0328C" w:rsidRDefault="00213388" w:rsidP="00213388">
            <w:pPr>
              <w:spacing w:line="256" w:lineRule="auto"/>
              <w:jc w:val="center"/>
              <w:rPr>
                <w:rFonts w:asciiTheme="minorHAnsi" w:hAnsiTheme="minorHAnsi" w:cstheme="minorHAnsi"/>
                <w:sz w:val="18"/>
                <w:szCs w:val="18"/>
                <w:lang w:eastAsia="en-US"/>
              </w:rPr>
            </w:pPr>
            <w:r w:rsidRPr="00B0328C">
              <w:rPr>
                <w:rFonts w:asciiTheme="minorHAnsi" w:hAnsiTheme="minorHAnsi" w:cstheme="minorHAnsi"/>
                <w:sz w:val="18"/>
                <w:szCs w:val="18"/>
                <w:lang w:eastAsia="en-US"/>
              </w:rPr>
              <w:t>Imbruvica®</w:t>
            </w:r>
          </w:p>
          <w:p w14:paraId="7F20BA2F" w14:textId="77777777" w:rsidR="00213388" w:rsidRPr="00B0328C" w:rsidRDefault="00213388" w:rsidP="00213388">
            <w:pPr>
              <w:spacing w:line="256" w:lineRule="auto"/>
              <w:jc w:val="center"/>
              <w:rPr>
                <w:rFonts w:asciiTheme="minorHAnsi" w:hAnsiTheme="minorHAnsi" w:cstheme="minorHAnsi"/>
                <w:sz w:val="18"/>
                <w:szCs w:val="18"/>
                <w:lang w:eastAsia="en-US"/>
              </w:rPr>
            </w:pPr>
          </w:p>
          <w:p w14:paraId="2D6D1C58" w14:textId="2593908A" w:rsidR="00213388" w:rsidRPr="00B0328C" w:rsidRDefault="00213388" w:rsidP="0004257E">
            <w:pPr>
              <w:spacing w:line="256" w:lineRule="auto"/>
              <w:jc w:val="center"/>
              <w:rPr>
                <w:rFonts w:asciiTheme="minorHAnsi" w:hAnsiTheme="minorHAnsi" w:cstheme="minorHAnsi"/>
                <w:sz w:val="18"/>
                <w:szCs w:val="18"/>
              </w:rPr>
            </w:pPr>
            <w:r w:rsidRPr="00B0328C">
              <w:rPr>
                <w:rFonts w:asciiTheme="minorHAnsi" w:hAnsiTheme="minorHAnsi" w:cstheme="minorHAnsi"/>
                <w:sz w:val="18"/>
                <w:szCs w:val="18"/>
                <w:lang w:eastAsia="en-US"/>
              </w:rPr>
              <w:t>Janssen-Cilag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291CD487" w14:textId="77777777" w:rsidR="00213388" w:rsidRPr="00B0328C" w:rsidRDefault="00213388" w:rsidP="00213388">
            <w:pPr>
              <w:spacing w:line="256" w:lineRule="auto"/>
              <w:jc w:val="center"/>
              <w:rPr>
                <w:rFonts w:asciiTheme="minorHAnsi" w:hAnsiTheme="minorHAnsi" w:cstheme="minorHAnsi"/>
                <w:bCs/>
                <w:sz w:val="18"/>
                <w:szCs w:val="18"/>
                <w:lang w:eastAsia="en-US"/>
              </w:rPr>
            </w:pPr>
            <w:r w:rsidRPr="00B0328C">
              <w:rPr>
                <w:rFonts w:asciiTheme="minorHAnsi" w:hAnsiTheme="minorHAnsi" w:cstheme="minorHAnsi"/>
                <w:bCs/>
                <w:sz w:val="18"/>
                <w:szCs w:val="18"/>
                <w:lang w:eastAsia="en-US"/>
              </w:rPr>
              <w:t>Chronic lymphocytic leukaemia;</w:t>
            </w:r>
            <w:r w:rsidRPr="00B0328C">
              <w:rPr>
                <w:rFonts w:asciiTheme="minorHAnsi" w:hAnsiTheme="minorHAnsi" w:cstheme="minorHAnsi"/>
                <w:bCs/>
                <w:sz w:val="18"/>
                <w:szCs w:val="18"/>
                <w:lang w:eastAsia="en-US"/>
              </w:rPr>
              <w:br/>
              <w:t>Small lymphocytic lymphoma;</w:t>
            </w:r>
          </w:p>
          <w:p w14:paraId="4DE5216D" w14:textId="52120314" w:rsidR="00213388" w:rsidRPr="00B0328C" w:rsidRDefault="00213388" w:rsidP="00213388">
            <w:pPr>
              <w:widowControl w:val="0"/>
              <w:spacing w:after="120"/>
              <w:jc w:val="center"/>
              <w:rPr>
                <w:rFonts w:asciiTheme="minorHAnsi" w:hAnsiTheme="minorHAnsi" w:cstheme="minorHAnsi"/>
                <w:sz w:val="18"/>
                <w:szCs w:val="18"/>
              </w:rPr>
            </w:pPr>
            <w:r w:rsidRPr="00B0328C">
              <w:rPr>
                <w:rFonts w:asciiTheme="minorHAnsi" w:hAnsiTheme="minorHAnsi" w:cstheme="minorHAnsi"/>
                <w:bCs/>
                <w:sz w:val="18"/>
                <w:szCs w:val="18"/>
                <w:lang w:eastAsia="en-US"/>
              </w:rPr>
              <w:t>Mantle cell lymphoma</w:t>
            </w:r>
          </w:p>
        </w:tc>
        <w:tc>
          <w:tcPr>
            <w:tcW w:w="1197" w:type="pct"/>
            <w:tcBorders>
              <w:top w:val="single" w:sz="4" w:space="0" w:color="auto"/>
              <w:left w:val="nil"/>
              <w:bottom w:val="single" w:sz="4" w:space="0" w:color="auto"/>
              <w:right w:val="single" w:sz="4" w:space="0" w:color="auto"/>
            </w:tcBorders>
            <w:shd w:val="clear" w:color="auto" w:fill="auto"/>
            <w:vAlign w:val="center"/>
          </w:tcPr>
          <w:p w14:paraId="6A403B0C" w14:textId="180CED69" w:rsidR="00213388" w:rsidRPr="00B0328C" w:rsidRDefault="00213388" w:rsidP="00213388">
            <w:pPr>
              <w:widowControl w:val="0"/>
              <w:spacing w:after="120"/>
              <w:jc w:val="center"/>
              <w:rPr>
                <w:rFonts w:asciiTheme="minorHAnsi" w:hAnsiTheme="minorHAnsi" w:cstheme="minorHAnsi"/>
                <w:sz w:val="18"/>
                <w:szCs w:val="18"/>
              </w:rPr>
            </w:pPr>
            <w:r w:rsidRPr="00B0328C">
              <w:rPr>
                <w:rFonts w:asciiTheme="minorHAnsi" w:hAnsiTheme="minorHAnsi" w:cstheme="minorHAnsi"/>
                <w:sz w:val="18"/>
                <w:szCs w:val="18"/>
                <w:lang w:eastAsia="en-US"/>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3D261D24" w14:textId="4666B998" w:rsidR="00213388" w:rsidRPr="00B0328C" w:rsidRDefault="00F8457A" w:rsidP="00213388">
            <w:pPr>
              <w:widowControl w:val="0"/>
              <w:spacing w:after="120"/>
              <w:jc w:val="center"/>
              <w:rPr>
                <w:rFonts w:asciiTheme="minorHAnsi" w:hAnsiTheme="minorHAnsi" w:cstheme="minorHAnsi"/>
                <w:sz w:val="18"/>
                <w:szCs w:val="18"/>
              </w:rPr>
            </w:pPr>
            <w:r w:rsidRPr="00F8457A">
              <w:rPr>
                <w:rFonts w:asciiTheme="minorHAnsi" w:hAnsiTheme="minorHAnsi" w:cstheme="minorHAnsi"/>
                <w:sz w:val="18"/>
                <w:szCs w:val="18"/>
              </w:rPr>
              <w:t>The PBAC advised that the November</w:t>
            </w:r>
            <w:r w:rsidR="008C66A9">
              <w:rPr>
                <w:rFonts w:asciiTheme="minorHAnsi" w:hAnsiTheme="minorHAnsi" w:cstheme="minorHAnsi"/>
                <w:sz w:val="18"/>
                <w:szCs w:val="18"/>
              </w:rPr>
              <w:t> </w:t>
            </w:r>
            <w:r w:rsidRPr="00F8457A">
              <w:rPr>
                <w:rFonts w:asciiTheme="minorHAnsi" w:hAnsiTheme="minorHAnsi" w:cstheme="minorHAnsi"/>
                <w:sz w:val="18"/>
                <w:szCs w:val="18"/>
              </w:rPr>
              <w:t>2020 recommendation be extended for 12 months (if listing process has not commenced by the end of October</w:t>
            </w:r>
            <w:r w:rsidR="008C66A9">
              <w:rPr>
                <w:rFonts w:asciiTheme="minorHAnsi" w:hAnsiTheme="minorHAnsi" w:cstheme="minorHAnsi"/>
                <w:sz w:val="18"/>
                <w:szCs w:val="18"/>
              </w:rPr>
              <w:t> </w:t>
            </w:r>
            <w:r w:rsidRPr="00F8457A">
              <w:rPr>
                <w:rFonts w:asciiTheme="minorHAnsi" w:hAnsiTheme="minorHAnsi" w:cstheme="minorHAnsi"/>
                <w:sz w:val="18"/>
                <w:szCs w:val="18"/>
              </w:rPr>
              <w:t>2023 the sponsor will be asked to justify the recommendation again).</w:t>
            </w:r>
          </w:p>
        </w:tc>
      </w:tr>
      <w:tr w:rsidR="00213388" w:rsidRPr="00007932" w14:paraId="32B2FE70" w14:textId="77777777" w:rsidTr="00D5001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42FC9223" w14:textId="77777777" w:rsidR="00213388" w:rsidRPr="00B0328C" w:rsidRDefault="00213388" w:rsidP="00213388">
            <w:pPr>
              <w:spacing w:line="256" w:lineRule="auto"/>
              <w:jc w:val="center"/>
              <w:rPr>
                <w:rFonts w:asciiTheme="minorHAnsi" w:hAnsiTheme="minorHAnsi" w:cstheme="minorHAnsi"/>
                <w:sz w:val="18"/>
                <w:szCs w:val="18"/>
                <w:lang w:eastAsia="en-US"/>
              </w:rPr>
            </w:pPr>
            <w:r w:rsidRPr="00B0328C">
              <w:rPr>
                <w:rFonts w:asciiTheme="minorHAnsi" w:hAnsiTheme="minorHAnsi" w:cstheme="minorHAnsi"/>
                <w:sz w:val="18"/>
                <w:szCs w:val="18"/>
                <w:lang w:eastAsia="en-US"/>
              </w:rPr>
              <w:lastRenderedPageBreak/>
              <w:t>PANCREATIC EXTRACT</w:t>
            </w:r>
          </w:p>
          <w:p w14:paraId="6E7F1D02" w14:textId="77777777" w:rsidR="00213388" w:rsidRPr="00B0328C" w:rsidRDefault="00213388" w:rsidP="00213388">
            <w:pPr>
              <w:spacing w:line="256" w:lineRule="auto"/>
              <w:jc w:val="center"/>
              <w:rPr>
                <w:rFonts w:asciiTheme="minorHAnsi" w:hAnsiTheme="minorHAnsi" w:cstheme="minorHAnsi"/>
                <w:sz w:val="18"/>
                <w:szCs w:val="18"/>
                <w:lang w:eastAsia="en-US"/>
              </w:rPr>
            </w:pPr>
          </w:p>
          <w:p w14:paraId="1D88BCD5" w14:textId="77777777" w:rsidR="00213388" w:rsidRPr="00B0328C" w:rsidRDefault="00213388" w:rsidP="00213388">
            <w:pPr>
              <w:spacing w:line="256" w:lineRule="auto"/>
              <w:jc w:val="center"/>
              <w:rPr>
                <w:rFonts w:asciiTheme="minorHAnsi" w:hAnsiTheme="minorHAnsi" w:cstheme="minorHAnsi"/>
                <w:sz w:val="18"/>
                <w:szCs w:val="18"/>
                <w:lang w:eastAsia="en-US"/>
              </w:rPr>
            </w:pPr>
            <w:r w:rsidRPr="00B0328C">
              <w:rPr>
                <w:rFonts w:asciiTheme="minorHAnsi" w:hAnsiTheme="minorHAnsi" w:cstheme="minorHAnsi"/>
                <w:sz w:val="18"/>
                <w:szCs w:val="18"/>
                <w:lang w:eastAsia="en-US"/>
              </w:rPr>
              <w:t xml:space="preserve">Capsule (containing enteric coated minimicrospheres) providing not less than 20,000 BP units of lipase activity </w:t>
            </w:r>
            <w:r w:rsidRPr="00B0328C">
              <w:rPr>
                <w:rFonts w:asciiTheme="minorHAnsi" w:hAnsiTheme="minorHAnsi" w:cstheme="minorHAnsi"/>
                <w:sz w:val="18"/>
                <w:szCs w:val="18"/>
                <w:lang w:eastAsia="en-US"/>
              </w:rPr>
              <w:br/>
            </w:r>
          </w:p>
          <w:p w14:paraId="21C0E876" w14:textId="77777777" w:rsidR="00213388" w:rsidRPr="00B0328C" w:rsidRDefault="00213388" w:rsidP="00213388">
            <w:pPr>
              <w:spacing w:line="256" w:lineRule="auto"/>
              <w:jc w:val="center"/>
              <w:rPr>
                <w:rFonts w:asciiTheme="minorHAnsi" w:hAnsiTheme="minorHAnsi" w:cstheme="minorHAnsi"/>
                <w:sz w:val="18"/>
                <w:szCs w:val="18"/>
                <w:lang w:eastAsia="en-US"/>
              </w:rPr>
            </w:pPr>
            <w:r w:rsidRPr="00B0328C">
              <w:rPr>
                <w:rFonts w:asciiTheme="minorHAnsi" w:hAnsiTheme="minorHAnsi" w:cstheme="minorHAnsi"/>
                <w:sz w:val="18"/>
                <w:szCs w:val="18"/>
                <w:lang w:eastAsia="en-US"/>
              </w:rPr>
              <w:t>Creon®</w:t>
            </w:r>
          </w:p>
          <w:p w14:paraId="00A2A960" w14:textId="77777777" w:rsidR="00213388" w:rsidRPr="00B0328C" w:rsidRDefault="00213388" w:rsidP="00213388">
            <w:pPr>
              <w:spacing w:line="256" w:lineRule="auto"/>
              <w:jc w:val="center"/>
              <w:rPr>
                <w:rFonts w:asciiTheme="minorHAnsi" w:hAnsiTheme="minorHAnsi" w:cstheme="minorHAnsi"/>
                <w:sz w:val="18"/>
                <w:szCs w:val="18"/>
                <w:lang w:eastAsia="en-US"/>
              </w:rPr>
            </w:pPr>
          </w:p>
          <w:p w14:paraId="597DE0AA" w14:textId="7B486552" w:rsidR="00213388" w:rsidRPr="00B0328C" w:rsidRDefault="00213388" w:rsidP="0004257E">
            <w:pPr>
              <w:spacing w:line="256" w:lineRule="auto"/>
              <w:jc w:val="center"/>
              <w:rPr>
                <w:rFonts w:asciiTheme="minorHAnsi" w:hAnsiTheme="minorHAnsi" w:cstheme="minorHAnsi"/>
                <w:sz w:val="18"/>
                <w:szCs w:val="18"/>
              </w:rPr>
            </w:pPr>
            <w:r w:rsidRPr="00B0328C">
              <w:rPr>
                <w:rFonts w:asciiTheme="minorHAnsi" w:hAnsiTheme="minorHAnsi" w:cstheme="minorHAnsi"/>
                <w:sz w:val="18"/>
                <w:szCs w:val="18"/>
                <w:lang w:eastAsia="en-US"/>
              </w:rPr>
              <w:t>Mylan Health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4D20C894" w14:textId="2363E364" w:rsidR="00213388" w:rsidRPr="00B0328C" w:rsidRDefault="00213388" w:rsidP="00213388">
            <w:pPr>
              <w:widowControl w:val="0"/>
              <w:spacing w:after="120"/>
              <w:jc w:val="center"/>
              <w:rPr>
                <w:rFonts w:asciiTheme="minorHAnsi" w:hAnsiTheme="minorHAnsi" w:cstheme="minorHAnsi"/>
                <w:sz w:val="18"/>
                <w:szCs w:val="18"/>
              </w:rPr>
            </w:pPr>
            <w:r w:rsidRPr="00B0328C">
              <w:rPr>
                <w:rFonts w:asciiTheme="minorHAnsi" w:hAnsiTheme="minorHAnsi" w:cstheme="minorHAnsi"/>
                <w:bCs/>
                <w:sz w:val="18"/>
                <w:szCs w:val="18"/>
                <w:lang w:eastAsia="en-US"/>
              </w:rPr>
              <w:t>Pancreatic exocrine insufficiency</w:t>
            </w:r>
          </w:p>
        </w:tc>
        <w:tc>
          <w:tcPr>
            <w:tcW w:w="1197" w:type="pct"/>
            <w:tcBorders>
              <w:top w:val="single" w:sz="4" w:space="0" w:color="auto"/>
              <w:left w:val="nil"/>
              <w:bottom w:val="single" w:sz="4" w:space="0" w:color="auto"/>
              <w:right w:val="single" w:sz="4" w:space="0" w:color="auto"/>
            </w:tcBorders>
            <w:shd w:val="clear" w:color="auto" w:fill="auto"/>
            <w:vAlign w:val="center"/>
          </w:tcPr>
          <w:p w14:paraId="7DBBA20A" w14:textId="4A174839" w:rsidR="00213388" w:rsidRPr="00B0328C" w:rsidRDefault="00213388" w:rsidP="00213388">
            <w:pPr>
              <w:widowControl w:val="0"/>
              <w:spacing w:after="120"/>
              <w:jc w:val="center"/>
              <w:rPr>
                <w:rFonts w:asciiTheme="minorHAnsi" w:hAnsiTheme="minorHAnsi" w:cstheme="minorHAnsi"/>
                <w:sz w:val="18"/>
                <w:szCs w:val="18"/>
              </w:rPr>
            </w:pPr>
            <w:r w:rsidRPr="00B0328C">
              <w:rPr>
                <w:rFonts w:asciiTheme="minorHAnsi" w:hAnsiTheme="minorHAnsi" w:cstheme="minorHAnsi"/>
                <w:sz w:val="18"/>
                <w:szCs w:val="18"/>
                <w:lang w:eastAsia="en-US"/>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22445664" w14:textId="7127907B" w:rsidR="00213388" w:rsidRPr="00B0328C" w:rsidRDefault="003D2FE6">
            <w:pPr>
              <w:widowControl w:val="0"/>
              <w:spacing w:after="120"/>
              <w:jc w:val="center"/>
              <w:rPr>
                <w:rFonts w:asciiTheme="minorHAnsi" w:hAnsiTheme="minorHAnsi" w:cstheme="minorHAnsi"/>
                <w:sz w:val="18"/>
                <w:szCs w:val="18"/>
              </w:rPr>
            </w:pPr>
            <w:r>
              <w:rPr>
                <w:rFonts w:asciiTheme="minorHAnsi" w:hAnsiTheme="minorHAnsi" w:cstheme="minorHAnsi"/>
                <w:sz w:val="18"/>
                <w:szCs w:val="18"/>
              </w:rPr>
              <w:t>To</w:t>
            </w:r>
            <w:r w:rsidR="0004257E" w:rsidRPr="0088248D">
              <w:rPr>
                <w:rFonts w:asciiTheme="minorHAnsi" w:hAnsiTheme="minorHAnsi" w:cstheme="minorHAnsi"/>
                <w:sz w:val="18"/>
                <w:szCs w:val="18"/>
              </w:rPr>
              <w:t xml:space="preserve"> be considered at a future PBAC meeting</w:t>
            </w:r>
          </w:p>
        </w:tc>
      </w:tr>
    </w:tbl>
    <w:p w14:paraId="2FD4C11F" w14:textId="7EA68E21" w:rsidR="00FB3935" w:rsidRPr="00292120" w:rsidRDefault="00FB3935">
      <w:pPr>
        <w:rPr>
          <w:rFonts w:ascii="Arial" w:hAnsi="Arial" w:cs="Arial"/>
        </w:rPr>
      </w:pPr>
    </w:p>
    <w:p w14:paraId="7A7B6E00" w14:textId="7103F430" w:rsidR="00251C2D" w:rsidRPr="00251C2D" w:rsidRDefault="00251C2D" w:rsidP="00EF3B9C">
      <w:pPr>
        <w:rPr>
          <w:rFonts w:asciiTheme="minorHAnsi" w:hAnsiTheme="minorHAnsi" w:cstheme="minorHAnsi"/>
          <w:b/>
          <w:bCs/>
          <w:sz w:val="18"/>
          <w:szCs w:val="18"/>
        </w:rPr>
      </w:pPr>
      <w:r w:rsidRPr="00251C2D">
        <w:rPr>
          <w:rFonts w:asciiTheme="minorHAnsi" w:hAnsiTheme="minorHAnsi" w:cstheme="minorHAnsi"/>
          <w:b/>
          <w:bCs/>
          <w:sz w:val="18"/>
          <w:szCs w:val="18"/>
        </w:rPr>
        <w:t xml:space="preserve">Version </w:t>
      </w:r>
      <w:r w:rsidR="00571A48">
        <w:rPr>
          <w:rFonts w:asciiTheme="minorHAnsi" w:hAnsiTheme="minorHAnsi" w:cstheme="minorHAnsi"/>
          <w:b/>
          <w:bCs/>
          <w:sz w:val="18"/>
          <w:szCs w:val="18"/>
        </w:rPr>
        <w:t>3</w:t>
      </w:r>
    </w:p>
    <w:p w14:paraId="0FD2309F" w14:textId="0D9FF272" w:rsidR="00251C2D" w:rsidRPr="00251C2D" w:rsidRDefault="00251C2D" w:rsidP="00EF3B9C">
      <w:pPr>
        <w:rPr>
          <w:rFonts w:asciiTheme="minorHAnsi" w:hAnsiTheme="minorHAnsi" w:cstheme="minorHAnsi"/>
          <w:sz w:val="18"/>
          <w:szCs w:val="18"/>
        </w:rPr>
      </w:pPr>
      <w:r w:rsidRPr="00251C2D">
        <w:rPr>
          <w:rFonts w:asciiTheme="minorHAnsi" w:hAnsiTheme="minorHAnsi" w:cstheme="minorHAnsi"/>
          <w:sz w:val="18"/>
          <w:szCs w:val="18"/>
        </w:rPr>
        <w:t>Amendment</w:t>
      </w:r>
    </w:p>
    <w:p w14:paraId="237E7119" w14:textId="4EF6E605" w:rsidR="000F6F0D" w:rsidRPr="00251C2D" w:rsidRDefault="00571A48" w:rsidP="00251C2D">
      <w:pPr>
        <w:pStyle w:val="ListParagraph"/>
        <w:numPr>
          <w:ilvl w:val="0"/>
          <w:numId w:val="22"/>
        </w:numPr>
        <w:rPr>
          <w:rFonts w:asciiTheme="minorHAnsi" w:hAnsiTheme="minorHAnsi" w:cstheme="minorHAnsi"/>
          <w:sz w:val="18"/>
          <w:szCs w:val="18"/>
        </w:rPr>
      </w:pPr>
      <w:r w:rsidRPr="00594BE5">
        <w:rPr>
          <w:rFonts w:asciiTheme="minorHAnsi" w:hAnsiTheme="minorHAnsi" w:cstheme="minorHAnsi"/>
          <w:color w:val="000000"/>
          <w:sz w:val="18"/>
          <w:szCs w:val="18"/>
        </w:rPr>
        <w:t>GLYCOMACROPEPTIDE FORMULA WITH LONG CHAIN POLYUNSATURATED FATTY ACIDS AND DOCOSAHEXAENOIC ACID AND LOW IN PHENYLALANINE</w:t>
      </w:r>
      <w:r>
        <w:rPr>
          <w:rFonts w:asciiTheme="minorHAnsi" w:hAnsiTheme="minorHAnsi" w:cstheme="minorHAnsi"/>
          <w:color w:val="000000"/>
          <w:sz w:val="18"/>
          <w:szCs w:val="18"/>
        </w:rPr>
        <w:t xml:space="preserve"> </w:t>
      </w:r>
      <w:r>
        <w:rPr>
          <w:rFonts w:asciiTheme="minorHAnsi" w:hAnsiTheme="minorHAnsi" w:cstheme="minorHAnsi"/>
          <w:sz w:val="18"/>
          <w:szCs w:val="18"/>
        </w:rPr>
        <w:t>(PKU Sphere Liquid</w:t>
      </w:r>
      <w:r w:rsidR="00251C2D" w:rsidRPr="00251C2D">
        <w:rPr>
          <w:rFonts w:asciiTheme="minorHAnsi" w:hAnsiTheme="minorHAnsi" w:cstheme="minorHAnsi"/>
          <w:sz w:val="18"/>
          <w:szCs w:val="18"/>
        </w:rPr>
        <w:t xml:space="preserve">) – </w:t>
      </w:r>
      <w:r>
        <w:rPr>
          <w:rFonts w:asciiTheme="minorHAnsi" w:hAnsiTheme="minorHAnsi" w:cstheme="minorHAnsi"/>
          <w:sz w:val="18"/>
          <w:szCs w:val="18"/>
        </w:rPr>
        <w:t xml:space="preserve">Drug name </w:t>
      </w:r>
      <w:r w:rsidR="00F57F0C">
        <w:rPr>
          <w:rFonts w:asciiTheme="minorHAnsi" w:hAnsiTheme="minorHAnsi" w:cstheme="minorHAnsi"/>
          <w:sz w:val="18"/>
          <w:szCs w:val="18"/>
        </w:rPr>
        <w:t>amended</w:t>
      </w:r>
    </w:p>
    <w:p w14:paraId="46E75563" w14:textId="31A0EAC5" w:rsidR="00571A48" w:rsidRDefault="00571A48" w:rsidP="00571A48">
      <w:pPr>
        <w:rPr>
          <w:rFonts w:asciiTheme="minorHAnsi" w:hAnsiTheme="minorHAnsi" w:cstheme="minorHAnsi"/>
          <w:b/>
          <w:bCs/>
          <w:sz w:val="18"/>
          <w:szCs w:val="18"/>
        </w:rPr>
      </w:pPr>
    </w:p>
    <w:p w14:paraId="23CC88C7" w14:textId="2FDAD0B2" w:rsidR="00571A48" w:rsidRDefault="00571A48" w:rsidP="00571A48">
      <w:pPr>
        <w:rPr>
          <w:rFonts w:asciiTheme="minorHAnsi" w:hAnsiTheme="minorHAnsi" w:cstheme="minorHAnsi"/>
          <w:b/>
          <w:bCs/>
          <w:sz w:val="18"/>
          <w:szCs w:val="18"/>
        </w:rPr>
      </w:pPr>
      <w:r w:rsidRPr="005B1C78">
        <w:rPr>
          <w:rFonts w:asciiTheme="minorHAnsi" w:hAnsiTheme="minorHAnsi" w:cstheme="minorHAnsi"/>
          <w:b/>
          <w:bCs/>
          <w:sz w:val="18"/>
          <w:szCs w:val="18"/>
        </w:rPr>
        <w:t>Previous Amendments</w:t>
      </w:r>
    </w:p>
    <w:p w14:paraId="227B5E88" w14:textId="77777777" w:rsidR="00571A48" w:rsidRPr="00251C2D" w:rsidRDefault="00571A48" w:rsidP="00571A48">
      <w:pPr>
        <w:pStyle w:val="ListParagraph"/>
        <w:numPr>
          <w:ilvl w:val="0"/>
          <w:numId w:val="25"/>
        </w:numPr>
        <w:rPr>
          <w:rFonts w:asciiTheme="minorHAnsi" w:hAnsiTheme="minorHAnsi" w:cstheme="minorHAnsi"/>
          <w:sz w:val="18"/>
          <w:szCs w:val="18"/>
        </w:rPr>
      </w:pPr>
      <w:r w:rsidRPr="00251C2D">
        <w:rPr>
          <w:rFonts w:asciiTheme="minorHAnsi" w:hAnsiTheme="minorHAnsi" w:cstheme="minorHAnsi"/>
          <w:sz w:val="18"/>
          <w:szCs w:val="18"/>
        </w:rPr>
        <w:t>DAROLUTAMIDE (</w:t>
      </w:r>
      <w:r>
        <w:rPr>
          <w:rFonts w:asciiTheme="minorHAnsi" w:hAnsiTheme="minorHAnsi" w:cstheme="minorHAnsi"/>
          <w:sz w:val="18"/>
          <w:szCs w:val="18"/>
        </w:rPr>
        <w:t>Nubeqa</w:t>
      </w:r>
      <w:r w:rsidRPr="00251C2D">
        <w:rPr>
          <w:rFonts w:asciiTheme="minorHAnsi" w:hAnsiTheme="minorHAnsi" w:cstheme="minorHAnsi"/>
          <w:sz w:val="18"/>
          <w:szCs w:val="18"/>
        </w:rPr>
        <w:t>®) – New outcome</w:t>
      </w:r>
    </w:p>
    <w:p w14:paraId="71E65135" w14:textId="77777777" w:rsidR="00571A48" w:rsidRDefault="00571A48" w:rsidP="00571A48">
      <w:pPr>
        <w:pStyle w:val="ListParagraph"/>
        <w:numPr>
          <w:ilvl w:val="0"/>
          <w:numId w:val="25"/>
        </w:numPr>
        <w:rPr>
          <w:rFonts w:asciiTheme="minorHAnsi" w:hAnsiTheme="minorHAnsi" w:cstheme="minorHAnsi"/>
          <w:sz w:val="18"/>
          <w:szCs w:val="18"/>
        </w:rPr>
      </w:pPr>
      <w:r>
        <w:rPr>
          <w:rFonts w:asciiTheme="minorHAnsi" w:hAnsiTheme="minorHAnsi" w:cstheme="minorHAnsi"/>
          <w:sz w:val="18"/>
          <w:szCs w:val="18"/>
        </w:rPr>
        <w:t xml:space="preserve">LENACAPAVIR (Sunlenca®) – New outcome </w:t>
      </w:r>
    </w:p>
    <w:p w14:paraId="78850770" w14:textId="77777777" w:rsidR="00571A48" w:rsidRPr="005B1C78" w:rsidRDefault="00571A48" w:rsidP="005B1C78">
      <w:pPr>
        <w:rPr>
          <w:rFonts w:asciiTheme="minorHAnsi" w:hAnsiTheme="minorHAnsi" w:cstheme="minorHAnsi"/>
          <w:sz w:val="18"/>
          <w:szCs w:val="18"/>
        </w:rPr>
      </w:pPr>
    </w:p>
    <w:p w14:paraId="511B88D5" w14:textId="26B3D058" w:rsidR="003E0E09" w:rsidRPr="00292120" w:rsidRDefault="003E0E09" w:rsidP="00571A48">
      <w:pPr>
        <w:pStyle w:val="ListParagraph"/>
        <w:numPr>
          <w:ilvl w:val="0"/>
          <w:numId w:val="25"/>
        </w:numPr>
        <w:rPr>
          <w:rFonts w:ascii="Arial" w:hAnsi="Arial" w:cs="Arial"/>
          <w:bCs/>
          <w:sz w:val="20"/>
          <w:szCs w:val="20"/>
          <w:lang w:val="en-US"/>
        </w:rPr>
      </w:pPr>
      <w:r w:rsidRPr="00292120">
        <w:rPr>
          <w:rFonts w:ascii="Arial" w:hAnsi="Arial" w:cs="Arial"/>
          <w:bCs/>
          <w:sz w:val="20"/>
          <w:szCs w:val="20"/>
          <w:lang w:val="en-US"/>
        </w:rPr>
        <w:br w:type="page"/>
      </w:r>
    </w:p>
    <w:p w14:paraId="6B64D1DE" w14:textId="721C2BBC" w:rsidR="007F48F6" w:rsidRPr="00292120" w:rsidRDefault="007F48F6" w:rsidP="007F48F6">
      <w:pPr>
        <w:rPr>
          <w:rFonts w:ascii="Arial" w:hAnsi="Arial" w:cs="Arial"/>
          <w:b/>
          <w:lang w:val="en-US"/>
        </w:rPr>
      </w:pPr>
      <w:r w:rsidRPr="00292120">
        <w:rPr>
          <w:rFonts w:ascii="Arial" w:hAnsi="Arial" w:cs="Arial"/>
          <w:b/>
          <w:lang w:val="en-US"/>
        </w:rPr>
        <w:lastRenderedPageBreak/>
        <w:t>Submission category types</w:t>
      </w:r>
    </w:p>
    <w:p w14:paraId="15D4233E" w14:textId="77777777" w:rsidR="007F48F6" w:rsidRPr="00292120" w:rsidRDefault="007F48F6" w:rsidP="007F48F6">
      <w:pPr>
        <w:rPr>
          <w:rFonts w:ascii="Arial" w:hAnsi="Arial" w:cs="Arial"/>
          <w:b/>
          <w:lang w:val="en-US"/>
        </w:rPr>
      </w:pPr>
    </w:p>
    <w:tbl>
      <w:tblPr>
        <w:tblStyle w:val="TableGrid"/>
        <w:tblW w:w="14458" w:type="dxa"/>
        <w:tblInd w:w="421" w:type="dxa"/>
        <w:tblLook w:val="04A0" w:firstRow="1" w:lastRow="0" w:firstColumn="1" w:lastColumn="0" w:noHBand="0" w:noVBand="1"/>
      </w:tblPr>
      <w:tblGrid>
        <w:gridCol w:w="1984"/>
        <w:gridCol w:w="12474"/>
      </w:tblGrid>
      <w:tr w:rsidR="007F48F6" w:rsidRPr="00292120" w14:paraId="49C9D26F" w14:textId="77777777" w:rsidTr="005B583D">
        <w:tc>
          <w:tcPr>
            <w:tcW w:w="1984" w:type="dxa"/>
          </w:tcPr>
          <w:p w14:paraId="1640FA5D" w14:textId="3DC6C07C" w:rsidR="007F48F6" w:rsidRPr="00292120" w:rsidRDefault="007F48F6" w:rsidP="00A159CA">
            <w:pPr>
              <w:autoSpaceDE w:val="0"/>
              <w:autoSpaceDN w:val="0"/>
              <w:adjustRightInd w:val="0"/>
              <w:rPr>
                <w:rFonts w:ascii="Arial" w:hAnsi="Arial" w:cs="Arial"/>
                <w:b/>
                <w:lang w:val="en-US"/>
              </w:rPr>
            </w:pPr>
            <w:r w:rsidRPr="00292120">
              <w:rPr>
                <w:rFonts w:ascii="Arial" w:hAnsi="Arial" w:cs="Arial"/>
                <w:b/>
                <w:color w:val="000000"/>
              </w:rPr>
              <w:t>Category 1</w:t>
            </w:r>
          </w:p>
        </w:tc>
        <w:tc>
          <w:tcPr>
            <w:tcW w:w="12474" w:type="dxa"/>
          </w:tcPr>
          <w:p w14:paraId="55D16D51" w14:textId="77777777" w:rsidR="007F48F6" w:rsidRPr="00292120" w:rsidRDefault="007F48F6" w:rsidP="005B583D">
            <w:pPr>
              <w:autoSpaceDE w:val="0"/>
              <w:autoSpaceDN w:val="0"/>
              <w:adjustRightInd w:val="0"/>
              <w:rPr>
                <w:rFonts w:ascii="Arial" w:hAnsi="Arial" w:cs="Arial"/>
                <w:b/>
                <w:color w:val="000000"/>
              </w:rPr>
            </w:pPr>
            <w:r w:rsidRPr="00292120">
              <w:rPr>
                <w:rFonts w:ascii="Arial" w:hAnsi="Arial" w:cs="Arial"/>
                <w:color w:val="000000"/>
              </w:rPr>
              <w:t xml:space="preserve">A request for PBS or NIP listing of one or more of the following: </w:t>
            </w:r>
          </w:p>
          <w:p w14:paraId="5E5BAAB8" w14:textId="77777777" w:rsidR="007F48F6" w:rsidRPr="00292120" w:rsidRDefault="007F48F6" w:rsidP="005B583D">
            <w:pPr>
              <w:pStyle w:val="ListParagraph"/>
              <w:numPr>
                <w:ilvl w:val="0"/>
                <w:numId w:val="3"/>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 xml:space="preserve">A first in class medicine or vaccine, and/or a medicine or vaccine for a new population. OR </w:t>
            </w:r>
          </w:p>
          <w:p w14:paraId="7DB13D11" w14:textId="77777777" w:rsidR="007F48F6" w:rsidRPr="00292120" w:rsidRDefault="007F48F6" w:rsidP="005B583D">
            <w:pPr>
              <w:pStyle w:val="ListParagraph"/>
              <w:numPr>
                <w:ilvl w:val="0"/>
                <w:numId w:val="3"/>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 xml:space="preserve">A drug with a codependent technology that requires an integrated codependent submission to the PBAC and MSAC. OR </w:t>
            </w:r>
          </w:p>
          <w:p w14:paraId="1380A86B" w14:textId="77777777" w:rsidR="007F48F6" w:rsidRPr="00292120" w:rsidRDefault="007F48F6" w:rsidP="005B583D">
            <w:pPr>
              <w:pStyle w:val="ListParagraph"/>
              <w:numPr>
                <w:ilvl w:val="0"/>
                <w:numId w:val="3"/>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A drug or designated vaccine with a TGA Provisional determination related to the proposed population.</w:t>
            </w:r>
          </w:p>
        </w:tc>
      </w:tr>
      <w:tr w:rsidR="007F48F6" w:rsidRPr="00292120" w14:paraId="55E97F75" w14:textId="77777777" w:rsidTr="005B583D">
        <w:tc>
          <w:tcPr>
            <w:tcW w:w="1984" w:type="dxa"/>
          </w:tcPr>
          <w:p w14:paraId="5E9AC3B0" w14:textId="77777777" w:rsidR="007F48F6" w:rsidRPr="00292120" w:rsidRDefault="007F48F6" w:rsidP="005B583D">
            <w:pPr>
              <w:tabs>
                <w:tab w:val="left" w:pos="5210"/>
              </w:tabs>
              <w:rPr>
                <w:rFonts w:ascii="Arial" w:hAnsi="Arial" w:cs="Arial"/>
                <w:b/>
                <w:lang w:val="en-US"/>
              </w:rPr>
            </w:pPr>
            <w:r w:rsidRPr="00292120">
              <w:rPr>
                <w:rFonts w:ascii="Arial" w:hAnsi="Arial" w:cs="Arial"/>
                <w:b/>
              </w:rPr>
              <w:t>Category 2</w:t>
            </w:r>
          </w:p>
        </w:tc>
        <w:tc>
          <w:tcPr>
            <w:tcW w:w="12474" w:type="dxa"/>
          </w:tcPr>
          <w:p w14:paraId="72522F32" w14:textId="77777777" w:rsidR="007F48F6" w:rsidRPr="00292120" w:rsidRDefault="007F48F6" w:rsidP="005B583D">
            <w:pPr>
              <w:tabs>
                <w:tab w:val="left" w:pos="5210"/>
              </w:tabs>
              <w:rPr>
                <w:rFonts w:ascii="Arial" w:hAnsi="Arial" w:cs="Arial"/>
              </w:rPr>
            </w:pPr>
            <w:r w:rsidRPr="00292120">
              <w:rPr>
                <w:rFonts w:ascii="Arial" w:hAnsi="Arial" w:cs="Arial"/>
              </w:rPr>
              <w:t>A request for PBS or NIP listing of a new medicine or new vaccine, a new indication of a currently listed medicine or vaccine, or to make material changes to a currently listed indication and do not meet the criteria for a Category 1 submission.</w:t>
            </w:r>
          </w:p>
        </w:tc>
      </w:tr>
      <w:tr w:rsidR="007F48F6" w:rsidRPr="00292120" w14:paraId="2189A220" w14:textId="77777777" w:rsidTr="005B583D">
        <w:tc>
          <w:tcPr>
            <w:tcW w:w="1984" w:type="dxa"/>
          </w:tcPr>
          <w:p w14:paraId="79CB93BA" w14:textId="77777777" w:rsidR="007F48F6" w:rsidRPr="00292120" w:rsidRDefault="007F48F6" w:rsidP="005B583D">
            <w:pPr>
              <w:tabs>
                <w:tab w:val="left" w:pos="5210"/>
              </w:tabs>
              <w:rPr>
                <w:rFonts w:ascii="Arial" w:hAnsi="Arial" w:cs="Arial"/>
                <w:b/>
                <w:lang w:val="en-US"/>
              </w:rPr>
            </w:pPr>
            <w:r w:rsidRPr="00292120">
              <w:rPr>
                <w:rFonts w:ascii="Arial" w:hAnsi="Arial" w:cs="Arial"/>
                <w:b/>
              </w:rPr>
              <w:t>Category 3</w:t>
            </w:r>
          </w:p>
        </w:tc>
        <w:tc>
          <w:tcPr>
            <w:tcW w:w="12474" w:type="dxa"/>
          </w:tcPr>
          <w:p w14:paraId="11EF39D0" w14:textId="77777777" w:rsidR="007F48F6" w:rsidRPr="00292120" w:rsidRDefault="007F48F6" w:rsidP="005B583D">
            <w:pPr>
              <w:tabs>
                <w:tab w:val="left" w:pos="5210"/>
              </w:tabs>
              <w:rPr>
                <w:rFonts w:ascii="Arial" w:hAnsi="Arial" w:cs="Arial"/>
              </w:rPr>
            </w:pPr>
            <w:r w:rsidRPr="00292120">
              <w:rPr>
                <w:rFonts w:ascii="Arial" w:hAnsi="Arial" w:cs="Arial"/>
              </w:rPr>
              <w:t>Requests to change existing listings that do not change the population or cost-effectiveness of the medicine or vaccine that do not meet the criteria for a Category 4 submission.</w:t>
            </w:r>
          </w:p>
        </w:tc>
      </w:tr>
      <w:tr w:rsidR="007F48F6" w:rsidRPr="00292120" w14:paraId="3189B6F0" w14:textId="77777777" w:rsidTr="005B583D">
        <w:tc>
          <w:tcPr>
            <w:tcW w:w="1984" w:type="dxa"/>
          </w:tcPr>
          <w:p w14:paraId="381D7CFE" w14:textId="5CAA3093" w:rsidR="007F48F6" w:rsidRPr="00292120" w:rsidRDefault="007F48F6" w:rsidP="005B583D">
            <w:pPr>
              <w:pStyle w:val="Default"/>
              <w:rPr>
                <w:rFonts w:ascii="Arial" w:hAnsi="Arial" w:cs="Arial"/>
                <w:b/>
                <w:sz w:val="20"/>
                <w:szCs w:val="20"/>
                <w:lang w:val="en-US"/>
              </w:rPr>
            </w:pPr>
            <w:r w:rsidRPr="00292120">
              <w:rPr>
                <w:rFonts w:ascii="Arial" w:hAnsi="Arial" w:cs="Arial"/>
                <w:b/>
                <w:sz w:val="20"/>
                <w:szCs w:val="20"/>
              </w:rPr>
              <w:t xml:space="preserve">Category 4 </w:t>
            </w:r>
          </w:p>
        </w:tc>
        <w:tc>
          <w:tcPr>
            <w:tcW w:w="12474" w:type="dxa"/>
          </w:tcPr>
          <w:p w14:paraId="5E50EE2B" w14:textId="77777777" w:rsidR="007F48F6" w:rsidRPr="00292120" w:rsidRDefault="007F48F6" w:rsidP="005B583D">
            <w:pPr>
              <w:pStyle w:val="Default"/>
              <w:rPr>
                <w:rFonts w:ascii="Arial" w:hAnsi="Arial" w:cs="Arial"/>
                <w:b/>
                <w:sz w:val="20"/>
                <w:szCs w:val="20"/>
              </w:rPr>
            </w:pPr>
            <w:r w:rsidRPr="00292120">
              <w:rPr>
                <w:rFonts w:ascii="Arial" w:hAnsi="Arial" w:cs="Arial"/>
                <w:sz w:val="20"/>
                <w:szCs w:val="20"/>
              </w:rPr>
              <w:t xml:space="preserve">A request for one or more of the following: </w:t>
            </w:r>
          </w:p>
          <w:p w14:paraId="61CDD5EA" w14:textId="77777777" w:rsidR="007F48F6" w:rsidRPr="00292120" w:rsidRDefault="007F48F6" w:rsidP="005B583D">
            <w:pPr>
              <w:pStyle w:val="ListParagraph"/>
              <w:numPr>
                <w:ilvl w:val="0"/>
                <w:numId w:val="4"/>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 xml:space="preserve">Listing of a new pharmaceutical item of a listed medicine. </w:t>
            </w:r>
          </w:p>
          <w:p w14:paraId="30945A3C" w14:textId="77777777" w:rsidR="007F48F6" w:rsidRPr="00292120" w:rsidRDefault="007F48F6" w:rsidP="005B583D">
            <w:pPr>
              <w:pStyle w:val="ListParagraph"/>
              <w:numPr>
                <w:ilvl w:val="0"/>
                <w:numId w:val="4"/>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 xml:space="preserve">Consideration as an exempt item (Exempt item as per subsection 84AH of the </w:t>
            </w:r>
            <w:r w:rsidRPr="00292120">
              <w:rPr>
                <w:rFonts w:ascii="Arial" w:hAnsi="Arial" w:cs="Arial"/>
                <w:i/>
                <w:iCs/>
                <w:color w:val="000000"/>
                <w:sz w:val="20"/>
                <w:szCs w:val="20"/>
              </w:rPr>
              <w:t>National Health Act 1953</w:t>
            </w:r>
            <w:r w:rsidRPr="00292120">
              <w:rPr>
                <w:rFonts w:ascii="Arial" w:hAnsi="Arial" w:cs="Arial"/>
                <w:color w:val="000000"/>
                <w:sz w:val="20"/>
                <w:szCs w:val="20"/>
              </w:rPr>
              <w:t xml:space="preserve">). </w:t>
            </w:r>
          </w:p>
          <w:p w14:paraId="46567CAC" w14:textId="77777777" w:rsidR="007F48F6" w:rsidRPr="00292120" w:rsidRDefault="007F48F6" w:rsidP="005B583D">
            <w:pPr>
              <w:pStyle w:val="ListParagraph"/>
              <w:numPr>
                <w:ilvl w:val="0"/>
                <w:numId w:val="4"/>
              </w:numPr>
              <w:autoSpaceDE w:val="0"/>
              <w:autoSpaceDN w:val="0"/>
              <w:adjustRightInd w:val="0"/>
              <w:ind w:left="360"/>
              <w:rPr>
                <w:rFonts w:ascii="Arial" w:hAnsi="Arial" w:cs="Arial"/>
                <w:b/>
                <w:color w:val="000000"/>
                <w:sz w:val="20"/>
                <w:szCs w:val="20"/>
              </w:rPr>
            </w:pPr>
            <w:r w:rsidRPr="00292120">
              <w:rPr>
                <w:rFonts w:ascii="Arial" w:hAnsi="Arial" w:cs="Arial"/>
                <w:sz w:val="20"/>
                <w:szCs w:val="20"/>
              </w:rPr>
              <w:t xml:space="preserve">Including a listed medicine on the prescriber bag, or varying an existing prescriber bag listing. </w:t>
            </w:r>
          </w:p>
          <w:p w14:paraId="7EF9BA42" w14:textId="77777777" w:rsidR="007F48F6" w:rsidRPr="00292120" w:rsidRDefault="007F48F6" w:rsidP="005B583D">
            <w:pPr>
              <w:pStyle w:val="ListParagraph"/>
              <w:numPr>
                <w:ilvl w:val="0"/>
                <w:numId w:val="5"/>
              </w:numPr>
              <w:autoSpaceDE w:val="0"/>
              <w:autoSpaceDN w:val="0"/>
              <w:adjustRightInd w:val="0"/>
              <w:ind w:left="360"/>
              <w:rPr>
                <w:rFonts w:ascii="Arial" w:hAnsi="Arial" w:cs="Arial"/>
                <w:b/>
                <w:sz w:val="20"/>
                <w:szCs w:val="20"/>
              </w:rPr>
            </w:pPr>
            <w:r w:rsidRPr="00292120">
              <w:rPr>
                <w:rFonts w:ascii="Arial" w:hAnsi="Arial" w:cs="Arial"/>
                <w:sz w:val="20"/>
                <w:szCs w:val="20"/>
              </w:rPr>
              <w:t xml:space="preserve">A change/new manner of administration of a listed medicine. </w:t>
            </w:r>
          </w:p>
          <w:p w14:paraId="4D6B65C5" w14:textId="77777777" w:rsidR="007F48F6" w:rsidRPr="00292120" w:rsidRDefault="007F48F6" w:rsidP="005B583D">
            <w:pPr>
              <w:pStyle w:val="ListParagraph"/>
              <w:numPr>
                <w:ilvl w:val="0"/>
                <w:numId w:val="5"/>
              </w:numPr>
              <w:autoSpaceDE w:val="0"/>
              <w:autoSpaceDN w:val="0"/>
              <w:adjustRightInd w:val="0"/>
              <w:ind w:left="360"/>
              <w:rPr>
                <w:rFonts w:ascii="Arial" w:hAnsi="Arial" w:cs="Arial"/>
                <w:b/>
                <w:sz w:val="20"/>
                <w:szCs w:val="20"/>
              </w:rPr>
            </w:pPr>
            <w:r w:rsidRPr="00292120">
              <w:rPr>
                <w:rFonts w:ascii="Arial" w:hAnsi="Arial" w:cs="Arial"/>
                <w:sz w:val="20"/>
                <w:szCs w:val="20"/>
              </w:rPr>
              <w:t xml:space="preserve">A change to the maximum quantity and/or number of repeats of a listed medicine. </w:t>
            </w:r>
          </w:p>
          <w:p w14:paraId="2C2C10B5" w14:textId="77777777" w:rsidR="007F48F6" w:rsidRPr="00292120" w:rsidRDefault="007F48F6" w:rsidP="005B583D">
            <w:pPr>
              <w:pStyle w:val="ListParagraph"/>
              <w:numPr>
                <w:ilvl w:val="0"/>
                <w:numId w:val="5"/>
              </w:numPr>
              <w:autoSpaceDE w:val="0"/>
              <w:autoSpaceDN w:val="0"/>
              <w:adjustRightInd w:val="0"/>
              <w:ind w:left="360"/>
              <w:rPr>
                <w:rFonts w:ascii="Arial" w:hAnsi="Arial" w:cs="Arial"/>
                <w:b/>
                <w:sz w:val="20"/>
                <w:szCs w:val="20"/>
              </w:rPr>
            </w:pPr>
            <w:r w:rsidRPr="00292120">
              <w:rPr>
                <w:rFonts w:ascii="Arial" w:hAnsi="Arial" w:cs="Arial"/>
                <w:sz w:val="20"/>
                <w:szCs w:val="20"/>
              </w:rPr>
              <w:t>A change or addition to the prescriber type(s) of a listed medicine.</w:t>
            </w:r>
          </w:p>
        </w:tc>
      </w:tr>
      <w:tr w:rsidR="009A1C75" w:rsidRPr="00292120" w14:paraId="5129ECF2" w14:textId="77777777" w:rsidTr="009A1C75">
        <w:trPr>
          <w:trHeight w:val="1026"/>
        </w:trPr>
        <w:tc>
          <w:tcPr>
            <w:tcW w:w="1984" w:type="dxa"/>
          </w:tcPr>
          <w:p w14:paraId="4FD9FAAA" w14:textId="0063D706" w:rsidR="009A1C75" w:rsidRPr="00292120" w:rsidRDefault="009A1C75" w:rsidP="005B583D">
            <w:pPr>
              <w:pStyle w:val="Default"/>
              <w:rPr>
                <w:rFonts w:ascii="Arial" w:hAnsi="Arial" w:cs="Arial"/>
                <w:sz w:val="20"/>
                <w:szCs w:val="20"/>
              </w:rPr>
            </w:pPr>
            <w:r w:rsidRPr="00292120">
              <w:rPr>
                <w:rFonts w:ascii="Arial" w:hAnsi="Arial" w:cs="Arial"/>
                <w:b/>
                <w:sz w:val="20"/>
                <w:szCs w:val="20"/>
              </w:rPr>
              <w:t>Committee Secretariat</w:t>
            </w:r>
          </w:p>
        </w:tc>
        <w:tc>
          <w:tcPr>
            <w:tcW w:w="12474" w:type="dxa"/>
          </w:tcPr>
          <w:p w14:paraId="4E0E04D8" w14:textId="77777777" w:rsidR="009A1C75" w:rsidRPr="00292120" w:rsidRDefault="009A1C75" w:rsidP="009A1C75">
            <w:pPr>
              <w:rPr>
                <w:rFonts w:ascii="Arial" w:hAnsi="Arial" w:cs="Arial"/>
                <w:color w:val="000000"/>
              </w:rPr>
            </w:pPr>
            <w:r w:rsidRPr="00292120">
              <w:rPr>
                <w:rFonts w:ascii="Arial" w:hAnsi="Arial" w:cs="Arial"/>
                <w:color w:val="000000"/>
              </w:rPr>
              <w:t>Application is not in Categories 1, 2, 3 or 4 and requests for one or more of the following:</w:t>
            </w:r>
          </w:p>
          <w:p w14:paraId="0ADCA80A" w14:textId="77777777" w:rsidR="009A1C75" w:rsidRPr="00292120" w:rsidRDefault="009A1C75" w:rsidP="009A1C75">
            <w:pPr>
              <w:pStyle w:val="ListParagraph"/>
              <w:numPr>
                <w:ilvl w:val="0"/>
                <w:numId w:val="8"/>
              </w:numPr>
              <w:rPr>
                <w:rFonts w:ascii="Arial" w:eastAsia="Times New Roman" w:hAnsi="Arial" w:cs="Arial"/>
                <w:sz w:val="20"/>
                <w:szCs w:val="20"/>
              </w:rPr>
            </w:pPr>
            <w:r w:rsidRPr="00292120">
              <w:rPr>
                <w:rFonts w:ascii="Arial" w:eastAsia="Times New Roman" w:hAnsi="Arial" w:cs="Arial"/>
                <w:sz w:val="20"/>
                <w:szCs w:val="20"/>
              </w:rPr>
              <w:t>New or varied listed drugs, medicinal preparations and designated vaccines that pose no greater risk</w:t>
            </w:r>
          </w:p>
          <w:p w14:paraId="4E274BBE" w14:textId="47479696" w:rsidR="009A1C75" w:rsidRPr="00292120" w:rsidRDefault="009A1C75" w:rsidP="009A1C75">
            <w:pPr>
              <w:pStyle w:val="ListParagraph"/>
              <w:numPr>
                <w:ilvl w:val="0"/>
                <w:numId w:val="8"/>
              </w:numPr>
              <w:rPr>
                <w:rFonts w:ascii="Arial" w:eastAsia="Times New Roman" w:hAnsi="Arial" w:cs="Arial"/>
                <w:sz w:val="20"/>
                <w:szCs w:val="20"/>
              </w:rPr>
            </w:pPr>
            <w:r w:rsidRPr="00292120">
              <w:rPr>
                <w:rFonts w:ascii="Arial" w:eastAsia="Times New Roman" w:hAnsi="Arial" w:cs="Arial"/>
                <w:sz w:val="20"/>
                <w:szCs w:val="20"/>
              </w:rPr>
              <w:t>Pharmaceutical benefits that can no longer be supplied early</w:t>
            </w:r>
          </w:p>
          <w:p w14:paraId="78723A0D" w14:textId="4DE6AD96" w:rsidR="009A1C75" w:rsidRPr="00292120" w:rsidRDefault="009A1C75" w:rsidP="009A1C75">
            <w:pPr>
              <w:pStyle w:val="ListParagraph"/>
              <w:numPr>
                <w:ilvl w:val="0"/>
                <w:numId w:val="8"/>
              </w:numPr>
              <w:rPr>
                <w:rFonts w:ascii="Arial" w:eastAsia="Times New Roman" w:hAnsi="Arial" w:cs="Arial"/>
                <w:sz w:val="20"/>
                <w:szCs w:val="20"/>
              </w:rPr>
            </w:pPr>
            <w:r w:rsidRPr="00292120">
              <w:rPr>
                <w:rFonts w:ascii="Arial" w:eastAsia="Times New Roman" w:hAnsi="Arial" w:cs="Arial"/>
                <w:sz w:val="20"/>
                <w:szCs w:val="20"/>
              </w:rPr>
              <w:t>New brand of glucose indicator pharmaceutical item.</w:t>
            </w:r>
          </w:p>
        </w:tc>
      </w:tr>
    </w:tbl>
    <w:p w14:paraId="1A3326E0" w14:textId="77777777" w:rsidR="007F48F6" w:rsidRPr="00292120" w:rsidRDefault="007F48F6" w:rsidP="00EF3B9C">
      <w:pPr>
        <w:rPr>
          <w:rFonts w:ascii="Arial" w:hAnsi="Arial" w:cs="Arial"/>
          <w:b/>
          <w:lang w:val="en-US"/>
        </w:rPr>
      </w:pPr>
    </w:p>
    <w:p w14:paraId="379497B6" w14:textId="77777777" w:rsidR="008D62B4" w:rsidRPr="00292120" w:rsidRDefault="008D62B4">
      <w:pPr>
        <w:rPr>
          <w:rFonts w:ascii="Arial" w:hAnsi="Arial" w:cs="Arial"/>
          <w:b/>
          <w:lang w:val="en-US"/>
        </w:rPr>
      </w:pPr>
      <w:r w:rsidRPr="00292120">
        <w:rPr>
          <w:rFonts w:ascii="Arial" w:hAnsi="Arial" w:cs="Arial"/>
          <w:b/>
          <w:lang w:val="en-US"/>
        </w:rPr>
        <w:br w:type="page"/>
      </w:r>
    </w:p>
    <w:p w14:paraId="6CE3C41E" w14:textId="0367938F" w:rsidR="00640C80" w:rsidRPr="00292120" w:rsidRDefault="005A0A21" w:rsidP="00EF3B9C">
      <w:pPr>
        <w:rPr>
          <w:rFonts w:ascii="Arial" w:hAnsi="Arial" w:cs="Arial"/>
          <w:b/>
          <w:lang w:val="en-US"/>
        </w:rPr>
      </w:pPr>
      <w:r w:rsidRPr="00292120">
        <w:rPr>
          <w:rFonts w:ascii="Arial" w:hAnsi="Arial" w:cs="Arial"/>
          <w:b/>
          <w:lang w:val="en-US"/>
        </w:rPr>
        <w:lastRenderedPageBreak/>
        <w:t>Resubmission pathways</w:t>
      </w:r>
    </w:p>
    <w:p w14:paraId="025CE011" w14:textId="77777777" w:rsidR="005A0A21" w:rsidRPr="00292120" w:rsidRDefault="005A0A21" w:rsidP="00640C80">
      <w:pPr>
        <w:tabs>
          <w:tab w:val="left" w:pos="5210"/>
        </w:tabs>
        <w:rPr>
          <w:rFonts w:ascii="Arial" w:hAnsi="Arial" w:cs="Arial"/>
          <w:b/>
          <w:lang w:val="en-US"/>
        </w:rPr>
      </w:pPr>
    </w:p>
    <w:tbl>
      <w:tblPr>
        <w:tblW w:w="4701" w:type="pct"/>
        <w:tblInd w:w="416" w:type="dxa"/>
        <w:tblCellMar>
          <w:left w:w="0" w:type="dxa"/>
          <w:right w:w="0" w:type="dxa"/>
        </w:tblCellMar>
        <w:tblLook w:val="04A0" w:firstRow="1" w:lastRow="0" w:firstColumn="1" w:lastColumn="0" w:noHBand="0" w:noVBand="1"/>
      </w:tblPr>
      <w:tblGrid>
        <w:gridCol w:w="2068"/>
        <w:gridCol w:w="12390"/>
      </w:tblGrid>
      <w:tr w:rsidR="004A3371" w:rsidRPr="00292120" w14:paraId="1B32CA1F" w14:textId="77777777" w:rsidTr="00A159CA">
        <w:trPr>
          <w:cantSplit/>
        </w:trPr>
        <w:tc>
          <w:tcPr>
            <w:tcW w:w="1445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6822E31" w14:textId="77777777" w:rsidR="004A3371" w:rsidRPr="00292120" w:rsidRDefault="004A3371">
            <w:pPr>
              <w:rPr>
                <w:rFonts w:ascii="Arial" w:hAnsi="Arial" w:cs="Arial"/>
              </w:rPr>
            </w:pPr>
            <w:r w:rsidRPr="00292120">
              <w:rPr>
                <w:rFonts w:ascii="Arial" w:hAnsi="Arial" w:cs="Arial"/>
                <w:color w:val="333333"/>
              </w:rPr>
              <w:t xml:space="preserve">*There are four different resubmission pathways available to applicants following a ‘not recommended’ PBAC outcome. Resubmission pathways are not available for submissions that receive a positive recommendation from the PBAC. </w:t>
            </w:r>
            <w:r w:rsidRPr="00292120">
              <w:rPr>
                <w:rFonts w:ascii="Arial" w:hAnsi="Arial" w:cs="Arial"/>
              </w:rPr>
              <w:t>The resubmission pathways are classified into the following categories:</w:t>
            </w:r>
          </w:p>
        </w:tc>
      </w:tr>
      <w:tr w:rsidR="004A3371" w:rsidRPr="00292120" w14:paraId="5A78A628"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680C335" w14:textId="77777777" w:rsidR="004A3371" w:rsidRPr="00292120" w:rsidRDefault="004A3371">
            <w:pPr>
              <w:spacing w:after="160" w:line="252" w:lineRule="auto"/>
              <w:contextualSpacing/>
              <w:rPr>
                <w:rFonts w:ascii="Arial" w:hAnsi="Arial" w:cs="Arial"/>
                <w:b/>
                <w:bCs/>
              </w:rPr>
            </w:pPr>
            <w:r w:rsidRPr="00292120">
              <w:rPr>
                <w:rFonts w:ascii="Arial" w:hAnsi="Arial" w:cs="Arial"/>
                <w:b/>
                <w:bCs/>
              </w:rPr>
              <w:t>Standard re-entry</w:t>
            </w:r>
          </w:p>
          <w:p w14:paraId="14CD87B9" w14:textId="77777777" w:rsidR="004A3371" w:rsidRPr="00292120" w:rsidRDefault="004A3371">
            <w:pPr>
              <w:spacing w:line="252" w:lineRule="auto"/>
              <w:rPr>
                <w:rFonts w:ascii="Arial" w:hAnsi="Arial" w:cs="Arial"/>
                <w:b/>
                <w:bCs/>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BDC71EA" w14:textId="77777777" w:rsidR="004A3371" w:rsidRPr="00292120" w:rsidRDefault="004A3371">
            <w:pPr>
              <w:autoSpaceDE w:val="0"/>
              <w:autoSpaceDN w:val="0"/>
              <w:rPr>
                <w:rFonts w:ascii="Arial" w:hAnsi="Arial" w:cs="Arial"/>
                <w:color w:val="000000"/>
              </w:rPr>
            </w:pPr>
            <w:r w:rsidRPr="00292120">
              <w:rPr>
                <w:rFonts w:ascii="Arial" w:hAnsi="Arial" w:cs="Arial"/>
                <w:color w:val="000000"/>
              </w:rPr>
              <w:t xml:space="preserve">The Standard Re-entry Pathway is the default pathway for resubmissions and also applies where: </w:t>
            </w:r>
          </w:p>
          <w:p w14:paraId="430AF034" w14:textId="77777777" w:rsidR="004A3371" w:rsidRPr="00292120" w:rsidRDefault="004A3371" w:rsidP="00461045">
            <w:pPr>
              <w:pStyle w:val="ListParagraph"/>
              <w:numPr>
                <w:ilvl w:val="0"/>
                <w:numId w:val="1"/>
              </w:numPr>
              <w:autoSpaceDE w:val="0"/>
              <w:autoSpaceDN w:val="0"/>
              <w:contextualSpacing w:val="0"/>
              <w:rPr>
                <w:rFonts w:ascii="Arial" w:hAnsi="Arial" w:cs="Arial"/>
                <w:color w:val="000000"/>
                <w:sz w:val="20"/>
                <w:szCs w:val="20"/>
              </w:rPr>
            </w:pPr>
            <w:r w:rsidRPr="00292120">
              <w:rPr>
                <w:rFonts w:ascii="Arial" w:hAnsi="Arial" w:cs="Arial"/>
                <w:color w:val="000000"/>
                <w:sz w:val="20"/>
                <w:szCs w:val="20"/>
              </w:rPr>
              <w:t xml:space="preserve">an applicant chooses not to accept the PBAC nominated resubmission pathway; or </w:t>
            </w:r>
          </w:p>
          <w:p w14:paraId="15ADDEB3" w14:textId="3C3608FE" w:rsidR="004A3371" w:rsidRPr="00292120" w:rsidRDefault="004A3371" w:rsidP="00461045">
            <w:pPr>
              <w:pStyle w:val="ListParagraph"/>
              <w:numPr>
                <w:ilvl w:val="0"/>
                <w:numId w:val="1"/>
              </w:numPr>
              <w:autoSpaceDE w:val="0"/>
              <w:autoSpaceDN w:val="0"/>
              <w:contextualSpacing w:val="0"/>
              <w:rPr>
                <w:rFonts w:ascii="Arial" w:hAnsi="Arial" w:cs="Arial"/>
                <w:color w:val="000000"/>
                <w:sz w:val="20"/>
                <w:szCs w:val="20"/>
              </w:rPr>
            </w:pPr>
            <w:r w:rsidRPr="00292120">
              <w:rPr>
                <w:rFonts w:ascii="Arial" w:hAnsi="Arial" w:cs="Arial"/>
                <w:color w:val="000000"/>
                <w:sz w:val="20"/>
                <w:szCs w:val="20"/>
              </w:rPr>
              <w:t xml:space="preserve">an Early Re-entry or Early Resolution Pathway has been nominated by the PBAC and an applicant decides to address issues other than those identified by the PBAC (including a subset of issues); or </w:t>
            </w:r>
          </w:p>
          <w:p w14:paraId="4A452A68" w14:textId="4740DC48" w:rsidR="004A3371" w:rsidRPr="00292120" w:rsidRDefault="004A3371" w:rsidP="00461045">
            <w:pPr>
              <w:pStyle w:val="ListParagraph"/>
              <w:numPr>
                <w:ilvl w:val="0"/>
                <w:numId w:val="1"/>
              </w:numPr>
              <w:autoSpaceDE w:val="0"/>
              <w:autoSpaceDN w:val="0"/>
              <w:contextualSpacing w:val="0"/>
              <w:rPr>
                <w:rFonts w:ascii="Arial" w:hAnsi="Arial" w:cs="Arial"/>
                <w:color w:val="000000"/>
                <w:sz w:val="20"/>
                <w:szCs w:val="20"/>
              </w:rPr>
            </w:pPr>
            <w:r w:rsidRPr="00292120">
              <w:rPr>
                <w:rFonts w:ascii="Arial" w:hAnsi="Arial" w:cs="Arial"/>
                <w:color w:val="000000"/>
                <w:sz w:val="20"/>
                <w:szCs w:val="20"/>
              </w:rPr>
              <w:t xml:space="preserve">an applicant decides to lodge later than the allowable timelines for the other pathways. </w:t>
            </w:r>
          </w:p>
        </w:tc>
      </w:tr>
      <w:tr w:rsidR="004A3371" w:rsidRPr="00292120" w14:paraId="46BDFCAF"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18B2638" w14:textId="77777777" w:rsidR="004A3371" w:rsidRPr="00292120" w:rsidRDefault="004A3371">
            <w:pPr>
              <w:spacing w:after="160" w:line="252" w:lineRule="auto"/>
              <w:contextualSpacing/>
              <w:rPr>
                <w:rFonts w:ascii="Arial" w:hAnsi="Arial" w:cs="Arial"/>
                <w:b/>
                <w:bCs/>
                <w:lang w:eastAsia="en-US"/>
              </w:rPr>
            </w:pPr>
            <w:r w:rsidRPr="00292120">
              <w:rPr>
                <w:rFonts w:ascii="Arial" w:hAnsi="Arial" w:cs="Arial"/>
                <w:b/>
                <w:bCs/>
              </w:rPr>
              <w:t>Early re-entry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2461C72" w14:textId="77777777" w:rsidR="004A3371" w:rsidRPr="00292120" w:rsidRDefault="004A3371">
            <w:pPr>
              <w:spacing w:after="160" w:line="252" w:lineRule="auto"/>
              <w:contextualSpacing/>
              <w:rPr>
                <w:rFonts w:ascii="Arial" w:hAnsi="Arial" w:cs="Arial"/>
                <w:color w:val="000000"/>
              </w:rPr>
            </w:pPr>
            <w:r w:rsidRPr="00292120">
              <w:rPr>
                <w:rFonts w:ascii="Arial" w:hAnsi="Arial" w:cs="Arial"/>
              </w:rPr>
              <w:t>An Early Re-entry Pathway may be nominated by the PBAC where the PBAC considers that the remaining issues could be easily resolved and the medicine or vaccine does not represent HATV for the proposed population. Applicants who accept this pathway are eligible for PBAC consideration at the immediate next meeting.</w:t>
            </w:r>
          </w:p>
        </w:tc>
      </w:tr>
      <w:tr w:rsidR="004A3371" w:rsidRPr="00292120" w14:paraId="1A2475F2"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193930E" w14:textId="77777777" w:rsidR="004A3371" w:rsidRPr="00292120" w:rsidRDefault="004A3371">
            <w:pPr>
              <w:spacing w:line="252" w:lineRule="auto"/>
              <w:rPr>
                <w:rFonts w:ascii="Arial" w:hAnsi="Arial" w:cs="Arial"/>
                <w:b/>
                <w:bCs/>
                <w:lang w:eastAsia="en-US"/>
              </w:rPr>
            </w:pPr>
            <w:r w:rsidRPr="00292120">
              <w:rPr>
                <w:rFonts w:ascii="Arial" w:hAnsi="Arial" w:cs="Arial"/>
                <w:b/>
                <w:bCs/>
              </w:rPr>
              <w:t>Early resolution pathway</w:t>
            </w:r>
          </w:p>
          <w:p w14:paraId="157D2C85" w14:textId="77777777" w:rsidR="004A3371" w:rsidRPr="00292120" w:rsidRDefault="004A3371">
            <w:pPr>
              <w:rPr>
                <w:rFonts w:ascii="Arial" w:hAnsi="Arial" w:cs="Arial"/>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21B924" w14:textId="77777777" w:rsidR="004A3371" w:rsidRPr="00292120" w:rsidRDefault="004A3371">
            <w:pPr>
              <w:autoSpaceDE w:val="0"/>
              <w:autoSpaceDN w:val="0"/>
              <w:rPr>
                <w:rFonts w:ascii="Arial" w:hAnsi="Arial" w:cs="Arial"/>
                <w:color w:val="000000"/>
              </w:rPr>
            </w:pPr>
            <w:r w:rsidRPr="00292120">
              <w:rPr>
                <w:rFonts w:ascii="Arial" w:hAnsi="Arial" w:cs="Arial"/>
                <w:color w:val="000000"/>
              </w:rPr>
              <w:t xml:space="preserve">For medicines or vaccines deemed by the PBAC to represent High Added Therapeutic Value (HATV) AND where the PBAC considers that the remaining issues could be easily resolved, including when: </w:t>
            </w:r>
          </w:p>
          <w:p w14:paraId="6EC882B7" w14:textId="77777777" w:rsidR="004A3371" w:rsidRPr="00292120" w:rsidRDefault="004A3371" w:rsidP="00461045">
            <w:pPr>
              <w:pStyle w:val="ListParagraph"/>
              <w:numPr>
                <w:ilvl w:val="0"/>
                <w:numId w:val="2"/>
              </w:numPr>
              <w:autoSpaceDE w:val="0"/>
              <w:autoSpaceDN w:val="0"/>
              <w:contextualSpacing w:val="0"/>
              <w:rPr>
                <w:rFonts w:ascii="Arial" w:hAnsi="Arial" w:cs="Arial"/>
                <w:color w:val="000000"/>
                <w:sz w:val="20"/>
                <w:szCs w:val="20"/>
              </w:rPr>
            </w:pPr>
            <w:r w:rsidRPr="00292120">
              <w:rPr>
                <w:rFonts w:ascii="Arial" w:hAnsi="Arial" w:cs="Arial"/>
                <w:color w:val="000000"/>
                <w:sz w:val="20"/>
                <w:szCs w:val="20"/>
              </w:rPr>
              <w:t xml:space="preserve">new clinical study data requiring evaluation is not considered necessary by the PBAC to support new clinical claims to be made in the resubmission; and </w:t>
            </w:r>
          </w:p>
          <w:p w14:paraId="1D4B869E" w14:textId="77777777" w:rsidR="004A3371" w:rsidRPr="00292120" w:rsidRDefault="004A3371" w:rsidP="00461045">
            <w:pPr>
              <w:pStyle w:val="ListParagraph"/>
              <w:numPr>
                <w:ilvl w:val="0"/>
                <w:numId w:val="2"/>
              </w:numPr>
              <w:autoSpaceDE w:val="0"/>
              <w:autoSpaceDN w:val="0"/>
              <w:spacing w:after="120"/>
              <w:contextualSpacing w:val="0"/>
              <w:rPr>
                <w:rFonts w:ascii="Arial" w:hAnsi="Arial" w:cs="Arial"/>
                <w:color w:val="000000"/>
                <w:sz w:val="20"/>
                <w:szCs w:val="20"/>
              </w:rPr>
            </w:pPr>
            <w:r w:rsidRPr="00292120">
              <w:rPr>
                <w:rFonts w:ascii="Arial" w:hAnsi="Arial" w:cs="Arial"/>
                <w:color w:val="000000"/>
                <w:sz w:val="20"/>
                <w:szCs w:val="20"/>
              </w:rPr>
              <w:t xml:space="preserve">a revised model structure or input variable changes (beyond those specified by the PBAC) are not necessary to support any new economic claims, or to estimate the utilisation and financial impacts to be made in the resubmission. </w:t>
            </w:r>
          </w:p>
          <w:p w14:paraId="757810AB" w14:textId="77777777" w:rsidR="004A3371" w:rsidRPr="00292120" w:rsidRDefault="004A3371">
            <w:pPr>
              <w:pStyle w:val="NormalWeb"/>
              <w:spacing w:before="0" w:beforeAutospacing="0" w:after="0" w:afterAutospacing="0"/>
              <w:rPr>
                <w:rFonts w:ascii="Arial" w:hAnsi="Arial" w:cs="Arial"/>
                <w:sz w:val="20"/>
                <w:szCs w:val="20"/>
              </w:rPr>
            </w:pPr>
            <w:r w:rsidRPr="00292120">
              <w:rPr>
                <w:rFonts w:ascii="Arial" w:hAnsi="Arial" w:cs="Arial"/>
                <w:sz w:val="20"/>
                <w:szCs w:val="20"/>
              </w:rPr>
              <w:t xml:space="preserve">Applicants who accept this pathway are eligible for PBAC consideration out-of-session (before the main meeting), unless the department, in consultation with the PBAC Chair, identifies an unexpected issue such that the resubmission needs consideration at the next main PBAC meeting. </w:t>
            </w:r>
          </w:p>
        </w:tc>
      </w:tr>
      <w:tr w:rsidR="004A3371" w:rsidRPr="00292120" w14:paraId="1CF59836"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3CD8847" w14:textId="77777777" w:rsidR="004A3371" w:rsidRPr="00292120" w:rsidRDefault="004A3371">
            <w:pPr>
              <w:rPr>
                <w:rFonts w:ascii="Arial" w:hAnsi="Arial" w:cs="Arial"/>
              </w:rPr>
            </w:pPr>
            <w:r w:rsidRPr="00292120">
              <w:rPr>
                <w:rFonts w:ascii="Arial" w:hAnsi="Arial" w:cs="Arial"/>
                <w:b/>
                <w:bCs/>
              </w:rPr>
              <w:t>Facilitated resolution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F1CA94" w14:textId="77777777" w:rsidR="004A3371" w:rsidRPr="00292120" w:rsidRDefault="004A3371">
            <w:pPr>
              <w:autoSpaceDE w:val="0"/>
              <w:autoSpaceDN w:val="0"/>
              <w:rPr>
                <w:rFonts w:ascii="Arial" w:hAnsi="Arial" w:cs="Arial"/>
                <w:b/>
                <w:bCs/>
                <w:highlight w:val="green"/>
              </w:rPr>
            </w:pPr>
            <w:r w:rsidRPr="00292120">
              <w:rPr>
                <w:rFonts w:ascii="Arial" w:hAnsi="Arial" w:cs="Arial"/>
                <w:color w:val="000000"/>
              </w:rPr>
              <w:t>A Facilitated Resolution Pathway may be nominated by the PBAC where the PBAC considers the issues for resolution could be explored through a workshop AND where the medicine or vaccine meets the HATV criteria. Applicants who accept this pathway are eligible for a solution-focussed workshop with one or more members of the PBAC. The workshop agenda will be based on the issues for resolution outlined in the PBAC Minutes. This can be further clarified during the post-PBAC meeting with the Chair.</w:t>
            </w:r>
          </w:p>
        </w:tc>
      </w:tr>
    </w:tbl>
    <w:p w14:paraId="4455E1A3" w14:textId="4F2BEE75" w:rsidR="00AD3477" w:rsidRPr="00292120" w:rsidRDefault="00AD3477" w:rsidP="004A3371">
      <w:pPr>
        <w:tabs>
          <w:tab w:val="left" w:pos="5210"/>
        </w:tabs>
        <w:rPr>
          <w:rFonts w:ascii="Arial" w:hAnsi="Arial" w:cs="Arial"/>
          <w:lang w:val="en-US"/>
        </w:rPr>
      </w:pPr>
    </w:p>
    <w:p w14:paraId="6C9BA0D5" w14:textId="77777777" w:rsidR="00461045" w:rsidRPr="00292120" w:rsidRDefault="00461045" w:rsidP="004A3371">
      <w:pPr>
        <w:tabs>
          <w:tab w:val="left" w:pos="5210"/>
        </w:tabs>
        <w:rPr>
          <w:rFonts w:ascii="Arial" w:hAnsi="Arial" w:cs="Arial"/>
          <w:lang w:val="en-US"/>
        </w:rPr>
      </w:pPr>
    </w:p>
    <w:sectPr w:rsidR="00461045" w:rsidRPr="00292120" w:rsidSect="0025761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910F" w14:textId="77777777" w:rsidR="00E902E8" w:rsidRDefault="00E902E8">
      <w:r>
        <w:separator/>
      </w:r>
    </w:p>
  </w:endnote>
  <w:endnote w:type="continuationSeparator" w:id="0">
    <w:p w14:paraId="0B94B43F" w14:textId="77777777" w:rsidR="00E902E8" w:rsidRDefault="00E902E8">
      <w:r>
        <w:continuationSeparator/>
      </w:r>
    </w:p>
  </w:endnote>
  <w:endnote w:type="continuationNotice" w:id="1">
    <w:p w14:paraId="340BFECE" w14:textId="77777777" w:rsidR="00E902E8" w:rsidRDefault="00E90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7BCB" w14:textId="77777777" w:rsidR="00E902E8" w:rsidRDefault="00E902E8"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E902E8" w:rsidRDefault="00E902E8"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180A" w14:textId="5E3AFE6F" w:rsidR="00E902E8" w:rsidRPr="00287C89" w:rsidRDefault="00E902E8"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Pr>
        <w:rStyle w:val="PageNumber"/>
        <w:rFonts w:ascii="Arial" w:hAnsi="Arial" w:cs="Arial"/>
        <w:noProof/>
      </w:rPr>
      <w:t>65</w:t>
    </w:r>
    <w:r w:rsidRPr="00287C89">
      <w:rPr>
        <w:rStyle w:val="PageNumber"/>
        <w:rFonts w:ascii="Arial" w:hAnsi="Arial" w:cs="Arial"/>
      </w:rPr>
      <w:fldChar w:fldCharType="end"/>
    </w:r>
  </w:p>
  <w:p w14:paraId="5DEC0542" w14:textId="77777777" w:rsidR="00E902E8" w:rsidRDefault="00E902E8" w:rsidP="00FE2A81">
    <w:pPr>
      <w:pStyle w:val="Footer"/>
      <w:ind w:right="360"/>
    </w:pPr>
  </w:p>
  <w:p w14:paraId="429295B6" w14:textId="77777777" w:rsidR="00E902E8" w:rsidRDefault="00E902E8"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197E" w14:textId="77777777" w:rsidR="00424F1F" w:rsidRDefault="00424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AF80" w14:textId="77777777" w:rsidR="00E902E8" w:rsidRDefault="00E902E8">
      <w:r>
        <w:separator/>
      </w:r>
    </w:p>
  </w:footnote>
  <w:footnote w:type="continuationSeparator" w:id="0">
    <w:p w14:paraId="7F846E8F" w14:textId="77777777" w:rsidR="00E902E8" w:rsidRDefault="00E902E8">
      <w:r>
        <w:continuationSeparator/>
      </w:r>
    </w:p>
  </w:footnote>
  <w:footnote w:type="continuationNotice" w:id="1">
    <w:p w14:paraId="70FA89B9" w14:textId="77777777" w:rsidR="00E902E8" w:rsidRDefault="00E902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7D82" w14:textId="77777777" w:rsidR="00424F1F" w:rsidRDefault="00424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6D89" w14:textId="77777777" w:rsidR="00E902E8" w:rsidRPr="00571206" w:rsidRDefault="00E902E8" w:rsidP="00571206">
    <w:pPr>
      <w:autoSpaceDE w:val="0"/>
      <w:autoSpaceDN w:val="0"/>
      <w:adjustRightInd w:val="0"/>
      <w:rPr>
        <w:rFonts w:ascii="Arial" w:hAnsi="Arial" w:cs="Arial"/>
        <w:color w:val="000000"/>
        <w:sz w:val="24"/>
        <w:szCs w:val="24"/>
      </w:rPr>
    </w:pPr>
  </w:p>
  <w:p w14:paraId="117035EF" w14:textId="1E14CCFB" w:rsidR="00E902E8" w:rsidRDefault="00E902E8" w:rsidP="00571206">
    <w:pPr>
      <w:pStyle w:val="Header"/>
      <w:jc w:val="center"/>
      <w:rPr>
        <w:rFonts w:ascii="Arial" w:hAnsi="Arial" w:cs="Arial"/>
        <w:b/>
      </w:rPr>
    </w:pPr>
    <w:r w:rsidRPr="00571206">
      <w:rPr>
        <w:rFonts w:ascii="Arial" w:hAnsi="Arial" w:cs="Arial"/>
        <w:color w:val="000000"/>
        <w:sz w:val="24"/>
        <w:szCs w:val="24"/>
      </w:rPr>
      <w:t xml:space="preserve"> </w:t>
    </w:r>
    <w:r w:rsidRPr="00571206">
      <w:rPr>
        <w:rFonts w:ascii="Arial" w:hAnsi="Arial" w:cs="Arial"/>
        <w:b/>
        <w:bCs/>
        <w:color w:val="000000"/>
      </w:rPr>
      <w:t xml:space="preserve">PHARMACEUTICAL BENEFITS ADVISORY COMMITTEE (PBAC) MEETING </w:t>
    </w:r>
    <w:r w:rsidRPr="0071356F">
      <w:rPr>
        <w:rFonts w:ascii="Arial" w:hAnsi="Arial" w:cs="Arial"/>
        <w:b/>
      </w:rPr>
      <w:t>OUTCOMES</w:t>
    </w:r>
  </w:p>
  <w:p w14:paraId="69737A53" w14:textId="1DD986C7" w:rsidR="00E902E8" w:rsidRDefault="00424F1F" w:rsidP="00571206">
    <w:pPr>
      <w:pStyle w:val="Header"/>
      <w:jc w:val="center"/>
      <w:rPr>
        <w:rFonts w:ascii="Arial" w:hAnsi="Arial" w:cs="Arial"/>
        <w:b/>
      </w:rPr>
    </w:pPr>
    <w:r>
      <w:rPr>
        <w:rFonts w:ascii="Arial" w:hAnsi="Arial" w:cs="Arial"/>
        <w:b/>
      </w:rPr>
      <w:t xml:space="preserve">NOVEMBER </w:t>
    </w:r>
    <w:r w:rsidR="00E902E8">
      <w:rPr>
        <w:rFonts w:ascii="Arial" w:hAnsi="Arial" w:cs="Arial"/>
        <w:b/>
      </w:rPr>
      <w:t>2022 PBAC MEETING</w:t>
    </w:r>
  </w:p>
  <w:p w14:paraId="0E28AC1B" w14:textId="77777777" w:rsidR="00E902E8" w:rsidRPr="0071356F" w:rsidRDefault="00E902E8" w:rsidP="0071356F">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788A" w14:textId="77777777" w:rsidR="00424F1F" w:rsidRDefault="00424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75F17"/>
    <w:multiLevelType w:val="hybridMultilevel"/>
    <w:tmpl w:val="A22AC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AF4823"/>
    <w:multiLevelType w:val="hybridMultilevel"/>
    <w:tmpl w:val="A2EEF776"/>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D30749"/>
    <w:multiLevelType w:val="hybridMultilevel"/>
    <w:tmpl w:val="33ACD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4F0D99"/>
    <w:multiLevelType w:val="hybridMultilevel"/>
    <w:tmpl w:val="3110C4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CF0056"/>
    <w:multiLevelType w:val="hybridMultilevel"/>
    <w:tmpl w:val="A4142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5" w15:restartNumberingAfterBreak="0">
    <w:nsid w:val="2AFD6A05"/>
    <w:multiLevelType w:val="hybridMultilevel"/>
    <w:tmpl w:val="34949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393A4C"/>
    <w:multiLevelType w:val="hybridMultilevel"/>
    <w:tmpl w:val="8DAC99CE"/>
    <w:lvl w:ilvl="0" w:tplc="EDC895E8">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DC32C2"/>
    <w:multiLevelType w:val="hybridMultilevel"/>
    <w:tmpl w:val="A8904258"/>
    <w:lvl w:ilvl="0" w:tplc="3A82E9D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3B13B7"/>
    <w:multiLevelType w:val="hybridMultilevel"/>
    <w:tmpl w:val="D6B45E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934841"/>
    <w:multiLevelType w:val="hybridMultilevel"/>
    <w:tmpl w:val="9D4C0956"/>
    <w:lvl w:ilvl="0" w:tplc="0ED2E4A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13"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14" w15:restartNumberingAfterBreak="0">
    <w:nsid w:val="57C97701"/>
    <w:multiLevelType w:val="hybridMultilevel"/>
    <w:tmpl w:val="522A98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42B1460"/>
    <w:multiLevelType w:val="hybridMultilevel"/>
    <w:tmpl w:val="B0A08F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4C77375"/>
    <w:multiLevelType w:val="hybridMultilevel"/>
    <w:tmpl w:val="643A8A08"/>
    <w:lvl w:ilvl="0" w:tplc="B7C6AC5A">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321CCF"/>
    <w:multiLevelType w:val="hybridMultilevel"/>
    <w:tmpl w:val="F5D0E7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9DD1F31"/>
    <w:multiLevelType w:val="hybridMultilevel"/>
    <w:tmpl w:val="979EF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E6F75A3"/>
    <w:multiLevelType w:val="hybridMultilevel"/>
    <w:tmpl w:val="617420A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E0726B"/>
    <w:multiLevelType w:val="hybridMultilevel"/>
    <w:tmpl w:val="643A8A08"/>
    <w:lvl w:ilvl="0" w:tplc="B7C6AC5A">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449763E"/>
    <w:multiLevelType w:val="hybridMultilevel"/>
    <w:tmpl w:val="88049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4D033C"/>
    <w:multiLevelType w:val="multilevel"/>
    <w:tmpl w:val="CC92A716"/>
    <w:lvl w:ilvl="0">
      <w:start w:val="1"/>
      <w:numFmt w:val="decimal"/>
      <w:pStyle w:val="2-SectionHeading"/>
      <w:lvlText w:val="%1"/>
      <w:lvlJc w:val="left"/>
      <w:pPr>
        <w:ind w:left="720" w:hanging="720"/>
      </w:pPr>
      <w:rPr>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7A6B2804"/>
    <w:multiLevelType w:val="hybridMultilevel"/>
    <w:tmpl w:val="9D60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
  </w:num>
  <w:num w:numId="5">
    <w:abstractNumId w:val="4"/>
  </w:num>
  <w:num w:numId="6">
    <w:abstractNumId w:val="0"/>
  </w:num>
  <w:num w:numId="7">
    <w:abstractNumId w:val="6"/>
  </w:num>
  <w:num w:numId="8">
    <w:abstractNumId w:val="14"/>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21"/>
  </w:num>
  <w:num w:numId="13">
    <w:abstractNumId w:val="23"/>
  </w:num>
  <w:num w:numId="14">
    <w:abstractNumId w:val="5"/>
  </w:num>
  <w:num w:numId="15">
    <w:abstractNumId w:val="8"/>
  </w:num>
  <w:num w:numId="16">
    <w:abstractNumId w:val="11"/>
  </w:num>
  <w:num w:numId="17">
    <w:abstractNumId w:val="22"/>
  </w:num>
  <w:num w:numId="18">
    <w:abstractNumId w:val="1"/>
  </w:num>
  <w:num w:numId="19">
    <w:abstractNumId w:val="18"/>
  </w:num>
  <w:num w:numId="20">
    <w:abstractNumId w:val="7"/>
  </w:num>
  <w:num w:numId="21">
    <w:abstractNumId w:val="17"/>
  </w:num>
  <w:num w:numId="22">
    <w:abstractNumId w:val="20"/>
  </w:num>
  <w:num w:numId="23">
    <w:abstractNumId w:val="15"/>
  </w:num>
  <w:num w:numId="24">
    <w:abstractNumId w:val="10"/>
  </w:num>
  <w:num w:numId="2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28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364"/>
    <w:rsid w:val="0000162D"/>
    <w:rsid w:val="000017CE"/>
    <w:rsid w:val="00002288"/>
    <w:rsid w:val="00002E16"/>
    <w:rsid w:val="00002E7D"/>
    <w:rsid w:val="000034C3"/>
    <w:rsid w:val="00003584"/>
    <w:rsid w:val="00004628"/>
    <w:rsid w:val="0000462B"/>
    <w:rsid w:val="00004D33"/>
    <w:rsid w:val="00004D75"/>
    <w:rsid w:val="00004F9D"/>
    <w:rsid w:val="00005F17"/>
    <w:rsid w:val="00005FA7"/>
    <w:rsid w:val="000063DB"/>
    <w:rsid w:val="000068DD"/>
    <w:rsid w:val="00006BB1"/>
    <w:rsid w:val="0000733C"/>
    <w:rsid w:val="000074BD"/>
    <w:rsid w:val="00007932"/>
    <w:rsid w:val="00007D69"/>
    <w:rsid w:val="000102AF"/>
    <w:rsid w:val="00010379"/>
    <w:rsid w:val="00010886"/>
    <w:rsid w:val="00010920"/>
    <w:rsid w:val="00010B32"/>
    <w:rsid w:val="00010EF9"/>
    <w:rsid w:val="0001152D"/>
    <w:rsid w:val="000118E3"/>
    <w:rsid w:val="00011EA7"/>
    <w:rsid w:val="000120D3"/>
    <w:rsid w:val="000129ED"/>
    <w:rsid w:val="00013284"/>
    <w:rsid w:val="0001362E"/>
    <w:rsid w:val="000136A0"/>
    <w:rsid w:val="00013785"/>
    <w:rsid w:val="00014746"/>
    <w:rsid w:val="00014B96"/>
    <w:rsid w:val="00014DC1"/>
    <w:rsid w:val="00014FF8"/>
    <w:rsid w:val="000155A7"/>
    <w:rsid w:val="00015748"/>
    <w:rsid w:val="00015DFE"/>
    <w:rsid w:val="00016092"/>
    <w:rsid w:val="0001617C"/>
    <w:rsid w:val="00016211"/>
    <w:rsid w:val="0001634D"/>
    <w:rsid w:val="00016707"/>
    <w:rsid w:val="00016F44"/>
    <w:rsid w:val="00017050"/>
    <w:rsid w:val="000171D6"/>
    <w:rsid w:val="00017870"/>
    <w:rsid w:val="000179CE"/>
    <w:rsid w:val="00017CDE"/>
    <w:rsid w:val="00020127"/>
    <w:rsid w:val="000210EB"/>
    <w:rsid w:val="000220E8"/>
    <w:rsid w:val="00022361"/>
    <w:rsid w:val="000223D3"/>
    <w:rsid w:val="00022435"/>
    <w:rsid w:val="00022686"/>
    <w:rsid w:val="000228B1"/>
    <w:rsid w:val="00022BDB"/>
    <w:rsid w:val="00022BF5"/>
    <w:rsid w:val="0002300F"/>
    <w:rsid w:val="0002305C"/>
    <w:rsid w:val="00023228"/>
    <w:rsid w:val="000235A6"/>
    <w:rsid w:val="00023817"/>
    <w:rsid w:val="0002401C"/>
    <w:rsid w:val="00024248"/>
    <w:rsid w:val="000245BC"/>
    <w:rsid w:val="0002470A"/>
    <w:rsid w:val="00024CE2"/>
    <w:rsid w:val="0002564D"/>
    <w:rsid w:val="00025967"/>
    <w:rsid w:val="00025F56"/>
    <w:rsid w:val="00026187"/>
    <w:rsid w:val="0002716D"/>
    <w:rsid w:val="00027346"/>
    <w:rsid w:val="00027672"/>
    <w:rsid w:val="00027AB0"/>
    <w:rsid w:val="00030320"/>
    <w:rsid w:val="00030887"/>
    <w:rsid w:val="00030A03"/>
    <w:rsid w:val="00030A49"/>
    <w:rsid w:val="000311AC"/>
    <w:rsid w:val="00031946"/>
    <w:rsid w:val="00032226"/>
    <w:rsid w:val="000322EC"/>
    <w:rsid w:val="00032AB9"/>
    <w:rsid w:val="00032CE5"/>
    <w:rsid w:val="00033D0B"/>
    <w:rsid w:val="00034086"/>
    <w:rsid w:val="00034121"/>
    <w:rsid w:val="000350A9"/>
    <w:rsid w:val="00035472"/>
    <w:rsid w:val="00035622"/>
    <w:rsid w:val="00035CFA"/>
    <w:rsid w:val="00036501"/>
    <w:rsid w:val="00036531"/>
    <w:rsid w:val="000365B0"/>
    <w:rsid w:val="00036CF7"/>
    <w:rsid w:val="00037175"/>
    <w:rsid w:val="00037F52"/>
    <w:rsid w:val="0004019D"/>
    <w:rsid w:val="000407E0"/>
    <w:rsid w:val="00041467"/>
    <w:rsid w:val="0004160D"/>
    <w:rsid w:val="00041F3D"/>
    <w:rsid w:val="0004257E"/>
    <w:rsid w:val="00042593"/>
    <w:rsid w:val="00042704"/>
    <w:rsid w:val="00042970"/>
    <w:rsid w:val="000433CA"/>
    <w:rsid w:val="00043755"/>
    <w:rsid w:val="00043C1D"/>
    <w:rsid w:val="00044146"/>
    <w:rsid w:val="0004479C"/>
    <w:rsid w:val="00044BB4"/>
    <w:rsid w:val="00046725"/>
    <w:rsid w:val="000468C0"/>
    <w:rsid w:val="00046DA2"/>
    <w:rsid w:val="00050762"/>
    <w:rsid w:val="000507B9"/>
    <w:rsid w:val="00050DA9"/>
    <w:rsid w:val="0005150B"/>
    <w:rsid w:val="00051AF5"/>
    <w:rsid w:val="000548C7"/>
    <w:rsid w:val="00054EA7"/>
    <w:rsid w:val="00055866"/>
    <w:rsid w:val="0005661F"/>
    <w:rsid w:val="00057006"/>
    <w:rsid w:val="000575B4"/>
    <w:rsid w:val="000601EA"/>
    <w:rsid w:val="000603CB"/>
    <w:rsid w:val="000605F9"/>
    <w:rsid w:val="0006084C"/>
    <w:rsid w:val="000608FE"/>
    <w:rsid w:val="00060E7B"/>
    <w:rsid w:val="000615B0"/>
    <w:rsid w:val="00061E01"/>
    <w:rsid w:val="0006239E"/>
    <w:rsid w:val="0006295A"/>
    <w:rsid w:val="00062DBE"/>
    <w:rsid w:val="00062EE7"/>
    <w:rsid w:val="00062F87"/>
    <w:rsid w:val="00062FEE"/>
    <w:rsid w:val="0006357B"/>
    <w:rsid w:val="00063D17"/>
    <w:rsid w:val="000643D0"/>
    <w:rsid w:val="000648E2"/>
    <w:rsid w:val="00065195"/>
    <w:rsid w:val="00065C22"/>
    <w:rsid w:val="000672D3"/>
    <w:rsid w:val="0006744F"/>
    <w:rsid w:val="00067A06"/>
    <w:rsid w:val="00067E91"/>
    <w:rsid w:val="00070204"/>
    <w:rsid w:val="00070612"/>
    <w:rsid w:val="0007061C"/>
    <w:rsid w:val="000714CE"/>
    <w:rsid w:val="00071D67"/>
    <w:rsid w:val="0007221C"/>
    <w:rsid w:val="00072584"/>
    <w:rsid w:val="000728AC"/>
    <w:rsid w:val="00072E3B"/>
    <w:rsid w:val="00072F02"/>
    <w:rsid w:val="00072F85"/>
    <w:rsid w:val="00074126"/>
    <w:rsid w:val="0007567B"/>
    <w:rsid w:val="00075B7E"/>
    <w:rsid w:val="00076287"/>
    <w:rsid w:val="00076297"/>
    <w:rsid w:val="00076AED"/>
    <w:rsid w:val="00077533"/>
    <w:rsid w:val="00077555"/>
    <w:rsid w:val="00077A40"/>
    <w:rsid w:val="00077F45"/>
    <w:rsid w:val="00080510"/>
    <w:rsid w:val="000809F7"/>
    <w:rsid w:val="00081153"/>
    <w:rsid w:val="00081DCD"/>
    <w:rsid w:val="00082053"/>
    <w:rsid w:val="00082507"/>
    <w:rsid w:val="000834C8"/>
    <w:rsid w:val="00083789"/>
    <w:rsid w:val="00083792"/>
    <w:rsid w:val="000839D5"/>
    <w:rsid w:val="00083A63"/>
    <w:rsid w:val="00083BE8"/>
    <w:rsid w:val="00083E6A"/>
    <w:rsid w:val="00084012"/>
    <w:rsid w:val="00084017"/>
    <w:rsid w:val="00084264"/>
    <w:rsid w:val="000842BB"/>
    <w:rsid w:val="00084CED"/>
    <w:rsid w:val="00084D37"/>
    <w:rsid w:val="000855C9"/>
    <w:rsid w:val="00085F9C"/>
    <w:rsid w:val="00086013"/>
    <w:rsid w:val="0008687E"/>
    <w:rsid w:val="000868A3"/>
    <w:rsid w:val="00086D66"/>
    <w:rsid w:val="000872FA"/>
    <w:rsid w:val="00090385"/>
    <w:rsid w:val="00090D21"/>
    <w:rsid w:val="00090E77"/>
    <w:rsid w:val="00090F42"/>
    <w:rsid w:val="00091262"/>
    <w:rsid w:val="00091269"/>
    <w:rsid w:val="00092523"/>
    <w:rsid w:val="0009260A"/>
    <w:rsid w:val="00093960"/>
    <w:rsid w:val="0009470A"/>
    <w:rsid w:val="00095C30"/>
    <w:rsid w:val="00096B9F"/>
    <w:rsid w:val="00096E39"/>
    <w:rsid w:val="000972AC"/>
    <w:rsid w:val="00097C0E"/>
    <w:rsid w:val="00097ED4"/>
    <w:rsid w:val="000A1E1C"/>
    <w:rsid w:val="000A2697"/>
    <w:rsid w:val="000A26EE"/>
    <w:rsid w:val="000A29FA"/>
    <w:rsid w:val="000A2A86"/>
    <w:rsid w:val="000A2C2D"/>
    <w:rsid w:val="000A2DE4"/>
    <w:rsid w:val="000A2FEC"/>
    <w:rsid w:val="000A3BB7"/>
    <w:rsid w:val="000A418B"/>
    <w:rsid w:val="000A46FC"/>
    <w:rsid w:val="000A4955"/>
    <w:rsid w:val="000A570D"/>
    <w:rsid w:val="000A59CC"/>
    <w:rsid w:val="000A6103"/>
    <w:rsid w:val="000A64C7"/>
    <w:rsid w:val="000A7C8A"/>
    <w:rsid w:val="000A7F23"/>
    <w:rsid w:val="000B1170"/>
    <w:rsid w:val="000B1811"/>
    <w:rsid w:val="000B1A6E"/>
    <w:rsid w:val="000B21DD"/>
    <w:rsid w:val="000B2F97"/>
    <w:rsid w:val="000B2FF6"/>
    <w:rsid w:val="000B3004"/>
    <w:rsid w:val="000B3043"/>
    <w:rsid w:val="000B3252"/>
    <w:rsid w:val="000B34FA"/>
    <w:rsid w:val="000B3688"/>
    <w:rsid w:val="000B36FE"/>
    <w:rsid w:val="000B372D"/>
    <w:rsid w:val="000B38D3"/>
    <w:rsid w:val="000B5120"/>
    <w:rsid w:val="000B5B24"/>
    <w:rsid w:val="000B6487"/>
    <w:rsid w:val="000B7528"/>
    <w:rsid w:val="000B7A91"/>
    <w:rsid w:val="000B7F45"/>
    <w:rsid w:val="000C0211"/>
    <w:rsid w:val="000C040A"/>
    <w:rsid w:val="000C0497"/>
    <w:rsid w:val="000C0C31"/>
    <w:rsid w:val="000C0E21"/>
    <w:rsid w:val="000C15DB"/>
    <w:rsid w:val="000C1A94"/>
    <w:rsid w:val="000C1BA1"/>
    <w:rsid w:val="000C219D"/>
    <w:rsid w:val="000C22B0"/>
    <w:rsid w:val="000C2786"/>
    <w:rsid w:val="000C2E72"/>
    <w:rsid w:val="000C2FFA"/>
    <w:rsid w:val="000C3369"/>
    <w:rsid w:val="000C339F"/>
    <w:rsid w:val="000C3CAA"/>
    <w:rsid w:val="000C3F2C"/>
    <w:rsid w:val="000C45E3"/>
    <w:rsid w:val="000C494F"/>
    <w:rsid w:val="000C56B4"/>
    <w:rsid w:val="000C586F"/>
    <w:rsid w:val="000C5A78"/>
    <w:rsid w:val="000C5B48"/>
    <w:rsid w:val="000C661A"/>
    <w:rsid w:val="000C77A9"/>
    <w:rsid w:val="000D0D8B"/>
    <w:rsid w:val="000D14F1"/>
    <w:rsid w:val="000D1C61"/>
    <w:rsid w:val="000D2AFE"/>
    <w:rsid w:val="000D2D84"/>
    <w:rsid w:val="000D3190"/>
    <w:rsid w:val="000D3BC0"/>
    <w:rsid w:val="000D3ECA"/>
    <w:rsid w:val="000D418F"/>
    <w:rsid w:val="000D4551"/>
    <w:rsid w:val="000D53FC"/>
    <w:rsid w:val="000D5D71"/>
    <w:rsid w:val="000D5EFB"/>
    <w:rsid w:val="000D6416"/>
    <w:rsid w:val="000D79EB"/>
    <w:rsid w:val="000D7F3B"/>
    <w:rsid w:val="000E055E"/>
    <w:rsid w:val="000E08A5"/>
    <w:rsid w:val="000E0C55"/>
    <w:rsid w:val="000E1259"/>
    <w:rsid w:val="000E12D5"/>
    <w:rsid w:val="000E15F8"/>
    <w:rsid w:val="000E18FB"/>
    <w:rsid w:val="000E1E84"/>
    <w:rsid w:val="000E21D8"/>
    <w:rsid w:val="000E2360"/>
    <w:rsid w:val="000E2C73"/>
    <w:rsid w:val="000E2C8F"/>
    <w:rsid w:val="000E2EA3"/>
    <w:rsid w:val="000E31F7"/>
    <w:rsid w:val="000E4B3E"/>
    <w:rsid w:val="000E539F"/>
    <w:rsid w:val="000E5563"/>
    <w:rsid w:val="000E5739"/>
    <w:rsid w:val="000E58C5"/>
    <w:rsid w:val="000E6CF9"/>
    <w:rsid w:val="000E73BD"/>
    <w:rsid w:val="000F0297"/>
    <w:rsid w:val="000F069C"/>
    <w:rsid w:val="000F0B27"/>
    <w:rsid w:val="000F0D4C"/>
    <w:rsid w:val="000F0D73"/>
    <w:rsid w:val="000F0DFC"/>
    <w:rsid w:val="000F14EE"/>
    <w:rsid w:val="000F1D4F"/>
    <w:rsid w:val="000F26BE"/>
    <w:rsid w:val="000F2E82"/>
    <w:rsid w:val="000F305F"/>
    <w:rsid w:val="000F3A4F"/>
    <w:rsid w:val="000F3D50"/>
    <w:rsid w:val="000F5D35"/>
    <w:rsid w:val="000F5DDE"/>
    <w:rsid w:val="000F6F0D"/>
    <w:rsid w:val="000F7390"/>
    <w:rsid w:val="000F7D67"/>
    <w:rsid w:val="001000EA"/>
    <w:rsid w:val="00100A53"/>
    <w:rsid w:val="00100B0B"/>
    <w:rsid w:val="001025E7"/>
    <w:rsid w:val="0010275F"/>
    <w:rsid w:val="0010316E"/>
    <w:rsid w:val="001038BB"/>
    <w:rsid w:val="00103F76"/>
    <w:rsid w:val="001049E3"/>
    <w:rsid w:val="00104C50"/>
    <w:rsid w:val="00105880"/>
    <w:rsid w:val="00107038"/>
    <w:rsid w:val="00107219"/>
    <w:rsid w:val="001074AC"/>
    <w:rsid w:val="00107D47"/>
    <w:rsid w:val="001101E1"/>
    <w:rsid w:val="00110379"/>
    <w:rsid w:val="001103CF"/>
    <w:rsid w:val="00111F4C"/>
    <w:rsid w:val="00112561"/>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17AF4"/>
    <w:rsid w:val="00120A89"/>
    <w:rsid w:val="00120F0F"/>
    <w:rsid w:val="00120FAC"/>
    <w:rsid w:val="00121311"/>
    <w:rsid w:val="00121A8E"/>
    <w:rsid w:val="00121BF6"/>
    <w:rsid w:val="00123872"/>
    <w:rsid w:val="001242F1"/>
    <w:rsid w:val="00124585"/>
    <w:rsid w:val="00124D80"/>
    <w:rsid w:val="00125074"/>
    <w:rsid w:val="00125CB8"/>
    <w:rsid w:val="001261A9"/>
    <w:rsid w:val="001267DB"/>
    <w:rsid w:val="001275A6"/>
    <w:rsid w:val="001276FB"/>
    <w:rsid w:val="00130019"/>
    <w:rsid w:val="00130C57"/>
    <w:rsid w:val="0013141F"/>
    <w:rsid w:val="001317E4"/>
    <w:rsid w:val="00131CB1"/>
    <w:rsid w:val="00132052"/>
    <w:rsid w:val="0013211B"/>
    <w:rsid w:val="0013270B"/>
    <w:rsid w:val="001329B7"/>
    <w:rsid w:val="00132A3A"/>
    <w:rsid w:val="00132DAB"/>
    <w:rsid w:val="00132FA5"/>
    <w:rsid w:val="001334F9"/>
    <w:rsid w:val="001335DA"/>
    <w:rsid w:val="00133B4C"/>
    <w:rsid w:val="00133D7F"/>
    <w:rsid w:val="00134ECB"/>
    <w:rsid w:val="00134F08"/>
    <w:rsid w:val="001357A1"/>
    <w:rsid w:val="00135E47"/>
    <w:rsid w:val="001362A6"/>
    <w:rsid w:val="00136B3F"/>
    <w:rsid w:val="00136DF8"/>
    <w:rsid w:val="0013745F"/>
    <w:rsid w:val="001374F4"/>
    <w:rsid w:val="00137894"/>
    <w:rsid w:val="00137CB8"/>
    <w:rsid w:val="00140035"/>
    <w:rsid w:val="00140465"/>
    <w:rsid w:val="00140E09"/>
    <w:rsid w:val="0014101A"/>
    <w:rsid w:val="0014142D"/>
    <w:rsid w:val="0014148A"/>
    <w:rsid w:val="00141FEB"/>
    <w:rsid w:val="00142EED"/>
    <w:rsid w:val="00143743"/>
    <w:rsid w:val="001437D5"/>
    <w:rsid w:val="00143E66"/>
    <w:rsid w:val="00143FEE"/>
    <w:rsid w:val="00144CCA"/>
    <w:rsid w:val="00145D66"/>
    <w:rsid w:val="00146059"/>
    <w:rsid w:val="00146F0E"/>
    <w:rsid w:val="0014776D"/>
    <w:rsid w:val="00147845"/>
    <w:rsid w:val="00147FC1"/>
    <w:rsid w:val="001500C8"/>
    <w:rsid w:val="001502B0"/>
    <w:rsid w:val="00150381"/>
    <w:rsid w:val="0015080E"/>
    <w:rsid w:val="001511D3"/>
    <w:rsid w:val="00151705"/>
    <w:rsid w:val="00151C88"/>
    <w:rsid w:val="00151D35"/>
    <w:rsid w:val="00152387"/>
    <w:rsid w:val="00152A0C"/>
    <w:rsid w:val="00153424"/>
    <w:rsid w:val="00153C15"/>
    <w:rsid w:val="00153EE1"/>
    <w:rsid w:val="0015402E"/>
    <w:rsid w:val="001546E8"/>
    <w:rsid w:val="00154828"/>
    <w:rsid w:val="00155698"/>
    <w:rsid w:val="00155809"/>
    <w:rsid w:val="00155BC9"/>
    <w:rsid w:val="00155C11"/>
    <w:rsid w:val="00157D22"/>
    <w:rsid w:val="00157F62"/>
    <w:rsid w:val="001600EB"/>
    <w:rsid w:val="00160327"/>
    <w:rsid w:val="00160423"/>
    <w:rsid w:val="00160AB7"/>
    <w:rsid w:val="00161841"/>
    <w:rsid w:val="00161C25"/>
    <w:rsid w:val="00161CC6"/>
    <w:rsid w:val="00161CD7"/>
    <w:rsid w:val="001628AD"/>
    <w:rsid w:val="0016312E"/>
    <w:rsid w:val="00163182"/>
    <w:rsid w:val="0016341E"/>
    <w:rsid w:val="00163694"/>
    <w:rsid w:val="00164303"/>
    <w:rsid w:val="00164617"/>
    <w:rsid w:val="00164D3D"/>
    <w:rsid w:val="00164EA4"/>
    <w:rsid w:val="001654A9"/>
    <w:rsid w:val="00165A05"/>
    <w:rsid w:val="00165E5D"/>
    <w:rsid w:val="00166297"/>
    <w:rsid w:val="001663D5"/>
    <w:rsid w:val="0016683E"/>
    <w:rsid w:val="00166F24"/>
    <w:rsid w:val="00167277"/>
    <w:rsid w:val="00167AC7"/>
    <w:rsid w:val="00170573"/>
    <w:rsid w:val="001707C4"/>
    <w:rsid w:val="001711A9"/>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6E59"/>
    <w:rsid w:val="001772D4"/>
    <w:rsid w:val="0017743E"/>
    <w:rsid w:val="00177845"/>
    <w:rsid w:val="00180261"/>
    <w:rsid w:val="001806A2"/>
    <w:rsid w:val="001807A5"/>
    <w:rsid w:val="001810C8"/>
    <w:rsid w:val="001812AE"/>
    <w:rsid w:val="00182E45"/>
    <w:rsid w:val="00183DEE"/>
    <w:rsid w:val="0018419E"/>
    <w:rsid w:val="00184E8A"/>
    <w:rsid w:val="0018519A"/>
    <w:rsid w:val="00190B36"/>
    <w:rsid w:val="00190B9C"/>
    <w:rsid w:val="00190D52"/>
    <w:rsid w:val="0019138B"/>
    <w:rsid w:val="001919D3"/>
    <w:rsid w:val="001925E9"/>
    <w:rsid w:val="00192900"/>
    <w:rsid w:val="00192D91"/>
    <w:rsid w:val="00192F48"/>
    <w:rsid w:val="0019395E"/>
    <w:rsid w:val="00193C35"/>
    <w:rsid w:val="0019441C"/>
    <w:rsid w:val="001950D9"/>
    <w:rsid w:val="00195379"/>
    <w:rsid w:val="00195A6E"/>
    <w:rsid w:val="00196144"/>
    <w:rsid w:val="00196644"/>
    <w:rsid w:val="001971B1"/>
    <w:rsid w:val="001971EA"/>
    <w:rsid w:val="00197975"/>
    <w:rsid w:val="001A0DC8"/>
    <w:rsid w:val="001A0F43"/>
    <w:rsid w:val="001A14F5"/>
    <w:rsid w:val="001A1777"/>
    <w:rsid w:val="001A1A8A"/>
    <w:rsid w:val="001A2649"/>
    <w:rsid w:val="001A307D"/>
    <w:rsid w:val="001A3986"/>
    <w:rsid w:val="001A3E19"/>
    <w:rsid w:val="001A4242"/>
    <w:rsid w:val="001A48FD"/>
    <w:rsid w:val="001A6DEF"/>
    <w:rsid w:val="001A7A6A"/>
    <w:rsid w:val="001A7A87"/>
    <w:rsid w:val="001B049D"/>
    <w:rsid w:val="001B04E4"/>
    <w:rsid w:val="001B0553"/>
    <w:rsid w:val="001B0636"/>
    <w:rsid w:val="001B1577"/>
    <w:rsid w:val="001B15BA"/>
    <w:rsid w:val="001B16C3"/>
    <w:rsid w:val="001B1838"/>
    <w:rsid w:val="001B1C67"/>
    <w:rsid w:val="001B1D5D"/>
    <w:rsid w:val="001B2234"/>
    <w:rsid w:val="001B22B4"/>
    <w:rsid w:val="001B2C7D"/>
    <w:rsid w:val="001B322D"/>
    <w:rsid w:val="001B344B"/>
    <w:rsid w:val="001B3984"/>
    <w:rsid w:val="001B3C3B"/>
    <w:rsid w:val="001B3E1C"/>
    <w:rsid w:val="001B3FE9"/>
    <w:rsid w:val="001B46AE"/>
    <w:rsid w:val="001B5009"/>
    <w:rsid w:val="001B54F0"/>
    <w:rsid w:val="001B5950"/>
    <w:rsid w:val="001B5DCE"/>
    <w:rsid w:val="001B61CA"/>
    <w:rsid w:val="001B6AAD"/>
    <w:rsid w:val="001B71B5"/>
    <w:rsid w:val="001B76C4"/>
    <w:rsid w:val="001B77E9"/>
    <w:rsid w:val="001B78E2"/>
    <w:rsid w:val="001B7BF2"/>
    <w:rsid w:val="001B7EED"/>
    <w:rsid w:val="001C00A8"/>
    <w:rsid w:val="001C0289"/>
    <w:rsid w:val="001C11E4"/>
    <w:rsid w:val="001C181C"/>
    <w:rsid w:val="001C1E19"/>
    <w:rsid w:val="001C246E"/>
    <w:rsid w:val="001C27AF"/>
    <w:rsid w:val="001C3033"/>
    <w:rsid w:val="001C30BA"/>
    <w:rsid w:val="001C3403"/>
    <w:rsid w:val="001C342C"/>
    <w:rsid w:val="001C3AAA"/>
    <w:rsid w:val="001C3D80"/>
    <w:rsid w:val="001C43B3"/>
    <w:rsid w:val="001C4834"/>
    <w:rsid w:val="001C4C95"/>
    <w:rsid w:val="001C4FF2"/>
    <w:rsid w:val="001C5BA6"/>
    <w:rsid w:val="001D0229"/>
    <w:rsid w:val="001D028A"/>
    <w:rsid w:val="001D0868"/>
    <w:rsid w:val="001D1636"/>
    <w:rsid w:val="001D181F"/>
    <w:rsid w:val="001D2755"/>
    <w:rsid w:val="001D2F4D"/>
    <w:rsid w:val="001D30A0"/>
    <w:rsid w:val="001D3816"/>
    <w:rsid w:val="001D39E8"/>
    <w:rsid w:val="001D4075"/>
    <w:rsid w:val="001D4E5E"/>
    <w:rsid w:val="001D548F"/>
    <w:rsid w:val="001D600F"/>
    <w:rsid w:val="001D6843"/>
    <w:rsid w:val="001D79BC"/>
    <w:rsid w:val="001E0221"/>
    <w:rsid w:val="001E092F"/>
    <w:rsid w:val="001E0947"/>
    <w:rsid w:val="001E152C"/>
    <w:rsid w:val="001E17F9"/>
    <w:rsid w:val="001E1ABD"/>
    <w:rsid w:val="001E24EA"/>
    <w:rsid w:val="001E25FF"/>
    <w:rsid w:val="001E35D6"/>
    <w:rsid w:val="001E411C"/>
    <w:rsid w:val="001E5979"/>
    <w:rsid w:val="001E5C38"/>
    <w:rsid w:val="001E70C9"/>
    <w:rsid w:val="001E776D"/>
    <w:rsid w:val="001E777A"/>
    <w:rsid w:val="001E77D9"/>
    <w:rsid w:val="001E79E9"/>
    <w:rsid w:val="001E7D4E"/>
    <w:rsid w:val="001F0D67"/>
    <w:rsid w:val="001F1A00"/>
    <w:rsid w:val="001F1B8A"/>
    <w:rsid w:val="001F2058"/>
    <w:rsid w:val="001F23BC"/>
    <w:rsid w:val="001F29C8"/>
    <w:rsid w:val="001F2E04"/>
    <w:rsid w:val="001F3474"/>
    <w:rsid w:val="001F391D"/>
    <w:rsid w:val="001F49C4"/>
    <w:rsid w:val="001F524C"/>
    <w:rsid w:val="001F5561"/>
    <w:rsid w:val="001F5939"/>
    <w:rsid w:val="001F5B96"/>
    <w:rsid w:val="001F67F2"/>
    <w:rsid w:val="001F6895"/>
    <w:rsid w:val="001F6A3C"/>
    <w:rsid w:val="001F6DCB"/>
    <w:rsid w:val="001F7055"/>
    <w:rsid w:val="001F716B"/>
    <w:rsid w:val="001F7B95"/>
    <w:rsid w:val="001F7E44"/>
    <w:rsid w:val="001F7FE1"/>
    <w:rsid w:val="0020062A"/>
    <w:rsid w:val="002010D3"/>
    <w:rsid w:val="002017E3"/>
    <w:rsid w:val="00201885"/>
    <w:rsid w:val="002024B2"/>
    <w:rsid w:val="002028FF"/>
    <w:rsid w:val="0020322B"/>
    <w:rsid w:val="002032C8"/>
    <w:rsid w:val="00203A75"/>
    <w:rsid w:val="0020409B"/>
    <w:rsid w:val="00205C7C"/>
    <w:rsid w:val="002060A5"/>
    <w:rsid w:val="0020622C"/>
    <w:rsid w:val="002068F5"/>
    <w:rsid w:val="002070E4"/>
    <w:rsid w:val="002070E6"/>
    <w:rsid w:val="0020721C"/>
    <w:rsid w:val="002072C3"/>
    <w:rsid w:val="00207813"/>
    <w:rsid w:val="0020790A"/>
    <w:rsid w:val="00207C47"/>
    <w:rsid w:val="00207E86"/>
    <w:rsid w:val="00210594"/>
    <w:rsid w:val="00210F65"/>
    <w:rsid w:val="002114F0"/>
    <w:rsid w:val="00212939"/>
    <w:rsid w:val="002129AB"/>
    <w:rsid w:val="00212B8B"/>
    <w:rsid w:val="00213388"/>
    <w:rsid w:val="002133B8"/>
    <w:rsid w:val="0021371C"/>
    <w:rsid w:val="002139E7"/>
    <w:rsid w:val="00213C5E"/>
    <w:rsid w:val="002144A1"/>
    <w:rsid w:val="002147A6"/>
    <w:rsid w:val="00214D4B"/>
    <w:rsid w:val="00214DAE"/>
    <w:rsid w:val="00215739"/>
    <w:rsid w:val="002157B5"/>
    <w:rsid w:val="0021638C"/>
    <w:rsid w:val="00216869"/>
    <w:rsid w:val="0021720D"/>
    <w:rsid w:val="00217D17"/>
    <w:rsid w:val="0022016A"/>
    <w:rsid w:val="00220F03"/>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0BA9"/>
    <w:rsid w:val="00231068"/>
    <w:rsid w:val="00231F8F"/>
    <w:rsid w:val="00234DBA"/>
    <w:rsid w:val="00234FCD"/>
    <w:rsid w:val="00234FD9"/>
    <w:rsid w:val="0023596F"/>
    <w:rsid w:val="00236374"/>
    <w:rsid w:val="00236F49"/>
    <w:rsid w:val="00237E07"/>
    <w:rsid w:val="00237F8D"/>
    <w:rsid w:val="002400A1"/>
    <w:rsid w:val="00240222"/>
    <w:rsid w:val="002410D8"/>
    <w:rsid w:val="002411C9"/>
    <w:rsid w:val="0024218B"/>
    <w:rsid w:val="002425FE"/>
    <w:rsid w:val="00242CD9"/>
    <w:rsid w:val="0024349D"/>
    <w:rsid w:val="00243967"/>
    <w:rsid w:val="002440F8"/>
    <w:rsid w:val="0024424C"/>
    <w:rsid w:val="002444C2"/>
    <w:rsid w:val="00244BE9"/>
    <w:rsid w:val="0024530D"/>
    <w:rsid w:val="00245A74"/>
    <w:rsid w:val="00246A8F"/>
    <w:rsid w:val="0024723D"/>
    <w:rsid w:val="0024727D"/>
    <w:rsid w:val="0024736F"/>
    <w:rsid w:val="00247783"/>
    <w:rsid w:val="00250912"/>
    <w:rsid w:val="00250DBA"/>
    <w:rsid w:val="00251087"/>
    <w:rsid w:val="00251294"/>
    <w:rsid w:val="00251AD5"/>
    <w:rsid w:val="00251C2D"/>
    <w:rsid w:val="00251E7D"/>
    <w:rsid w:val="002523E5"/>
    <w:rsid w:val="00253058"/>
    <w:rsid w:val="00253764"/>
    <w:rsid w:val="002550D8"/>
    <w:rsid w:val="00255896"/>
    <w:rsid w:val="00256078"/>
    <w:rsid w:val="002564FB"/>
    <w:rsid w:val="00256907"/>
    <w:rsid w:val="00257387"/>
    <w:rsid w:val="00257615"/>
    <w:rsid w:val="00257660"/>
    <w:rsid w:val="00257EB8"/>
    <w:rsid w:val="0026049B"/>
    <w:rsid w:val="00260EFA"/>
    <w:rsid w:val="00261377"/>
    <w:rsid w:val="00261EFF"/>
    <w:rsid w:val="00262160"/>
    <w:rsid w:val="00262814"/>
    <w:rsid w:val="002629E0"/>
    <w:rsid w:val="00262E2E"/>
    <w:rsid w:val="00263457"/>
    <w:rsid w:val="00263727"/>
    <w:rsid w:val="00263EF4"/>
    <w:rsid w:val="00264650"/>
    <w:rsid w:val="00264A64"/>
    <w:rsid w:val="00265312"/>
    <w:rsid w:val="00265FE9"/>
    <w:rsid w:val="00266D5F"/>
    <w:rsid w:val="00266F46"/>
    <w:rsid w:val="0026773E"/>
    <w:rsid w:val="00267F1F"/>
    <w:rsid w:val="0027062D"/>
    <w:rsid w:val="00271BEB"/>
    <w:rsid w:val="0027218C"/>
    <w:rsid w:val="002723FD"/>
    <w:rsid w:val="00272E01"/>
    <w:rsid w:val="00273015"/>
    <w:rsid w:val="0027463A"/>
    <w:rsid w:val="0027487A"/>
    <w:rsid w:val="00274D0D"/>
    <w:rsid w:val="00274D8B"/>
    <w:rsid w:val="00275318"/>
    <w:rsid w:val="00276041"/>
    <w:rsid w:val="002766B0"/>
    <w:rsid w:val="00277572"/>
    <w:rsid w:val="00277812"/>
    <w:rsid w:val="002802A1"/>
    <w:rsid w:val="002803B8"/>
    <w:rsid w:val="002808CA"/>
    <w:rsid w:val="00280926"/>
    <w:rsid w:val="00281269"/>
    <w:rsid w:val="00281922"/>
    <w:rsid w:val="00281B0A"/>
    <w:rsid w:val="00282CDE"/>
    <w:rsid w:val="00283073"/>
    <w:rsid w:val="0028348A"/>
    <w:rsid w:val="00283C7F"/>
    <w:rsid w:val="00284142"/>
    <w:rsid w:val="00284579"/>
    <w:rsid w:val="00285478"/>
    <w:rsid w:val="00285792"/>
    <w:rsid w:val="0028663C"/>
    <w:rsid w:val="00287C89"/>
    <w:rsid w:val="002905B5"/>
    <w:rsid w:val="002911D8"/>
    <w:rsid w:val="00292120"/>
    <w:rsid w:val="0029294F"/>
    <w:rsid w:val="00293203"/>
    <w:rsid w:val="0029322C"/>
    <w:rsid w:val="0029329A"/>
    <w:rsid w:val="00293A15"/>
    <w:rsid w:val="00293D58"/>
    <w:rsid w:val="00294048"/>
    <w:rsid w:val="00295693"/>
    <w:rsid w:val="002960C3"/>
    <w:rsid w:val="002969C0"/>
    <w:rsid w:val="0029707F"/>
    <w:rsid w:val="002972D4"/>
    <w:rsid w:val="002979D2"/>
    <w:rsid w:val="002979E1"/>
    <w:rsid w:val="00297AEF"/>
    <w:rsid w:val="00297F02"/>
    <w:rsid w:val="002A06E1"/>
    <w:rsid w:val="002A0D05"/>
    <w:rsid w:val="002A21E8"/>
    <w:rsid w:val="002A2DC2"/>
    <w:rsid w:val="002A3220"/>
    <w:rsid w:val="002A3596"/>
    <w:rsid w:val="002A37BE"/>
    <w:rsid w:val="002A3AA9"/>
    <w:rsid w:val="002A58F4"/>
    <w:rsid w:val="002A5AA2"/>
    <w:rsid w:val="002A5C85"/>
    <w:rsid w:val="002A5C87"/>
    <w:rsid w:val="002A5D50"/>
    <w:rsid w:val="002A5DE5"/>
    <w:rsid w:val="002A6503"/>
    <w:rsid w:val="002A659A"/>
    <w:rsid w:val="002A7542"/>
    <w:rsid w:val="002A7BE8"/>
    <w:rsid w:val="002B04C5"/>
    <w:rsid w:val="002B0687"/>
    <w:rsid w:val="002B09C6"/>
    <w:rsid w:val="002B0F52"/>
    <w:rsid w:val="002B1071"/>
    <w:rsid w:val="002B129B"/>
    <w:rsid w:val="002B1B49"/>
    <w:rsid w:val="002B1C33"/>
    <w:rsid w:val="002B29E2"/>
    <w:rsid w:val="002B2C11"/>
    <w:rsid w:val="002B3708"/>
    <w:rsid w:val="002B4D46"/>
    <w:rsid w:val="002B4FB2"/>
    <w:rsid w:val="002B5625"/>
    <w:rsid w:val="002B5F9C"/>
    <w:rsid w:val="002B6147"/>
    <w:rsid w:val="002B6282"/>
    <w:rsid w:val="002B6BB5"/>
    <w:rsid w:val="002B7E81"/>
    <w:rsid w:val="002C0170"/>
    <w:rsid w:val="002C0B1F"/>
    <w:rsid w:val="002C0E18"/>
    <w:rsid w:val="002C1F7B"/>
    <w:rsid w:val="002C2427"/>
    <w:rsid w:val="002C2773"/>
    <w:rsid w:val="002C2A4F"/>
    <w:rsid w:val="002C2A5F"/>
    <w:rsid w:val="002C3502"/>
    <w:rsid w:val="002C35B9"/>
    <w:rsid w:val="002C397B"/>
    <w:rsid w:val="002C3B01"/>
    <w:rsid w:val="002C3BA0"/>
    <w:rsid w:val="002C436C"/>
    <w:rsid w:val="002C47C4"/>
    <w:rsid w:val="002C5CD2"/>
    <w:rsid w:val="002C65DE"/>
    <w:rsid w:val="002C6E41"/>
    <w:rsid w:val="002C748E"/>
    <w:rsid w:val="002C7BFF"/>
    <w:rsid w:val="002C7D3C"/>
    <w:rsid w:val="002D04DB"/>
    <w:rsid w:val="002D0DDF"/>
    <w:rsid w:val="002D17A5"/>
    <w:rsid w:val="002D1AC7"/>
    <w:rsid w:val="002D347E"/>
    <w:rsid w:val="002D37D6"/>
    <w:rsid w:val="002D3C72"/>
    <w:rsid w:val="002D3D17"/>
    <w:rsid w:val="002D3DB2"/>
    <w:rsid w:val="002D42A0"/>
    <w:rsid w:val="002D440D"/>
    <w:rsid w:val="002D4C8C"/>
    <w:rsid w:val="002D4EF6"/>
    <w:rsid w:val="002D5367"/>
    <w:rsid w:val="002D545A"/>
    <w:rsid w:val="002D550B"/>
    <w:rsid w:val="002D59E5"/>
    <w:rsid w:val="002D5C23"/>
    <w:rsid w:val="002D5CBC"/>
    <w:rsid w:val="002D5DC3"/>
    <w:rsid w:val="002D6635"/>
    <w:rsid w:val="002D6B4D"/>
    <w:rsid w:val="002E0FD6"/>
    <w:rsid w:val="002E1388"/>
    <w:rsid w:val="002E13B3"/>
    <w:rsid w:val="002E16E6"/>
    <w:rsid w:val="002E1AD3"/>
    <w:rsid w:val="002E1B83"/>
    <w:rsid w:val="002E1C1F"/>
    <w:rsid w:val="002E2688"/>
    <w:rsid w:val="002E28A0"/>
    <w:rsid w:val="002E307D"/>
    <w:rsid w:val="002E34A3"/>
    <w:rsid w:val="002E36E1"/>
    <w:rsid w:val="002E39FE"/>
    <w:rsid w:val="002E3BF5"/>
    <w:rsid w:val="002E3E6F"/>
    <w:rsid w:val="002E3F75"/>
    <w:rsid w:val="002E45B7"/>
    <w:rsid w:val="002E4721"/>
    <w:rsid w:val="002E486A"/>
    <w:rsid w:val="002E4DC4"/>
    <w:rsid w:val="002E5281"/>
    <w:rsid w:val="002E5E0E"/>
    <w:rsid w:val="002E5E2F"/>
    <w:rsid w:val="002E5E35"/>
    <w:rsid w:val="002E5F1C"/>
    <w:rsid w:val="002E5F3E"/>
    <w:rsid w:val="002E62ED"/>
    <w:rsid w:val="002E736D"/>
    <w:rsid w:val="002E78AC"/>
    <w:rsid w:val="002F0875"/>
    <w:rsid w:val="002F0884"/>
    <w:rsid w:val="002F1A5B"/>
    <w:rsid w:val="002F1B87"/>
    <w:rsid w:val="002F3470"/>
    <w:rsid w:val="002F3A0F"/>
    <w:rsid w:val="002F4CA2"/>
    <w:rsid w:val="002F51B3"/>
    <w:rsid w:val="002F527B"/>
    <w:rsid w:val="002F5306"/>
    <w:rsid w:val="002F5570"/>
    <w:rsid w:val="002F55A4"/>
    <w:rsid w:val="002F5792"/>
    <w:rsid w:val="002F5C9A"/>
    <w:rsid w:val="002F6254"/>
    <w:rsid w:val="002F6432"/>
    <w:rsid w:val="002F64A0"/>
    <w:rsid w:val="002F69EB"/>
    <w:rsid w:val="002F6A64"/>
    <w:rsid w:val="002F6D11"/>
    <w:rsid w:val="002F6FC4"/>
    <w:rsid w:val="002F7255"/>
    <w:rsid w:val="002F7D6F"/>
    <w:rsid w:val="00300450"/>
    <w:rsid w:val="003005AA"/>
    <w:rsid w:val="0030078C"/>
    <w:rsid w:val="00300E4E"/>
    <w:rsid w:val="00300EA5"/>
    <w:rsid w:val="003022B8"/>
    <w:rsid w:val="003023C4"/>
    <w:rsid w:val="003023EB"/>
    <w:rsid w:val="003026B9"/>
    <w:rsid w:val="00302C73"/>
    <w:rsid w:val="003035B2"/>
    <w:rsid w:val="00303733"/>
    <w:rsid w:val="00303A2F"/>
    <w:rsid w:val="00303C94"/>
    <w:rsid w:val="00304BF7"/>
    <w:rsid w:val="00304F0A"/>
    <w:rsid w:val="00304FE8"/>
    <w:rsid w:val="0030527B"/>
    <w:rsid w:val="00305FA4"/>
    <w:rsid w:val="0030617A"/>
    <w:rsid w:val="00306989"/>
    <w:rsid w:val="00310015"/>
    <w:rsid w:val="00310992"/>
    <w:rsid w:val="00311387"/>
    <w:rsid w:val="003119DF"/>
    <w:rsid w:val="00311EEA"/>
    <w:rsid w:val="00312151"/>
    <w:rsid w:val="0031351E"/>
    <w:rsid w:val="00313537"/>
    <w:rsid w:val="003135CD"/>
    <w:rsid w:val="003138AC"/>
    <w:rsid w:val="00313C59"/>
    <w:rsid w:val="00314373"/>
    <w:rsid w:val="00314425"/>
    <w:rsid w:val="003146EE"/>
    <w:rsid w:val="003153EA"/>
    <w:rsid w:val="00315536"/>
    <w:rsid w:val="003160B4"/>
    <w:rsid w:val="0031641C"/>
    <w:rsid w:val="00316745"/>
    <w:rsid w:val="00316CCF"/>
    <w:rsid w:val="00316D1E"/>
    <w:rsid w:val="00317FE3"/>
    <w:rsid w:val="00320015"/>
    <w:rsid w:val="00320263"/>
    <w:rsid w:val="003209C7"/>
    <w:rsid w:val="00320A02"/>
    <w:rsid w:val="00320AB2"/>
    <w:rsid w:val="003219EA"/>
    <w:rsid w:val="003225D5"/>
    <w:rsid w:val="0032271E"/>
    <w:rsid w:val="003229A0"/>
    <w:rsid w:val="00322BC4"/>
    <w:rsid w:val="003232F1"/>
    <w:rsid w:val="0032378E"/>
    <w:rsid w:val="00323C12"/>
    <w:rsid w:val="00323C80"/>
    <w:rsid w:val="00323CB9"/>
    <w:rsid w:val="00323D04"/>
    <w:rsid w:val="003243CB"/>
    <w:rsid w:val="003245FB"/>
    <w:rsid w:val="003250E2"/>
    <w:rsid w:val="0032569E"/>
    <w:rsid w:val="00325BC7"/>
    <w:rsid w:val="00326522"/>
    <w:rsid w:val="003270BF"/>
    <w:rsid w:val="003277B3"/>
    <w:rsid w:val="00327A0C"/>
    <w:rsid w:val="003301A3"/>
    <w:rsid w:val="00330353"/>
    <w:rsid w:val="0033063D"/>
    <w:rsid w:val="00330D77"/>
    <w:rsid w:val="00331186"/>
    <w:rsid w:val="00331B79"/>
    <w:rsid w:val="00331DCA"/>
    <w:rsid w:val="00332129"/>
    <w:rsid w:val="00332736"/>
    <w:rsid w:val="0033322F"/>
    <w:rsid w:val="00334912"/>
    <w:rsid w:val="00335779"/>
    <w:rsid w:val="00336FF2"/>
    <w:rsid w:val="003376B5"/>
    <w:rsid w:val="003376DF"/>
    <w:rsid w:val="003402DF"/>
    <w:rsid w:val="00340A89"/>
    <w:rsid w:val="00340D16"/>
    <w:rsid w:val="00340D94"/>
    <w:rsid w:val="00340EB5"/>
    <w:rsid w:val="00341361"/>
    <w:rsid w:val="00342A29"/>
    <w:rsid w:val="00343D26"/>
    <w:rsid w:val="00343D77"/>
    <w:rsid w:val="00345308"/>
    <w:rsid w:val="003455FE"/>
    <w:rsid w:val="00345652"/>
    <w:rsid w:val="00345B4F"/>
    <w:rsid w:val="00346216"/>
    <w:rsid w:val="0034672E"/>
    <w:rsid w:val="00346BB9"/>
    <w:rsid w:val="00347577"/>
    <w:rsid w:val="0034782B"/>
    <w:rsid w:val="00347C46"/>
    <w:rsid w:val="00347FAD"/>
    <w:rsid w:val="00350DDB"/>
    <w:rsid w:val="00351A7F"/>
    <w:rsid w:val="003525C0"/>
    <w:rsid w:val="0035262D"/>
    <w:rsid w:val="00352CFB"/>
    <w:rsid w:val="00352F20"/>
    <w:rsid w:val="0035309E"/>
    <w:rsid w:val="003530B9"/>
    <w:rsid w:val="00353174"/>
    <w:rsid w:val="00353798"/>
    <w:rsid w:val="0035396F"/>
    <w:rsid w:val="003541D1"/>
    <w:rsid w:val="003548D7"/>
    <w:rsid w:val="003548F0"/>
    <w:rsid w:val="00354D94"/>
    <w:rsid w:val="003550C7"/>
    <w:rsid w:val="00355FEC"/>
    <w:rsid w:val="003566E9"/>
    <w:rsid w:val="00357214"/>
    <w:rsid w:val="0035791D"/>
    <w:rsid w:val="003607A0"/>
    <w:rsid w:val="00360CBD"/>
    <w:rsid w:val="00361072"/>
    <w:rsid w:val="00361851"/>
    <w:rsid w:val="00362461"/>
    <w:rsid w:val="003628AA"/>
    <w:rsid w:val="00362D37"/>
    <w:rsid w:val="00363DA3"/>
    <w:rsid w:val="0036400A"/>
    <w:rsid w:val="00364B18"/>
    <w:rsid w:val="00364D63"/>
    <w:rsid w:val="00365105"/>
    <w:rsid w:val="0036579C"/>
    <w:rsid w:val="003657E7"/>
    <w:rsid w:val="00365E78"/>
    <w:rsid w:val="00366857"/>
    <w:rsid w:val="00370449"/>
    <w:rsid w:val="003708DD"/>
    <w:rsid w:val="00370EE0"/>
    <w:rsid w:val="003713B0"/>
    <w:rsid w:val="003717F5"/>
    <w:rsid w:val="00371B3D"/>
    <w:rsid w:val="00372F44"/>
    <w:rsid w:val="00374783"/>
    <w:rsid w:val="003750B5"/>
    <w:rsid w:val="00375135"/>
    <w:rsid w:val="003763FF"/>
    <w:rsid w:val="00377224"/>
    <w:rsid w:val="00377360"/>
    <w:rsid w:val="0037737B"/>
    <w:rsid w:val="003777B8"/>
    <w:rsid w:val="00377A8B"/>
    <w:rsid w:val="00377BAD"/>
    <w:rsid w:val="0038196D"/>
    <w:rsid w:val="00381DCB"/>
    <w:rsid w:val="00381F87"/>
    <w:rsid w:val="003821D7"/>
    <w:rsid w:val="00382EFE"/>
    <w:rsid w:val="00383A59"/>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2721"/>
    <w:rsid w:val="00393110"/>
    <w:rsid w:val="00393B0C"/>
    <w:rsid w:val="00393DD4"/>
    <w:rsid w:val="003946AC"/>
    <w:rsid w:val="00395338"/>
    <w:rsid w:val="00395600"/>
    <w:rsid w:val="00395B97"/>
    <w:rsid w:val="00397340"/>
    <w:rsid w:val="00397572"/>
    <w:rsid w:val="003A0717"/>
    <w:rsid w:val="003A074E"/>
    <w:rsid w:val="003A1CFF"/>
    <w:rsid w:val="003A2BB7"/>
    <w:rsid w:val="003A312D"/>
    <w:rsid w:val="003A37BF"/>
    <w:rsid w:val="003A4AB4"/>
    <w:rsid w:val="003A4C61"/>
    <w:rsid w:val="003A4D4A"/>
    <w:rsid w:val="003A4F09"/>
    <w:rsid w:val="003A546F"/>
    <w:rsid w:val="003A565B"/>
    <w:rsid w:val="003A5C29"/>
    <w:rsid w:val="003A5DEB"/>
    <w:rsid w:val="003A5F75"/>
    <w:rsid w:val="003A61D4"/>
    <w:rsid w:val="003A6240"/>
    <w:rsid w:val="003A648B"/>
    <w:rsid w:val="003A6592"/>
    <w:rsid w:val="003A6A14"/>
    <w:rsid w:val="003A6FDD"/>
    <w:rsid w:val="003A72E4"/>
    <w:rsid w:val="003A7535"/>
    <w:rsid w:val="003A7616"/>
    <w:rsid w:val="003A799B"/>
    <w:rsid w:val="003A7D18"/>
    <w:rsid w:val="003B00C2"/>
    <w:rsid w:val="003B07D1"/>
    <w:rsid w:val="003B0A3B"/>
    <w:rsid w:val="003B12DB"/>
    <w:rsid w:val="003B1AF6"/>
    <w:rsid w:val="003B1B75"/>
    <w:rsid w:val="003B2FBC"/>
    <w:rsid w:val="003B32CC"/>
    <w:rsid w:val="003B35CB"/>
    <w:rsid w:val="003B497D"/>
    <w:rsid w:val="003B4DA2"/>
    <w:rsid w:val="003B4DDF"/>
    <w:rsid w:val="003B4E68"/>
    <w:rsid w:val="003B4EE8"/>
    <w:rsid w:val="003B545C"/>
    <w:rsid w:val="003B57B7"/>
    <w:rsid w:val="003B5E19"/>
    <w:rsid w:val="003B64D8"/>
    <w:rsid w:val="003B78AC"/>
    <w:rsid w:val="003C08BD"/>
    <w:rsid w:val="003C1A62"/>
    <w:rsid w:val="003C27F3"/>
    <w:rsid w:val="003C2F43"/>
    <w:rsid w:val="003C32FC"/>
    <w:rsid w:val="003C3FD4"/>
    <w:rsid w:val="003C457C"/>
    <w:rsid w:val="003C49A9"/>
    <w:rsid w:val="003C4EBE"/>
    <w:rsid w:val="003C558C"/>
    <w:rsid w:val="003C5A3A"/>
    <w:rsid w:val="003C66C3"/>
    <w:rsid w:val="003C6F87"/>
    <w:rsid w:val="003C7429"/>
    <w:rsid w:val="003C75BD"/>
    <w:rsid w:val="003C7E0E"/>
    <w:rsid w:val="003D0802"/>
    <w:rsid w:val="003D098A"/>
    <w:rsid w:val="003D0B7A"/>
    <w:rsid w:val="003D1303"/>
    <w:rsid w:val="003D17E4"/>
    <w:rsid w:val="003D1A6C"/>
    <w:rsid w:val="003D1AEC"/>
    <w:rsid w:val="003D23D5"/>
    <w:rsid w:val="003D2533"/>
    <w:rsid w:val="003D2F1C"/>
    <w:rsid w:val="003D2FE6"/>
    <w:rsid w:val="003D3CD1"/>
    <w:rsid w:val="003D489A"/>
    <w:rsid w:val="003D4EA6"/>
    <w:rsid w:val="003D5944"/>
    <w:rsid w:val="003D5D05"/>
    <w:rsid w:val="003D5ECA"/>
    <w:rsid w:val="003D5FB6"/>
    <w:rsid w:val="003D63D1"/>
    <w:rsid w:val="003D6CBF"/>
    <w:rsid w:val="003D72CC"/>
    <w:rsid w:val="003D7D05"/>
    <w:rsid w:val="003E03C3"/>
    <w:rsid w:val="003E067B"/>
    <w:rsid w:val="003E0E09"/>
    <w:rsid w:val="003E11A4"/>
    <w:rsid w:val="003E1AD1"/>
    <w:rsid w:val="003E230A"/>
    <w:rsid w:val="003E236D"/>
    <w:rsid w:val="003E2512"/>
    <w:rsid w:val="003E2CFE"/>
    <w:rsid w:val="003E2E8C"/>
    <w:rsid w:val="003E3009"/>
    <w:rsid w:val="003E308A"/>
    <w:rsid w:val="003E367A"/>
    <w:rsid w:val="003E37A4"/>
    <w:rsid w:val="003E4136"/>
    <w:rsid w:val="003E4338"/>
    <w:rsid w:val="003E4E45"/>
    <w:rsid w:val="003E61CB"/>
    <w:rsid w:val="003E652F"/>
    <w:rsid w:val="003E7AFC"/>
    <w:rsid w:val="003E7C04"/>
    <w:rsid w:val="003E7C95"/>
    <w:rsid w:val="003E7FDA"/>
    <w:rsid w:val="003F01F7"/>
    <w:rsid w:val="003F0570"/>
    <w:rsid w:val="003F0D15"/>
    <w:rsid w:val="003F1283"/>
    <w:rsid w:val="003F13F6"/>
    <w:rsid w:val="003F174E"/>
    <w:rsid w:val="003F1A53"/>
    <w:rsid w:val="003F1F13"/>
    <w:rsid w:val="003F29E1"/>
    <w:rsid w:val="003F2DAF"/>
    <w:rsid w:val="003F2ED2"/>
    <w:rsid w:val="003F3772"/>
    <w:rsid w:val="003F3ED2"/>
    <w:rsid w:val="003F40B6"/>
    <w:rsid w:val="003F4627"/>
    <w:rsid w:val="003F4850"/>
    <w:rsid w:val="003F4ABA"/>
    <w:rsid w:val="003F53B6"/>
    <w:rsid w:val="003F6169"/>
    <w:rsid w:val="003F6645"/>
    <w:rsid w:val="003F72D7"/>
    <w:rsid w:val="003F77A6"/>
    <w:rsid w:val="003F77DA"/>
    <w:rsid w:val="003F7B2D"/>
    <w:rsid w:val="003F7C7A"/>
    <w:rsid w:val="00400BA3"/>
    <w:rsid w:val="00400D40"/>
    <w:rsid w:val="0040144A"/>
    <w:rsid w:val="004014C9"/>
    <w:rsid w:val="00401B46"/>
    <w:rsid w:val="00401DDB"/>
    <w:rsid w:val="004028FD"/>
    <w:rsid w:val="00402B5F"/>
    <w:rsid w:val="00402C3D"/>
    <w:rsid w:val="00403087"/>
    <w:rsid w:val="00403EDA"/>
    <w:rsid w:val="00403F44"/>
    <w:rsid w:val="0040409C"/>
    <w:rsid w:val="00404A45"/>
    <w:rsid w:val="00405576"/>
    <w:rsid w:val="004058B8"/>
    <w:rsid w:val="00405B3F"/>
    <w:rsid w:val="00406113"/>
    <w:rsid w:val="004063C4"/>
    <w:rsid w:val="0040647F"/>
    <w:rsid w:val="004072FC"/>
    <w:rsid w:val="004074CB"/>
    <w:rsid w:val="00407D7D"/>
    <w:rsid w:val="00407EDD"/>
    <w:rsid w:val="00410247"/>
    <w:rsid w:val="00410B00"/>
    <w:rsid w:val="00410B24"/>
    <w:rsid w:val="00410E12"/>
    <w:rsid w:val="00410E3B"/>
    <w:rsid w:val="004115C8"/>
    <w:rsid w:val="004118DA"/>
    <w:rsid w:val="00413BE9"/>
    <w:rsid w:val="00413E03"/>
    <w:rsid w:val="00414E73"/>
    <w:rsid w:val="00415367"/>
    <w:rsid w:val="004161C2"/>
    <w:rsid w:val="004170A6"/>
    <w:rsid w:val="004176BC"/>
    <w:rsid w:val="004177A1"/>
    <w:rsid w:val="00417CB0"/>
    <w:rsid w:val="00417F47"/>
    <w:rsid w:val="00417FB8"/>
    <w:rsid w:val="00420584"/>
    <w:rsid w:val="004207B4"/>
    <w:rsid w:val="00421048"/>
    <w:rsid w:val="0042164F"/>
    <w:rsid w:val="00422A93"/>
    <w:rsid w:val="00422BB1"/>
    <w:rsid w:val="00423EA1"/>
    <w:rsid w:val="00424D21"/>
    <w:rsid w:val="00424F1F"/>
    <w:rsid w:val="00424F3C"/>
    <w:rsid w:val="00425333"/>
    <w:rsid w:val="00425C24"/>
    <w:rsid w:val="0042646A"/>
    <w:rsid w:val="00427238"/>
    <w:rsid w:val="004273BF"/>
    <w:rsid w:val="00427E91"/>
    <w:rsid w:val="004311FF"/>
    <w:rsid w:val="004314B6"/>
    <w:rsid w:val="00432447"/>
    <w:rsid w:val="00432D97"/>
    <w:rsid w:val="00432F21"/>
    <w:rsid w:val="00433964"/>
    <w:rsid w:val="004349D9"/>
    <w:rsid w:val="00434C7F"/>
    <w:rsid w:val="004353AE"/>
    <w:rsid w:val="0043544F"/>
    <w:rsid w:val="004362C0"/>
    <w:rsid w:val="00436425"/>
    <w:rsid w:val="004364E6"/>
    <w:rsid w:val="00436B27"/>
    <w:rsid w:val="00437069"/>
    <w:rsid w:val="0043712E"/>
    <w:rsid w:val="00437E12"/>
    <w:rsid w:val="004400BC"/>
    <w:rsid w:val="00440B81"/>
    <w:rsid w:val="00440F39"/>
    <w:rsid w:val="004412E8"/>
    <w:rsid w:val="00441947"/>
    <w:rsid w:val="00443331"/>
    <w:rsid w:val="00443561"/>
    <w:rsid w:val="00443591"/>
    <w:rsid w:val="00444A0A"/>
    <w:rsid w:val="00444BA5"/>
    <w:rsid w:val="00444C04"/>
    <w:rsid w:val="0044501E"/>
    <w:rsid w:val="0044580B"/>
    <w:rsid w:val="00445B35"/>
    <w:rsid w:val="00445DFA"/>
    <w:rsid w:val="004462BD"/>
    <w:rsid w:val="004462FA"/>
    <w:rsid w:val="0044692E"/>
    <w:rsid w:val="0044732A"/>
    <w:rsid w:val="00450BC1"/>
    <w:rsid w:val="00451103"/>
    <w:rsid w:val="00451F2C"/>
    <w:rsid w:val="0045203F"/>
    <w:rsid w:val="004520DB"/>
    <w:rsid w:val="00452550"/>
    <w:rsid w:val="004525A5"/>
    <w:rsid w:val="004526B0"/>
    <w:rsid w:val="00453228"/>
    <w:rsid w:val="004534FB"/>
    <w:rsid w:val="00453DB2"/>
    <w:rsid w:val="00453E81"/>
    <w:rsid w:val="00453F45"/>
    <w:rsid w:val="00454471"/>
    <w:rsid w:val="00454829"/>
    <w:rsid w:val="00454D4D"/>
    <w:rsid w:val="00454F1D"/>
    <w:rsid w:val="00455817"/>
    <w:rsid w:val="00455982"/>
    <w:rsid w:val="00455AE4"/>
    <w:rsid w:val="00457034"/>
    <w:rsid w:val="00457BAA"/>
    <w:rsid w:val="00460981"/>
    <w:rsid w:val="004609DE"/>
    <w:rsid w:val="00461045"/>
    <w:rsid w:val="00461A3E"/>
    <w:rsid w:val="00461DC0"/>
    <w:rsid w:val="00462516"/>
    <w:rsid w:val="00462787"/>
    <w:rsid w:val="004628F0"/>
    <w:rsid w:val="00462D54"/>
    <w:rsid w:val="00462D63"/>
    <w:rsid w:val="00463886"/>
    <w:rsid w:val="00464E03"/>
    <w:rsid w:val="00464F36"/>
    <w:rsid w:val="0046507A"/>
    <w:rsid w:val="0046568B"/>
    <w:rsid w:val="0046569B"/>
    <w:rsid w:val="00466121"/>
    <w:rsid w:val="00466912"/>
    <w:rsid w:val="004670C3"/>
    <w:rsid w:val="00467686"/>
    <w:rsid w:val="00467792"/>
    <w:rsid w:val="004679AB"/>
    <w:rsid w:val="00471665"/>
    <w:rsid w:val="0047195F"/>
    <w:rsid w:val="00471A9E"/>
    <w:rsid w:val="00471B86"/>
    <w:rsid w:val="00472227"/>
    <w:rsid w:val="00472E9C"/>
    <w:rsid w:val="0047312A"/>
    <w:rsid w:val="004732E6"/>
    <w:rsid w:val="00473FF9"/>
    <w:rsid w:val="00474927"/>
    <w:rsid w:val="00474FBE"/>
    <w:rsid w:val="0047540F"/>
    <w:rsid w:val="00475438"/>
    <w:rsid w:val="00476F8F"/>
    <w:rsid w:val="004772FF"/>
    <w:rsid w:val="00477324"/>
    <w:rsid w:val="00480310"/>
    <w:rsid w:val="0048048A"/>
    <w:rsid w:val="004807FF"/>
    <w:rsid w:val="00481705"/>
    <w:rsid w:val="00481966"/>
    <w:rsid w:val="00482044"/>
    <w:rsid w:val="00482254"/>
    <w:rsid w:val="004823C6"/>
    <w:rsid w:val="00482F51"/>
    <w:rsid w:val="00483166"/>
    <w:rsid w:val="0048365C"/>
    <w:rsid w:val="004837B4"/>
    <w:rsid w:val="00483E46"/>
    <w:rsid w:val="00484915"/>
    <w:rsid w:val="00484EEF"/>
    <w:rsid w:val="004853D8"/>
    <w:rsid w:val="0048589F"/>
    <w:rsid w:val="00486552"/>
    <w:rsid w:val="00486AEA"/>
    <w:rsid w:val="00486B59"/>
    <w:rsid w:val="00486DA8"/>
    <w:rsid w:val="00486EEE"/>
    <w:rsid w:val="0048735B"/>
    <w:rsid w:val="004875E6"/>
    <w:rsid w:val="00487AD4"/>
    <w:rsid w:val="00487BF3"/>
    <w:rsid w:val="00490275"/>
    <w:rsid w:val="00490628"/>
    <w:rsid w:val="0049071D"/>
    <w:rsid w:val="0049103F"/>
    <w:rsid w:val="00491532"/>
    <w:rsid w:val="00491F80"/>
    <w:rsid w:val="0049239D"/>
    <w:rsid w:val="004925C9"/>
    <w:rsid w:val="00492B52"/>
    <w:rsid w:val="00493577"/>
    <w:rsid w:val="00493767"/>
    <w:rsid w:val="00493EB8"/>
    <w:rsid w:val="004942A0"/>
    <w:rsid w:val="00494307"/>
    <w:rsid w:val="00494B3B"/>
    <w:rsid w:val="00495665"/>
    <w:rsid w:val="004963FE"/>
    <w:rsid w:val="00496996"/>
    <w:rsid w:val="00496DD8"/>
    <w:rsid w:val="00497AE7"/>
    <w:rsid w:val="004A020A"/>
    <w:rsid w:val="004A036F"/>
    <w:rsid w:val="004A04FE"/>
    <w:rsid w:val="004A0859"/>
    <w:rsid w:val="004A0C71"/>
    <w:rsid w:val="004A0CF6"/>
    <w:rsid w:val="004A15D4"/>
    <w:rsid w:val="004A18E6"/>
    <w:rsid w:val="004A18FA"/>
    <w:rsid w:val="004A1B4E"/>
    <w:rsid w:val="004A20DA"/>
    <w:rsid w:val="004A2509"/>
    <w:rsid w:val="004A294E"/>
    <w:rsid w:val="004A2E67"/>
    <w:rsid w:val="004A3371"/>
    <w:rsid w:val="004A3391"/>
    <w:rsid w:val="004A3C39"/>
    <w:rsid w:val="004A3FAE"/>
    <w:rsid w:val="004A4291"/>
    <w:rsid w:val="004A4728"/>
    <w:rsid w:val="004A4AC3"/>
    <w:rsid w:val="004A4D02"/>
    <w:rsid w:val="004A4F2D"/>
    <w:rsid w:val="004A5AFA"/>
    <w:rsid w:val="004A5B38"/>
    <w:rsid w:val="004B0AF1"/>
    <w:rsid w:val="004B17CE"/>
    <w:rsid w:val="004B1903"/>
    <w:rsid w:val="004B1A9C"/>
    <w:rsid w:val="004B1B15"/>
    <w:rsid w:val="004B1CB3"/>
    <w:rsid w:val="004B21DA"/>
    <w:rsid w:val="004B2241"/>
    <w:rsid w:val="004B27D6"/>
    <w:rsid w:val="004B2EBB"/>
    <w:rsid w:val="004B36DF"/>
    <w:rsid w:val="004B3C81"/>
    <w:rsid w:val="004B47F4"/>
    <w:rsid w:val="004B4E4F"/>
    <w:rsid w:val="004B50CC"/>
    <w:rsid w:val="004B5825"/>
    <w:rsid w:val="004B61C8"/>
    <w:rsid w:val="004B622F"/>
    <w:rsid w:val="004B6415"/>
    <w:rsid w:val="004B64FA"/>
    <w:rsid w:val="004B758A"/>
    <w:rsid w:val="004B7F9F"/>
    <w:rsid w:val="004C03EA"/>
    <w:rsid w:val="004C06CE"/>
    <w:rsid w:val="004C099B"/>
    <w:rsid w:val="004C0BAC"/>
    <w:rsid w:val="004C0DB4"/>
    <w:rsid w:val="004C10A2"/>
    <w:rsid w:val="004C13F1"/>
    <w:rsid w:val="004C16F5"/>
    <w:rsid w:val="004C20D0"/>
    <w:rsid w:val="004C2E64"/>
    <w:rsid w:val="004C33E8"/>
    <w:rsid w:val="004C366F"/>
    <w:rsid w:val="004C44DD"/>
    <w:rsid w:val="004C4A96"/>
    <w:rsid w:val="004C4E5F"/>
    <w:rsid w:val="004C5875"/>
    <w:rsid w:val="004C5F28"/>
    <w:rsid w:val="004C66F8"/>
    <w:rsid w:val="004C6997"/>
    <w:rsid w:val="004C6CDB"/>
    <w:rsid w:val="004C723F"/>
    <w:rsid w:val="004C7C36"/>
    <w:rsid w:val="004C7D16"/>
    <w:rsid w:val="004D0132"/>
    <w:rsid w:val="004D080F"/>
    <w:rsid w:val="004D138E"/>
    <w:rsid w:val="004D185E"/>
    <w:rsid w:val="004D2556"/>
    <w:rsid w:val="004D29F9"/>
    <w:rsid w:val="004D3753"/>
    <w:rsid w:val="004D4B61"/>
    <w:rsid w:val="004D606D"/>
    <w:rsid w:val="004D67CB"/>
    <w:rsid w:val="004D6B20"/>
    <w:rsid w:val="004D6C2F"/>
    <w:rsid w:val="004D71FE"/>
    <w:rsid w:val="004D72CE"/>
    <w:rsid w:val="004D7964"/>
    <w:rsid w:val="004D7A80"/>
    <w:rsid w:val="004D7CA3"/>
    <w:rsid w:val="004E0388"/>
    <w:rsid w:val="004E04C7"/>
    <w:rsid w:val="004E0894"/>
    <w:rsid w:val="004E135A"/>
    <w:rsid w:val="004E1C50"/>
    <w:rsid w:val="004E20EE"/>
    <w:rsid w:val="004E23BB"/>
    <w:rsid w:val="004E251F"/>
    <w:rsid w:val="004E2B23"/>
    <w:rsid w:val="004E2FB9"/>
    <w:rsid w:val="004E3390"/>
    <w:rsid w:val="004E37C8"/>
    <w:rsid w:val="004E416F"/>
    <w:rsid w:val="004E424D"/>
    <w:rsid w:val="004E5F45"/>
    <w:rsid w:val="004E64DC"/>
    <w:rsid w:val="004E674C"/>
    <w:rsid w:val="004E6F86"/>
    <w:rsid w:val="004E706A"/>
    <w:rsid w:val="004F0671"/>
    <w:rsid w:val="004F0C01"/>
    <w:rsid w:val="004F126D"/>
    <w:rsid w:val="004F1E92"/>
    <w:rsid w:val="004F24B5"/>
    <w:rsid w:val="004F2B02"/>
    <w:rsid w:val="004F2D1B"/>
    <w:rsid w:val="004F2E11"/>
    <w:rsid w:val="004F2E17"/>
    <w:rsid w:val="004F31BD"/>
    <w:rsid w:val="004F378C"/>
    <w:rsid w:val="004F3B34"/>
    <w:rsid w:val="004F3E23"/>
    <w:rsid w:val="004F4722"/>
    <w:rsid w:val="004F4767"/>
    <w:rsid w:val="004F498A"/>
    <w:rsid w:val="004F51B2"/>
    <w:rsid w:val="004F59C4"/>
    <w:rsid w:val="004F5D65"/>
    <w:rsid w:val="004F70F8"/>
    <w:rsid w:val="004F7230"/>
    <w:rsid w:val="004F7468"/>
    <w:rsid w:val="004F7D65"/>
    <w:rsid w:val="004F7D7B"/>
    <w:rsid w:val="00501519"/>
    <w:rsid w:val="00501659"/>
    <w:rsid w:val="00501733"/>
    <w:rsid w:val="00501B75"/>
    <w:rsid w:val="00501C39"/>
    <w:rsid w:val="00502203"/>
    <w:rsid w:val="005026D4"/>
    <w:rsid w:val="005027B8"/>
    <w:rsid w:val="00503286"/>
    <w:rsid w:val="00503C6D"/>
    <w:rsid w:val="00503F42"/>
    <w:rsid w:val="0050449C"/>
    <w:rsid w:val="00504D6F"/>
    <w:rsid w:val="00505378"/>
    <w:rsid w:val="00505A66"/>
    <w:rsid w:val="00505F9F"/>
    <w:rsid w:val="00506576"/>
    <w:rsid w:val="00506710"/>
    <w:rsid w:val="00506E86"/>
    <w:rsid w:val="0050702C"/>
    <w:rsid w:val="0050723E"/>
    <w:rsid w:val="005072DD"/>
    <w:rsid w:val="00507403"/>
    <w:rsid w:val="00507430"/>
    <w:rsid w:val="005101E5"/>
    <w:rsid w:val="00511D75"/>
    <w:rsid w:val="00511FF2"/>
    <w:rsid w:val="00512232"/>
    <w:rsid w:val="00513B7E"/>
    <w:rsid w:val="00514597"/>
    <w:rsid w:val="005150AB"/>
    <w:rsid w:val="0051520F"/>
    <w:rsid w:val="005159F9"/>
    <w:rsid w:val="005164CC"/>
    <w:rsid w:val="0051769B"/>
    <w:rsid w:val="00517D26"/>
    <w:rsid w:val="0052052F"/>
    <w:rsid w:val="00520571"/>
    <w:rsid w:val="005212B6"/>
    <w:rsid w:val="00522C8A"/>
    <w:rsid w:val="00523AF8"/>
    <w:rsid w:val="00523F57"/>
    <w:rsid w:val="00523F8F"/>
    <w:rsid w:val="005248F8"/>
    <w:rsid w:val="00524E1E"/>
    <w:rsid w:val="0052565F"/>
    <w:rsid w:val="00525D92"/>
    <w:rsid w:val="0052654A"/>
    <w:rsid w:val="00526E9C"/>
    <w:rsid w:val="005278F8"/>
    <w:rsid w:val="005300ED"/>
    <w:rsid w:val="005306B9"/>
    <w:rsid w:val="005314D8"/>
    <w:rsid w:val="00531706"/>
    <w:rsid w:val="00531F66"/>
    <w:rsid w:val="00532121"/>
    <w:rsid w:val="00532429"/>
    <w:rsid w:val="00532850"/>
    <w:rsid w:val="005328A9"/>
    <w:rsid w:val="00532C7A"/>
    <w:rsid w:val="00532E23"/>
    <w:rsid w:val="005331D3"/>
    <w:rsid w:val="005332FA"/>
    <w:rsid w:val="005335ED"/>
    <w:rsid w:val="00534668"/>
    <w:rsid w:val="005346BF"/>
    <w:rsid w:val="0053472D"/>
    <w:rsid w:val="00535189"/>
    <w:rsid w:val="005356B6"/>
    <w:rsid w:val="00535D75"/>
    <w:rsid w:val="00535FF9"/>
    <w:rsid w:val="0053609B"/>
    <w:rsid w:val="0053655A"/>
    <w:rsid w:val="00536ECF"/>
    <w:rsid w:val="0053740F"/>
    <w:rsid w:val="00540B60"/>
    <w:rsid w:val="00540D9E"/>
    <w:rsid w:val="0054171A"/>
    <w:rsid w:val="005420CF"/>
    <w:rsid w:val="00542C2A"/>
    <w:rsid w:val="0054337D"/>
    <w:rsid w:val="005438E3"/>
    <w:rsid w:val="00543CAC"/>
    <w:rsid w:val="005440E4"/>
    <w:rsid w:val="00544497"/>
    <w:rsid w:val="005448FE"/>
    <w:rsid w:val="00545BEC"/>
    <w:rsid w:val="005468A5"/>
    <w:rsid w:val="00546A1D"/>
    <w:rsid w:val="00546C8E"/>
    <w:rsid w:val="00546CB9"/>
    <w:rsid w:val="00546E83"/>
    <w:rsid w:val="005471C3"/>
    <w:rsid w:val="00547725"/>
    <w:rsid w:val="00550292"/>
    <w:rsid w:val="005506E5"/>
    <w:rsid w:val="00551309"/>
    <w:rsid w:val="00551D80"/>
    <w:rsid w:val="00552426"/>
    <w:rsid w:val="00552604"/>
    <w:rsid w:val="00552F1A"/>
    <w:rsid w:val="0055363B"/>
    <w:rsid w:val="00553693"/>
    <w:rsid w:val="005536D5"/>
    <w:rsid w:val="00553934"/>
    <w:rsid w:val="00553B71"/>
    <w:rsid w:val="00553D3C"/>
    <w:rsid w:val="00554C4D"/>
    <w:rsid w:val="00555241"/>
    <w:rsid w:val="00555C08"/>
    <w:rsid w:val="0055622C"/>
    <w:rsid w:val="005564BE"/>
    <w:rsid w:val="00556A43"/>
    <w:rsid w:val="00556A63"/>
    <w:rsid w:val="0055727C"/>
    <w:rsid w:val="0056087F"/>
    <w:rsid w:val="00560D8A"/>
    <w:rsid w:val="0056121A"/>
    <w:rsid w:val="00562195"/>
    <w:rsid w:val="0056261D"/>
    <w:rsid w:val="005627E1"/>
    <w:rsid w:val="005627E6"/>
    <w:rsid w:val="00562918"/>
    <w:rsid w:val="00563269"/>
    <w:rsid w:val="00564169"/>
    <w:rsid w:val="00564643"/>
    <w:rsid w:val="00564772"/>
    <w:rsid w:val="005654CF"/>
    <w:rsid w:val="00566518"/>
    <w:rsid w:val="005669DA"/>
    <w:rsid w:val="00567613"/>
    <w:rsid w:val="00567D48"/>
    <w:rsid w:val="00570C88"/>
    <w:rsid w:val="00571206"/>
    <w:rsid w:val="00571640"/>
    <w:rsid w:val="00571678"/>
    <w:rsid w:val="00571902"/>
    <w:rsid w:val="0057194C"/>
    <w:rsid w:val="00571A48"/>
    <w:rsid w:val="00571D62"/>
    <w:rsid w:val="005720AF"/>
    <w:rsid w:val="00572283"/>
    <w:rsid w:val="00572F6B"/>
    <w:rsid w:val="00573604"/>
    <w:rsid w:val="00573DE2"/>
    <w:rsid w:val="00573F29"/>
    <w:rsid w:val="00574949"/>
    <w:rsid w:val="00574AD1"/>
    <w:rsid w:val="0057501B"/>
    <w:rsid w:val="00575F52"/>
    <w:rsid w:val="005762C9"/>
    <w:rsid w:val="005767F1"/>
    <w:rsid w:val="00576A92"/>
    <w:rsid w:val="00577417"/>
    <w:rsid w:val="005779BD"/>
    <w:rsid w:val="00580009"/>
    <w:rsid w:val="00580850"/>
    <w:rsid w:val="00580912"/>
    <w:rsid w:val="00580D6B"/>
    <w:rsid w:val="00580F14"/>
    <w:rsid w:val="005812AE"/>
    <w:rsid w:val="0058144C"/>
    <w:rsid w:val="0058159E"/>
    <w:rsid w:val="00581F46"/>
    <w:rsid w:val="00581F5D"/>
    <w:rsid w:val="00582234"/>
    <w:rsid w:val="005824FB"/>
    <w:rsid w:val="00582686"/>
    <w:rsid w:val="005829C4"/>
    <w:rsid w:val="00582D45"/>
    <w:rsid w:val="00582E8D"/>
    <w:rsid w:val="00582FA1"/>
    <w:rsid w:val="00582FFE"/>
    <w:rsid w:val="005843DF"/>
    <w:rsid w:val="0058513F"/>
    <w:rsid w:val="005860BC"/>
    <w:rsid w:val="00587129"/>
    <w:rsid w:val="0058724D"/>
    <w:rsid w:val="0058725A"/>
    <w:rsid w:val="005879CE"/>
    <w:rsid w:val="0059000C"/>
    <w:rsid w:val="00590136"/>
    <w:rsid w:val="00590B24"/>
    <w:rsid w:val="00590B6C"/>
    <w:rsid w:val="00590E74"/>
    <w:rsid w:val="00591392"/>
    <w:rsid w:val="005913B9"/>
    <w:rsid w:val="00591429"/>
    <w:rsid w:val="005915E6"/>
    <w:rsid w:val="00591A74"/>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050E"/>
    <w:rsid w:val="005A0A21"/>
    <w:rsid w:val="005A118A"/>
    <w:rsid w:val="005A1897"/>
    <w:rsid w:val="005A252B"/>
    <w:rsid w:val="005A3B97"/>
    <w:rsid w:val="005A45EC"/>
    <w:rsid w:val="005A4A89"/>
    <w:rsid w:val="005A55F6"/>
    <w:rsid w:val="005A57D4"/>
    <w:rsid w:val="005A5C31"/>
    <w:rsid w:val="005A5DB4"/>
    <w:rsid w:val="005A600A"/>
    <w:rsid w:val="005A74D9"/>
    <w:rsid w:val="005A7E88"/>
    <w:rsid w:val="005A7F92"/>
    <w:rsid w:val="005B01F4"/>
    <w:rsid w:val="005B05BE"/>
    <w:rsid w:val="005B0692"/>
    <w:rsid w:val="005B07C7"/>
    <w:rsid w:val="005B14C2"/>
    <w:rsid w:val="005B1B4F"/>
    <w:rsid w:val="005B1C78"/>
    <w:rsid w:val="005B2564"/>
    <w:rsid w:val="005B2E53"/>
    <w:rsid w:val="005B2F26"/>
    <w:rsid w:val="005B3076"/>
    <w:rsid w:val="005B334E"/>
    <w:rsid w:val="005B389B"/>
    <w:rsid w:val="005B4224"/>
    <w:rsid w:val="005B426C"/>
    <w:rsid w:val="005B4B88"/>
    <w:rsid w:val="005B4C25"/>
    <w:rsid w:val="005B52D8"/>
    <w:rsid w:val="005B57E9"/>
    <w:rsid w:val="005B583D"/>
    <w:rsid w:val="005B5DAD"/>
    <w:rsid w:val="005B6035"/>
    <w:rsid w:val="005B659A"/>
    <w:rsid w:val="005B65CA"/>
    <w:rsid w:val="005B79C6"/>
    <w:rsid w:val="005C04C0"/>
    <w:rsid w:val="005C0912"/>
    <w:rsid w:val="005C1912"/>
    <w:rsid w:val="005C1B46"/>
    <w:rsid w:val="005C1F7E"/>
    <w:rsid w:val="005C2057"/>
    <w:rsid w:val="005C20A0"/>
    <w:rsid w:val="005C2EF2"/>
    <w:rsid w:val="005C3234"/>
    <w:rsid w:val="005C34D5"/>
    <w:rsid w:val="005C3AE2"/>
    <w:rsid w:val="005C5258"/>
    <w:rsid w:val="005C57F7"/>
    <w:rsid w:val="005C64B4"/>
    <w:rsid w:val="005C694E"/>
    <w:rsid w:val="005C76FD"/>
    <w:rsid w:val="005C7A6D"/>
    <w:rsid w:val="005C7DC3"/>
    <w:rsid w:val="005D09FF"/>
    <w:rsid w:val="005D0DAF"/>
    <w:rsid w:val="005D0E2B"/>
    <w:rsid w:val="005D14A4"/>
    <w:rsid w:val="005D1D83"/>
    <w:rsid w:val="005D2E2B"/>
    <w:rsid w:val="005D3D10"/>
    <w:rsid w:val="005D63D9"/>
    <w:rsid w:val="005D6E2B"/>
    <w:rsid w:val="005D71BB"/>
    <w:rsid w:val="005D7D0E"/>
    <w:rsid w:val="005E07F3"/>
    <w:rsid w:val="005E0823"/>
    <w:rsid w:val="005E0D53"/>
    <w:rsid w:val="005E1008"/>
    <w:rsid w:val="005E10B7"/>
    <w:rsid w:val="005E11E2"/>
    <w:rsid w:val="005E170E"/>
    <w:rsid w:val="005E1717"/>
    <w:rsid w:val="005E1DDB"/>
    <w:rsid w:val="005E1F3B"/>
    <w:rsid w:val="005E1F3F"/>
    <w:rsid w:val="005E250E"/>
    <w:rsid w:val="005E2961"/>
    <w:rsid w:val="005E2FF7"/>
    <w:rsid w:val="005E3769"/>
    <w:rsid w:val="005E3B68"/>
    <w:rsid w:val="005E4148"/>
    <w:rsid w:val="005E4455"/>
    <w:rsid w:val="005E4674"/>
    <w:rsid w:val="005E4AF5"/>
    <w:rsid w:val="005E4F30"/>
    <w:rsid w:val="005E511D"/>
    <w:rsid w:val="005E56C4"/>
    <w:rsid w:val="005E5BEB"/>
    <w:rsid w:val="005E6369"/>
    <w:rsid w:val="005E652A"/>
    <w:rsid w:val="005E68B2"/>
    <w:rsid w:val="005E6C14"/>
    <w:rsid w:val="005E6F87"/>
    <w:rsid w:val="005E7038"/>
    <w:rsid w:val="005E79FE"/>
    <w:rsid w:val="005F043C"/>
    <w:rsid w:val="005F0593"/>
    <w:rsid w:val="005F1BE8"/>
    <w:rsid w:val="005F1C1F"/>
    <w:rsid w:val="005F20C7"/>
    <w:rsid w:val="005F267F"/>
    <w:rsid w:val="005F2ABB"/>
    <w:rsid w:val="005F3375"/>
    <w:rsid w:val="005F354A"/>
    <w:rsid w:val="005F405A"/>
    <w:rsid w:val="005F570C"/>
    <w:rsid w:val="005F74BD"/>
    <w:rsid w:val="005F7D2F"/>
    <w:rsid w:val="006003A9"/>
    <w:rsid w:val="00600E8E"/>
    <w:rsid w:val="006018CA"/>
    <w:rsid w:val="006019E6"/>
    <w:rsid w:val="00601AA5"/>
    <w:rsid w:val="006021EE"/>
    <w:rsid w:val="0060270D"/>
    <w:rsid w:val="00602A5A"/>
    <w:rsid w:val="006034A7"/>
    <w:rsid w:val="006037CC"/>
    <w:rsid w:val="00603A6B"/>
    <w:rsid w:val="006040F2"/>
    <w:rsid w:val="0060449A"/>
    <w:rsid w:val="00604805"/>
    <w:rsid w:val="0060529E"/>
    <w:rsid w:val="00605384"/>
    <w:rsid w:val="00605829"/>
    <w:rsid w:val="00606CD7"/>
    <w:rsid w:val="00606FBC"/>
    <w:rsid w:val="006072E8"/>
    <w:rsid w:val="00607C2D"/>
    <w:rsid w:val="00607E71"/>
    <w:rsid w:val="006103A4"/>
    <w:rsid w:val="00610837"/>
    <w:rsid w:val="00610922"/>
    <w:rsid w:val="00610D06"/>
    <w:rsid w:val="00610EC4"/>
    <w:rsid w:val="00611250"/>
    <w:rsid w:val="00611D8D"/>
    <w:rsid w:val="006122E2"/>
    <w:rsid w:val="006125AA"/>
    <w:rsid w:val="00612638"/>
    <w:rsid w:val="0061367E"/>
    <w:rsid w:val="00613E9D"/>
    <w:rsid w:val="0061423C"/>
    <w:rsid w:val="0061427C"/>
    <w:rsid w:val="0061444C"/>
    <w:rsid w:val="006150FD"/>
    <w:rsid w:val="00615427"/>
    <w:rsid w:val="00615DED"/>
    <w:rsid w:val="00615FAB"/>
    <w:rsid w:val="006169BB"/>
    <w:rsid w:val="00616B50"/>
    <w:rsid w:val="00616F11"/>
    <w:rsid w:val="006177F0"/>
    <w:rsid w:val="0062005F"/>
    <w:rsid w:val="00620165"/>
    <w:rsid w:val="006201DC"/>
    <w:rsid w:val="0062039B"/>
    <w:rsid w:val="00620985"/>
    <w:rsid w:val="00620BD5"/>
    <w:rsid w:val="00621B17"/>
    <w:rsid w:val="00622289"/>
    <w:rsid w:val="00622543"/>
    <w:rsid w:val="0062261D"/>
    <w:rsid w:val="00622643"/>
    <w:rsid w:val="00623312"/>
    <w:rsid w:val="0062351E"/>
    <w:rsid w:val="00623E92"/>
    <w:rsid w:val="00623E93"/>
    <w:rsid w:val="00624322"/>
    <w:rsid w:val="00624406"/>
    <w:rsid w:val="006248E3"/>
    <w:rsid w:val="00625D3D"/>
    <w:rsid w:val="00625DB6"/>
    <w:rsid w:val="00626280"/>
    <w:rsid w:val="00626CAC"/>
    <w:rsid w:val="00627AD4"/>
    <w:rsid w:val="00630F33"/>
    <w:rsid w:val="006312A4"/>
    <w:rsid w:val="006312F8"/>
    <w:rsid w:val="006313C9"/>
    <w:rsid w:val="006317D2"/>
    <w:rsid w:val="00631C0F"/>
    <w:rsid w:val="0063210D"/>
    <w:rsid w:val="006337EA"/>
    <w:rsid w:val="00634871"/>
    <w:rsid w:val="006348ED"/>
    <w:rsid w:val="00634DF1"/>
    <w:rsid w:val="006355E6"/>
    <w:rsid w:val="00635EFB"/>
    <w:rsid w:val="00636A18"/>
    <w:rsid w:val="00636C52"/>
    <w:rsid w:val="0063771E"/>
    <w:rsid w:val="006401D2"/>
    <w:rsid w:val="0064038A"/>
    <w:rsid w:val="006406A6"/>
    <w:rsid w:val="006409F7"/>
    <w:rsid w:val="00640A5A"/>
    <w:rsid w:val="00640BE3"/>
    <w:rsid w:val="00640C80"/>
    <w:rsid w:val="00640E6C"/>
    <w:rsid w:val="00642351"/>
    <w:rsid w:val="006424F7"/>
    <w:rsid w:val="00642A2C"/>
    <w:rsid w:val="00642B51"/>
    <w:rsid w:val="00642C32"/>
    <w:rsid w:val="006433D0"/>
    <w:rsid w:val="00643467"/>
    <w:rsid w:val="00643A31"/>
    <w:rsid w:val="00643AAE"/>
    <w:rsid w:val="00643FAF"/>
    <w:rsid w:val="006443DD"/>
    <w:rsid w:val="006446AE"/>
    <w:rsid w:val="00644A9F"/>
    <w:rsid w:val="00646BA0"/>
    <w:rsid w:val="00646F54"/>
    <w:rsid w:val="0065002D"/>
    <w:rsid w:val="00650254"/>
    <w:rsid w:val="006502BB"/>
    <w:rsid w:val="006515EF"/>
    <w:rsid w:val="0065219E"/>
    <w:rsid w:val="00652202"/>
    <w:rsid w:val="0065234B"/>
    <w:rsid w:val="006530E2"/>
    <w:rsid w:val="006535DE"/>
    <w:rsid w:val="006538F2"/>
    <w:rsid w:val="0065453F"/>
    <w:rsid w:val="00654758"/>
    <w:rsid w:val="006563FC"/>
    <w:rsid w:val="00656EAE"/>
    <w:rsid w:val="00657344"/>
    <w:rsid w:val="00657AE2"/>
    <w:rsid w:val="006602CF"/>
    <w:rsid w:val="00660FB0"/>
    <w:rsid w:val="00661356"/>
    <w:rsid w:val="00662399"/>
    <w:rsid w:val="006628D0"/>
    <w:rsid w:val="00663E53"/>
    <w:rsid w:val="00664A30"/>
    <w:rsid w:val="00664B40"/>
    <w:rsid w:val="006652C0"/>
    <w:rsid w:val="006652FD"/>
    <w:rsid w:val="00665679"/>
    <w:rsid w:val="0066568C"/>
    <w:rsid w:val="0066590A"/>
    <w:rsid w:val="00665DB7"/>
    <w:rsid w:val="00666038"/>
    <w:rsid w:val="00666370"/>
    <w:rsid w:val="0066646F"/>
    <w:rsid w:val="00666775"/>
    <w:rsid w:val="00666A5B"/>
    <w:rsid w:val="0066768F"/>
    <w:rsid w:val="006701F6"/>
    <w:rsid w:val="00670532"/>
    <w:rsid w:val="00670EFB"/>
    <w:rsid w:val="00671380"/>
    <w:rsid w:val="006713F9"/>
    <w:rsid w:val="006715DC"/>
    <w:rsid w:val="00672F3E"/>
    <w:rsid w:val="00673BF2"/>
    <w:rsid w:val="00673C58"/>
    <w:rsid w:val="0067494B"/>
    <w:rsid w:val="00674DB0"/>
    <w:rsid w:val="00675296"/>
    <w:rsid w:val="006761BE"/>
    <w:rsid w:val="006766B8"/>
    <w:rsid w:val="00677143"/>
    <w:rsid w:val="006807E1"/>
    <w:rsid w:val="00680DE4"/>
    <w:rsid w:val="0068116A"/>
    <w:rsid w:val="00681663"/>
    <w:rsid w:val="006823D9"/>
    <w:rsid w:val="00682434"/>
    <w:rsid w:val="00683367"/>
    <w:rsid w:val="00683B8F"/>
    <w:rsid w:val="006841B1"/>
    <w:rsid w:val="006841F4"/>
    <w:rsid w:val="0068436A"/>
    <w:rsid w:val="0068523F"/>
    <w:rsid w:val="006855A0"/>
    <w:rsid w:val="006861C4"/>
    <w:rsid w:val="00686C23"/>
    <w:rsid w:val="00687033"/>
    <w:rsid w:val="0068762F"/>
    <w:rsid w:val="00687774"/>
    <w:rsid w:val="00687D28"/>
    <w:rsid w:val="00687EC6"/>
    <w:rsid w:val="00690AC8"/>
    <w:rsid w:val="00690CCF"/>
    <w:rsid w:val="00690E24"/>
    <w:rsid w:val="00691626"/>
    <w:rsid w:val="006936CD"/>
    <w:rsid w:val="0069391C"/>
    <w:rsid w:val="00693EA8"/>
    <w:rsid w:val="00694430"/>
    <w:rsid w:val="0069493D"/>
    <w:rsid w:val="00694C13"/>
    <w:rsid w:val="00694FF9"/>
    <w:rsid w:val="0069620B"/>
    <w:rsid w:val="00696363"/>
    <w:rsid w:val="0069659F"/>
    <w:rsid w:val="00696801"/>
    <w:rsid w:val="0069758F"/>
    <w:rsid w:val="006978DB"/>
    <w:rsid w:val="00697989"/>
    <w:rsid w:val="006979EF"/>
    <w:rsid w:val="006A049D"/>
    <w:rsid w:val="006A0623"/>
    <w:rsid w:val="006A12AE"/>
    <w:rsid w:val="006A12E9"/>
    <w:rsid w:val="006A1BC6"/>
    <w:rsid w:val="006A272F"/>
    <w:rsid w:val="006A2842"/>
    <w:rsid w:val="006A2B81"/>
    <w:rsid w:val="006A393F"/>
    <w:rsid w:val="006A4443"/>
    <w:rsid w:val="006A54EF"/>
    <w:rsid w:val="006A58A2"/>
    <w:rsid w:val="006A5A39"/>
    <w:rsid w:val="006A5C7F"/>
    <w:rsid w:val="006A6263"/>
    <w:rsid w:val="006A6484"/>
    <w:rsid w:val="006A652E"/>
    <w:rsid w:val="006A7EA3"/>
    <w:rsid w:val="006B022C"/>
    <w:rsid w:val="006B07D8"/>
    <w:rsid w:val="006B0CEB"/>
    <w:rsid w:val="006B13C1"/>
    <w:rsid w:val="006B1707"/>
    <w:rsid w:val="006B2194"/>
    <w:rsid w:val="006B2489"/>
    <w:rsid w:val="006B3215"/>
    <w:rsid w:val="006B3348"/>
    <w:rsid w:val="006B3448"/>
    <w:rsid w:val="006B4346"/>
    <w:rsid w:val="006B4F5C"/>
    <w:rsid w:val="006B5062"/>
    <w:rsid w:val="006B50A3"/>
    <w:rsid w:val="006B5725"/>
    <w:rsid w:val="006B6BDE"/>
    <w:rsid w:val="006B6CBE"/>
    <w:rsid w:val="006B71E4"/>
    <w:rsid w:val="006B721D"/>
    <w:rsid w:val="006C00B5"/>
    <w:rsid w:val="006C04B0"/>
    <w:rsid w:val="006C062E"/>
    <w:rsid w:val="006C1170"/>
    <w:rsid w:val="006C17D4"/>
    <w:rsid w:val="006C1D88"/>
    <w:rsid w:val="006C2506"/>
    <w:rsid w:val="006C2793"/>
    <w:rsid w:val="006C2952"/>
    <w:rsid w:val="006C3343"/>
    <w:rsid w:val="006C348B"/>
    <w:rsid w:val="006C34C1"/>
    <w:rsid w:val="006C374C"/>
    <w:rsid w:val="006C441B"/>
    <w:rsid w:val="006C4B43"/>
    <w:rsid w:val="006C4E73"/>
    <w:rsid w:val="006C4EB7"/>
    <w:rsid w:val="006C5014"/>
    <w:rsid w:val="006C565B"/>
    <w:rsid w:val="006C5D35"/>
    <w:rsid w:val="006C6470"/>
    <w:rsid w:val="006C75FA"/>
    <w:rsid w:val="006C7FAC"/>
    <w:rsid w:val="006D002D"/>
    <w:rsid w:val="006D0421"/>
    <w:rsid w:val="006D047B"/>
    <w:rsid w:val="006D0655"/>
    <w:rsid w:val="006D1D18"/>
    <w:rsid w:val="006D2594"/>
    <w:rsid w:val="006D2BD4"/>
    <w:rsid w:val="006D3530"/>
    <w:rsid w:val="006D3BF4"/>
    <w:rsid w:val="006D407D"/>
    <w:rsid w:val="006D4721"/>
    <w:rsid w:val="006D477F"/>
    <w:rsid w:val="006D47BC"/>
    <w:rsid w:val="006D4ACA"/>
    <w:rsid w:val="006D4F07"/>
    <w:rsid w:val="006D5843"/>
    <w:rsid w:val="006D6871"/>
    <w:rsid w:val="006D6CA2"/>
    <w:rsid w:val="006D71D3"/>
    <w:rsid w:val="006E02F2"/>
    <w:rsid w:val="006E1FB4"/>
    <w:rsid w:val="006E23E0"/>
    <w:rsid w:val="006E24D7"/>
    <w:rsid w:val="006E3415"/>
    <w:rsid w:val="006E3962"/>
    <w:rsid w:val="006E3A8F"/>
    <w:rsid w:val="006E464C"/>
    <w:rsid w:val="006E4970"/>
    <w:rsid w:val="006E4A6B"/>
    <w:rsid w:val="006E4CCB"/>
    <w:rsid w:val="006E4CCC"/>
    <w:rsid w:val="006E516B"/>
    <w:rsid w:val="006E64FC"/>
    <w:rsid w:val="006E6536"/>
    <w:rsid w:val="006E6A28"/>
    <w:rsid w:val="006E78A4"/>
    <w:rsid w:val="006E7A04"/>
    <w:rsid w:val="006F065D"/>
    <w:rsid w:val="006F0C10"/>
    <w:rsid w:val="006F14B1"/>
    <w:rsid w:val="006F290B"/>
    <w:rsid w:val="006F29B4"/>
    <w:rsid w:val="006F3C48"/>
    <w:rsid w:val="006F533D"/>
    <w:rsid w:val="006F6D3E"/>
    <w:rsid w:val="006F6DDA"/>
    <w:rsid w:val="006F7041"/>
    <w:rsid w:val="006F726F"/>
    <w:rsid w:val="006F7BBD"/>
    <w:rsid w:val="0070068B"/>
    <w:rsid w:val="00700990"/>
    <w:rsid w:val="00700CF4"/>
    <w:rsid w:val="007016BE"/>
    <w:rsid w:val="007025A3"/>
    <w:rsid w:val="00702A5C"/>
    <w:rsid w:val="007030B9"/>
    <w:rsid w:val="00703181"/>
    <w:rsid w:val="00703505"/>
    <w:rsid w:val="00703B08"/>
    <w:rsid w:val="007042E7"/>
    <w:rsid w:val="007044EC"/>
    <w:rsid w:val="00704571"/>
    <w:rsid w:val="007048F0"/>
    <w:rsid w:val="00705362"/>
    <w:rsid w:val="0070604E"/>
    <w:rsid w:val="00706DF0"/>
    <w:rsid w:val="0070718C"/>
    <w:rsid w:val="00710339"/>
    <w:rsid w:val="00710630"/>
    <w:rsid w:val="00711526"/>
    <w:rsid w:val="0071165C"/>
    <w:rsid w:val="00711CAD"/>
    <w:rsid w:val="0071201B"/>
    <w:rsid w:val="007128F7"/>
    <w:rsid w:val="0071320C"/>
    <w:rsid w:val="0071356F"/>
    <w:rsid w:val="00714166"/>
    <w:rsid w:val="007153F0"/>
    <w:rsid w:val="007154CF"/>
    <w:rsid w:val="007159A1"/>
    <w:rsid w:val="007167FF"/>
    <w:rsid w:val="00716812"/>
    <w:rsid w:val="00716C0F"/>
    <w:rsid w:val="007171DB"/>
    <w:rsid w:val="00717651"/>
    <w:rsid w:val="0071796A"/>
    <w:rsid w:val="00717A8D"/>
    <w:rsid w:val="00717BF6"/>
    <w:rsid w:val="00717C21"/>
    <w:rsid w:val="00717F9F"/>
    <w:rsid w:val="00720493"/>
    <w:rsid w:val="00720B9E"/>
    <w:rsid w:val="00721887"/>
    <w:rsid w:val="00721962"/>
    <w:rsid w:val="00721CC5"/>
    <w:rsid w:val="00721D7F"/>
    <w:rsid w:val="00721DE0"/>
    <w:rsid w:val="007224ED"/>
    <w:rsid w:val="00722FD8"/>
    <w:rsid w:val="0072366C"/>
    <w:rsid w:val="00724291"/>
    <w:rsid w:val="00724D0C"/>
    <w:rsid w:val="0072590A"/>
    <w:rsid w:val="00725996"/>
    <w:rsid w:val="00726886"/>
    <w:rsid w:val="0072724E"/>
    <w:rsid w:val="00727381"/>
    <w:rsid w:val="00727924"/>
    <w:rsid w:val="00730896"/>
    <w:rsid w:val="007314BA"/>
    <w:rsid w:val="007319B3"/>
    <w:rsid w:val="00732A2D"/>
    <w:rsid w:val="00732D06"/>
    <w:rsid w:val="00733E70"/>
    <w:rsid w:val="00733FFC"/>
    <w:rsid w:val="0073438B"/>
    <w:rsid w:val="007343F1"/>
    <w:rsid w:val="00734428"/>
    <w:rsid w:val="007347C7"/>
    <w:rsid w:val="0073490E"/>
    <w:rsid w:val="0073536C"/>
    <w:rsid w:val="007359A2"/>
    <w:rsid w:val="007360A9"/>
    <w:rsid w:val="0073699B"/>
    <w:rsid w:val="0073710F"/>
    <w:rsid w:val="00737362"/>
    <w:rsid w:val="00737753"/>
    <w:rsid w:val="007409AA"/>
    <w:rsid w:val="00740E1B"/>
    <w:rsid w:val="00740EE3"/>
    <w:rsid w:val="007411F0"/>
    <w:rsid w:val="007411F4"/>
    <w:rsid w:val="007413BF"/>
    <w:rsid w:val="00741968"/>
    <w:rsid w:val="00741BDD"/>
    <w:rsid w:val="007423E9"/>
    <w:rsid w:val="007438D0"/>
    <w:rsid w:val="00743A58"/>
    <w:rsid w:val="00743D1C"/>
    <w:rsid w:val="00743D29"/>
    <w:rsid w:val="0074406C"/>
    <w:rsid w:val="00744146"/>
    <w:rsid w:val="00744B1B"/>
    <w:rsid w:val="00745153"/>
    <w:rsid w:val="00745844"/>
    <w:rsid w:val="007460ED"/>
    <w:rsid w:val="0074661C"/>
    <w:rsid w:val="00746A2F"/>
    <w:rsid w:val="007472EF"/>
    <w:rsid w:val="00747669"/>
    <w:rsid w:val="0074771E"/>
    <w:rsid w:val="00751097"/>
    <w:rsid w:val="007519F6"/>
    <w:rsid w:val="00751E1F"/>
    <w:rsid w:val="0075296E"/>
    <w:rsid w:val="00752F33"/>
    <w:rsid w:val="0075319C"/>
    <w:rsid w:val="007531A5"/>
    <w:rsid w:val="007535E3"/>
    <w:rsid w:val="00753FCB"/>
    <w:rsid w:val="007542B1"/>
    <w:rsid w:val="00754A0F"/>
    <w:rsid w:val="007550FE"/>
    <w:rsid w:val="00755EE8"/>
    <w:rsid w:val="0075603B"/>
    <w:rsid w:val="00756609"/>
    <w:rsid w:val="007566A7"/>
    <w:rsid w:val="007567D2"/>
    <w:rsid w:val="00756E30"/>
    <w:rsid w:val="0075707E"/>
    <w:rsid w:val="00757941"/>
    <w:rsid w:val="007615C0"/>
    <w:rsid w:val="00762FCA"/>
    <w:rsid w:val="007639A5"/>
    <w:rsid w:val="00763EE9"/>
    <w:rsid w:val="00764375"/>
    <w:rsid w:val="007653BF"/>
    <w:rsid w:val="00765630"/>
    <w:rsid w:val="00765919"/>
    <w:rsid w:val="007661BB"/>
    <w:rsid w:val="0076653E"/>
    <w:rsid w:val="00766647"/>
    <w:rsid w:val="0076786D"/>
    <w:rsid w:val="007700F8"/>
    <w:rsid w:val="0077094D"/>
    <w:rsid w:val="00770E63"/>
    <w:rsid w:val="00772964"/>
    <w:rsid w:val="00774469"/>
    <w:rsid w:val="00774752"/>
    <w:rsid w:val="00774913"/>
    <w:rsid w:val="00775291"/>
    <w:rsid w:val="0077594E"/>
    <w:rsid w:val="00775FB9"/>
    <w:rsid w:val="00776268"/>
    <w:rsid w:val="00777495"/>
    <w:rsid w:val="0078016F"/>
    <w:rsid w:val="007804B1"/>
    <w:rsid w:val="007805EC"/>
    <w:rsid w:val="007807E9"/>
    <w:rsid w:val="007808A4"/>
    <w:rsid w:val="00780928"/>
    <w:rsid w:val="00780B0E"/>
    <w:rsid w:val="00781689"/>
    <w:rsid w:val="00782394"/>
    <w:rsid w:val="00782848"/>
    <w:rsid w:val="007829B1"/>
    <w:rsid w:val="00782C5A"/>
    <w:rsid w:val="007834C1"/>
    <w:rsid w:val="00783873"/>
    <w:rsid w:val="007847D1"/>
    <w:rsid w:val="00784924"/>
    <w:rsid w:val="00785B0C"/>
    <w:rsid w:val="00785D82"/>
    <w:rsid w:val="00785DE4"/>
    <w:rsid w:val="0078647B"/>
    <w:rsid w:val="00786ED4"/>
    <w:rsid w:val="0078716F"/>
    <w:rsid w:val="00787256"/>
    <w:rsid w:val="007873C8"/>
    <w:rsid w:val="0078793D"/>
    <w:rsid w:val="00787F80"/>
    <w:rsid w:val="00790F50"/>
    <w:rsid w:val="00791374"/>
    <w:rsid w:val="0079263D"/>
    <w:rsid w:val="00792B66"/>
    <w:rsid w:val="0079352C"/>
    <w:rsid w:val="007937E7"/>
    <w:rsid w:val="00793B34"/>
    <w:rsid w:val="00793B84"/>
    <w:rsid w:val="00793D87"/>
    <w:rsid w:val="00794795"/>
    <w:rsid w:val="007949E6"/>
    <w:rsid w:val="00794CC2"/>
    <w:rsid w:val="00794D98"/>
    <w:rsid w:val="00794F29"/>
    <w:rsid w:val="00795A2A"/>
    <w:rsid w:val="00795E7E"/>
    <w:rsid w:val="007964B5"/>
    <w:rsid w:val="007972FB"/>
    <w:rsid w:val="007977AD"/>
    <w:rsid w:val="007A02BC"/>
    <w:rsid w:val="007A099F"/>
    <w:rsid w:val="007A0ADA"/>
    <w:rsid w:val="007A0F0F"/>
    <w:rsid w:val="007A16EB"/>
    <w:rsid w:val="007A17E2"/>
    <w:rsid w:val="007A26C4"/>
    <w:rsid w:val="007A2742"/>
    <w:rsid w:val="007A2790"/>
    <w:rsid w:val="007A2F96"/>
    <w:rsid w:val="007A33C4"/>
    <w:rsid w:val="007A49D9"/>
    <w:rsid w:val="007A5620"/>
    <w:rsid w:val="007B01E7"/>
    <w:rsid w:val="007B0810"/>
    <w:rsid w:val="007B0DC2"/>
    <w:rsid w:val="007B104F"/>
    <w:rsid w:val="007B120B"/>
    <w:rsid w:val="007B1418"/>
    <w:rsid w:val="007B1C29"/>
    <w:rsid w:val="007B2177"/>
    <w:rsid w:val="007B2687"/>
    <w:rsid w:val="007B2FF1"/>
    <w:rsid w:val="007B3584"/>
    <w:rsid w:val="007B3BDC"/>
    <w:rsid w:val="007B3F86"/>
    <w:rsid w:val="007B41BE"/>
    <w:rsid w:val="007B482A"/>
    <w:rsid w:val="007B52BB"/>
    <w:rsid w:val="007B56E1"/>
    <w:rsid w:val="007B5C49"/>
    <w:rsid w:val="007B71D9"/>
    <w:rsid w:val="007B7BB1"/>
    <w:rsid w:val="007C0B47"/>
    <w:rsid w:val="007C1229"/>
    <w:rsid w:val="007C17AB"/>
    <w:rsid w:val="007C1DFF"/>
    <w:rsid w:val="007C1E1D"/>
    <w:rsid w:val="007C2145"/>
    <w:rsid w:val="007C21A1"/>
    <w:rsid w:val="007C2349"/>
    <w:rsid w:val="007C2A41"/>
    <w:rsid w:val="007C377C"/>
    <w:rsid w:val="007C378F"/>
    <w:rsid w:val="007C3815"/>
    <w:rsid w:val="007C3B7F"/>
    <w:rsid w:val="007C5B20"/>
    <w:rsid w:val="007C65FA"/>
    <w:rsid w:val="007C685F"/>
    <w:rsid w:val="007C7F59"/>
    <w:rsid w:val="007D069C"/>
    <w:rsid w:val="007D090A"/>
    <w:rsid w:val="007D1AFD"/>
    <w:rsid w:val="007D1E73"/>
    <w:rsid w:val="007D23C4"/>
    <w:rsid w:val="007D2FC8"/>
    <w:rsid w:val="007D310A"/>
    <w:rsid w:val="007D408D"/>
    <w:rsid w:val="007D4CA7"/>
    <w:rsid w:val="007D4CD5"/>
    <w:rsid w:val="007D52A7"/>
    <w:rsid w:val="007D5BD5"/>
    <w:rsid w:val="007D619D"/>
    <w:rsid w:val="007D658F"/>
    <w:rsid w:val="007D6B04"/>
    <w:rsid w:val="007D6D6F"/>
    <w:rsid w:val="007D6E6D"/>
    <w:rsid w:val="007D6F1A"/>
    <w:rsid w:val="007D6F5D"/>
    <w:rsid w:val="007D7604"/>
    <w:rsid w:val="007D7729"/>
    <w:rsid w:val="007D7AA9"/>
    <w:rsid w:val="007D7F8B"/>
    <w:rsid w:val="007E075D"/>
    <w:rsid w:val="007E0803"/>
    <w:rsid w:val="007E0D86"/>
    <w:rsid w:val="007E170B"/>
    <w:rsid w:val="007E1720"/>
    <w:rsid w:val="007E18BA"/>
    <w:rsid w:val="007E18FA"/>
    <w:rsid w:val="007E1DF2"/>
    <w:rsid w:val="007E2170"/>
    <w:rsid w:val="007E2888"/>
    <w:rsid w:val="007E2BA4"/>
    <w:rsid w:val="007E32D4"/>
    <w:rsid w:val="007E3514"/>
    <w:rsid w:val="007E3829"/>
    <w:rsid w:val="007E402B"/>
    <w:rsid w:val="007E495E"/>
    <w:rsid w:val="007E5FF3"/>
    <w:rsid w:val="007E6257"/>
    <w:rsid w:val="007E65FE"/>
    <w:rsid w:val="007E6782"/>
    <w:rsid w:val="007E6B64"/>
    <w:rsid w:val="007E6F9A"/>
    <w:rsid w:val="007E7679"/>
    <w:rsid w:val="007E7683"/>
    <w:rsid w:val="007E79F5"/>
    <w:rsid w:val="007E7AF0"/>
    <w:rsid w:val="007F02BF"/>
    <w:rsid w:val="007F10B5"/>
    <w:rsid w:val="007F10D0"/>
    <w:rsid w:val="007F1BC2"/>
    <w:rsid w:val="007F1C7A"/>
    <w:rsid w:val="007F1CCC"/>
    <w:rsid w:val="007F25B4"/>
    <w:rsid w:val="007F2C38"/>
    <w:rsid w:val="007F2EFF"/>
    <w:rsid w:val="007F3244"/>
    <w:rsid w:val="007F3395"/>
    <w:rsid w:val="007F3683"/>
    <w:rsid w:val="007F39D7"/>
    <w:rsid w:val="007F3A04"/>
    <w:rsid w:val="007F48F6"/>
    <w:rsid w:val="007F51FF"/>
    <w:rsid w:val="007F5557"/>
    <w:rsid w:val="007F57D6"/>
    <w:rsid w:val="007F5CD4"/>
    <w:rsid w:val="007F61AB"/>
    <w:rsid w:val="007F61E2"/>
    <w:rsid w:val="007F6460"/>
    <w:rsid w:val="007F6C16"/>
    <w:rsid w:val="007F730F"/>
    <w:rsid w:val="007F7527"/>
    <w:rsid w:val="007F7563"/>
    <w:rsid w:val="007F7A54"/>
    <w:rsid w:val="007F7AB8"/>
    <w:rsid w:val="00800125"/>
    <w:rsid w:val="0080026A"/>
    <w:rsid w:val="00800FCD"/>
    <w:rsid w:val="00801057"/>
    <w:rsid w:val="00801387"/>
    <w:rsid w:val="00801BFF"/>
    <w:rsid w:val="0080250E"/>
    <w:rsid w:val="0080281E"/>
    <w:rsid w:val="0080288E"/>
    <w:rsid w:val="00803DDF"/>
    <w:rsid w:val="00804C27"/>
    <w:rsid w:val="00805261"/>
    <w:rsid w:val="0080563D"/>
    <w:rsid w:val="008056BE"/>
    <w:rsid w:val="00805F75"/>
    <w:rsid w:val="00806071"/>
    <w:rsid w:val="00807692"/>
    <w:rsid w:val="00807C1B"/>
    <w:rsid w:val="00807E3E"/>
    <w:rsid w:val="00810489"/>
    <w:rsid w:val="00810B18"/>
    <w:rsid w:val="00810D65"/>
    <w:rsid w:val="00811026"/>
    <w:rsid w:val="0081143A"/>
    <w:rsid w:val="00811982"/>
    <w:rsid w:val="00811B7A"/>
    <w:rsid w:val="00811E77"/>
    <w:rsid w:val="0081206F"/>
    <w:rsid w:val="00812638"/>
    <w:rsid w:val="00812656"/>
    <w:rsid w:val="00812720"/>
    <w:rsid w:val="00812AE2"/>
    <w:rsid w:val="00812CD4"/>
    <w:rsid w:val="0081303A"/>
    <w:rsid w:val="0081342A"/>
    <w:rsid w:val="00814892"/>
    <w:rsid w:val="00814D78"/>
    <w:rsid w:val="00815167"/>
    <w:rsid w:val="008151B0"/>
    <w:rsid w:val="00815F87"/>
    <w:rsid w:val="00816744"/>
    <w:rsid w:val="0081696D"/>
    <w:rsid w:val="00816B36"/>
    <w:rsid w:val="00817452"/>
    <w:rsid w:val="0081758D"/>
    <w:rsid w:val="00817C39"/>
    <w:rsid w:val="00817C8A"/>
    <w:rsid w:val="0082098B"/>
    <w:rsid w:val="00821601"/>
    <w:rsid w:val="00821923"/>
    <w:rsid w:val="00821E84"/>
    <w:rsid w:val="00822005"/>
    <w:rsid w:val="0082256B"/>
    <w:rsid w:val="00822609"/>
    <w:rsid w:val="00822B0C"/>
    <w:rsid w:val="00822C45"/>
    <w:rsid w:val="00822F66"/>
    <w:rsid w:val="00823764"/>
    <w:rsid w:val="008241E4"/>
    <w:rsid w:val="00824394"/>
    <w:rsid w:val="00824912"/>
    <w:rsid w:val="00824F1A"/>
    <w:rsid w:val="00825B07"/>
    <w:rsid w:val="008265E8"/>
    <w:rsid w:val="00826634"/>
    <w:rsid w:val="00826C0C"/>
    <w:rsid w:val="0082711A"/>
    <w:rsid w:val="00827E75"/>
    <w:rsid w:val="00830810"/>
    <w:rsid w:val="008309CF"/>
    <w:rsid w:val="00830AF8"/>
    <w:rsid w:val="00830B5F"/>
    <w:rsid w:val="00830DC0"/>
    <w:rsid w:val="00831427"/>
    <w:rsid w:val="00831C09"/>
    <w:rsid w:val="00831C68"/>
    <w:rsid w:val="008322FB"/>
    <w:rsid w:val="0083272D"/>
    <w:rsid w:val="00832E6A"/>
    <w:rsid w:val="0083351E"/>
    <w:rsid w:val="00833E4E"/>
    <w:rsid w:val="0083473D"/>
    <w:rsid w:val="00834AF4"/>
    <w:rsid w:val="00834BEC"/>
    <w:rsid w:val="00834D47"/>
    <w:rsid w:val="00834DC9"/>
    <w:rsid w:val="00835389"/>
    <w:rsid w:val="00835459"/>
    <w:rsid w:val="008356D1"/>
    <w:rsid w:val="008358DA"/>
    <w:rsid w:val="00836F1C"/>
    <w:rsid w:val="00837060"/>
    <w:rsid w:val="008373F3"/>
    <w:rsid w:val="00837C5C"/>
    <w:rsid w:val="00840350"/>
    <w:rsid w:val="00840409"/>
    <w:rsid w:val="0084055F"/>
    <w:rsid w:val="0084098C"/>
    <w:rsid w:val="008411FD"/>
    <w:rsid w:val="0084138C"/>
    <w:rsid w:val="00842584"/>
    <w:rsid w:val="008429DB"/>
    <w:rsid w:val="00842BA8"/>
    <w:rsid w:val="0084324E"/>
    <w:rsid w:val="00844B2A"/>
    <w:rsid w:val="00844ED2"/>
    <w:rsid w:val="0084562E"/>
    <w:rsid w:val="008470E8"/>
    <w:rsid w:val="0084736D"/>
    <w:rsid w:val="008479BC"/>
    <w:rsid w:val="00847C79"/>
    <w:rsid w:val="00850A19"/>
    <w:rsid w:val="00850AFC"/>
    <w:rsid w:val="00850C7E"/>
    <w:rsid w:val="0085106C"/>
    <w:rsid w:val="008514EC"/>
    <w:rsid w:val="00851F31"/>
    <w:rsid w:val="0085233E"/>
    <w:rsid w:val="008524F7"/>
    <w:rsid w:val="00852A9A"/>
    <w:rsid w:val="00852F34"/>
    <w:rsid w:val="008534FA"/>
    <w:rsid w:val="00853616"/>
    <w:rsid w:val="00853704"/>
    <w:rsid w:val="00853C23"/>
    <w:rsid w:val="00853EFD"/>
    <w:rsid w:val="0085413E"/>
    <w:rsid w:val="00854674"/>
    <w:rsid w:val="00854784"/>
    <w:rsid w:val="00854C8E"/>
    <w:rsid w:val="008557F4"/>
    <w:rsid w:val="00856542"/>
    <w:rsid w:val="00856B56"/>
    <w:rsid w:val="0085729A"/>
    <w:rsid w:val="008575ED"/>
    <w:rsid w:val="00857A8B"/>
    <w:rsid w:val="00857F3D"/>
    <w:rsid w:val="00860F08"/>
    <w:rsid w:val="008611C8"/>
    <w:rsid w:val="008612F5"/>
    <w:rsid w:val="00861376"/>
    <w:rsid w:val="00861D5B"/>
    <w:rsid w:val="00861E55"/>
    <w:rsid w:val="00861F9D"/>
    <w:rsid w:val="00862B4C"/>
    <w:rsid w:val="0086307F"/>
    <w:rsid w:val="008639AD"/>
    <w:rsid w:val="00863C1F"/>
    <w:rsid w:val="00863E22"/>
    <w:rsid w:val="0086425E"/>
    <w:rsid w:val="00866BCC"/>
    <w:rsid w:val="00870856"/>
    <w:rsid w:val="00870F6E"/>
    <w:rsid w:val="0087157B"/>
    <w:rsid w:val="00871C4C"/>
    <w:rsid w:val="00871E03"/>
    <w:rsid w:val="00873845"/>
    <w:rsid w:val="008748D1"/>
    <w:rsid w:val="00874E52"/>
    <w:rsid w:val="00876400"/>
    <w:rsid w:val="00876522"/>
    <w:rsid w:val="00876AE3"/>
    <w:rsid w:val="008775DB"/>
    <w:rsid w:val="00877B07"/>
    <w:rsid w:val="00877B7A"/>
    <w:rsid w:val="00880EFA"/>
    <w:rsid w:val="00881EBC"/>
    <w:rsid w:val="0088248D"/>
    <w:rsid w:val="008828DF"/>
    <w:rsid w:val="00882C23"/>
    <w:rsid w:val="00882E91"/>
    <w:rsid w:val="00882EA8"/>
    <w:rsid w:val="00883EE1"/>
    <w:rsid w:val="0088421A"/>
    <w:rsid w:val="00884ED2"/>
    <w:rsid w:val="00885317"/>
    <w:rsid w:val="0088567D"/>
    <w:rsid w:val="00885D0E"/>
    <w:rsid w:val="008863EC"/>
    <w:rsid w:val="008865CF"/>
    <w:rsid w:val="00886995"/>
    <w:rsid w:val="00887227"/>
    <w:rsid w:val="008900AA"/>
    <w:rsid w:val="00890211"/>
    <w:rsid w:val="00890427"/>
    <w:rsid w:val="008905B4"/>
    <w:rsid w:val="0089096B"/>
    <w:rsid w:val="008919D4"/>
    <w:rsid w:val="00892157"/>
    <w:rsid w:val="0089225A"/>
    <w:rsid w:val="00892AC0"/>
    <w:rsid w:val="008934FE"/>
    <w:rsid w:val="00893B5D"/>
    <w:rsid w:val="00893E2F"/>
    <w:rsid w:val="008944DB"/>
    <w:rsid w:val="00895260"/>
    <w:rsid w:val="00895570"/>
    <w:rsid w:val="0089594E"/>
    <w:rsid w:val="008968C4"/>
    <w:rsid w:val="00896E93"/>
    <w:rsid w:val="00897463"/>
    <w:rsid w:val="0089753B"/>
    <w:rsid w:val="00897911"/>
    <w:rsid w:val="00897B11"/>
    <w:rsid w:val="008A03BE"/>
    <w:rsid w:val="008A0FD5"/>
    <w:rsid w:val="008A100E"/>
    <w:rsid w:val="008A10EF"/>
    <w:rsid w:val="008A17AC"/>
    <w:rsid w:val="008A1C8E"/>
    <w:rsid w:val="008A2377"/>
    <w:rsid w:val="008A2A21"/>
    <w:rsid w:val="008A2E17"/>
    <w:rsid w:val="008A344E"/>
    <w:rsid w:val="008A3721"/>
    <w:rsid w:val="008A382F"/>
    <w:rsid w:val="008A39A0"/>
    <w:rsid w:val="008A39AD"/>
    <w:rsid w:val="008A3DB6"/>
    <w:rsid w:val="008A4715"/>
    <w:rsid w:val="008A56ED"/>
    <w:rsid w:val="008A5BE4"/>
    <w:rsid w:val="008A5F0F"/>
    <w:rsid w:val="008A7E3B"/>
    <w:rsid w:val="008B0364"/>
    <w:rsid w:val="008B0379"/>
    <w:rsid w:val="008B0D70"/>
    <w:rsid w:val="008B0EA7"/>
    <w:rsid w:val="008B18C5"/>
    <w:rsid w:val="008B256F"/>
    <w:rsid w:val="008B480A"/>
    <w:rsid w:val="008B4F76"/>
    <w:rsid w:val="008B58D9"/>
    <w:rsid w:val="008B64DC"/>
    <w:rsid w:val="008B6AFD"/>
    <w:rsid w:val="008B6B42"/>
    <w:rsid w:val="008B70D9"/>
    <w:rsid w:val="008B7236"/>
    <w:rsid w:val="008C0396"/>
    <w:rsid w:val="008C07A9"/>
    <w:rsid w:val="008C0944"/>
    <w:rsid w:val="008C0A39"/>
    <w:rsid w:val="008C1814"/>
    <w:rsid w:val="008C18D1"/>
    <w:rsid w:val="008C3CCC"/>
    <w:rsid w:val="008C4084"/>
    <w:rsid w:val="008C4116"/>
    <w:rsid w:val="008C4162"/>
    <w:rsid w:val="008C43A5"/>
    <w:rsid w:val="008C5C81"/>
    <w:rsid w:val="008C5CDF"/>
    <w:rsid w:val="008C6580"/>
    <w:rsid w:val="008C66A9"/>
    <w:rsid w:val="008C7162"/>
    <w:rsid w:val="008C7375"/>
    <w:rsid w:val="008C79F3"/>
    <w:rsid w:val="008D021C"/>
    <w:rsid w:val="008D0267"/>
    <w:rsid w:val="008D04D0"/>
    <w:rsid w:val="008D1097"/>
    <w:rsid w:val="008D11A8"/>
    <w:rsid w:val="008D1417"/>
    <w:rsid w:val="008D1DF5"/>
    <w:rsid w:val="008D1F27"/>
    <w:rsid w:val="008D2EFD"/>
    <w:rsid w:val="008D2F95"/>
    <w:rsid w:val="008D384C"/>
    <w:rsid w:val="008D3EF5"/>
    <w:rsid w:val="008D43B3"/>
    <w:rsid w:val="008D483E"/>
    <w:rsid w:val="008D4B98"/>
    <w:rsid w:val="008D4BD7"/>
    <w:rsid w:val="008D5469"/>
    <w:rsid w:val="008D56F1"/>
    <w:rsid w:val="008D62B4"/>
    <w:rsid w:val="008D6375"/>
    <w:rsid w:val="008D7D36"/>
    <w:rsid w:val="008E02E0"/>
    <w:rsid w:val="008E0670"/>
    <w:rsid w:val="008E114F"/>
    <w:rsid w:val="008E1153"/>
    <w:rsid w:val="008E1D76"/>
    <w:rsid w:val="008E2594"/>
    <w:rsid w:val="008E2DD0"/>
    <w:rsid w:val="008E3455"/>
    <w:rsid w:val="008E3BFB"/>
    <w:rsid w:val="008E4349"/>
    <w:rsid w:val="008E50BD"/>
    <w:rsid w:val="008E52DB"/>
    <w:rsid w:val="008E5755"/>
    <w:rsid w:val="008E5A64"/>
    <w:rsid w:val="008E6356"/>
    <w:rsid w:val="008E6529"/>
    <w:rsid w:val="008E664D"/>
    <w:rsid w:val="008E6C51"/>
    <w:rsid w:val="008E6F7A"/>
    <w:rsid w:val="008E7734"/>
    <w:rsid w:val="008F04B2"/>
    <w:rsid w:val="008F07ED"/>
    <w:rsid w:val="008F142D"/>
    <w:rsid w:val="008F1674"/>
    <w:rsid w:val="008F192D"/>
    <w:rsid w:val="008F2699"/>
    <w:rsid w:val="008F345A"/>
    <w:rsid w:val="008F3FE5"/>
    <w:rsid w:val="008F42D7"/>
    <w:rsid w:val="008F4382"/>
    <w:rsid w:val="008F4CE7"/>
    <w:rsid w:val="008F4E16"/>
    <w:rsid w:val="008F5536"/>
    <w:rsid w:val="008F6537"/>
    <w:rsid w:val="00900416"/>
    <w:rsid w:val="00900590"/>
    <w:rsid w:val="00901459"/>
    <w:rsid w:val="00901C47"/>
    <w:rsid w:val="0090328B"/>
    <w:rsid w:val="009032E9"/>
    <w:rsid w:val="00903D57"/>
    <w:rsid w:val="00903EFE"/>
    <w:rsid w:val="009040EB"/>
    <w:rsid w:val="0090437C"/>
    <w:rsid w:val="0090472D"/>
    <w:rsid w:val="0090518E"/>
    <w:rsid w:val="0090563D"/>
    <w:rsid w:val="00906EF4"/>
    <w:rsid w:val="00907057"/>
    <w:rsid w:val="00910287"/>
    <w:rsid w:val="00910D9D"/>
    <w:rsid w:val="00910F33"/>
    <w:rsid w:val="009110BA"/>
    <w:rsid w:val="00911691"/>
    <w:rsid w:val="009118B0"/>
    <w:rsid w:val="00912000"/>
    <w:rsid w:val="009120D7"/>
    <w:rsid w:val="009124E6"/>
    <w:rsid w:val="00913944"/>
    <w:rsid w:val="00913EF4"/>
    <w:rsid w:val="00915B92"/>
    <w:rsid w:val="00916440"/>
    <w:rsid w:val="00916748"/>
    <w:rsid w:val="00917332"/>
    <w:rsid w:val="009177FA"/>
    <w:rsid w:val="009202C5"/>
    <w:rsid w:val="009205FD"/>
    <w:rsid w:val="00920773"/>
    <w:rsid w:val="009209C5"/>
    <w:rsid w:val="00921817"/>
    <w:rsid w:val="00922327"/>
    <w:rsid w:val="0092265F"/>
    <w:rsid w:val="00922F1A"/>
    <w:rsid w:val="0092359E"/>
    <w:rsid w:val="00923EA0"/>
    <w:rsid w:val="0092474D"/>
    <w:rsid w:val="00924C0E"/>
    <w:rsid w:val="00925637"/>
    <w:rsid w:val="0092598F"/>
    <w:rsid w:val="00925FF9"/>
    <w:rsid w:val="009265E4"/>
    <w:rsid w:val="00927BAA"/>
    <w:rsid w:val="00927E94"/>
    <w:rsid w:val="009305AF"/>
    <w:rsid w:val="00930743"/>
    <w:rsid w:val="00930B6B"/>
    <w:rsid w:val="00931282"/>
    <w:rsid w:val="00931457"/>
    <w:rsid w:val="009315B3"/>
    <w:rsid w:val="0093167B"/>
    <w:rsid w:val="0093175E"/>
    <w:rsid w:val="00931B23"/>
    <w:rsid w:val="00932333"/>
    <w:rsid w:val="00932567"/>
    <w:rsid w:val="009326C6"/>
    <w:rsid w:val="00933665"/>
    <w:rsid w:val="00933695"/>
    <w:rsid w:val="00933A7E"/>
    <w:rsid w:val="00933CF4"/>
    <w:rsid w:val="00933F52"/>
    <w:rsid w:val="009344EF"/>
    <w:rsid w:val="00934513"/>
    <w:rsid w:val="0093661E"/>
    <w:rsid w:val="00936789"/>
    <w:rsid w:val="00936E0F"/>
    <w:rsid w:val="00936EF5"/>
    <w:rsid w:val="009372E1"/>
    <w:rsid w:val="00937FBA"/>
    <w:rsid w:val="009417AC"/>
    <w:rsid w:val="00942550"/>
    <w:rsid w:val="0094325C"/>
    <w:rsid w:val="00945766"/>
    <w:rsid w:val="009457AC"/>
    <w:rsid w:val="00945B1E"/>
    <w:rsid w:val="0094609D"/>
    <w:rsid w:val="00946484"/>
    <w:rsid w:val="00946970"/>
    <w:rsid w:val="00946B28"/>
    <w:rsid w:val="00947447"/>
    <w:rsid w:val="00947B1C"/>
    <w:rsid w:val="009510F9"/>
    <w:rsid w:val="009516DD"/>
    <w:rsid w:val="00951D77"/>
    <w:rsid w:val="00951F1A"/>
    <w:rsid w:val="00953586"/>
    <w:rsid w:val="0095377C"/>
    <w:rsid w:val="00953A0D"/>
    <w:rsid w:val="00954532"/>
    <w:rsid w:val="00954C5C"/>
    <w:rsid w:val="00954D4A"/>
    <w:rsid w:val="009552E3"/>
    <w:rsid w:val="00955ADE"/>
    <w:rsid w:val="00955E1B"/>
    <w:rsid w:val="00955F37"/>
    <w:rsid w:val="0095706B"/>
    <w:rsid w:val="009570F9"/>
    <w:rsid w:val="009573EB"/>
    <w:rsid w:val="009575BF"/>
    <w:rsid w:val="00957F66"/>
    <w:rsid w:val="00960092"/>
    <w:rsid w:val="00960671"/>
    <w:rsid w:val="0096083A"/>
    <w:rsid w:val="009609E5"/>
    <w:rsid w:val="009610B1"/>
    <w:rsid w:val="009618CD"/>
    <w:rsid w:val="00961F2F"/>
    <w:rsid w:val="009621E4"/>
    <w:rsid w:val="00962429"/>
    <w:rsid w:val="00963644"/>
    <w:rsid w:val="0096451A"/>
    <w:rsid w:val="00964583"/>
    <w:rsid w:val="00964775"/>
    <w:rsid w:val="00964ACE"/>
    <w:rsid w:val="009659F8"/>
    <w:rsid w:val="009660FF"/>
    <w:rsid w:val="009664CB"/>
    <w:rsid w:val="00966CC0"/>
    <w:rsid w:val="009671A1"/>
    <w:rsid w:val="0097179C"/>
    <w:rsid w:val="0097191C"/>
    <w:rsid w:val="0097198A"/>
    <w:rsid w:val="009734BF"/>
    <w:rsid w:val="00973612"/>
    <w:rsid w:val="009737F3"/>
    <w:rsid w:val="00973917"/>
    <w:rsid w:val="00973C3E"/>
    <w:rsid w:val="00974ACC"/>
    <w:rsid w:val="00974C49"/>
    <w:rsid w:val="00974EE4"/>
    <w:rsid w:val="009754CE"/>
    <w:rsid w:val="009756B6"/>
    <w:rsid w:val="00975EF7"/>
    <w:rsid w:val="00976A74"/>
    <w:rsid w:val="009774BE"/>
    <w:rsid w:val="00977A70"/>
    <w:rsid w:val="00980140"/>
    <w:rsid w:val="009801D6"/>
    <w:rsid w:val="0098027F"/>
    <w:rsid w:val="009802D1"/>
    <w:rsid w:val="0098050A"/>
    <w:rsid w:val="00980592"/>
    <w:rsid w:val="009806B0"/>
    <w:rsid w:val="009807B8"/>
    <w:rsid w:val="00981E56"/>
    <w:rsid w:val="00982064"/>
    <w:rsid w:val="00982142"/>
    <w:rsid w:val="00982639"/>
    <w:rsid w:val="00982BCF"/>
    <w:rsid w:val="00982EEA"/>
    <w:rsid w:val="00982F82"/>
    <w:rsid w:val="009831E2"/>
    <w:rsid w:val="00983255"/>
    <w:rsid w:val="00983D12"/>
    <w:rsid w:val="00983E5F"/>
    <w:rsid w:val="00985051"/>
    <w:rsid w:val="00985C80"/>
    <w:rsid w:val="00985DA2"/>
    <w:rsid w:val="0098660C"/>
    <w:rsid w:val="00986765"/>
    <w:rsid w:val="009867E7"/>
    <w:rsid w:val="00987028"/>
    <w:rsid w:val="00987DF4"/>
    <w:rsid w:val="00987FDA"/>
    <w:rsid w:val="00990175"/>
    <w:rsid w:val="00990CAE"/>
    <w:rsid w:val="00990FEA"/>
    <w:rsid w:val="009919E9"/>
    <w:rsid w:val="00991ED6"/>
    <w:rsid w:val="009920A0"/>
    <w:rsid w:val="00992E8A"/>
    <w:rsid w:val="00992E8D"/>
    <w:rsid w:val="009937FD"/>
    <w:rsid w:val="00994F4D"/>
    <w:rsid w:val="0099582B"/>
    <w:rsid w:val="00995DAF"/>
    <w:rsid w:val="00995E94"/>
    <w:rsid w:val="00995FC3"/>
    <w:rsid w:val="00996AA6"/>
    <w:rsid w:val="00997230"/>
    <w:rsid w:val="009A0274"/>
    <w:rsid w:val="009A035E"/>
    <w:rsid w:val="009A0B9D"/>
    <w:rsid w:val="009A0C64"/>
    <w:rsid w:val="009A0E15"/>
    <w:rsid w:val="009A18AB"/>
    <w:rsid w:val="009A1C75"/>
    <w:rsid w:val="009A2533"/>
    <w:rsid w:val="009A2D7C"/>
    <w:rsid w:val="009A2F67"/>
    <w:rsid w:val="009A30CD"/>
    <w:rsid w:val="009A30FE"/>
    <w:rsid w:val="009A3FE3"/>
    <w:rsid w:val="009A4644"/>
    <w:rsid w:val="009A468E"/>
    <w:rsid w:val="009A48A4"/>
    <w:rsid w:val="009A4908"/>
    <w:rsid w:val="009A4A3E"/>
    <w:rsid w:val="009A6258"/>
    <w:rsid w:val="009A6B3A"/>
    <w:rsid w:val="009A7442"/>
    <w:rsid w:val="009A76F7"/>
    <w:rsid w:val="009B01CF"/>
    <w:rsid w:val="009B02DB"/>
    <w:rsid w:val="009B0A50"/>
    <w:rsid w:val="009B1DA0"/>
    <w:rsid w:val="009B1F5D"/>
    <w:rsid w:val="009B2407"/>
    <w:rsid w:val="009B2D5B"/>
    <w:rsid w:val="009B34FC"/>
    <w:rsid w:val="009B3BEA"/>
    <w:rsid w:val="009B41BA"/>
    <w:rsid w:val="009B44F0"/>
    <w:rsid w:val="009B545D"/>
    <w:rsid w:val="009B5957"/>
    <w:rsid w:val="009B5C0B"/>
    <w:rsid w:val="009B5C8C"/>
    <w:rsid w:val="009B6013"/>
    <w:rsid w:val="009B7273"/>
    <w:rsid w:val="009B7356"/>
    <w:rsid w:val="009B76DB"/>
    <w:rsid w:val="009B7FAC"/>
    <w:rsid w:val="009C0126"/>
    <w:rsid w:val="009C03C5"/>
    <w:rsid w:val="009C0C99"/>
    <w:rsid w:val="009C1122"/>
    <w:rsid w:val="009C1840"/>
    <w:rsid w:val="009C1B99"/>
    <w:rsid w:val="009C1DC2"/>
    <w:rsid w:val="009C315D"/>
    <w:rsid w:val="009C323A"/>
    <w:rsid w:val="009C3A70"/>
    <w:rsid w:val="009C3AE8"/>
    <w:rsid w:val="009C4087"/>
    <w:rsid w:val="009C4959"/>
    <w:rsid w:val="009C4CFF"/>
    <w:rsid w:val="009C5961"/>
    <w:rsid w:val="009C6DB6"/>
    <w:rsid w:val="009C76A3"/>
    <w:rsid w:val="009C79E5"/>
    <w:rsid w:val="009C7ACB"/>
    <w:rsid w:val="009C7C85"/>
    <w:rsid w:val="009D03F6"/>
    <w:rsid w:val="009D1578"/>
    <w:rsid w:val="009D485D"/>
    <w:rsid w:val="009D5416"/>
    <w:rsid w:val="009D6353"/>
    <w:rsid w:val="009D6B28"/>
    <w:rsid w:val="009D6CF0"/>
    <w:rsid w:val="009D6E22"/>
    <w:rsid w:val="009D71D1"/>
    <w:rsid w:val="009D7591"/>
    <w:rsid w:val="009D75A9"/>
    <w:rsid w:val="009D7906"/>
    <w:rsid w:val="009E0A40"/>
    <w:rsid w:val="009E153F"/>
    <w:rsid w:val="009E19AE"/>
    <w:rsid w:val="009E1E60"/>
    <w:rsid w:val="009E1F86"/>
    <w:rsid w:val="009E3112"/>
    <w:rsid w:val="009E34B7"/>
    <w:rsid w:val="009E434B"/>
    <w:rsid w:val="009E480B"/>
    <w:rsid w:val="009E4986"/>
    <w:rsid w:val="009E4C2E"/>
    <w:rsid w:val="009E5772"/>
    <w:rsid w:val="009E5BAE"/>
    <w:rsid w:val="009E5BF5"/>
    <w:rsid w:val="009E5D18"/>
    <w:rsid w:val="009E5EC1"/>
    <w:rsid w:val="009E5F8E"/>
    <w:rsid w:val="009E648E"/>
    <w:rsid w:val="009E65CA"/>
    <w:rsid w:val="009E699D"/>
    <w:rsid w:val="009F1904"/>
    <w:rsid w:val="009F209E"/>
    <w:rsid w:val="009F2446"/>
    <w:rsid w:val="009F2450"/>
    <w:rsid w:val="009F259C"/>
    <w:rsid w:val="009F29FF"/>
    <w:rsid w:val="009F2BF4"/>
    <w:rsid w:val="009F2C12"/>
    <w:rsid w:val="009F2F47"/>
    <w:rsid w:val="009F385D"/>
    <w:rsid w:val="009F4B7F"/>
    <w:rsid w:val="009F555E"/>
    <w:rsid w:val="009F5C78"/>
    <w:rsid w:val="009F5E9D"/>
    <w:rsid w:val="009F5F56"/>
    <w:rsid w:val="009F697A"/>
    <w:rsid w:val="009F6DAC"/>
    <w:rsid w:val="009F7309"/>
    <w:rsid w:val="009F763F"/>
    <w:rsid w:val="009F7748"/>
    <w:rsid w:val="009F7802"/>
    <w:rsid w:val="009F791B"/>
    <w:rsid w:val="009F79D5"/>
    <w:rsid w:val="009F7D96"/>
    <w:rsid w:val="00A007E7"/>
    <w:rsid w:val="00A00F2E"/>
    <w:rsid w:val="00A01E64"/>
    <w:rsid w:val="00A02992"/>
    <w:rsid w:val="00A03470"/>
    <w:rsid w:val="00A035DE"/>
    <w:rsid w:val="00A035EA"/>
    <w:rsid w:val="00A04331"/>
    <w:rsid w:val="00A04F59"/>
    <w:rsid w:val="00A05597"/>
    <w:rsid w:val="00A05B20"/>
    <w:rsid w:val="00A05CC6"/>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C67"/>
    <w:rsid w:val="00A11F1D"/>
    <w:rsid w:val="00A121D9"/>
    <w:rsid w:val="00A1253F"/>
    <w:rsid w:val="00A12ACB"/>
    <w:rsid w:val="00A13C50"/>
    <w:rsid w:val="00A14331"/>
    <w:rsid w:val="00A145EB"/>
    <w:rsid w:val="00A14987"/>
    <w:rsid w:val="00A14AB2"/>
    <w:rsid w:val="00A14AC9"/>
    <w:rsid w:val="00A159CA"/>
    <w:rsid w:val="00A175A7"/>
    <w:rsid w:val="00A17608"/>
    <w:rsid w:val="00A177D9"/>
    <w:rsid w:val="00A1787D"/>
    <w:rsid w:val="00A17D5B"/>
    <w:rsid w:val="00A20573"/>
    <w:rsid w:val="00A207FA"/>
    <w:rsid w:val="00A20C94"/>
    <w:rsid w:val="00A21374"/>
    <w:rsid w:val="00A21C4C"/>
    <w:rsid w:val="00A220B7"/>
    <w:rsid w:val="00A227D6"/>
    <w:rsid w:val="00A227E7"/>
    <w:rsid w:val="00A22A71"/>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1F37"/>
    <w:rsid w:val="00A3244C"/>
    <w:rsid w:val="00A32555"/>
    <w:rsid w:val="00A32E59"/>
    <w:rsid w:val="00A33017"/>
    <w:rsid w:val="00A333C1"/>
    <w:rsid w:val="00A33D5D"/>
    <w:rsid w:val="00A33E4D"/>
    <w:rsid w:val="00A346EE"/>
    <w:rsid w:val="00A34995"/>
    <w:rsid w:val="00A34C32"/>
    <w:rsid w:val="00A34DDE"/>
    <w:rsid w:val="00A34EAB"/>
    <w:rsid w:val="00A350EA"/>
    <w:rsid w:val="00A35948"/>
    <w:rsid w:val="00A3594F"/>
    <w:rsid w:val="00A35BF0"/>
    <w:rsid w:val="00A35D94"/>
    <w:rsid w:val="00A362F7"/>
    <w:rsid w:val="00A36940"/>
    <w:rsid w:val="00A36990"/>
    <w:rsid w:val="00A36EBD"/>
    <w:rsid w:val="00A37C51"/>
    <w:rsid w:val="00A40F98"/>
    <w:rsid w:val="00A4174E"/>
    <w:rsid w:val="00A42AD8"/>
    <w:rsid w:val="00A43813"/>
    <w:rsid w:val="00A439B7"/>
    <w:rsid w:val="00A43D47"/>
    <w:rsid w:val="00A44090"/>
    <w:rsid w:val="00A440A6"/>
    <w:rsid w:val="00A45121"/>
    <w:rsid w:val="00A45B00"/>
    <w:rsid w:val="00A4618D"/>
    <w:rsid w:val="00A464E1"/>
    <w:rsid w:val="00A46C4E"/>
    <w:rsid w:val="00A46D95"/>
    <w:rsid w:val="00A46F53"/>
    <w:rsid w:val="00A47081"/>
    <w:rsid w:val="00A47480"/>
    <w:rsid w:val="00A47E8C"/>
    <w:rsid w:val="00A50F9A"/>
    <w:rsid w:val="00A51BC0"/>
    <w:rsid w:val="00A5298C"/>
    <w:rsid w:val="00A52AD0"/>
    <w:rsid w:val="00A53497"/>
    <w:rsid w:val="00A535A7"/>
    <w:rsid w:val="00A536CB"/>
    <w:rsid w:val="00A542F8"/>
    <w:rsid w:val="00A54524"/>
    <w:rsid w:val="00A55A47"/>
    <w:rsid w:val="00A56DF0"/>
    <w:rsid w:val="00A574BF"/>
    <w:rsid w:val="00A5790F"/>
    <w:rsid w:val="00A579F8"/>
    <w:rsid w:val="00A605E1"/>
    <w:rsid w:val="00A60C15"/>
    <w:rsid w:val="00A60F08"/>
    <w:rsid w:val="00A6204A"/>
    <w:rsid w:val="00A62093"/>
    <w:rsid w:val="00A6310C"/>
    <w:rsid w:val="00A6316B"/>
    <w:rsid w:val="00A63679"/>
    <w:rsid w:val="00A639BE"/>
    <w:rsid w:val="00A63A8F"/>
    <w:rsid w:val="00A64389"/>
    <w:rsid w:val="00A64797"/>
    <w:rsid w:val="00A64817"/>
    <w:rsid w:val="00A66BE3"/>
    <w:rsid w:val="00A67102"/>
    <w:rsid w:val="00A67F2A"/>
    <w:rsid w:val="00A70347"/>
    <w:rsid w:val="00A71CDE"/>
    <w:rsid w:val="00A7252E"/>
    <w:rsid w:val="00A72BBC"/>
    <w:rsid w:val="00A72E18"/>
    <w:rsid w:val="00A730F3"/>
    <w:rsid w:val="00A73C89"/>
    <w:rsid w:val="00A746A3"/>
    <w:rsid w:val="00A74BE6"/>
    <w:rsid w:val="00A754C4"/>
    <w:rsid w:val="00A7557C"/>
    <w:rsid w:val="00A758A4"/>
    <w:rsid w:val="00A75A61"/>
    <w:rsid w:val="00A75BA0"/>
    <w:rsid w:val="00A75FDF"/>
    <w:rsid w:val="00A768A2"/>
    <w:rsid w:val="00A76A55"/>
    <w:rsid w:val="00A773B4"/>
    <w:rsid w:val="00A80733"/>
    <w:rsid w:val="00A80948"/>
    <w:rsid w:val="00A81811"/>
    <w:rsid w:val="00A833A3"/>
    <w:rsid w:val="00A835E5"/>
    <w:rsid w:val="00A83768"/>
    <w:rsid w:val="00A84373"/>
    <w:rsid w:val="00A8456A"/>
    <w:rsid w:val="00A845ED"/>
    <w:rsid w:val="00A859F5"/>
    <w:rsid w:val="00A867C8"/>
    <w:rsid w:val="00A867CD"/>
    <w:rsid w:val="00A86F87"/>
    <w:rsid w:val="00A87161"/>
    <w:rsid w:val="00A874D6"/>
    <w:rsid w:val="00A87C01"/>
    <w:rsid w:val="00A902A7"/>
    <w:rsid w:val="00A90327"/>
    <w:rsid w:val="00A904AB"/>
    <w:rsid w:val="00A90DEF"/>
    <w:rsid w:val="00A91FE5"/>
    <w:rsid w:val="00A92F34"/>
    <w:rsid w:val="00A93154"/>
    <w:rsid w:val="00A93214"/>
    <w:rsid w:val="00A93ABB"/>
    <w:rsid w:val="00A93C27"/>
    <w:rsid w:val="00A93C2B"/>
    <w:rsid w:val="00A94865"/>
    <w:rsid w:val="00A94D8C"/>
    <w:rsid w:val="00A9598F"/>
    <w:rsid w:val="00A96FC0"/>
    <w:rsid w:val="00A97BFA"/>
    <w:rsid w:val="00AA007C"/>
    <w:rsid w:val="00AA0B30"/>
    <w:rsid w:val="00AA25C9"/>
    <w:rsid w:val="00AA3676"/>
    <w:rsid w:val="00AA3726"/>
    <w:rsid w:val="00AA40AA"/>
    <w:rsid w:val="00AA4F09"/>
    <w:rsid w:val="00AA62A1"/>
    <w:rsid w:val="00AA64E9"/>
    <w:rsid w:val="00AA67F0"/>
    <w:rsid w:val="00AA7897"/>
    <w:rsid w:val="00AA7A72"/>
    <w:rsid w:val="00AA7CBA"/>
    <w:rsid w:val="00AA7DCE"/>
    <w:rsid w:val="00AA7F8C"/>
    <w:rsid w:val="00AA7FA5"/>
    <w:rsid w:val="00AB0725"/>
    <w:rsid w:val="00AB0807"/>
    <w:rsid w:val="00AB0C5B"/>
    <w:rsid w:val="00AB0FB2"/>
    <w:rsid w:val="00AB10E3"/>
    <w:rsid w:val="00AB18AB"/>
    <w:rsid w:val="00AB1FAD"/>
    <w:rsid w:val="00AB2AF8"/>
    <w:rsid w:val="00AB37FD"/>
    <w:rsid w:val="00AB41AF"/>
    <w:rsid w:val="00AB42BB"/>
    <w:rsid w:val="00AB4316"/>
    <w:rsid w:val="00AB4B6A"/>
    <w:rsid w:val="00AB502F"/>
    <w:rsid w:val="00AB50C3"/>
    <w:rsid w:val="00AB562B"/>
    <w:rsid w:val="00AB57D9"/>
    <w:rsid w:val="00AB6F61"/>
    <w:rsid w:val="00AB7601"/>
    <w:rsid w:val="00AB7957"/>
    <w:rsid w:val="00AB7A15"/>
    <w:rsid w:val="00AC0BD8"/>
    <w:rsid w:val="00AC1E53"/>
    <w:rsid w:val="00AC2F56"/>
    <w:rsid w:val="00AC3669"/>
    <w:rsid w:val="00AC42FA"/>
    <w:rsid w:val="00AC455C"/>
    <w:rsid w:val="00AC45CA"/>
    <w:rsid w:val="00AC4D66"/>
    <w:rsid w:val="00AC5C0E"/>
    <w:rsid w:val="00AC5FCE"/>
    <w:rsid w:val="00AC615E"/>
    <w:rsid w:val="00AC62B7"/>
    <w:rsid w:val="00AC692A"/>
    <w:rsid w:val="00AC6BDA"/>
    <w:rsid w:val="00AC6E20"/>
    <w:rsid w:val="00AC7A38"/>
    <w:rsid w:val="00AD0404"/>
    <w:rsid w:val="00AD07F1"/>
    <w:rsid w:val="00AD1F02"/>
    <w:rsid w:val="00AD20E0"/>
    <w:rsid w:val="00AD280C"/>
    <w:rsid w:val="00AD2BE1"/>
    <w:rsid w:val="00AD3477"/>
    <w:rsid w:val="00AD3C49"/>
    <w:rsid w:val="00AD3D21"/>
    <w:rsid w:val="00AD68F8"/>
    <w:rsid w:val="00AD692B"/>
    <w:rsid w:val="00AD7E1C"/>
    <w:rsid w:val="00AE08FD"/>
    <w:rsid w:val="00AE0B68"/>
    <w:rsid w:val="00AE0CA2"/>
    <w:rsid w:val="00AE10CD"/>
    <w:rsid w:val="00AE13BB"/>
    <w:rsid w:val="00AE1499"/>
    <w:rsid w:val="00AE2D0A"/>
    <w:rsid w:val="00AE3725"/>
    <w:rsid w:val="00AE448F"/>
    <w:rsid w:val="00AE4E58"/>
    <w:rsid w:val="00AE4F14"/>
    <w:rsid w:val="00AE5139"/>
    <w:rsid w:val="00AE54FA"/>
    <w:rsid w:val="00AE5C8B"/>
    <w:rsid w:val="00AE65CA"/>
    <w:rsid w:val="00AE6800"/>
    <w:rsid w:val="00AE6CDA"/>
    <w:rsid w:val="00AE72FC"/>
    <w:rsid w:val="00AE7389"/>
    <w:rsid w:val="00AE751E"/>
    <w:rsid w:val="00AF000E"/>
    <w:rsid w:val="00AF16A0"/>
    <w:rsid w:val="00AF17A5"/>
    <w:rsid w:val="00AF1E36"/>
    <w:rsid w:val="00AF239F"/>
    <w:rsid w:val="00AF23AA"/>
    <w:rsid w:val="00AF23C2"/>
    <w:rsid w:val="00AF3040"/>
    <w:rsid w:val="00AF31DB"/>
    <w:rsid w:val="00AF39BC"/>
    <w:rsid w:val="00AF44E0"/>
    <w:rsid w:val="00AF4979"/>
    <w:rsid w:val="00AF51E5"/>
    <w:rsid w:val="00AF52E7"/>
    <w:rsid w:val="00AF575D"/>
    <w:rsid w:val="00AF5D55"/>
    <w:rsid w:val="00AF605B"/>
    <w:rsid w:val="00AF62CE"/>
    <w:rsid w:val="00AF6749"/>
    <w:rsid w:val="00AF741B"/>
    <w:rsid w:val="00AF7453"/>
    <w:rsid w:val="00AF7C3D"/>
    <w:rsid w:val="00AF7E72"/>
    <w:rsid w:val="00AF7F12"/>
    <w:rsid w:val="00B00C97"/>
    <w:rsid w:val="00B00E2D"/>
    <w:rsid w:val="00B0115C"/>
    <w:rsid w:val="00B01F83"/>
    <w:rsid w:val="00B02BD8"/>
    <w:rsid w:val="00B0328C"/>
    <w:rsid w:val="00B0338C"/>
    <w:rsid w:val="00B0396C"/>
    <w:rsid w:val="00B03F9B"/>
    <w:rsid w:val="00B0432F"/>
    <w:rsid w:val="00B043ED"/>
    <w:rsid w:val="00B054FF"/>
    <w:rsid w:val="00B05CB6"/>
    <w:rsid w:val="00B0633F"/>
    <w:rsid w:val="00B06DE5"/>
    <w:rsid w:val="00B070A0"/>
    <w:rsid w:val="00B07CC0"/>
    <w:rsid w:val="00B102F5"/>
    <w:rsid w:val="00B103E9"/>
    <w:rsid w:val="00B10BEF"/>
    <w:rsid w:val="00B11539"/>
    <w:rsid w:val="00B11586"/>
    <w:rsid w:val="00B11E6D"/>
    <w:rsid w:val="00B11FA4"/>
    <w:rsid w:val="00B12242"/>
    <w:rsid w:val="00B13427"/>
    <w:rsid w:val="00B1393B"/>
    <w:rsid w:val="00B140D2"/>
    <w:rsid w:val="00B1462C"/>
    <w:rsid w:val="00B14CD1"/>
    <w:rsid w:val="00B15491"/>
    <w:rsid w:val="00B15580"/>
    <w:rsid w:val="00B1562F"/>
    <w:rsid w:val="00B16D0D"/>
    <w:rsid w:val="00B16D63"/>
    <w:rsid w:val="00B174AB"/>
    <w:rsid w:val="00B17629"/>
    <w:rsid w:val="00B2135F"/>
    <w:rsid w:val="00B214E4"/>
    <w:rsid w:val="00B21D6E"/>
    <w:rsid w:val="00B222B5"/>
    <w:rsid w:val="00B22C39"/>
    <w:rsid w:val="00B22D8C"/>
    <w:rsid w:val="00B22DE0"/>
    <w:rsid w:val="00B230F8"/>
    <w:rsid w:val="00B2352F"/>
    <w:rsid w:val="00B23D2D"/>
    <w:rsid w:val="00B24380"/>
    <w:rsid w:val="00B24FEA"/>
    <w:rsid w:val="00B2540B"/>
    <w:rsid w:val="00B25426"/>
    <w:rsid w:val="00B258B5"/>
    <w:rsid w:val="00B25B94"/>
    <w:rsid w:val="00B25FE6"/>
    <w:rsid w:val="00B2603E"/>
    <w:rsid w:val="00B26397"/>
    <w:rsid w:val="00B26407"/>
    <w:rsid w:val="00B26CD6"/>
    <w:rsid w:val="00B27255"/>
    <w:rsid w:val="00B2749B"/>
    <w:rsid w:val="00B2763A"/>
    <w:rsid w:val="00B27A0A"/>
    <w:rsid w:val="00B30160"/>
    <w:rsid w:val="00B301E2"/>
    <w:rsid w:val="00B3068C"/>
    <w:rsid w:val="00B317DC"/>
    <w:rsid w:val="00B31A2F"/>
    <w:rsid w:val="00B31E48"/>
    <w:rsid w:val="00B327F4"/>
    <w:rsid w:val="00B32D08"/>
    <w:rsid w:val="00B32F4E"/>
    <w:rsid w:val="00B3322F"/>
    <w:rsid w:val="00B334B1"/>
    <w:rsid w:val="00B339CE"/>
    <w:rsid w:val="00B33E53"/>
    <w:rsid w:val="00B3426C"/>
    <w:rsid w:val="00B346E2"/>
    <w:rsid w:val="00B35631"/>
    <w:rsid w:val="00B3586B"/>
    <w:rsid w:val="00B3587C"/>
    <w:rsid w:val="00B35902"/>
    <w:rsid w:val="00B35B04"/>
    <w:rsid w:val="00B36E10"/>
    <w:rsid w:val="00B36E89"/>
    <w:rsid w:val="00B37246"/>
    <w:rsid w:val="00B3733C"/>
    <w:rsid w:val="00B3775E"/>
    <w:rsid w:val="00B37810"/>
    <w:rsid w:val="00B37B94"/>
    <w:rsid w:val="00B37E95"/>
    <w:rsid w:val="00B4097F"/>
    <w:rsid w:val="00B410B3"/>
    <w:rsid w:val="00B4190C"/>
    <w:rsid w:val="00B41956"/>
    <w:rsid w:val="00B42A22"/>
    <w:rsid w:val="00B43539"/>
    <w:rsid w:val="00B43F67"/>
    <w:rsid w:val="00B45359"/>
    <w:rsid w:val="00B45535"/>
    <w:rsid w:val="00B4553C"/>
    <w:rsid w:val="00B4572C"/>
    <w:rsid w:val="00B459C8"/>
    <w:rsid w:val="00B45BAB"/>
    <w:rsid w:val="00B46739"/>
    <w:rsid w:val="00B46975"/>
    <w:rsid w:val="00B472EC"/>
    <w:rsid w:val="00B51611"/>
    <w:rsid w:val="00B518C6"/>
    <w:rsid w:val="00B52046"/>
    <w:rsid w:val="00B5259A"/>
    <w:rsid w:val="00B52CB1"/>
    <w:rsid w:val="00B53B6D"/>
    <w:rsid w:val="00B53C9A"/>
    <w:rsid w:val="00B53D31"/>
    <w:rsid w:val="00B54F0D"/>
    <w:rsid w:val="00B553DF"/>
    <w:rsid w:val="00B5563C"/>
    <w:rsid w:val="00B55939"/>
    <w:rsid w:val="00B57D54"/>
    <w:rsid w:val="00B60946"/>
    <w:rsid w:val="00B609C3"/>
    <w:rsid w:val="00B609D4"/>
    <w:rsid w:val="00B60C95"/>
    <w:rsid w:val="00B60FB5"/>
    <w:rsid w:val="00B62014"/>
    <w:rsid w:val="00B629C9"/>
    <w:rsid w:val="00B63426"/>
    <w:rsid w:val="00B63656"/>
    <w:rsid w:val="00B63F21"/>
    <w:rsid w:val="00B63FB6"/>
    <w:rsid w:val="00B64086"/>
    <w:rsid w:val="00B64519"/>
    <w:rsid w:val="00B64541"/>
    <w:rsid w:val="00B6456D"/>
    <w:rsid w:val="00B64BD0"/>
    <w:rsid w:val="00B64DCA"/>
    <w:rsid w:val="00B64FCD"/>
    <w:rsid w:val="00B65C38"/>
    <w:rsid w:val="00B65CBD"/>
    <w:rsid w:val="00B667B1"/>
    <w:rsid w:val="00B66802"/>
    <w:rsid w:val="00B67453"/>
    <w:rsid w:val="00B675F7"/>
    <w:rsid w:val="00B677EA"/>
    <w:rsid w:val="00B67A78"/>
    <w:rsid w:val="00B707BA"/>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645"/>
    <w:rsid w:val="00B80A5E"/>
    <w:rsid w:val="00B80F1F"/>
    <w:rsid w:val="00B813C8"/>
    <w:rsid w:val="00B8146F"/>
    <w:rsid w:val="00B8167D"/>
    <w:rsid w:val="00B82C49"/>
    <w:rsid w:val="00B82D90"/>
    <w:rsid w:val="00B82FB4"/>
    <w:rsid w:val="00B83B69"/>
    <w:rsid w:val="00B83DFC"/>
    <w:rsid w:val="00B83F10"/>
    <w:rsid w:val="00B8406A"/>
    <w:rsid w:val="00B84439"/>
    <w:rsid w:val="00B8654A"/>
    <w:rsid w:val="00B865EE"/>
    <w:rsid w:val="00B86B7E"/>
    <w:rsid w:val="00B87BE1"/>
    <w:rsid w:val="00B87DD5"/>
    <w:rsid w:val="00B90F96"/>
    <w:rsid w:val="00B9219F"/>
    <w:rsid w:val="00B926CB"/>
    <w:rsid w:val="00B92BB9"/>
    <w:rsid w:val="00B933B2"/>
    <w:rsid w:val="00B936CB"/>
    <w:rsid w:val="00B93BDF"/>
    <w:rsid w:val="00B93CAF"/>
    <w:rsid w:val="00B941B6"/>
    <w:rsid w:val="00B94A06"/>
    <w:rsid w:val="00B952E7"/>
    <w:rsid w:val="00B95B2F"/>
    <w:rsid w:val="00B95E21"/>
    <w:rsid w:val="00B97356"/>
    <w:rsid w:val="00B97A6D"/>
    <w:rsid w:val="00BA0391"/>
    <w:rsid w:val="00BA060B"/>
    <w:rsid w:val="00BA0710"/>
    <w:rsid w:val="00BA0D90"/>
    <w:rsid w:val="00BA0DCD"/>
    <w:rsid w:val="00BA22BB"/>
    <w:rsid w:val="00BA2423"/>
    <w:rsid w:val="00BA249D"/>
    <w:rsid w:val="00BA34B1"/>
    <w:rsid w:val="00BA382E"/>
    <w:rsid w:val="00BA3830"/>
    <w:rsid w:val="00BA41E7"/>
    <w:rsid w:val="00BA42E0"/>
    <w:rsid w:val="00BA5792"/>
    <w:rsid w:val="00BA7701"/>
    <w:rsid w:val="00BA7AF1"/>
    <w:rsid w:val="00BA7BAB"/>
    <w:rsid w:val="00BA7C02"/>
    <w:rsid w:val="00BA7C73"/>
    <w:rsid w:val="00BB00C3"/>
    <w:rsid w:val="00BB01F3"/>
    <w:rsid w:val="00BB073E"/>
    <w:rsid w:val="00BB0741"/>
    <w:rsid w:val="00BB17AD"/>
    <w:rsid w:val="00BB2428"/>
    <w:rsid w:val="00BB292D"/>
    <w:rsid w:val="00BB300F"/>
    <w:rsid w:val="00BB369B"/>
    <w:rsid w:val="00BB3919"/>
    <w:rsid w:val="00BB3A56"/>
    <w:rsid w:val="00BB3E2E"/>
    <w:rsid w:val="00BB49CB"/>
    <w:rsid w:val="00BB4CAE"/>
    <w:rsid w:val="00BB67F1"/>
    <w:rsid w:val="00BB6A14"/>
    <w:rsid w:val="00BB79C2"/>
    <w:rsid w:val="00BB7E42"/>
    <w:rsid w:val="00BB7F0F"/>
    <w:rsid w:val="00BC0EC7"/>
    <w:rsid w:val="00BC1722"/>
    <w:rsid w:val="00BC194A"/>
    <w:rsid w:val="00BC2214"/>
    <w:rsid w:val="00BC2825"/>
    <w:rsid w:val="00BC2E96"/>
    <w:rsid w:val="00BC365F"/>
    <w:rsid w:val="00BC3A31"/>
    <w:rsid w:val="00BC406F"/>
    <w:rsid w:val="00BC4C88"/>
    <w:rsid w:val="00BC4DFB"/>
    <w:rsid w:val="00BC59CA"/>
    <w:rsid w:val="00BC6970"/>
    <w:rsid w:val="00BC6BA8"/>
    <w:rsid w:val="00BC6D81"/>
    <w:rsid w:val="00BC6F87"/>
    <w:rsid w:val="00BC734E"/>
    <w:rsid w:val="00BC7713"/>
    <w:rsid w:val="00BC7C93"/>
    <w:rsid w:val="00BD0286"/>
    <w:rsid w:val="00BD0A29"/>
    <w:rsid w:val="00BD1B3F"/>
    <w:rsid w:val="00BD33A9"/>
    <w:rsid w:val="00BD33BE"/>
    <w:rsid w:val="00BD3623"/>
    <w:rsid w:val="00BD3792"/>
    <w:rsid w:val="00BD3C72"/>
    <w:rsid w:val="00BD4E12"/>
    <w:rsid w:val="00BD4F07"/>
    <w:rsid w:val="00BD56F8"/>
    <w:rsid w:val="00BD5D4E"/>
    <w:rsid w:val="00BD5F7E"/>
    <w:rsid w:val="00BD7991"/>
    <w:rsid w:val="00BD7E30"/>
    <w:rsid w:val="00BE0BDD"/>
    <w:rsid w:val="00BE21E3"/>
    <w:rsid w:val="00BE305B"/>
    <w:rsid w:val="00BE5C9E"/>
    <w:rsid w:val="00BE5F4E"/>
    <w:rsid w:val="00BE618A"/>
    <w:rsid w:val="00BE62B2"/>
    <w:rsid w:val="00BE6350"/>
    <w:rsid w:val="00BE67F1"/>
    <w:rsid w:val="00BE7287"/>
    <w:rsid w:val="00BE7964"/>
    <w:rsid w:val="00BE7C93"/>
    <w:rsid w:val="00BF0362"/>
    <w:rsid w:val="00BF0479"/>
    <w:rsid w:val="00BF0CDC"/>
    <w:rsid w:val="00BF0D73"/>
    <w:rsid w:val="00BF1069"/>
    <w:rsid w:val="00BF1A87"/>
    <w:rsid w:val="00BF1D23"/>
    <w:rsid w:val="00BF1F82"/>
    <w:rsid w:val="00BF2520"/>
    <w:rsid w:val="00BF3470"/>
    <w:rsid w:val="00BF3885"/>
    <w:rsid w:val="00BF3B94"/>
    <w:rsid w:val="00BF3FF8"/>
    <w:rsid w:val="00BF4C53"/>
    <w:rsid w:val="00BF54DC"/>
    <w:rsid w:val="00BF5748"/>
    <w:rsid w:val="00BF6270"/>
    <w:rsid w:val="00BF67B7"/>
    <w:rsid w:val="00BF703E"/>
    <w:rsid w:val="00BF770B"/>
    <w:rsid w:val="00BF7802"/>
    <w:rsid w:val="00C007A6"/>
    <w:rsid w:val="00C01510"/>
    <w:rsid w:val="00C01CEB"/>
    <w:rsid w:val="00C01F6E"/>
    <w:rsid w:val="00C02B42"/>
    <w:rsid w:val="00C03249"/>
    <w:rsid w:val="00C036F7"/>
    <w:rsid w:val="00C03978"/>
    <w:rsid w:val="00C04BA2"/>
    <w:rsid w:val="00C04BAE"/>
    <w:rsid w:val="00C05362"/>
    <w:rsid w:val="00C05537"/>
    <w:rsid w:val="00C05896"/>
    <w:rsid w:val="00C0599A"/>
    <w:rsid w:val="00C06C42"/>
    <w:rsid w:val="00C06D80"/>
    <w:rsid w:val="00C06EB2"/>
    <w:rsid w:val="00C073DA"/>
    <w:rsid w:val="00C078C1"/>
    <w:rsid w:val="00C079DB"/>
    <w:rsid w:val="00C07C15"/>
    <w:rsid w:val="00C10B9B"/>
    <w:rsid w:val="00C10C30"/>
    <w:rsid w:val="00C1104C"/>
    <w:rsid w:val="00C11577"/>
    <w:rsid w:val="00C11990"/>
    <w:rsid w:val="00C11DC5"/>
    <w:rsid w:val="00C11F13"/>
    <w:rsid w:val="00C11F39"/>
    <w:rsid w:val="00C11F55"/>
    <w:rsid w:val="00C12249"/>
    <w:rsid w:val="00C1250E"/>
    <w:rsid w:val="00C138E7"/>
    <w:rsid w:val="00C139A1"/>
    <w:rsid w:val="00C1448C"/>
    <w:rsid w:val="00C14D7A"/>
    <w:rsid w:val="00C153BC"/>
    <w:rsid w:val="00C16490"/>
    <w:rsid w:val="00C168E7"/>
    <w:rsid w:val="00C17059"/>
    <w:rsid w:val="00C17174"/>
    <w:rsid w:val="00C171C5"/>
    <w:rsid w:val="00C17B44"/>
    <w:rsid w:val="00C17F63"/>
    <w:rsid w:val="00C2041C"/>
    <w:rsid w:val="00C20869"/>
    <w:rsid w:val="00C20DC6"/>
    <w:rsid w:val="00C2113D"/>
    <w:rsid w:val="00C21363"/>
    <w:rsid w:val="00C215D1"/>
    <w:rsid w:val="00C21AE1"/>
    <w:rsid w:val="00C223D1"/>
    <w:rsid w:val="00C227C6"/>
    <w:rsid w:val="00C22816"/>
    <w:rsid w:val="00C230F6"/>
    <w:rsid w:val="00C23686"/>
    <w:rsid w:val="00C23F8A"/>
    <w:rsid w:val="00C244B3"/>
    <w:rsid w:val="00C24B05"/>
    <w:rsid w:val="00C24D07"/>
    <w:rsid w:val="00C25052"/>
    <w:rsid w:val="00C25D31"/>
    <w:rsid w:val="00C262C1"/>
    <w:rsid w:val="00C265D0"/>
    <w:rsid w:val="00C26FE5"/>
    <w:rsid w:val="00C3022B"/>
    <w:rsid w:val="00C30723"/>
    <w:rsid w:val="00C3137D"/>
    <w:rsid w:val="00C31756"/>
    <w:rsid w:val="00C31F7F"/>
    <w:rsid w:val="00C32186"/>
    <w:rsid w:val="00C335AE"/>
    <w:rsid w:val="00C34197"/>
    <w:rsid w:val="00C3427B"/>
    <w:rsid w:val="00C34E1F"/>
    <w:rsid w:val="00C35C70"/>
    <w:rsid w:val="00C35E26"/>
    <w:rsid w:val="00C3626A"/>
    <w:rsid w:val="00C36684"/>
    <w:rsid w:val="00C36DCC"/>
    <w:rsid w:val="00C36F0A"/>
    <w:rsid w:val="00C36F4F"/>
    <w:rsid w:val="00C372CB"/>
    <w:rsid w:val="00C37B23"/>
    <w:rsid w:val="00C4067A"/>
    <w:rsid w:val="00C41480"/>
    <w:rsid w:val="00C417F1"/>
    <w:rsid w:val="00C439E0"/>
    <w:rsid w:val="00C44052"/>
    <w:rsid w:val="00C44368"/>
    <w:rsid w:val="00C46111"/>
    <w:rsid w:val="00C46816"/>
    <w:rsid w:val="00C46822"/>
    <w:rsid w:val="00C468CE"/>
    <w:rsid w:val="00C46CE5"/>
    <w:rsid w:val="00C4706F"/>
    <w:rsid w:val="00C47CFC"/>
    <w:rsid w:val="00C50206"/>
    <w:rsid w:val="00C50260"/>
    <w:rsid w:val="00C51395"/>
    <w:rsid w:val="00C51553"/>
    <w:rsid w:val="00C518A5"/>
    <w:rsid w:val="00C51A60"/>
    <w:rsid w:val="00C520E4"/>
    <w:rsid w:val="00C52334"/>
    <w:rsid w:val="00C5261F"/>
    <w:rsid w:val="00C52C65"/>
    <w:rsid w:val="00C53110"/>
    <w:rsid w:val="00C53B12"/>
    <w:rsid w:val="00C5406E"/>
    <w:rsid w:val="00C541B2"/>
    <w:rsid w:val="00C54928"/>
    <w:rsid w:val="00C54A44"/>
    <w:rsid w:val="00C54E2A"/>
    <w:rsid w:val="00C558CE"/>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728"/>
    <w:rsid w:val="00C65B6B"/>
    <w:rsid w:val="00C66492"/>
    <w:rsid w:val="00C664AB"/>
    <w:rsid w:val="00C66584"/>
    <w:rsid w:val="00C665A9"/>
    <w:rsid w:val="00C66705"/>
    <w:rsid w:val="00C67754"/>
    <w:rsid w:val="00C70254"/>
    <w:rsid w:val="00C703C0"/>
    <w:rsid w:val="00C706D1"/>
    <w:rsid w:val="00C70FAE"/>
    <w:rsid w:val="00C7113D"/>
    <w:rsid w:val="00C71284"/>
    <w:rsid w:val="00C719C3"/>
    <w:rsid w:val="00C724F5"/>
    <w:rsid w:val="00C72BA3"/>
    <w:rsid w:val="00C72DD5"/>
    <w:rsid w:val="00C733A6"/>
    <w:rsid w:val="00C737B0"/>
    <w:rsid w:val="00C73D39"/>
    <w:rsid w:val="00C760ED"/>
    <w:rsid w:val="00C76282"/>
    <w:rsid w:val="00C7675A"/>
    <w:rsid w:val="00C76E9D"/>
    <w:rsid w:val="00C80E18"/>
    <w:rsid w:val="00C816DF"/>
    <w:rsid w:val="00C820EE"/>
    <w:rsid w:val="00C82CD4"/>
    <w:rsid w:val="00C84475"/>
    <w:rsid w:val="00C84713"/>
    <w:rsid w:val="00C84758"/>
    <w:rsid w:val="00C853AB"/>
    <w:rsid w:val="00C856EF"/>
    <w:rsid w:val="00C85D45"/>
    <w:rsid w:val="00C85F72"/>
    <w:rsid w:val="00C86896"/>
    <w:rsid w:val="00C876E1"/>
    <w:rsid w:val="00C90162"/>
    <w:rsid w:val="00C908A9"/>
    <w:rsid w:val="00C908BE"/>
    <w:rsid w:val="00C91507"/>
    <w:rsid w:val="00C929E1"/>
    <w:rsid w:val="00C92F67"/>
    <w:rsid w:val="00C93C36"/>
    <w:rsid w:val="00C940C2"/>
    <w:rsid w:val="00C952E2"/>
    <w:rsid w:val="00C952E9"/>
    <w:rsid w:val="00C95AC8"/>
    <w:rsid w:val="00C95AF0"/>
    <w:rsid w:val="00C95E95"/>
    <w:rsid w:val="00C962BE"/>
    <w:rsid w:val="00C9639C"/>
    <w:rsid w:val="00C96514"/>
    <w:rsid w:val="00C972A5"/>
    <w:rsid w:val="00C9760B"/>
    <w:rsid w:val="00C976E0"/>
    <w:rsid w:val="00C9796B"/>
    <w:rsid w:val="00C97C19"/>
    <w:rsid w:val="00CA0174"/>
    <w:rsid w:val="00CA018B"/>
    <w:rsid w:val="00CA05EE"/>
    <w:rsid w:val="00CA0C53"/>
    <w:rsid w:val="00CA0FB8"/>
    <w:rsid w:val="00CA1AE4"/>
    <w:rsid w:val="00CA1E0C"/>
    <w:rsid w:val="00CA1FA7"/>
    <w:rsid w:val="00CA20E3"/>
    <w:rsid w:val="00CA245C"/>
    <w:rsid w:val="00CA26EC"/>
    <w:rsid w:val="00CA3AC7"/>
    <w:rsid w:val="00CA423D"/>
    <w:rsid w:val="00CA4AAC"/>
    <w:rsid w:val="00CA5AF9"/>
    <w:rsid w:val="00CA5D0C"/>
    <w:rsid w:val="00CA5E13"/>
    <w:rsid w:val="00CA625D"/>
    <w:rsid w:val="00CA69FF"/>
    <w:rsid w:val="00CA6F73"/>
    <w:rsid w:val="00CA7A1F"/>
    <w:rsid w:val="00CA7DAF"/>
    <w:rsid w:val="00CB017E"/>
    <w:rsid w:val="00CB0226"/>
    <w:rsid w:val="00CB0717"/>
    <w:rsid w:val="00CB0A65"/>
    <w:rsid w:val="00CB0FDE"/>
    <w:rsid w:val="00CB1177"/>
    <w:rsid w:val="00CB1618"/>
    <w:rsid w:val="00CB1A88"/>
    <w:rsid w:val="00CB277F"/>
    <w:rsid w:val="00CB2809"/>
    <w:rsid w:val="00CB328B"/>
    <w:rsid w:val="00CB3318"/>
    <w:rsid w:val="00CB3628"/>
    <w:rsid w:val="00CB407C"/>
    <w:rsid w:val="00CB46B4"/>
    <w:rsid w:val="00CB4940"/>
    <w:rsid w:val="00CB4A70"/>
    <w:rsid w:val="00CB5D5B"/>
    <w:rsid w:val="00CB6E94"/>
    <w:rsid w:val="00CB7060"/>
    <w:rsid w:val="00CB763C"/>
    <w:rsid w:val="00CB77F2"/>
    <w:rsid w:val="00CB7DD6"/>
    <w:rsid w:val="00CC0438"/>
    <w:rsid w:val="00CC0563"/>
    <w:rsid w:val="00CC0C66"/>
    <w:rsid w:val="00CC140D"/>
    <w:rsid w:val="00CC1E56"/>
    <w:rsid w:val="00CC2270"/>
    <w:rsid w:val="00CC3277"/>
    <w:rsid w:val="00CC385B"/>
    <w:rsid w:val="00CC3EBF"/>
    <w:rsid w:val="00CC4207"/>
    <w:rsid w:val="00CC51BD"/>
    <w:rsid w:val="00CC5222"/>
    <w:rsid w:val="00CC5775"/>
    <w:rsid w:val="00CC62CD"/>
    <w:rsid w:val="00CC6C6A"/>
    <w:rsid w:val="00CC6F07"/>
    <w:rsid w:val="00CC702B"/>
    <w:rsid w:val="00CC7881"/>
    <w:rsid w:val="00CC7971"/>
    <w:rsid w:val="00CD0422"/>
    <w:rsid w:val="00CD083E"/>
    <w:rsid w:val="00CD0982"/>
    <w:rsid w:val="00CD0FFA"/>
    <w:rsid w:val="00CD124B"/>
    <w:rsid w:val="00CD19CF"/>
    <w:rsid w:val="00CD2987"/>
    <w:rsid w:val="00CD2A22"/>
    <w:rsid w:val="00CD2A3D"/>
    <w:rsid w:val="00CD2EE0"/>
    <w:rsid w:val="00CD3DD5"/>
    <w:rsid w:val="00CD400D"/>
    <w:rsid w:val="00CD40C7"/>
    <w:rsid w:val="00CD4F38"/>
    <w:rsid w:val="00CD5885"/>
    <w:rsid w:val="00CD5D11"/>
    <w:rsid w:val="00CD5D93"/>
    <w:rsid w:val="00CD63D3"/>
    <w:rsid w:val="00CD6924"/>
    <w:rsid w:val="00CD7055"/>
    <w:rsid w:val="00CD7340"/>
    <w:rsid w:val="00CD73E8"/>
    <w:rsid w:val="00CD78B1"/>
    <w:rsid w:val="00CE047A"/>
    <w:rsid w:val="00CE06B1"/>
    <w:rsid w:val="00CE0944"/>
    <w:rsid w:val="00CE0A76"/>
    <w:rsid w:val="00CE166B"/>
    <w:rsid w:val="00CE2362"/>
    <w:rsid w:val="00CE3120"/>
    <w:rsid w:val="00CE3C60"/>
    <w:rsid w:val="00CE42DB"/>
    <w:rsid w:val="00CE4C6F"/>
    <w:rsid w:val="00CE52CC"/>
    <w:rsid w:val="00CE53F4"/>
    <w:rsid w:val="00CE5510"/>
    <w:rsid w:val="00CE5B5C"/>
    <w:rsid w:val="00CE5B69"/>
    <w:rsid w:val="00CE5CA9"/>
    <w:rsid w:val="00CE6071"/>
    <w:rsid w:val="00CE66E3"/>
    <w:rsid w:val="00CE793F"/>
    <w:rsid w:val="00CE7E6F"/>
    <w:rsid w:val="00CF15DD"/>
    <w:rsid w:val="00CF223D"/>
    <w:rsid w:val="00CF2703"/>
    <w:rsid w:val="00CF2824"/>
    <w:rsid w:val="00CF3526"/>
    <w:rsid w:val="00CF3A33"/>
    <w:rsid w:val="00CF3C7D"/>
    <w:rsid w:val="00CF4388"/>
    <w:rsid w:val="00CF45BF"/>
    <w:rsid w:val="00CF51C1"/>
    <w:rsid w:val="00CF548B"/>
    <w:rsid w:val="00CF5B47"/>
    <w:rsid w:val="00CF5B54"/>
    <w:rsid w:val="00CF5EE3"/>
    <w:rsid w:val="00CF6C01"/>
    <w:rsid w:val="00CF6EB7"/>
    <w:rsid w:val="00CF7105"/>
    <w:rsid w:val="00CF7271"/>
    <w:rsid w:val="00CF7305"/>
    <w:rsid w:val="00D005E0"/>
    <w:rsid w:val="00D00AD1"/>
    <w:rsid w:val="00D00FF7"/>
    <w:rsid w:val="00D012FF"/>
    <w:rsid w:val="00D0157B"/>
    <w:rsid w:val="00D01CC4"/>
    <w:rsid w:val="00D01E6B"/>
    <w:rsid w:val="00D0354D"/>
    <w:rsid w:val="00D0497C"/>
    <w:rsid w:val="00D04F45"/>
    <w:rsid w:val="00D04FAA"/>
    <w:rsid w:val="00D0534B"/>
    <w:rsid w:val="00D0548B"/>
    <w:rsid w:val="00D05AEE"/>
    <w:rsid w:val="00D05D6E"/>
    <w:rsid w:val="00D0648D"/>
    <w:rsid w:val="00D06EB9"/>
    <w:rsid w:val="00D1153F"/>
    <w:rsid w:val="00D11995"/>
    <w:rsid w:val="00D11CFD"/>
    <w:rsid w:val="00D12432"/>
    <w:rsid w:val="00D126CF"/>
    <w:rsid w:val="00D12AD9"/>
    <w:rsid w:val="00D13808"/>
    <w:rsid w:val="00D146FE"/>
    <w:rsid w:val="00D1581E"/>
    <w:rsid w:val="00D15D19"/>
    <w:rsid w:val="00D15D93"/>
    <w:rsid w:val="00D15DA1"/>
    <w:rsid w:val="00D15EEC"/>
    <w:rsid w:val="00D1635E"/>
    <w:rsid w:val="00D16380"/>
    <w:rsid w:val="00D163FF"/>
    <w:rsid w:val="00D1643C"/>
    <w:rsid w:val="00D166B5"/>
    <w:rsid w:val="00D167D0"/>
    <w:rsid w:val="00D16E87"/>
    <w:rsid w:val="00D17335"/>
    <w:rsid w:val="00D2079E"/>
    <w:rsid w:val="00D21356"/>
    <w:rsid w:val="00D216EE"/>
    <w:rsid w:val="00D220B5"/>
    <w:rsid w:val="00D224CF"/>
    <w:rsid w:val="00D230C1"/>
    <w:rsid w:val="00D232D8"/>
    <w:rsid w:val="00D233CD"/>
    <w:rsid w:val="00D23500"/>
    <w:rsid w:val="00D23AD3"/>
    <w:rsid w:val="00D23FC0"/>
    <w:rsid w:val="00D23FCE"/>
    <w:rsid w:val="00D2401D"/>
    <w:rsid w:val="00D24364"/>
    <w:rsid w:val="00D2469E"/>
    <w:rsid w:val="00D2649E"/>
    <w:rsid w:val="00D264D3"/>
    <w:rsid w:val="00D27300"/>
    <w:rsid w:val="00D27875"/>
    <w:rsid w:val="00D307FD"/>
    <w:rsid w:val="00D30A3B"/>
    <w:rsid w:val="00D3141B"/>
    <w:rsid w:val="00D31E2D"/>
    <w:rsid w:val="00D321E8"/>
    <w:rsid w:val="00D328E1"/>
    <w:rsid w:val="00D329D8"/>
    <w:rsid w:val="00D32E01"/>
    <w:rsid w:val="00D33975"/>
    <w:rsid w:val="00D33A8C"/>
    <w:rsid w:val="00D3523D"/>
    <w:rsid w:val="00D35597"/>
    <w:rsid w:val="00D35689"/>
    <w:rsid w:val="00D35E06"/>
    <w:rsid w:val="00D365FA"/>
    <w:rsid w:val="00D369BC"/>
    <w:rsid w:val="00D37093"/>
    <w:rsid w:val="00D40425"/>
    <w:rsid w:val="00D40BC3"/>
    <w:rsid w:val="00D40D6B"/>
    <w:rsid w:val="00D4129E"/>
    <w:rsid w:val="00D418A3"/>
    <w:rsid w:val="00D41AB6"/>
    <w:rsid w:val="00D42946"/>
    <w:rsid w:val="00D42DEC"/>
    <w:rsid w:val="00D43984"/>
    <w:rsid w:val="00D4459D"/>
    <w:rsid w:val="00D45A14"/>
    <w:rsid w:val="00D46189"/>
    <w:rsid w:val="00D46BE9"/>
    <w:rsid w:val="00D46FA2"/>
    <w:rsid w:val="00D47451"/>
    <w:rsid w:val="00D47947"/>
    <w:rsid w:val="00D5001E"/>
    <w:rsid w:val="00D50053"/>
    <w:rsid w:val="00D50089"/>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51"/>
    <w:rsid w:val="00D5578A"/>
    <w:rsid w:val="00D5616C"/>
    <w:rsid w:val="00D56C00"/>
    <w:rsid w:val="00D57082"/>
    <w:rsid w:val="00D577BB"/>
    <w:rsid w:val="00D57B91"/>
    <w:rsid w:val="00D60E67"/>
    <w:rsid w:val="00D62320"/>
    <w:rsid w:val="00D6248B"/>
    <w:rsid w:val="00D62B5D"/>
    <w:rsid w:val="00D62B75"/>
    <w:rsid w:val="00D6317D"/>
    <w:rsid w:val="00D63379"/>
    <w:rsid w:val="00D635B1"/>
    <w:rsid w:val="00D639C5"/>
    <w:rsid w:val="00D63DB5"/>
    <w:rsid w:val="00D63E14"/>
    <w:rsid w:val="00D63F98"/>
    <w:rsid w:val="00D64155"/>
    <w:rsid w:val="00D649A1"/>
    <w:rsid w:val="00D64BEA"/>
    <w:rsid w:val="00D65C02"/>
    <w:rsid w:val="00D65CC7"/>
    <w:rsid w:val="00D661D2"/>
    <w:rsid w:val="00D66410"/>
    <w:rsid w:val="00D66550"/>
    <w:rsid w:val="00D66648"/>
    <w:rsid w:val="00D66EFB"/>
    <w:rsid w:val="00D66FDA"/>
    <w:rsid w:val="00D67292"/>
    <w:rsid w:val="00D67956"/>
    <w:rsid w:val="00D70C38"/>
    <w:rsid w:val="00D710E5"/>
    <w:rsid w:val="00D71197"/>
    <w:rsid w:val="00D7178C"/>
    <w:rsid w:val="00D72008"/>
    <w:rsid w:val="00D72192"/>
    <w:rsid w:val="00D72D32"/>
    <w:rsid w:val="00D731D1"/>
    <w:rsid w:val="00D73645"/>
    <w:rsid w:val="00D73AC1"/>
    <w:rsid w:val="00D73BD2"/>
    <w:rsid w:val="00D73BE7"/>
    <w:rsid w:val="00D73DF6"/>
    <w:rsid w:val="00D73FC4"/>
    <w:rsid w:val="00D73FE8"/>
    <w:rsid w:val="00D74538"/>
    <w:rsid w:val="00D749A0"/>
    <w:rsid w:val="00D749CB"/>
    <w:rsid w:val="00D74C9E"/>
    <w:rsid w:val="00D75F19"/>
    <w:rsid w:val="00D767AE"/>
    <w:rsid w:val="00D77AD8"/>
    <w:rsid w:val="00D80605"/>
    <w:rsid w:val="00D80973"/>
    <w:rsid w:val="00D80BD8"/>
    <w:rsid w:val="00D8261C"/>
    <w:rsid w:val="00D82A2B"/>
    <w:rsid w:val="00D8301D"/>
    <w:rsid w:val="00D8473E"/>
    <w:rsid w:val="00D85797"/>
    <w:rsid w:val="00D86255"/>
    <w:rsid w:val="00D863D1"/>
    <w:rsid w:val="00D872B7"/>
    <w:rsid w:val="00D87DCF"/>
    <w:rsid w:val="00D87F5B"/>
    <w:rsid w:val="00D90125"/>
    <w:rsid w:val="00D9057B"/>
    <w:rsid w:val="00D9096B"/>
    <w:rsid w:val="00D90ED1"/>
    <w:rsid w:val="00D91C34"/>
    <w:rsid w:val="00D925C5"/>
    <w:rsid w:val="00D9279F"/>
    <w:rsid w:val="00D92D23"/>
    <w:rsid w:val="00D935AB"/>
    <w:rsid w:val="00D94900"/>
    <w:rsid w:val="00D94E4C"/>
    <w:rsid w:val="00D95709"/>
    <w:rsid w:val="00D958D7"/>
    <w:rsid w:val="00D96083"/>
    <w:rsid w:val="00D96248"/>
    <w:rsid w:val="00D96AFA"/>
    <w:rsid w:val="00D96B2B"/>
    <w:rsid w:val="00D96D46"/>
    <w:rsid w:val="00D97B72"/>
    <w:rsid w:val="00D97CF6"/>
    <w:rsid w:val="00DA0BBE"/>
    <w:rsid w:val="00DA11AE"/>
    <w:rsid w:val="00DA16E5"/>
    <w:rsid w:val="00DA1BE9"/>
    <w:rsid w:val="00DA1DAA"/>
    <w:rsid w:val="00DA283D"/>
    <w:rsid w:val="00DA2CA6"/>
    <w:rsid w:val="00DA3E12"/>
    <w:rsid w:val="00DA4141"/>
    <w:rsid w:val="00DA417B"/>
    <w:rsid w:val="00DA45BD"/>
    <w:rsid w:val="00DA5000"/>
    <w:rsid w:val="00DA52EB"/>
    <w:rsid w:val="00DA5CD6"/>
    <w:rsid w:val="00DA6868"/>
    <w:rsid w:val="00DA7044"/>
    <w:rsid w:val="00DB0312"/>
    <w:rsid w:val="00DB06ED"/>
    <w:rsid w:val="00DB0ED0"/>
    <w:rsid w:val="00DB115A"/>
    <w:rsid w:val="00DB1DCE"/>
    <w:rsid w:val="00DB31DB"/>
    <w:rsid w:val="00DB3213"/>
    <w:rsid w:val="00DB387C"/>
    <w:rsid w:val="00DB42F5"/>
    <w:rsid w:val="00DB4353"/>
    <w:rsid w:val="00DB43F8"/>
    <w:rsid w:val="00DB46DA"/>
    <w:rsid w:val="00DB5186"/>
    <w:rsid w:val="00DB5A7F"/>
    <w:rsid w:val="00DB640B"/>
    <w:rsid w:val="00DB656B"/>
    <w:rsid w:val="00DB6A23"/>
    <w:rsid w:val="00DB75BE"/>
    <w:rsid w:val="00DB7CD6"/>
    <w:rsid w:val="00DB7D6B"/>
    <w:rsid w:val="00DC00C2"/>
    <w:rsid w:val="00DC01DD"/>
    <w:rsid w:val="00DC198F"/>
    <w:rsid w:val="00DC29D6"/>
    <w:rsid w:val="00DC2DA2"/>
    <w:rsid w:val="00DC2F60"/>
    <w:rsid w:val="00DC2FFF"/>
    <w:rsid w:val="00DC3149"/>
    <w:rsid w:val="00DC3FB4"/>
    <w:rsid w:val="00DC430F"/>
    <w:rsid w:val="00DC43B0"/>
    <w:rsid w:val="00DC478C"/>
    <w:rsid w:val="00DC47BF"/>
    <w:rsid w:val="00DC4CEC"/>
    <w:rsid w:val="00DC5F0A"/>
    <w:rsid w:val="00DC6348"/>
    <w:rsid w:val="00DC6447"/>
    <w:rsid w:val="00DC6F43"/>
    <w:rsid w:val="00DD086B"/>
    <w:rsid w:val="00DD0C80"/>
    <w:rsid w:val="00DD1091"/>
    <w:rsid w:val="00DD145B"/>
    <w:rsid w:val="00DD1ACD"/>
    <w:rsid w:val="00DD2409"/>
    <w:rsid w:val="00DD2798"/>
    <w:rsid w:val="00DD2A6B"/>
    <w:rsid w:val="00DD3217"/>
    <w:rsid w:val="00DD3A79"/>
    <w:rsid w:val="00DD4174"/>
    <w:rsid w:val="00DD418A"/>
    <w:rsid w:val="00DD452E"/>
    <w:rsid w:val="00DD4929"/>
    <w:rsid w:val="00DD4EA1"/>
    <w:rsid w:val="00DD6998"/>
    <w:rsid w:val="00DD720F"/>
    <w:rsid w:val="00DD7C32"/>
    <w:rsid w:val="00DD7D9D"/>
    <w:rsid w:val="00DE00A7"/>
    <w:rsid w:val="00DE0A7D"/>
    <w:rsid w:val="00DE0DC9"/>
    <w:rsid w:val="00DE12EF"/>
    <w:rsid w:val="00DE19AA"/>
    <w:rsid w:val="00DE1BFE"/>
    <w:rsid w:val="00DE2156"/>
    <w:rsid w:val="00DE367F"/>
    <w:rsid w:val="00DE3E2A"/>
    <w:rsid w:val="00DE4973"/>
    <w:rsid w:val="00DE4F7F"/>
    <w:rsid w:val="00DE5469"/>
    <w:rsid w:val="00DE54CA"/>
    <w:rsid w:val="00DE5D83"/>
    <w:rsid w:val="00DE5E44"/>
    <w:rsid w:val="00DE6EC6"/>
    <w:rsid w:val="00DE704F"/>
    <w:rsid w:val="00DE7DBA"/>
    <w:rsid w:val="00DE7FB5"/>
    <w:rsid w:val="00DF02A0"/>
    <w:rsid w:val="00DF0953"/>
    <w:rsid w:val="00DF354D"/>
    <w:rsid w:val="00DF3B05"/>
    <w:rsid w:val="00DF44BC"/>
    <w:rsid w:val="00DF46D2"/>
    <w:rsid w:val="00DF4D9D"/>
    <w:rsid w:val="00DF4F63"/>
    <w:rsid w:val="00DF5209"/>
    <w:rsid w:val="00DF5300"/>
    <w:rsid w:val="00DF6443"/>
    <w:rsid w:val="00DF649D"/>
    <w:rsid w:val="00DF64D4"/>
    <w:rsid w:val="00DF6D56"/>
    <w:rsid w:val="00E00733"/>
    <w:rsid w:val="00E00948"/>
    <w:rsid w:val="00E00C13"/>
    <w:rsid w:val="00E00C41"/>
    <w:rsid w:val="00E00C46"/>
    <w:rsid w:val="00E01D40"/>
    <w:rsid w:val="00E024F6"/>
    <w:rsid w:val="00E0287E"/>
    <w:rsid w:val="00E02D84"/>
    <w:rsid w:val="00E037FD"/>
    <w:rsid w:val="00E04271"/>
    <w:rsid w:val="00E053BA"/>
    <w:rsid w:val="00E05420"/>
    <w:rsid w:val="00E0562D"/>
    <w:rsid w:val="00E05C05"/>
    <w:rsid w:val="00E0606D"/>
    <w:rsid w:val="00E06510"/>
    <w:rsid w:val="00E0676D"/>
    <w:rsid w:val="00E072B0"/>
    <w:rsid w:val="00E07C90"/>
    <w:rsid w:val="00E111E7"/>
    <w:rsid w:val="00E111F8"/>
    <w:rsid w:val="00E11DB5"/>
    <w:rsid w:val="00E12041"/>
    <w:rsid w:val="00E12618"/>
    <w:rsid w:val="00E128D7"/>
    <w:rsid w:val="00E129DF"/>
    <w:rsid w:val="00E12B5D"/>
    <w:rsid w:val="00E12C2E"/>
    <w:rsid w:val="00E13435"/>
    <w:rsid w:val="00E13F23"/>
    <w:rsid w:val="00E143D4"/>
    <w:rsid w:val="00E14773"/>
    <w:rsid w:val="00E14EC6"/>
    <w:rsid w:val="00E1521D"/>
    <w:rsid w:val="00E154D2"/>
    <w:rsid w:val="00E155E5"/>
    <w:rsid w:val="00E16633"/>
    <w:rsid w:val="00E16C08"/>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5ECA"/>
    <w:rsid w:val="00E264B9"/>
    <w:rsid w:val="00E26859"/>
    <w:rsid w:val="00E26DB9"/>
    <w:rsid w:val="00E26E41"/>
    <w:rsid w:val="00E274C1"/>
    <w:rsid w:val="00E30920"/>
    <w:rsid w:val="00E309C7"/>
    <w:rsid w:val="00E30A90"/>
    <w:rsid w:val="00E30D47"/>
    <w:rsid w:val="00E30F4F"/>
    <w:rsid w:val="00E31008"/>
    <w:rsid w:val="00E31068"/>
    <w:rsid w:val="00E3123A"/>
    <w:rsid w:val="00E312E5"/>
    <w:rsid w:val="00E31699"/>
    <w:rsid w:val="00E31B79"/>
    <w:rsid w:val="00E32715"/>
    <w:rsid w:val="00E32D36"/>
    <w:rsid w:val="00E32E22"/>
    <w:rsid w:val="00E334B8"/>
    <w:rsid w:val="00E33C3F"/>
    <w:rsid w:val="00E34523"/>
    <w:rsid w:val="00E3511E"/>
    <w:rsid w:val="00E35FC8"/>
    <w:rsid w:val="00E36F8A"/>
    <w:rsid w:val="00E37394"/>
    <w:rsid w:val="00E37482"/>
    <w:rsid w:val="00E37A6A"/>
    <w:rsid w:val="00E37CC3"/>
    <w:rsid w:val="00E40479"/>
    <w:rsid w:val="00E40B38"/>
    <w:rsid w:val="00E40FB5"/>
    <w:rsid w:val="00E41884"/>
    <w:rsid w:val="00E4192C"/>
    <w:rsid w:val="00E41DF6"/>
    <w:rsid w:val="00E420CB"/>
    <w:rsid w:val="00E4281D"/>
    <w:rsid w:val="00E42BB9"/>
    <w:rsid w:val="00E42FB9"/>
    <w:rsid w:val="00E446FD"/>
    <w:rsid w:val="00E451B6"/>
    <w:rsid w:val="00E454AD"/>
    <w:rsid w:val="00E458B2"/>
    <w:rsid w:val="00E4671A"/>
    <w:rsid w:val="00E474DE"/>
    <w:rsid w:val="00E47920"/>
    <w:rsid w:val="00E5019C"/>
    <w:rsid w:val="00E51311"/>
    <w:rsid w:val="00E51D11"/>
    <w:rsid w:val="00E52056"/>
    <w:rsid w:val="00E52222"/>
    <w:rsid w:val="00E522E3"/>
    <w:rsid w:val="00E52841"/>
    <w:rsid w:val="00E52FF6"/>
    <w:rsid w:val="00E530E1"/>
    <w:rsid w:val="00E532BD"/>
    <w:rsid w:val="00E53D9D"/>
    <w:rsid w:val="00E54446"/>
    <w:rsid w:val="00E54704"/>
    <w:rsid w:val="00E55CB7"/>
    <w:rsid w:val="00E55DC8"/>
    <w:rsid w:val="00E56479"/>
    <w:rsid w:val="00E567C7"/>
    <w:rsid w:val="00E56821"/>
    <w:rsid w:val="00E569DE"/>
    <w:rsid w:val="00E56F73"/>
    <w:rsid w:val="00E57111"/>
    <w:rsid w:val="00E57BEF"/>
    <w:rsid w:val="00E603AF"/>
    <w:rsid w:val="00E604FA"/>
    <w:rsid w:val="00E60FAB"/>
    <w:rsid w:val="00E6133F"/>
    <w:rsid w:val="00E615BD"/>
    <w:rsid w:val="00E61F48"/>
    <w:rsid w:val="00E62A1B"/>
    <w:rsid w:val="00E62B98"/>
    <w:rsid w:val="00E62F16"/>
    <w:rsid w:val="00E631E5"/>
    <w:rsid w:val="00E6329E"/>
    <w:rsid w:val="00E6390E"/>
    <w:rsid w:val="00E63980"/>
    <w:rsid w:val="00E64FA9"/>
    <w:rsid w:val="00E65018"/>
    <w:rsid w:val="00E65948"/>
    <w:rsid w:val="00E66CF4"/>
    <w:rsid w:val="00E66EAB"/>
    <w:rsid w:val="00E67339"/>
    <w:rsid w:val="00E6734C"/>
    <w:rsid w:val="00E67560"/>
    <w:rsid w:val="00E67B4D"/>
    <w:rsid w:val="00E67B50"/>
    <w:rsid w:val="00E67EF0"/>
    <w:rsid w:val="00E705EE"/>
    <w:rsid w:val="00E70B72"/>
    <w:rsid w:val="00E70FDA"/>
    <w:rsid w:val="00E7132D"/>
    <w:rsid w:val="00E713BF"/>
    <w:rsid w:val="00E722A2"/>
    <w:rsid w:val="00E729B9"/>
    <w:rsid w:val="00E730FA"/>
    <w:rsid w:val="00E742E4"/>
    <w:rsid w:val="00E746A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0D4"/>
    <w:rsid w:val="00E8551B"/>
    <w:rsid w:val="00E878A3"/>
    <w:rsid w:val="00E900A4"/>
    <w:rsid w:val="00E902E8"/>
    <w:rsid w:val="00E9033D"/>
    <w:rsid w:val="00E9041B"/>
    <w:rsid w:val="00E90F41"/>
    <w:rsid w:val="00E91398"/>
    <w:rsid w:val="00E9159F"/>
    <w:rsid w:val="00E91897"/>
    <w:rsid w:val="00E91BF4"/>
    <w:rsid w:val="00E91E02"/>
    <w:rsid w:val="00E92398"/>
    <w:rsid w:val="00E92777"/>
    <w:rsid w:val="00E92CBF"/>
    <w:rsid w:val="00E92E0A"/>
    <w:rsid w:val="00E935F5"/>
    <w:rsid w:val="00E9381C"/>
    <w:rsid w:val="00E93CFD"/>
    <w:rsid w:val="00E94584"/>
    <w:rsid w:val="00E95C26"/>
    <w:rsid w:val="00E95CEA"/>
    <w:rsid w:val="00E962EC"/>
    <w:rsid w:val="00E967F1"/>
    <w:rsid w:val="00E976D8"/>
    <w:rsid w:val="00E97FE2"/>
    <w:rsid w:val="00EA08E8"/>
    <w:rsid w:val="00EA0F7E"/>
    <w:rsid w:val="00EA1457"/>
    <w:rsid w:val="00EA1903"/>
    <w:rsid w:val="00EA19A5"/>
    <w:rsid w:val="00EA1A5A"/>
    <w:rsid w:val="00EA258D"/>
    <w:rsid w:val="00EA2FC0"/>
    <w:rsid w:val="00EA3085"/>
    <w:rsid w:val="00EA3CD8"/>
    <w:rsid w:val="00EA3F5C"/>
    <w:rsid w:val="00EA4397"/>
    <w:rsid w:val="00EA4816"/>
    <w:rsid w:val="00EA48E1"/>
    <w:rsid w:val="00EA499D"/>
    <w:rsid w:val="00EA4E8E"/>
    <w:rsid w:val="00EA4FFF"/>
    <w:rsid w:val="00EA54AD"/>
    <w:rsid w:val="00EA58A0"/>
    <w:rsid w:val="00EA5AE3"/>
    <w:rsid w:val="00EA5C8C"/>
    <w:rsid w:val="00EA5ECB"/>
    <w:rsid w:val="00EA62F8"/>
    <w:rsid w:val="00EA6B56"/>
    <w:rsid w:val="00EA6D49"/>
    <w:rsid w:val="00EA7D0C"/>
    <w:rsid w:val="00EA7F0B"/>
    <w:rsid w:val="00EB0CCF"/>
    <w:rsid w:val="00EB0DAE"/>
    <w:rsid w:val="00EB114C"/>
    <w:rsid w:val="00EB18C0"/>
    <w:rsid w:val="00EB1B2E"/>
    <w:rsid w:val="00EB20F4"/>
    <w:rsid w:val="00EB2490"/>
    <w:rsid w:val="00EB3F05"/>
    <w:rsid w:val="00EB4207"/>
    <w:rsid w:val="00EB53CC"/>
    <w:rsid w:val="00EB56C4"/>
    <w:rsid w:val="00EB5955"/>
    <w:rsid w:val="00EB6662"/>
    <w:rsid w:val="00EB6903"/>
    <w:rsid w:val="00EB6E71"/>
    <w:rsid w:val="00EC05E1"/>
    <w:rsid w:val="00EC07BA"/>
    <w:rsid w:val="00EC08E4"/>
    <w:rsid w:val="00EC1186"/>
    <w:rsid w:val="00EC23D8"/>
    <w:rsid w:val="00EC25BB"/>
    <w:rsid w:val="00EC3785"/>
    <w:rsid w:val="00EC3B2D"/>
    <w:rsid w:val="00EC3E5A"/>
    <w:rsid w:val="00EC453E"/>
    <w:rsid w:val="00EC458A"/>
    <w:rsid w:val="00EC4DE4"/>
    <w:rsid w:val="00EC51A1"/>
    <w:rsid w:val="00EC531B"/>
    <w:rsid w:val="00EC6178"/>
    <w:rsid w:val="00EC6288"/>
    <w:rsid w:val="00EC65DD"/>
    <w:rsid w:val="00EC6A56"/>
    <w:rsid w:val="00EC7166"/>
    <w:rsid w:val="00EC75D3"/>
    <w:rsid w:val="00EC7E78"/>
    <w:rsid w:val="00ED06AD"/>
    <w:rsid w:val="00ED0BED"/>
    <w:rsid w:val="00ED1232"/>
    <w:rsid w:val="00ED1A7F"/>
    <w:rsid w:val="00ED20BB"/>
    <w:rsid w:val="00ED22C5"/>
    <w:rsid w:val="00ED307B"/>
    <w:rsid w:val="00ED3503"/>
    <w:rsid w:val="00ED4DFC"/>
    <w:rsid w:val="00ED4E42"/>
    <w:rsid w:val="00ED54D7"/>
    <w:rsid w:val="00ED5E54"/>
    <w:rsid w:val="00ED69D8"/>
    <w:rsid w:val="00ED6CFE"/>
    <w:rsid w:val="00ED7786"/>
    <w:rsid w:val="00ED7EA9"/>
    <w:rsid w:val="00EE00E5"/>
    <w:rsid w:val="00EE0B31"/>
    <w:rsid w:val="00EE1E9C"/>
    <w:rsid w:val="00EE200B"/>
    <w:rsid w:val="00EE2083"/>
    <w:rsid w:val="00EE20A8"/>
    <w:rsid w:val="00EE23BC"/>
    <w:rsid w:val="00EE25D9"/>
    <w:rsid w:val="00EE433B"/>
    <w:rsid w:val="00EE434D"/>
    <w:rsid w:val="00EE46D0"/>
    <w:rsid w:val="00EE476D"/>
    <w:rsid w:val="00EE49A6"/>
    <w:rsid w:val="00EE4C73"/>
    <w:rsid w:val="00EE5ACC"/>
    <w:rsid w:val="00EE5C23"/>
    <w:rsid w:val="00EE67FE"/>
    <w:rsid w:val="00EE6BDD"/>
    <w:rsid w:val="00EE703E"/>
    <w:rsid w:val="00EE76F0"/>
    <w:rsid w:val="00EE78E9"/>
    <w:rsid w:val="00EE7B1C"/>
    <w:rsid w:val="00EF02BD"/>
    <w:rsid w:val="00EF0965"/>
    <w:rsid w:val="00EF0986"/>
    <w:rsid w:val="00EF1350"/>
    <w:rsid w:val="00EF13A5"/>
    <w:rsid w:val="00EF17B9"/>
    <w:rsid w:val="00EF1EB9"/>
    <w:rsid w:val="00EF2028"/>
    <w:rsid w:val="00EF274D"/>
    <w:rsid w:val="00EF2A0D"/>
    <w:rsid w:val="00EF3436"/>
    <w:rsid w:val="00EF34F6"/>
    <w:rsid w:val="00EF355D"/>
    <w:rsid w:val="00EF3725"/>
    <w:rsid w:val="00EF37B5"/>
    <w:rsid w:val="00EF388A"/>
    <w:rsid w:val="00EF3B9C"/>
    <w:rsid w:val="00EF3D14"/>
    <w:rsid w:val="00EF3EEE"/>
    <w:rsid w:val="00EF3F88"/>
    <w:rsid w:val="00EF499A"/>
    <w:rsid w:val="00EF4E97"/>
    <w:rsid w:val="00EF61FC"/>
    <w:rsid w:val="00EF7388"/>
    <w:rsid w:val="00EF75A6"/>
    <w:rsid w:val="00EF7C48"/>
    <w:rsid w:val="00F0045E"/>
    <w:rsid w:val="00F006D2"/>
    <w:rsid w:val="00F00724"/>
    <w:rsid w:val="00F00774"/>
    <w:rsid w:val="00F0081B"/>
    <w:rsid w:val="00F00B7A"/>
    <w:rsid w:val="00F01968"/>
    <w:rsid w:val="00F01F95"/>
    <w:rsid w:val="00F0256E"/>
    <w:rsid w:val="00F03681"/>
    <w:rsid w:val="00F03E2F"/>
    <w:rsid w:val="00F04555"/>
    <w:rsid w:val="00F04D9B"/>
    <w:rsid w:val="00F05533"/>
    <w:rsid w:val="00F0588E"/>
    <w:rsid w:val="00F05AB5"/>
    <w:rsid w:val="00F05BC9"/>
    <w:rsid w:val="00F0608B"/>
    <w:rsid w:val="00F0659C"/>
    <w:rsid w:val="00F06776"/>
    <w:rsid w:val="00F06CDD"/>
    <w:rsid w:val="00F06D5D"/>
    <w:rsid w:val="00F10A31"/>
    <w:rsid w:val="00F116E1"/>
    <w:rsid w:val="00F11AA5"/>
    <w:rsid w:val="00F11E55"/>
    <w:rsid w:val="00F1210C"/>
    <w:rsid w:val="00F128DE"/>
    <w:rsid w:val="00F12B5D"/>
    <w:rsid w:val="00F12DF4"/>
    <w:rsid w:val="00F13400"/>
    <w:rsid w:val="00F13708"/>
    <w:rsid w:val="00F1411B"/>
    <w:rsid w:val="00F148AE"/>
    <w:rsid w:val="00F149A9"/>
    <w:rsid w:val="00F14C07"/>
    <w:rsid w:val="00F14C0C"/>
    <w:rsid w:val="00F14CD6"/>
    <w:rsid w:val="00F14CF7"/>
    <w:rsid w:val="00F154D7"/>
    <w:rsid w:val="00F1585C"/>
    <w:rsid w:val="00F15FFE"/>
    <w:rsid w:val="00F16901"/>
    <w:rsid w:val="00F16B69"/>
    <w:rsid w:val="00F16FA4"/>
    <w:rsid w:val="00F17267"/>
    <w:rsid w:val="00F211C9"/>
    <w:rsid w:val="00F21448"/>
    <w:rsid w:val="00F215D1"/>
    <w:rsid w:val="00F2210C"/>
    <w:rsid w:val="00F22F2A"/>
    <w:rsid w:val="00F231FB"/>
    <w:rsid w:val="00F243C4"/>
    <w:rsid w:val="00F243FF"/>
    <w:rsid w:val="00F2515E"/>
    <w:rsid w:val="00F25199"/>
    <w:rsid w:val="00F254D8"/>
    <w:rsid w:val="00F25CD3"/>
    <w:rsid w:val="00F26A46"/>
    <w:rsid w:val="00F26F86"/>
    <w:rsid w:val="00F2780A"/>
    <w:rsid w:val="00F30B28"/>
    <w:rsid w:val="00F314EF"/>
    <w:rsid w:val="00F3167E"/>
    <w:rsid w:val="00F3265E"/>
    <w:rsid w:val="00F332B2"/>
    <w:rsid w:val="00F33DD2"/>
    <w:rsid w:val="00F33E94"/>
    <w:rsid w:val="00F33F0D"/>
    <w:rsid w:val="00F34D2E"/>
    <w:rsid w:val="00F352BD"/>
    <w:rsid w:val="00F3589E"/>
    <w:rsid w:val="00F35DAE"/>
    <w:rsid w:val="00F368F2"/>
    <w:rsid w:val="00F36FB5"/>
    <w:rsid w:val="00F3715D"/>
    <w:rsid w:val="00F374F7"/>
    <w:rsid w:val="00F37A09"/>
    <w:rsid w:val="00F404BF"/>
    <w:rsid w:val="00F405B4"/>
    <w:rsid w:val="00F40EB5"/>
    <w:rsid w:val="00F40F31"/>
    <w:rsid w:val="00F41380"/>
    <w:rsid w:val="00F41421"/>
    <w:rsid w:val="00F4174A"/>
    <w:rsid w:val="00F41886"/>
    <w:rsid w:val="00F419C3"/>
    <w:rsid w:val="00F41A80"/>
    <w:rsid w:val="00F41C4B"/>
    <w:rsid w:val="00F42798"/>
    <w:rsid w:val="00F4311B"/>
    <w:rsid w:val="00F43206"/>
    <w:rsid w:val="00F435B6"/>
    <w:rsid w:val="00F43849"/>
    <w:rsid w:val="00F4392C"/>
    <w:rsid w:val="00F448F9"/>
    <w:rsid w:val="00F44EC7"/>
    <w:rsid w:val="00F452E7"/>
    <w:rsid w:val="00F45E3F"/>
    <w:rsid w:val="00F4670C"/>
    <w:rsid w:val="00F467C0"/>
    <w:rsid w:val="00F47C6B"/>
    <w:rsid w:val="00F5002C"/>
    <w:rsid w:val="00F503D2"/>
    <w:rsid w:val="00F505AC"/>
    <w:rsid w:val="00F50603"/>
    <w:rsid w:val="00F50C03"/>
    <w:rsid w:val="00F50E6A"/>
    <w:rsid w:val="00F50F47"/>
    <w:rsid w:val="00F5154E"/>
    <w:rsid w:val="00F51899"/>
    <w:rsid w:val="00F51E43"/>
    <w:rsid w:val="00F51F74"/>
    <w:rsid w:val="00F523D3"/>
    <w:rsid w:val="00F5253A"/>
    <w:rsid w:val="00F5325B"/>
    <w:rsid w:val="00F53AF0"/>
    <w:rsid w:val="00F544DD"/>
    <w:rsid w:val="00F55337"/>
    <w:rsid w:val="00F55BB0"/>
    <w:rsid w:val="00F55F0A"/>
    <w:rsid w:val="00F5636E"/>
    <w:rsid w:val="00F5652C"/>
    <w:rsid w:val="00F568F6"/>
    <w:rsid w:val="00F56BEF"/>
    <w:rsid w:val="00F57843"/>
    <w:rsid w:val="00F578D7"/>
    <w:rsid w:val="00F57C49"/>
    <w:rsid w:val="00F57D6B"/>
    <w:rsid w:val="00F57F0C"/>
    <w:rsid w:val="00F609BF"/>
    <w:rsid w:val="00F60A98"/>
    <w:rsid w:val="00F618C5"/>
    <w:rsid w:val="00F619E0"/>
    <w:rsid w:val="00F61A38"/>
    <w:rsid w:val="00F61B54"/>
    <w:rsid w:val="00F622E5"/>
    <w:rsid w:val="00F626FF"/>
    <w:rsid w:val="00F62A13"/>
    <w:rsid w:val="00F63036"/>
    <w:rsid w:val="00F6380C"/>
    <w:rsid w:val="00F63E23"/>
    <w:rsid w:val="00F64675"/>
    <w:rsid w:val="00F64E0F"/>
    <w:rsid w:val="00F65102"/>
    <w:rsid w:val="00F652AD"/>
    <w:rsid w:val="00F652B8"/>
    <w:rsid w:val="00F65D31"/>
    <w:rsid w:val="00F666A7"/>
    <w:rsid w:val="00F66A2E"/>
    <w:rsid w:val="00F66D0C"/>
    <w:rsid w:val="00F66D58"/>
    <w:rsid w:val="00F67F09"/>
    <w:rsid w:val="00F706A0"/>
    <w:rsid w:val="00F709F5"/>
    <w:rsid w:val="00F717CC"/>
    <w:rsid w:val="00F720B7"/>
    <w:rsid w:val="00F724F5"/>
    <w:rsid w:val="00F72F11"/>
    <w:rsid w:val="00F72F51"/>
    <w:rsid w:val="00F73999"/>
    <w:rsid w:val="00F73AB3"/>
    <w:rsid w:val="00F73AB7"/>
    <w:rsid w:val="00F7566A"/>
    <w:rsid w:val="00F76268"/>
    <w:rsid w:val="00F76CF3"/>
    <w:rsid w:val="00F76CF4"/>
    <w:rsid w:val="00F76DA3"/>
    <w:rsid w:val="00F7718B"/>
    <w:rsid w:val="00F77BCA"/>
    <w:rsid w:val="00F805CA"/>
    <w:rsid w:val="00F807A4"/>
    <w:rsid w:val="00F809ED"/>
    <w:rsid w:val="00F80DD8"/>
    <w:rsid w:val="00F81914"/>
    <w:rsid w:val="00F81B7D"/>
    <w:rsid w:val="00F8215F"/>
    <w:rsid w:val="00F824D5"/>
    <w:rsid w:val="00F82628"/>
    <w:rsid w:val="00F82BC6"/>
    <w:rsid w:val="00F82D8E"/>
    <w:rsid w:val="00F8321D"/>
    <w:rsid w:val="00F83461"/>
    <w:rsid w:val="00F83883"/>
    <w:rsid w:val="00F83F7C"/>
    <w:rsid w:val="00F8457A"/>
    <w:rsid w:val="00F8517B"/>
    <w:rsid w:val="00F853BE"/>
    <w:rsid w:val="00F8675D"/>
    <w:rsid w:val="00F86E2D"/>
    <w:rsid w:val="00F87B71"/>
    <w:rsid w:val="00F87EB0"/>
    <w:rsid w:val="00F9052C"/>
    <w:rsid w:val="00F90EBF"/>
    <w:rsid w:val="00F9135D"/>
    <w:rsid w:val="00F9176D"/>
    <w:rsid w:val="00F91AD8"/>
    <w:rsid w:val="00F91B71"/>
    <w:rsid w:val="00F91BA8"/>
    <w:rsid w:val="00F9207A"/>
    <w:rsid w:val="00F922F2"/>
    <w:rsid w:val="00F9260F"/>
    <w:rsid w:val="00F9308E"/>
    <w:rsid w:val="00F9404B"/>
    <w:rsid w:val="00F9493C"/>
    <w:rsid w:val="00F95E64"/>
    <w:rsid w:val="00F960B8"/>
    <w:rsid w:val="00F9649D"/>
    <w:rsid w:val="00F967C4"/>
    <w:rsid w:val="00F96A46"/>
    <w:rsid w:val="00F96BB8"/>
    <w:rsid w:val="00F96C88"/>
    <w:rsid w:val="00F97647"/>
    <w:rsid w:val="00F97724"/>
    <w:rsid w:val="00F97A19"/>
    <w:rsid w:val="00FA068B"/>
    <w:rsid w:val="00FA1B1B"/>
    <w:rsid w:val="00FA20F0"/>
    <w:rsid w:val="00FA2534"/>
    <w:rsid w:val="00FA2BC2"/>
    <w:rsid w:val="00FA2D57"/>
    <w:rsid w:val="00FA37EA"/>
    <w:rsid w:val="00FA381E"/>
    <w:rsid w:val="00FA3DE3"/>
    <w:rsid w:val="00FA3F50"/>
    <w:rsid w:val="00FA52C8"/>
    <w:rsid w:val="00FA54B2"/>
    <w:rsid w:val="00FA5642"/>
    <w:rsid w:val="00FA5812"/>
    <w:rsid w:val="00FA59CD"/>
    <w:rsid w:val="00FA7990"/>
    <w:rsid w:val="00FA7A7E"/>
    <w:rsid w:val="00FA7E50"/>
    <w:rsid w:val="00FB07FC"/>
    <w:rsid w:val="00FB1180"/>
    <w:rsid w:val="00FB15B5"/>
    <w:rsid w:val="00FB174F"/>
    <w:rsid w:val="00FB1FEB"/>
    <w:rsid w:val="00FB22AB"/>
    <w:rsid w:val="00FB2C51"/>
    <w:rsid w:val="00FB3935"/>
    <w:rsid w:val="00FB4250"/>
    <w:rsid w:val="00FB4E05"/>
    <w:rsid w:val="00FB50F4"/>
    <w:rsid w:val="00FB5638"/>
    <w:rsid w:val="00FB59AB"/>
    <w:rsid w:val="00FB5A8D"/>
    <w:rsid w:val="00FB603D"/>
    <w:rsid w:val="00FB6627"/>
    <w:rsid w:val="00FB6721"/>
    <w:rsid w:val="00FB69FF"/>
    <w:rsid w:val="00FB7318"/>
    <w:rsid w:val="00FB77DE"/>
    <w:rsid w:val="00FC0251"/>
    <w:rsid w:val="00FC05D8"/>
    <w:rsid w:val="00FC1102"/>
    <w:rsid w:val="00FC16AD"/>
    <w:rsid w:val="00FC1F94"/>
    <w:rsid w:val="00FC2E23"/>
    <w:rsid w:val="00FC3241"/>
    <w:rsid w:val="00FC374E"/>
    <w:rsid w:val="00FC3BB3"/>
    <w:rsid w:val="00FC3ED9"/>
    <w:rsid w:val="00FC501B"/>
    <w:rsid w:val="00FC54D5"/>
    <w:rsid w:val="00FC664D"/>
    <w:rsid w:val="00FC737A"/>
    <w:rsid w:val="00FC7844"/>
    <w:rsid w:val="00FC78E5"/>
    <w:rsid w:val="00FD0A8B"/>
    <w:rsid w:val="00FD0CE5"/>
    <w:rsid w:val="00FD1512"/>
    <w:rsid w:val="00FD1AB4"/>
    <w:rsid w:val="00FD1DDF"/>
    <w:rsid w:val="00FD2217"/>
    <w:rsid w:val="00FD28E8"/>
    <w:rsid w:val="00FD3330"/>
    <w:rsid w:val="00FD3355"/>
    <w:rsid w:val="00FD3CF7"/>
    <w:rsid w:val="00FD472A"/>
    <w:rsid w:val="00FD4FCC"/>
    <w:rsid w:val="00FD522F"/>
    <w:rsid w:val="00FD55AE"/>
    <w:rsid w:val="00FD5690"/>
    <w:rsid w:val="00FD5A00"/>
    <w:rsid w:val="00FD5F89"/>
    <w:rsid w:val="00FD6570"/>
    <w:rsid w:val="00FD66E5"/>
    <w:rsid w:val="00FD6EA4"/>
    <w:rsid w:val="00FD6FCC"/>
    <w:rsid w:val="00FD79A7"/>
    <w:rsid w:val="00FD7DB9"/>
    <w:rsid w:val="00FE0841"/>
    <w:rsid w:val="00FE08FD"/>
    <w:rsid w:val="00FE12A5"/>
    <w:rsid w:val="00FE1352"/>
    <w:rsid w:val="00FE1B58"/>
    <w:rsid w:val="00FE1DFA"/>
    <w:rsid w:val="00FE1EDA"/>
    <w:rsid w:val="00FE1F3B"/>
    <w:rsid w:val="00FE22CB"/>
    <w:rsid w:val="00FE2859"/>
    <w:rsid w:val="00FE2A81"/>
    <w:rsid w:val="00FE2F6A"/>
    <w:rsid w:val="00FE303A"/>
    <w:rsid w:val="00FE345D"/>
    <w:rsid w:val="00FE486C"/>
    <w:rsid w:val="00FE4E00"/>
    <w:rsid w:val="00FE5194"/>
    <w:rsid w:val="00FE544E"/>
    <w:rsid w:val="00FE5A35"/>
    <w:rsid w:val="00FE64A9"/>
    <w:rsid w:val="00FE6BD7"/>
    <w:rsid w:val="00FE6C8F"/>
    <w:rsid w:val="00FE6F0F"/>
    <w:rsid w:val="00FF0644"/>
    <w:rsid w:val="00FF094E"/>
    <w:rsid w:val="00FF0A66"/>
    <w:rsid w:val="00FF1FCE"/>
    <w:rsid w:val="00FF2234"/>
    <w:rsid w:val="00FF290B"/>
    <w:rsid w:val="00FF320D"/>
    <w:rsid w:val="00FF33BD"/>
    <w:rsid w:val="00FF3B8C"/>
    <w:rsid w:val="00FF3C13"/>
    <w:rsid w:val="00FF3CEA"/>
    <w:rsid w:val="00FF3F18"/>
    <w:rsid w:val="00FF4169"/>
    <w:rsid w:val="00FF42CC"/>
    <w:rsid w:val="00FF4B56"/>
    <w:rsid w:val="00FF4D79"/>
    <w:rsid w:val="00FF4FD5"/>
    <w:rsid w:val="00FF57C0"/>
    <w:rsid w:val="00FF582B"/>
    <w:rsid w:val="00FF6702"/>
    <w:rsid w:val="00FF6822"/>
    <w:rsid w:val="00FF7188"/>
    <w:rsid w:val="00FF72DC"/>
    <w:rsid w:val="00FF750F"/>
    <w:rsid w:val="00FF76DE"/>
    <w:rsid w:val="00FF7785"/>
    <w:rsid w:val="00FF7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8385"/>
    <o:shapelayout v:ext="edit">
      <o:idmap v:ext="edit" data="1"/>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uiPriority w:val="20"/>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rsid w:val="001242F1"/>
    <w:pPr>
      <w:spacing w:line="256" w:lineRule="auto"/>
    </w:pPr>
    <w:rPr>
      <w:rFonts w:ascii="Arial" w:hAnsi="Arial"/>
      <w:u w:val="single"/>
    </w:rPr>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ody Text Bullet Points,Bullet Point,Bullet point,BulletPoints,Bulletr List Paragraph,ES Paragraph,Footnote,L,List Paragraph1,List Paragraph11,Numbered para,PBAC ES Paragraph,PBAC normal points,Recommendation,Section heading,Styl moj"/>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ody Text Bullet Points Char,Bullet Point Char,Bullet point Char,BulletPoints Char,Bulletr List Paragraph Char,ES Paragraph Char,Footnote Char,L Char,List Paragraph1 Char,List Paragraph11 Char,Numbered para Char,Recommendation Char"/>
    <w:link w:val="ListParagraph"/>
    <w:uiPriority w:val="34"/>
    <w:qFormat/>
    <w:rsid w:val="001E35D6"/>
    <w:rPr>
      <w:rFonts w:eastAsia="SimSun"/>
      <w:sz w:val="24"/>
      <w:szCs w:val="24"/>
    </w:rPr>
  </w:style>
  <w:style w:type="character" w:customStyle="1" w:styleId="CommentTextChar">
    <w:name w:val="Comment Text Char"/>
    <w:basedOn w:val="DefaultParagraphFont"/>
    <w:link w:val="CommentText"/>
    <w:uiPriority w:val="99"/>
    <w:rsid w:val="00377360"/>
  </w:style>
  <w:style w:type="paragraph" w:styleId="Revision">
    <w:name w:val="Revision"/>
    <w:hidden/>
    <w:uiPriority w:val="99"/>
    <w:semiHidden/>
    <w:rsid w:val="00DA7044"/>
  </w:style>
  <w:style w:type="character" w:customStyle="1" w:styleId="FooterChar">
    <w:name w:val="Footer Char"/>
    <w:link w:val="Footer"/>
    <w:rsid w:val="00035622"/>
  </w:style>
  <w:style w:type="paragraph" w:customStyle="1" w:styleId="3Bodytext">
    <w:name w:val="3. Body text"/>
    <w:basedOn w:val="ListParagraph"/>
    <w:link w:val="3BodytextChar"/>
    <w:qFormat/>
    <w:rsid w:val="00155809"/>
    <w:pPr>
      <w:spacing w:after="120"/>
      <w:ind w:hanging="720"/>
      <w:contextualSpacing w:val="0"/>
      <w:jc w:val="both"/>
    </w:pPr>
    <w:rPr>
      <w:rFonts w:asciiTheme="minorHAnsi" w:eastAsiaTheme="minorHAnsi" w:hAnsiTheme="minorHAnsi" w:cstheme="minorBidi"/>
      <w:szCs w:val="22"/>
      <w:lang w:eastAsia="en-US"/>
    </w:rPr>
  </w:style>
  <w:style w:type="character" w:customStyle="1" w:styleId="3BodytextChar">
    <w:name w:val="3. Body text Char"/>
    <w:basedOn w:val="DefaultParagraphFont"/>
    <w:link w:val="3Bodytext"/>
    <w:rsid w:val="00155809"/>
    <w:rPr>
      <w:rFonts w:asciiTheme="minorHAnsi" w:eastAsiaTheme="minorHAnsi" w:hAnsiTheme="minorHAnsi" w:cstheme="minorBidi"/>
      <w:sz w:val="24"/>
      <w:szCs w:val="22"/>
      <w:lang w:eastAsia="en-US"/>
    </w:rPr>
  </w:style>
  <w:style w:type="paragraph" w:customStyle="1" w:styleId="2-SectionHeading">
    <w:name w:val="2-Section Heading"/>
    <w:qFormat/>
    <w:rsid w:val="00A35BF0"/>
    <w:pPr>
      <w:keepNext/>
      <w:numPr>
        <w:numId w:val="9"/>
      </w:numPr>
      <w:snapToGrid w:val="0"/>
      <w:spacing w:before="240" w:after="120"/>
      <w:outlineLvl w:val="0"/>
    </w:pPr>
    <w:rPr>
      <w:rFonts w:asciiTheme="minorHAnsi" w:hAnsiTheme="minorHAnsi" w:cs="Arial"/>
      <w:b/>
      <w:sz w:val="32"/>
      <w:szCs w:val="32"/>
    </w:rPr>
  </w:style>
  <w:style w:type="character" w:customStyle="1" w:styleId="ExecSumBodyTextChar">
    <w:name w:val="Exec Sum Body Text Char"/>
    <w:basedOn w:val="DefaultParagraphFont"/>
    <w:link w:val="ExecSumBodyText"/>
    <w:locked/>
    <w:rsid w:val="00A35BF0"/>
    <w:rPr>
      <w:rFonts w:asciiTheme="minorHAnsi" w:hAnsiTheme="minorHAnsi" w:cs="Arial"/>
    </w:rPr>
  </w:style>
  <w:style w:type="paragraph" w:customStyle="1" w:styleId="ExecSumBodyText">
    <w:name w:val="Exec Sum Body Text"/>
    <w:basedOn w:val="Normal"/>
    <w:link w:val="ExecSumBodyTextChar"/>
    <w:qFormat/>
    <w:rsid w:val="00A35BF0"/>
    <w:pPr>
      <w:numPr>
        <w:ilvl w:val="1"/>
        <w:numId w:val="9"/>
      </w:numPr>
      <w:snapToGrid w:val="0"/>
      <w:spacing w:after="120"/>
      <w:jc w:val="both"/>
    </w:pPr>
    <w:rPr>
      <w:rFonts w:asciiTheme="minorHAnsi" w:hAnsiTheme="minorHAnsi" w:cs="Arial"/>
    </w:rPr>
  </w:style>
  <w:style w:type="character" w:styleId="FollowedHyperlink">
    <w:name w:val="FollowedHyperlink"/>
    <w:basedOn w:val="DefaultParagraphFont"/>
    <w:semiHidden/>
    <w:unhideWhenUsed/>
    <w:rsid w:val="00642B51"/>
    <w:rPr>
      <w:color w:val="800080" w:themeColor="followedHyperlink"/>
      <w:u w:val="single"/>
    </w:rPr>
  </w:style>
  <w:style w:type="paragraph" w:styleId="Quote">
    <w:name w:val="Quote"/>
    <w:basedOn w:val="Normal"/>
    <w:next w:val="Normal"/>
    <w:link w:val="QuoteChar"/>
    <w:uiPriority w:val="29"/>
    <w:qFormat/>
    <w:rsid w:val="001D30A0"/>
    <w:pPr>
      <w:spacing w:before="240" w:after="60"/>
      <w:ind w:left="142" w:right="-663" w:hanging="142"/>
    </w:pPr>
    <w:rPr>
      <w:i/>
      <w:iCs/>
      <w:color w:val="000000" w:themeColor="text1"/>
      <w:sz w:val="24"/>
      <w:szCs w:val="24"/>
      <w:lang w:eastAsia="en-US"/>
    </w:rPr>
  </w:style>
  <w:style w:type="character" w:customStyle="1" w:styleId="QuoteChar">
    <w:name w:val="Quote Char"/>
    <w:basedOn w:val="DefaultParagraphFont"/>
    <w:link w:val="Quote"/>
    <w:uiPriority w:val="29"/>
    <w:rsid w:val="001D30A0"/>
    <w:rPr>
      <w:i/>
      <w:iCs/>
      <w:color w:val="000000" w:themeColor="text1"/>
      <w:sz w:val="24"/>
      <w:szCs w:val="24"/>
      <w:lang w:eastAsia="en-US"/>
    </w:rPr>
  </w:style>
  <w:style w:type="paragraph" w:styleId="NoSpacing">
    <w:name w:val="No Spacing"/>
    <w:basedOn w:val="Normal"/>
    <w:link w:val="NoSpacingChar"/>
    <w:uiPriority w:val="1"/>
    <w:qFormat/>
    <w:rsid w:val="008D62B4"/>
    <w:pPr>
      <w:jc w:val="both"/>
    </w:pPr>
    <w:rPr>
      <w:rFonts w:asciiTheme="minorHAnsi" w:hAnsiTheme="minorHAnsi" w:cstheme="minorHAnsi"/>
      <w:sz w:val="24"/>
      <w:szCs w:val="24"/>
      <w:lang w:eastAsia="en-US"/>
    </w:rPr>
  </w:style>
  <w:style w:type="character" w:customStyle="1" w:styleId="NoSpacingChar">
    <w:name w:val="No Spacing Char"/>
    <w:basedOn w:val="DefaultParagraphFont"/>
    <w:link w:val="NoSpacing"/>
    <w:uiPriority w:val="1"/>
    <w:rsid w:val="008D62B4"/>
    <w:rPr>
      <w:rFonts w:asciiTheme="minorHAnsi" w:hAnsiTheme="minorHAnsi" w:cstheme="minorHAnsi"/>
      <w:sz w:val="24"/>
      <w:szCs w:val="24"/>
      <w:lang w:eastAsia="en-US"/>
    </w:rPr>
  </w:style>
  <w:style w:type="paragraph" w:customStyle="1" w:styleId="2Sections">
    <w:name w:val="2. Sections"/>
    <w:qFormat/>
    <w:rsid w:val="0061444C"/>
    <w:pPr>
      <w:spacing w:before="240" w:after="120"/>
      <w:ind w:left="720" w:hanging="720"/>
      <w:outlineLvl w:val="0"/>
    </w:pPr>
    <w:rPr>
      <w:rFonts w:asciiTheme="minorHAnsi" w:hAnsiTheme="minorHAnsi" w:cs="Arial"/>
      <w:b/>
      <w:snapToGrid w:val="0"/>
      <w:sz w:val="32"/>
      <w:szCs w:val="32"/>
      <w:lang w:eastAsia="en-US"/>
    </w:rPr>
  </w:style>
  <w:style w:type="paragraph" w:customStyle="1" w:styleId="4Bodytextnumbered">
    <w:name w:val="4. Body text numbered"/>
    <w:basedOn w:val="ListParagraph"/>
    <w:qFormat/>
    <w:rsid w:val="0061444C"/>
    <w:pPr>
      <w:spacing w:after="120"/>
      <w:ind w:hanging="720"/>
      <w:contextualSpacing w:val="0"/>
      <w:jc w:val="both"/>
    </w:pPr>
    <w:rPr>
      <w:rFonts w:asciiTheme="minorHAnsi" w:eastAsiaTheme="minorHAnsi" w:hAnsiTheme="minorHAnsi" w:cstheme="minorBidi"/>
      <w:szCs w:val="22"/>
      <w:lang w:eastAsia="en-US"/>
    </w:rPr>
  </w:style>
  <w:style w:type="paragraph" w:customStyle="1" w:styleId="Tablewriting">
    <w:name w:val="Table writing"/>
    <w:basedOn w:val="Normal"/>
    <w:qFormat/>
    <w:rsid w:val="003A37BF"/>
    <w:pPr>
      <w:autoSpaceDE w:val="0"/>
      <w:autoSpaceDN w:val="0"/>
      <w:adjustRightInd w:val="0"/>
      <w:spacing w:before="60" w:after="60"/>
    </w:pPr>
    <w:rPr>
      <w:rFonts w:asciiTheme="minorHAnsi" w:eastAsiaTheme="minorEastAsia" w:hAnsiTheme="minorHAnsi" w:cs="Calibri"/>
      <w:color w:val="000000"/>
    </w:rPr>
  </w:style>
  <w:style w:type="character" w:styleId="UnresolvedMention">
    <w:name w:val="Unresolved Mention"/>
    <w:basedOn w:val="DefaultParagraphFont"/>
    <w:uiPriority w:val="99"/>
    <w:semiHidden/>
    <w:unhideWhenUsed/>
    <w:rsid w:val="00427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4904">
      <w:bodyDiv w:val="1"/>
      <w:marLeft w:val="0"/>
      <w:marRight w:val="0"/>
      <w:marTop w:val="0"/>
      <w:marBottom w:val="0"/>
      <w:divBdr>
        <w:top w:val="none" w:sz="0" w:space="0" w:color="auto"/>
        <w:left w:val="none" w:sz="0" w:space="0" w:color="auto"/>
        <w:bottom w:val="none" w:sz="0" w:space="0" w:color="auto"/>
        <w:right w:val="none" w:sz="0" w:space="0" w:color="auto"/>
      </w:divBdr>
    </w:div>
    <w:div w:id="17506909">
      <w:bodyDiv w:val="1"/>
      <w:marLeft w:val="0"/>
      <w:marRight w:val="0"/>
      <w:marTop w:val="0"/>
      <w:marBottom w:val="0"/>
      <w:divBdr>
        <w:top w:val="none" w:sz="0" w:space="0" w:color="auto"/>
        <w:left w:val="none" w:sz="0" w:space="0" w:color="auto"/>
        <w:bottom w:val="none" w:sz="0" w:space="0" w:color="auto"/>
        <w:right w:val="none" w:sz="0" w:space="0" w:color="auto"/>
      </w:divBdr>
    </w:div>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0618514">
      <w:bodyDiv w:val="1"/>
      <w:marLeft w:val="0"/>
      <w:marRight w:val="0"/>
      <w:marTop w:val="0"/>
      <w:marBottom w:val="0"/>
      <w:divBdr>
        <w:top w:val="none" w:sz="0" w:space="0" w:color="auto"/>
        <w:left w:val="none" w:sz="0" w:space="0" w:color="auto"/>
        <w:bottom w:val="none" w:sz="0" w:space="0" w:color="auto"/>
        <w:right w:val="none" w:sz="0" w:space="0" w:color="auto"/>
      </w:divBdr>
    </w:div>
    <w:div w:id="38482908">
      <w:bodyDiv w:val="1"/>
      <w:marLeft w:val="0"/>
      <w:marRight w:val="0"/>
      <w:marTop w:val="0"/>
      <w:marBottom w:val="0"/>
      <w:divBdr>
        <w:top w:val="none" w:sz="0" w:space="0" w:color="auto"/>
        <w:left w:val="none" w:sz="0" w:space="0" w:color="auto"/>
        <w:bottom w:val="none" w:sz="0" w:space="0" w:color="auto"/>
        <w:right w:val="none" w:sz="0" w:space="0" w:color="auto"/>
      </w:divBdr>
    </w:div>
    <w:div w:id="39327168">
      <w:bodyDiv w:val="1"/>
      <w:marLeft w:val="0"/>
      <w:marRight w:val="0"/>
      <w:marTop w:val="0"/>
      <w:marBottom w:val="0"/>
      <w:divBdr>
        <w:top w:val="none" w:sz="0" w:space="0" w:color="auto"/>
        <w:left w:val="none" w:sz="0" w:space="0" w:color="auto"/>
        <w:bottom w:val="none" w:sz="0" w:space="0" w:color="auto"/>
        <w:right w:val="none" w:sz="0" w:space="0" w:color="auto"/>
      </w:divBdr>
    </w:div>
    <w:div w:id="42606998">
      <w:bodyDiv w:val="1"/>
      <w:marLeft w:val="0"/>
      <w:marRight w:val="0"/>
      <w:marTop w:val="0"/>
      <w:marBottom w:val="0"/>
      <w:divBdr>
        <w:top w:val="none" w:sz="0" w:space="0" w:color="auto"/>
        <w:left w:val="none" w:sz="0" w:space="0" w:color="auto"/>
        <w:bottom w:val="none" w:sz="0" w:space="0" w:color="auto"/>
        <w:right w:val="none" w:sz="0" w:space="0" w:color="auto"/>
      </w:divBdr>
    </w:div>
    <w:div w:id="49698225">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8260771">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6199920">
      <w:bodyDiv w:val="1"/>
      <w:marLeft w:val="0"/>
      <w:marRight w:val="0"/>
      <w:marTop w:val="0"/>
      <w:marBottom w:val="0"/>
      <w:divBdr>
        <w:top w:val="none" w:sz="0" w:space="0" w:color="auto"/>
        <w:left w:val="none" w:sz="0" w:space="0" w:color="auto"/>
        <w:bottom w:val="none" w:sz="0" w:space="0" w:color="auto"/>
        <w:right w:val="none" w:sz="0" w:space="0" w:color="auto"/>
      </w:divBdr>
    </w:div>
    <w:div w:id="93676734">
      <w:bodyDiv w:val="1"/>
      <w:marLeft w:val="0"/>
      <w:marRight w:val="0"/>
      <w:marTop w:val="0"/>
      <w:marBottom w:val="0"/>
      <w:divBdr>
        <w:top w:val="none" w:sz="0" w:space="0" w:color="auto"/>
        <w:left w:val="none" w:sz="0" w:space="0" w:color="auto"/>
        <w:bottom w:val="none" w:sz="0" w:space="0" w:color="auto"/>
        <w:right w:val="none" w:sz="0" w:space="0" w:color="auto"/>
      </w:divBdr>
    </w:div>
    <w:div w:id="100035097">
      <w:bodyDiv w:val="1"/>
      <w:marLeft w:val="0"/>
      <w:marRight w:val="0"/>
      <w:marTop w:val="0"/>
      <w:marBottom w:val="0"/>
      <w:divBdr>
        <w:top w:val="none" w:sz="0" w:space="0" w:color="auto"/>
        <w:left w:val="none" w:sz="0" w:space="0" w:color="auto"/>
        <w:bottom w:val="none" w:sz="0" w:space="0" w:color="auto"/>
        <w:right w:val="none" w:sz="0" w:space="0" w:color="auto"/>
      </w:divBdr>
    </w:div>
    <w:div w:id="102237776">
      <w:bodyDiv w:val="1"/>
      <w:marLeft w:val="0"/>
      <w:marRight w:val="0"/>
      <w:marTop w:val="0"/>
      <w:marBottom w:val="0"/>
      <w:divBdr>
        <w:top w:val="none" w:sz="0" w:space="0" w:color="auto"/>
        <w:left w:val="none" w:sz="0" w:space="0" w:color="auto"/>
        <w:bottom w:val="none" w:sz="0" w:space="0" w:color="auto"/>
        <w:right w:val="none" w:sz="0" w:space="0" w:color="auto"/>
      </w:divBdr>
    </w:div>
    <w:div w:id="109008514">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5815">
      <w:bodyDiv w:val="1"/>
      <w:marLeft w:val="0"/>
      <w:marRight w:val="0"/>
      <w:marTop w:val="0"/>
      <w:marBottom w:val="0"/>
      <w:divBdr>
        <w:top w:val="none" w:sz="0" w:space="0" w:color="auto"/>
        <w:left w:val="none" w:sz="0" w:space="0" w:color="auto"/>
        <w:bottom w:val="none" w:sz="0" w:space="0" w:color="auto"/>
        <w:right w:val="none" w:sz="0" w:space="0" w:color="auto"/>
      </w:divBdr>
    </w:div>
    <w:div w:id="149106779">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7041301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198864661">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1452626">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62148266">
      <w:bodyDiv w:val="1"/>
      <w:marLeft w:val="0"/>
      <w:marRight w:val="0"/>
      <w:marTop w:val="0"/>
      <w:marBottom w:val="0"/>
      <w:divBdr>
        <w:top w:val="none" w:sz="0" w:space="0" w:color="auto"/>
        <w:left w:val="none" w:sz="0" w:space="0" w:color="auto"/>
        <w:bottom w:val="none" w:sz="0" w:space="0" w:color="auto"/>
        <w:right w:val="none" w:sz="0" w:space="0" w:color="auto"/>
      </w:divBdr>
    </w:div>
    <w:div w:id="269170932">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77833250">
      <w:bodyDiv w:val="1"/>
      <w:marLeft w:val="0"/>
      <w:marRight w:val="0"/>
      <w:marTop w:val="0"/>
      <w:marBottom w:val="0"/>
      <w:divBdr>
        <w:top w:val="none" w:sz="0" w:space="0" w:color="auto"/>
        <w:left w:val="none" w:sz="0" w:space="0" w:color="auto"/>
        <w:bottom w:val="none" w:sz="0" w:space="0" w:color="auto"/>
        <w:right w:val="none" w:sz="0" w:space="0" w:color="auto"/>
      </w:divBdr>
    </w:div>
    <w:div w:id="278028945">
      <w:bodyDiv w:val="1"/>
      <w:marLeft w:val="0"/>
      <w:marRight w:val="0"/>
      <w:marTop w:val="0"/>
      <w:marBottom w:val="0"/>
      <w:divBdr>
        <w:top w:val="none" w:sz="0" w:space="0" w:color="auto"/>
        <w:left w:val="none" w:sz="0" w:space="0" w:color="auto"/>
        <w:bottom w:val="none" w:sz="0" w:space="0" w:color="auto"/>
        <w:right w:val="none" w:sz="0" w:space="0" w:color="auto"/>
      </w:divBdr>
    </w:div>
    <w:div w:id="283926532">
      <w:bodyDiv w:val="1"/>
      <w:marLeft w:val="0"/>
      <w:marRight w:val="0"/>
      <w:marTop w:val="0"/>
      <w:marBottom w:val="0"/>
      <w:divBdr>
        <w:top w:val="none" w:sz="0" w:space="0" w:color="auto"/>
        <w:left w:val="none" w:sz="0" w:space="0" w:color="auto"/>
        <w:bottom w:val="none" w:sz="0" w:space="0" w:color="auto"/>
        <w:right w:val="none" w:sz="0" w:space="0" w:color="auto"/>
      </w:divBdr>
    </w:div>
    <w:div w:id="284431974">
      <w:bodyDiv w:val="1"/>
      <w:marLeft w:val="0"/>
      <w:marRight w:val="0"/>
      <w:marTop w:val="0"/>
      <w:marBottom w:val="0"/>
      <w:divBdr>
        <w:top w:val="none" w:sz="0" w:space="0" w:color="auto"/>
        <w:left w:val="none" w:sz="0" w:space="0" w:color="auto"/>
        <w:bottom w:val="none" w:sz="0" w:space="0" w:color="auto"/>
        <w:right w:val="none" w:sz="0" w:space="0" w:color="auto"/>
      </w:divBdr>
    </w:div>
    <w:div w:id="287012127">
      <w:bodyDiv w:val="1"/>
      <w:marLeft w:val="0"/>
      <w:marRight w:val="0"/>
      <w:marTop w:val="0"/>
      <w:marBottom w:val="0"/>
      <w:divBdr>
        <w:top w:val="none" w:sz="0" w:space="0" w:color="auto"/>
        <w:left w:val="none" w:sz="0" w:space="0" w:color="auto"/>
        <w:bottom w:val="none" w:sz="0" w:space="0" w:color="auto"/>
        <w:right w:val="none" w:sz="0" w:space="0" w:color="auto"/>
      </w:divBdr>
    </w:div>
    <w:div w:id="287126852">
      <w:bodyDiv w:val="1"/>
      <w:marLeft w:val="0"/>
      <w:marRight w:val="0"/>
      <w:marTop w:val="0"/>
      <w:marBottom w:val="0"/>
      <w:divBdr>
        <w:top w:val="none" w:sz="0" w:space="0" w:color="auto"/>
        <w:left w:val="none" w:sz="0" w:space="0" w:color="auto"/>
        <w:bottom w:val="none" w:sz="0" w:space="0" w:color="auto"/>
        <w:right w:val="none" w:sz="0" w:space="0" w:color="auto"/>
      </w:divBdr>
    </w:div>
    <w:div w:id="290595589">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07396148">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50028983">
      <w:bodyDiv w:val="1"/>
      <w:marLeft w:val="0"/>
      <w:marRight w:val="0"/>
      <w:marTop w:val="0"/>
      <w:marBottom w:val="0"/>
      <w:divBdr>
        <w:top w:val="none" w:sz="0" w:space="0" w:color="auto"/>
        <w:left w:val="none" w:sz="0" w:space="0" w:color="auto"/>
        <w:bottom w:val="none" w:sz="0" w:space="0" w:color="auto"/>
        <w:right w:val="none" w:sz="0" w:space="0" w:color="auto"/>
      </w:divBdr>
    </w:div>
    <w:div w:id="36205195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0813506">
      <w:bodyDiv w:val="1"/>
      <w:marLeft w:val="0"/>
      <w:marRight w:val="0"/>
      <w:marTop w:val="0"/>
      <w:marBottom w:val="0"/>
      <w:divBdr>
        <w:top w:val="none" w:sz="0" w:space="0" w:color="auto"/>
        <w:left w:val="none" w:sz="0" w:space="0" w:color="auto"/>
        <w:bottom w:val="none" w:sz="0" w:space="0" w:color="auto"/>
        <w:right w:val="none" w:sz="0" w:space="0" w:color="auto"/>
      </w:divBdr>
    </w:div>
    <w:div w:id="373621871">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244455">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09607">
      <w:bodyDiv w:val="1"/>
      <w:marLeft w:val="0"/>
      <w:marRight w:val="0"/>
      <w:marTop w:val="0"/>
      <w:marBottom w:val="0"/>
      <w:divBdr>
        <w:top w:val="none" w:sz="0" w:space="0" w:color="auto"/>
        <w:left w:val="none" w:sz="0" w:space="0" w:color="auto"/>
        <w:bottom w:val="none" w:sz="0" w:space="0" w:color="auto"/>
        <w:right w:val="none" w:sz="0" w:space="0" w:color="auto"/>
      </w:divBdr>
    </w:div>
    <w:div w:id="428045846">
      <w:bodyDiv w:val="1"/>
      <w:marLeft w:val="0"/>
      <w:marRight w:val="0"/>
      <w:marTop w:val="0"/>
      <w:marBottom w:val="0"/>
      <w:divBdr>
        <w:top w:val="none" w:sz="0" w:space="0" w:color="auto"/>
        <w:left w:val="none" w:sz="0" w:space="0" w:color="auto"/>
        <w:bottom w:val="none" w:sz="0" w:space="0" w:color="auto"/>
        <w:right w:val="none" w:sz="0" w:space="0" w:color="auto"/>
      </w:divBdr>
    </w:div>
    <w:div w:id="429351912">
      <w:bodyDiv w:val="1"/>
      <w:marLeft w:val="0"/>
      <w:marRight w:val="0"/>
      <w:marTop w:val="0"/>
      <w:marBottom w:val="0"/>
      <w:divBdr>
        <w:top w:val="none" w:sz="0" w:space="0" w:color="auto"/>
        <w:left w:val="none" w:sz="0" w:space="0" w:color="auto"/>
        <w:bottom w:val="none" w:sz="0" w:space="0" w:color="auto"/>
        <w:right w:val="none" w:sz="0" w:space="0" w:color="auto"/>
      </w:divBdr>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37986911">
      <w:bodyDiv w:val="1"/>
      <w:marLeft w:val="0"/>
      <w:marRight w:val="0"/>
      <w:marTop w:val="0"/>
      <w:marBottom w:val="0"/>
      <w:divBdr>
        <w:top w:val="none" w:sz="0" w:space="0" w:color="auto"/>
        <w:left w:val="none" w:sz="0" w:space="0" w:color="auto"/>
        <w:bottom w:val="none" w:sz="0" w:space="0" w:color="auto"/>
        <w:right w:val="none" w:sz="0" w:space="0" w:color="auto"/>
      </w:divBdr>
    </w:div>
    <w:div w:id="44952081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6630068">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94423005">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09370300">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2499012">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6334289">
      <w:bodyDiv w:val="1"/>
      <w:marLeft w:val="0"/>
      <w:marRight w:val="0"/>
      <w:marTop w:val="0"/>
      <w:marBottom w:val="0"/>
      <w:divBdr>
        <w:top w:val="none" w:sz="0" w:space="0" w:color="auto"/>
        <w:left w:val="none" w:sz="0" w:space="0" w:color="auto"/>
        <w:bottom w:val="none" w:sz="0" w:space="0" w:color="auto"/>
        <w:right w:val="none" w:sz="0" w:space="0" w:color="auto"/>
      </w:divBdr>
    </w:div>
    <w:div w:id="547374723">
      <w:bodyDiv w:val="1"/>
      <w:marLeft w:val="0"/>
      <w:marRight w:val="0"/>
      <w:marTop w:val="0"/>
      <w:marBottom w:val="0"/>
      <w:divBdr>
        <w:top w:val="none" w:sz="0" w:space="0" w:color="auto"/>
        <w:left w:val="none" w:sz="0" w:space="0" w:color="auto"/>
        <w:bottom w:val="none" w:sz="0" w:space="0" w:color="auto"/>
        <w:right w:val="none" w:sz="0" w:space="0" w:color="auto"/>
      </w:divBdr>
    </w:div>
    <w:div w:id="553007000">
      <w:bodyDiv w:val="1"/>
      <w:marLeft w:val="0"/>
      <w:marRight w:val="0"/>
      <w:marTop w:val="0"/>
      <w:marBottom w:val="0"/>
      <w:divBdr>
        <w:top w:val="none" w:sz="0" w:space="0" w:color="auto"/>
        <w:left w:val="none" w:sz="0" w:space="0" w:color="auto"/>
        <w:bottom w:val="none" w:sz="0" w:space="0" w:color="auto"/>
        <w:right w:val="none" w:sz="0" w:space="0" w:color="auto"/>
      </w:divBdr>
    </w:div>
    <w:div w:id="561140185">
      <w:bodyDiv w:val="1"/>
      <w:marLeft w:val="0"/>
      <w:marRight w:val="0"/>
      <w:marTop w:val="0"/>
      <w:marBottom w:val="0"/>
      <w:divBdr>
        <w:top w:val="none" w:sz="0" w:space="0" w:color="auto"/>
        <w:left w:val="none" w:sz="0" w:space="0" w:color="auto"/>
        <w:bottom w:val="none" w:sz="0" w:space="0" w:color="auto"/>
        <w:right w:val="none" w:sz="0" w:space="0" w:color="auto"/>
      </w:divBdr>
    </w:div>
    <w:div w:id="564026402">
      <w:bodyDiv w:val="1"/>
      <w:marLeft w:val="0"/>
      <w:marRight w:val="0"/>
      <w:marTop w:val="0"/>
      <w:marBottom w:val="0"/>
      <w:divBdr>
        <w:top w:val="none" w:sz="0" w:space="0" w:color="auto"/>
        <w:left w:val="none" w:sz="0" w:space="0" w:color="auto"/>
        <w:bottom w:val="none" w:sz="0" w:space="0" w:color="auto"/>
        <w:right w:val="none" w:sz="0" w:space="0" w:color="auto"/>
      </w:divBdr>
    </w:div>
    <w:div w:id="566259580">
      <w:bodyDiv w:val="1"/>
      <w:marLeft w:val="0"/>
      <w:marRight w:val="0"/>
      <w:marTop w:val="0"/>
      <w:marBottom w:val="0"/>
      <w:divBdr>
        <w:top w:val="none" w:sz="0" w:space="0" w:color="auto"/>
        <w:left w:val="none" w:sz="0" w:space="0" w:color="auto"/>
        <w:bottom w:val="none" w:sz="0" w:space="0" w:color="auto"/>
        <w:right w:val="none" w:sz="0" w:space="0" w:color="auto"/>
      </w:divBdr>
    </w:div>
    <w:div w:id="569852536">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2736795">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523594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9169519">
      <w:bodyDiv w:val="1"/>
      <w:marLeft w:val="0"/>
      <w:marRight w:val="0"/>
      <w:marTop w:val="0"/>
      <w:marBottom w:val="0"/>
      <w:divBdr>
        <w:top w:val="none" w:sz="0" w:space="0" w:color="auto"/>
        <w:left w:val="none" w:sz="0" w:space="0" w:color="auto"/>
        <w:bottom w:val="none" w:sz="0" w:space="0" w:color="auto"/>
        <w:right w:val="none" w:sz="0" w:space="0" w:color="auto"/>
      </w:divBdr>
    </w:div>
    <w:div w:id="654918750">
      <w:bodyDiv w:val="1"/>
      <w:marLeft w:val="0"/>
      <w:marRight w:val="0"/>
      <w:marTop w:val="0"/>
      <w:marBottom w:val="0"/>
      <w:divBdr>
        <w:top w:val="none" w:sz="0" w:space="0" w:color="auto"/>
        <w:left w:val="none" w:sz="0" w:space="0" w:color="auto"/>
        <w:bottom w:val="none" w:sz="0" w:space="0" w:color="auto"/>
        <w:right w:val="none" w:sz="0" w:space="0" w:color="auto"/>
      </w:divBdr>
    </w:div>
    <w:div w:id="659891731">
      <w:bodyDiv w:val="1"/>
      <w:marLeft w:val="0"/>
      <w:marRight w:val="0"/>
      <w:marTop w:val="0"/>
      <w:marBottom w:val="0"/>
      <w:divBdr>
        <w:top w:val="none" w:sz="0" w:space="0" w:color="auto"/>
        <w:left w:val="none" w:sz="0" w:space="0" w:color="auto"/>
        <w:bottom w:val="none" w:sz="0" w:space="0" w:color="auto"/>
        <w:right w:val="none" w:sz="0" w:space="0" w:color="auto"/>
      </w:divBdr>
    </w:div>
    <w:div w:id="689454014">
      <w:bodyDiv w:val="1"/>
      <w:marLeft w:val="0"/>
      <w:marRight w:val="0"/>
      <w:marTop w:val="0"/>
      <w:marBottom w:val="0"/>
      <w:divBdr>
        <w:top w:val="none" w:sz="0" w:space="0" w:color="auto"/>
        <w:left w:val="none" w:sz="0" w:space="0" w:color="auto"/>
        <w:bottom w:val="none" w:sz="0" w:space="0" w:color="auto"/>
        <w:right w:val="none" w:sz="0" w:space="0" w:color="auto"/>
      </w:divBdr>
    </w:div>
    <w:div w:id="695156804">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9232485">
      <w:bodyDiv w:val="1"/>
      <w:marLeft w:val="0"/>
      <w:marRight w:val="0"/>
      <w:marTop w:val="0"/>
      <w:marBottom w:val="0"/>
      <w:divBdr>
        <w:top w:val="none" w:sz="0" w:space="0" w:color="auto"/>
        <w:left w:val="none" w:sz="0" w:space="0" w:color="auto"/>
        <w:bottom w:val="none" w:sz="0" w:space="0" w:color="auto"/>
        <w:right w:val="none" w:sz="0" w:space="0" w:color="auto"/>
      </w:divBdr>
    </w:div>
    <w:div w:id="755983056">
      <w:bodyDiv w:val="1"/>
      <w:marLeft w:val="0"/>
      <w:marRight w:val="0"/>
      <w:marTop w:val="0"/>
      <w:marBottom w:val="0"/>
      <w:divBdr>
        <w:top w:val="none" w:sz="0" w:space="0" w:color="auto"/>
        <w:left w:val="none" w:sz="0" w:space="0" w:color="auto"/>
        <w:bottom w:val="none" w:sz="0" w:space="0" w:color="auto"/>
        <w:right w:val="none" w:sz="0" w:space="0" w:color="auto"/>
      </w:divBdr>
    </w:div>
    <w:div w:id="765345643">
      <w:bodyDiv w:val="1"/>
      <w:marLeft w:val="0"/>
      <w:marRight w:val="0"/>
      <w:marTop w:val="0"/>
      <w:marBottom w:val="0"/>
      <w:divBdr>
        <w:top w:val="none" w:sz="0" w:space="0" w:color="auto"/>
        <w:left w:val="none" w:sz="0" w:space="0" w:color="auto"/>
        <w:bottom w:val="none" w:sz="0" w:space="0" w:color="auto"/>
        <w:right w:val="none" w:sz="0" w:space="0" w:color="auto"/>
      </w:divBdr>
    </w:div>
    <w:div w:id="77486078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791091114">
      <w:bodyDiv w:val="1"/>
      <w:marLeft w:val="0"/>
      <w:marRight w:val="0"/>
      <w:marTop w:val="0"/>
      <w:marBottom w:val="0"/>
      <w:divBdr>
        <w:top w:val="none" w:sz="0" w:space="0" w:color="auto"/>
        <w:left w:val="none" w:sz="0" w:space="0" w:color="auto"/>
        <w:bottom w:val="none" w:sz="0" w:space="0" w:color="auto"/>
        <w:right w:val="none" w:sz="0" w:space="0" w:color="auto"/>
      </w:divBdr>
    </w:div>
    <w:div w:id="80112000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3858419">
      <w:bodyDiv w:val="1"/>
      <w:marLeft w:val="0"/>
      <w:marRight w:val="0"/>
      <w:marTop w:val="0"/>
      <w:marBottom w:val="0"/>
      <w:divBdr>
        <w:top w:val="none" w:sz="0" w:space="0" w:color="auto"/>
        <w:left w:val="none" w:sz="0" w:space="0" w:color="auto"/>
        <w:bottom w:val="none" w:sz="0" w:space="0" w:color="auto"/>
        <w:right w:val="none" w:sz="0" w:space="0" w:color="auto"/>
      </w:divBdr>
    </w:div>
    <w:div w:id="833647241">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5824613">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5195507">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296281">
      <w:bodyDiv w:val="1"/>
      <w:marLeft w:val="0"/>
      <w:marRight w:val="0"/>
      <w:marTop w:val="0"/>
      <w:marBottom w:val="0"/>
      <w:divBdr>
        <w:top w:val="none" w:sz="0" w:space="0" w:color="auto"/>
        <w:left w:val="none" w:sz="0" w:space="0" w:color="auto"/>
        <w:bottom w:val="none" w:sz="0" w:space="0" w:color="auto"/>
        <w:right w:val="none" w:sz="0" w:space="0" w:color="auto"/>
      </w:divBdr>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7187936">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892739765">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290">
      <w:bodyDiv w:val="1"/>
      <w:marLeft w:val="0"/>
      <w:marRight w:val="0"/>
      <w:marTop w:val="0"/>
      <w:marBottom w:val="0"/>
      <w:divBdr>
        <w:top w:val="none" w:sz="0" w:space="0" w:color="auto"/>
        <w:left w:val="none" w:sz="0" w:space="0" w:color="auto"/>
        <w:bottom w:val="none" w:sz="0" w:space="0" w:color="auto"/>
        <w:right w:val="none" w:sz="0" w:space="0" w:color="auto"/>
      </w:divBdr>
    </w:div>
    <w:div w:id="922035327">
      <w:bodyDiv w:val="1"/>
      <w:marLeft w:val="0"/>
      <w:marRight w:val="0"/>
      <w:marTop w:val="0"/>
      <w:marBottom w:val="0"/>
      <w:divBdr>
        <w:top w:val="none" w:sz="0" w:space="0" w:color="auto"/>
        <w:left w:val="none" w:sz="0" w:space="0" w:color="auto"/>
        <w:bottom w:val="none" w:sz="0" w:space="0" w:color="auto"/>
        <w:right w:val="none" w:sz="0" w:space="0" w:color="auto"/>
      </w:divBdr>
    </w:div>
    <w:div w:id="937786799">
      <w:bodyDiv w:val="1"/>
      <w:marLeft w:val="0"/>
      <w:marRight w:val="0"/>
      <w:marTop w:val="0"/>
      <w:marBottom w:val="0"/>
      <w:divBdr>
        <w:top w:val="none" w:sz="0" w:space="0" w:color="auto"/>
        <w:left w:val="none" w:sz="0" w:space="0" w:color="auto"/>
        <w:bottom w:val="none" w:sz="0" w:space="0" w:color="auto"/>
        <w:right w:val="none" w:sz="0" w:space="0" w:color="auto"/>
      </w:divBdr>
    </w:div>
    <w:div w:id="941687883">
      <w:bodyDiv w:val="1"/>
      <w:marLeft w:val="0"/>
      <w:marRight w:val="0"/>
      <w:marTop w:val="0"/>
      <w:marBottom w:val="0"/>
      <w:divBdr>
        <w:top w:val="none" w:sz="0" w:space="0" w:color="auto"/>
        <w:left w:val="none" w:sz="0" w:space="0" w:color="auto"/>
        <w:bottom w:val="none" w:sz="0" w:space="0" w:color="auto"/>
        <w:right w:val="none" w:sz="0" w:space="0" w:color="auto"/>
      </w:divBdr>
    </w:div>
    <w:div w:id="94341450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0430577">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4556088">
      <w:bodyDiv w:val="1"/>
      <w:marLeft w:val="0"/>
      <w:marRight w:val="0"/>
      <w:marTop w:val="0"/>
      <w:marBottom w:val="0"/>
      <w:divBdr>
        <w:top w:val="none" w:sz="0" w:space="0" w:color="auto"/>
        <w:left w:val="none" w:sz="0" w:space="0" w:color="auto"/>
        <w:bottom w:val="none" w:sz="0" w:space="0" w:color="auto"/>
        <w:right w:val="none" w:sz="0" w:space="0" w:color="auto"/>
      </w:divBdr>
    </w:div>
    <w:div w:id="955256250">
      <w:bodyDiv w:val="1"/>
      <w:marLeft w:val="0"/>
      <w:marRight w:val="0"/>
      <w:marTop w:val="0"/>
      <w:marBottom w:val="0"/>
      <w:divBdr>
        <w:top w:val="none" w:sz="0" w:space="0" w:color="auto"/>
        <w:left w:val="none" w:sz="0" w:space="0" w:color="auto"/>
        <w:bottom w:val="none" w:sz="0" w:space="0" w:color="auto"/>
        <w:right w:val="none" w:sz="0" w:space="0" w:color="auto"/>
      </w:divBdr>
    </w:div>
    <w:div w:id="967248649">
      <w:bodyDiv w:val="1"/>
      <w:marLeft w:val="0"/>
      <w:marRight w:val="0"/>
      <w:marTop w:val="0"/>
      <w:marBottom w:val="0"/>
      <w:divBdr>
        <w:top w:val="none" w:sz="0" w:space="0" w:color="auto"/>
        <w:left w:val="none" w:sz="0" w:space="0" w:color="auto"/>
        <w:bottom w:val="none" w:sz="0" w:space="0" w:color="auto"/>
        <w:right w:val="none" w:sz="0" w:space="0" w:color="auto"/>
      </w:divBdr>
    </w:div>
    <w:div w:id="97001918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79773119">
      <w:bodyDiv w:val="1"/>
      <w:marLeft w:val="0"/>
      <w:marRight w:val="0"/>
      <w:marTop w:val="0"/>
      <w:marBottom w:val="0"/>
      <w:divBdr>
        <w:top w:val="none" w:sz="0" w:space="0" w:color="auto"/>
        <w:left w:val="none" w:sz="0" w:space="0" w:color="auto"/>
        <w:bottom w:val="none" w:sz="0" w:space="0" w:color="auto"/>
        <w:right w:val="none" w:sz="0" w:space="0" w:color="auto"/>
      </w:divBdr>
    </w:div>
    <w:div w:id="985013797">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2244106">
      <w:bodyDiv w:val="1"/>
      <w:marLeft w:val="0"/>
      <w:marRight w:val="0"/>
      <w:marTop w:val="0"/>
      <w:marBottom w:val="0"/>
      <w:divBdr>
        <w:top w:val="none" w:sz="0" w:space="0" w:color="auto"/>
        <w:left w:val="none" w:sz="0" w:space="0" w:color="auto"/>
        <w:bottom w:val="none" w:sz="0" w:space="0" w:color="auto"/>
        <w:right w:val="none" w:sz="0" w:space="0" w:color="auto"/>
      </w:divBdr>
    </w:div>
    <w:div w:id="1002969706">
      <w:bodyDiv w:val="1"/>
      <w:marLeft w:val="0"/>
      <w:marRight w:val="0"/>
      <w:marTop w:val="0"/>
      <w:marBottom w:val="0"/>
      <w:divBdr>
        <w:top w:val="none" w:sz="0" w:space="0" w:color="auto"/>
        <w:left w:val="none" w:sz="0" w:space="0" w:color="auto"/>
        <w:bottom w:val="none" w:sz="0" w:space="0" w:color="auto"/>
        <w:right w:val="none" w:sz="0" w:space="0" w:color="auto"/>
      </w:divBdr>
    </w:div>
    <w:div w:id="1010523143">
      <w:bodyDiv w:val="1"/>
      <w:marLeft w:val="0"/>
      <w:marRight w:val="0"/>
      <w:marTop w:val="0"/>
      <w:marBottom w:val="0"/>
      <w:divBdr>
        <w:top w:val="none" w:sz="0" w:space="0" w:color="auto"/>
        <w:left w:val="none" w:sz="0" w:space="0" w:color="auto"/>
        <w:bottom w:val="none" w:sz="0" w:space="0" w:color="auto"/>
        <w:right w:val="none" w:sz="0" w:space="0" w:color="auto"/>
      </w:divBdr>
    </w:div>
    <w:div w:id="1026716762">
      <w:bodyDiv w:val="1"/>
      <w:marLeft w:val="0"/>
      <w:marRight w:val="0"/>
      <w:marTop w:val="0"/>
      <w:marBottom w:val="0"/>
      <w:divBdr>
        <w:top w:val="none" w:sz="0" w:space="0" w:color="auto"/>
        <w:left w:val="none" w:sz="0" w:space="0" w:color="auto"/>
        <w:bottom w:val="none" w:sz="0" w:space="0" w:color="auto"/>
        <w:right w:val="none" w:sz="0" w:space="0" w:color="auto"/>
      </w:divBdr>
    </w:div>
    <w:div w:id="1036270014">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11360562">
      <w:bodyDiv w:val="1"/>
      <w:marLeft w:val="0"/>
      <w:marRight w:val="0"/>
      <w:marTop w:val="0"/>
      <w:marBottom w:val="0"/>
      <w:divBdr>
        <w:top w:val="none" w:sz="0" w:space="0" w:color="auto"/>
        <w:left w:val="none" w:sz="0" w:space="0" w:color="auto"/>
        <w:bottom w:val="none" w:sz="0" w:space="0" w:color="auto"/>
        <w:right w:val="none" w:sz="0" w:space="0" w:color="auto"/>
      </w:divBdr>
    </w:div>
    <w:div w:id="111321038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48834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101674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13422993">
      <w:bodyDiv w:val="1"/>
      <w:marLeft w:val="0"/>
      <w:marRight w:val="0"/>
      <w:marTop w:val="0"/>
      <w:marBottom w:val="0"/>
      <w:divBdr>
        <w:top w:val="none" w:sz="0" w:space="0" w:color="auto"/>
        <w:left w:val="none" w:sz="0" w:space="0" w:color="auto"/>
        <w:bottom w:val="none" w:sz="0" w:space="0" w:color="auto"/>
        <w:right w:val="none" w:sz="0" w:space="0" w:color="auto"/>
      </w:divBdr>
    </w:div>
    <w:div w:id="1217857677">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1818598">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41450925">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15721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1083430">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78681942">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45791376">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1686932">
      <w:bodyDiv w:val="1"/>
      <w:marLeft w:val="0"/>
      <w:marRight w:val="0"/>
      <w:marTop w:val="0"/>
      <w:marBottom w:val="0"/>
      <w:divBdr>
        <w:top w:val="none" w:sz="0" w:space="0" w:color="auto"/>
        <w:left w:val="none" w:sz="0" w:space="0" w:color="auto"/>
        <w:bottom w:val="none" w:sz="0" w:space="0" w:color="auto"/>
        <w:right w:val="none" w:sz="0" w:space="0" w:color="auto"/>
      </w:divBdr>
    </w:div>
    <w:div w:id="137226431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80520609">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5951965">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2333606">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228224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5536029">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53077231">
      <w:bodyDiv w:val="1"/>
      <w:marLeft w:val="0"/>
      <w:marRight w:val="0"/>
      <w:marTop w:val="0"/>
      <w:marBottom w:val="0"/>
      <w:divBdr>
        <w:top w:val="none" w:sz="0" w:space="0" w:color="auto"/>
        <w:left w:val="none" w:sz="0" w:space="0" w:color="auto"/>
        <w:bottom w:val="none" w:sz="0" w:space="0" w:color="auto"/>
        <w:right w:val="none" w:sz="0" w:space="0" w:color="auto"/>
      </w:divBdr>
    </w:div>
    <w:div w:id="1555967347">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28848946">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0258799">
      <w:bodyDiv w:val="1"/>
      <w:marLeft w:val="0"/>
      <w:marRight w:val="0"/>
      <w:marTop w:val="0"/>
      <w:marBottom w:val="0"/>
      <w:divBdr>
        <w:top w:val="none" w:sz="0" w:space="0" w:color="auto"/>
        <w:left w:val="none" w:sz="0" w:space="0" w:color="auto"/>
        <w:bottom w:val="none" w:sz="0" w:space="0" w:color="auto"/>
        <w:right w:val="none" w:sz="0" w:space="0" w:color="auto"/>
      </w:divBdr>
    </w:div>
    <w:div w:id="1648314831">
      <w:bodyDiv w:val="1"/>
      <w:marLeft w:val="0"/>
      <w:marRight w:val="0"/>
      <w:marTop w:val="0"/>
      <w:marBottom w:val="0"/>
      <w:divBdr>
        <w:top w:val="none" w:sz="0" w:space="0" w:color="auto"/>
        <w:left w:val="none" w:sz="0" w:space="0" w:color="auto"/>
        <w:bottom w:val="none" w:sz="0" w:space="0" w:color="auto"/>
        <w:right w:val="none" w:sz="0" w:space="0" w:color="auto"/>
      </w:divBdr>
    </w:div>
    <w:div w:id="1649823297">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54217766">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7607399">
      <w:bodyDiv w:val="1"/>
      <w:marLeft w:val="0"/>
      <w:marRight w:val="0"/>
      <w:marTop w:val="0"/>
      <w:marBottom w:val="0"/>
      <w:divBdr>
        <w:top w:val="none" w:sz="0" w:space="0" w:color="auto"/>
        <w:left w:val="none" w:sz="0" w:space="0" w:color="auto"/>
        <w:bottom w:val="none" w:sz="0" w:space="0" w:color="auto"/>
        <w:right w:val="none" w:sz="0" w:space="0" w:color="auto"/>
      </w:divBdr>
    </w:div>
    <w:div w:id="1735858038">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43063244">
      <w:bodyDiv w:val="1"/>
      <w:marLeft w:val="0"/>
      <w:marRight w:val="0"/>
      <w:marTop w:val="0"/>
      <w:marBottom w:val="0"/>
      <w:divBdr>
        <w:top w:val="none" w:sz="0" w:space="0" w:color="auto"/>
        <w:left w:val="none" w:sz="0" w:space="0" w:color="auto"/>
        <w:bottom w:val="none" w:sz="0" w:space="0" w:color="auto"/>
        <w:right w:val="none" w:sz="0" w:space="0" w:color="auto"/>
      </w:divBdr>
    </w:div>
    <w:div w:id="1748960952">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9563870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196039">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616538">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48863711">
      <w:bodyDiv w:val="1"/>
      <w:marLeft w:val="0"/>
      <w:marRight w:val="0"/>
      <w:marTop w:val="0"/>
      <w:marBottom w:val="0"/>
      <w:divBdr>
        <w:top w:val="none" w:sz="0" w:space="0" w:color="auto"/>
        <w:left w:val="none" w:sz="0" w:space="0" w:color="auto"/>
        <w:bottom w:val="none" w:sz="0" w:space="0" w:color="auto"/>
        <w:right w:val="none" w:sz="0" w:space="0" w:color="auto"/>
      </w:divBdr>
    </w:div>
    <w:div w:id="1853911105">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9366782">
      <w:bodyDiv w:val="1"/>
      <w:marLeft w:val="0"/>
      <w:marRight w:val="0"/>
      <w:marTop w:val="0"/>
      <w:marBottom w:val="0"/>
      <w:divBdr>
        <w:top w:val="none" w:sz="0" w:space="0" w:color="auto"/>
        <w:left w:val="none" w:sz="0" w:space="0" w:color="auto"/>
        <w:bottom w:val="none" w:sz="0" w:space="0" w:color="auto"/>
        <w:right w:val="none" w:sz="0" w:space="0" w:color="auto"/>
      </w:divBdr>
    </w:div>
    <w:div w:id="1876380239">
      <w:bodyDiv w:val="1"/>
      <w:marLeft w:val="0"/>
      <w:marRight w:val="0"/>
      <w:marTop w:val="0"/>
      <w:marBottom w:val="0"/>
      <w:divBdr>
        <w:top w:val="none" w:sz="0" w:space="0" w:color="auto"/>
        <w:left w:val="none" w:sz="0" w:space="0" w:color="auto"/>
        <w:bottom w:val="none" w:sz="0" w:space="0" w:color="auto"/>
        <w:right w:val="none" w:sz="0" w:space="0" w:color="auto"/>
      </w:divBdr>
    </w:div>
    <w:div w:id="1877305247">
      <w:bodyDiv w:val="1"/>
      <w:marLeft w:val="0"/>
      <w:marRight w:val="0"/>
      <w:marTop w:val="0"/>
      <w:marBottom w:val="0"/>
      <w:divBdr>
        <w:top w:val="none" w:sz="0" w:space="0" w:color="auto"/>
        <w:left w:val="none" w:sz="0" w:space="0" w:color="auto"/>
        <w:bottom w:val="none" w:sz="0" w:space="0" w:color="auto"/>
        <w:right w:val="none" w:sz="0" w:space="0" w:color="auto"/>
      </w:divBdr>
    </w:div>
    <w:div w:id="1886793692">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897741001">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04295893">
      <w:bodyDiv w:val="1"/>
      <w:marLeft w:val="0"/>
      <w:marRight w:val="0"/>
      <w:marTop w:val="0"/>
      <w:marBottom w:val="0"/>
      <w:divBdr>
        <w:top w:val="none" w:sz="0" w:space="0" w:color="auto"/>
        <w:left w:val="none" w:sz="0" w:space="0" w:color="auto"/>
        <w:bottom w:val="none" w:sz="0" w:space="0" w:color="auto"/>
        <w:right w:val="none" w:sz="0" w:space="0" w:color="auto"/>
      </w:divBdr>
    </w:div>
    <w:div w:id="1925066737">
      <w:bodyDiv w:val="1"/>
      <w:marLeft w:val="0"/>
      <w:marRight w:val="0"/>
      <w:marTop w:val="0"/>
      <w:marBottom w:val="0"/>
      <w:divBdr>
        <w:top w:val="none" w:sz="0" w:space="0" w:color="auto"/>
        <w:left w:val="none" w:sz="0" w:space="0" w:color="auto"/>
        <w:bottom w:val="none" w:sz="0" w:space="0" w:color="auto"/>
        <w:right w:val="none" w:sz="0" w:space="0" w:color="auto"/>
      </w:divBdr>
    </w:div>
    <w:div w:id="1932004456">
      <w:bodyDiv w:val="1"/>
      <w:marLeft w:val="0"/>
      <w:marRight w:val="0"/>
      <w:marTop w:val="0"/>
      <w:marBottom w:val="0"/>
      <w:divBdr>
        <w:top w:val="none" w:sz="0" w:space="0" w:color="auto"/>
        <w:left w:val="none" w:sz="0" w:space="0" w:color="auto"/>
        <w:bottom w:val="none" w:sz="0" w:space="0" w:color="auto"/>
        <w:right w:val="none" w:sz="0" w:space="0" w:color="auto"/>
      </w:divBdr>
    </w:div>
    <w:div w:id="1937203323">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0971545">
      <w:bodyDiv w:val="1"/>
      <w:marLeft w:val="0"/>
      <w:marRight w:val="0"/>
      <w:marTop w:val="0"/>
      <w:marBottom w:val="0"/>
      <w:divBdr>
        <w:top w:val="none" w:sz="0" w:space="0" w:color="auto"/>
        <w:left w:val="none" w:sz="0" w:space="0" w:color="auto"/>
        <w:bottom w:val="none" w:sz="0" w:space="0" w:color="auto"/>
        <w:right w:val="none" w:sz="0" w:space="0" w:color="auto"/>
      </w:divBdr>
    </w:div>
    <w:div w:id="1986929905">
      <w:bodyDiv w:val="1"/>
      <w:marLeft w:val="0"/>
      <w:marRight w:val="0"/>
      <w:marTop w:val="0"/>
      <w:marBottom w:val="0"/>
      <w:divBdr>
        <w:top w:val="none" w:sz="0" w:space="0" w:color="auto"/>
        <w:left w:val="none" w:sz="0" w:space="0" w:color="auto"/>
        <w:bottom w:val="none" w:sz="0" w:space="0" w:color="auto"/>
        <w:right w:val="none" w:sz="0" w:space="0" w:color="auto"/>
      </w:divBdr>
    </w:div>
    <w:div w:id="1988510933">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37121866">
      <w:bodyDiv w:val="1"/>
      <w:marLeft w:val="0"/>
      <w:marRight w:val="0"/>
      <w:marTop w:val="0"/>
      <w:marBottom w:val="0"/>
      <w:divBdr>
        <w:top w:val="none" w:sz="0" w:space="0" w:color="auto"/>
        <w:left w:val="none" w:sz="0" w:space="0" w:color="auto"/>
        <w:bottom w:val="none" w:sz="0" w:space="0" w:color="auto"/>
        <w:right w:val="none" w:sz="0" w:space="0" w:color="auto"/>
      </w:divBdr>
    </w:div>
    <w:div w:id="2048291655">
      <w:bodyDiv w:val="1"/>
      <w:marLeft w:val="0"/>
      <w:marRight w:val="0"/>
      <w:marTop w:val="0"/>
      <w:marBottom w:val="0"/>
      <w:divBdr>
        <w:top w:val="none" w:sz="0" w:space="0" w:color="auto"/>
        <w:left w:val="none" w:sz="0" w:space="0" w:color="auto"/>
        <w:bottom w:val="none" w:sz="0" w:space="0" w:color="auto"/>
        <w:right w:val="none" w:sz="0" w:space="0" w:color="auto"/>
      </w:divBdr>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65446484">
      <w:bodyDiv w:val="1"/>
      <w:marLeft w:val="0"/>
      <w:marRight w:val="0"/>
      <w:marTop w:val="0"/>
      <w:marBottom w:val="0"/>
      <w:divBdr>
        <w:top w:val="none" w:sz="0" w:space="0" w:color="auto"/>
        <w:left w:val="none" w:sz="0" w:space="0" w:color="auto"/>
        <w:bottom w:val="none" w:sz="0" w:space="0" w:color="auto"/>
        <w:right w:val="none" w:sz="0" w:space="0" w:color="auto"/>
      </w:divBdr>
    </w:div>
    <w:div w:id="2068064230">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68740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01442702">
      <w:bodyDiv w:val="1"/>
      <w:marLeft w:val="0"/>
      <w:marRight w:val="0"/>
      <w:marTop w:val="0"/>
      <w:marBottom w:val="0"/>
      <w:divBdr>
        <w:top w:val="none" w:sz="0" w:space="0" w:color="auto"/>
        <w:left w:val="none" w:sz="0" w:space="0" w:color="auto"/>
        <w:bottom w:val="none" w:sz="0" w:space="0" w:color="auto"/>
        <w:right w:val="none" w:sz="0" w:space="0" w:color="auto"/>
      </w:divBdr>
    </w:div>
    <w:div w:id="2110613540">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76769">
      <w:bodyDiv w:val="1"/>
      <w:marLeft w:val="0"/>
      <w:marRight w:val="0"/>
      <w:marTop w:val="0"/>
      <w:marBottom w:val="0"/>
      <w:divBdr>
        <w:top w:val="none" w:sz="0" w:space="0" w:color="auto"/>
        <w:left w:val="none" w:sz="0" w:space="0" w:color="auto"/>
        <w:bottom w:val="none" w:sz="0" w:space="0" w:color="auto"/>
        <w:right w:val="none" w:sz="0" w:space="0" w:color="auto"/>
      </w:divBdr>
    </w:div>
    <w:div w:id="2132236234">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6C467-907A-4F8E-A6C2-57DB6BAC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10845</Words>
  <Characters>63766</Characters>
  <Application>Microsoft Office Word</Application>
  <DocSecurity>0</DocSecurity>
  <Lines>531</Lines>
  <Paragraphs>148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2023-03-20T01:10:00Z</dcterms:created>
  <dcterms:modified xsi:type="dcterms:W3CDTF">2023-03-21T06:26:00Z</dcterms:modified>
</cp:coreProperties>
</file>