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88CEC" w14:textId="77777777" w:rsidR="00BA4494" w:rsidRDefault="00BA4494" w:rsidP="00BA4494">
      <w:pPr>
        <w:pStyle w:val="6attachments"/>
        <w:rPr>
          <w:rStyle w:val="CommentReference"/>
          <w:sz w:val="24"/>
          <w:szCs w:val="24"/>
        </w:rPr>
      </w:pPr>
      <w:r>
        <w:rPr>
          <w:rStyle w:val="CommentReference"/>
          <w:sz w:val="24"/>
          <w:szCs w:val="24"/>
        </w:rPr>
        <w:t>DECEMBER 2022 PBAC OUTCOMES-OTHER MATTERS</w:t>
      </w:r>
    </w:p>
    <w:p w14:paraId="094340FC" w14:textId="77777777" w:rsidR="00BA4494" w:rsidRDefault="00BA4494" w:rsidP="00BA4494">
      <w:pPr>
        <w:pStyle w:val="6attachments"/>
        <w:rPr>
          <w:rStyle w:val="CommentReference"/>
          <w:sz w:val="24"/>
          <w:szCs w:val="24"/>
        </w:rPr>
      </w:pPr>
    </w:p>
    <w:tbl>
      <w:tblPr>
        <w:tblStyle w:val="TableGrid"/>
        <w:tblW w:w="0" w:type="auto"/>
        <w:tblLook w:val="04A0" w:firstRow="1" w:lastRow="0" w:firstColumn="1" w:lastColumn="0" w:noHBand="0" w:noVBand="1"/>
      </w:tblPr>
      <w:tblGrid>
        <w:gridCol w:w="4649"/>
        <w:gridCol w:w="4649"/>
        <w:gridCol w:w="4650"/>
      </w:tblGrid>
      <w:tr w:rsidR="00BA4494" w:rsidRPr="002774BF" w14:paraId="64E19086" w14:textId="77777777" w:rsidTr="00D16ECF">
        <w:trPr>
          <w:tblHeader/>
        </w:trPr>
        <w:tc>
          <w:tcPr>
            <w:tcW w:w="4649" w:type="dxa"/>
          </w:tcPr>
          <w:p w14:paraId="7420B1C6" w14:textId="77777777" w:rsidR="00BA4494" w:rsidRPr="002774BF" w:rsidRDefault="00BA4494" w:rsidP="00D16ECF">
            <w:pPr>
              <w:rPr>
                <w:b/>
                <w:bCs/>
              </w:rPr>
            </w:pPr>
            <w:r w:rsidRPr="002774BF">
              <w:rPr>
                <w:b/>
                <w:bCs/>
              </w:rPr>
              <w:t>DRUG TYPE AND USE</w:t>
            </w:r>
          </w:p>
        </w:tc>
        <w:tc>
          <w:tcPr>
            <w:tcW w:w="4649" w:type="dxa"/>
          </w:tcPr>
          <w:p w14:paraId="2550FBE8" w14:textId="77777777" w:rsidR="00BA4494" w:rsidRPr="002774BF" w:rsidRDefault="00BA4494" w:rsidP="00D16ECF">
            <w:pPr>
              <w:rPr>
                <w:b/>
                <w:bCs/>
              </w:rPr>
            </w:pPr>
            <w:r w:rsidRPr="002774BF">
              <w:rPr>
                <w:b/>
                <w:bCs/>
              </w:rPr>
              <w:t>PURPOSE</w:t>
            </w:r>
          </w:p>
        </w:tc>
        <w:tc>
          <w:tcPr>
            <w:tcW w:w="4650" w:type="dxa"/>
          </w:tcPr>
          <w:p w14:paraId="2EDCBA3D" w14:textId="77777777" w:rsidR="00BA4494" w:rsidRPr="002774BF" w:rsidRDefault="00BA4494" w:rsidP="00D16ECF">
            <w:pPr>
              <w:rPr>
                <w:b/>
                <w:bCs/>
              </w:rPr>
            </w:pPr>
            <w:r w:rsidRPr="002774BF">
              <w:rPr>
                <w:b/>
                <w:bCs/>
              </w:rPr>
              <w:t>PBAC OUTCOME</w:t>
            </w:r>
          </w:p>
        </w:tc>
      </w:tr>
      <w:tr w:rsidR="00BA4494" w:rsidRPr="00C938FB" w14:paraId="3F49619F" w14:textId="77777777" w:rsidTr="00D16ECF">
        <w:tc>
          <w:tcPr>
            <w:tcW w:w="4649" w:type="dxa"/>
          </w:tcPr>
          <w:p w14:paraId="3C7240C4" w14:textId="77777777" w:rsidR="00BA4494" w:rsidRDefault="00BA4494" w:rsidP="00D16ECF">
            <w:r>
              <w:t xml:space="preserve">Pharmaceutical Benefits Scheme (PBS) medicines used to treat chronic stable conditions. These are listed by World Health Organisation Anatomical Therapeutic Classification (ATC) Index, referred to as “Body Systems”, on the PBS. </w:t>
            </w:r>
          </w:p>
          <w:p w14:paraId="062B821D" w14:textId="77777777" w:rsidR="00BA4494" w:rsidRPr="001A09D1" w:rsidRDefault="00BA4494" w:rsidP="00D16ECF"/>
          <w:p w14:paraId="4E2B3D05" w14:textId="77777777" w:rsidR="00BA4494" w:rsidRPr="001A09D1" w:rsidRDefault="00BA4494" w:rsidP="00BA4494">
            <w:pPr>
              <w:pStyle w:val="ListParagraph"/>
              <w:numPr>
                <w:ilvl w:val="0"/>
                <w:numId w:val="3"/>
              </w:numPr>
              <w:jc w:val="left"/>
              <w:rPr>
                <w:rFonts w:asciiTheme="minorHAnsi" w:hAnsiTheme="minorHAnsi" w:cstheme="minorBidi"/>
                <w:sz w:val="24"/>
                <w:szCs w:val="24"/>
              </w:rPr>
            </w:pPr>
            <w:r w:rsidRPr="001A09D1">
              <w:rPr>
                <w:rFonts w:asciiTheme="minorHAnsi" w:hAnsiTheme="minorHAnsi" w:cstheme="minorBidi"/>
                <w:sz w:val="24"/>
                <w:szCs w:val="24"/>
              </w:rPr>
              <w:t xml:space="preserve">Alimentary (ATC-A): diabetes, inflammatory bowel disease, laxatives, digestive enzymes </w:t>
            </w:r>
          </w:p>
          <w:p w14:paraId="6BD0C247" w14:textId="77777777" w:rsidR="00BA4494" w:rsidRPr="001A09D1" w:rsidRDefault="00BA4494" w:rsidP="00BA4494">
            <w:pPr>
              <w:pStyle w:val="ListParagraph"/>
              <w:numPr>
                <w:ilvl w:val="0"/>
                <w:numId w:val="3"/>
              </w:numPr>
              <w:jc w:val="left"/>
              <w:rPr>
                <w:rFonts w:asciiTheme="minorHAnsi" w:hAnsiTheme="minorHAnsi" w:cstheme="minorBidi"/>
                <w:sz w:val="24"/>
                <w:szCs w:val="24"/>
              </w:rPr>
            </w:pPr>
            <w:r w:rsidRPr="001A09D1">
              <w:rPr>
                <w:rFonts w:asciiTheme="minorHAnsi" w:hAnsiTheme="minorHAnsi" w:cstheme="minorBidi"/>
                <w:sz w:val="24"/>
                <w:szCs w:val="24"/>
              </w:rPr>
              <w:t xml:space="preserve">Antineoplastic and immunomodulatory (ATC-L) – immunosuppressants, breast cancer, rheumatoid arthritis </w:t>
            </w:r>
          </w:p>
          <w:p w14:paraId="42BA195A" w14:textId="77777777" w:rsidR="00BA4494" w:rsidRPr="001A09D1" w:rsidRDefault="00BA4494" w:rsidP="00BA4494">
            <w:pPr>
              <w:pStyle w:val="ListParagraph"/>
              <w:numPr>
                <w:ilvl w:val="0"/>
                <w:numId w:val="2"/>
              </w:numPr>
              <w:jc w:val="left"/>
              <w:rPr>
                <w:rFonts w:asciiTheme="minorHAnsi" w:hAnsiTheme="minorHAnsi" w:cstheme="minorBidi"/>
                <w:snapToGrid/>
                <w:sz w:val="24"/>
                <w:szCs w:val="24"/>
              </w:rPr>
            </w:pPr>
            <w:r w:rsidRPr="001A09D1">
              <w:rPr>
                <w:rFonts w:asciiTheme="minorHAnsi" w:hAnsiTheme="minorHAnsi" w:cstheme="minorBidi"/>
                <w:snapToGrid/>
                <w:sz w:val="24"/>
                <w:szCs w:val="24"/>
              </w:rPr>
              <w:t>Anti-infectives (ATC-J): acne, bronchiectasis, rheumatic fever</w:t>
            </w:r>
          </w:p>
          <w:p w14:paraId="786B5966" w14:textId="77777777" w:rsidR="00BA4494" w:rsidRPr="001A09D1" w:rsidRDefault="00BA4494" w:rsidP="00BA4494">
            <w:pPr>
              <w:pStyle w:val="ListParagraph"/>
              <w:numPr>
                <w:ilvl w:val="0"/>
                <w:numId w:val="2"/>
              </w:numPr>
              <w:jc w:val="left"/>
              <w:rPr>
                <w:rFonts w:asciiTheme="minorHAnsi" w:hAnsiTheme="minorHAnsi" w:cstheme="minorBidi"/>
                <w:snapToGrid/>
                <w:sz w:val="24"/>
                <w:szCs w:val="24"/>
              </w:rPr>
            </w:pPr>
            <w:r w:rsidRPr="001A09D1">
              <w:rPr>
                <w:rFonts w:asciiTheme="minorHAnsi" w:hAnsiTheme="minorHAnsi" w:cstheme="minorBidi"/>
                <w:snapToGrid/>
                <w:sz w:val="24"/>
                <w:szCs w:val="24"/>
              </w:rPr>
              <w:t xml:space="preserve">Blood (ATC-B): platelet inhibitors, thrombin inhibitors </w:t>
            </w:r>
          </w:p>
          <w:p w14:paraId="495197BD" w14:textId="77777777" w:rsidR="00BA4494" w:rsidRPr="001A09D1" w:rsidRDefault="00BA4494" w:rsidP="00BA4494">
            <w:pPr>
              <w:pStyle w:val="ListParagraph"/>
              <w:numPr>
                <w:ilvl w:val="0"/>
                <w:numId w:val="2"/>
              </w:numPr>
              <w:jc w:val="left"/>
              <w:rPr>
                <w:rFonts w:asciiTheme="minorHAnsi" w:hAnsiTheme="minorHAnsi" w:cstheme="minorBidi"/>
                <w:snapToGrid/>
                <w:sz w:val="24"/>
                <w:szCs w:val="24"/>
              </w:rPr>
            </w:pPr>
            <w:r w:rsidRPr="001A09D1">
              <w:rPr>
                <w:rFonts w:asciiTheme="minorHAnsi" w:hAnsiTheme="minorHAnsi" w:cstheme="minorBidi"/>
                <w:snapToGrid/>
                <w:sz w:val="24"/>
                <w:szCs w:val="24"/>
              </w:rPr>
              <w:t xml:space="preserve">Cardiovascular (ATC-C1- C10, high cholesterol, hypertension, angina, heart failure </w:t>
            </w:r>
          </w:p>
          <w:p w14:paraId="5A3706E6" w14:textId="77777777" w:rsidR="00BA4494" w:rsidRPr="001A09D1" w:rsidRDefault="00BA4494" w:rsidP="00BA4494">
            <w:pPr>
              <w:pStyle w:val="ListParagraph"/>
              <w:numPr>
                <w:ilvl w:val="0"/>
                <w:numId w:val="2"/>
              </w:numPr>
              <w:jc w:val="left"/>
              <w:rPr>
                <w:rFonts w:asciiTheme="minorHAnsi" w:hAnsiTheme="minorHAnsi" w:cstheme="minorBidi"/>
                <w:snapToGrid/>
                <w:sz w:val="24"/>
                <w:szCs w:val="24"/>
              </w:rPr>
            </w:pPr>
            <w:r w:rsidRPr="001A09D1">
              <w:rPr>
                <w:rFonts w:asciiTheme="minorHAnsi" w:hAnsiTheme="minorHAnsi" w:cstheme="minorBidi"/>
                <w:snapToGrid/>
                <w:sz w:val="24"/>
                <w:szCs w:val="24"/>
              </w:rPr>
              <w:t>Dermatological (ATC-D)- psoriasis, acne</w:t>
            </w:r>
          </w:p>
          <w:p w14:paraId="0C108C36" w14:textId="77777777" w:rsidR="00BA4494" w:rsidRPr="001A09D1" w:rsidRDefault="00BA4494" w:rsidP="00BA4494">
            <w:pPr>
              <w:pStyle w:val="ListParagraph"/>
              <w:numPr>
                <w:ilvl w:val="0"/>
                <w:numId w:val="2"/>
              </w:numPr>
              <w:jc w:val="left"/>
              <w:rPr>
                <w:rFonts w:asciiTheme="minorHAnsi" w:hAnsiTheme="minorHAnsi" w:cstheme="minorBidi"/>
                <w:snapToGrid/>
                <w:sz w:val="24"/>
                <w:szCs w:val="24"/>
              </w:rPr>
            </w:pPr>
            <w:r w:rsidRPr="001A09D1">
              <w:rPr>
                <w:rFonts w:asciiTheme="minorHAnsi" w:hAnsiTheme="minorHAnsi" w:cstheme="minorBidi"/>
                <w:snapToGrid/>
                <w:sz w:val="24"/>
                <w:szCs w:val="24"/>
              </w:rPr>
              <w:t>Genitourinary (ATC-G): hormone replacement therapy, urinary incontinence</w:t>
            </w:r>
          </w:p>
          <w:p w14:paraId="71DFA13F" w14:textId="77777777" w:rsidR="00BA4494" w:rsidRPr="001A09D1" w:rsidRDefault="00BA4494" w:rsidP="00BA4494">
            <w:pPr>
              <w:pStyle w:val="ListParagraph"/>
              <w:numPr>
                <w:ilvl w:val="0"/>
                <w:numId w:val="3"/>
              </w:numPr>
              <w:jc w:val="left"/>
              <w:rPr>
                <w:rFonts w:asciiTheme="minorHAnsi" w:hAnsiTheme="minorHAnsi" w:cstheme="minorBidi"/>
                <w:sz w:val="24"/>
                <w:szCs w:val="24"/>
              </w:rPr>
            </w:pPr>
            <w:r w:rsidRPr="001A09D1">
              <w:rPr>
                <w:rFonts w:asciiTheme="minorHAnsi" w:hAnsiTheme="minorHAnsi" w:cstheme="minorBidi"/>
                <w:sz w:val="24"/>
                <w:szCs w:val="24"/>
              </w:rPr>
              <w:t xml:space="preserve">Musculoskeletal (ATC-M): gout, osteoporosis </w:t>
            </w:r>
          </w:p>
          <w:p w14:paraId="2B39DF7B" w14:textId="77777777" w:rsidR="00BA4494" w:rsidRPr="001A09D1" w:rsidRDefault="00BA4494" w:rsidP="00BA4494">
            <w:pPr>
              <w:pStyle w:val="ListParagraph"/>
              <w:numPr>
                <w:ilvl w:val="0"/>
                <w:numId w:val="3"/>
              </w:numPr>
              <w:jc w:val="left"/>
              <w:rPr>
                <w:rFonts w:asciiTheme="minorHAnsi" w:hAnsiTheme="minorHAnsi" w:cstheme="minorBidi"/>
                <w:sz w:val="24"/>
                <w:szCs w:val="24"/>
              </w:rPr>
            </w:pPr>
            <w:r w:rsidRPr="001A09D1">
              <w:rPr>
                <w:rFonts w:asciiTheme="minorHAnsi" w:hAnsiTheme="minorHAnsi" w:cstheme="minorBidi"/>
                <w:sz w:val="24"/>
                <w:szCs w:val="24"/>
              </w:rPr>
              <w:t xml:space="preserve">Nervous (ATC-N)– antidepressants, epilepsy, migraine prevention, Parkinson </w:t>
            </w:r>
            <w:r w:rsidRPr="001A09D1">
              <w:rPr>
                <w:rFonts w:asciiTheme="minorHAnsi" w:hAnsiTheme="minorHAnsi" w:cstheme="minorBidi"/>
                <w:sz w:val="24"/>
                <w:szCs w:val="24"/>
              </w:rPr>
              <w:lastRenderedPageBreak/>
              <w:t xml:space="preserve">disease </w:t>
            </w:r>
          </w:p>
          <w:p w14:paraId="663F333E" w14:textId="77777777" w:rsidR="00BA4494" w:rsidRPr="001A09D1" w:rsidRDefault="00BA4494" w:rsidP="00BA4494">
            <w:pPr>
              <w:pStyle w:val="ListParagraph"/>
              <w:numPr>
                <w:ilvl w:val="0"/>
                <w:numId w:val="3"/>
              </w:numPr>
              <w:jc w:val="left"/>
              <w:rPr>
                <w:rFonts w:asciiTheme="minorHAnsi" w:hAnsiTheme="minorHAnsi" w:cstheme="minorBidi"/>
                <w:sz w:val="24"/>
                <w:szCs w:val="24"/>
              </w:rPr>
            </w:pPr>
            <w:r w:rsidRPr="001A09D1">
              <w:rPr>
                <w:rFonts w:asciiTheme="minorHAnsi" w:hAnsiTheme="minorHAnsi" w:cstheme="minorBidi"/>
                <w:sz w:val="24"/>
                <w:szCs w:val="24"/>
              </w:rPr>
              <w:t xml:space="preserve">Respiratory (ATC-R) – asthma, chronic obstructive pulmonary disease </w:t>
            </w:r>
          </w:p>
          <w:p w14:paraId="219DCF41" w14:textId="77777777" w:rsidR="00BA4494" w:rsidRPr="001A09D1" w:rsidRDefault="00BA4494" w:rsidP="00BA4494">
            <w:pPr>
              <w:pStyle w:val="ListParagraph"/>
              <w:numPr>
                <w:ilvl w:val="0"/>
                <w:numId w:val="3"/>
              </w:numPr>
              <w:jc w:val="left"/>
              <w:rPr>
                <w:rFonts w:asciiTheme="minorHAnsi" w:hAnsiTheme="minorHAnsi" w:cstheme="minorBidi"/>
                <w:sz w:val="24"/>
                <w:szCs w:val="24"/>
              </w:rPr>
            </w:pPr>
            <w:r w:rsidRPr="001A09D1">
              <w:rPr>
                <w:rFonts w:asciiTheme="minorHAnsi" w:hAnsiTheme="minorHAnsi" w:cstheme="minorBidi"/>
                <w:sz w:val="24"/>
                <w:szCs w:val="24"/>
              </w:rPr>
              <w:t xml:space="preserve">Sensory (ATC-S): glaucoma, dry eyes </w:t>
            </w:r>
          </w:p>
          <w:p w14:paraId="3E24C283" w14:textId="77777777" w:rsidR="00BA4494" w:rsidRPr="001A09D1" w:rsidRDefault="00BA4494" w:rsidP="00BA4494">
            <w:pPr>
              <w:pStyle w:val="ListParagraph"/>
              <w:numPr>
                <w:ilvl w:val="0"/>
                <w:numId w:val="3"/>
              </w:numPr>
              <w:jc w:val="left"/>
              <w:rPr>
                <w:rFonts w:asciiTheme="minorHAnsi" w:hAnsiTheme="minorHAnsi" w:cstheme="minorBidi"/>
                <w:sz w:val="24"/>
                <w:szCs w:val="24"/>
              </w:rPr>
            </w:pPr>
            <w:r w:rsidRPr="001A09D1">
              <w:rPr>
                <w:rFonts w:asciiTheme="minorHAnsi" w:hAnsiTheme="minorHAnsi" w:cstheme="minorBidi"/>
                <w:sz w:val="24"/>
                <w:szCs w:val="24"/>
              </w:rPr>
              <w:t>Systemic hormonal preparations (ATC-H): endometriosis, thyroid, parathyroid</w:t>
            </w:r>
          </w:p>
          <w:p w14:paraId="2346E386" w14:textId="77777777" w:rsidR="00BA4494" w:rsidRDefault="00BA4494" w:rsidP="00BA4494">
            <w:pPr>
              <w:pStyle w:val="ListParagraph"/>
              <w:numPr>
                <w:ilvl w:val="0"/>
                <w:numId w:val="3"/>
              </w:numPr>
              <w:jc w:val="left"/>
            </w:pPr>
            <w:r w:rsidRPr="001A09D1">
              <w:rPr>
                <w:rFonts w:asciiTheme="minorHAnsi" w:hAnsiTheme="minorHAnsi" w:cstheme="minorBidi"/>
                <w:sz w:val="24"/>
                <w:szCs w:val="24"/>
              </w:rPr>
              <w:t>Various (ATC-V) – hypercalcemia, hyperkalaemia, hyperphosphatemia</w:t>
            </w:r>
          </w:p>
        </w:tc>
        <w:tc>
          <w:tcPr>
            <w:tcW w:w="4649" w:type="dxa"/>
          </w:tcPr>
          <w:p w14:paraId="71934D8A" w14:textId="0AB859F1" w:rsidR="00BA4494" w:rsidRDefault="00BA4494" w:rsidP="00D16ECF">
            <w:r>
              <w:lastRenderedPageBreak/>
              <w:t>The Delegate requested the Pharmaceutical Benefits Advisory Committee provide advice on the following matter under section 101(3) of the National Health Act, 1953 (the Act)</w:t>
            </w:r>
            <w:r w:rsidR="00755E27">
              <w:t>.</w:t>
            </w:r>
            <w:r>
              <w:t xml:space="preserve"> </w:t>
            </w:r>
          </w:p>
          <w:p w14:paraId="3B129A60" w14:textId="77777777" w:rsidR="00BA4494" w:rsidRDefault="00BA4494" w:rsidP="00D16ECF"/>
          <w:p w14:paraId="53B91670" w14:textId="77777777" w:rsidR="00BA4494" w:rsidRDefault="00BA4494" w:rsidP="00D16ECF">
            <w:r>
              <w:t xml:space="preserve">The clinical safety and suitability of each medicine for the treatment of chronic conditions for PBS listing under the following circumstances: </w:t>
            </w:r>
          </w:p>
          <w:p w14:paraId="7E9E9E0D" w14:textId="77777777" w:rsidR="00BA4494" w:rsidRDefault="00BA4494" w:rsidP="00D16ECF"/>
          <w:p w14:paraId="262250FC" w14:textId="3CEB5568" w:rsidR="00BA4494" w:rsidRDefault="00BA4494" w:rsidP="00D16ECF">
            <w:r>
              <w:t>• Increase the maximum dispensed quantities (MDQ) on selected PBS items from one months</w:t>
            </w:r>
            <w:r w:rsidR="005F73A5">
              <w:t>’</w:t>
            </w:r>
            <w:r>
              <w:t xml:space="preserve"> supply </w:t>
            </w:r>
            <w:r w:rsidRPr="00516F10">
              <w:t>to up to three months’</w:t>
            </w:r>
            <w:r>
              <w:t xml:space="preserve"> supply per dispensing, allowing up to 12 months’ supply in total per prescription. </w:t>
            </w:r>
          </w:p>
        </w:tc>
        <w:tc>
          <w:tcPr>
            <w:tcW w:w="4650" w:type="dxa"/>
          </w:tcPr>
          <w:p w14:paraId="0D899B8E" w14:textId="206F2411" w:rsidR="00BA4494" w:rsidRDefault="00BA4494" w:rsidP="00D16ECF">
            <w:r>
              <w:t xml:space="preserve">In </w:t>
            </w:r>
            <w:hyperlink r:id="rId7" w:history="1">
              <w:r w:rsidRPr="008434FF">
                <w:rPr>
                  <w:rStyle w:val="Hyperlink"/>
                </w:rPr>
                <w:t>August 2018</w:t>
              </w:r>
            </w:hyperlink>
            <w:r>
              <w:t>, the PBAC considered the clinical safety and suitability of selected PBS medicines for chronic conditions for PBS listing with increased dispensed quantities i.e. from one months</w:t>
            </w:r>
            <w:r w:rsidR="005F73A5">
              <w:t>’</w:t>
            </w:r>
            <w:r>
              <w:t xml:space="preserve"> supply </w:t>
            </w:r>
            <w:r w:rsidRPr="00516F10">
              <w:t>to two months</w:t>
            </w:r>
            <w:r w:rsidR="005F73A5">
              <w:t>’</w:t>
            </w:r>
            <w:r w:rsidRPr="00516F10">
              <w:t xml:space="preserve"> </w:t>
            </w:r>
            <w:r>
              <w:t>supply per dispensing, allowing up to 12 months’ supply in total.</w:t>
            </w:r>
          </w:p>
          <w:p w14:paraId="73215F6A" w14:textId="77777777" w:rsidR="00BA4494" w:rsidRDefault="00BA4494" w:rsidP="00D16ECF"/>
          <w:p w14:paraId="625654A0" w14:textId="1A22A8A6" w:rsidR="00BA4494" w:rsidRDefault="00BA4494" w:rsidP="00D16ECF">
            <w:r>
              <w:t xml:space="preserve">In December 2022, the PBAC reconsidered an updated list of PBS medicines that are indicated for the treatment of chronic conditions for their suitability for listing with increased MDQs per dispensing, </w:t>
            </w:r>
            <w:r w:rsidRPr="00516F10">
              <w:t>from one months</w:t>
            </w:r>
            <w:r w:rsidR="005F73A5">
              <w:t>’</w:t>
            </w:r>
            <w:r w:rsidRPr="00516F10">
              <w:t xml:space="preserve"> supply to up to three months</w:t>
            </w:r>
            <w:r w:rsidR="005F73A5">
              <w:t>’</w:t>
            </w:r>
            <w:r w:rsidRPr="00516F10">
              <w:t xml:space="preserve"> supply per dispensing.</w:t>
            </w:r>
          </w:p>
          <w:p w14:paraId="24F9665A" w14:textId="77777777" w:rsidR="00BA4494" w:rsidRDefault="00BA4494" w:rsidP="00D16ECF"/>
          <w:p w14:paraId="0ED85793" w14:textId="77777777" w:rsidR="00BA4494" w:rsidRDefault="00BA4494" w:rsidP="00D16ECF">
            <w:r>
              <w:t>The PBAC accepted the updated guidance for exclusion of a medicine/medicine group fr</w:t>
            </w:r>
            <w:r w:rsidRPr="00FB6BAA">
              <w:t xml:space="preserve">om the increased </w:t>
            </w:r>
            <w:r>
              <w:t>MDQ</w:t>
            </w:r>
            <w:r w:rsidRPr="00FB6BAA">
              <w:t xml:space="preserve"> proposal</w:t>
            </w:r>
            <w:r>
              <w:t>.</w:t>
            </w:r>
          </w:p>
          <w:p w14:paraId="1CA463D1" w14:textId="77777777" w:rsidR="00BA4494" w:rsidRDefault="00BA4494" w:rsidP="00D16ECF"/>
          <w:p w14:paraId="6996125A" w14:textId="64E64CFA" w:rsidR="00BA4494" w:rsidRDefault="00BA4494" w:rsidP="00D16ECF">
            <w:r>
              <w:t xml:space="preserve">Based on an assessment of clinical safety and ongoing cost-effectiveness, the PBAC recommended that </w:t>
            </w:r>
            <w:r w:rsidRPr="00516F10">
              <w:t>304</w:t>
            </w:r>
            <w:r>
              <w:t xml:space="preserve"> medicines (</w:t>
            </w:r>
            <w:r w:rsidRPr="00516F10">
              <w:t>895</w:t>
            </w:r>
            <w:r>
              <w:t xml:space="preserve"> PBS </w:t>
            </w:r>
            <w:proofErr w:type="gramStart"/>
            <w:r>
              <w:t>items)*</w:t>
            </w:r>
            <w:proofErr w:type="gramEnd"/>
            <w:r>
              <w:t xml:space="preserve"> were suitable for listing with increased MDQs of either two or three months</w:t>
            </w:r>
            <w:r w:rsidR="005F73A5">
              <w:t>’</w:t>
            </w:r>
            <w:r>
              <w:t xml:space="preserve"> supply per dispensing. </w:t>
            </w:r>
          </w:p>
          <w:p w14:paraId="3D4B0733" w14:textId="77777777" w:rsidR="00BA4494" w:rsidRDefault="00BA4494" w:rsidP="00D16ECF"/>
          <w:p w14:paraId="025FF6B7" w14:textId="028B7ACB" w:rsidR="00BA4494" w:rsidRDefault="00BA4494" w:rsidP="00D16ECF">
            <w:r>
              <w:t xml:space="preserve">The PBAC also recommended amending the </w:t>
            </w:r>
            <w:r w:rsidRPr="004D7EFD">
              <w:t xml:space="preserve">12 month repeat listings (21 medicines/43 PBS item </w:t>
            </w:r>
            <w:proofErr w:type="gramStart"/>
            <w:r w:rsidRPr="004D7EFD">
              <w:t>codes)</w:t>
            </w:r>
            <w:r w:rsidR="00755E27">
              <w:t>*</w:t>
            </w:r>
            <w:proofErr w:type="gramEnd"/>
            <w:r>
              <w:t xml:space="preserve"> </w:t>
            </w:r>
            <w:r w:rsidRPr="004D7EFD">
              <w:t xml:space="preserve">for digestive enzymes, lipid lowering </w:t>
            </w:r>
            <w:r w:rsidRPr="004D7EFD">
              <w:lastRenderedPageBreak/>
              <w:t>medicines, ulcerative colitis and ocular lubricants</w:t>
            </w:r>
            <w:r>
              <w:t xml:space="preserve"> to include increased MDQs. The 12 </w:t>
            </w:r>
            <w:proofErr w:type="gramStart"/>
            <w:r>
              <w:t>month</w:t>
            </w:r>
            <w:proofErr w:type="gramEnd"/>
            <w:r>
              <w:t xml:space="preserve"> repeat PBS items currently allow a MDQ of approximately one months</w:t>
            </w:r>
            <w:r w:rsidR="005F73A5">
              <w:t>’</w:t>
            </w:r>
            <w:r>
              <w:t xml:space="preserve"> supply and 11 repeats and will be amended to allow up to </w:t>
            </w:r>
            <w:r w:rsidRPr="00516F10">
              <w:t>three months</w:t>
            </w:r>
            <w:r w:rsidR="005F73A5">
              <w:t>’</w:t>
            </w:r>
            <w:r w:rsidRPr="00516F10">
              <w:t xml:space="preserve"> supply</w:t>
            </w:r>
            <w:r>
              <w:t xml:space="preserve"> per dispensing with sufficient repeats to provide 12 months</w:t>
            </w:r>
            <w:r w:rsidR="005F73A5">
              <w:t>’</w:t>
            </w:r>
            <w:r>
              <w:t xml:space="preserve"> supply.</w:t>
            </w:r>
          </w:p>
          <w:p w14:paraId="36886D06" w14:textId="77777777" w:rsidR="00BA4494" w:rsidRDefault="00BA4494" w:rsidP="00D16ECF"/>
          <w:p w14:paraId="2ACB4EE8" w14:textId="1633C8F1" w:rsidR="00BA4494" w:rsidRDefault="00BA4494" w:rsidP="00D16ECF">
            <w:r>
              <w:t xml:space="preserve">The </w:t>
            </w:r>
            <w:hyperlink r:id="rId8" w:history="1">
              <w:r w:rsidRPr="008434FF">
                <w:rPr>
                  <w:rStyle w:val="Hyperlink"/>
                </w:rPr>
                <w:t>list of medicines</w:t>
              </w:r>
            </w:hyperlink>
            <w:r>
              <w:t xml:space="preserve"> accepted by the PBAC as suitable for additional PBS items with increased MDQ is available on the PBS website.</w:t>
            </w:r>
          </w:p>
          <w:p w14:paraId="549EEEF3" w14:textId="77777777" w:rsidR="00BA4494" w:rsidRDefault="00BA4494" w:rsidP="00D16ECF"/>
          <w:p w14:paraId="7041C3DB" w14:textId="77777777" w:rsidR="00BA4494" w:rsidRDefault="00BA4494" w:rsidP="00D16ECF">
            <w:r w:rsidRPr="00025828">
              <w:t xml:space="preserve">The PBAC confirmed that </w:t>
            </w:r>
            <w:r>
              <w:t xml:space="preserve">the </w:t>
            </w:r>
            <w:r w:rsidRPr="00025828">
              <w:t>recommendations</w:t>
            </w:r>
            <w:r>
              <w:t xml:space="preserve"> </w:t>
            </w:r>
            <w:r w:rsidRPr="00025828">
              <w:t xml:space="preserve">for PBS items with the increased </w:t>
            </w:r>
            <w:r>
              <w:t>MDQ</w:t>
            </w:r>
            <w:r w:rsidRPr="00025828">
              <w:t xml:space="preserve"> would be in addition to the current PBS items with one months’ supply and five repeats for the corresponding medicine. This would ensure prescriber choice; such that smaller quantities could still be prescribed for patients as clinically appropriate</w:t>
            </w:r>
            <w:r>
              <w:t xml:space="preserve"> </w:t>
            </w:r>
            <w:r w:rsidRPr="00025828">
              <w:t xml:space="preserve">to avoid medicine wastage and </w:t>
            </w:r>
            <w:r>
              <w:t xml:space="preserve">to </w:t>
            </w:r>
            <w:r w:rsidRPr="00025828">
              <w:t>support closer clinical</w:t>
            </w:r>
            <w:r>
              <w:t xml:space="preserve"> monitoring of patients where required.</w:t>
            </w:r>
          </w:p>
          <w:p w14:paraId="260391C3" w14:textId="77777777" w:rsidR="00BA4494" w:rsidRDefault="00BA4494" w:rsidP="00D16ECF"/>
          <w:p w14:paraId="71FB9A36" w14:textId="77777777" w:rsidR="00BA4494" w:rsidRDefault="00BA4494" w:rsidP="00D16ECF">
            <w:r>
              <w:t>The PBAC recommended that the following standard criterion be included in the PBS restrictions for PBS medicines with increased MDQ:</w:t>
            </w:r>
          </w:p>
          <w:p w14:paraId="5C58088B" w14:textId="77777777" w:rsidR="00BA4494" w:rsidRPr="00C938FB" w:rsidRDefault="00BA4494" w:rsidP="00BA4494">
            <w:pPr>
              <w:pStyle w:val="ListParagraph"/>
              <w:widowControl/>
              <w:numPr>
                <w:ilvl w:val="0"/>
                <w:numId w:val="1"/>
              </w:numPr>
              <w:jc w:val="left"/>
              <w:rPr>
                <w:rFonts w:asciiTheme="minorHAnsi" w:hAnsiTheme="minorHAnsi" w:cstheme="minorHAnsi"/>
                <w:i/>
                <w:iCs/>
                <w:sz w:val="24"/>
                <w:szCs w:val="24"/>
              </w:rPr>
            </w:pPr>
            <w:r w:rsidRPr="00C938FB">
              <w:rPr>
                <w:rFonts w:asciiTheme="minorHAnsi" w:hAnsiTheme="minorHAnsi" w:cstheme="minorBidi"/>
                <w:sz w:val="24"/>
                <w:szCs w:val="24"/>
              </w:rPr>
              <w:t xml:space="preserve">Clinical criterion: </w:t>
            </w:r>
            <w:r w:rsidRPr="00C938FB">
              <w:rPr>
                <w:rFonts w:asciiTheme="minorHAnsi" w:hAnsiTheme="minorHAnsi" w:cstheme="minorHAnsi"/>
                <w:i/>
                <w:iCs/>
                <w:sz w:val="24"/>
                <w:szCs w:val="24"/>
              </w:rPr>
              <w:t xml:space="preserve">Patient’s condition must be stable and suitable for the increased Maximum Dispensed Quantity measure </w:t>
            </w:r>
          </w:p>
          <w:p w14:paraId="384CB14F" w14:textId="77777777" w:rsidR="00BA4494" w:rsidRDefault="00BA4494" w:rsidP="00D16ECF">
            <w:r>
              <w:lastRenderedPageBreak/>
              <w:t>The PBAC recommended that the approved prescribers for each recommended PBS medicine would remain consistent for the increased MDQ listing for the same medicine.</w:t>
            </w:r>
          </w:p>
          <w:p w14:paraId="713B045B" w14:textId="77777777" w:rsidR="00BA4494" w:rsidRDefault="00BA4494" w:rsidP="00D16ECF"/>
          <w:p w14:paraId="0022FD0A" w14:textId="08AED345" w:rsidR="00BA4494" w:rsidRPr="00C938FB" w:rsidRDefault="00BA4494" w:rsidP="00D16ECF">
            <w:pPr>
              <w:rPr>
                <w:b/>
              </w:rPr>
            </w:pPr>
            <w:r w:rsidRPr="00ED62DE">
              <w:t>The PBAC accept</w:t>
            </w:r>
            <w:r>
              <w:t>ed</w:t>
            </w:r>
            <w:r w:rsidRPr="00ED62DE">
              <w:t xml:space="preserve"> that the Department will specify the appropriate number of repeats for any medicine the PBAC recommend</w:t>
            </w:r>
            <w:r>
              <w:t>ed</w:t>
            </w:r>
            <w:r w:rsidRPr="00ED62DE">
              <w:t xml:space="preserve"> for inclusion in the </w:t>
            </w:r>
            <w:r>
              <w:t xml:space="preserve">increased MDQ </w:t>
            </w:r>
            <w:r w:rsidRPr="00ED62DE">
              <w:t>proposal to allow 12 months</w:t>
            </w:r>
            <w:r w:rsidR="005F73A5">
              <w:t>’</w:t>
            </w:r>
            <w:r w:rsidRPr="00ED62DE">
              <w:t xml:space="preserve"> supply (at the dosage reco</w:t>
            </w:r>
            <w:r>
              <w:t>mme</w:t>
            </w:r>
            <w:r w:rsidRPr="00ED62DE">
              <w:t>nded in the Product Information)</w:t>
            </w:r>
            <w:r>
              <w:t xml:space="preserve">, except where the PBAC specifically recommended increased quantities for shorter prescription durations. </w:t>
            </w:r>
          </w:p>
          <w:p w14:paraId="59522459" w14:textId="77777777" w:rsidR="00BA4494" w:rsidRDefault="00BA4494" w:rsidP="00D16ECF"/>
        </w:tc>
      </w:tr>
    </w:tbl>
    <w:p w14:paraId="7D32D937" w14:textId="462DB6EF" w:rsidR="00BA4494" w:rsidRPr="00516F10" w:rsidRDefault="00BA4494" w:rsidP="00BA4494">
      <w:pPr>
        <w:rPr>
          <w:rFonts w:asciiTheme="minorHAnsi" w:eastAsiaTheme="minorHAnsi" w:hAnsiTheme="minorHAnsi" w:cstheme="minorHAnsi"/>
          <w:sz w:val="20"/>
          <w:szCs w:val="20"/>
        </w:rPr>
      </w:pPr>
      <w:r w:rsidRPr="00516F10">
        <w:rPr>
          <w:rFonts w:asciiTheme="minorHAnsi" w:eastAsiaTheme="minorHAnsi" w:hAnsiTheme="minorHAnsi" w:cstheme="minorHAnsi"/>
          <w:sz w:val="20"/>
          <w:szCs w:val="20"/>
        </w:rPr>
        <w:lastRenderedPageBreak/>
        <w:t>*These numbers were correct at the time of PBAC consideration</w:t>
      </w:r>
      <w:r w:rsidR="00755E27">
        <w:rPr>
          <w:rFonts w:asciiTheme="minorHAnsi" w:eastAsiaTheme="minorHAnsi" w:hAnsiTheme="minorHAnsi" w:cstheme="minorHAnsi"/>
          <w:sz w:val="20"/>
          <w:szCs w:val="20"/>
        </w:rPr>
        <w:t xml:space="preserve"> in</w:t>
      </w:r>
      <w:r w:rsidRPr="00516F10">
        <w:rPr>
          <w:rFonts w:asciiTheme="minorHAnsi" w:eastAsiaTheme="minorHAnsi" w:hAnsiTheme="minorHAnsi" w:cstheme="minorHAnsi"/>
          <w:sz w:val="20"/>
          <w:szCs w:val="20"/>
        </w:rPr>
        <w:t xml:space="preserve"> December 2022 but due to </w:t>
      </w:r>
      <w:r w:rsidR="00755E27">
        <w:rPr>
          <w:rFonts w:asciiTheme="minorHAnsi" w:eastAsiaTheme="minorHAnsi" w:hAnsiTheme="minorHAnsi" w:cstheme="minorHAnsi"/>
          <w:sz w:val="20"/>
          <w:szCs w:val="20"/>
        </w:rPr>
        <w:t xml:space="preserve">ongoing </w:t>
      </w:r>
      <w:r w:rsidRPr="00516F10">
        <w:rPr>
          <w:rFonts w:asciiTheme="minorHAnsi" w:eastAsiaTheme="minorHAnsi" w:hAnsiTheme="minorHAnsi" w:cstheme="minorHAnsi"/>
          <w:sz w:val="20"/>
          <w:szCs w:val="20"/>
        </w:rPr>
        <w:t>updates to the PBS schedule the</w:t>
      </w:r>
      <w:r w:rsidR="00755E27">
        <w:rPr>
          <w:rFonts w:asciiTheme="minorHAnsi" w:eastAsiaTheme="minorHAnsi" w:hAnsiTheme="minorHAnsi" w:cstheme="minorHAnsi"/>
          <w:sz w:val="20"/>
          <w:szCs w:val="20"/>
        </w:rPr>
        <w:t>se numbers may vary over time</w:t>
      </w:r>
      <w:r w:rsidRPr="00516F10">
        <w:rPr>
          <w:rFonts w:asciiTheme="minorHAnsi" w:hAnsiTheme="minorHAnsi" w:cstheme="minorHAnsi"/>
          <w:sz w:val="20"/>
          <w:szCs w:val="20"/>
        </w:rPr>
        <w:t xml:space="preserve">. </w:t>
      </w:r>
    </w:p>
    <w:p w14:paraId="50074F09" w14:textId="77777777" w:rsidR="00280050" w:rsidRDefault="00280050"/>
    <w:sectPr w:rsidR="00280050" w:rsidSect="00BA4494">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7D813" w14:textId="77777777" w:rsidR="00BA4494" w:rsidRDefault="00BA4494" w:rsidP="00BA4494">
      <w:r>
        <w:separator/>
      </w:r>
    </w:p>
  </w:endnote>
  <w:endnote w:type="continuationSeparator" w:id="0">
    <w:p w14:paraId="7AA54F10" w14:textId="77777777" w:rsidR="00BA4494" w:rsidRDefault="00BA4494" w:rsidP="00BA4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CD88B" w14:textId="112C5518" w:rsidR="00BA4494" w:rsidRPr="00BA4494" w:rsidRDefault="00BA4494" w:rsidP="00BA4494">
    <w:pPr>
      <w:pStyle w:val="NoSpacing"/>
      <w:jc w:val="center"/>
      <w:rPr>
        <w:rFonts w:asciiTheme="minorHAnsi" w:hAnsiTheme="minorHAnsi" w:cstheme="minorHAnsi"/>
        <w:b/>
      </w:rPr>
    </w:pPr>
    <w:r w:rsidRPr="00BA4494">
      <w:rPr>
        <w:rFonts w:asciiTheme="minorHAnsi" w:hAnsiTheme="minorHAnsi" w:cstheme="minorHAnsi"/>
        <w:b/>
      </w:rPr>
      <w:t xml:space="preserve">December 2022 PBAC Intracycle Meeting </w:t>
    </w:r>
  </w:p>
  <w:p w14:paraId="28B61243" w14:textId="77777777" w:rsidR="00BA4494" w:rsidRDefault="00BA4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4D5BB" w14:textId="77777777" w:rsidR="00BA4494" w:rsidRDefault="00BA4494" w:rsidP="00BA4494">
      <w:r>
        <w:separator/>
      </w:r>
    </w:p>
  </w:footnote>
  <w:footnote w:type="continuationSeparator" w:id="0">
    <w:p w14:paraId="64A9C167" w14:textId="77777777" w:rsidR="00BA4494" w:rsidRDefault="00BA4494" w:rsidP="00BA4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37073" w14:textId="31F3C3B1" w:rsidR="00BA4494" w:rsidRDefault="00BA4494" w:rsidP="00BA4494">
    <w:pPr>
      <w:pStyle w:val="Header"/>
      <w:jc w:val="center"/>
      <w:rPr>
        <w:rFonts w:asciiTheme="minorHAnsi" w:hAnsiTheme="minorHAnsi" w:cstheme="minorHAnsi"/>
        <w:i/>
        <w:iCs/>
      </w:rPr>
    </w:pPr>
    <w:r>
      <w:rPr>
        <w:rFonts w:asciiTheme="minorHAnsi" w:hAnsiTheme="minorHAnsi" w:cstheme="minorHAnsi"/>
        <w:i/>
        <w:iCs/>
      </w:rPr>
      <w:t>Ratified Minutes – December 2022 PBAC Intracycle Meeting</w:t>
    </w:r>
  </w:p>
  <w:p w14:paraId="22AA454B" w14:textId="0421A394" w:rsidR="00BA4494" w:rsidRDefault="00BA4494">
    <w:pPr>
      <w:pStyle w:val="Header"/>
    </w:pPr>
  </w:p>
  <w:p w14:paraId="5802B44F" w14:textId="77777777" w:rsidR="00BA4494" w:rsidRDefault="00BA44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83EA2"/>
    <w:multiLevelType w:val="hybridMultilevel"/>
    <w:tmpl w:val="3E549F32"/>
    <w:lvl w:ilvl="0" w:tplc="0C090001">
      <w:start w:val="1"/>
      <w:numFmt w:val="bullet"/>
      <w:lvlText w:val=""/>
      <w:lvlJc w:val="left"/>
      <w:pPr>
        <w:ind w:left="360" w:hanging="360"/>
      </w:pPr>
      <w:rPr>
        <w:rFonts w:ascii="Symbol" w:hAnsi="Symbol" w:hint="default"/>
      </w:rPr>
    </w:lvl>
    <w:lvl w:ilvl="1" w:tplc="66CAF078">
      <w:numFmt w:val="bullet"/>
      <w:lvlText w:val="•"/>
      <w:lvlJc w:val="left"/>
      <w:pPr>
        <w:ind w:left="1080" w:hanging="360"/>
      </w:pPr>
      <w:rPr>
        <w:rFonts w:ascii="Calibri" w:eastAsiaTheme="minorHAnsi" w:hAnsi="Calibri" w:cs="Calibri"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530C4282"/>
    <w:multiLevelType w:val="hybridMultilevel"/>
    <w:tmpl w:val="8C3AFA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AD05F6C"/>
    <w:multiLevelType w:val="hybridMultilevel"/>
    <w:tmpl w:val="FB8E1B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494"/>
    <w:rsid w:val="00280050"/>
    <w:rsid w:val="00552ED6"/>
    <w:rsid w:val="005F73A5"/>
    <w:rsid w:val="00755E27"/>
    <w:rsid w:val="008434FF"/>
    <w:rsid w:val="008A15BF"/>
    <w:rsid w:val="00AE2138"/>
    <w:rsid w:val="00BA4494"/>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DB91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494"/>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Points,Numbered para,Footnote,Bullet point,List Paragraph1,List Paragraph11,Recommendation,ES Paragraph,PBAC ES Paragraph,PBAC normal points,Bullet List,Figure_name,Numbered Indented Text,Bullet- First level,List NUmber"/>
    <w:basedOn w:val="Normal"/>
    <w:link w:val="ListParagraphChar"/>
    <w:uiPriority w:val="34"/>
    <w:qFormat/>
    <w:rsid w:val="00BA4494"/>
    <w:pPr>
      <w:widowControl w:val="0"/>
      <w:ind w:left="720"/>
      <w:contextualSpacing/>
      <w:jc w:val="both"/>
    </w:pPr>
    <w:rPr>
      <w:rFonts w:ascii="Arial" w:hAnsi="Arial" w:cs="Arial"/>
      <w:snapToGrid w:val="0"/>
      <w:sz w:val="22"/>
      <w:szCs w:val="20"/>
    </w:rPr>
  </w:style>
  <w:style w:type="character" w:customStyle="1" w:styleId="ListParagraphChar">
    <w:name w:val="List Paragraph Char"/>
    <w:aliases w:val="BulletPoints Char,Numbered para Char,Footnote Char,Bullet point Char,List Paragraph1 Char,List Paragraph11 Char,Recommendation Char,ES Paragraph Char,PBAC ES Paragraph Char,PBAC normal points Char,Bullet List Char,Figure_name Char"/>
    <w:basedOn w:val="DefaultParagraphFont"/>
    <w:link w:val="ListParagraph"/>
    <w:uiPriority w:val="34"/>
    <w:qFormat/>
    <w:locked/>
    <w:rsid w:val="00BA4494"/>
    <w:rPr>
      <w:rFonts w:ascii="Arial" w:eastAsia="Times New Roman" w:hAnsi="Arial" w:cs="Arial"/>
      <w:snapToGrid w:val="0"/>
      <w:sz w:val="22"/>
      <w:szCs w:val="20"/>
    </w:rPr>
  </w:style>
  <w:style w:type="character" w:styleId="CommentReference">
    <w:name w:val="annotation reference"/>
    <w:aliases w:val="Table Title"/>
    <w:basedOn w:val="DefaultParagraphFont"/>
    <w:uiPriority w:val="99"/>
    <w:qFormat/>
    <w:rsid w:val="00BA4494"/>
    <w:rPr>
      <w:sz w:val="16"/>
      <w:szCs w:val="16"/>
    </w:rPr>
  </w:style>
  <w:style w:type="paragraph" w:styleId="CommentText">
    <w:name w:val="annotation text"/>
    <w:basedOn w:val="Normal"/>
    <w:link w:val="CommentTextChar"/>
    <w:uiPriority w:val="99"/>
    <w:rsid w:val="00BA4494"/>
    <w:rPr>
      <w:sz w:val="20"/>
    </w:rPr>
  </w:style>
  <w:style w:type="character" w:customStyle="1" w:styleId="CommentTextChar">
    <w:name w:val="Comment Text Char"/>
    <w:basedOn w:val="DefaultParagraphFont"/>
    <w:link w:val="CommentText"/>
    <w:uiPriority w:val="99"/>
    <w:rsid w:val="00BA4494"/>
    <w:rPr>
      <w:rFonts w:eastAsia="Times New Roman"/>
      <w:sz w:val="20"/>
    </w:rPr>
  </w:style>
  <w:style w:type="paragraph" w:customStyle="1" w:styleId="6attachments">
    <w:name w:val="6. attachments"/>
    <w:basedOn w:val="NoSpacing"/>
    <w:link w:val="6attachmentsChar"/>
    <w:qFormat/>
    <w:rsid w:val="00BA4494"/>
    <w:pPr>
      <w:jc w:val="both"/>
    </w:pPr>
    <w:rPr>
      <w:rFonts w:asciiTheme="minorHAnsi" w:hAnsiTheme="minorHAnsi" w:cstheme="minorHAnsi"/>
      <w:b/>
    </w:rPr>
  </w:style>
  <w:style w:type="character" w:customStyle="1" w:styleId="6attachmentsChar">
    <w:name w:val="6. attachments Char"/>
    <w:basedOn w:val="DefaultParagraphFont"/>
    <w:link w:val="6attachments"/>
    <w:rsid w:val="00BA4494"/>
    <w:rPr>
      <w:rFonts w:asciiTheme="minorHAnsi" w:eastAsia="Times New Roman" w:hAnsiTheme="minorHAnsi" w:cstheme="minorHAnsi"/>
      <w:b/>
    </w:rPr>
  </w:style>
  <w:style w:type="table" w:styleId="TableGrid">
    <w:name w:val="Table Grid"/>
    <w:basedOn w:val="TableNormal"/>
    <w:uiPriority w:val="39"/>
    <w:rsid w:val="00BA4494"/>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A4494"/>
    <w:pPr>
      <w:spacing w:after="0" w:line="240" w:lineRule="auto"/>
    </w:pPr>
    <w:rPr>
      <w:rFonts w:eastAsia="Times New Roman"/>
    </w:rPr>
  </w:style>
  <w:style w:type="paragraph" w:styleId="Header">
    <w:name w:val="header"/>
    <w:aliases w:val="Page Header,Header title,he=header,cntr/bld"/>
    <w:basedOn w:val="Normal"/>
    <w:link w:val="HeaderChar"/>
    <w:uiPriority w:val="99"/>
    <w:unhideWhenUsed/>
    <w:rsid w:val="00BA4494"/>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BA4494"/>
    <w:rPr>
      <w:rFonts w:eastAsia="Times New Roman"/>
    </w:rPr>
  </w:style>
  <w:style w:type="paragraph" w:styleId="Footer">
    <w:name w:val="footer"/>
    <w:basedOn w:val="Normal"/>
    <w:link w:val="FooterChar"/>
    <w:uiPriority w:val="99"/>
    <w:unhideWhenUsed/>
    <w:rsid w:val="00BA4494"/>
    <w:pPr>
      <w:tabs>
        <w:tab w:val="center" w:pos="4513"/>
        <w:tab w:val="right" w:pos="9026"/>
      </w:tabs>
    </w:pPr>
  </w:style>
  <w:style w:type="character" w:customStyle="1" w:styleId="FooterChar">
    <w:name w:val="Footer Char"/>
    <w:basedOn w:val="DefaultParagraphFont"/>
    <w:link w:val="Footer"/>
    <w:uiPriority w:val="99"/>
    <w:rsid w:val="00BA4494"/>
    <w:rPr>
      <w:rFonts w:eastAsia="Times New Roman"/>
    </w:rPr>
  </w:style>
  <w:style w:type="character" w:customStyle="1" w:styleId="NoSpacingChar">
    <w:name w:val="No Spacing Char"/>
    <w:basedOn w:val="DefaultParagraphFont"/>
    <w:link w:val="NoSpacing"/>
    <w:uiPriority w:val="1"/>
    <w:rsid w:val="00BA4494"/>
    <w:rPr>
      <w:rFonts w:eastAsia="Times New Roman"/>
    </w:rPr>
  </w:style>
  <w:style w:type="character" w:styleId="Hyperlink">
    <w:name w:val="Hyperlink"/>
    <w:basedOn w:val="DefaultParagraphFont"/>
    <w:uiPriority w:val="99"/>
    <w:unhideWhenUsed/>
    <w:rsid w:val="008434FF"/>
    <w:rPr>
      <w:color w:val="0563C1" w:themeColor="hyperlink"/>
      <w:u w:val="single"/>
    </w:rPr>
  </w:style>
  <w:style w:type="character" w:styleId="UnresolvedMention">
    <w:name w:val="Unresolved Mention"/>
    <w:basedOn w:val="DefaultParagraphFont"/>
    <w:uiPriority w:val="99"/>
    <w:semiHidden/>
    <w:unhideWhenUsed/>
    <w:rsid w:val="008434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bs.gov.au/info/industry/listing/elements/pbac-meetings/pbac-outcomes/recommendations-made-by-the-pbac-december-2022-intracycle" TargetMode="External"/><Relationship Id="rId3" Type="http://schemas.openxmlformats.org/officeDocument/2006/relationships/settings" Target="settings.xml"/><Relationship Id="rId7" Type="http://schemas.openxmlformats.org/officeDocument/2006/relationships/hyperlink" Target="https://www.pbs.gov.au/info/industry/listing/elements/pbac-meetings/pbac-outcomes/recommendations-made-pbac-august-201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725</Words>
  <Characters>4138</Characters>
  <Application>Microsoft Office Word</Application>
  <DocSecurity>0</DocSecurity>
  <Lines>34</Lines>
  <Paragraphs>9</Paragraphs>
  <ScaleCrop>false</ScaleCrop>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2023-04-25T22:25:00Z</dcterms:created>
  <dcterms:modified xsi:type="dcterms:W3CDTF">2023-04-25T23:05:00Z</dcterms:modified>
</cp:coreProperties>
</file>