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1315957F" w:rsidR="007567D2" w:rsidRPr="00292120" w:rsidRDefault="007567D2" w:rsidP="007C685F">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p>
    <w:p w14:paraId="498951C4" w14:textId="211A8FF8" w:rsidR="007567D2" w:rsidRPr="00292120" w:rsidRDefault="007567D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3"/>
        <w:gridCol w:w="2764"/>
        <w:gridCol w:w="3288"/>
        <w:gridCol w:w="1987"/>
        <w:gridCol w:w="4336"/>
      </w:tblGrid>
      <w:tr w:rsidR="00F374F7" w:rsidRPr="00544497" w14:paraId="2F780D8A" w14:textId="77777777" w:rsidTr="00C70218">
        <w:trPr>
          <w:cantSplit/>
          <w:tblHeader/>
          <w:jc w:val="center"/>
        </w:trPr>
        <w:tc>
          <w:tcPr>
            <w:tcW w:w="3013" w:type="dxa"/>
            <w:shd w:val="clear" w:color="auto" w:fill="auto"/>
            <w:tcMar>
              <w:top w:w="28" w:type="dxa"/>
              <w:bottom w:w="28" w:type="dxa"/>
            </w:tcMar>
            <w:vAlign w:val="center"/>
          </w:tcPr>
          <w:p w14:paraId="58BB41E5" w14:textId="46F847AB" w:rsidR="00F374F7" w:rsidRPr="00D60E67" w:rsidRDefault="00F374F7" w:rsidP="00F3265E">
            <w:pPr>
              <w:keepLines/>
              <w:widowControl w:val="0"/>
              <w:spacing w:after="120"/>
              <w:ind w:right="-106"/>
              <w:jc w:val="center"/>
              <w:rPr>
                <w:rFonts w:asciiTheme="minorHAnsi" w:hAnsiTheme="minorHAnsi" w:cstheme="minorHAnsi"/>
                <w:b/>
                <w:sz w:val="18"/>
                <w:szCs w:val="18"/>
              </w:rPr>
            </w:pPr>
            <w:r w:rsidRPr="00D60E67">
              <w:rPr>
                <w:rFonts w:asciiTheme="minorHAnsi" w:hAnsiTheme="minorHAnsi" w:cstheme="minorHAnsi"/>
                <w:b/>
                <w:sz w:val="18"/>
                <w:szCs w:val="18"/>
              </w:rPr>
              <w:t>DRUG NAME, FORM(S), STRENGTH(S), SPONSOR, TYPE OF SUBMISSION</w:t>
            </w:r>
          </w:p>
        </w:tc>
        <w:tc>
          <w:tcPr>
            <w:tcW w:w="2764" w:type="dxa"/>
            <w:shd w:val="clear" w:color="auto" w:fill="auto"/>
            <w:tcMar>
              <w:top w:w="28" w:type="dxa"/>
              <w:bottom w:w="28" w:type="dxa"/>
            </w:tcMar>
            <w:vAlign w:val="center"/>
          </w:tcPr>
          <w:p w14:paraId="22DBCABB"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DRUG TYPE AND USE</w:t>
            </w:r>
          </w:p>
          <w:p w14:paraId="64FD3362"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p>
        </w:tc>
        <w:tc>
          <w:tcPr>
            <w:tcW w:w="3288" w:type="dxa"/>
            <w:shd w:val="clear" w:color="auto" w:fill="auto"/>
            <w:tcMar>
              <w:top w:w="28" w:type="dxa"/>
              <w:bottom w:w="28" w:type="dxa"/>
            </w:tcMar>
            <w:vAlign w:val="center"/>
          </w:tcPr>
          <w:p w14:paraId="60A9336E"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LISTING REQUESTED BY SPONSOR / PURPOSE OF SUBMISSION</w:t>
            </w:r>
          </w:p>
        </w:tc>
        <w:tc>
          <w:tcPr>
            <w:tcW w:w="6323" w:type="dxa"/>
            <w:gridSpan w:val="2"/>
            <w:shd w:val="clear" w:color="auto" w:fill="auto"/>
            <w:vAlign w:val="center"/>
          </w:tcPr>
          <w:p w14:paraId="5BEF59E0" w14:textId="77777777" w:rsidR="00F374F7" w:rsidRPr="00D60E67" w:rsidRDefault="00F374F7" w:rsidP="00F3265E">
            <w:pPr>
              <w:pStyle w:val="Header"/>
              <w:keepLines/>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PBAC OUTCOME</w:t>
            </w:r>
          </w:p>
          <w:p w14:paraId="5626F454" w14:textId="542D2F29" w:rsidR="00F374F7" w:rsidRPr="00D60E67" w:rsidRDefault="00F374F7" w:rsidP="00F3265E">
            <w:pPr>
              <w:pStyle w:val="Header"/>
              <w:keepLines/>
              <w:spacing w:after="120"/>
              <w:jc w:val="center"/>
              <w:rPr>
                <w:rFonts w:asciiTheme="minorHAnsi" w:hAnsiTheme="minorHAnsi" w:cstheme="minorHAnsi"/>
                <w:b/>
                <w:snapToGrid w:val="0"/>
                <w:sz w:val="18"/>
                <w:szCs w:val="18"/>
                <w:lang w:eastAsia="en-US"/>
              </w:rPr>
            </w:pPr>
          </w:p>
        </w:tc>
      </w:tr>
      <w:tr w:rsidR="00894AB9" w:rsidRPr="00544497" w14:paraId="1293704A" w14:textId="77777777" w:rsidTr="00C70218">
        <w:trPr>
          <w:cantSplit/>
          <w:trHeight w:val="2948"/>
          <w:jc w:val="center"/>
        </w:trPr>
        <w:tc>
          <w:tcPr>
            <w:tcW w:w="3013" w:type="dxa"/>
            <w:shd w:val="clear" w:color="auto" w:fill="auto"/>
            <w:tcMar>
              <w:top w:w="28" w:type="dxa"/>
              <w:bottom w:w="28" w:type="dxa"/>
            </w:tcMar>
            <w:vAlign w:val="center"/>
          </w:tcPr>
          <w:p w14:paraId="03BE52E3" w14:textId="38721B8B" w:rsidR="00894AB9" w:rsidRPr="00D60E67" w:rsidRDefault="00894AB9" w:rsidP="00894AB9">
            <w:pPr>
              <w:keepLines/>
              <w:jc w:val="center"/>
              <w:rPr>
                <w:rFonts w:asciiTheme="minorHAnsi" w:hAnsiTheme="minorHAnsi" w:cstheme="minorHAnsi"/>
                <w:sz w:val="18"/>
                <w:szCs w:val="18"/>
              </w:rPr>
            </w:pPr>
            <w:r w:rsidRPr="00344F5B">
              <w:rPr>
                <w:rFonts w:asciiTheme="minorHAnsi" w:hAnsiTheme="minorHAnsi" w:cstheme="minorHAnsi"/>
                <w:color w:val="000000"/>
                <w:sz w:val="18"/>
                <w:szCs w:val="18"/>
              </w:rPr>
              <w:t>ABEMACICLIB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50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t>Tablet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t>Tablet 150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Verzenio</w:t>
            </w:r>
            <w:proofErr w:type="spellEnd"/>
            <w:r w:rsidRPr="000110D5">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Eli Lilly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Standard re-entry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377E88FC" w14:textId="2BEC4FB1" w:rsidR="00894AB9" w:rsidRPr="00D60E67"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Breast cancer</w:t>
            </w:r>
          </w:p>
        </w:tc>
        <w:tc>
          <w:tcPr>
            <w:tcW w:w="3288" w:type="dxa"/>
            <w:shd w:val="clear" w:color="auto" w:fill="auto"/>
            <w:tcMar>
              <w:top w:w="28" w:type="dxa"/>
              <w:bottom w:w="28" w:type="dxa"/>
            </w:tcMar>
            <w:vAlign w:val="center"/>
          </w:tcPr>
          <w:p w14:paraId="0C5A0012" w14:textId="20D765BC" w:rsidR="00894AB9" w:rsidRPr="00D60E67"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Resubmission to request a General Schedule Authority Required (telephone/online) listing for use in combination with standard adjuvant endocrine therapy</w:t>
            </w:r>
            <w:r w:rsidR="004176EB">
              <w:rPr>
                <w:rFonts w:asciiTheme="minorHAnsi" w:hAnsiTheme="minorHAnsi" w:cstheme="minorHAnsi"/>
                <w:color w:val="000000"/>
                <w:sz w:val="18"/>
                <w:szCs w:val="18"/>
              </w:rPr>
              <w:t xml:space="preserve"> (ET)</w:t>
            </w:r>
            <w:r w:rsidRPr="00344F5B">
              <w:rPr>
                <w:rFonts w:asciiTheme="minorHAnsi" w:hAnsiTheme="minorHAnsi" w:cstheme="minorHAnsi"/>
                <w:color w:val="000000"/>
                <w:sz w:val="18"/>
                <w:szCs w:val="18"/>
              </w:rPr>
              <w:t xml:space="preserve"> for the treatment of hormone receptor positive (HR+), human epidermal growth factor receptor 2 negative (HER2-), lymph node-positive, invasive, resected early breast cancer </w:t>
            </w:r>
            <w:r w:rsidR="001E3B0A">
              <w:rPr>
                <w:rFonts w:asciiTheme="minorHAnsi" w:hAnsiTheme="minorHAnsi" w:cstheme="minorHAnsi"/>
                <w:color w:val="000000"/>
                <w:sz w:val="18"/>
                <w:szCs w:val="18"/>
              </w:rPr>
              <w:t xml:space="preserve">(EBC) </w:t>
            </w:r>
            <w:r w:rsidRPr="00344F5B">
              <w:rPr>
                <w:rFonts w:asciiTheme="minorHAnsi" w:hAnsiTheme="minorHAnsi" w:cstheme="minorHAnsi"/>
                <w:color w:val="000000"/>
                <w:sz w:val="18"/>
                <w:szCs w:val="18"/>
              </w:rPr>
              <w:t>at high risk of disease recurrence.</w:t>
            </w:r>
          </w:p>
        </w:tc>
        <w:tc>
          <w:tcPr>
            <w:tcW w:w="1987" w:type="dxa"/>
            <w:shd w:val="clear" w:color="auto" w:fill="auto"/>
            <w:vAlign w:val="center"/>
          </w:tcPr>
          <w:p w14:paraId="73C161D1" w14:textId="2FBA5496" w:rsidR="00894AB9" w:rsidRPr="00D60E67"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bottom"/>
          </w:tcPr>
          <w:p w14:paraId="5CD2805E" w14:textId="59557D36" w:rsidR="00894AB9" w:rsidRPr="00D60E67" w:rsidRDefault="00894AB9" w:rsidP="00894AB9">
            <w:pPr>
              <w:rPr>
                <w:rFonts w:asciiTheme="minorHAnsi" w:hAnsiTheme="minorHAnsi" w:cstheme="minorHAnsi"/>
                <w:sz w:val="18"/>
                <w:szCs w:val="18"/>
              </w:rPr>
            </w:pPr>
            <w:r w:rsidRPr="00344F5B">
              <w:rPr>
                <w:rFonts w:asciiTheme="minorHAnsi" w:hAnsiTheme="minorHAnsi" w:cstheme="minorHAnsi"/>
                <w:color w:val="000000"/>
                <w:sz w:val="18"/>
                <w:szCs w:val="18"/>
              </w:rPr>
              <w:t>The PBAC recommended the General Schedule Authority Required listing of abemaciclib, in combination with standard adjuvant ET, for the treatment of HR+, HER2-, lymph node positive, invasive, resected EBC at high risk of disease recurrence. The PBAC considered the evidence presented in the resubmission demonstrated a meaningful difference in invasive disease-free survival and distant relapse free survival over the comparator (ET alone) but noted that a benefit in terms of overall survival had not been demonstrated in the clinical trial and therefore remained uncertain. The PBAC considered that the incremental cost-effectiveness ratio was likely underestimated and that a price reduction would be required for abemaciclib to be considered cost-effective. The PBAC considered that the financial estimates were overestimated due to optimistic assumptions regarding uptake, compliance and treatment duration. The PBAC also considered that a risk sharing arrangement would be required due to risk of utilisation in patients at lower risk of disease recurrence than defined by the proposed restriction.</w:t>
            </w:r>
          </w:p>
        </w:tc>
      </w:tr>
      <w:tr w:rsidR="00894AB9" w:rsidRPr="00544497" w14:paraId="59456C9B" w14:textId="77777777" w:rsidTr="00C70218">
        <w:trPr>
          <w:cantSplit/>
          <w:trHeight w:val="2948"/>
          <w:jc w:val="center"/>
        </w:trPr>
        <w:tc>
          <w:tcPr>
            <w:tcW w:w="3013" w:type="dxa"/>
            <w:shd w:val="clear" w:color="auto" w:fill="auto"/>
            <w:tcMar>
              <w:top w:w="28" w:type="dxa"/>
              <w:bottom w:w="28" w:type="dxa"/>
            </w:tcMar>
            <w:vAlign w:val="center"/>
          </w:tcPr>
          <w:p w14:paraId="5074E5FF" w14:textId="7108E6DF"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ACALABRUTINIB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Capsule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Calquence</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AstraZeneca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(Other matters)</w:t>
            </w:r>
          </w:p>
        </w:tc>
        <w:tc>
          <w:tcPr>
            <w:tcW w:w="2764" w:type="dxa"/>
            <w:shd w:val="clear" w:color="auto" w:fill="auto"/>
            <w:vAlign w:val="center"/>
          </w:tcPr>
          <w:p w14:paraId="2FA85509" w14:textId="7D8DE1D5"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Relapsed or refractory chronic lymphocytic leukaemia (CLL) or small lymphocytic lymphoma (SLL).</w:t>
            </w:r>
          </w:p>
        </w:tc>
        <w:tc>
          <w:tcPr>
            <w:tcW w:w="3288" w:type="dxa"/>
            <w:shd w:val="clear" w:color="auto" w:fill="auto"/>
            <w:tcMar>
              <w:top w:w="28" w:type="dxa"/>
              <w:bottom w:w="28" w:type="dxa"/>
            </w:tcMar>
            <w:vAlign w:val="center"/>
          </w:tcPr>
          <w:p w14:paraId="67D2F53C" w14:textId="471DAD14"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the PBAC consider the previously estimated utilisation for relapsed or refractory CLL or SLL.</w:t>
            </w:r>
          </w:p>
        </w:tc>
        <w:tc>
          <w:tcPr>
            <w:tcW w:w="1987" w:type="dxa"/>
            <w:shd w:val="clear" w:color="auto" w:fill="auto"/>
            <w:vAlign w:val="center"/>
          </w:tcPr>
          <w:p w14:paraId="2316FD21" w14:textId="5885A61D"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eastAsia="Times New Roman" w:hAnsiTheme="minorHAnsi" w:cstheme="minorHAnsi"/>
                <w:color w:val="000000"/>
                <w:sz w:val="18"/>
                <w:szCs w:val="18"/>
              </w:rPr>
              <w:t>Not Recommended</w:t>
            </w:r>
          </w:p>
        </w:tc>
        <w:tc>
          <w:tcPr>
            <w:tcW w:w="4336" w:type="dxa"/>
            <w:shd w:val="clear" w:color="auto" w:fill="auto"/>
            <w:vAlign w:val="center"/>
          </w:tcPr>
          <w:p w14:paraId="1A429C2D" w14:textId="78CA34C4" w:rsidR="00894AB9" w:rsidRPr="000110D5" w:rsidRDefault="00A8234E" w:rsidP="001B5E08">
            <w:pPr>
              <w:keepLines/>
              <w:spacing w:after="120"/>
              <w:rPr>
                <w:rFonts w:asciiTheme="minorHAnsi" w:hAnsiTheme="minorHAnsi" w:cstheme="minorHAnsi"/>
                <w:color w:val="000000"/>
                <w:sz w:val="18"/>
                <w:szCs w:val="18"/>
              </w:rPr>
            </w:pPr>
            <w:r w:rsidRPr="00A8234E">
              <w:rPr>
                <w:rFonts w:asciiTheme="minorHAnsi" w:hAnsiTheme="minorHAnsi" w:cstheme="minorHAnsi"/>
                <w:color w:val="000000"/>
                <w:sz w:val="18"/>
                <w:szCs w:val="18"/>
              </w:rPr>
              <w:t>The PBAC did not recommend that the estimated utilisation of acalabrutinib for relapsed/refractory CLL</w:t>
            </w:r>
            <w:r>
              <w:rPr>
                <w:rFonts w:asciiTheme="minorHAnsi" w:hAnsiTheme="minorHAnsi" w:cstheme="minorHAnsi"/>
                <w:color w:val="000000"/>
                <w:sz w:val="18"/>
                <w:szCs w:val="18"/>
              </w:rPr>
              <w:t xml:space="preserve"> </w:t>
            </w:r>
            <w:r w:rsidRPr="00A8234E">
              <w:rPr>
                <w:rFonts w:asciiTheme="minorHAnsi" w:hAnsiTheme="minorHAnsi" w:cstheme="minorHAnsi"/>
                <w:color w:val="000000"/>
                <w:sz w:val="18"/>
                <w:szCs w:val="18"/>
              </w:rPr>
              <w:t>SLL be amended. The PBS noted that the analysis of the 100% PBS data comparing the last 12 months to 30</w:t>
            </w:r>
            <w:r w:rsidR="006653DF">
              <w:rPr>
                <w:rFonts w:asciiTheme="minorHAnsi" w:hAnsiTheme="minorHAnsi" w:cstheme="minorHAnsi"/>
                <w:color w:val="000000"/>
                <w:sz w:val="18"/>
                <w:szCs w:val="18"/>
              </w:rPr>
              <w:t> </w:t>
            </w:r>
            <w:r w:rsidRPr="00A8234E">
              <w:rPr>
                <w:rFonts w:asciiTheme="minorHAnsi" w:hAnsiTheme="minorHAnsi" w:cstheme="minorHAnsi"/>
                <w:color w:val="000000"/>
                <w:sz w:val="18"/>
                <w:szCs w:val="18"/>
              </w:rPr>
              <w:t>November 2022 versus the same period to 30</w:t>
            </w:r>
            <w:r w:rsidR="006653DF">
              <w:rPr>
                <w:rFonts w:asciiTheme="minorHAnsi" w:hAnsiTheme="minorHAnsi" w:cstheme="minorHAnsi"/>
                <w:color w:val="000000"/>
                <w:sz w:val="18"/>
                <w:szCs w:val="18"/>
              </w:rPr>
              <w:t> </w:t>
            </w:r>
            <w:r w:rsidRPr="00A8234E">
              <w:rPr>
                <w:rFonts w:asciiTheme="minorHAnsi" w:hAnsiTheme="minorHAnsi" w:cstheme="minorHAnsi"/>
                <w:color w:val="000000"/>
                <w:sz w:val="18"/>
                <w:szCs w:val="18"/>
              </w:rPr>
              <w:t xml:space="preserve">November 2021 demonstrated that the number of first initiators to </w:t>
            </w:r>
            <w:r w:rsidR="001E0711">
              <w:rPr>
                <w:rFonts w:asciiTheme="minorHAnsi" w:hAnsiTheme="minorHAnsi" w:cstheme="minorHAnsi"/>
                <w:color w:val="000000"/>
                <w:sz w:val="18"/>
                <w:szCs w:val="18"/>
              </w:rPr>
              <w:t>relapsed or refractory</w:t>
            </w:r>
            <w:r w:rsidRPr="00A8234E">
              <w:rPr>
                <w:rFonts w:asciiTheme="minorHAnsi" w:hAnsiTheme="minorHAnsi" w:cstheme="minorHAnsi"/>
                <w:color w:val="000000"/>
                <w:sz w:val="18"/>
                <w:szCs w:val="18"/>
              </w:rPr>
              <w:t xml:space="preserve"> PBS listings had declined by 7%. The PBAC further considered that while changes to the utilisation estimates due to sequential use may be clinically reasonable, the data are too immature to see a significant difference in patient numbers in sequential treatments.</w:t>
            </w:r>
          </w:p>
          <w:p w14:paraId="045E2774" w14:textId="77777777" w:rsidR="00894AB9" w:rsidRDefault="00894AB9" w:rsidP="001B5E08">
            <w:pPr>
              <w:rPr>
                <w:rFonts w:asciiTheme="minorHAnsi" w:hAnsiTheme="minorHAnsi" w:cstheme="minorHAnsi"/>
                <w:color w:val="000000"/>
                <w:sz w:val="18"/>
                <w:szCs w:val="18"/>
                <w:u w:val="single"/>
              </w:rPr>
            </w:pPr>
            <w:r w:rsidRPr="000110D5">
              <w:rPr>
                <w:rFonts w:asciiTheme="minorHAnsi" w:hAnsiTheme="minorHAnsi" w:cstheme="minorHAnsi"/>
                <w:color w:val="000000"/>
                <w:sz w:val="18"/>
                <w:szCs w:val="18"/>
                <w:u w:val="single"/>
              </w:rPr>
              <w:t>Sponsor’s Comment:</w:t>
            </w:r>
          </w:p>
          <w:p w14:paraId="43F997E8" w14:textId="1D15C8AC" w:rsidR="001B5E08" w:rsidRPr="00344F5B" w:rsidRDefault="001B5E08" w:rsidP="001B5E08">
            <w:pPr>
              <w:spacing w:after="120"/>
              <w:rPr>
                <w:rFonts w:asciiTheme="minorHAnsi" w:hAnsiTheme="minorHAnsi" w:cstheme="minorHAnsi"/>
                <w:color w:val="000000"/>
                <w:sz w:val="18"/>
                <w:szCs w:val="18"/>
              </w:rPr>
            </w:pPr>
            <w:r w:rsidRPr="001B5E08">
              <w:rPr>
                <w:rFonts w:asciiTheme="minorHAnsi" w:hAnsiTheme="minorHAnsi" w:cstheme="minorHAnsi"/>
                <w:color w:val="000000"/>
                <w:sz w:val="18"/>
                <w:szCs w:val="18"/>
              </w:rPr>
              <w:t>The sponsor had no commen</w:t>
            </w:r>
            <w:r>
              <w:rPr>
                <w:rFonts w:asciiTheme="minorHAnsi" w:hAnsiTheme="minorHAnsi" w:cstheme="minorHAnsi"/>
                <w:color w:val="000000"/>
                <w:sz w:val="18"/>
                <w:szCs w:val="18"/>
              </w:rPr>
              <w:t>t.</w:t>
            </w:r>
          </w:p>
        </w:tc>
      </w:tr>
      <w:tr w:rsidR="00894AB9" w:rsidRPr="00544497" w14:paraId="41369496" w14:textId="77777777" w:rsidTr="00C70218">
        <w:trPr>
          <w:cantSplit/>
          <w:trHeight w:val="2948"/>
          <w:jc w:val="center"/>
        </w:trPr>
        <w:tc>
          <w:tcPr>
            <w:tcW w:w="3013" w:type="dxa"/>
            <w:shd w:val="clear" w:color="auto" w:fill="auto"/>
            <w:tcMar>
              <w:top w:w="28" w:type="dxa"/>
              <w:bottom w:w="28" w:type="dxa"/>
            </w:tcMar>
            <w:vAlign w:val="center"/>
          </w:tcPr>
          <w:p w14:paraId="2C96B27B" w14:textId="047DADB0"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ALIROCUMAB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Injection 300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2</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mL single dose autoinjector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Praluent®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Sanofi-Aventis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4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2C49DFF1" w14:textId="1D170494"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Familial heterozygous hypercholesterolaemia </w:t>
            </w:r>
            <w:r w:rsidR="00B53A25">
              <w:rPr>
                <w:rFonts w:asciiTheme="minorHAnsi" w:hAnsiTheme="minorHAnsi" w:cstheme="minorHAnsi"/>
                <w:color w:val="000000"/>
                <w:sz w:val="18"/>
                <w:szCs w:val="18"/>
              </w:rPr>
              <w:t xml:space="preserve">(he-FH) </w:t>
            </w:r>
            <w:r w:rsidRPr="00344F5B">
              <w:rPr>
                <w:rFonts w:asciiTheme="minorHAnsi" w:hAnsiTheme="minorHAnsi" w:cstheme="minorHAnsi"/>
                <w:color w:val="000000"/>
                <w:sz w:val="18"/>
                <w:szCs w:val="18"/>
              </w:rPr>
              <w:t>and non-familial hypercholesterolaemia</w:t>
            </w:r>
            <w:r w:rsidR="00D04E4D">
              <w:rPr>
                <w:rFonts w:asciiTheme="minorHAnsi" w:hAnsiTheme="minorHAnsi" w:cstheme="minorHAnsi"/>
                <w:color w:val="000000"/>
                <w:sz w:val="18"/>
                <w:szCs w:val="18"/>
              </w:rPr>
              <w:t xml:space="preserve"> </w:t>
            </w:r>
            <w:r w:rsidR="00B53A25">
              <w:rPr>
                <w:rFonts w:asciiTheme="minorHAnsi" w:hAnsiTheme="minorHAnsi" w:cstheme="minorHAnsi"/>
                <w:color w:val="000000"/>
                <w:sz w:val="18"/>
                <w:szCs w:val="18"/>
              </w:rPr>
              <w:t>(non-FH)</w:t>
            </w:r>
            <w:r w:rsidRPr="00344F5B">
              <w:rPr>
                <w:rFonts w:asciiTheme="minorHAnsi" w:hAnsiTheme="minorHAnsi" w:cstheme="minorHAnsi"/>
                <w:color w:val="000000"/>
                <w:sz w:val="18"/>
                <w:szCs w:val="18"/>
              </w:rPr>
              <w:t>.</w:t>
            </w:r>
            <w:r w:rsidRPr="00344F5B" w:rsidDel="00F00F05">
              <w:rPr>
                <w:rFonts w:asciiTheme="minorHAnsi" w:hAnsiTheme="minorHAnsi" w:cstheme="minorHAnsi"/>
                <w:color w:val="000000"/>
                <w:sz w:val="18"/>
                <w:szCs w:val="18"/>
              </w:rPr>
              <w:t xml:space="preserve"> </w:t>
            </w:r>
          </w:p>
        </w:tc>
        <w:tc>
          <w:tcPr>
            <w:tcW w:w="3288" w:type="dxa"/>
            <w:shd w:val="clear" w:color="auto" w:fill="auto"/>
            <w:tcMar>
              <w:top w:w="28" w:type="dxa"/>
              <w:bottom w:w="28" w:type="dxa"/>
            </w:tcMar>
            <w:vAlign w:val="center"/>
          </w:tcPr>
          <w:p w14:paraId="2920F06D" w14:textId="1C13C1B9"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To request listing of a new form and strength under the same conditions as the currently listed form and strengths of alirocumab for the treatment of </w:t>
            </w:r>
            <w:r w:rsidR="00B53A25">
              <w:rPr>
                <w:rFonts w:asciiTheme="minorHAnsi" w:hAnsiTheme="minorHAnsi" w:cstheme="minorHAnsi"/>
                <w:color w:val="000000"/>
                <w:sz w:val="18"/>
                <w:szCs w:val="18"/>
              </w:rPr>
              <w:t>he-FH</w:t>
            </w:r>
            <w:r w:rsidR="00B53A25" w:rsidRPr="00344F5B" w:rsidDel="00B53A25">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 xml:space="preserve">and </w:t>
            </w:r>
            <w:r w:rsidR="00B53A25">
              <w:rPr>
                <w:rFonts w:asciiTheme="minorHAnsi" w:hAnsiTheme="minorHAnsi" w:cstheme="minorHAnsi"/>
                <w:color w:val="000000"/>
                <w:sz w:val="18"/>
                <w:szCs w:val="18"/>
              </w:rPr>
              <w:t>non-FH</w:t>
            </w:r>
            <w:r w:rsidRPr="00344F5B">
              <w:rPr>
                <w:rFonts w:asciiTheme="minorHAnsi" w:hAnsiTheme="minorHAnsi" w:cstheme="minorHAnsi"/>
                <w:color w:val="000000"/>
                <w:sz w:val="18"/>
                <w:szCs w:val="18"/>
              </w:rPr>
              <w:t>.</w:t>
            </w:r>
          </w:p>
        </w:tc>
        <w:tc>
          <w:tcPr>
            <w:tcW w:w="1987" w:type="dxa"/>
            <w:shd w:val="clear" w:color="auto" w:fill="auto"/>
            <w:vAlign w:val="center"/>
          </w:tcPr>
          <w:p w14:paraId="6FB45133" w14:textId="10A6442C"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739BF5EE" w14:textId="51FCF3AB"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the listing </w:t>
            </w:r>
            <w:r w:rsidRPr="00344F5B">
              <w:rPr>
                <w:rFonts w:asciiTheme="minorHAnsi" w:hAnsiTheme="minorHAnsi" w:cstheme="minorHAnsi"/>
                <w:sz w:val="18"/>
                <w:szCs w:val="18"/>
              </w:rPr>
              <w:t>of alirocumab 300</w:t>
            </w:r>
            <w:r>
              <w:rPr>
                <w:rFonts w:asciiTheme="minorHAnsi" w:hAnsiTheme="minorHAnsi" w:cstheme="minorHAnsi"/>
                <w:sz w:val="18"/>
                <w:szCs w:val="18"/>
              </w:rPr>
              <w:t> mg</w:t>
            </w:r>
            <w:r w:rsidRPr="00344F5B">
              <w:rPr>
                <w:rFonts w:asciiTheme="minorHAnsi" w:hAnsiTheme="minorHAnsi" w:cstheme="minorHAnsi"/>
                <w:sz w:val="18"/>
                <w:szCs w:val="18"/>
              </w:rPr>
              <w:t xml:space="preserve"> in 2</w:t>
            </w:r>
            <w:r>
              <w:rPr>
                <w:rFonts w:asciiTheme="minorHAnsi" w:hAnsiTheme="minorHAnsi" w:cstheme="minorHAnsi"/>
                <w:sz w:val="18"/>
                <w:szCs w:val="18"/>
              </w:rPr>
              <w:t> </w:t>
            </w:r>
            <w:r w:rsidRPr="00344F5B">
              <w:rPr>
                <w:rFonts w:asciiTheme="minorHAnsi" w:hAnsiTheme="minorHAnsi" w:cstheme="minorHAnsi"/>
                <w:sz w:val="18"/>
                <w:szCs w:val="18"/>
              </w:rPr>
              <w:t>mL single dose autoinjector</w:t>
            </w:r>
            <w:r w:rsidRPr="00344F5B">
              <w:rPr>
                <w:rFonts w:asciiTheme="minorHAnsi" w:hAnsiTheme="minorHAnsi" w:cstheme="minorHAnsi"/>
                <w:color w:val="000000"/>
                <w:sz w:val="18"/>
                <w:szCs w:val="18"/>
              </w:rPr>
              <w:t xml:space="preserve"> </w:t>
            </w:r>
            <w:r w:rsidR="003B6D36">
              <w:rPr>
                <w:rFonts w:asciiTheme="minorHAnsi" w:hAnsiTheme="minorHAnsi" w:cstheme="minorHAnsi"/>
                <w:color w:val="000000"/>
                <w:sz w:val="18"/>
                <w:szCs w:val="18"/>
              </w:rPr>
              <w:t>(</w:t>
            </w:r>
            <w:r w:rsidRPr="00344F5B">
              <w:rPr>
                <w:rFonts w:asciiTheme="minorHAnsi" w:hAnsiTheme="minorHAnsi" w:cstheme="minorHAnsi"/>
                <w:color w:val="000000"/>
                <w:sz w:val="18"/>
                <w:szCs w:val="18"/>
              </w:rPr>
              <w:t>AI</w:t>
            </w:r>
            <w:r w:rsidR="003B6D36">
              <w:rPr>
                <w:rFonts w:asciiTheme="minorHAnsi" w:hAnsiTheme="minorHAnsi" w:cstheme="minorHAnsi"/>
                <w:color w:val="000000"/>
                <w:sz w:val="18"/>
                <w:szCs w:val="18"/>
              </w:rPr>
              <w:t>)</w:t>
            </w:r>
            <w:r w:rsidRPr="00344F5B">
              <w:rPr>
                <w:rFonts w:asciiTheme="minorHAnsi" w:hAnsiTheme="minorHAnsi" w:cstheme="minorHAnsi"/>
                <w:color w:val="000000"/>
                <w:sz w:val="18"/>
                <w:szCs w:val="18"/>
              </w:rPr>
              <w:t xml:space="preserve"> </w:t>
            </w:r>
            <w:r w:rsidRPr="00344F5B">
              <w:rPr>
                <w:rFonts w:asciiTheme="minorHAnsi" w:hAnsiTheme="minorHAnsi" w:cstheme="minorHAnsi"/>
                <w:sz w:val="18"/>
                <w:szCs w:val="18"/>
              </w:rPr>
              <w:t>under the same circumstances as the PBS-listed alirocumab 75</w:t>
            </w:r>
            <w:r>
              <w:rPr>
                <w:rFonts w:asciiTheme="minorHAnsi" w:hAnsiTheme="minorHAnsi" w:cstheme="minorHAnsi"/>
                <w:sz w:val="18"/>
                <w:szCs w:val="18"/>
              </w:rPr>
              <w:t> mg</w:t>
            </w:r>
            <w:r w:rsidRPr="00344F5B">
              <w:rPr>
                <w:rFonts w:asciiTheme="minorHAnsi" w:hAnsiTheme="minorHAnsi" w:cstheme="minorHAnsi"/>
                <w:sz w:val="18"/>
                <w:szCs w:val="18"/>
              </w:rPr>
              <w:t xml:space="preserve"> in 1</w:t>
            </w:r>
            <w:r>
              <w:rPr>
                <w:rFonts w:asciiTheme="minorHAnsi" w:hAnsiTheme="minorHAnsi" w:cstheme="minorHAnsi"/>
                <w:sz w:val="18"/>
                <w:szCs w:val="18"/>
              </w:rPr>
              <w:t> </w:t>
            </w:r>
            <w:r w:rsidRPr="00344F5B">
              <w:rPr>
                <w:rFonts w:asciiTheme="minorHAnsi" w:hAnsiTheme="minorHAnsi" w:cstheme="minorHAnsi"/>
                <w:sz w:val="18"/>
                <w:szCs w:val="18"/>
              </w:rPr>
              <w:t>mL and 150</w:t>
            </w:r>
            <w:r>
              <w:rPr>
                <w:rFonts w:asciiTheme="minorHAnsi" w:hAnsiTheme="minorHAnsi" w:cstheme="minorHAnsi"/>
                <w:sz w:val="18"/>
                <w:szCs w:val="18"/>
              </w:rPr>
              <w:t> mg</w:t>
            </w:r>
            <w:r w:rsidRPr="00344F5B">
              <w:rPr>
                <w:rFonts w:asciiTheme="minorHAnsi" w:hAnsiTheme="minorHAnsi" w:cstheme="minorHAnsi"/>
                <w:sz w:val="18"/>
                <w:szCs w:val="18"/>
              </w:rPr>
              <w:t xml:space="preserve"> in 1 mL subcutaneous injection pre-filled pens </w:t>
            </w:r>
            <w:r w:rsidR="003B6D36">
              <w:rPr>
                <w:rFonts w:asciiTheme="minorHAnsi" w:hAnsiTheme="minorHAnsi" w:cstheme="minorHAnsi"/>
                <w:sz w:val="18"/>
                <w:szCs w:val="18"/>
              </w:rPr>
              <w:t>(</w:t>
            </w:r>
            <w:r w:rsidRPr="00344F5B">
              <w:rPr>
                <w:rFonts w:asciiTheme="minorHAnsi" w:hAnsiTheme="minorHAnsi" w:cstheme="minorHAnsi"/>
                <w:sz w:val="18"/>
                <w:szCs w:val="18"/>
              </w:rPr>
              <w:t>PFP</w:t>
            </w:r>
            <w:r w:rsidR="003B6D36">
              <w:rPr>
                <w:rFonts w:asciiTheme="minorHAnsi" w:hAnsiTheme="minorHAnsi" w:cstheme="minorHAnsi"/>
                <w:sz w:val="18"/>
                <w:szCs w:val="18"/>
              </w:rPr>
              <w:t>s)</w:t>
            </w:r>
            <w:r w:rsidRPr="00344F5B">
              <w:rPr>
                <w:rFonts w:asciiTheme="minorHAnsi" w:hAnsiTheme="minorHAnsi" w:cstheme="minorHAnsi"/>
                <w:sz w:val="18"/>
                <w:szCs w:val="18"/>
              </w:rPr>
              <w:t xml:space="preserve"> for the treatment of he-FH and non-FH</w:t>
            </w:r>
            <w:r w:rsidR="00F404D3">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The PBAC noted that there would be no additional cost to the PBS/RPBS from listing alirocumab AI as it is expected to substitute for alirocumab PFP and will be cost-minimised to the lowest-cost comparator. The PBAC considered that alirocumab PFP and evolocumab are relevant comparators.</w:t>
            </w:r>
          </w:p>
        </w:tc>
      </w:tr>
      <w:tr w:rsidR="00894AB9" w:rsidRPr="00544497" w14:paraId="15392436" w14:textId="77777777" w:rsidTr="00C70218">
        <w:trPr>
          <w:cantSplit/>
          <w:trHeight w:val="2948"/>
          <w:jc w:val="center"/>
        </w:trPr>
        <w:tc>
          <w:tcPr>
            <w:tcW w:w="3013" w:type="dxa"/>
            <w:shd w:val="clear" w:color="auto" w:fill="auto"/>
            <w:tcMar>
              <w:top w:w="28" w:type="dxa"/>
              <w:bottom w:w="28" w:type="dxa"/>
            </w:tcMar>
            <w:vAlign w:val="center"/>
          </w:tcPr>
          <w:p w14:paraId="5064FF2E" w14:textId="54971352"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 xml:space="preserve">AMINO ACID FORMULA WITH VITAMINS AND MINERALS, WITHOUT METHIONINE AND SUPPLEMENTED WITH ARACHIDONIC ACID AND DOCOSAHEXAENOIC ACID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Sachets containing oral powder 12.5</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g, 30 (HCU </w:t>
            </w:r>
            <w:r w:rsidR="00C77906">
              <w:rPr>
                <w:rFonts w:asciiTheme="minorHAnsi" w:hAnsiTheme="minorHAnsi" w:cstheme="minorHAnsi"/>
                <w:color w:val="000000"/>
                <w:sz w:val="18"/>
                <w:szCs w:val="18"/>
              </w:rPr>
              <w:t>e</w:t>
            </w:r>
            <w:r w:rsidRPr="00344F5B">
              <w:rPr>
                <w:rFonts w:asciiTheme="minorHAnsi" w:hAnsiTheme="minorHAnsi" w:cstheme="minorHAnsi"/>
                <w:color w:val="000000"/>
                <w:sz w:val="18"/>
                <w:szCs w:val="18"/>
              </w:rPr>
              <w:t>xplore5)</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 xml:space="preserve">HCU </w:t>
            </w:r>
            <w:r w:rsidR="00C77906">
              <w:rPr>
                <w:rFonts w:asciiTheme="minorHAnsi" w:hAnsiTheme="minorHAnsi" w:cstheme="minorHAnsi"/>
                <w:color w:val="000000"/>
                <w:sz w:val="18"/>
                <w:szCs w:val="18"/>
              </w:rPr>
              <w:t>e</w:t>
            </w:r>
            <w:r w:rsidRPr="00344F5B">
              <w:rPr>
                <w:rFonts w:asciiTheme="minorHAnsi" w:hAnsiTheme="minorHAnsi" w:cstheme="minorHAnsi"/>
                <w:color w:val="000000"/>
                <w:sz w:val="18"/>
                <w:szCs w:val="18"/>
              </w:rPr>
              <w:t>xplore5</w:t>
            </w:r>
            <w:r w:rsidR="003B6D36">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Vitaflo Australia Pty Limited</w:t>
            </w:r>
            <w:r w:rsidRPr="00344F5B" w:rsidDel="00C97250">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4D9E6C30" w14:textId="053232F5"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Pyridoxine non-responsive homocystinuria (HCU)</w:t>
            </w:r>
          </w:p>
        </w:tc>
        <w:tc>
          <w:tcPr>
            <w:tcW w:w="3288" w:type="dxa"/>
            <w:shd w:val="clear" w:color="auto" w:fill="auto"/>
            <w:tcMar>
              <w:top w:w="28" w:type="dxa"/>
              <w:bottom w:w="28" w:type="dxa"/>
            </w:tcMar>
            <w:vAlign w:val="center"/>
          </w:tcPr>
          <w:p w14:paraId="51A95D88" w14:textId="71D998E6"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Restricted Benefit listing for the dietary management of HCU.</w:t>
            </w:r>
          </w:p>
        </w:tc>
        <w:tc>
          <w:tcPr>
            <w:tcW w:w="1987" w:type="dxa"/>
            <w:shd w:val="clear" w:color="auto" w:fill="auto"/>
            <w:vAlign w:val="center"/>
          </w:tcPr>
          <w:p w14:paraId="6975FA0E" w14:textId="43CB9CBA"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6E06C825" w14:textId="4201FA0C" w:rsidR="00894AB9" w:rsidRPr="00344F5B" w:rsidRDefault="00894AB9" w:rsidP="00894AB9">
            <w:pPr>
              <w:rPr>
                <w:rFonts w:asciiTheme="minorHAnsi" w:hAnsiTheme="minorHAnsi" w:cstheme="minorHAnsi"/>
                <w:color w:val="000000"/>
                <w:sz w:val="18"/>
                <w:szCs w:val="18"/>
              </w:rPr>
            </w:pPr>
            <w:r w:rsidRPr="000110D5">
              <w:rPr>
                <w:rFonts w:asciiTheme="minorHAnsi" w:hAnsiTheme="minorHAnsi" w:cstheme="minorHAnsi"/>
                <w:sz w:val="18"/>
                <w:szCs w:val="18"/>
              </w:rPr>
              <w:t>The PBAC recommended the General Schedule Restricted Benefit listing of amino acid formula with vitamins and minerals without methionine and supplemented with arachidonic acid and docosahexaenoic acid (HCU explore5</w:t>
            </w:r>
            <w:r w:rsidR="00C77906">
              <w:rPr>
                <w:rFonts w:asciiTheme="minorHAnsi" w:hAnsiTheme="minorHAnsi" w:cstheme="minorHAnsi"/>
                <w:sz w:val="18"/>
                <w:szCs w:val="18"/>
              </w:rPr>
              <w:t>™</w:t>
            </w:r>
            <w:r w:rsidRPr="000110D5">
              <w:rPr>
                <w:rFonts w:asciiTheme="minorHAnsi" w:hAnsiTheme="minorHAnsi" w:cstheme="minorHAnsi"/>
                <w:sz w:val="18"/>
                <w:szCs w:val="18"/>
              </w:rPr>
              <w:t>) for the dietary management of pyridoxine non-responsive homocystinuria under the same circumstances as HCU gel, and on a cost-minimisation basis to the lowest cost comparator on a price per gram of protein equivalent basis.</w:t>
            </w:r>
          </w:p>
        </w:tc>
      </w:tr>
      <w:tr w:rsidR="00894AB9" w:rsidRPr="00544497" w14:paraId="4FFCA2D9" w14:textId="77777777" w:rsidTr="00C70218">
        <w:trPr>
          <w:cantSplit/>
          <w:trHeight w:val="2948"/>
          <w:jc w:val="center"/>
        </w:trPr>
        <w:tc>
          <w:tcPr>
            <w:tcW w:w="3013" w:type="dxa"/>
            <w:shd w:val="clear" w:color="auto" w:fill="auto"/>
            <w:tcMar>
              <w:top w:w="28" w:type="dxa"/>
              <w:bottom w:w="28" w:type="dxa"/>
            </w:tcMar>
            <w:vAlign w:val="center"/>
          </w:tcPr>
          <w:p w14:paraId="46CBC672" w14:textId="766B359F"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AMINO ACID FORMULA WITH VITAMINS AND MINERALS, WITHOUT PHENYLALANINE AND TYROSINE AND SUPPLEMENTED WITH ARACHIDONIC ACID AND DOCOSAHEXAENOIC ACID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Sachets containing oral powder 12.5</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g, 30 (TYR </w:t>
            </w:r>
            <w:r w:rsidR="00C77906">
              <w:rPr>
                <w:rFonts w:asciiTheme="minorHAnsi" w:hAnsiTheme="minorHAnsi" w:cstheme="minorHAnsi"/>
                <w:color w:val="000000"/>
                <w:sz w:val="18"/>
                <w:szCs w:val="18"/>
              </w:rPr>
              <w:t>e</w:t>
            </w:r>
            <w:r w:rsidRPr="00344F5B">
              <w:rPr>
                <w:rFonts w:asciiTheme="minorHAnsi" w:hAnsiTheme="minorHAnsi" w:cstheme="minorHAnsi"/>
                <w:color w:val="000000"/>
                <w:sz w:val="18"/>
                <w:szCs w:val="18"/>
              </w:rPr>
              <w:t>xplore5)</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 xml:space="preserve">TYR </w:t>
            </w:r>
            <w:r w:rsidR="00C77906">
              <w:rPr>
                <w:rFonts w:asciiTheme="minorHAnsi" w:hAnsiTheme="minorHAnsi" w:cstheme="minorHAnsi"/>
                <w:color w:val="000000"/>
                <w:sz w:val="18"/>
                <w:szCs w:val="18"/>
              </w:rPr>
              <w:t>e</w:t>
            </w:r>
            <w:r w:rsidRPr="00344F5B">
              <w:rPr>
                <w:rFonts w:asciiTheme="minorHAnsi" w:hAnsiTheme="minorHAnsi" w:cstheme="minorHAnsi"/>
                <w:color w:val="000000"/>
                <w:sz w:val="18"/>
                <w:szCs w:val="18"/>
              </w:rPr>
              <w:t>xplore5</w:t>
            </w:r>
            <w:r w:rsidR="003B6D36">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Vitaflo Australia Pty Limited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1288EEF0" w14:textId="11A45F0B"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Tyrosinaemia</w:t>
            </w:r>
          </w:p>
        </w:tc>
        <w:tc>
          <w:tcPr>
            <w:tcW w:w="3288" w:type="dxa"/>
            <w:shd w:val="clear" w:color="auto" w:fill="auto"/>
            <w:tcMar>
              <w:top w:w="28" w:type="dxa"/>
              <w:bottom w:w="28" w:type="dxa"/>
            </w:tcMar>
            <w:vAlign w:val="center"/>
          </w:tcPr>
          <w:p w14:paraId="2A4339C4" w14:textId="57275B95"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To request a General Schedule Restricted Benefit listing for the dietary management of </w:t>
            </w:r>
            <w:r w:rsidR="006653DF">
              <w:rPr>
                <w:rFonts w:asciiTheme="minorHAnsi" w:hAnsiTheme="minorHAnsi" w:cstheme="minorHAnsi"/>
                <w:color w:val="000000"/>
                <w:sz w:val="18"/>
                <w:szCs w:val="18"/>
              </w:rPr>
              <w:t>t</w:t>
            </w:r>
            <w:r w:rsidR="006653DF" w:rsidRPr="00344F5B">
              <w:rPr>
                <w:rFonts w:asciiTheme="minorHAnsi" w:hAnsiTheme="minorHAnsi" w:cstheme="minorHAnsi"/>
                <w:color w:val="000000"/>
                <w:sz w:val="18"/>
                <w:szCs w:val="18"/>
              </w:rPr>
              <w:t>yrosinaemia</w:t>
            </w:r>
            <w:r w:rsidRPr="00344F5B">
              <w:rPr>
                <w:rFonts w:asciiTheme="minorHAnsi" w:hAnsiTheme="minorHAnsi" w:cstheme="minorHAnsi"/>
                <w:color w:val="000000"/>
                <w:sz w:val="18"/>
                <w:szCs w:val="18"/>
              </w:rPr>
              <w:t>.</w:t>
            </w:r>
          </w:p>
        </w:tc>
        <w:tc>
          <w:tcPr>
            <w:tcW w:w="1987" w:type="dxa"/>
            <w:shd w:val="clear" w:color="auto" w:fill="auto"/>
            <w:vAlign w:val="center"/>
          </w:tcPr>
          <w:p w14:paraId="700BE01A" w14:textId="1F09789D"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sz w:val="18"/>
                <w:szCs w:val="18"/>
              </w:rPr>
              <w:t>Recommended</w:t>
            </w:r>
          </w:p>
        </w:tc>
        <w:tc>
          <w:tcPr>
            <w:tcW w:w="4336" w:type="dxa"/>
            <w:shd w:val="clear" w:color="auto" w:fill="auto"/>
            <w:vAlign w:val="center"/>
          </w:tcPr>
          <w:p w14:paraId="12A145BA" w14:textId="7972429E"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sz w:val="18"/>
                <w:szCs w:val="18"/>
              </w:rPr>
              <w:t>The PBAC recommended the General Schedule Restricted Benefit listing of amino acid formula with vitamins and minerals, without phenylalanine and tyrosine and supplemented with arachidonic acid and docosahexaenoic acid (TYR explore5</w:t>
            </w:r>
            <w:r w:rsidR="00C77906">
              <w:rPr>
                <w:rFonts w:asciiTheme="minorHAnsi" w:hAnsiTheme="minorHAnsi" w:cstheme="minorHAnsi"/>
                <w:sz w:val="18"/>
                <w:szCs w:val="18"/>
              </w:rPr>
              <w:t>™</w:t>
            </w:r>
            <w:r w:rsidRPr="00344F5B">
              <w:rPr>
                <w:rFonts w:asciiTheme="minorHAnsi" w:hAnsiTheme="minorHAnsi" w:cstheme="minorHAnsi"/>
                <w:sz w:val="18"/>
                <w:szCs w:val="18"/>
              </w:rPr>
              <w:t xml:space="preserve">), for the dietary management of </w:t>
            </w:r>
            <w:r w:rsidR="006653DF">
              <w:rPr>
                <w:rFonts w:asciiTheme="minorHAnsi" w:hAnsiTheme="minorHAnsi" w:cstheme="minorHAnsi"/>
                <w:color w:val="000000"/>
                <w:sz w:val="18"/>
                <w:szCs w:val="18"/>
              </w:rPr>
              <w:t>t</w:t>
            </w:r>
            <w:r w:rsidR="006653DF" w:rsidRPr="00344F5B">
              <w:rPr>
                <w:rFonts w:asciiTheme="minorHAnsi" w:hAnsiTheme="minorHAnsi" w:cstheme="minorHAnsi"/>
                <w:color w:val="000000"/>
                <w:sz w:val="18"/>
                <w:szCs w:val="18"/>
              </w:rPr>
              <w:t>yrosinaemia</w:t>
            </w:r>
            <w:r w:rsidR="006653DF" w:rsidRPr="00344F5B">
              <w:rPr>
                <w:rFonts w:asciiTheme="minorHAnsi" w:hAnsiTheme="minorHAnsi" w:cstheme="minorHAnsi"/>
                <w:sz w:val="18"/>
                <w:szCs w:val="18"/>
              </w:rPr>
              <w:t xml:space="preserve"> </w:t>
            </w:r>
            <w:r w:rsidRPr="00344F5B">
              <w:rPr>
                <w:rFonts w:asciiTheme="minorHAnsi" w:hAnsiTheme="minorHAnsi" w:cstheme="minorHAnsi"/>
                <w:sz w:val="18"/>
                <w:szCs w:val="18"/>
              </w:rPr>
              <w:t>under the same circumstances as TYR gel, and on a cost-minimisation basis to the lowest cost comparator on a price per gram of protein equivalent basis.</w:t>
            </w:r>
          </w:p>
        </w:tc>
      </w:tr>
      <w:tr w:rsidR="00894AB9" w:rsidRPr="00544497" w14:paraId="160A6F61" w14:textId="77777777" w:rsidTr="00C70218">
        <w:trPr>
          <w:cantSplit/>
          <w:trHeight w:val="2948"/>
          <w:jc w:val="center"/>
        </w:trPr>
        <w:tc>
          <w:tcPr>
            <w:tcW w:w="3013" w:type="dxa"/>
            <w:shd w:val="clear" w:color="auto" w:fill="auto"/>
            <w:tcMar>
              <w:top w:w="28" w:type="dxa"/>
              <w:bottom w:w="28" w:type="dxa"/>
            </w:tcMar>
            <w:vAlign w:val="center"/>
          </w:tcPr>
          <w:p w14:paraId="59B8CAF2" w14:textId="2E1D818F"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AMINO ACID FORMULA WITH VITAMINS AND MINERALS WITHOUT VALINE, LEUCINE AND ISOLEUCINE AND SUPPLEMENTED WITH ARACHIDONIC ACID AND DOCOSAHEXAENOIC ACID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Sachets containing oral powder 12.5</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g, 30 (MSUD </w:t>
            </w:r>
            <w:r w:rsidR="00C77906">
              <w:rPr>
                <w:rFonts w:asciiTheme="minorHAnsi" w:hAnsiTheme="minorHAnsi" w:cstheme="minorHAnsi"/>
                <w:color w:val="000000"/>
                <w:sz w:val="18"/>
                <w:szCs w:val="18"/>
              </w:rPr>
              <w:t>e</w:t>
            </w:r>
            <w:r w:rsidRPr="00344F5B">
              <w:rPr>
                <w:rFonts w:asciiTheme="minorHAnsi" w:hAnsiTheme="minorHAnsi" w:cstheme="minorHAnsi"/>
                <w:color w:val="000000"/>
                <w:sz w:val="18"/>
                <w:szCs w:val="18"/>
              </w:rPr>
              <w:t>xplore5)</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 xml:space="preserve">MSUD </w:t>
            </w:r>
            <w:r w:rsidR="00C77906">
              <w:rPr>
                <w:rFonts w:asciiTheme="minorHAnsi" w:hAnsiTheme="minorHAnsi" w:cstheme="minorHAnsi"/>
                <w:color w:val="000000"/>
                <w:sz w:val="18"/>
                <w:szCs w:val="18"/>
              </w:rPr>
              <w:t>e</w:t>
            </w:r>
            <w:r w:rsidRPr="00344F5B">
              <w:rPr>
                <w:rFonts w:asciiTheme="minorHAnsi" w:hAnsiTheme="minorHAnsi" w:cstheme="minorHAnsi"/>
                <w:color w:val="000000"/>
                <w:sz w:val="18"/>
                <w:szCs w:val="18"/>
              </w:rPr>
              <w:t>xplore5</w:t>
            </w:r>
            <w:r w:rsidR="003B6D36">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Vitaflo Australia Pty Limited</w:t>
            </w:r>
            <w:r w:rsidRPr="00344F5B" w:rsidDel="00C97250">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214E87B3" w14:textId="55FFDAB0"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Maple syrup urine disease (MSUD)</w:t>
            </w:r>
          </w:p>
        </w:tc>
        <w:tc>
          <w:tcPr>
            <w:tcW w:w="3288" w:type="dxa"/>
            <w:shd w:val="clear" w:color="auto" w:fill="auto"/>
            <w:tcMar>
              <w:top w:w="28" w:type="dxa"/>
              <w:bottom w:w="28" w:type="dxa"/>
            </w:tcMar>
            <w:vAlign w:val="center"/>
          </w:tcPr>
          <w:p w14:paraId="5CB89313" w14:textId="5375657B"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Restricted Benefit listing for the dietary management of patients with MSUD.</w:t>
            </w:r>
          </w:p>
        </w:tc>
        <w:tc>
          <w:tcPr>
            <w:tcW w:w="1987" w:type="dxa"/>
            <w:shd w:val="clear" w:color="auto" w:fill="auto"/>
            <w:vAlign w:val="center"/>
          </w:tcPr>
          <w:p w14:paraId="2FEF30D2" w14:textId="59C30DD4"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Recommended</w:t>
            </w:r>
          </w:p>
        </w:tc>
        <w:tc>
          <w:tcPr>
            <w:tcW w:w="4336" w:type="dxa"/>
            <w:shd w:val="clear" w:color="auto" w:fill="auto"/>
            <w:vAlign w:val="center"/>
          </w:tcPr>
          <w:p w14:paraId="0630B7DE" w14:textId="3D0013A1"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sz w:val="18"/>
                <w:szCs w:val="18"/>
              </w:rPr>
              <w:t>The PBAC recommended the General Schedule Restricted Benefit listing of amino acid formula with vitamins and minerals without valine, leucine, isoleucine and supplemented with arachidonic acid and docosahexaenoic acid (MSUD explore5</w:t>
            </w:r>
            <w:r w:rsidR="00C77906">
              <w:rPr>
                <w:rFonts w:asciiTheme="minorHAnsi" w:hAnsiTheme="minorHAnsi" w:cstheme="minorHAnsi"/>
                <w:sz w:val="18"/>
                <w:szCs w:val="18"/>
              </w:rPr>
              <w:t>™</w:t>
            </w:r>
            <w:r w:rsidRPr="00344F5B">
              <w:rPr>
                <w:rFonts w:asciiTheme="minorHAnsi" w:hAnsiTheme="minorHAnsi" w:cstheme="minorHAnsi"/>
                <w:sz w:val="18"/>
                <w:szCs w:val="18"/>
              </w:rPr>
              <w:t xml:space="preserve">) under the same conditions as MSUD gel, and on a cost-minimisation basis to the lowest cost comparator on a price per gram of </w:t>
            </w:r>
            <w:r w:rsidR="00F404D3">
              <w:rPr>
                <w:rFonts w:asciiTheme="minorHAnsi" w:hAnsiTheme="minorHAnsi" w:cstheme="minorHAnsi"/>
                <w:sz w:val="18"/>
                <w:szCs w:val="18"/>
              </w:rPr>
              <w:t>protein equivalent</w:t>
            </w:r>
            <w:r w:rsidR="00F404D3" w:rsidRPr="00344F5B">
              <w:rPr>
                <w:rFonts w:asciiTheme="minorHAnsi" w:hAnsiTheme="minorHAnsi" w:cstheme="minorHAnsi"/>
                <w:sz w:val="18"/>
                <w:szCs w:val="18"/>
              </w:rPr>
              <w:t xml:space="preserve"> </w:t>
            </w:r>
            <w:r w:rsidRPr="00344F5B">
              <w:rPr>
                <w:rFonts w:asciiTheme="minorHAnsi" w:hAnsiTheme="minorHAnsi" w:cstheme="minorHAnsi"/>
                <w:sz w:val="18"/>
                <w:szCs w:val="18"/>
              </w:rPr>
              <w:t>basis.</w:t>
            </w:r>
          </w:p>
        </w:tc>
      </w:tr>
      <w:tr w:rsidR="00894AB9" w:rsidRPr="00544497" w14:paraId="7750751C" w14:textId="77777777" w:rsidTr="00C70218">
        <w:trPr>
          <w:cantSplit/>
          <w:trHeight w:val="2948"/>
          <w:jc w:val="center"/>
        </w:trPr>
        <w:tc>
          <w:tcPr>
            <w:tcW w:w="3013" w:type="dxa"/>
            <w:shd w:val="clear" w:color="auto" w:fill="auto"/>
            <w:tcMar>
              <w:top w:w="28" w:type="dxa"/>
              <w:bottom w:w="28" w:type="dxa"/>
            </w:tcMar>
            <w:vAlign w:val="center"/>
          </w:tcPr>
          <w:p w14:paraId="15F4BEA7" w14:textId="657DF0F0"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AMINO ACID SYNTHETIC FORMULA SUPPLEMENTED WITH LONG CHAIN POLYUNSATURATED FATTY ACIDS</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Oral powder 400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g (EleCare LCP)</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EleCare® LCP</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Abbott Australasia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5927B22A"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Cows' milk protein enteropathy</w:t>
            </w:r>
          </w:p>
          <w:p w14:paraId="62EAEC18"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Severe cows' milk protein</w:t>
            </w:r>
            <w:r>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enteropathy with failure to thrive</w:t>
            </w:r>
          </w:p>
          <w:p w14:paraId="697031B4"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Combined intolerance to cows'</w:t>
            </w:r>
            <w:r>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milk protein, soy protein and</w:t>
            </w:r>
            <w:r>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protein hydrolysate formulae</w:t>
            </w:r>
          </w:p>
          <w:p w14:paraId="102FB031"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Cows' milk anaphylaxis</w:t>
            </w:r>
          </w:p>
          <w:p w14:paraId="10870D90"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Proven combined immunoglobulin</w:t>
            </w:r>
            <w:r>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E (</w:t>
            </w:r>
            <w:proofErr w:type="spellStart"/>
            <w:r w:rsidRPr="00344F5B">
              <w:rPr>
                <w:rFonts w:asciiTheme="minorHAnsi" w:hAnsiTheme="minorHAnsi" w:cstheme="minorHAnsi"/>
                <w:color w:val="000000"/>
                <w:sz w:val="18"/>
                <w:szCs w:val="18"/>
              </w:rPr>
              <w:t>IgE</w:t>
            </w:r>
            <w:proofErr w:type="spellEnd"/>
            <w:r w:rsidRPr="00344F5B">
              <w:rPr>
                <w:rFonts w:asciiTheme="minorHAnsi" w:hAnsiTheme="minorHAnsi" w:cstheme="minorHAnsi"/>
                <w:color w:val="000000"/>
                <w:sz w:val="18"/>
                <w:szCs w:val="18"/>
              </w:rPr>
              <w:t>) mediated allergy to cows'</w:t>
            </w:r>
            <w:r>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milk protein and soy protein</w:t>
            </w:r>
          </w:p>
          <w:p w14:paraId="6942B8E0" w14:textId="282004E9"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Severe intestinal malabsorption</w:t>
            </w:r>
            <w:r>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including short bowel syndrome</w:t>
            </w:r>
          </w:p>
        </w:tc>
        <w:tc>
          <w:tcPr>
            <w:tcW w:w="3288" w:type="dxa"/>
            <w:shd w:val="clear" w:color="auto" w:fill="auto"/>
            <w:tcMar>
              <w:top w:w="28" w:type="dxa"/>
              <w:bottom w:w="28" w:type="dxa"/>
            </w:tcMar>
            <w:vAlign w:val="center"/>
          </w:tcPr>
          <w:p w14:paraId="3FBB49A8" w14:textId="42D65491"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that EleCare</w:t>
            </w:r>
            <w:r w:rsidR="00C77906">
              <w:rPr>
                <w:rFonts w:asciiTheme="minorHAnsi" w:hAnsiTheme="minorHAnsi" w:cstheme="minorHAnsi"/>
                <w:color w:val="000000"/>
                <w:sz w:val="18"/>
                <w:szCs w:val="18"/>
              </w:rPr>
              <w:t>®</w:t>
            </w:r>
            <w:r w:rsidRPr="00344F5B">
              <w:rPr>
                <w:rFonts w:asciiTheme="minorHAnsi" w:hAnsiTheme="minorHAnsi" w:cstheme="minorHAnsi"/>
                <w:color w:val="000000"/>
                <w:sz w:val="18"/>
                <w:szCs w:val="18"/>
              </w:rPr>
              <w:t xml:space="preserve"> LCP with new source of docosahexaenoic acid (DHA) continue to be listed on the PBS under the current conditions.</w:t>
            </w:r>
          </w:p>
        </w:tc>
        <w:tc>
          <w:tcPr>
            <w:tcW w:w="1987" w:type="dxa"/>
            <w:shd w:val="clear" w:color="auto" w:fill="auto"/>
            <w:vAlign w:val="center"/>
          </w:tcPr>
          <w:p w14:paraId="0F059B89" w14:textId="31610D77"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652C80A7" w14:textId="46FDE8AC"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sz w:val="18"/>
                <w:szCs w:val="18"/>
              </w:rPr>
              <w:t xml:space="preserve">The PBAC recommended that amino acid synthetic formula supplemented with long chain polyunsaturated fatty acids (EleCare® LCP) continue to be PBS-listed under the same conditions as the current listing. The PBAC considered that the new source of </w:t>
            </w:r>
            <w:r w:rsidR="00D04E4D">
              <w:rPr>
                <w:rFonts w:asciiTheme="minorHAnsi" w:hAnsiTheme="minorHAnsi" w:cstheme="minorHAnsi"/>
                <w:sz w:val="18"/>
                <w:szCs w:val="18"/>
              </w:rPr>
              <w:t>DHA</w:t>
            </w:r>
            <w:r w:rsidRPr="00344F5B">
              <w:rPr>
                <w:rFonts w:asciiTheme="minorHAnsi" w:hAnsiTheme="minorHAnsi" w:cstheme="minorHAnsi"/>
                <w:sz w:val="18"/>
                <w:szCs w:val="18"/>
              </w:rPr>
              <w:t xml:space="preserve">, </w:t>
            </w:r>
            <w:r w:rsidRPr="00344F5B">
              <w:rPr>
                <w:rFonts w:asciiTheme="minorHAnsi" w:hAnsiTheme="minorHAnsi" w:cstheme="minorHAnsi"/>
                <w:i/>
                <w:iCs/>
                <w:sz w:val="18"/>
                <w:szCs w:val="18"/>
              </w:rPr>
              <w:t>Schizochytrium</w:t>
            </w:r>
            <w:r w:rsidRPr="00344F5B">
              <w:rPr>
                <w:rFonts w:asciiTheme="minorHAnsi" w:hAnsiTheme="minorHAnsi" w:cstheme="minorHAnsi"/>
                <w:sz w:val="18"/>
                <w:szCs w:val="18"/>
              </w:rPr>
              <w:t xml:space="preserve"> sp.oil, was unlikely to change the clinical effectiveness or safety profile of the product nor its market utilisation.</w:t>
            </w:r>
          </w:p>
        </w:tc>
      </w:tr>
      <w:tr w:rsidR="00894AB9" w:rsidRPr="00544497" w14:paraId="7A902290" w14:textId="77777777" w:rsidTr="00C70218">
        <w:trPr>
          <w:trHeight w:val="1320"/>
          <w:jc w:val="center"/>
        </w:trPr>
        <w:tc>
          <w:tcPr>
            <w:tcW w:w="3013" w:type="dxa"/>
            <w:shd w:val="clear" w:color="auto" w:fill="auto"/>
            <w:tcMar>
              <w:top w:w="28" w:type="dxa"/>
              <w:bottom w:w="28" w:type="dxa"/>
            </w:tcMar>
            <w:vAlign w:val="center"/>
          </w:tcPr>
          <w:p w14:paraId="1A8B56F0" w14:textId="7E361A99"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ANIFROLUMAB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concentrate for I.V. infusion 300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2</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Saphnelo</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AstraZeneca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Standard re-entry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6E92FA92" w14:textId="7CA759C9"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Systemic lupus erythematosus (SLE)</w:t>
            </w:r>
          </w:p>
        </w:tc>
        <w:tc>
          <w:tcPr>
            <w:tcW w:w="3288" w:type="dxa"/>
            <w:shd w:val="clear" w:color="auto" w:fill="auto"/>
            <w:tcMar>
              <w:top w:w="28" w:type="dxa"/>
              <w:bottom w:w="28" w:type="dxa"/>
            </w:tcMar>
            <w:vAlign w:val="center"/>
          </w:tcPr>
          <w:p w14:paraId="17A39486" w14:textId="701CC3F4" w:rsidR="00894AB9" w:rsidRPr="00344F5B" w:rsidRDefault="00894AB9" w:rsidP="00894AB9">
            <w:pPr>
              <w:pStyle w:val="ListParagraph"/>
              <w:keepLines/>
              <w:ind w:left="0"/>
              <w:jc w:val="center"/>
              <w:rPr>
                <w:rFonts w:asciiTheme="minorHAnsi" w:hAnsiTheme="minorHAnsi" w:cstheme="minorHAnsi"/>
                <w:color w:val="000000"/>
                <w:sz w:val="18"/>
                <w:szCs w:val="18"/>
              </w:rPr>
            </w:pPr>
            <w:bookmarkStart w:id="0" w:name="RANGE!E13"/>
            <w:r w:rsidRPr="00344F5B">
              <w:rPr>
                <w:rFonts w:asciiTheme="minorHAnsi" w:hAnsiTheme="minorHAnsi" w:cstheme="minorHAnsi"/>
                <w:color w:val="000000"/>
                <w:sz w:val="18"/>
                <w:szCs w:val="18"/>
              </w:rPr>
              <w:t>Resubmission to request a Section 100 (Highly Specialised Drugs Program) Authority Required (</w:t>
            </w:r>
            <w:r w:rsidR="002A570E">
              <w:rPr>
                <w:rFonts w:asciiTheme="minorHAnsi" w:hAnsiTheme="minorHAnsi" w:cstheme="minorHAnsi"/>
                <w:color w:val="000000"/>
                <w:sz w:val="18"/>
                <w:szCs w:val="18"/>
              </w:rPr>
              <w:t>W</w:t>
            </w:r>
            <w:r w:rsidRPr="00344F5B">
              <w:rPr>
                <w:rFonts w:asciiTheme="minorHAnsi" w:hAnsiTheme="minorHAnsi" w:cstheme="minorHAnsi"/>
                <w:color w:val="000000"/>
                <w:sz w:val="18"/>
                <w:szCs w:val="18"/>
              </w:rPr>
              <w:t>ritten) listing for the treatment of severe SLE with a high degree of disease activity despite standard therapy.</w:t>
            </w:r>
            <w:bookmarkEnd w:id="0"/>
          </w:p>
        </w:tc>
        <w:tc>
          <w:tcPr>
            <w:tcW w:w="1987" w:type="dxa"/>
            <w:shd w:val="clear" w:color="auto" w:fill="auto"/>
            <w:vAlign w:val="center"/>
          </w:tcPr>
          <w:p w14:paraId="7985984A" w14:textId="34EEEF62"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Recommended</w:t>
            </w:r>
          </w:p>
        </w:tc>
        <w:tc>
          <w:tcPr>
            <w:tcW w:w="4336" w:type="dxa"/>
            <w:shd w:val="clear" w:color="auto" w:fill="auto"/>
            <w:vAlign w:val="center"/>
          </w:tcPr>
          <w:p w14:paraId="6BBE091B" w14:textId="77777777" w:rsidR="00EF3CFD" w:rsidRPr="00EF3CFD" w:rsidRDefault="00EF3CFD" w:rsidP="00EF3CFD">
            <w:pPr>
              <w:keepLines/>
              <w:spacing w:after="120"/>
              <w:rPr>
                <w:rFonts w:asciiTheme="minorHAnsi" w:hAnsiTheme="minorHAnsi" w:cstheme="minorHAnsi"/>
                <w:color w:val="000000"/>
                <w:sz w:val="18"/>
                <w:szCs w:val="18"/>
              </w:rPr>
            </w:pPr>
            <w:r w:rsidRPr="00EF3CFD">
              <w:rPr>
                <w:rFonts w:asciiTheme="minorHAnsi" w:hAnsiTheme="minorHAnsi" w:cstheme="minorHAnsi"/>
                <w:color w:val="000000"/>
                <w:sz w:val="18"/>
                <w:szCs w:val="18"/>
              </w:rPr>
              <w:t xml:space="preserve">The PBAC did not recommend the listing of anifrolumab for the treatment of SLE with high disease activity despite standard therapy. </w:t>
            </w:r>
          </w:p>
          <w:p w14:paraId="0F9F42C8" w14:textId="77777777" w:rsidR="00EF3CFD" w:rsidRPr="00EF3CFD" w:rsidRDefault="00EF3CFD" w:rsidP="00EF3CFD">
            <w:pPr>
              <w:keepLines/>
              <w:spacing w:after="120"/>
              <w:rPr>
                <w:rFonts w:asciiTheme="minorHAnsi" w:hAnsiTheme="minorHAnsi" w:cstheme="minorHAnsi"/>
                <w:color w:val="000000"/>
                <w:sz w:val="18"/>
                <w:szCs w:val="18"/>
              </w:rPr>
            </w:pPr>
            <w:r w:rsidRPr="00EF3CFD">
              <w:rPr>
                <w:rFonts w:asciiTheme="minorHAnsi" w:hAnsiTheme="minorHAnsi" w:cstheme="minorHAnsi"/>
                <w:color w:val="000000"/>
                <w:sz w:val="18"/>
                <w:szCs w:val="18"/>
              </w:rPr>
              <w:t xml:space="preserve">The previous submission was considered in July 2022. </w:t>
            </w:r>
          </w:p>
          <w:p w14:paraId="6BD19ABE" w14:textId="0BB77530" w:rsidR="00EF3CFD" w:rsidRPr="00EF3CFD" w:rsidRDefault="00EF3CFD" w:rsidP="00EF3CFD">
            <w:pPr>
              <w:keepLines/>
              <w:spacing w:after="120"/>
              <w:rPr>
                <w:rFonts w:asciiTheme="minorHAnsi" w:hAnsiTheme="minorHAnsi" w:cstheme="minorHAnsi"/>
                <w:color w:val="000000"/>
                <w:sz w:val="18"/>
                <w:szCs w:val="18"/>
                <w:u w:val="single"/>
              </w:rPr>
            </w:pPr>
            <w:r w:rsidRPr="00EF3CFD">
              <w:rPr>
                <w:rFonts w:asciiTheme="minorHAnsi" w:hAnsiTheme="minorHAnsi" w:cstheme="minorHAnsi"/>
                <w:color w:val="000000"/>
                <w:sz w:val="18"/>
                <w:szCs w:val="18"/>
                <w:u w:val="single"/>
              </w:rPr>
              <w:t xml:space="preserve">Comparator: </w:t>
            </w:r>
            <w:r w:rsidR="001E0711">
              <w:rPr>
                <w:rFonts w:asciiTheme="minorHAnsi" w:hAnsiTheme="minorHAnsi" w:cstheme="minorHAnsi"/>
                <w:color w:val="000000"/>
                <w:sz w:val="18"/>
                <w:szCs w:val="18"/>
                <w:u w:val="single"/>
              </w:rPr>
              <w:t>S</w:t>
            </w:r>
            <w:r w:rsidRPr="00EF3CFD">
              <w:rPr>
                <w:rFonts w:asciiTheme="minorHAnsi" w:hAnsiTheme="minorHAnsi" w:cstheme="minorHAnsi"/>
                <w:color w:val="000000"/>
                <w:sz w:val="18"/>
                <w:szCs w:val="18"/>
                <w:u w:val="single"/>
              </w:rPr>
              <w:t>tandard of care (SOC) alone.</w:t>
            </w:r>
          </w:p>
          <w:p w14:paraId="632A4BAE" w14:textId="77777777" w:rsidR="00EF3CFD" w:rsidRPr="00EF3CFD" w:rsidRDefault="00EF3CFD" w:rsidP="00EF3CFD">
            <w:pPr>
              <w:keepLines/>
              <w:spacing w:after="120"/>
              <w:rPr>
                <w:rFonts w:asciiTheme="minorHAnsi" w:hAnsiTheme="minorHAnsi" w:cstheme="minorHAnsi"/>
                <w:color w:val="000000"/>
                <w:sz w:val="18"/>
                <w:szCs w:val="18"/>
              </w:rPr>
            </w:pPr>
            <w:r w:rsidRPr="00EF3CFD">
              <w:rPr>
                <w:rFonts w:asciiTheme="minorHAnsi" w:hAnsiTheme="minorHAnsi" w:cstheme="minorHAnsi"/>
                <w:color w:val="000000"/>
                <w:sz w:val="18"/>
                <w:szCs w:val="18"/>
              </w:rPr>
              <w:t>The PBAC considered SOC alone was the appropriate comparator.</w:t>
            </w:r>
          </w:p>
          <w:p w14:paraId="68A63856" w14:textId="18177653" w:rsidR="00EF3CFD" w:rsidRPr="00EF3CFD" w:rsidRDefault="00EF3CFD" w:rsidP="00EF3CFD">
            <w:pPr>
              <w:keepLines/>
              <w:spacing w:after="120"/>
              <w:rPr>
                <w:rFonts w:asciiTheme="minorHAnsi" w:hAnsiTheme="minorHAnsi" w:cstheme="minorHAnsi"/>
                <w:color w:val="000000"/>
                <w:sz w:val="18"/>
                <w:szCs w:val="18"/>
                <w:u w:val="single"/>
              </w:rPr>
            </w:pPr>
            <w:r w:rsidRPr="00EF3CFD">
              <w:rPr>
                <w:rFonts w:asciiTheme="minorHAnsi" w:hAnsiTheme="minorHAnsi" w:cstheme="minorHAnsi"/>
                <w:color w:val="000000"/>
                <w:sz w:val="18"/>
                <w:szCs w:val="18"/>
                <w:u w:val="single"/>
              </w:rPr>
              <w:t xml:space="preserve">Clinical claim: </w:t>
            </w:r>
            <w:r w:rsidR="001E0711">
              <w:rPr>
                <w:rFonts w:asciiTheme="minorHAnsi" w:hAnsiTheme="minorHAnsi" w:cstheme="minorHAnsi"/>
                <w:color w:val="000000"/>
                <w:sz w:val="18"/>
                <w:szCs w:val="18"/>
                <w:u w:val="single"/>
              </w:rPr>
              <w:t>S</w:t>
            </w:r>
            <w:r w:rsidRPr="00EF3CFD">
              <w:rPr>
                <w:rFonts w:asciiTheme="minorHAnsi" w:hAnsiTheme="minorHAnsi" w:cstheme="minorHAnsi"/>
                <w:color w:val="000000"/>
                <w:sz w:val="18"/>
                <w:szCs w:val="18"/>
                <w:u w:val="single"/>
              </w:rPr>
              <w:t>uperior effectiveness and inferior safety compared with SOC alone.</w:t>
            </w:r>
          </w:p>
          <w:p w14:paraId="4BCC2B2F" w14:textId="77777777" w:rsidR="00EF3CFD" w:rsidRPr="00EF3CFD" w:rsidRDefault="00EF3CFD" w:rsidP="00EF3CFD">
            <w:pPr>
              <w:keepLines/>
              <w:spacing w:after="120"/>
              <w:rPr>
                <w:rFonts w:asciiTheme="minorHAnsi" w:hAnsiTheme="minorHAnsi" w:cstheme="minorHAnsi"/>
                <w:color w:val="000000"/>
                <w:sz w:val="18"/>
                <w:szCs w:val="18"/>
              </w:rPr>
            </w:pPr>
            <w:r w:rsidRPr="00EF3CFD">
              <w:rPr>
                <w:rFonts w:asciiTheme="minorHAnsi" w:hAnsiTheme="minorHAnsi" w:cstheme="minorHAnsi"/>
                <w:color w:val="000000"/>
                <w:sz w:val="18"/>
                <w:szCs w:val="18"/>
              </w:rPr>
              <w:t>The data to support the clinical claim was drawn from three head-to-head randomised controlled trials comparing anifrolumab to SOC alone in adults with moderate to severe SLE (TULIP 1, TULIP 2, and MUSE); and two treatment extension studies (MUSE LTE and TULIP LTE).</w:t>
            </w:r>
          </w:p>
          <w:p w14:paraId="72A19226" w14:textId="5723175B" w:rsidR="00EF3CFD" w:rsidRPr="00EF3CFD" w:rsidRDefault="00EF3CFD" w:rsidP="00EF3CFD">
            <w:pPr>
              <w:keepLines/>
              <w:spacing w:after="120"/>
              <w:rPr>
                <w:rFonts w:asciiTheme="minorHAnsi" w:hAnsiTheme="minorHAnsi" w:cstheme="minorHAnsi"/>
                <w:color w:val="000000"/>
                <w:sz w:val="18"/>
                <w:szCs w:val="18"/>
              </w:rPr>
            </w:pPr>
            <w:r w:rsidRPr="00EF3CFD">
              <w:rPr>
                <w:rFonts w:asciiTheme="minorHAnsi" w:hAnsiTheme="minorHAnsi" w:cstheme="minorHAnsi"/>
                <w:color w:val="000000"/>
                <w:sz w:val="18"/>
                <w:szCs w:val="18"/>
              </w:rPr>
              <w:t>The PBAC considered the claim of superiority to SOC alone in terms of effectiveness was supported based on improvement in disease activity for some patients, however the magnitude of benefit was modest and uncertain. The PBAC considered the claim of inferior safety to SOC alone was reasonable.</w:t>
            </w:r>
          </w:p>
          <w:p w14:paraId="3B70A11C" w14:textId="7843E9A7" w:rsidR="00EF3CFD" w:rsidRPr="00EF3CFD" w:rsidRDefault="00EF3CFD" w:rsidP="00EF3CFD">
            <w:pPr>
              <w:keepLines/>
              <w:spacing w:after="120"/>
              <w:rPr>
                <w:rFonts w:asciiTheme="minorHAnsi" w:hAnsiTheme="minorHAnsi" w:cstheme="minorHAnsi"/>
                <w:color w:val="000000"/>
                <w:sz w:val="18"/>
                <w:szCs w:val="18"/>
                <w:u w:val="single"/>
              </w:rPr>
            </w:pPr>
            <w:r w:rsidRPr="00EF3CFD">
              <w:rPr>
                <w:rFonts w:asciiTheme="minorHAnsi" w:hAnsiTheme="minorHAnsi" w:cstheme="minorHAnsi"/>
                <w:color w:val="000000"/>
                <w:sz w:val="18"/>
                <w:szCs w:val="18"/>
                <w:u w:val="single"/>
              </w:rPr>
              <w:t xml:space="preserve">Economic claim: </w:t>
            </w:r>
            <w:r w:rsidR="001E0711">
              <w:rPr>
                <w:rFonts w:asciiTheme="minorHAnsi" w:hAnsiTheme="minorHAnsi" w:cstheme="minorHAnsi"/>
                <w:color w:val="000000"/>
                <w:sz w:val="18"/>
                <w:szCs w:val="18"/>
                <w:u w:val="single"/>
              </w:rPr>
              <w:t>C</w:t>
            </w:r>
            <w:r w:rsidRPr="00EF3CFD">
              <w:rPr>
                <w:rFonts w:asciiTheme="minorHAnsi" w:hAnsiTheme="minorHAnsi" w:cstheme="minorHAnsi"/>
                <w:color w:val="000000"/>
                <w:sz w:val="18"/>
                <w:szCs w:val="18"/>
                <w:u w:val="single"/>
              </w:rPr>
              <w:t>ost-effectiveness versus SOC alone</w:t>
            </w:r>
          </w:p>
          <w:p w14:paraId="6AE178D3" w14:textId="77777777" w:rsidR="00EF3CFD" w:rsidRPr="00EF3CFD" w:rsidRDefault="00EF3CFD" w:rsidP="00EF3CFD">
            <w:pPr>
              <w:keepLines/>
              <w:spacing w:after="120"/>
              <w:rPr>
                <w:rFonts w:asciiTheme="minorHAnsi" w:hAnsiTheme="minorHAnsi" w:cstheme="minorHAnsi"/>
                <w:color w:val="000000"/>
                <w:sz w:val="18"/>
                <w:szCs w:val="18"/>
              </w:rPr>
            </w:pPr>
            <w:r w:rsidRPr="00EF3CFD">
              <w:rPr>
                <w:rFonts w:asciiTheme="minorHAnsi" w:hAnsiTheme="minorHAnsi" w:cstheme="minorHAnsi"/>
                <w:color w:val="000000"/>
                <w:sz w:val="18"/>
                <w:szCs w:val="18"/>
              </w:rPr>
              <w:t>The economic model remained highly uncertain and was unreliable for decision making.</w:t>
            </w:r>
          </w:p>
          <w:p w14:paraId="66E525B2" w14:textId="6067A593" w:rsidR="00EF3CFD" w:rsidRPr="00EF3CFD" w:rsidRDefault="00EF3CFD" w:rsidP="00EF3CFD">
            <w:pPr>
              <w:keepLines/>
              <w:spacing w:after="120"/>
              <w:rPr>
                <w:rFonts w:asciiTheme="minorHAnsi" w:hAnsiTheme="minorHAnsi" w:cstheme="minorHAnsi"/>
                <w:color w:val="000000"/>
                <w:sz w:val="18"/>
                <w:szCs w:val="18"/>
              </w:rPr>
            </w:pPr>
            <w:r w:rsidRPr="00EF3CFD">
              <w:rPr>
                <w:rFonts w:asciiTheme="minorHAnsi" w:hAnsiTheme="minorHAnsi" w:cstheme="minorHAnsi"/>
                <w:color w:val="000000"/>
                <w:sz w:val="18"/>
                <w:szCs w:val="18"/>
              </w:rPr>
              <w:lastRenderedPageBreak/>
              <w:t xml:space="preserve">The PBAC acknowledged that the low level of certainty in the evidence likely reflects, in part, the complex and variable nature of the condition and the challenges associated with assessing outcomes in SLE. The PBAC expressed a desire for a simpler, more robust model for SLE that was based on conservative assumptions and would provide more reliable estimates of cost-effectiveness for this population. </w:t>
            </w:r>
          </w:p>
          <w:p w14:paraId="4D625C11" w14:textId="7FE3FEFE" w:rsidR="00894AB9" w:rsidRPr="000110D5" w:rsidRDefault="00EF3CFD" w:rsidP="00EF3CFD">
            <w:pPr>
              <w:keepLines/>
              <w:spacing w:after="120"/>
              <w:rPr>
                <w:rFonts w:asciiTheme="minorHAnsi" w:hAnsiTheme="minorHAnsi" w:cstheme="minorHAnsi"/>
                <w:color w:val="000000"/>
                <w:sz w:val="18"/>
                <w:szCs w:val="18"/>
              </w:rPr>
            </w:pPr>
            <w:r w:rsidRPr="00EF3CFD">
              <w:rPr>
                <w:rFonts w:asciiTheme="minorHAnsi" w:hAnsiTheme="minorHAnsi" w:cstheme="minorHAnsi"/>
                <w:color w:val="000000"/>
                <w:sz w:val="18"/>
                <w:szCs w:val="18"/>
              </w:rPr>
              <w:t>The PBAC considered that the utilisation estimates for anifrolumab remained high despite the revised inputs in the pre-PBAC response.</w:t>
            </w:r>
          </w:p>
          <w:p w14:paraId="4C557387"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5305741" w14:textId="053DE327" w:rsidR="00C33C0D" w:rsidRPr="00C33C0D" w:rsidRDefault="00C33C0D" w:rsidP="00894AB9">
            <w:pPr>
              <w:rPr>
                <w:rFonts w:asciiTheme="minorHAnsi" w:hAnsiTheme="minorHAnsi" w:cstheme="minorHAnsi"/>
                <w:color w:val="000000"/>
                <w:sz w:val="18"/>
                <w:szCs w:val="18"/>
              </w:rPr>
            </w:pPr>
            <w:r w:rsidRPr="001B5E08">
              <w:rPr>
                <w:rFonts w:asciiTheme="minorHAnsi" w:hAnsiTheme="minorHAnsi" w:cstheme="minorHAnsi"/>
                <w:color w:val="000000"/>
                <w:sz w:val="18"/>
                <w:szCs w:val="18"/>
              </w:rPr>
              <w:t>The sponsor had no commen</w:t>
            </w:r>
            <w:r>
              <w:rPr>
                <w:rFonts w:asciiTheme="minorHAnsi" w:hAnsiTheme="minorHAnsi" w:cstheme="minorHAnsi"/>
                <w:color w:val="000000"/>
                <w:sz w:val="18"/>
                <w:szCs w:val="18"/>
              </w:rPr>
              <w:t>t.</w:t>
            </w:r>
          </w:p>
        </w:tc>
      </w:tr>
      <w:tr w:rsidR="00894AB9" w:rsidRPr="00544497" w14:paraId="13CCBBCF" w14:textId="77777777" w:rsidTr="00C70218">
        <w:trPr>
          <w:trHeight w:val="2948"/>
          <w:jc w:val="center"/>
        </w:trPr>
        <w:tc>
          <w:tcPr>
            <w:tcW w:w="3013" w:type="dxa"/>
            <w:shd w:val="clear" w:color="auto" w:fill="auto"/>
            <w:tcMar>
              <w:top w:w="28" w:type="dxa"/>
              <w:bottom w:w="28" w:type="dxa"/>
            </w:tcMar>
            <w:vAlign w:val="center"/>
          </w:tcPr>
          <w:p w14:paraId="133CC392" w14:textId="15D3D884"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APREMILAST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30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t>Pack containing 4 tablets of 10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4</w:t>
            </w:r>
            <w:r w:rsidR="00D44105">
              <w:rPr>
                <w:rFonts w:asciiTheme="minorHAnsi" w:hAnsiTheme="minorHAnsi" w:cstheme="minorHAnsi"/>
                <w:color w:val="000000"/>
                <w:sz w:val="18"/>
                <w:szCs w:val="18"/>
              </w:rPr>
              <w:t> </w:t>
            </w:r>
            <w:r w:rsidRPr="00344F5B">
              <w:rPr>
                <w:rFonts w:asciiTheme="minorHAnsi" w:hAnsiTheme="minorHAnsi" w:cstheme="minorHAnsi"/>
                <w:color w:val="000000"/>
                <w:sz w:val="18"/>
                <w:szCs w:val="18"/>
              </w:rPr>
              <w:t>tablets of 20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and 19 tablets of 30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Otezla®</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Amgen Australia Pty Limited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Standard re-entry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1D276F0A" w14:textId="1DF6C0CC"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Psoriatic arthritis (PsA)</w:t>
            </w:r>
          </w:p>
        </w:tc>
        <w:tc>
          <w:tcPr>
            <w:tcW w:w="3288" w:type="dxa"/>
            <w:shd w:val="clear" w:color="auto" w:fill="auto"/>
            <w:tcMar>
              <w:top w:w="28" w:type="dxa"/>
              <w:bottom w:w="28" w:type="dxa"/>
            </w:tcMar>
            <w:vAlign w:val="center"/>
          </w:tcPr>
          <w:p w14:paraId="0CDB928D" w14:textId="1E4F091C"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(STREAMLINED) listing for the treatment of severe active PsA.</w:t>
            </w:r>
          </w:p>
        </w:tc>
        <w:tc>
          <w:tcPr>
            <w:tcW w:w="1987" w:type="dxa"/>
            <w:shd w:val="clear" w:color="auto" w:fill="auto"/>
            <w:vAlign w:val="center"/>
          </w:tcPr>
          <w:p w14:paraId="5E91DC60" w14:textId="591D3716"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Recommended</w:t>
            </w:r>
          </w:p>
        </w:tc>
        <w:tc>
          <w:tcPr>
            <w:tcW w:w="4336" w:type="dxa"/>
            <w:shd w:val="clear" w:color="auto" w:fill="auto"/>
            <w:vAlign w:val="center"/>
          </w:tcPr>
          <w:p w14:paraId="7888EABD" w14:textId="78674304" w:rsidR="00A8234E" w:rsidRPr="00D936B4" w:rsidRDefault="00A8234E" w:rsidP="00D936B4">
            <w:pPr>
              <w:keepLines/>
              <w:spacing w:after="120"/>
              <w:rPr>
                <w:rFonts w:asciiTheme="minorHAnsi" w:hAnsiTheme="minorHAnsi" w:cstheme="minorHAnsi"/>
                <w:color w:val="000000"/>
                <w:sz w:val="18"/>
                <w:szCs w:val="18"/>
                <w:lang w:val="en-GB"/>
              </w:rPr>
            </w:pPr>
            <w:r w:rsidRPr="00A8234E">
              <w:rPr>
                <w:rFonts w:asciiTheme="minorHAnsi" w:hAnsiTheme="minorHAnsi" w:cstheme="minorHAnsi"/>
                <w:color w:val="000000"/>
                <w:sz w:val="18"/>
                <w:szCs w:val="18"/>
                <w:lang w:val="en-GB"/>
              </w:rPr>
              <w:t>The PBAC did not recommend the listing of apremilast for the treatment of PsA, in patients who have previously failed to achieve an adequate response to, or are clinically inappropriate for, conventional synthetic disease modifying anti-rheumatic drugs (</w:t>
            </w:r>
            <w:proofErr w:type="spellStart"/>
            <w:r w:rsidRPr="00A8234E">
              <w:rPr>
                <w:rFonts w:asciiTheme="minorHAnsi" w:hAnsiTheme="minorHAnsi" w:cstheme="minorHAnsi"/>
                <w:color w:val="000000"/>
                <w:sz w:val="18"/>
                <w:szCs w:val="18"/>
                <w:lang w:val="en-GB"/>
              </w:rPr>
              <w:t>csDMARDs</w:t>
            </w:r>
            <w:proofErr w:type="spellEnd"/>
            <w:r w:rsidRPr="00A8234E">
              <w:rPr>
                <w:rFonts w:asciiTheme="minorHAnsi" w:hAnsiTheme="minorHAnsi" w:cstheme="minorHAnsi"/>
                <w:color w:val="000000"/>
                <w:sz w:val="18"/>
                <w:szCs w:val="18"/>
                <w:lang w:val="en-GB"/>
              </w:rPr>
              <w:t xml:space="preserve">) (i.e., methotrexate, sulfasalazine and/or leflunomide), and who are ineligible or clinically inappropriate for treatment with a biologic or targeted synthetic disease modifying anti-rheumatic drug (bDMARD/tsDMARD). The PBAC acknowledged there was likely to be a cohort of patients with severe PsA who are unable to be treated with the available treatment options who would benefit from the availability of an additional treatment option. However, the PBAC considered the proposed restriction criteria did not adequately identify the appropriate cohort of patients. </w:t>
            </w:r>
          </w:p>
          <w:p w14:paraId="6AD4E610" w14:textId="155FD69D" w:rsidR="00A8234E" w:rsidRPr="00A8234E" w:rsidRDefault="00A8234E" w:rsidP="00D936B4">
            <w:pPr>
              <w:keepLines/>
              <w:spacing w:after="120"/>
              <w:rPr>
                <w:rFonts w:asciiTheme="minorHAnsi" w:hAnsiTheme="minorHAnsi" w:cstheme="minorHAnsi"/>
                <w:color w:val="000000"/>
                <w:sz w:val="18"/>
                <w:szCs w:val="18"/>
              </w:rPr>
            </w:pPr>
            <w:r w:rsidRPr="00A8234E">
              <w:rPr>
                <w:rFonts w:asciiTheme="minorHAnsi" w:hAnsiTheme="minorHAnsi" w:cstheme="minorHAnsi"/>
                <w:color w:val="000000"/>
                <w:sz w:val="18"/>
                <w:szCs w:val="18"/>
              </w:rPr>
              <w:t>Submissions for a different clinical place in PsA were not recommended by the PBAC in March 2015 and November 2015.</w:t>
            </w:r>
          </w:p>
          <w:p w14:paraId="42010671" w14:textId="4ED885AC" w:rsidR="001E0711" w:rsidRDefault="00A8234E">
            <w:pPr>
              <w:keepLines/>
              <w:spacing w:after="120"/>
              <w:rPr>
                <w:rFonts w:asciiTheme="minorHAnsi" w:hAnsiTheme="minorHAnsi" w:cstheme="minorHAnsi"/>
                <w:color w:val="000000"/>
                <w:sz w:val="18"/>
                <w:szCs w:val="18"/>
              </w:rPr>
            </w:pPr>
            <w:r w:rsidRPr="00A8234E">
              <w:rPr>
                <w:rFonts w:asciiTheme="minorHAnsi" w:hAnsiTheme="minorHAnsi" w:cstheme="minorHAnsi"/>
                <w:color w:val="000000"/>
                <w:sz w:val="18"/>
                <w:szCs w:val="18"/>
                <w:u w:val="single"/>
              </w:rPr>
              <w:t>Comparator</w:t>
            </w:r>
            <w:r w:rsidRPr="00D936B4">
              <w:rPr>
                <w:rFonts w:asciiTheme="minorHAnsi" w:hAnsiTheme="minorHAnsi" w:cstheme="minorHAnsi"/>
                <w:color w:val="000000"/>
                <w:sz w:val="18"/>
                <w:szCs w:val="18"/>
                <w:u w:val="single"/>
              </w:rPr>
              <w:t xml:space="preserve">: </w:t>
            </w:r>
            <w:r w:rsidR="001E0711" w:rsidRPr="00D936B4">
              <w:rPr>
                <w:rFonts w:asciiTheme="minorHAnsi" w:hAnsiTheme="minorHAnsi" w:cstheme="minorHAnsi"/>
                <w:color w:val="000000"/>
                <w:sz w:val="18"/>
                <w:szCs w:val="18"/>
                <w:u w:val="single"/>
              </w:rPr>
              <w:t xml:space="preserve"> Placebo and best supportive care (BSC)</w:t>
            </w:r>
          </w:p>
          <w:p w14:paraId="6E31D5E5" w14:textId="78A531FA" w:rsidR="00A8234E" w:rsidRPr="00D936B4" w:rsidRDefault="00A8234E" w:rsidP="00D936B4">
            <w:pPr>
              <w:keepLines/>
              <w:spacing w:after="120"/>
              <w:rPr>
                <w:rFonts w:asciiTheme="minorHAnsi" w:hAnsiTheme="minorHAnsi" w:cstheme="minorHAnsi"/>
                <w:color w:val="000000"/>
                <w:sz w:val="18"/>
                <w:szCs w:val="18"/>
                <w:lang w:val="en-GB"/>
              </w:rPr>
            </w:pPr>
            <w:r w:rsidRPr="00A8234E">
              <w:rPr>
                <w:rFonts w:asciiTheme="minorHAnsi" w:hAnsiTheme="minorHAnsi" w:cstheme="minorHAnsi"/>
                <w:color w:val="000000"/>
                <w:sz w:val="18"/>
                <w:szCs w:val="18"/>
                <w:lang w:val="en-GB"/>
              </w:rPr>
              <w:lastRenderedPageBreak/>
              <w:t xml:space="preserve">The PBAC considered the proposed comparator of placebo </w:t>
            </w:r>
            <w:r w:rsidR="001E0711">
              <w:rPr>
                <w:rFonts w:asciiTheme="minorHAnsi" w:hAnsiTheme="minorHAnsi" w:cstheme="minorHAnsi"/>
                <w:color w:val="000000"/>
                <w:sz w:val="18"/>
                <w:szCs w:val="18"/>
                <w:lang w:val="en-GB"/>
              </w:rPr>
              <w:t>and</w:t>
            </w:r>
            <w:r w:rsidRPr="00A8234E">
              <w:rPr>
                <w:rFonts w:asciiTheme="minorHAnsi" w:hAnsiTheme="minorHAnsi" w:cstheme="minorHAnsi"/>
                <w:color w:val="000000"/>
                <w:sz w:val="18"/>
                <w:szCs w:val="18"/>
                <w:lang w:val="en-GB"/>
              </w:rPr>
              <w:t xml:space="preserve"> </w:t>
            </w:r>
            <w:r w:rsidR="001E0711">
              <w:rPr>
                <w:rFonts w:asciiTheme="minorHAnsi" w:hAnsiTheme="minorHAnsi" w:cstheme="minorHAnsi"/>
                <w:color w:val="000000"/>
                <w:sz w:val="18"/>
                <w:szCs w:val="18"/>
                <w:lang w:val="en-GB"/>
              </w:rPr>
              <w:t>BSC</w:t>
            </w:r>
            <w:r w:rsidRPr="00A8234E">
              <w:rPr>
                <w:rFonts w:asciiTheme="minorHAnsi" w:hAnsiTheme="minorHAnsi" w:cstheme="minorHAnsi"/>
                <w:color w:val="000000"/>
                <w:sz w:val="18"/>
                <w:szCs w:val="18"/>
                <w:lang w:val="en-GB"/>
              </w:rPr>
              <w:t xml:space="preserve"> was reasonable for the requested population, as this cohort of patients had either failed or were not eligible for alternative treatment options.</w:t>
            </w:r>
          </w:p>
          <w:p w14:paraId="7767B536" w14:textId="4FB47BA8" w:rsidR="001E0711" w:rsidRDefault="00A8234E">
            <w:pPr>
              <w:keepLines/>
              <w:spacing w:after="120"/>
              <w:rPr>
                <w:rFonts w:asciiTheme="minorHAnsi" w:hAnsiTheme="minorHAnsi" w:cstheme="minorHAnsi"/>
                <w:color w:val="000000"/>
                <w:sz w:val="18"/>
                <w:szCs w:val="18"/>
              </w:rPr>
            </w:pPr>
            <w:r w:rsidRPr="00A8234E">
              <w:rPr>
                <w:rFonts w:asciiTheme="minorHAnsi" w:hAnsiTheme="minorHAnsi" w:cstheme="minorHAnsi"/>
                <w:color w:val="000000"/>
                <w:sz w:val="18"/>
                <w:szCs w:val="18"/>
                <w:u w:val="single"/>
              </w:rPr>
              <w:t>Clinical claim:</w:t>
            </w:r>
            <w:r w:rsidR="001E0711">
              <w:rPr>
                <w:rFonts w:asciiTheme="minorHAnsi" w:hAnsiTheme="minorHAnsi" w:cstheme="minorHAnsi"/>
                <w:color w:val="000000"/>
                <w:sz w:val="18"/>
                <w:szCs w:val="18"/>
                <w:u w:val="single"/>
              </w:rPr>
              <w:t xml:space="preserve"> Superior comparative effectiveness and inferior comparative safety to placebo and BSC</w:t>
            </w:r>
            <w:r w:rsidRPr="00A8234E">
              <w:rPr>
                <w:rFonts w:asciiTheme="minorHAnsi" w:hAnsiTheme="minorHAnsi" w:cstheme="minorHAnsi"/>
                <w:color w:val="000000"/>
                <w:sz w:val="18"/>
                <w:szCs w:val="18"/>
              </w:rPr>
              <w:t xml:space="preserve"> </w:t>
            </w:r>
          </w:p>
          <w:p w14:paraId="37E52A35" w14:textId="3AC01EBB" w:rsidR="00A8234E" w:rsidRPr="00A8234E" w:rsidRDefault="00A8234E" w:rsidP="00D936B4">
            <w:pPr>
              <w:keepLines/>
              <w:spacing w:after="120"/>
              <w:rPr>
                <w:rFonts w:asciiTheme="minorHAnsi" w:hAnsiTheme="minorHAnsi" w:cstheme="minorHAnsi"/>
                <w:color w:val="000000"/>
                <w:sz w:val="18"/>
                <w:szCs w:val="18"/>
              </w:rPr>
            </w:pPr>
            <w:r w:rsidRPr="00A8234E">
              <w:rPr>
                <w:rFonts w:asciiTheme="minorHAnsi" w:hAnsiTheme="minorHAnsi" w:cstheme="minorHAnsi"/>
                <w:color w:val="000000"/>
                <w:sz w:val="18"/>
                <w:szCs w:val="18"/>
              </w:rPr>
              <w:t>The PBAC considered that while there were applicability issues as the clinical trial evidence was not reflective of the requested PBS population, overall, the PBAC considered the clinical claims of superior comparative effectiveness and inferior comparative safety to placebo + BSC were adequately supported.</w:t>
            </w:r>
          </w:p>
          <w:p w14:paraId="4AE3F9E5" w14:textId="1E354C6D" w:rsidR="001E0711" w:rsidRDefault="00A8234E">
            <w:pPr>
              <w:keepLines/>
              <w:spacing w:after="120"/>
              <w:rPr>
                <w:rFonts w:asciiTheme="minorHAnsi" w:hAnsiTheme="minorHAnsi" w:cstheme="minorHAnsi"/>
                <w:color w:val="000000"/>
                <w:sz w:val="18"/>
                <w:szCs w:val="18"/>
              </w:rPr>
            </w:pPr>
            <w:r w:rsidRPr="00A8234E">
              <w:rPr>
                <w:rFonts w:asciiTheme="minorHAnsi" w:hAnsiTheme="minorHAnsi" w:cstheme="minorHAnsi"/>
                <w:color w:val="000000"/>
                <w:sz w:val="18"/>
                <w:szCs w:val="18"/>
                <w:u w:val="single"/>
              </w:rPr>
              <w:t>Economic claim</w:t>
            </w:r>
            <w:r w:rsidRPr="00D936B4">
              <w:rPr>
                <w:rFonts w:asciiTheme="minorHAnsi" w:hAnsiTheme="minorHAnsi" w:cstheme="minorHAnsi"/>
                <w:color w:val="000000"/>
                <w:sz w:val="18"/>
                <w:szCs w:val="18"/>
                <w:u w:val="single"/>
              </w:rPr>
              <w:t xml:space="preserve">: </w:t>
            </w:r>
            <w:r w:rsidR="001E0711" w:rsidRPr="00D936B4">
              <w:rPr>
                <w:rFonts w:asciiTheme="minorHAnsi" w:hAnsiTheme="minorHAnsi" w:cstheme="minorHAnsi"/>
                <w:color w:val="000000"/>
                <w:sz w:val="18"/>
                <w:szCs w:val="18"/>
                <w:u w:val="single"/>
              </w:rPr>
              <w:t>Cost-effectiveness</w:t>
            </w:r>
          </w:p>
          <w:p w14:paraId="50D71E82" w14:textId="738A3D8F" w:rsidR="00894AB9" w:rsidRPr="000110D5" w:rsidRDefault="00A8234E" w:rsidP="00D936B4">
            <w:pPr>
              <w:keepLines/>
              <w:spacing w:after="120"/>
              <w:rPr>
                <w:rFonts w:asciiTheme="minorHAnsi" w:hAnsiTheme="minorHAnsi" w:cstheme="minorHAnsi"/>
                <w:color w:val="000000"/>
                <w:sz w:val="18"/>
                <w:szCs w:val="18"/>
              </w:rPr>
            </w:pPr>
            <w:r w:rsidRPr="00A8234E">
              <w:rPr>
                <w:rFonts w:asciiTheme="minorHAnsi" w:hAnsiTheme="minorHAnsi" w:cstheme="minorHAnsi"/>
                <w:color w:val="000000"/>
                <w:sz w:val="18"/>
                <w:szCs w:val="18"/>
              </w:rPr>
              <w:t xml:space="preserve">The PBAC noted the range of issues raised by the </w:t>
            </w:r>
            <w:r w:rsidR="00F01298">
              <w:rPr>
                <w:rFonts w:asciiTheme="minorHAnsi" w:hAnsiTheme="minorHAnsi" w:cstheme="minorHAnsi"/>
                <w:color w:val="000000"/>
                <w:sz w:val="18"/>
                <w:szCs w:val="18"/>
              </w:rPr>
              <w:t>Economics Sub-Committee (</w:t>
            </w:r>
            <w:r w:rsidRPr="00A8234E">
              <w:rPr>
                <w:rFonts w:asciiTheme="minorHAnsi" w:hAnsiTheme="minorHAnsi" w:cstheme="minorHAnsi"/>
                <w:color w:val="000000"/>
                <w:sz w:val="18"/>
                <w:szCs w:val="18"/>
              </w:rPr>
              <w:t>ESC</w:t>
            </w:r>
            <w:r w:rsidR="00F01298">
              <w:rPr>
                <w:rFonts w:asciiTheme="minorHAnsi" w:hAnsiTheme="minorHAnsi" w:cstheme="minorHAnsi"/>
                <w:color w:val="000000"/>
                <w:sz w:val="18"/>
                <w:szCs w:val="18"/>
              </w:rPr>
              <w:t>)</w:t>
            </w:r>
            <w:r w:rsidRPr="00A8234E">
              <w:rPr>
                <w:rFonts w:asciiTheme="minorHAnsi" w:hAnsiTheme="minorHAnsi" w:cstheme="minorHAnsi"/>
                <w:color w:val="000000"/>
                <w:sz w:val="18"/>
                <w:szCs w:val="18"/>
              </w:rPr>
              <w:t xml:space="preserve"> that related to the model structure and approach for determining the model inputs which were not able to be adequately addressed through sensitivity analyses. Overall, the PBAC considered the cost-effectiveness of apremilast for the treatment of severe PsA was unable to be determined.</w:t>
            </w:r>
          </w:p>
          <w:p w14:paraId="6E3DBFF8"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CC02EB6" w14:textId="29AB82E8" w:rsidR="00B126DF" w:rsidRPr="00B126DF" w:rsidRDefault="00B126DF" w:rsidP="00894AB9">
            <w:pPr>
              <w:rPr>
                <w:rFonts w:asciiTheme="minorHAnsi" w:hAnsiTheme="minorHAnsi" w:cstheme="minorHAnsi"/>
                <w:color w:val="000000"/>
                <w:sz w:val="18"/>
                <w:szCs w:val="18"/>
              </w:rPr>
            </w:pPr>
            <w:r w:rsidRPr="00B126DF">
              <w:rPr>
                <w:rFonts w:asciiTheme="minorHAnsi" w:hAnsiTheme="minorHAnsi" w:cstheme="minorHAnsi"/>
                <w:color w:val="000000"/>
                <w:sz w:val="18"/>
                <w:szCs w:val="18"/>
              </w:rPr>
              <w:t>Amgen is disappointed with this outcome and will continue to work with the PBAC to improve patient access to apremilast. Amgen would like to thank all of the healthcare professionals, professional societies, patient organisations and consumers for their support of the apremilast submission.</w:t>
            </w:r>
          </w:p>
        </w:tc>
      </w:tr>
      <w:tr w:rsidR="00894AB9" w:rsidRPr="00544497" w14:paraId="0AE2830A" w14:textId="77777777" w:rsidTr="00C70218">
        <w:trPr>
          <w:cantSplit/>
          <w:trHeight w:val="2948"/>
          <w:jc w:val="center"/>
        </w:trPr>
        <w:tc>
          <w:tcPr>
            <w:tcW w:w="3013" w:type="dxa"/>
            <w:shd w:val="clear" w:color="auto" w:fill="auto"/>
            <w:tcMar>
              <w:top w:w="28" w:type="dxa"/>
              <w:bottom w:w="28" w:type="dxa"/>
            </w:tcMar>
            <w:vAlign w:val="center"/>
          </w:tcPr>
          <w:p w14:paraId="21AA0745" w14:textId="07CA7EF5"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BIMEKIZUMAB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Injection 160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single use pre-filled syringe</w:t>
            </w:r>
            <w:r w:rsidRPr="00344F5B">
              <w:rPr>
                <w:rFonts w:asciiTheme="minorHAnsi" w:hAnsiTheme="minorHAnsi" w:cstheme="minorHAnsi"/>
                <w:color w:val="000000"/>
                <w:sz w:val="18"/>
                <w:szCs w:val="18"/>
              </w:rPr>
              <w:br/>
              <w:t>Injection 160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mL single use pre-filled pen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Bimzelx</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UCB Australia Proprietary Limited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12E59758" w14:textId="131F03A3"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Chronic plaque psoriasis</w:t>
            </w:r>
            <w:r w:rsidR="00C1262D">
              <w:rPr>
                <w:rFonts w:asciiTheme="minorHAnsi" w:hAnsiTheme="minorHAnsi" w:cstheme="minorHAnsi"/>
                <w:color w:val="000000"/>
                <w:sz w:val="18"/>
                <w:szCs w:val="18"/>
              </w:rPr>
              <w:t xml:space="preserve"> (</w:t>
            </w:r>
            <w:r w:rsidR="00C1262D" w:rsidRPr="00C1262D">
              <w:rPr>
                <w:rFonts w:asciiTheme="minorHAnsi" w:hAnsiTheme="minorHAnsi" w:cstheme="minorHAnsi"/>
                <w:color w:val="000000"/>
                <w:sz w:val="18"/>
                <w:szCs w:val="18"/>
              </w:rPr>
              <w:t>CPP</w:t>
            </w:r>
            <w:r w:rsidR="00C1262D">
              <w:rPr>
                <w:rFonts w:asciiTheme="minorHAnsi" w:hAnsiTheme="minorHAnsi" w:cstheme="minorHAnsi"/>
                <w:color w:val="000000"/>
                <w:sz w:val="18"/>
                <w:szCs w:val="18"/>
              </w:rPr>
              <w:t>)</w:t>
            </w:r>
          </w:p>
        </w:tc>
        <w:tc>
          <w:tcPr>
            <w:tcW w:w="3288" w:type="dxa"/>
            <w:shd w:val="clear" w:color="auto" w:fill="auto"/>
            <w:tcMar>
              <w:top w:w="28" w:type="dxa"/>
              <w:bottom w:w="28" w:type="dxa"/>
            </w:tcMar>
            <w:vAlign w:val="center"/>
          </w:tcPr>
          <w:p w14:paraId="0CEBC411" w14:textId="356F48A3"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w:t>
            </w:r>
            <w:r w:rsidR="002A570E">
              <w:rPr>
                <w:rFonts w:asciiTheme="minorHAnsi" w:hAnsiTheme="minorHAnsi" w:cstheme="minorHAnsi"/>
                <w:color w:val="000000"/>
                <w:sz w:val="18"/>
                <w:szCs w:val="18"/>
              </w:rPr>
              <w:t>W</w:t>
            </w:r>
            <w:r w:rsidRPr="00344F5B">
              <w:rPr>
                <w:rFonts w:asciiTheme="minorHAnsi" w:hAnsiTheme="minorHAnsi" w:cstheme="minorHAnsi"/>
                <w:color w:val="000000"/>
                <w:sz w:val="18"/>
                <w:szCs w:val="18"/>
              </w:rPr>
              <w:t xml:space="preserve">ritten) listing for the treatment of </w:t>
            </w:r>
            <w:r w:rsidR="00C1262D">
              <w:rPr>
                <w:rFonts w:asciiTheme="minorHAnsi" w:hAnsiTheme="minorHAnsi" w:cstheme="minorHAnsi"/>
                <w:color w:val="000000"/>
                <w:sz w:val="18"/>
                <w:szCs w:val="18"/>
              </w:rPr>
              <w:t>CPP</w:t>
            </w:r>
            <w:r w:rsidRPr="00344F5B">
              <w:rPr>
                <w:rFonts w:asciiTheme="minorHAnsi" w:hAnsiTheme="minorHAnsi" w:cstheme="minorHAnsi"/>
                <w:color w:val="000000"/>
                <w:sz w:val="18"/>
                <w:szCs w:val="18"/>
              </w:rPr>
              <w:t>.</w:t>
            </w:r>
          </w:p>
        </w:tc>
        <w:tc>
          <w:tcPr>
            <w:tcW w:w="1987" w:type="dxa"/>
            <w:shd w:val="clear" w:color="auto" w:fill="auto"/>
            <w:vAlign w:val="center"/>
          </w:tcPr>
          <w:p w14:paraId="4BCD8363" w14:textId="359FA591"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bottom"/>
          </w:tcPr>
          <w:p w14:paraId="489F8178" w14:textId="7C9EF61C"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the Authority Required listing of bimekizumab (BKZ) for the treatment of severe </w:t>
            </w:r>
            <w:r w:rsidR="00C77906">
              <w:rPr>
                <w:rFonts w:asciiTheme="minorHAnsi" w:hAnsiTheme="minorHAnsi" w:cstheme="minorHAnsi"/>
                <w:color w:val="000000"/>
                <w:sz w:val="18"/>
                <w:szCs w:val="18"/>
              </w:rPr>
              <w:t>CPP</w:t>
            </w:r>
            <w:r w:rsidRPr="00344F5B">
              <w:rPr>
                <w:rFonts w:asciiTheme="minorHAnsi" w:hAnsiTheme="minorHAnsi" w:cstheme="minorHAnsi"/>
                <w:color w:val="000000"/>
                <w:sz w:val="18"/>
                <w:szCs w:val="18"/>
              </w:rPr>
              <w:t>. The PBAC’s recommendation for listing was based on, among other matters, its assessment that the cost-effectiveness of BKZ would be acceptable if it were cost minimised to the least costly alternative therapy of infliximab, guselkumab, ixekizumab, risankizumab, tildrakizumab and secukinumab. The PBAC considered there is sufficient evidence to conclude that BKZ provides, for some patients, a significant improvement in efficacy compared to adalimumab, etanercept and ustekinumab.</w:t>
            </w:r>
          </w:p>
          <w:p w14:paraId="2A36B19C" w14:textId="77777777" w:rsidR="00894AB9" w:rsidRPr="00344F5B" w:rsidRDefault="00894AB9" w:rsidP="00894AB9">
            <w:pPr>
              <w:rPr>
                <w:rFonts w:asciiTheme="minorHAnsi" w:hAnsiTheme="minorHAnsi" w:cstheme="minorHAnsi"/>
                <w:color w:val="000000"/>
                <w:sz w:val="18"/>
                <w:szCs w:val="18"/>
              </w:rPr>
            </w:pPr>
          </w:p>
          <w:p w14:paraId="2636442F" w14:textId="3A229C6B"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w:t>
            </w:r>
            <w:r w:rsidR="00C1262D">
              <w:rPr>
                <w:rFonts w:asciiTheme="minorHAnsi" w:hAnsiTheme="minorHAnsi" w:cstheme="minorHAnsi"/>
                <w:color w:val="000000"/>
                <w:sz w:val="18"/>
                <w:szCs w:val="18"/>
              </w:rPr>
              <w:t>recommended</w:t>
            </w:r>
            <w:r w:rsidR="00C1262D" w:rsidRPr="00344F5B">
              <w:rPr>
                <w:rFonts w:asciiTheme="minorHAnsi" w:hAnsiTheme="minorHAnsi" w:cstheme="minorHAnsi"/>
                <w:color w:val="000000"/>
                <w:sz w:val="18"/>
                <w:szCs w:val="18"/>
              </w:rPr>
              <w:t xml:space="preserve"> </w:t>
            </w:r>
            <w:r w:rsidR="00C77906">
              <w:rPr>
                <w:rFonts w:asciiTheme="minorHAnsi" w:hAnsiTheme="minorHAnsi" w:cstheme="minorHAnsi"/>
                <w:color w:val="000000"/>
                <w:sz w:val="18"/>
                <w:szCs w:val="18"/>
              </w:rPr>
              <w:t xml:space="preserve">that </w:t>
            </w:r>
            <w:r w:rsidRPr="00344F5B">
              <w:rPr>
                <w:rFonts w:asciiTheme="minorHAnsi" w:hAnsiTheme="minorHAnsi" w:cstheme="minorHAnsi"/>
                <w:color w:val="000000"/>
                <w:sz w:val="18"/>
                <w:szCs w:val="18"/>
              </w:rPr>
              <w:t xml:space="preserve">flow-on changes to the currently listed </w:t>
            </w:r>
            <w:r w:rsidR="00C77906">
              <w:rPr>
                <w:rFonts w:asciiTheme="minorHAnsi" w:hAnsiTheme="minorHAnsi" w:cstheme="minorHAnsi"/>
                <w:color w:val="000000"/>
                <w:sz w:val="18"/>
                <w:szCs w:val="18"/>
              </w:rPr>
              <w:t xml:space="preserve">biologic disease modifying anti-rheumatic drugs </w:t>
            </w:r>
            <w:r w:rsidRPr="00344F5B">
              <w:rPr>
                <w:rFonts w:asciiTheme="minorHAnsi" w:hAnsiTheme="minorHAnsi" w:cstheme="minorHAnsi"/>
                <w:color w:val="000000"/>
                <w:sz w:val="18"/>
                <w:szCs w:val="18"/>
              </w:rPr>
              <w:t>will be required to include BKZ in the list of eligible treatments as part of a treatment cycle.</w:t>
            </w:r>
          </w:p>
        </w:tc>
      </w:tr>
      <w:tr w:rsidR="00894AB9" w:rsidRPr="00544497" w14:paraId="4A465492" w14:textId="77777777" w:rsidTr="00C70218">
        <w:trPr>
          <w:cantSplit/>
          <w:trHeight w:val="2644"/>
          <w:jc w:val="center"/>
        </w:trPr>
        <w:tc>
          <w:tcPr>
            <w:tcW w:w="3013" w:type="dxa"/>
            <w:shd w:val="clear" w:color="auto" w:fill="auto"/>
            <w:tcMar>
              <w:top w:w="28" w:type="dxa"/>
              <w:bottom w:w="28" w:type="dxa"/>
            </w:tcMar>
            <w:vAlign w:val="center"/>
          </w:tcPr>
          <w:p w14:paraId="3ECD4C2A"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BUDESONIDE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500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micrograms (orally disintegrating) </w:t>
            </w:r>
          </w:p>
          <w:p w14:paraId="5E18E9FF" w14:textId="64EFB58E"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Tablet 1</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(orally disintegrating)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Jorveza</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Dr Falk Pharma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7CD5B10D" w14:textId="5B1501AB"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Eosinophilic oesophagitis (</w:t>
            </w:r>
            <w:proofErr w:type="spellStart"/>
            <w:r w:rsidRPr="00344F5B">
              <w:rPr>
                <w:rFonts w:asciiTheme="minorHAnsi" w:hAnsiTheme="minorHAnsi" w:cstheme="minorHAnsi"/>
                <w:color w:val="000000"/>
                <w:sz w:val="18"/>
                <w:szCs w:val="18"/>
              </w:rPr>
              <w:t>EoE</w:t>
            </w:r>
            <w:proofErr w:type="spellEnd"/>
            <w:r w:rsidRPr="00344F5B">
              <w:rPr>
                <w:rFonts w:asciiTheme="minorHAnsi" w:hAnsiTheme="minorHAnsi" w:cstheme="minorHAnsi"/>
                <w:color w:val="000000"/>
                <w:sz w:val="18"/>
                <w:szCs w:val="18"/>
              </w:rPr>
              <w:t>)</w:t>
            </w:r>
          </w:p>
        </w:tc>
        <w:tc>
          <w:tcPr>
            <w:tcW w:w="3288" w:type="dxa"/>
            <w:shd w:val="clear" w:color="auto" w:fill="auto"/>
            <w:tcMar>
              <w:top w:w="28" w:type="dxa"/>
              <w:bottom w:w="28" w:type="dxa"/>
            </w:tcMar>
            <w:vAlign w:val="center"/>
          </w:tcPr>
          <w:p w14:paraId="2CF642A0" w14:textId="4FEDEB57"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To request PBAC advice regarding the number of biopsies to confirm eligibility for initial treatment; removal of the histological assessment to determine eligibility for continuing treatment; and an expansion to the treatment criteria to include physicians or surgeons experienced in the diagnosis and management of </w:t>
            </w:r>
            <w:proofErr w:type="spellStart"/>
            <w:r w:rsidRPr="00344F5B">
              <w:rPr>
                <w:rFonts w:asciiTheme="minorHAnsi" w:hAnsiTheme="minorHAnsi" w:cstheme="minorHAnsi"/>
                <w:color w:val="000000"/>
                <w:sz w:val="18"/>
                <w:szCs w:val="18"/>
              </w:rPr>
              <w:t>EoE</w:t>
            </w:r>
            <w:proofErr w:type="spellEnd"/>
            <w:r w:rsidRPr="00344F5B">
              <w:rPr>
                <w:rFonts w:asciiTheme="minorHAnsi" w:hAnsiTheme="minorHAnsi" w:cstheme="minorHAnsi"/>
                <w:color w:val="000000"/>
                <w:sz w:val="18"/>
                <w:szCs w:val="18"/>
              </w:rPr>
              <w:t>.</w:t>
            </w:r>
          </w:p>
        </w:tc>
        <w:tc>
          <w:tcPr>
            <w:tcW w:w="1987" w:type="dxa"/>
            <w:shd w:val="clear" w:color="auto" w:fill="auto"/>
            <w:vAlign w:val="center"/>
          </w:tcPr>
          <w:p w14:paraId="7E66B42F" w14:textId="59F100FA" w:rsidR="00894AB9" w:rsidRPr="00344F5B" w:rsidRDefault="0068799C" w:rsidP="00894AB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336" w:type="dxa"/>
            <w:shd w:val="clear" w:color="auto" w:fill="auto"/>
            <w:vAlign w:val="center"/>
          </w:tcPr>
          <w:p w14:paraId="451B7AE4" w14:textId="086D7450" w:rsidR="00CE08D7" w:rsidRPr="00344F5B" w:rsidRDefault="00894AB9" w:rsidP="0068799C">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expanding the list of eligible prescribers in the PBS treatment criteria for budesonide orally disintegrating tablets (BOT) 500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micrograms and 1</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to include physicians or surgeons experienced in the diagnosis and management of </w:t>
            </w:r>
            <w:proofErr w:type="spellStart"/>
            <w:r w:rsidRPr="00344F5B">
              <w:rPr>
                <w:rFonts w:asciiTheme="minorHAnsi" w:hAnsiTheme="minorHAnsi" w:cstheme="minorHAnsi"/>
                <w:color w:val="000000"/>
                <w:sz w:val="18"/>
                <w:szCs w:val="18"/>
              </w:rPr>
              <w:t>EoE</w:t>
            </w:r>
            <w:proofErr w:type="spellEnd"/>
            <w:r w:rsidRPr="00344F5B">
              <w:rPr>
                <w:rFonts w:asciiTheme="minorHAnsi" w:hAnsiTheme="minorHAnsi" w:cstheme="minorHAnsi"/>
                <w:color w:val="000000"/>
                <w:sz w:val="18"/>
                <w:szCs w:val="18"/>
              </w:rPr>
              <w:t xml:space="preserve">. The PBAC noted concerns raised in the submission and input from organisations that non-gastroenterologist specialists may be responsible for the care of individuals with </w:t>
            </w:r>
            <w:proofErr w:type="spellStart"/>
            <w:r w:rsidRPr="00344F5B">
              <w:rPr>
                <w:rFonts w:asciiTheme="minorHAnsi" w:hAnsiTheme="minorHAnsi" w:cstheme="minorHAnsi"/>
                <w:color w:val="000000"/>
                <w:sz w:val="18"/>
                <w:szCs w:val="18"/>
              </w:rPr>
              <w:t>EoE</w:t>
            </w:r>
            <w:proofErr w:type="spellEnd"/>
            <w:r w:rsidRPr="00344F5B">
              <w:rPr>
                <w:rFonts w:asciiTheme="minorHAnsi" w:hAnsiTheme="minorHAnsi" w:cstheme="minorHAnsi"/>
                <w:color w:val="000000"/>
                <w:sz w:val="18"/>
                <w:szCs w:val="18"/>
              </w:rPr>
              <w:t xml:space="preserve"> and that patients living in rural and remote areas may not have access to a gastroenterologist.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The PBAC noted the submission’s concerns about confusion caused by the current Prescribing Instruction regarding the optimal number of biopsies in the PBS restriction criteria for BOT. The PBAC recommended amending the Prescribing Instruction to provide additional clarity for prescribers.</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 xml:space="preserve">The PBAC deferred making a recommendation regarding the request to remove the PBS criteria requiring a histological assessment (endoscopy) to determine treatment response/eligibility for continuing treatment for BOT for the treatment of </w:t>
            </w:r>
            <w:proofErr w:type="spellStart"/>
            <w:r w:rsidRPr="00344F5B">
              <w:rPr>
                <w:rFonts w:asciiTheme="minorHAnsi" w:hAnsiTheme="minorHAnsi" w:cstheme="minorHAnsi"/>
                <w:color w:val="000000"/>
                <w:sz w:val="18"/>
                <w:szCs w:val="18"/>
              </w:rPr>
              <w:t>EoE</w:t>
            </w:r>
            <w:proofErr w:type="spellEnd"/>
            <w:r w:rsidRPr="00344F5B">
              <w:rPr>
                <w:rFonts w:asciiTheme="minorHAnsi" w:hAnsiTheme="minorHAnsi" w:cstheme="minorHAnsi"/>
                <w:color w:val="000000"/>
                <w:sz w:val="18"/>
                <w:szCs w:val="18"/>
              </w:rPr>
              <w:t xml:space="preserve">. The PBAC noted concerns raised by the submission and healthcare professionals regarding access to second endoscopy within the required timeframe. The PBAC requested further advice from relevant experts on the appropriateness and safety of removing this restriction criteria and requested that the Drug Utilisation Sub-Committee review the utilisation of BOT after 12 months of listing, noting that BOT for the treatment of </w:t>
            </w:r>
            <w:proofErr w:type="spellStart"/>
            <w:r w:rsidRPr="00344F5B">
              <w:rPr>
                <w:rFonts w:asciiTheme="minorHAnsi" w:hAnsiTheme="minorHAnsi" w:cstheme="minorHAnsi"/>
                <w:color w:val="000000"/>
                <w:sz w:val="18"/>
                <w:szCs w:val="18"/>
              </w:rPr>
              <w:t>EoE</w:t>
            </w:r>
            <w:proofErr w:type="spellEnd"/>
            <w:r w:rsidRPr="00344F5B">
              <w:rPr>
                <w:rFonts w:asciiTheme="minorHAnsi" w:hAnsiTheme="minorHAnsi" w:cstheme="minorHAnsi"/>
                <w:color w:val="000000"/>
                <w:sz w:val="18"/>
                <w:szCs w:val="18"/>
              </w:rPr>
              <w:t xml:space="preserve"> was listed on the PBS in May 2022. </w:t>
            </w:r>
          </w:p>
        </w:tc>
      </w:tr>
      <w:tr w:rsidR="00894AB9" w:rsidRPr="00544497" w14:paraId="4B53762F" w14:textId="77777777" w:rsidTr="00C70218">
        <w:trPr>
          <w:cantSplit/>
          <w:trHeight w:val="2948"/>
          <w:jc w:val="center"/>
        </w:trPr>
        <w:tc>
          <w:tcPr>
            <w:tcW w:w="3013" w:type="dxa"/>
            <w:shd w:val="clear" w:color="auto" w:fill="auto"/>
            <w:tcMar>
              <w:top w:w="28" w:type="dxa"/>
              <w:bottom w:w="28" w:type="dxa"/>
            </w:tcMar>
            <w:vAlign w:val="center"/>
          </w:tcPr>
          <w:p w14:paraId="67AE6A9E" w14:textId="17D3EDE5"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CARMELLOSE WITH GLYCERIN AND WITH HYALURONIC ACID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 xml:space="preserve">Eye drops containing </w:t>
            </w:r>
            <w:proofErr w:type="spellStart"/>
            <w:r w:rsidRPr="00344F5B">
              <w:rPr>
                <w:rFonts w:asciiTheme="minorHAnsi" w:hAnsiTheme="minorHAnsi" w:cstheme="minorHAnsi"/>
                <w:color w:val="000000"/>
                <w:sz w:val="18"/>
                <w:szCs w:val="18"/>
              </w:rPr>
              <w:t>carmellose</w:t>
            </w:r>
            <w:proofErr w:type="spellEnd"/>
            <w:r w:rsidRPr="00344F5B">
              <w:rPr>
                <w:rFonts w:asciiTheme="minorHAnsi" w:hAnsiTheme="minorHAnsi" w:cstheme="minorHAnsi"/>
                <w:color w:val="000000"/>
                <w:sz w:val="18"/>
                <w:szCs w:val="18"/>
              </w:rPr>
              <w:t xml:space="preserve"> sodium 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with </w:t>
            </w:r>
            <w:proofErr w:type="spellStart"/>
            <w:r w:rsidRPr="00344F5B">
              <w:rPr>
                <w:rFonts w:asciiTheme="minorHAnsi" w:hAnsiTheme="minorHAnsi" w:cstheme="minorHAnsi"/>
                <w:color w:val="000000"/>
                <w:sz w:val="18"/>
                <w:szCs w:val="18"/>
              </w:rPr>
              <w:t>glycerin</w:t>
            </w:r>
            <w:proofErr w:type="spellEnd"/>
            <w:r w:rsidRPr="00344F5B">
              <w:rPr>
                <w:rFonts w:asciiTheme="minorHAnsi" w:hAnsiTheme="minorHAnsi" w:cstheme="minorHAnsi"/>
                <w:color w:val="000000"/>
                <w:sz w:val="18"/>
                <w:szCs w:val="18"/>
              </w:rPr>
              <w:t xml:space="preserve"> 9</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and with hyaluronic acid 1</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per mL, 10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Optive Fusion®</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Allergan Australia Pty Limited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293D2497" w14:textId="385A271C"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Severe dry eye syndrome</w:t>
            </w:r>
          </w:p>
        </w:tc>
        <w:tc>
          <w:tcPr>
            <w:tcW w:w="3288" w:type="dxa"/>
            <w:shd w:val="clear" w:color="auto" w:fill="auto"/>
            <w:tcMar>
              <w:top w:w="28" w:type="dxa"/>
              <w:bottom w:w="28" w:type="dxa"/>
            </w:tcMar>
            <w:vAlign w:val="center"/>
          </w:tcPr>
          <w:p w14:paraId="29B16BA1" w14:textId="759B2A7F"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Restricted Benefit listing for the treatment of severe dry eye syndrome.</w:t>
            </w:r>
          </w:p>
        </w:tc>
        <w:tc>
          <w:tcPr>
            <w:tcW w:w="1987" w:type="dxa"/>
            <w:shd w:val="clear" w:color="auto" w:fill="auto"/>
            <w:vAlign w:val="center"/>
          </w:tcPr>
          <w:p w14:paraId="167AD0DD" w14:textId="5CBA355C"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Deferred</w:t>
            </w:r>
          </w:p>
        </w:tc>
        <w:tc>
          <w:tcPr>
            <w:tcW w:w="4336" w:type="dxa"/>
            <w:shd w:val="clear" w:color="auto" w:fill="auto"/>
            <w:vAlign w:val="center"/>
          </w:tcPr>
          <w:p w14:paraId="6E9DE190" w14:textId="2270BFA2" w:rsidR="00894AB9" w:rsidRPr="000110D5"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 xml:space="preserve">The PBAC deferred making a recommendation to list </w:t>
            </w:r>
            <w:proofErr w:type="spellStart"/>
            <w:r w:rsidRPr="0011605A">
              <w:rPr>
                <w:rFonts w:asciiTheme="minorHAnsi" w:hAnsiTheme="minorHAnsi" w:cstheme="minorHAnsi"/>
                <w:color w:val="000000"/>
                <w:sz w:val="18"/>
                <w:szCs w:val="18"/>
              </w:rPr>
              <w:t>carmellose</w:t>
            </w:r>
            <w:proofErr w:type="spellEnd"/>
            <w:r w:rsidRPr="0011605A">
              <w:rPr>
                <w:rFonts w:asciiTheme="minorHAnsi" w:hAnsiTheme="minorHAnsi" w:cstheme="minorHAnsi"/>
                <w:color w:val="000000"/>
                <w:sz w:val="18"/>
                <w:szCs w:val="18"/>
              </w:rPr>
              <w:t xml:space="preserve"> with glycerol and hyaluronic acid</w:t>
            </w:r>
            <w:r w:rsidR="00341067">
              <w:rPr>
                <w:rFonts w:asciiTheme="minorHAnsi" w:hAnsiTheme="minorHAnsi" w:cstheme="minorHAnsi"/>
                <w:color w:val="000000"/>
                <w:sz w:val="18"/>
                <w:szCs w:val="18"/>
              </w:rPr>
              <w:t xml:space="preserve"> (CGH)</w:t>
            </w:r>
            <w:r w:rsidRPr="0011605A">
              <w:rPr>
                <w:rFonts w:asciiTheme="minorHAnsi" w:hAnsiTheme="minorHAnsi" w:cstheme="minorHAnsi"/>
                <w:color w:val="000000"/>
                <w:sz w:val="18"/>
                <w:szCs w:val="18"/>
              </w:rPr>
              <w:t xml:space="preserve"> as a General Schedule</w:t>
            </w:r>
            <w:r w:rsidR="001E0711">
              <w:rPr>
                <w:rFonts w:asciiTheme="minorHAnsi" w:hAnsiTheme="minorHAnsi" w:cstheme="minorHAnsi"/>
                <w:color w:val="000000"/>
                <w:sz w:val="18"/>
                <w:szCs w:val="18"/>
              </w:rPr>
              <w:t xml:space="preserve"> </w:t>
            </w:r>
            <w:r w:rsidRPr="0011605A">
              <w:rPr>
                <w:rFonts w:asciiTheme="minorHAnsi" w:hAnsiTheme="minorHAnsi" w:cstheme="minorHAnsi"/>
                <w:color w:val="000000"/>
                <w:sz w:val="18"/>
                <w:szCs w:val="18"/>
              </w:rPr>
              <w:t>Restricted Benefit listing for the treatment of severe dry eye syndrome to undertake further analysis of the cost effectiveness of ocular lubricants. The PBAC advised that the listings of all ocular lubricants used for severe dry eye syndrome be revised to remove any reference</w:t>
            </w:r>
            <w:r w:rsidR="001E0711">
              <w:rPr>
                <w:rFonts w:asciiTheme="minorHAnsi" w:hAnsiTheme="minorHAnsi" w:cstheme="minorHAnsi"/>
                <w:color w:val="000000"/>
                <w:sz w:val="18"/>
                <w:szCs w:val="18"/>
              </w:rPr>
              <w:t>s</w:t>
            </w:r>
            <w:r w:rsidRPr="0011605A">
              <w:rPr>
                <w:rFonts w:asciiTheme="minorHAnsi" w:hAnsiTheme="minorHAnsi" w:cstheme="minorHAnsi"/>
                <w:color w:val="000000"/>
                <w:sz w:val="18"/>
                <w:szCs w:val="18"/>
              </w:rPr>
              <w:t xml:space="preserve"> to Sjogren’s syndrome in the indication.</w:t>
            </w:r>
          </w:p>
          <w:p w14:paraId="2AA0F542"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00AB6BCE" w14:textId="1054CD52" w:rsidR="00341067" w:rsidRPr="00341067" w:rsidRDefault="00341067" w:rsidP="00894AB9">
            <w:pPr>
              <w:rPr>
                <w:rFonts w:asciiTheme="minorHAnsi" w:hAnsiTheme="minorHAnsi" w:cstheme="minorHAnsi"/>
                <w:color w:val="000000"/>
                <w:sz w:val="18"/>
                <w:szCs w:val="18"/>
              </w:rPr>
            </w:pPr>
            <w:r w:rsidRPr="00341067">
              <w:rPr>
                <w:rFonts w:asciiTheme="minorHAnsi" w:hAnsiTheme="minorHAnsi" w:cstheme="minorHAnsi"/>
                <w:color w:val="000000"/>
                <w:sz w:val="18"/>
                <w:szCs w:val="18"/>
              </w:rPr>
              <w:t xml:space="preserve">Allergan is disappointed by the PBAC’s decision to defer making a recommendation on CGH until a cost effectiveness review of all ocular lubricants has been conducted. </w:t>
            </w:r>
          </w:p>
        </w:tc>
      </w:tr>
      <w:tr w:rsidR="00894AB9" w:rsidRPr="00544497" w14:paraId="07A41AC1" w14:textId="77777777" w:rsidTr="00C70218">
        <w:trPr>
          <w:cantSplit/>
          <w:trHeight w:val="2948"/>
          <w:jc w:val="center"/>
        </w:trPr>
        <w:tc>
          <w:tcPr>
            <w:tcW w:w="3013" w:type="dxa"/>
            <w:shd w:val="clear" w:color="auto" w:fill="auto"/>
            <w:tcMar>
              <w:top w:w="28" w:type="dxa"/>
              <w:bottom w:w="28" w:type="dxa"/>
            </w:tcMar>
            <w:vAlign w:val="center"/>
          </w:tcPr>
          <w:p w14:paraId="28027A6D" w14:textId="5C685890"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CHLORMETHINE HYDROCHLORIDE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0.016% (160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microgram/g) gel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Ledaga</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Juniper Biologics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1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021F778D" w14:textId="19689249"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Mycosis fungoides-type cutan</w:t>
            </w:r>
            <w:r w:rsidR="00F01298">
              <w:rPr>
                <w:rFonts w:asciiTheme="minorHAnsi" w:hAnsiTheme="minorHAnsi" w:cstheme="minorHAnsi"/>
                <w:color w:val="000000"/>
                <w:sz w:val="18"/>
                <w:szCs w:val="18"/>
              </w:rPr>
              <w:t>e</w:t>
            </w:r>
            <w:r w:rsidRPr="00344F5B">
              <w:rPr>
                <w:rFonts w:asciiTheme="minorHAnsi" w:hAnsiTheme="minorHAnsi" w:cstheme="minorHAnsi"/>
                <w:color w:val="000000"/>
                <w:sz w:val="18"/>
                <w:szCs w:val="18"/>
              </w:rPr>
              <w:t>ous T-cell lymphoma (MF-type CTCL)</w:t>
            </w:r>
          </w:p>
        </w:tc>
        <w:tc>
          <w:tcPr>
            <w:tcW w:w="3288" w:type="dxa"/>
            <w:shd w:val="clear" w:color="auto" w:fill="auto"/>
            <w:tcMar>
              <w:top w:w="28" w:type="dxa"/>
              <w:bottom w:w="28" w:type="dxa"/>
            </w:tcMar>
            <w:vAlign w:val="center"/>
          </w:tcPr>
          <w:p w14:paraId="0C3A086F" w14:textId="0A1FB276"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(telephone/electronic) listing for the treatment of adults with MF-type CTCL.</w:t>
            </w:r>
          </w:p>
        </w:tc>
        <w:tc>
          <w:tcPr>
            <w:tcW w:w="1987" w:type="dxa"/>
            <w:shd w:val="clear" w:color="auto" w:fill="auto"/>
            <w:vAlign w:val="center"/>
          </w:tcPr>
          <w:p w14:paraId="2962443F" w14:textId="39EAB2CE"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Recommended</w:t>
            </w:r>
          </w:p>
        </w:tc>
        <w:tc>
          <w:tcPr>
            <w:tcW w:w="4336" w:type="dxa"/>
            <w:shd w:val="clear" w:color="auto" w:fill="auto"/>
            <w:vAlign w:val="center"/>
          </w:tcPr>
          <w:p w14:paraId="7BDA6BF6" w14:textId="36A0C229" w:rsidR="00894AB9" w:rsidRPr="000110D5" w:rsidRDefault="00A8234E" w:rsidP="00D936B4">
            <w:pPr>
              <w:keepLines/>
              <w:spacing w:after="120"/>
              <w:rPr>
                <w:rFonts w:asciiTheme="minorHAnsi" w:hAnsiTheme="minorHAnsi" w:cstheme="minorHAnsi"/>
                <w:color w:val="000000"/>
                <w:sz w:val="18"/>
                <w:szCs w:val="18"/>
              </w:rPr>
            </w:pPr>
            <w:r w:rsidRPr="00A8234E">
              <w:rPr>
                <w:rFonts w:asciiTheme="minorHAnsi" w:hAnsiTheme="minorHAnsi" w:cstheme="minorHAnsi"/>
                <w:color w:val="000000"/>
                <w:sz w:val="18"/>
                <w:szCs w:val="18"/>
              </w:rPr>
              <w:t>The PBAC did not recommend the listing of chlormethine hydrochloride gel (hereafter chlormethine gel) for the treatment of MF-</w:t>
            </w:r>
            <w:r w:rsidR="00914CD6">
              <w:rPr>
                <w:rFonts w:asciiTheme="minorHAnsi" w:hAnsiTheme="minorHAnsi" w:cstheme="minorHAnsi"/>
                <w:color w:val="000000"/>
                <w:sz w:val="18"/>
                <w:szCs w:val="18"/>
              </w:rPr>
              <w:t xml:space="preserve">type </w:t>
            </w:r>
            <w:r w:rsidRPr="00A8234E">
              <w:rPr>
                <w:rFonts w:asciiTheme="minorHAnsi" w:hAnsiTheme="minorHAnsi" w:cstheme="minorHAnsi"/>
                <w:color w:val="000000"/>
                <w:sz w:val="18"/>
                <w:szCs w:val="18"/>
              </w:rPr>
              <w:t>CTCL in adult patients who have no more than 25% of their body surface area involved, have failed, are intolerant of or have a contraindication to treatment with topical corticosteroids. The PBAC acknowledged the clinical need for additional treatment options for patients with MF-</w:t>
            </w:r>
            <w:r w:rsidR="00914CD6">
              <w:rPr>
                <w:rFonts w:asciiTheme="minorHAnsi" w:hAnsiTheme="minorHAnsi" w:cstheme="minorHAnsi"/>
                <w:color w:val="000000"/>
                <w:sz w:val="18"/>
                <w:szCs w:val="18"/>
              </w:rPr>
              <w:t xml:space="preserve">type </w:t>
            </w:r>
            <w:r w:rsidRPr="00A8234E">
              <w:rPr>
                <w:rFonts w:asciiTheme="minorHAnsi" w:hAnsiTheme="minorHAnsi" w:cstheme="minorHAnsi"/>
                <w:color w:val="000000"/>
                <w:sz w:val="18"/>
                <w:szCs w:val="18"/>
              </w:rPr>
              <w:t xml:space="preserve">CTCL. However, the PBAC considered that the clinical evidence presented did not adequately support the claim that chlormethine gel provides improved effectiveness compared to phototherapy with respect to health-related quality of life and hence the cost-utility analysis based on this claim did not support that chlormethine gel was cost-effective. </w:t>
            </w:r>
          </w:p>
          <w:p w14:paraId="12EF08C4"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39E0FF04" w14:textId="3EF2EE39" w:rsidR="00C33C0D" w:rsidRPr="00C33C0D" w:rsidRDefault="00101C2F" w:rsidP="00894AB9">
            <w:pPr>
              <w:rPr>
                <w:rFonts w:asciiTheme="minorHAnsi" w:hAnsiTheme="minorHAnsi" w:cstheme="minorHAnsi"/>
                <w:color w:val="000000"/>
                <w:sz w:val="18"/>
                <w:szCs w:val="18"/>
              </w:rPr>
            </w:pPr>
            <w:r w:rsidRPr="00101C2F">
              <w:rPr>
                <w:rFonts w:asciiTheme="minorHAnsi" w:hAnsiTheme="minorHAnsi" w:cstheme="minorHAnsi"/>
                <w:color w:val="000000"/>
                <w:sz w:val="18"/>
                <w:szCs w:val="18"/>
              </w:rPr>
              <w:t xml:space="preserve">The Sponsor will continue to work with the PBAC to make </w:t>
            </w:r>
            <w:proofErr w:type="spellStart"/>
            <w:r w:rsidRPr="00101C2F">
              <w:rPr>
                <w:rFonts w:asciiTheme="minorHAnsi" w:hAnsiTheme="minorHAnsi" w:cstheme="minorHAnsi"/>
                <w:color w:val="000000"/>
                <w:sz w:val="18"/>
                <w:szCs w:val="18"/>
              </w:rPr>
              <w:t>Ledaga</w:t>
            </w:r>
            <w:proofErr w:type="spellEnd"/>
            <w:r>
              <w:rPr>
                <w:rFonts w:asciiTheme="minorHAnsi" w:hAnsiTheme="minorHAnsi" w:cstheme="minorHAnsi"/>
                <w:color w:val="000000"/>
                <w:sz w:val="18"/>
                <w:szCs w:val="18"/>
              </w:rPr>
              <w:t>®</w:t>
            </w:r>
            <w:r w:rsidRPr="00101C2F">
              <w:rPr>
                <w:rFonts w:asciiTheme="minorHAnsi" w:hAnsiTheme="minorHAnsi" w:cstheme="minorHAnsi"/>
                <w:color w:val="000000"/>
                <w:sz w:val="18"/>
                <w:szCs w:val="18"/>
              </w:rPr>
              <w:t xml:space="preserve"> available to Australian patients</w:t>
            </w:r>
            <w:r w:rsidR="00C33C0D">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p>
        </w:tc>
      </w:tr>
      <w:tr w:rsidR="00894AB9" w:rsidRPr="00544497" w14:paraId="5854B770" w14:textId="77777777" w:rsidTr="00C70218">
        <w:trPr>
          <w:cantSplit/>
          <w:trHeight w:val="2948"/>
          <w:jc w:val="center"/>
        </w:trPr>
        <w:tc>
          <w:tcPr>
            <w:tcW w:w="3013" w:type="dxa"/>
            <w:shd w:val="clear" w:color="auto" w:fill="auto"/>
            <w:tcMar>
              <w:top w:w="28" w:type="dxa"/>
              <w:bottom w:w="28" w:type="dxa"/>
            </w:tcMar>
            <w:vAlign w:val="center"/>
          </w:tcPr>
          <w:p w14:paraId="5572F036" w14:textId="28B3AFE8"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DARATUMUMAB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for I.V. infusion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5</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t>Solution for I.V. infusion 400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20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t>Solution for S.C. injection 1,800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15</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Darzalex®</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Janssen-Cilag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357637A3" w14:textId="10702EA7"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Multiple myeloma</w:t>
            </w:r>
          </w:p>
        </w:tc>
        <w:tc>
          <w:tcPr>
            <w:tcW w:w="3288" w:type="dxa"/>
            <w:shd w:val="clear" w:color="auto" w:fill="auto"/>
            <w:tcMar>
              <w:top w:w="28" w:type="dxa"/>
              <w:bottom w:w="28" w:type="dxa"/>
            </w:tcMar>
            <w:vAlign w:val="center"/>
          </w:tcPr>
          <w:p w14:paraId="134130E6" w14:textId="7D05C976"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(Efficient Funding of Chemotherapy) Authority Required (telephone/online) listing for the I.V. and S.C. formulations and a General Schedule Authority Required (telephone/online) listing for the S.C. formulation for use in combination with lenalidomide and dexamethasone for the treatment of transplant ineligible, newly diagnosed multiple myeloma</w:t>
            </w:r>
            <w:r w:rsidR="001C4100">
              <w:rPr>
                <w:rFonts w:asciiTheme="minorHAnsi" w:hAnsiTheme="minorHAnsi" w:cstheme="minorHAnsi"/>
                <w:color w:val="000000"/>
                <w:sz w:val="18"/>
                <w:szCs w:val="18"/>
              </w:rPr>
              <w:t xml:space="preserve"> </w:t>
            </w:r>
            <w:r w:rsidR="001C4100" w:rsidRPr="0011605A">
              <w:rPr>
                <w:rFonts w:asciiTheme="minorHAnsi" w:hAnsiTheme="minorHAnsi" w:cstheme="minorHAnsi"/>
                <w:color w:val="000000"/>
                <w:sz w:val="18"/>
                <w:szCs w:val="18"/>
              </w:rPr>
              <w:t>(NDMM)</w:t>
            </w:r>
            <w:r w:rsidRPr="00344F5B">
              <w:rPr>
                <w:rFonts w:asciiTheme="minorHAnsi" w:hAnsiTheme="minorHAnsi" w:cstheme="minorHAnsi"/>
                <w:color w:val="000000"/>
                <w:sz w:val="18"/>
                <w:szCs w:val="18"/>
              </w:rPr>
              <w:t>.</w:t>
            </w:r>
          </w:p>
        </w:tc>
        <w:tc>
          <w:tcPr>
            <w:tcW w:w="1987" w:type="dxa"/>
            <w:shd w:val="clear" w:color="auto" w:fill="auto"/>
            <w:vAlign w:val="center"/>
          </w:tcPr>
          <w:p w14:paraId="46FDA260" w14:textId="1C3C5AD3"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Recommended</w:t>
            </w:r>
          </w:p>
        </w:tc>
        <w:tc>
          <w:tcPr>
            <w:tcW w:w="4336" w:type="dxa"/>
            <w:shd w:val="clear" w:color="auto" w:fill="auto"/>
            <w:vAlign w:val="center"/>
          </w:tcPr>
          <w:p w14:paraId="52751283" w14:textId="09C8E259" w:rsidR="00894AB9" w:rsidRPr="000110D5"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 xml:space="preserve">The PBAC did not recommend daratumumab, for use in combination with lenalidomide and dexamethasone (DLd) for the treatment of patients with transplant ineligible </w:t>
            </w:r>
            <w:r w:rsidR="001C4100">
              <w:rPr>
                <w:rFonts w:asciiTheme="minorHAnsi" w:hAnsiTheme="minorHAnsi" w:cstheme="minorHAnsi"/>
                <w:color w:val="000000"/>
                <w:sz w:val="18"/>
                <w:szCs w:val="18"/>
              </w:rPr>
              <w:t>NDMM</w:t>
            </w:r>
            <w:r w:rsidRPr="0011605A">
              <w:rPr>
                <w:rFonts w:asciiTheme="minorHAnsi" w:hAnsiTheme="minorHAnsi" w:cstheme="minorHAnsi"/>
                <w:color w:val="000000"/>
                <w:sz w:val="18"/>
                <w:szCs w:val="18"/>
              </w:rPr>
              <w:t>. The PBAC noted the benefits of treatment with DLd compared with lenalidomide plus dexamethasone (Ld) and the strong consumer support for this item but considered there were numerous issues that had not been addressed in the submission. These included, but were not limited to, the definition of the proposed patient population, concerns regarding the assumed efficacy of the proposed comparators, the unreasonably high and uncertain incremental cost-effectiveness ratio and the very high and uncertain estimated financial impact estimates. The PBAC considered that a substantial price reduction would be required to ensure daratumumab was cost-effective and that a risk sharing arrangement would be required to mitigate the high likelihood of use in the transplant eligible population, especially given that a patient’s eligibility for transplantation may change over time based on many factors, including the alternative treatments available.</w:t>
            </w:r>
          </w:p>
          <w:p w14:paraId="746AD132"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0B4B06E8" w14:textId="53690719" w:rsidR="003C1A7F" w:rsidRPr="003C1A7F" w:rsidRDefault="003C1A7F" w:rsidP="00894AB9">
            <w:pPr>
              <w:rPr>
                <w:rFonts w:asciiTheme="minorHAnsi" w:hAnsiTheme="minorHAnsi" w:cstheme="minorHAnsi"/>
                <w:color w:val="000000"/>
                <w:sz w:val="18"/>
                <w:szCs w:val="18"/>
              </w:rPr>
            </w:pPr>
            <w:r w:rsidRPr="003C1A7F">
              <w:rPr>
                <w:rFonts w:asciiTheme="minorHAnsi" w:hAnsiTheme="minorHAnsi" w:cstheme="minorHAnsi"/>
                <w:color w:val="000000"/>
                <w:sz w:val="18"/>
                <w:szCs w:val="18"/>
              </w:rPr>
              <w:t>Janssen are disappointed with the outcome, and remain committed to equitable and sustainable patient access for Australians. Janssen will now review the PBAC's feedback to understand the requirements for the PBS listing of DLd for people with transplant ineligible NDMM.</w:t>
            </w:r>
          </w:p>
        </w:tc>
      </w:tr>
      <w:tr w:rsidR="00894AB9" w:rsidRPr="00544497" w14:paraId="73275407" w14:textId="77777777" w:rsidTr="00C70218">
        <w:trPr>
          <w:cantSplit/>
          <w:trHeight w:val="2948"/>
          <w:jc w:val="center"/>
        </w:trPr>
        <w:tc>
          <w:tcPr>
            <w:tcW w:w="3013" w:type="dxa"/>
            <w:shd w:val="clear" w:color="auto" w:fill="auto"/>
            <w:tcMar>
              <w:top w:w="28" w:type="dxa"/>
              <w:bottom w:w="28" w:type="dxa"/>
            </w:tcMar>
            <w:vAlign w:val="center"/>
          </w:tcPr>
          <w:p w14:paraId="3FB2DC84" w14:textId="6BBB190D"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DEUCRAVACITINIB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6</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Sotyktu®</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BRISTOL-MYERS SQUIBB AUSTRALIA</w:t>
            </w:r>
            <w:r w:rsidRPr="00344F5B">
              <w:rPr>
                <w:rFonts w:asciiTheme="minorHAnsi" w:hAnsiTheme="minorHAnsi" w:cstheme="minorHAnsi"/>
                <w:color w:val="000000"/>
                <w:sz w:val="18"/>
                <w:szCs w:val="18"/>
              </w:rPr>
              <w:br/>
              <w:t>PTY LTD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Matters outstanding</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4BC27836" w14:textId="03BD0023"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sz w:val="18"/>
                <w:szCs w:val="18"/>
              </w:rPr>
              <w:t>Plaque psoriasis</w:t>
            </w:r>
          </w:p>
        </w:tc>
        <w:tc>
          <w:tcPr>
            <w:tcW w:w="3288" w:type="dxa"/>
            <w:shd w:val="clear" w:color="auto" w:fill="auto"/>
            <w:tcMar>
              <w:top w:w="28" w:type="dxa"/>
              <w:bottom w:w="28" w:type="dxa"/>
            </w:tcMar>
            <w:vAlign w:val="center"/>
          </w:tcPr>
          <w:p w14:paraId="7E8A9BA9" w14:textId="0F633B8C"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sz w:val="18"/>
                <w:szCs w:val="18"/>
              </w:rPr>
              <w:t>To request a General Schedule Authority Required (STREAMLINED) listing for the treatment of severe chronic plaque psoriasis</w:t>
            </w:r>
            <w:r w:rsidR="00C77906">
              <w:rPr>
                <w:rFonts w:asciiTheme="minorHAnsi" w:hAnsiTheme="minorHAnsi" w:cstheme="minorHAnsi"/>
                <w:sz w:val="18"/>
                <w:szCs w:val="18"/>
              </w:rPr>
              <w:t xml:space="preserve"> (CPP)</w:t>
            </w:r>
            <w:r w:rsidRPr="00344F5B">
              <w:rPr>
                <w:rFonts w:asciiTheme="minorHAnsi" w:hAnsiTheme="minorHAnsi" w:cstheme="minorHAnsi"/>
                <w:sz w:val="18"/>
                <w:szCs w:val="18"/>
              </w:rPr>
              <w:t>, in patients who have not responded to, or have a contraindication or demonstrated intolerance to methotrexate.</w:t>
            </w:r>
          </w:p>
        </w:tc>
        <w:tc>
          <w:tcPr>
            <w:tcW w:w="1987" w:type="dxa"/>
            <w:shd w:val="clear" w:color="auto" w:fill="auto"/>
            <w:vAlign w:val="center"/>
          </w:tcPr>
          <w:p w14:paraId="26829FC0" w14:textId="12549A33"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7C375E3D" w14:textId="52D19769"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sz w:val="18"/>
                <w:szCs w:val="18"/>
              </w:rPr>
              <w:t>The PBAC recommended the Authority Required (STREAMLINED) listing of deucravacitinib for the treatment of severe CPP. The PBAC’s recommendation for listing was based on, among other matters, its assessment that the cost-effectiveness of deucravacitinib would be acceptable with a</w:t>
            </w:r>
            <w:r w:rsidR="0044296C">
              <w:rPr>
                <w:rFonts w:asciiTheme="minorHAnsi" w:hAnsiTheme="minorHAnsi" w:cstheme="minorHAnsi"/>
                <w:sz w:val="18"/>
                <w:szCs w:val="18"/>
              </w:rPr>
              <w:t xml:space="preserve"> price reduction to achieve a</w:t>
            </w:r>
            <w:r w:rsidRPr="00344F5B">
              <w:rPr>
                <w:rFonts w:asciiTheme="minorHAnsi" w:hAnsiTheme="minorHAnsi" w:cstheme="minorHAnsi"/>
                <w:sz w:val="18"/>
                <w:szCs w:val="18"/>
              </w:rPr>
              <w:t xml:space="preserve">n </w:t>
            </w:r>
            <w:r w:rsidR="00C77906">
              <w:rPr>
                <w:rFonts w:asciiTheme="minorHAnsi" w:hAnsiTheme="minorHAnsi" w:cstheme="minorHAnsi"/>
                <w:sz w:val="18"/>
                <w:szCs w:val="18"/>
              </w:rPr>
              <w:t>incremental cost-effectiveness ratio</w:t>
            </w:r>
            <w:r w:rsidR="0044296C">
              <w:rPr>
                <w:rFonts w:asciiTheme="minorHAnsi" w:hAnsiTheme="minorHAnsi" w:cstheme="minorHAnsi"/>
                <w:sz w:val="18"/>
                <w:szCs w:val="18"/>
              </w:rPr>
              <w:t xml:space="preserve"> consistent with that previously accepted for this condition</w:t>
            </w:r>
            <w:r w:rsidR="00AA20ED">
              <w:rPr>
                <w:rFonts w:asciiTheme="minorHAnsi" w:hAnsiTheme="minorHAnsi" w:cstheme="minorHAnsi"/>
                <w:sz w:val="18"/>
                <w:szCs w:val="18"/>
              </w:rPr>
              <w:t>.</w:t>
            </w:r>
            <w:r w:rsidRPr="00344F5B">
              <w:rPr>
                <w:rFonts w:asciiTheme="minorHAnsi" w:hAnsiTheme="minorHAnsi" w:cstheme="minorHAnsi"/>
                <w:sz w:val="18"/>
                <w:szCs w:val="18"/>
              </w:rPr>
              <w:t xml:space="preserve"> </w:t>
            </w:r>
            <w:r>
              <w:rPr>
                <w:rFonts w:asciiTheme="minorHAnsi" w:hAnsiTheme="minorHAnsi" w:cstheme="minorHAnsi"/>
                <w:sz w:val="18"/>
                <w:szCs w:val="18"/>
              </w:rPr>
              <w:br/>
            </w:r>
            <w:r w:rsidRPr="00344F5B">
              <w:rPr>
                <w:rFonts w:asciiTheme="minorHAnsi" w:hAnsiTheme="minorHAnsi" w:cstheme="minorHAnsi"/>
                <w:sz w:val="18"/>
                <w:szCs w:val="18"/>
              </w:rPr>
              <w:br/>
              <w:t xml:space="preserve">The PBAC recommended flow-on changes to the apremilast criteria to preclude concurrent treatment with deucravacitinib and flow-on changes to the </w:t>
            </w:r>
            <w:r w:rsidR="00C77906">
              <w:rPr>
                <w:rFonts w:asciiTheme="minorHAnsi" w:hAnsiTheme="minorHAnsi" w:cstheme="minorHAnsi"/>
                <w:sz w:val="18"/>
                <w:szCs w:val="18"/>
              </w:rPr>
              <w:t xml:space="preserve">biologic disease modifying anti-rheumatic drug </w:t>
            </w:r>
            <w:r w:rsidRPr="00344F5B">
              <w:rPr>
                <w:rFonts w:asciiTheme="minorHAnsi" w:hAnsiTheme="minorHAnsi" w:cstheme="minorHAnsi"/>
                <w:sz w:val="18"/>
                <w:szCs w:val="18"/>
              </w:rPr>
              <w:t>criteria for severe CPP to add deucravacitinib to the list of prior therapies that patients may trial before being eligible for PBS-subsidised biologics.</w:t>
            </w:r>
          </w:p>
        </w:tc>
      </w:tr>
      <w:tr w:rsidR="00894AB9" w:rsidRPr="00544497" w14:paraId="52D48790" w14:textId="77777777" w:rsidTr="00C70218">
        <w:trPr>
          <w:cantSplit/>
          <w:trHeight w:val="711"/>
          <w:jc w:val="center"/>
        </w:trPr>
        <w:tc>
          <w:tcPr>
            <w:tcW w:w="3013" w:type="dxa"/>
            <w:shd w:val="clear" w:color="auto" w:fill="auto"/>
            <w:tcMar>
              <w:top w:w="28" w:type="dxa"/>
              <w:bottom w:w="28" w:type="dxa"/>
            </w:tcMar>
            <w:vAlign w:val="center"/>
          </w:tcPr>
          <w:p w14:paraId="217B86A0" w14:textId="4F63DB37"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DIFELIKEFALIN</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for I.V. injection 50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mcg in 1</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Korsuva</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Vifor Pharma Pty Limited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1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1AE86019" w14:textId="046A93EA"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Chronic kidney disease </w:t>
            </w:r>
            <w:r w:rsidR="00205337">
              <w:rPr>
                <w:rFonts w:asciiTheme="minorHAnsi" w:hAnsiTheme="minorHAnsi" w:cstheme="minorHAnsi"/>
                <w:color w:val="000000"/>
                <w:sz w:val="18"/>
                <w:szCs w:val="18"/>
              </w:rPr>
              <w:t xml:space="preserve">(CKD) </w:t>
            </w:r>
            <w:r w:rsidRPr="00344F5B">
              <w:rPr>
                <w:rFonts w:asciiTheme="minorHAnsi" w:hAnsiTheme="minorHAnsi" w:cstheme="minorHAnsi"/>
                <w:color w:val="000000"/>
                <w:sz w:val="18"/>
                <w:szCs w:val="18"/>
              </w:rPr>
              <w:t>associated pruritus</w:t>
            </w:r>
          </w:p>
        </w:tc>
        <w:tc>
          <w:tcPr>
            <w:tcW w:w="3288" w:type="dxa"/>
            <w:shd w:val="clear" w:color="auto" w:fill="auto"/>
            <w:tcMar>
              <w:top w:w="28" w:type="dxa"/>
              <w:bottom w:w="28" w:type="dxa"/>
            </w:tcMar>
            <w:vAlign w:val="center"/>
          </w:tcPr>
          <w:p w14:paraId="5FBB6CDB" w14:textId="7157CD63"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(Highly Specialised Drugs Program) Authority Required (telephone/online) listing for the treatment of moderate-to-severe pruritus associated with</w:t>
            </w:r>
            <w:r w:rsidR="00205337">
              <w:rPr>
                <w:rFonts w:asciiTheme="minorHAnsi" w:hAnsiTheme="minorHAnsi" w:cstheme="minorHAnsi"/>
                <w:color w:val="000000"/>
                <w:sz w:val="18"/>
                <w:szCs w:val="18"/>
              </w:rPr>
              <w:t xml:space="preserve"> CKD </w:t>
            </w:r>
            <w:r w:rsidRPr="00344F5B">
              <w:rPr>
                <w:rFonts w:asciiTheme="minorHAnsi" w:hAnsiTheme="minorHAnsi" w:cstheme="minorHAnsi"/>
                <w:color w:val="000000"/>
                <w:sz w:val="18"/>
                <w:szCs w:val="18"/>
              </w:rPr>
              <w:t>in adult patients on haemodialysis.</w:t>
            </w:r>
          </w:p>
        </w:tc>
        <w:tc>
          <w:tcPr>
            <w:tcW w:w="1987" w:type="dxa"/>
            <w:shd w:val="clear" w:color="auto" w:fill="auto"/>
            <w:vAlign w:val="center"/>
          </w:tcPr>
          <w:p w14:paraId="344BFC3B" w14:textId="4F9C18B3"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Recommended</w:t>
            </w:r>
          </w:p>
        </w:tc>
        <w:tc>
          <w:tcPr>
            <w:tcW w:w="4336" w:type="dxa"/>
            <w:shd w:val="clear" w:color="auto" w:fill="auto"/>
            <w:vAlign w:val="center"/>
          </w:tcPr>
          <w:p w14:paraId="3D8568FA" w14:textId="7B4F5591" w:rsidR="00B036CF" w:rsidRPr="00B036CF" w:rsidRDefault="00B036CF" w:rsidP="00B036CF">
            <w:pPr>
              <w:rPr>
                <w:rFonts w:asciiTheme="minorHAnsi" w:hAnsiTheme="minorHAnsi" w:cstheme="minorHAnsi"/>
                <w:sz w:val="18"/>
                <w:szCs w:val="18"/>
              </w:rPr>
            </w:pPr>
            <w:r w:rsidRPr="00B036CF">
              <w:rPr>
                <w:rFonts w:asciiTheme="minorHAnsi" w:hAnsiTheme="minorHAnsi" w:cstheme="minorHAnsi"/>
                <w:sz w:val="18"/>
                <w:szCs w:val="18"/>
              </w:rPr>
              <w:t xml:space="preserve">The PBAC did not recommend the listing of </w:t>
            </w:r>
            <w:proofErr w:type="spellStart"/>
            <w:r w:rsidRPr="00B036CF">
              <w:rPr>
                <w:rFonts w:asciiTheme="minorHAnsi" w:hAnsiTheme="minorHAnsi" w:cstheme="minorHAnsi"/>
                <w:sz w:val="18"/>
                <w:szCs w:val="18"/>
              </w:rPr>
              <w:t>difelikefalin</w:t>
            </w:r>
            <w:proofErr w:type="spellEnd"/>
            <w:r w:rsidRPr="00B036CF">
              <w:rPr>
                <w:rFonts w:asciiTheme="minorHAnsi" w:hAnsiTheme="minorHAnsi" w:cstheme="minorHAnsi"/>
                <w:sz w:val="18"/>
                <w:szCs w:val="18"/>
              </w:rPr>
              <w:t xml:space="preserve"> for the treatment of moderate to severe pruritus (itching) associated with CKD in adult patients who are receiving haemodialysis. The PBAC acknowledged there was a clinical need for effective treatment options as current alternatives were of limited effectiveness and/or prescribed off-label with limited evidence to support their use. The PBAC considered that based on the evidence presented, </w:t>
            </w:r>
            <w:proofErr w:type="spellStart"/>
            <w:r w:rsidRPr="00B036CF">
              <w:rPr>
                <w:rFonts w:asciiTheme="minorHAnsi" w:hAnsiTheme="minorHAnsi" w:cstheme="minorHAnsi"/>
                <w:sz w:val="18"/>
                <w:szCs w:val="18"/>
              </w:rPr>
              <w:t>difelikefalin</w:t>
            </w:r>
            <w:proofErr w:type="spellEnd"/>
            <w:r w:rsidRPr="00B036CF">
              <w:rPr>
                <w:rFonts w:asciiTheme="minorHAnsi" w:hAnsiTheme="minorHAnsi" w:cstheme="minorHAnsi"/>
                <w:sz w:val="18"/>
                <w:szCs w:val="18"/>
              </w:rPr>
              <w:t xml:space="preserve"> is likely to be effective for some patients, but noted limited longer-term data were available. However, the PBAC considered the incremental cost-effectiveness ratio for </w:t>
            </w:r>
            <w:proofErr w:type="spellStart"/>
            <w:r w:rsidRPr="00B036CF">
              <w:rPr>
                <w:rFonts w:asciiTheme="minorHAnsi" w:hAnsiTheme="minorHAnsi" w:cstheme="minorHAnsi"/>
                <w:sz w:val="18"/>
                <w:szCs w:val="18"/>
              </w:rPr>
              <w:t>difelikefalin</w:t>
            </w:r>
            <w:proofErr w:type="spellEnd"/>
            <w:r w:rsidRPr="00B036CF">
              <w:rPr>
                <w:rFonts w:asciiTheme="minorHAnsi" w:hAnsiTheme="minorHAnsi" w:cstheme="minorHAnsi"/>
                <w:sz w:val="18"/>
                <w:szCs w:val="18"/>
              </w:rPr>
              <w:t xml:space="preserve"> was high and underestimated with the economic model incorporating optimistic assumptions, and that a price reduction would be required for </w:t>
            </w:r>
            <w:proofErr w:type="spellStart"/>
            <w:r w:rsidRPr="00B036CF">
              <w:rPr>
                <w:rFonts w:asciiTheme="minorHAnsi" w:hAnsiTheme="minorHAnsi" w:cstheme="minorHAnsi"/>
                <w:sz w:val="18"/>
                <w:szCs w:val="18"/>
              </w:rPr>
              <w:t>difelikefalin</w:t>
            </w:r>
            <w:proofErr w:type="spellEnd"/>
            <w:r w:rsidRPr="00B036CF">
              <w:rPr>
                <w:rFonts w:asciiTheme="minorHAnsi" w:hAnsiTheme="minorHAnsi" w:cstheme="minorHAnsi"/>
                <w:sz w:val="18"/>
                <w:szCs w:val="18"/>
              </w:rPr>
              <w:t xml:space="preserve"> to be considered cost-effective. The PBAC considered that a risk sharing arrangement would be required to address any residual uncertainty with the potential for use outside of the proposed restriction, including in patients with mild pruritis.</w:t>
            </w:r>
          </w:p>
          <w:p w14:paraId="326C6D56" w14:textId="77777777" w:rsidR="00894AB9" w:rsidRPr="00B036CF" w:rsidRDefault="00894AB9" w:rsidP="00894AB9">
            <w:pPr>
              <w:keepLines/>
              <w:rPr>
                <w:rFonts w:asciiTheme="minorHAnsi" w:hAnsiTheme="minorHAnsi" w:cstheme="minorHAnsi"/>
                <w:sz w:val="18"/>
                <w:szCs w:val="18"/>
              </w:rPr>
            </w:pPr>
          </w:p>
          <w:p w14:paraId="112BC5C6" w14:textId="77777777" w:rsidR="00894AB9" w:rsidRDefault="00894AB9" w:rsidP="00894AB9">
            <w:pPr>
              <w:rPr>
                <w:rFonts w:asciiTheme="minorHAnsi" w:hAnsiTheme="minorHAnsi" w:cstheme="minorHAnsi"/>
                <w:sz w:val="18"/>
                <w:szCs w:val="18"/>
              </w:rPr>
            </w:pPr>
            <w:r w:rsidRPr="00B036CF">
              <w:rPr>
                <w:rFonts w:asciiTheme="minorHAnsi" w:hAnsiTheme="minorHAnsi" w:cstheme="minorHAnsi"/>
                <w:sz w:val="18"/>
                <w:szCs w:val="18"/>
                <w:u w:val="single"/>
              </w:rPr>
              <w:t>Sponsor’s Comment:</w:t>
            </w:r>
          </w:p>
          <w:p w14:paraId="621821C6" w14:textId="574F011D" w:rsidR="000B2A2E" w:rsidRPr="006C1049" w:rsidRDefault="000B2A2E" w:rsidP="00894AB9">
            <w:pPr>
              <w:rPr>
                <w:rFonts w:asciiTheme="minorHAnsi" w:hAnsiTheme="minorHAnsi" w:cstheme="minorHAnsi"/>
                <w:sz w:val="18"/>
                <w:szCs w:val="18"/>
              </w:rPr>
            </w:pPr>
            <w:r w:rsidRPr="001B5E08">
              <w:rPr>
                <w:rFonts w:asciiTheme="minorHAnsi" w:hAnsiTheme="minorHAnsi" w:cstheme="minorHAnsi"/>
                <w:color w:val="000000"/>
                <w:sz w:val="18"/>
                <w:szCs w:val="18"/>
              </w:rPr>
              <w:t>The sponsor had no commen</w:t>
            </w:r>
            <w:r>
              <w:rPr>
                <w:rFonts w:asciiTheme="minorHAnsi" w:hAnsiTheme="minorHAnsi" w:cstheme="minorHAnsi"/>
                <w:color w:val="000000"/>
                <w:sz w:val="18"/>
                <w:szCs w:val="18"/>
              </w:rPr>
              <w:t>t.</w:t>
            </w:r>
          </w:p>
        </w:tc>
      </w:tr>
      <w:tr w:rsidR="00803300" w:rsidRPr="00544497" w14:paraId="4ED447D8" w14:textId="77777777" w:rsidTr="00ED4ED9">
        <w:trPr>
          <w:cantSplit/>
          <w:trHeight w:val="2948"/>
          <w:jc w:val="center"/>
        </w:trPr>
        <w:tc>
          <w:tcPr>
            <w:tcW w:w="3013" w:type="dxa"/>
            <w:shd w:val="clear" w:color="auto" w:fill="auto"/>
            <w:tcMar>
              <w:top w:w="28" w:type="dxa"/>
              <w:bottom w:w="28" w:type="dxa"/>
            </w:tcMar>
            <w:vAlign w:val="center"/>
          </w:tcPr>
          <w:p w14:paraId="5F747537" w14:textId="30002660" w:rsidR="00803300" w:rsidRPr="00344F5B" w:rsidRDefault="00803300" w:rsidP="00803300">
            <w:pPr>
              <w:keepLines/>
              <w:jc w:val="center"/>
              <w:rPr>
                <w:rFonts w:asciiTheme="minorHAnsi" w:hAnsiTheme="minorHAnsi" w:cstheme="minorHAnsi"/>
                <w:color w:val="000000"/>
                <w:sz w:val="18"/>
                <w:szCs w:val="18"/>
              </w:rPr>
            </w:pPr>
            <w:r w:rsidRPr="00803300">
              <w:rPr>
                <w:rFonts w:asciiTheme="minorHAnsi" w:hAnsiTheme="minorHAnsi" w:cstheme="minorHAnsi"/>
                <w:color w:val="000000"/>
                <w:sz w:val="18"/>
                <w:szCs w:val="18"/>
              </w:rPr>
              <w:t>DOSTARLIMAB</w:t>
            </w:r>
            <w:r w:rsidRPr="00803300">
              <w:rPr>
                <w:rFonts w:asciiTheme="minorHAnsi" w:hAnsiTheme="minorHAnsi" w:cstheme="minorHAnsi"/>
                <w:color w:val="000000"/>
                <w:sz w:val="18"/>
                <w:szCs w:val="18"/>
              </w:rPr>
              <w:br/>
            </w:r>
            <w:r w:rsidRPr="00803300">
              <w:rPr>
                <w:rFonts w:asciiTheme="minorHAnsi" w:hAnsiTheme="minorHAnsi" w:cstheme="minorHAnsi"/>
                <w:color w:val="000000"/>
                <w:sz w:val="18"/>
                <w:szCs w:val="18"/>
              </w:rPr>
              <w:br/>
              <w:t>Solution concentrate for I.V. infusion 500</w:t>
            </w:r>
            <w:r>
              <w:rPr>
                <w:rFonts w:asciiTheme="minorHAnsi" w:hAnsiTheme="minorHAnsi" w:cstheme="minorHAnsi"/>
                <w:color w:val="000000"/>
                <w:sz w:val="18"/>
                <w:szCs w:val="18"/>
              </w:rPr>
              <w:t> </w:t>
            </w:r>
            <w:r w:rsidRPr="00803300">
              <w:rPr>
                <w:rFonts w:asciiTheme="minorHAnsi" w:hAnsiTheme="minorHAnsi" w:cstheme="minorHAnsi"/>
                <w:color w:val="000000"/>
                <w:sz w:val="18"/>
                <w:szCs w:val="18"/>
              </w:rPr>
              <w:t>mg in 10</w:t>
            </w:r>
            <w:r>
              <w:rPr>
                <w:rFonts w:asciiTheme="minorHAnsi" w:hAnsiTheme="minorHAnsi" w:cstheme="minorHAnsi"/>
                <w:color w:val="000000"/>
                <w:sz w:val="18"/>
                <w:szCs w:val="18"/>
              </w:rPr>
              <w:t> </w:t>
            </w:r>
            <w:r w:rsidRPr="00803300">
              <w:rPr>
                <w:rFonts w:asciiTheme="minorHAnsi" w:hAnsiTheme="minorHAnsi" w:cstheme="minorHAnsi"/>
                <w:color w:val="000000"/>
                <w:sz w:val="18"/>
                <w:szCs w:val="18"/>
              </w:rPr>
              <w:t>mL</w:t>
            </w:r>
            <w:r w:rsidRPr="00803300">
              <w:rPr>
                <w:rFonts w:asciiTheme="minorHAnsi" w:hAnsiTheme="minorHAnsi" w:cstheme="minorHAnsi"/>
                <w:color w:val="000000"/>
                <w:sz w:val="18"/>
                <w:szCs w:val="18"/>
              </w:rPr>
              <w:br/>
            </w:r>
            <w:r w:rsidRPr="00803300">
              <w:rPr>
                <w:rFonts w:asciiTheme="minorHAnsi" w:hAnsiTheme="minorHAnsi" w:cstheme="minorHAnsi"/>
                <w:color w:val="000000"/>
                <w:sz w:val="18"/>
                <w:szCs w:val="18"/>
              </w:rPr>
              <w:br/>
              <w:t>Jemperli®</w:t>
            </w:r>
            <w:r w:rsidRPr="00803300">
              <w:rPr>
                <w:rFonts w:asciiTheme="minorHAnsi" w:hAnsiTheme="minorHAnsi" w:cstheme="minorHAnsi"/>
                <w:color w:val="000000"/>
                <w:sz w:val="18"/>
                <w:szCs w:val="18"/>
              </w:rPr>
              <w:br/>
            </w:r>
            <w:r w:rsidRPr="00803300">
              <w:rPr>
                <w:rFonts w:asciiTheme="minorHAnsi" w:hAnsiTheme="minorHAnsi" w:cstheme="minorHAnsi"/>
                <w:color w:val="000000"/>
                <w:sz w:val="18"/>
                <w:szCs w:val="18"/>
              </w:rPr>
              <w:br/>
              <w:t>GLAXOSMITHKLINE AUSTRALIA PTY LTD</w:t>
            </w:r>
            <w:r w:rsidRPr="00803300">
              <w:rPr>
                <w:rFonts w:asciiTheme="minorHAnsi" w:hAnsiTheme="minorHAnsi" w:cstheme="minorHAnsi"/>
                <w:color w:val="000000"/>
                <w:sz w:val="18"/>
                <w:szCs w:val="18"/>
              </w:rPr>
              <w:br/>
            </w:r>
            <w:r w:rsidRPr="00803300">
              <w:rPr>
                <w:rFonts w:asciiTheme="minorHAnsi" w:hAnsiTheme="minorHAnsi" w:cstheme="minorHAnsi"/>
                <w:color w:val="000000"/>
                <w:sz w:val="18"/>
                <w:szCs w:val="18"/>
              </w:rPr>
              <w:br/>
              <w:t>Matters outstanding</w:t>
            </w:r>
            <w:r w:rsidRPr="00803300">
              <w:rPr>
                <w:rFonts w:asciiTheme="minorHAnsi" w:hAnsiTheme="minorHAnsi" w:cstheme="minorHAnsi"/>
                <w:color w:val="000000"/>
                <w:sz w:val="18"/>
                <w:szCs w:val="18"/>
              </w:rPr>
              <w:br/>
              <w:t>(New PBS listing)</w:t>
            </w:r>
          </w:p>
        </w:tc>
        <w:tc>
          <w:tcPr>
            <w:tcW w:w="2764" w:type="dxa"/>
            <w:shd w:val="clear" w:color="auto" w:fill="auto"/>
            <w:vAlign w:val="center"/>
          </w:tcPr>
          <w:p w14:paraId="11C1A902" w14:textId="2189261B" w:rsidR="00803300" w:rsidRPr="00344F5B" w:rsidRDefault="00803300" w:rsidP="00803300">
            <w:pPr>
              <w:keepLines/>
              <w:widowControl w:val="0"/>
              <w:jc w:val="center"/>
              <w:rPr>
                <w:rFonts w:asciiTheme="minorHAnsi" w:hAnsiTheme="minorHAnsi" w:cstheme="minorHAnsi"/>
                <w:color w:val="000000"/>
                <w:sz w:val="18"/>
                <w:szCs w:val="18"/>
              </w:rPr>
            </w:pPr>
            <w:r w:rsidRPr="00803300">
              <w:rPr>
                <w:rFonts w:asciiTheme="minorHAnsi" w:hAnsiTheme="minorHAnsi" w:cstheme="minorHAnsi"/>
                <w:color w:val="000000"/>
                <w:sz w:val="18"/>
                <w:szCs w:val="18"/>
              </w:rPr>
              <w:t>Endometrial cancer</w:t>
            </w:r>
          </w:p>
        </w:tc>
        <w:tc>
          <w:tcPr>
            <w:tcW w:w="3288" w:type="dxa"/>
            <w:shd w:val="clear" w:color="auto" w:fill="auto"/>
            <w:tcMar>
              <w:top w:w="28" w:type="dxa"/>
              <w:bottom w:w="28" w:type="dxa"/>
            </w:tcMar>
            <w:vAlign w:val="center"/>
          </w:tcPr>
          <w:p w14:paraId="4D7D6607" w14:textId="2587A3FD" w:rsidR="00803300" w:rsidRPr="00803300" w:rsidRDefault="00803300" w:rsidP="00803300">
            <w:pPr>
              <w:pStyle w:val="ListParagraph"/>
              <w:keepLines/>
              <w:ind w:left="0"/>
              <w:jc w:val="center"/>
              <w:rPr>
                <w:rFonts w:asciiTheme="minorHAnsi" w:eastAsia="Times New Roman" w:hAnsiTheme="minorHAnsi" w:cstheme="minorHAnsi"/>
                <w:color w:val="000000"/>
                <w:sz w:val="18"/>
                <w:szCs w:val="18"/>
              </w:rPr>
            </w:pPr>
            <w:r w:rsidRPr="00803300">
              <w:rPr>
                <w:rFonts w:asciiTheme="minorHAnsi" w:eastAsia="Times New Roman" w:hAnsiTheme="minorHAnsi" w:cstheme="minorHAnsi"/>
                <w:color w:val="000000"/>
                <w:sz w:val="18"/>
                <w:szCs w:val="18"/>
              </w:rPr>
              <w:t>To seek the PBAC’s advice regarding whether the cost of dostarlimab in the revised pricing proposal for the treatment of endometrial cancer is acceptably cost-effective.</w:t>
            </w:r>
          </w:p>
        </w:tc>
        <w:tc>
          <w:tcPr>
            <w:tcW w:w="1987" w:type="dxa"/>
            <w:shd w:val="clear" w:color="auto" w:fill="auto"/>
            <w:vAlign w:val="center"/>
          </w:tcPr>
          <w:p w14:paraId="5EBFEC23" w14:textId="39D93537" w:rsidR="00803300" w:rsidRPr="00803300" w:rsidRDefault="00803300" w:rsidP="00803300">
            <w:pPr>
              <w:pStyle w:val="ListParagraph"/>
              <w:keepLines/>
              <w:ind w:left="0"/>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Advice Provided</w:t>
            </w:r>
          </w:p>
        </w:tc>
        <w:tc>
          <w:tcPr>
            <w:tcW w:w="4336" w:type="dxa"/>
            <w:shd w:val="clear" w:color="auto" w:fill="auto"/>
            <w:vAlign w:val="center"/>
          </w:tcPr>
          <w:p w14:paraId="3C5FB510" w14:textId="0FED9807" w:rsidR="00803300" w:rsidRPr="00803300" w:rsidRDefault="00803300" w:rsidP="0014567E">
            <w:pPr>
              <w:rPr>
                <w:rFonts w:asciiTheme="minorHAnsi" w:hAnsiTheme="minorHAnsi" w:cstheme="minorHAnsi"/>
                <w:color w:val="000000"/>
                <w:sz w:val="18"/>
                <w:szCs w:val="18"/>
              </w:rPr>
            </w:pPr>
            <w:r w:rsidRPr="00803300">
              <w:rPr>
                <w:rFonts w:asciiTheme="minorHAnsi" w:hAnsiTheme="minorHAnsi" w:cstheme="minorHAnsi"/>
                <w:color w:val="000000"/>
                <w:sz w:val="18"/>
                <w:szCs w:val="18"/>
              </w:rPr>
              <w:t xml:space="preserve">At its November 2022 meeting, the PBAC did not recommend the listing of dostarlimab for the treatment of patients with recurrent or advanced </w:t>
            </w:r>
            <w:r w:rsidR="0014567E">
              <w:rPr>
                <w:rFonts w:asciiTheme="minorHAnsi" w:hAnsiTheme="minorHAnsi" w:cstheme="minorHAnsi"/>
                <w:color w:val="000000"/>
                <w:sz w:val="18"/>
                <w:szCs w:val="18"/>
              </w:rPr>
              <w:t xml:space="preserve">mismatch repair deficient </w:t>
            </w:r>
            <w:r w:rsidRPr="00803300">
              <w:rPr>
                <w:rFonts w:asciiTheme="minorHAnsi" w:hAnsiTheme="minorHAnsi" w:cstheme="minorHAnsi"/>
                <w:color w:val="000000"/>
                <w:sz w:val="18"/>
                <w:szCs w:val="18"/>
              </w:rPr>
              <w:t>endometrial cancer who have disease progression following prior systemic therapy. The PBAC considered a revised pricing proposal for dostarlimab. On the basis of this proposal, the PBAC did not change its recommendation regarding dostarlimab from the November 2022 meeting.</w:t>
            </w:r>
          </w:p>
          <w:p w14:paraId="03D2F381" w14:textId="5CDB60E9" w:rsidR="00803300" w:rsidRPr="00803300" w:rsidRDefault="00803300" w:rsidP="00ED4ED9">
            <w:pPr>
              <w:pStyle w:val="3-BodyText"/>
              <w:spacing w:after="0"/>
              <w:ind w:left="0" w:firstLine="0"/>
              <w:jc w:val="left"/>
              <w:rPr>
                <w:rFonts w:cstheme="minorHAnsi"/>
                <w:snapToGrid/>
                <w:color w:val="000000"/>
                <w:sz w:val="18"/>
                <w:szCs w:val="18"/>
              </w:rPr>
            </w:pPr>
          </w:p>
        </w:tc>
      </w:tr>
      <w:tr w:rsidR="00894AB9" w:rsidRPr="00544497" w14:paraId="78666BD8" w14:textId="77777777" w:rsidTr="00C70218">
        <w:trPr>
          <w:cantSplit/>
          <w:trHeight w:val="2948"/>
          <w:jc w:val="center"/>
        </w:trPr>
        <w:tc>
          <w:tcPr>
            <w:tcW w:w="3013" w:type="dxa"/>
            <w:shd w:val="clear" w:color="auto" w:fill="auto"/>
            <w:tcMar>
              <w:top w:w="28" w:type="dxa"/>
              <w:bottom w:w="28" w:type="dxa"/>
            </w:tcMar>
            <w:vAlign w:val="center"/>
          </w:tcPr>
          <w:p w14:paraId="5320BFC1" w14:textId="67670D81"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DURVALUMAB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concentrate for I.V. infusion 120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2.4</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t>Solution concentrate for I.V. infusion 500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Imfinzi®</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AstraZeneca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1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2A6925E2" w14:textId="777DF8C8"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Biliary tract cancer </w:t>
            </w:r>
          </w:p>
        </w:tc>
        <w:tc>
          <w:tcPr>
            <w:tcW w:w="3288" w:type="dxa"/>
            <w:shd w:val="clear" w:color="auto" w:fill="auto"/>
            <w:tcMar>
              <w:top w:w="28" w:type="dxa"/>
              <w:bottom w:w="28" w:type="dxa"/>
            </w:tcMar>
            <w:vAlign w:val="center"/>
          </w:tcPr>
          <w:p w14:paraId="1EDF0F9E" w14:textId="0D04C746"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(Efficient Funding of Chemotherapy program) Authority Required (STREAMLINED) listing for the treatment of advanced biliary tract cancer</w:t>
            </w:r>
            <w:r w:rsidR="00120070">
              <w:rPr>
                <w:rFonts w:asciiTheme="minorHAnsi" w:hAnsiTheme="minorHAnsi" w:cstheme="minorHAnsi"/>
                <w:color w:val="000000"/>
                <w:sz w:val="18"/>
                <w:szCs w:val="18"/>
              </w:rPr>
              <w:t xml:space="preserve"> (BTC)</w:t>
            </w:r>
            <w:r w:rsidRPr="00344F5B">
              <w:rPr>
                <w:rFonts w:asciiTheme="minorHAnsi" w:hAnsiTheme="minorHAnsi" w:cstheme="minorHAnsi"/>
                <w:color w:val="000000"/>
                <w:sz w:val="18"/>
                <w:szCs w:val="18"/>
              </w:rPr>
              <w:t>.</w:t>
            </w:r>
          </w:p>
        </w:tc>
        <w:tc>
          <w:tcPr>
            <w:tcW w:w="1987" w:type="dxa"/>
            <w:shd w:val="clear" w:color="auto" w:fill="auto"/>
            <w:vAlign w:val="center"/>
          </w:tcPr>
          <w:p w14:paraId="6E66E2EF" w14:textId="35C1AC6D"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Recommended</w:t>
            </w:r>
          </w:p>
        </w:tc>
        <w:tc>
          <w:tcPr>
            <w:tcW w:w="4336" w:type="dxa"/>
            <w:shd w:val="clear" w:color="auto" w:fill="auto"/>
            <w:vAlign w:val="center"/>
          </w:tcPr>
          <w:p w14:paraId="25424EB6" w14:textId="447BD365" w:rsidR="00120070" w:rsidRPr="00063210" w:rsidRDefault="00120070" w:rsidP="00D73CAC">
            <w:pPr>
              <w:pStyle w:val="3-BodyText"/>
              <w:spacing w:after="0"/>
              <w:ind w:left="0" w:firstLine="0"/>
              <w:rPr>
                <w:rFonts w:cstheme="minorHAnsi"/>
                <w:snapToGrid/>
                <w:sz w:val="18"/>
                <w:szCs w:val="18"/>
              </w:rPr>
            </w:pPr>
            <w:r w:rsidRPr="00063210">
              <w:rPr>
                <w:rFonts w:cstheme="minorHAnsi"/>
                <w:snapToGrid/>
                <w:sz w:val="18"/>
                <w:szCs w:val="18"/>
              </w:rPr>
              <w:t xml:space="preserve">The PBAC did not recommend the listing of durvalumab for the treatment of advanced BTC. The PBAC considered that durvalumab in combination with chemotherapy provided a moderate added benefit in progression free survival and overall survival. The PBAC considered the base case incremental cost effectiveness ratio was high and underestimated. The PBAC considered the utilisation of durvalumab was overestimated. The PBAC considered there is a moderate to high clinical need for more effective treatments in this patient population who generally have a poor prognosis. </w:t>
            </w:r>
          </w:p>
          <w:p w14:paraId="62009016" w14:textId="77777777" w:rsidR="00894AB9" w:rsidRPr="000110D5" w:rsidRDefault="00894AB9" w:rsidP="00894AB9">
            <w:pPr>
              <w:keepLines/>
              <w:rPr>
                <w:rFonts w:asciiTheme="minorHAnsi" w:hAnsiTheme="minorHAnsi" w:cstheme="minorHAnsi"/>
                <w:color w:val="000000"/>
                <w:sz w:val="18"/>
                <w:szCs w:val="18"/>
              </w:rPr>
            </w:pPr>
          </w:p>
          <w:p w14:paraId="09C12D6D"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7C1CD00D" w14:textId="52F864EB" w:rsidR="000B2A2E" w:rsidRPr="000B2A2E" w:rsidRDefault="000B2A2E" w:rsidP="00894AB9">
            <w:pPr>
              <w:rPr>
                <w:rFonts w:asciiTheme="minorHAnsi" w:hAnsiTheme="minorHAnsi" w:cstheme="minorHAnsi"/>
                <w:color w:val="000000"/>
                <w:sz w:val="18"/>
                <w:szCs w:val="18"/>
              </w:rPr>
            </w:pPr>
            <w:r w:rsidRPr="001B5E08">
              <w:rPr>
                <w:rFonts w:asciiTheme="minorHAnsi" w:hAnsiTheme="minorHAnsi" w:cstheme="minorHAnsi"/>
                <w:color w:val="000000"/>
                <w:sz w:val="18"/>
                <w:szCs w:val="18"/>
              </w:rPr>
              <w:t>The sponsor had no commen</w:t>
            </w:r>
            <w:r>
              <w:rPr>
                <w:rFonts w:asciiTheme="minorHAnsi" w:hAnsiTheme="minorHAnsi" w:cstheme="minorHAnsi"/>
                <w:color w:val="000000"/>
                <w:sz w:val="18"/>
                <w:szCs w:val="18"/>
              </w:rPr>
              <w:t>t.</w:t>
            </w:r>
          </w:p>
        </w:tc>
      </w:tr>
      <w:tr w:rsidR="00894AB9" w:rsidRPr="00544497" w14:paraId="211AD65F" w14:textId="77777777" w:rsidTr="00C70218">
        <w:trPr>
          <w:cantSplit/>
          <w:trHeight w:val="2948"/>
          <w:jc w:val="center"/>
        </w:trPr>
        <w:tc>
          <w:tcPr>
            <w:tcW w:w="3013" w:type="dxa"/>
            <w:shd w:val="clear" w:color="auto" w:fill="auto"/>
            <w:tcMar>
              <w:top w:w="28" w:type="dxa"/>
              <w:bottom w:w="28" w:type="dxa"/>
            </w:tcMar>
            <w:vAlign w:val="center"/>
          </w:tcPr>
          <w:p w14:paraId="53674C18" w14:textId="37F79108" w:rsidR="00894AB9" w:rsidRPr="00344F5B" w:rsidRDefault="00894AB9" w:rsidP="00894AB9">
            <w:pPr>
              <w:keepLines/>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ELEXACAFTOR WITH TEZACAFTOR AND WITH IVACAFTOR, AND IVACAFTOR</w:t>
            </w:r>
            <w:r w:rsidRPr="000110D5">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Pack containing 56 tablets elexacaftor 100</w:t>
            </w:r>
            <w:r>
              <w:rPr>
                <w:rFonts w:asciiTheme="minorHAnsi" w:hAnsiTheme="minorHAnsi" w:cstheme="minorHAnsi"/>
                <w:color w:val="000000"/>
                <w:sz w:val="18"/>
                <w:szCs w:val="18"/>
              </w:rPr>
              <w:t> mg</w:t>
            </w:r>
            <w:r w:rsidRPr="000110D5">
              <w:rPr>
                <w:rFonts w:asciiTheme="minorHAnsi" w:hAnsiTheme="minorHAnsi" w:cstheme="minorHAnsi"/>
                <w:color w:val="000000"/>
                <w:sz w:val="18"/>
                <w:szCs w:val="18"/>
              </w:rPr>
              <w:t xml:space="preserve"> with tezacaftor 50</w:t>
            </w:r>
            <w:r>
              <w:rPr>
                <w:rFonts w:asciiTheme="minorHAnsi" w:hAnsiTheme="minorHAnsi" w:cstheme="minorHAnsi"/>
                <w:color w:val="000000"/>
                <w:sz w:val="18"/>
                <w:szCs w:val="18"/>
              </w:rPr>
              <w:t> mg</w:t>
            </w:r>
            <w:r w:rsidRPr="000110D5">
              <w:rPr>
                <w:rFonts w:asciiTheme="minorHAnsi" w:hAnsiTheme="minorHAnsi" w:cstheme="minorHAnsi"/>
                <w:color w:val="000000"/>
                <w:sz w:val="18"/>
                <w:szCs w:val="18"/>
              </w:rPr>
              <w:t xml:space="preserve"> and with ivacaftor 75</w:t>
            </w:r>
            <w:r>
              <w:rPr>
                <w:rFonts w:asciiTheme="minorHAnsi" w:hAnsiTheme="minorHAnsi" w:cstheme="minorHAnsi"/>
                <w:color w:val="000000"/>
                <w:sz w:val="18"/>
                <w:szCs w:val="18"/>
              </w:rPr>
              <w:t> mg</w:t>
            </w:r>
            <w:r w:rsidRPr="000110D5">
              <w:rPr>
                <w:rFonts w:asciiTheme="minorHAnsi" w:hAnsiTheme="minorHAnsi" w:cstheme="minorHAnsi"/>
                <w:color w:val="000000"/>
                <w:sz w:val="18"/>
                <w:szCs w:val="18"/>
              </w:rPr>
              <w:t xml:space="preserve"> and 28 tablets ivacaftor 150</w:t>
            </w:r>
            <w:r>
              <w:rPr>
                <w:rFonts w:asciiTheme="minorHAnsi" w:hAnsiTheme="minorHAnsi" w:cstheme="minorHAnsi"/>
                <w:color w:val="000000"/>
                <w:sz w:val="18"/>
                <w:szCs w:val="18"/>
              </w:rPr>
              <w:t> mg</w:t>
            </w:r>
            <w:r w:rsidRPr="000110D5">
              <w:rPr>
                <w:rFonts w:asciiTheme="minorHAnsi" w:hAnsiTheme="minorHAnsi" w:cstheme="minorHAnsi"/>
                <w:color w:val="000000"/>
                <w:sz w:val="18"/>
                <w:szCs w:val="18"/>
              </w:rPr>
              <w:t xml:space="preserve"> </w:t>
            </w:r>
            <w:r w:rsidRPr="000110D5">
              <w:rPr>
                <w:rFonts w:asciiTheme="minorHAnsi" w:hAnsiTheme="minorHAnsi" w:cstheme="minorHAnsi"/>
                <w:color w:val="000000"/>
                <w:sz w:val="18"/>
                <w:szCs w:val="18"/>
              </w:rPr>
              <w:br/>
              <w:t>Pack containing 56 tablets elexacaftor 50</w:t>
            </w:r>
            <w:r>
              <w:rPr>
                <w:rFonts w:asciiTheme="minorHAnsi" w:hAnsiTheme="minorHAnsi" w:cstheme="minorHAnsi"/>
                <w:color w:val="000000"/>
                <w:sz w:val="18"/>
                <w:szCs w:val="18"/>
              </w:rPr>
              <w:t> mg</w:t>
            </w:r>
            <w:r w:rsidRPr="000110D5">
              <w:rPr>
                <w:rFonts w:asciiTheme="minorHAnsi" w:hAnsiTheme="minorHAnsi" w:cstheme="minorHAnsi"/>
                <w:color w:val="000000"/>
                <w:sz w:val="18"/>
                <w:szCs w:val="18"/>
              </w:rPr>
              <w:t xml:space="preserve"> with tezacaftor 25</w:t>
            </w:r>
            <w:r>
              <w:rPr>
                <w:rFonts w:asciiTheme="minorHAnsi" w:hAnsiTheme="minorHAnsi" w:cstheme="minorHAnsi"/>
                <w:color w:val="000000"/>
                <w:sz w:val="18"/>
                <w:szCs w:val="18"/>
              </w:rPr>
              <w:t> mg</w:t>
            </w:r>
            <w:r w:rsidRPr="000110D5">
              <w:rPr>
                <w:rFonts w:asciiTheme="minorHAnsi" w:hAnsiTheme="minorHAnsi" w:cstheme="minorHAnsi"/>
                <w:color w:val="000000"/>
                <w:sz w:val="18"/>
                <w:szCs w:val="18"/>
              </w:rPr>
              <w:t xml:space="preserve"> and with ivacaftor 37.5</w:t>
            </w:r>
            <w:r>
              <w:rPr>
                <w:rFonts w:asciiTheme="minorHAnsi" w:hAnsiTheme="minorHAnsi" w:cstheme="minorHAnsi"/>
                <w:color w:val="000000"/>
                <w:sz w:val="18"/>
                <w:szCs w:val="18"/>
              </w:rPr>
              <w:t> mg</w:t>
            </w:r>
            <w:r w:rsidRPr="000110D5">
              <w:rPr>
                <w:rFonts w:asciiTheme="minorHAnsi" w:hAnsiTheme="minorHAnsi" w:cstheme="minorHAnsi"/>
                <w:color w:val="000000"/>
                <w:sz w:val="18"/>
                <w:szCs w:val="18"/>
              </w:rPr>
              <w:t xml:space="preserve"> and 28 tablets ivacaftor 75</w:t>
            </w:r>
            <w:r>
              <w:rPr>
                <w:rFonts w:asciiTheme="minorHAnsi" w:hAnsiTheme="minorHAnsi" w:cstheme="minorHAnsi"/>
                <w:color w:val="000000"/>
                <w:sz w:val="18"/>
                <w:szCs w:val="18"/>
              </w:rPr>
              <w:t> mg</w:t>
            </w:r>
            <w:r w:rsidRPr="000110D5">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Trikafta®</w:t>
            </w:r>
            <w:r w:rsidRPr="000110D5">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VERTEX PHARMACEUTICALS (AUSTRALIA) PTY. LTD.</w:t>
            </w:r>
            <w:r w:rsidRPr="000110D5">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Matters arising</w:t>
            </w:r>
            <w:r w:rsidRPr="000110D5">
              <w:rPr>
                <w:rFonts w:asciiTheme="minorHAnsi" w:hAnsiTheme="minorHAnsi" w:cstheme="minorHAnsi"/>
                <w:color w:val="000000"/>
                <w:sz w:val="18"/>
                <w:szCs w:val="18"/>
              </w:rPr>
              <w:br/>
              <w:t>(New PBS listing)</w:t>
            </w:r>
          </w:p>
        </w:tc>
        <w:tc>
          <w:tcPr>
            <w:tcW w:w="2764" w:type="dxa"/>
            <w:shd w:val="clear" w:color="auto" w:fill="auto"/>
            <w:vAlign w:val="center"/>
          </w:tcPr>
          <w:p w14:paraId="3CDF0498" w14:textId="2F83BC38" w:rsidR="00894AB9" w:rsidRPr="00344F5B" w:rsidRDefault="00894AB9" w:rsidP="00894AB9">
            <w:pPr>
              <w:keepLines/>
              <w:widowControl w:val="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Cystic fibrosis</w:t>
            </w:r>
          </w:p>
        </w:tc>
        <w:tc>
          <w:tcPr>
            <w:tcW w:w="3288" w:type="dxa"/>
            <w:shd w:val="clear" w:color="auto" w:fill="auto"/>
            <w:tcMar>
              <w:top w:w="28" w:type="dxa"/>
              <w:bottom w:w="28" w:type="dxa"/>
            </w:tcMar>
            <w:vAlign w:val="center"/>
          </w:tcPr>
          <w:p w14:paraId="52C006D2" w14:textId="15B43677"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To request reconsideration of the financial estimates for Trikafta</w:t>
            </w:r>
            <w:r w:rsidR="00C05D89">
              <w:rPr>
                <w:rFonts w:asciiTheme="minorHAnsi" w:hAnsiTheme="minorHAnsi" w:cstheme="minorHAnsi"/>
                <w:color w:val="000000"/>
                <w:sz w:val="18"/>
                <w:szCs w:val="18"/>
              </w:rPr>
              <w:t>®</w:t>
            </w:r>
            <w:r w:rsidRPr="000110D5">
              <w:rPr>
                <w:rFonts w:asciiTheme="minorHAnsi" w:hAnsiTheme="minorHAnsi" w:cstheme="minorHAnsi"/>
                <w:color w:val="000000"/>
                <w:sz w:val="18"/>
                <w:szCs w:val="18"/>
              </w:rPr>
              <w:t xml:space="preserve"> for the treatment of cystic fibrosis in patients who are aged 6 to 11 years and who have at least one F508del mutation on the cystic fibrosis transmembrane conductance regulator (CFTR) gene.</w:t>
            </w:r>
          </w:p>
        </w:tc>
        <w:tc>
          <w:tcPr>
            <w:tcW w:w="1987" w:type="dxa"/>
            <w:shd w:val="clear" w:color="auto" w:fill="auto"/>
            <w:vAlign w:val="center"/>
          </w:tcPr>
          <w:p w14:paraId="2BD28AB2" w14:textId="6BF80D3A"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471F916D" w14:textId="073D2726"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sz w:val="18"/>
                <w:szCs w:val="18"/>
              </w:rPr>
              <w:t xml:space="preserve">The PBAC revised its previous advice regarding the recommendation of </w:t>
            </w:r>
            <w:r w:rsidR="00415330">
              <w:rPr>
                <w:rFonts w:asciiTheme="minorHAnsi" w:hAnsiTheme="minorHAnsi" w:cstheme="minorHAnsi"/>
                <w:sz w:val="18"/>
                <w:szCs w:val="18"/>
              </w:rPr>
              <w:t>Trikafta®</w:t>
            </w:r>
            <w:r w:rsidRPr="00344F5B">
              <w:rPr>
                <w:rFonts w:asciiTheme="minorHAnsi" w:hAnsiTheme="minorHAnsi" w:cstheme="minorHAnsi"/>
                <w:sz w:val="18"/>
                <w:szCs w:val="18"/>
              </w:rPr>
              <w:t xml:space="preserve"> for the treatment of cystic fibrosis in patients who are aged 6 to 11 years and who have at least one F508del mutation on the CFTR gene</w:t>
            </w:r>
            <w:r w:rsidR="00415330">
              <w:rPr>
                <w:rFonts w:asciiTheme="minorHAnsi" w:hAnsiTheme="minorHAnsi" w:cstheme="minorHAnsi"/>
                <w:sz w:val="18"/>
                <w:szCs w:val="18"/>
              </w:rPr>
              <w:t>, taking into consideration the additional information provided by the sponsor.</w:t>
            </w:r>
          </w:p>
        </w:tc>
      </w:tr>
      <w:tr w:rsidR="00894AB9" w:rsidRPr="00544497" w14:paraId="67CC7194" w14:textId="77777777" w:rsidTr="00C70218">
        <w:trPr>
          <w:cantSplit/>
          <w:trHeight w:val="2948"/>
          <w:jc w:val="center"/>
        </w:trPr>
        <w:tc>
          <w:tcPr>
            <w:tcW w:w="3013" w:type="dxa"/>
            <w:shd w:val="clear" w:color="auto" w:fill="auto"/>
            <w:tcMar>
              <w:top w:w="28" w:type="dxa"/>
              <w:bottom w:w="28" w:type="dxa"/>
            </w:tcMar>
            <w:vAlign w:val="center"/>
          </w:tcPr>
          <w:p w14:paraId="7D732C8F" w14:textId="246B7EF2"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ENZALUTAMIDE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Capsule 40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Xtandi®</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Astellas Pharma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46816C06" w14:textId="4AF1DFC8"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Prostate cancer</w:t>
            </w:r>
          </w:p>
        </w:tc>
        <w:tc>
          <w:tcPr>
            <w:tcW w:w="3288" w:type="dxa"/>
            <w:shd w:val="clear" w:color="auto" w:fill="auto"/>
            <w:tcMar>
              <w:top w:w="28" w:type="dxa"/>
              <w:bottom w:w="28" w:type="dxa"/>
            </w:tcMar>
            <w:vAlign w:val="center"/>
          </w:tcPr>
          <w:p w14:paraId="6E1A089B" w14:textId="6DB1029C"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(telephone/online) listing for the treatment of metastatic hormone-sensitive prostate cancer</w:t>
            </w:r>
            <w:r w:rsidR="00C77906">
              <w:rPr>
                <w:rFonts w:asciiTheme="minorHAnsi" w:hAnsiTheme="minorHAnsi" w:cstheme="minorHAnsi"/>
                <w:color w:val="000000"/>
                <w:sz w:val="18"/>
                <w:szCs w:val="18"/>
              </w:rPr>
              <w:t xml:space="preserve"> (mHSPC)</w:t>
            </w:r>
            <w:r w:rsidRPr="00344F5B">
              <w:rPr>
                <w:rFonts w:asciiTheme="minorHAnsi" w:hAnsiTheme="minorHAnsi" w:cstheme="minorHAnsi"/>
                <w:color w:val="000000"/>
                <w:sz w:val="18"/>
                <w:szCs w:val="18"/>
              </w:rPr>
              <w:t xml:space="preserve"> in patients with low volume disease, and in high volume disease where the patient is unsuitable for docetaxel due to poor </w:t>
            </w:r>
            <w:r w:rsidR="00C77906">
              <w:rPr>
                <w:rFonts w:asciiTheme="minorHAnsi" w:hAnsiTheme="minorHAnsi" w:cstheme="minorHAnsi"/>
                <w:color w:val="000000"/>
                <w:sz w:val="18"/>
                <w:szCs w:val="18"/>
              </w:rPr>
              <w:t>Eastern Cooperative Oncology Group</w:t>
            </w:r>
            <w:r w:rsidRPr="00344F5B">
              <w:rPr>
                <w:rFonts w:asciiTheme="minorHAnsi" w:hAnsiTheme="minorHAnsi" w:cstheme="minorHAnsi"/>
                <w:color w:val="000000"/>
                <w:sz w:val="18"/>
                <w:szCs w:val="18"/>
              </w:rPr>
              <w:t xml:space="preserve"> status, comorbidities, or contraindications.</w:t>
            </w:r>
          </w:p>
        </w:tc>
        <w:tc>
          <w:tcPr>
            <w:tcW w:w="1987" w:type="dxa"/>
            <w:shd w:val="clear" w:color="auto" w:fill="auto"/>
            <w:vAlign w:val="center"/>
          </w:tcPr>
          <w:p w14:paraId="77C907C2" w14:textId="2050F035"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763B9B94" w14:textId="0848E644"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the listing of enzalutamide for the treatment of mHSPC</w:t>
            </w:r>
            <w:r w:rsidR="002F3F56">
              <w:rPr>
                <w:rFonts w:asciiTheme="minorHAnsi" w:hAnsiTheme="minorHAnsi" w:cstheme="minorHAnsi"/>
                <w:color w:val="000000"/>
                <w:sz w:val="18"/>
                <w:szCs w:val="18"/>
              </w:rPr>
              <w:t xml:space="preserve"> </w:t>
            </w:r>
            <w:r w:rsidR="002F3F56" w:rsidRPr="002F3F56">
              <w:rPr>
                <w:rFonts w:asciiTheme="minorHAnsi" w:hAnsiTheme="minorHAnsi" w:cstheme="minorHAnsi"/>
                <w:color w:val="000000"/>
                <w:sz w:val="18"/>
                <w:szCs w:val="18"/>
              </w:rPr>
              <w:t>irrespective of disease volume or suitability for docetaxel</w:t>
            </w:r>
            <w:r w:rsidRPr="00344F5B">
              <w:rPr>
                <w:rFonts w:asciiTheme="minorHAnsi" w:hAnsiTheme="minorHAnsi" w:cstheme="minorHAnsi"/>
                <w:color w:val="000000"/>
                <w:sz w:val="18"/>
                <w:szCs w:val="18"/>
              </w:rPr>
              <w:t xml:space="preserve">. The PBAC considered that enzalutamide, in combination with androgen deprivation therapy (ADT), provides a moderate clinical benefit compared to ADT alone. The PBAC advised that changes should be made to the economic model and that </w:t>
            </w:r>
            <w:r w:rsidRPr="00063210">
              <w:rPr>
                <w:rFonts w:asciiTheme="minorHAnsi" w:hAnsiTheme="minorHAnsi" w:cstheme="minorHAnsi"/>
                <w:color w:val="000000"/>
                <w:sz w:val="18"/>
                <w:szCs w:val="18"/>
              </w:rPr>
              <w:t xml:space="preserve">for enzalutamide to be considered cost effective, the price should be reduced </w:t>
            </w:r>
            <w:r w:rsidR="00AA20ED" w:rsidRPr="00063210">
              <w:rPr>
                <w:rFonts w:asciiTheme="minorHAnsi" w:hAnsiTheme="minorHAnsi" w:cstheme="minorHAnsi"/>
                <w:color w:val="000000"/>
                <w:sz w:val="18"/>
                <w:szCs w:val="18"/>
              </w:rPr>
              <w:t xml:space="preserve">to </w:t>
            </w:r>
            <w:r w:rsidR="00AC40D8" w:rsidRPr="00063210">
              <w:rPr>
                <w:rFonts w:asciiTheme="minorHAnsi" w:hAnsiTheme="minorHAnsi" w:cstheme="minorHAnsi"/>
                <w:color w:val="000000"/>
                <w:sz w:val="18"/>
                <w:szCs w:val="18"/>
              </w:rPr>
              <w:t>achieve an</w:t>
            </w:r>
            <w:r w:rsidR="00AA20ED" w:rsidRPr="00063210">
              <w:rPr>
                <w:rFonts w:asciiTheme="minorHAnsi" w:hAnsiTheme="minorHAnsi" w:cstheme="minorHAnsi"/>
                <w:color w:val="000000"/>
                <w:sz w:val="18"/>
                <w:szCs w:val="18"/>
              </w:rPr>
              <w:t xml:space="preserve"> </w:t>
            </w:r>
            <w:r w:rsidRPr="00063210">
              <w:rPr>
                <w:rFonts w:asciiTheme="minorHAnsi" w:hAnsiTheme="minorHAnsi" w:cstheme="minorHAnsi"/>
                <w:color w:val="000000"/>
                <w:sz w:val="18"/>
                <w:szCs w:val="18"/>
              </w:rPr>
              <w:t>incremental cost-effectiveness ratio</w:t>
            </w:r>
            <w:r w:rsidR="00AC40D8" w:rsidRPr="00063210">
              <w:rPr>
                <w:rFonts w:asciiTheme="minorHAnsi" w:hAnsiTheme="minorHAnsi" w:cstheme="minorHAnsi"/>
                <w:color w:val="000000"/>
                <w:sz w:val="18"/>
                <w:szCs w:val="18"/>
              </w:rPr>
              <w:t xml:space="preserve"> consistent with that previously accepted for this condition.</w:t>
            </w:r>
            <w:r w:rsidR="00063210" w:rsidRPr="00063210">
              <w:rPr>
                <w:rFonts w:asciiTheme="minorHAnsi" w:hAnsiTheme="minorHAnsi" w:cstheme="minorHAnsi"/>
                <w:color w:val="000000"/>
                <w:sz w:val="18"/>
                <w:szCs w:val="18"/>
              </w:rPr>
              <w:t xml:space="preserve"> </w:t>
            </w:r>
            <w:r w:rsidRPr="00063210">
              <w:rPr>
                <w:rFonts w:asciiTheme="minorHAnsi" w:hAnsiTheme="minorHAnsi" w:cstheme="minorHAnsi"/>
                <w:color w:val="000000"/>
                <w:sz w:val="18"/>
                <w:szCs w:val="18"/>
              </w:rPr>
              <w:t>Further, the PBAC considered that as enzalutamide does</w:t>
            </w:r>
            <w:r w:rsidRPr="00344F5B">
              <w:rPr>
                <w:rFonts w:asciiTheme="minorHAnsi" w:hAnsiTheme="minorHAnsi" w:cstheme="minorHAnsi"/>
                <w:color w:val="000000"/>
                <w:sz w:val="18"/>
                <w:szCs w:val="18"/>
              </w:rPr>
              <w:t xml:space="preserve"> not provide a significant improvement in efficacy and/or reduction in toxicity compared to apalutamide, it should be priced no higher than apalutamide, based on the daily cost at recommended doses, should apalutamide be PBS listed for mHSPC. The PBAC considered that the utilisation estimates were reasonable and that a risk sharing arrangement would mitigate the risks that patients would remain on enzalutamide for longer than estimated and that enzalutamide use in patients with high volume disease suitable for docetaxel may not be cost effective.</w:t>
            </w:r>
          </w:p>
        </w:tc>
      </w:tr>
      <w:tr w:rsidR="00894AB9" w:rsidRPr="00544497" w14:paraId="1D94DBFA" w14:textId="77777777" w:rsidTr="00C70218">
        <w:trPr>
          <w:cantSplit/>
          <w:trHeight w:val="2948"/>
          <w:jc w:val="center"/>
        </w:trPr>
        <w:tc>
          <w:tcPr>
            <w:tcW w:w="3013" w:type="dxa"/>
            <w:shd w:val="clear" w:color="auto" w:fill="auto"/>
            <w:tcMar>
              <w:top w:w="28" w:type="dxa"/>
              <w:bottom w:w="28" w:type="dxa"/>
            </w:tcMar>
            <w:vAlign w:val="center"/>
          </w:tcPr>
          <w:p w14:paraId="3540E7E5" w14:textId="41855976"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FINERENONE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10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t>Tablet 20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Kerendia</w:t>
            </w:r>
            <w:proofErr w:type="spellEnd"/>
            <w:r w:rsidRPr="00344F5B">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Bayer Australia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Standard re-entry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160D0998" w14:textId="07CC17AA"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Chronic kidney disease</w:t>
            </w:r>
            <w:r w:rsidR="000650C3">
              <w:rPr>
                <w:rFonts w:asciiTheme="minorHAnsi" w:hAnsiTheme="minorHAnsi" w:cstheme="minorHAnsi"/>
                <w:color w:val="000000"/>
                <w:sz w:val="18"/>
                <w:szCs w:val="18"/>
              </w:rPr>
              <w:t xml:space="preserve"> </w:t>
            </w:r>
            <w:r w:rsidR="000650C3" w:rsidRPr="00344F5B">
              <w:rPr>
                <w:rFonts w:asciiTheme="minorHAnsi" w:hAnsiTheme="minorHAnsi" w:cstheme="minorHAnsi"/>
                <w:color w:val="000000"/>
                <w:sz w:val="18"/>
                <w:szCs w:val="18"/>
              </w:rPr>
              <w:t>(CKD)</w:t>
            </w:r>
            <w:r w:rsidRPr="00344F5B">
              <w:rPr>
                <w:rFonts w:asciiTheme="minorHAnsi" w:hAnsiTheme="minorHAnsi" w:cstheme="minorHAnsi"/>
                <w:color w:val="000000"/>
                <w:sz w:val="18"/>
                <w:szCs w:val="18"/>
              </w:rPr>
              <w:t xml:space="preserve"> in Type 2 diabetes</w:t>
            </w:r>
          </w:p>
        </w:tc>
        <w:tc>
          <w:tcPr>
            <w:tcW w:w="3288" w:type="dxa"/>
            <w:shd w:val="clear" w:color="auto" w:fill="auto"/>
            <w:tcMar>
              <w:top w:w="28" w:type="dxa"/>
              <w:bottom w:w="28" w:type="dxa"/>
            </w:tcMar>
            <w:vAlign w:val="center"/>
          </w:tcPr>
          <w:p w14:paraId="0D35D80D" w14:textId="0B402356"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Resubmission to request a General Schedule Authority Required (STREAMLINED) listing for the treatment of </w:t>
            </w:r>
            <w:r w:rsidR="000650C3" w:rsidRPr="00344F5B">
              <w:rPr>
                <w:rFonts w:asciiTheme="minorHAnsi" w:hAnsiTheme="minorHAnsi" w:cstheme="minorHAnsi"/>
                <w:color w:val="000000"/>
                <w:sz w:val="18"/>
                <w:szCs w:val="18"/>
              </w:rPr>
              <w:t>CKD</w:t>
            </w:r>
            <w:r w:rsidR="00304CF9">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 xml:space="preserve">in patients with type 2 diabetes mellitus. </w:t>
            </w:r>
          </w:p>
        </w:tc>
        <w:tc>
          <w:tcPr>
            <w:tcW w:w="1987" w:type="dxa"/>
            <w:shd w:val="clear" w:color="auto" w:fill="auto"/>
            <w:vAlign w:val="center"/>
          </w:tcPr>
          <w:p w14:paraId="65AE174E" w14:textId="4A72421A"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62C0E818" w14:textId="114DDF3D"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the General Schedule Authority Required listing of finerenone for the treatment of CKD in patients with type 2 diabetes mellitus (diabetic kidney disease). The PBAC was satisfied that finerenone in combination with standard of care provides, for some patients, a significant improvement in efficacy over standard of care alone. The PBAC considered that finerenone has a limited place in therapy given a small and uncertain reduction in clinical events in CKD and cardiovascular disease with use in combination with standard of care, including a</w:t>
            </w:r>
            <w:r w:rsidR="00C77906">
              <w:rPr>
                <w:rFonts w:asciiTheme="minorHAnsi" w:hAnsiTheme="minorHAnsi" w:cstheme="minorHAnsi"/>
                <w:color w:val="000000"/>
                <w:sz w:val="18"/>
                <w:szCs w:val="18"/>
              </w:rPr>
              <w:t xml:space="preserve"> sodium-glucose cotransporter-2</w:t>
            </w:r>
            <w:r w:rsidRPr="00344F5B">
              <w:rPr>
                <w:rFonts w:asciiTheme="minorHAnsi" w:hAnsiTheme="minorHAnsi" w:cstheme="minorHAnsi"/>
                <w:color w:val="000000"/>
                <w:sz w:val="18"/>
                <w:szCs w:val="18"/>
              </w:rPr>
              <w:t xml:space="preserve"> inhibitor therapy, and the complication of hyperkalaemia. The PBAC considered finerenone would be cost-effective based on the revised economic model assumptions and the price reduction offered in the pre-PBAC response. However, the PBAC considered that the utilisation estimates remained overestimated and should be revised to include parameters aligned with those recently accepted in the CKD setting.</w:t>
            </w:r>
          </w:p>
        </w:tc>
      </w:tr>
      <w:tr w:rsidR="00894AB9" w:rsidRPr="00544497" w14:paraId="630CF50E" w14:textId="77777777" w:rsidTr="00C70218">
        <w:trPr>
          <w:cantSplit/>
          <w:trHeight w:val="2948"/>
          <w:jc w:val="center"/>
        </w:trPr>
        <w:tc>
          <w:tcPr>
            <w:tcW w:w="3013" w:type="dxa"/>
            <w:shd w:val="clear" w:color="auto" w:fill="auto"/>
            <w:tcMar>
              <w:top w:w="28" w:type="dxa"/>
              <w:bottom w:w="28" w:type="dxa"/>
            </w:tcMar>
            <w:vAlign w:val="center"/>
          </w:tcPr>
          <w:p w14:paraId="26F1EF32" w14:textId="4402805D"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FOSNETUPITANT (AS CHLORIDE HYDROCHLORIDE)/PALONOSETRON (AS HYDROCHLORIDE)</w:t>
            </w:r>
            <w:r w:rsidRPr="00344F5B">
              <w:rPr>
                <w:rFonts w:asciiTheme="minorHAnsi" w:hAnsiTheme="minorHAnsi" w:cstheme="minorHAnsi"/>
                <w:sz w:val="18"/>
                <w:szCs w:val="18"/>
              </w:rPr>
              <w:t xml:space="preserve"> </w:t>
            </w:r>
            <w:r w:rsidRPr="00344F5B">
              <w:rPr>
                <w:rFonts w:asciiTheme="minorHAnsi" w:hAnsiTheme="minorHAnsi" w:cstheme="minorHAnsi"/>
                <w:sz w:val="18"/>
                <w:szCs w:val="18"/>
              </w:rPr>
              <w:br/>
            </w:r>
            <w:r w:rsidRPr="00344F5B">
              <w:rPr>
                <w:rFonts w:asciiTheme="minorHAnsi" w:hAnsiTheme="minorHAnsi" w:cstheme="minorHAnsi"/>
                <w:color w:val="000000"/>
                <w:sz w:val="18"/>
                <w:szCs w:val="18"/>
              </w:rPr>
              <w:br/>
              <w:t xml:space="preserve">Solution concentrate for I.V. infusion containing </w:t>
            </w:r>
            <w:proofErr w:type="spellStart"/>
            <w:r w:rsidRPr="00344F5B">
              <w:rPr>
                <w:rFonts w:asciiTheme="minorHAnsi" w:hAnsiTheme="minorHAnsi" w:cstheme="minorHAnsi"/>
                <w:color w:val="000000"/>
                <w:sz w:val="18"/>
                <w:szCs w:val="18"/>
              </w:rPr>
              <w:t>fosnetupitant</w:t>
            </w:r>
            <w:proofErr w:type="spellEnd"/>
            <w:r w:rsidRPr="00344F5B">
              <w:rPr>
                <w:rFonts w:asciiTheme="minorHAnsi" w:hAnsiTheme="minorHAnsi" w:cstheme="minorHAnsi"/>
                <w:color w:val="000000"/>
                <w:sz w:val="18"/>
                <w:szCs w:val="18"/>
              </w:rPr>
              <w:t xml:space="preserve"> 235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and palonosetron 0.25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20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Akynzeo®IV</w:t>
            </w:r>
            <w:proofErr w:type="spellEnd"/>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Juniper Biologics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 xml:space="preserve">Category </w:t>
            </w:r>
            <w:r w:rsidR="001A63A3">
              <w:rPr>
                <w:rFonts w:asciiTheme="minorHAnsi" w:hAnsiTheme="minorHAnsi" w:cstheme="minorHAnsi"/>
                <w:color w:val="000000"/>
                <w:sz w:val="18"/>
                <w:szCs w:val="18"/>
              </w:rPr>
              <w:t>2</w:t>
            </w:r>
            <w:r w:rsidRPr="000110D5">
              <w:rPr>
                <w:rFonts w:asciiTheme="minorHAnsi" w:hAnsiTheme="minorHAnsi" w:cstheme="minorHAnsi"/>
                <w:color w:val="000000"/>
                <w:sz w:val="18"/>
                <w:szCs w:val="18"/>
              </w:rPr>
              <w:t xml:space="preserve">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2A72076A" w14:textId="6AE56CC3"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Nausea and vomiting</w:t>
            </w:r>
          </w:p>
        </w:tc>
        <w:tc>
          <w:tcPr>
            <w:tcW w:w="3288" w:type="dxa"/>
            <w:shd w:val="clear" w:color="auto" w:fill="auto"/>
            <w:tcMar>
              <w:top w:w="28" w:type="dxa"/>
              <w:bottom w:w="28" w:type="dxa"/>
            </w:tcMar>
            <w:vAlign w:val="center"/>
          </w:tcPr>
          <w:p w14:paraId="73933476" w14:textId="7E8A7111"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(Efficient Funding of Chemotherapy) Authority Required (STREAMLINED) and a General Schedule Authority Required (STREAMLINED) listing for the treatment of nausea and vomiting in patients receiving highly, or moderately, emetogenic chemotherapy.</w:t>
            </w:r>
          </w:p>
        </w:tc>
        <w:tc>
          <w:tcPr>
            <w:tcW w:w="1987" w:type="dxa"/>
            <w:shd w:val="clear" w:color="auto" w:fill="auto"/>
            <w:vAlign w:val="center"/>
          </w:tcPr>
          <w:p w14:paraId="71509397" w14:textId="20209FAD"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3B3B0A75" w14:textId="2969309D"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the General Schedule and Section 100 (Efficient Funding of Chemotherapy – Related Benefits) listing of intravenous </w:t>
            </w:r>
            <w:proofErr w:type="spellStart"/>
            <w:r w:rsidRPr="00344F5B">
              <w:rPr>
                <w:rFonts w:asciiTheme="minorHAnsi" w:hAnsiTheme="minorHAnsi" w:cstheme="minorHAnsi"/>
                <w:color w:val="000000"/>
                <w:sz w:val="18"/>
                <w:szCs w:val="18"/>
              </w:rPr>
              <w:t>fosnetupitant</w:t>
            </w:r>
            <w:proofErr w:type="spellEnd"/>
            <w:r w:rsidRPr="00344F5B">
              <w:rPr>
                <w:rFonts w:asciiTheme="minorHAnsi" w:hAnsiTheme="minorHAnsi" w:cstheme="minorHAnsi"/>
                <w:color w:val="000000"/>
                <w:sz w:val="18"/>
                <w:szCs w:val="18"/>
              </w:rPr>
              <w:t xml:space="preserve"> with palonosetron (NEPA IV) for the treatment and/or prophylaxis of nausea and vomiting in patients receiving highly or moderately emetogenic chemotherapy who are unable to swallow or are contraindicated to an oral anti-emetic regimen.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The recommendation was based upon, among other matters, the PBAC’s view the cost-effectiveness of NEPA</w:t>
            </w:r>
            <w:r w:rsidR="00C77906">
              <w:rPr>
                <w:rFonts w:asciiTheme="minorHAnsi" w:hAnsiTheme="minorHAnsi" w:cstheme="minorHAnsi"/>
                <w:color w:val="000000"/>
                <w:sz w:val="18"/>
                <w:szCs w:val="18"/>
              </w:rPr>
              <w:t> </w:t>
            </w:r>
            <w:r w:rsidRPr="00344F5B">
              <w:rPr>
                <w:rFonts w:asciiTheme="minorHAnsi" w:hAnsiTheme="minorHAnsi" w:cstheme="minorHAnsi"/>
                <w:color w:val="000000"/>
                <w:sz w:val="18"/>
                <w:szCs w:val="18"/>
              </w:rPr>
              <w:t>IV was acceptable if it were listed on a cost minimisation basis with IV fosaprepitant and IV</w:t>
            </w:r>
            <w:r w:rsidR="00C77906">
              <w:rPr>
                <w:rFonts w:asciiTheme="minorHAnsi" w:hAnsiTheme="minorHAnsi" w:cstheme="minorHAnsi"/>
                <w:color w:val="000000"/>
                <w:sz w:val="18"/>
                <w:szCs w:val="18"/>
              </w:rPr>
              <w:t> </w:t>
            </w:r>
            <w:r w:rsidRPr="00344F5B">
              <w:rPr>
                <w:rFonts w:asciiTheme="minorHAnsi" w:hAnsiTheme="minorHAnsi" w:cstheme="minorHAnsi"/>
                <w:color w:val="000000"/>
                <w:sz w:val="18"/>
                <w:szCs w:val="18"/>
              </w:rPr>
              <w:t>palonosetron, with additional restrictions to address the risk of use in patients who would otherwise be eligible for an oral anti-emetic regimen.</w:t>
            </w:r>
          </w:p>
        </w:tc>
      </w:tr>
      <w:tr w:rsidR="00894AB9" w:rsidRPr="00544497" w14:paraId="13225EF2" w14:textId="77777777" w:rsidTr="00C70218">
        <w:trPr>
          <w:cantSplit/>
          <w:trHeight w:val="2948"/>
          <w:jc w:val="center"/>
        </w:trPr>
        <w:tc>
          <w:tcPr>
            <w:tcW w:w="3013" w:type="dxa"/>
            <w:shd w:val="clear" w:color="auto" w:fill="auto"/>
            <w:tcMar>
              <w:top w:w="28" w:type="dxa"/>
              <w:bottom w:w="28" w:type="dxa"/>
            </w:tcMar>
            <w:vAlign w:val="center"/>
          </w:tcPr>
          <w:p w14:paraId="65006202" w14:textId="437ABA65" w:rsidR="00894AB9" w:rsidRPr="000110D5"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GLYCOMACROPEPTIDE AND ESSENTIAL AMINO ACIDS WITH VITAMINS AND MINERALS</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Oral liquid 250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30 (Tylactin RTD)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Tylactin RTD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Cortex Health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Committee secretariat submission</w:t>
            </w:r>
          </w:p>
          <w:p w14:paraId="773FD1C3" w14:textId="5ABCC73C"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(Other matters)</w:t>
            </w:r>
          </w:p>
        </w:tc>
        <w:tc>
          <w:tcPr>
            <w:tcW w:w="2764" w:type="dxa"/>
            <w:shd w:val="clear" w:color="auto" w:fill="auto"/>
            <w:vAlign w:val="center"/>
          </w:tcPr>
          <w:p w14:paraId="665F128F" w14:textId="173420D7"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Tyrosinaemia</w:t>
            </w:r>
          </w:p>
        </w:tc>
        <w:tc>
          <w:tcPr>
            <w:tcW w:w="3288" w:type="dxa"/>
            <w:shd w:val="clear" w:color="auto" w:fill="auto"/>
            <w:tcMar>
              <w:top w:w="28" w:type="dxa"/>
              <w:bottom w:w="28" w:type="dxa"/>
            </w:tcMar>
            <w:vAlign w:val="center"/>
          </w:tcPr>
          <w:p w14:paraId="6857E75E" w14:textId="564D99D8"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Tylactin RTD with new formulation continue to be listed on the PBS under the existing conditions.</w:t>
            </w:r>
          </w:p>
        </w:tc>
        <w:tc>
          <w:tcPr>
            <w:tcW w:w="1987" w:type="dxa"/>
            <w:shd w:val="clear" w:color="auto" w:fill="auto"/>
            <w:vAlign w:val="center"/>
          </w:tcPr>
          <w:p w14:paraId="0F53DED0" w14:textId="3B59287B"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1F9786FD" w14:textId="692692DF"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that new formulation of glycomacropeptide and essential amino acids with vitamins and minerals (Tylactin RTD) continue to be listed on the </w:t>
            </w:r>
            <w:r w:rsidR="00C77906">
              <w:rPr>
                <w:rFonts w:asciiTheme="minorHAnsi" w:hAnsiTheme="minorHAnsi" w:cstheme="minorHAnsi"/>
                <w:color w:val="000000"/>
                <w:sz w:val="18"/>
                <w:szCs w:val="18"/>
              </w:rPr>
              <w:t>PBS</w:t>
            </w:r>
            <w:r w:rsidRPr="00344F5B">
              <w:rPr>
                <w:rFonts w:asciiTheme="minorHAnsi" w:hAnsiTheme="minorHAnsi" w:cstheme="minorHAnsi"/>
                <w:color w:val="000000"/>
                <w:sz w:val="18"/>
                <w:szCs w:val="18"/>
              </w:rPr>
              <w:t xml:space="preserve"> under the existing conditions for the current formulation. The PBAC noted and supported the </w:t>
            </w:r>
            <w:r w:rsidR="007E3026" w:rsidRPr="007E3026">
              <w:rPr>
                <w:rFonts w:asciiTheme="minorHAnsi" w:hAnsiTheme="minorHAnsi" w:cstheme="minorHAnsi"/>
                <w:color w:val="000000"/>
                <w:sz w:val="18"/>
                <w:szCs w:val="18"/>
              </w:rPr>
              <w:t>Nutritional Products Working Party</w:t>
            </w:r>
            <w:r w:rsidR="007E3026">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advice that the new formulation is expected to provide non-inferior clinical benefit for the management of tyrosinaemia.</w:t>
            </w:r>
          </w:p>
        </w:tc>
      </w:tr>
      <w:tr w:rsidR="00894AB9" w:rsidRPr="00544497" w14:paraId="45A0C826" w14:textId="77777777" w:rsidTr="00C70218">
        <w:trPr>
          <w:cantSplit/>
          <w:trHeight w:val="2948"/>
          <w:jc w:val="center"/>
        </w:trPr>
        <w:tc>
          <w:tcPr>
            <w:tcW w:w="3013" w:type="dxa"/>
            <w:shd w:val="clear" w:color="auto" w:fill="auto"/>
            <w:tcMar>
              <w:top w:w="28" w:type="dxa"/>
              <w:bottom w:w="28" w:type="dxa"/>
            </w:tcMar>
            <w:vAlign w:val="center"/>
          </w:tcPr>
          <w:p w14:paraId="7203BD39" w14:textId="07DD6C73"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GLYCOMACROPEPTIDE AND ESSENTIAL AMINO ACIDS WITH VITAMINS AND MINERALS</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Sachets containing oral powder 40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g, 30 (Camino Pro Bettermilk)</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Oral liquid 250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30 (PKU Glytactin RTD 15)</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Camino Pro Bettermilk</w:t>
            </w:r>
            <w:r w:rsidRPr="00344F5B">
              <w:rPr>
                <w:rFonts w:asciiTheme="minorHAnsi" w:hAnsiTheme="minorHAnsi" w:cstheme="minorHAnsi"/>
                <w:color w:val="000000"/>
                <w:sz w:val="18"/>
                <w:szCs w:val="18"/>
              </w:rPr>
              <w:br/>
              <w:t>PKU Glytactin RTD 15</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Cortex Health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147F369C" w14:textId="5B9E4E2B"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Phenylketonuria</w:t>
            </w:r>
          </w:p>
        </w:tc>
        <w:tc>
          <w:tcPr>
            <w:tcW w:w="3288" w:type="dxa"/>
            <w:shd w:val="clear" w:color="auto" w:fill="auto"/>
            <w:tcMar>
              <w:top w:w="28" w:type="dxa"/>
              <w:bottom w:w="28" w:type="dxa"/>
            </w:tcMar>
            <w:vAlign w:val="center"/>
          </w:tcPr>
          <w:p w14:paraId="6F5EBEBC" w14:textId="54963FC8"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Camino Pro Bettermilk and PKU Glytactin RTD 15 with new formulation continue to be listed on the PBS under the existing conditions.</w:t>
            </w:r>
            <w:r w:rsidRPr="00344F5B">
              <w:rPr>
                <w:rFonts w:asciiTheme="minorHAnsi" w:hAnsiTheme="minorHAnsi" w:cstheme="minorHAnsi"/>
                <w:color w:val="000000"/>
                <w:sz w:val="18"/>
                <w:szCs w:val="18"/>
              </w:rPr>
              <w:br/>
              <w:t>The submission also requested a new pack size for Camino Pro Bettermilk of 30</w:t>
            </w:r>
            <w:r w:rsidR="00C77906">
              <w:rPr>
                <w:rFonts w:asciiTheme="minorHAnsi" w:hAnsiTheme="minorHAnsi" w:cstheme="minorHAnsi"/>
                <w:color w:val="000000"/>
                <w:sz w:val="18"/>
                <w:szCs w:val="18"/>
              </w:rPr>
              <w:t> </w:t>
            </w:r>
            <w:r w:rsidRPr="00344F5B">
              <w:rPr>
                <w:rFonts w:asciiTheme="minorHAnsi" w:hAnsiTheme="minorHAnsi" w:cstheme="minorHAnsi"/>
                <w:color w:val="000000"/>
                <w:sz w:val="18"/>
                <w:szCs w:val="18"/>
              </w:rPr>
              <w:t>x 40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g sachets.</w:t>
            </w:r>
          </w:p>
        </w:tc>
        <w:tc>
          <w:tcPr>
            <w:tcW w:w="1987" w:type="dxa"/>
            <w:shd w:val="clear" w:color="auto" w:fill="auto"/>
            <w:vAlign w:val="center"/>
          </w:tcPr>
          <w:p w14:paraId="20C817C1" w14:textId="52EF91D3"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3743F87E" w14:textId="01E1DDAC"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sz w:val="18"/>
                <w:szCs w:val="18"/>
              </w:rPr>
              <w:t xml:space="preserve">The PBAC recommended a new formulation of glycomacropeptide and essential amino acids with vitamins and minerals (PKU Glytactin RTD 15) continue to be listed on the PBS under the same conditions as the current formulations. The PBAC noted and supported the </w:t>
            </w:r>
            <w:r w:rsidR="007E3026" w:rsidRPr="007E3026">
              <w:rPr>
                <w:rFonts w:asciiTheme="minorHAnsi" w:hAnsiTheme="minorHAnsi" w:cstheme="minorHAnsi"/>
                <w:sz w:val="18"/>
                <w:szCs w:val="18"/>
              </w:rPr>
              <w:t xml:space="preserve">Nutritional Products Working Party </w:t>
            </w:r>
            <w:r w:rsidR="007E3026">
              <w:rPr>
                <w:rFonts w:asciiTheme="minorHAnsi" w:hAnsiTheme="minorHAnsi" w:cstheme="minorHAnsi"/>
                <w:sz w:val="18"/>
                <w:szCs w:val="18"/>
              </w:rPr>
              <w:t>(</w:t>
            </w:r>
            <w:r w:rsidRPr="00344F5B">
              <w:rPr>
                <w:rFonts w:asciiTheme="minorHAnsi" w:hAnsiTheme="minorHAnsi" w:cstheme="minorHAnsi"/>
                <w:sz w:val="18"/>
                <w:szCs w:val="18"/>
              </w:rPr>
              <w:t>NPWP</w:t>
            </w:r>
            <w:r w:rsidR="007E3026">
              <w:rPr>
                <w:rFonts w:asciiTheme="minorHAnsi" w:hAnsiTheme="minorHAnsi" w:cstheme="minorHAnsi"/>
                <w:sz w:val="18"/>
                <w:szCs w:val="18"/>
              </w:rPr>
              <w:t>)</w:t>
            </w:r>
            <w:r w:rsidRPr="00344F5B">
              <w:rPr>
                <w:rFonts w:asciiTheme="minorHAnsi" w:hAnsiTheme="minorHAnsi" w:cstheme="minorHAnsi"/>
                <w:sz w:val="18"/>
                <w:szCs w:val="18"/>
              </w:rPr>
              <w:t xml:space="preserve"> advice that the new formulation is expected to provide a non-inferior clinical benefit for the management of phenylketonuria.</w:t>
            </w:r>
            <w:r>
              <w:rPr>
                <w:rFonts w:asciiTheme="minorHAnsi" w:hAnsiTheme="minorHAnsi" w:cstheme="minorHAnsi"/>
                <w:sz w:val="18"/>
                <w:szCs w:val="18"/>
              </w:rPr>
              <w:br/>
            </w:r>
            <w:r w:rsidRPr="00344F5B">
              <w:rPr>
                <w:rFonts w:asciiTheme="minorHAnsi" w:hAnsiTheme="minorHAnsi" w:cstheme="minorHAnsi"/>
                <w:sz w:val="18"/>
                <w:szCs w:val="18"/>
              </w:rPr>
              <w:br/>
              <w:t>The PBAC also recommended the listing of a new 30</w:t>
            </w:r>
            <w:r w:rsidR="00C77906">
              <w:rPr>
                <w:rFonts w:asciiTheme="minorHAnsi" w:hAnsiTheme="minorHAnsi" w:cstheme="minorHAnsi"/>
                <w:sz w:val="18"/>
                <w:szCs w:val="18"/>
              </w:rPr>
              <w:t> </w:t>
            </w:r>
            <w:r w:rsidRPr="00344F5B">
              <w:rPr>
                <w:rFonts w:asciiTheme="minorHAnsi" w:hAnsiTheme="minorHAnsi" w:cstheme="minorHAnsi"/>
                <w:sz w:val="18"/>
                <w:szCs w:val="18"/>
              </w:rPr>
              <w:t>x</w:t>
            </w:r>
            <w:r w:rsidR="00C77906">
              <w:rPr>
                <w:rFonts w:asciiTheme="minorHAnsi" w:hAnsiTheme="minorHAnsi" w:cstheme="minorHAnsi"/>
                <w:sz w:val="18"/>
                <w:szCs w:val="18"/>
              </w:rPr>
              <w:t> </w:t>
            </w:r>
            <w:r w:rsidRPr="00344F5B">
              <w:rPr>
                <w:rFonts w:asciiTheme="minorHAnsi" w:hAnsiTheme="minorHAnsi" w:cstheme="minorHAnsi"/>
                <w:sz w:val="18"/>
                <w:szCs w:val="18"/>
              </w:rPr>
              <w:t>40</w:t>
            </w:r>
            <w:r>
              <w:rPr>
                <w:rFonts w:asciiTheme="minorHAnsi" w:hAnsiTheme="minorHAnsi" w:cstheme="minorHAnsi"/>
                <w:sz w:val="18"/>
                <w:szCs w:val="18"/>
              </w:rPr>
              <w:t> </w:t>
            </w:r>
            <w:r w:rsidRPr="00344F5B">
              <w:rPr>
                <w:rFonts w:asciiTheme="minorHAnsi" w:hAnsiTheme="minorHAnsi" w:cstheme="minorHAnsi"/>
                <w:sz w:val="18"/>
                <w:szCs w:val="18"/>
              </w:rPr>
              <w:t>g pack size with new formulation of glycomacropeptide and essential amino acids with vitamins and minerals (Camino Pro Bettermilk) on the PBS under the same conditions as the current 30 x 49</w:t>
            </w:r>
            <w:r>
              <w:rPr>
                <w:rFonts w:asciiTheme="minorHAnsi" w:hAnsiTheme="minorHAnsi" w:cstheme="minorHAnsi"/>
                <w:sz w:val="18"/>
                <w:szCs w:val="18"/>
              </w:rPr>
              <w:t> </w:t>
            </w:r>
            <w:r w:rsidRPr="00344F5B">
              <w:rPr>
                <w:rFonts w:asciiTheme="minorHAnsi" w:hAnsiTheme="minorHAnsi" w:cstheme="minorHAnsi"/>
                <w:sz w:val="18"/>
                <w:szCs w:val="18"/>
              </w:rPr>
              <w:t>g pack size and formulation. The PBAC’s recommendation for listing was based on, among other matters, its assessment that the cost-effectiveness of Camino Pro Bettermilk in pack size 30 x 40</w:t>
            </w:r>
            <w:r>
              <w:rPr>
                <w:rFonts w:asciiTheme="minorHAnsi" w:hAnsiTheme="minorHAnsi" w:cstheme="minorHAnsi"/>
                <w:sz w:val="18"/>
                <w:szCs w:val="18"/>
              </w:rPr>
              <w:t> </w:t>
            </w:r>
            <w:r w:rsidRPr="00344F5B">
              <w:rPr>
                <w:rFonts w:asciiTheme="minorHAnsi" w:hAnsiTheme="minorHAnsi" w:cstheme="minorHAnsi"/>
                <w:sz w:val="18"/>
                <w:szCs w:val="18"/>
              </w:rPr>
              <w:t>g would be acceptable if it were cost-minimised to the currently listed Camino Pro Bettermilk in pack size 30 x 49</w:t>
            </w:r>
            <w:r>
              <w:rPr>
                <w:rFonts w:asciiTheme="minorHAnsi" w:hAnsiTheme="minorHAnsi" w:cstheme="minorHAnsi"/>
                <w:sz w:val="18"/>
                <w:szCs w:val="18"/>
              </w:rPr>
              <w:t> </w:t>
            </w:r>
            <w:r w:rsidRPr="00344F5B">
              <w:rPr>
                <w:rFonts w:asciiTheme="minorHAnsi" w:hAnsiTheme="minorHAnsi" w:cstheme="minorHAnsi"/>
                <w:sz w:val="18"/>
                <w:szCs w:val="18"/>
              </w:rPr>
              <w:t>g comparators on a cost per gram of protein equivalent basis. The PBAC noted and supported the NPWP advice that the new pack size and formulation is expected to provide a non-inferior clinical benefit for the management of phenylketonuria.</w:t>
            </w:r>
          </w:p>
        </w:tc>
      </w:tr>
      <w:tr w:rsidR="00894AB9" w:rsidRPr="00544497" w14:paraId="22F54673" w14:textId="77777777" w:rsidTr="00C70218">
        <w:trPr>
          <w:cantSplit/>
          <w:trHeight w:val="2948"/>
          <w:jc w:val="center"/>
        </w:trPr>
        <w:tc>
          <w:tcPr>
            <w:tcW w:w="3013" w:type="dxa"/>
            <w:shd w:val="clear" w:color="auto" w:fill="auto"/>
            <w:tcMar>
              <w:top w:w="28" w:type="dxa"/>
              <w:bottom w:w="28" w:type="dxa"/>
            </w:tcMar>
            <w:vAlign w:val="center"/>
          </w:tcPr>
          <w:p w14:paraId="50223A9B" w14:textId="5101C50F"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HIGH FAT FORMULA WITH VITAMINS, MINERALS AND TRACE ELEMENTS AND LOW IN PROTEIN AND CARBOHYDRATE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Oral liquid 250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30 (</w:t>
            </w:r>
            <w:proofErr w:type="spellStart"/>
            <w:r w:rsidRPr="00344F5B">
              <w:rPr>
                <w:rFonts w:asciiTheme="minorHAnsi" w:hAnsiTheme="minorHAnsi" w:cstheme="minorHAnsi"/>
                <w:color w:val="000000"/>
                <w:sz w:val="18"/>
                <w:szCs w:val="18"/>
              </w:rPr>
              <w:t>KetoVie</w:t>
            </w:r>
            <w:proofErr w:type="spellEnd"/>
            <w:r w:rsidRPr="00344F5B">
              <w:rPr>
                <w:rFonts w:asciiTheme="minorHAnsi" w:hAnsiTheme="minorHAnsi" w:cstheme="minorHAnsi"/>
                <w:color w:val="000000"/>
                <w:sz w:val="18"/>
                <w:szCs w:val="18"/>
              </w:rPr>
              <w:t xml:space="preserve"> 3:1)</w:t>
            </w:r>
            <w:r w:rsidRPr="00344F5B">
              <w:rPr>
                <w:rFonts w:asciiTheme="minorHAnsi" w:hAnsiTheme="minorHAnsi" w:cstheme="minorHAnsi"/>
                <w:color w:val="000000"/>
                <w:sz w:val="18"/>
                <w:szCs w:val="18"/>
              </w:rPr>
              <w:br/>
              <w:t>Oral liquid 250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30 (</w:t>
            </w:r>
            <w:proofErr w:type="spellStart"/>
            <w:r w:rsidRPr="00344F5B">
              <w:rPr>
                <w:rFonts w:asciiTheme="minorHAnsi" w:hAnsiTheme="minorHAnsi" w:cstheme="minorHAnsi"/>
                <w:color w:val="000000"/>
                <w:sz w:val="18"/>
                <w:szCs w:val="18"/>
              </w:rPr>
              <w:t>KetoVie</w:t>
            </w:r>
            <w:proofErr w:type="spellEnd"/>
            <w:r w:rsidRPr="00344F5B">
              <w:rPr>
                <w:rFonts w:asciiTheme="minorHAnsi" w:hAnsiTheme="minorHAnsi" w:cstheme="minorHAnsi"/>
                <w:color w:val="000000"/>
                <w:sz w:val="18"/>
                <w:szCs w:val="18"/>
              </w:rPr>
              <w:t xml:space="preserve"> 4:1)</w:t>
            </w:r>
            <w:r w:rsidRPr="00344F5B">
              <w:rPr>
                <w:rFonts w:asciiTheme="minorHAnsi" w:hAnsiTheme="minorHAnsi" w:cstheme="minorHAnsi"/>
                <w:color w:val="000000"/>
                <w:sz w:val="18"/>
                <w:szCs w:val="18"/>
              </w:rPr>
              <w:br/>
              <w:t>Oral liquid 250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30 (</w:t>
            </w:r>
            <w:proofErr w:type="spellStart"/>
            <w:r w:rsidRPr="00344F5B">
              <w:rPr>
                <w:rFonts w:asciiTheme="minorHAnsi" w:hAnsiTheme="minorHAnsi" w:cstheme="minorHAnsi"/>
                <w:color w:val="000000"/>
                <w:sz w:val="18"/>
                <w:szCs w:val="18"/>
              </w:rPr>
              <w:t>KetoVie</w:t>
            </w:r>
            <w:proofErr w:type="spellEnd"/>
            <w:r w:rsidRPr="00344F5B">
              <w:rPr>
                <w:rFonts w:asciiTheme="minorHAnsi" w:hAnsiTheme="minorHAnsi" w:cstheme="minorHAnsi"/>
                <w:color w:val="000000"/>
                <w:sz w:val="18"/>
                <w:szCs w:val="18"/>
              </w:rPr>
              <w:t xml:space="preserve"> Peptide 4:1)</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KetoVie</w:t>
            </w:r>
            <w:proofErr w:type="spellEnd"/>
            <w:r w:rsidRPr="00344F5B">
              <w:rPr>
                <w:rFonts w:asciiTheme="minorHAnsi" w:hAnsiTheme="minorHAnsi" w:cstheme="minorHAnsi"/>
                <w:color w:val="000000"/>
                <w:sz w:val="18"/>
                <w:szCs w:val="18"/>
              </w:rPr>
              <w:t xml:space="preserve"> 3:1</w:t>
            </w:r>
          </w:p>
          <w:p w14:paraId="4C2F3150" w14:textId="4BF1A56B" w:rsidR="00894AB9" w:rsidRPr="00344F5B" w:rsidRDefault="00894AB9" w:rsidP="00894AB9">
            <w:pPr>
              <w:jc w:val="center"/>
              <w:rPr>
                <w:rFonts w:asciiTheme="minorHAnsi" w:hAnsiTheme="minorHAnsi" w:cstheme="minorHAnsi"/>
                <w:color w:val="000000"/>
                <w:sz w:val="18"/>
                <w:szCs w:val="18"/>
              </w:rPr>
            </w:pPr>
            <w:proofErr w:type="spellStart"/>
            <w:r w:rsidRPr="00344F5B">
              <w:rPr>
                <w:rFonts w:asciiTheme="minorHAnsi" w:hAnsiTheme="minorHAnsi" w:cstheme="minorHAnsi"/>
                <w:color w:val="000000"/>
                <w:sz w:val="18"/>
                <w:szCs w:val="18"/>
              </w:rPr>
              <w:t>KetoVie</w:t>
            </w:r>
            <w:proofErr w:type="spellEnd"/>
            <w:r w:rsidRPr="00344F5B">
              <w:rPr>
                <w:rFonts w:asciiTheme="minorHAnsi" w:hAnsiTheme="minorHAnsi" w:cstheme="minorHAnsi"/>
                <w:color w:val="000000"/>
                <w:sz w:val="18"/>
                <w:szCs w:val="18"/>
              </w:rPr>
              <w:t xml:space="preserve"> 4:1</w:t>
            </w:r>
          </w:p>
          <w:p w14:paraId="21A16AF3" w14:textId="1063E9F8" w:rsidR="00894AB9" w:rsidRPr="00344F5B" w:rsidRDefault="00894AB9" w:rsidP="00894AB9">
            <w:pPr>
              <w:keepLines/>
              <w:jc w:val="center"/>
              <w:rPr>
                <w:rFonts w:asciiTheme="minorHAnsi" w:hAnsiTheme="minorHAnsi" w:cstheme="minorHAnsi"/>
                <w:color w:val="000000"/>
                <w:sz w:val="18"/>
                <w:szCs w:val="18"/>
              </w:rPr>
            </w:pPr>
            <w:proofErr w:type="spellStart"/>
            <w:r w:rsidRPr="00344F5B">
              <w:rPr>
                <w:rFonts w:asciiTheme="minorHAnsi" w:hAnsiTheme="minorHAnsi" w:cstheme="minorHAnsi"/>
                <w:color w:val="000000"/>
                <w:sz w:val="18"/>
                <w:szCs w:val="18"/>
              </w:rPr>
              <w:t>KetoVie</w:t>
            </w:r>
            <w:proofErr w:type="spellEnd"/>
            <w:r w:rsidRPr="00344F5B">
              <w:rPr>
                <w:rFonts w:asciiTheme="minorHAnsi" w:hAnsiTheme="minorHAnsi" w:cstheme="minorHAnsi"/>
                <w:color w:val="000000"/>
                <w:sz w:val="18"/>
                <w:szCs w:val="18"/>
              </w:rPr>
              <w:t xml:space="preserve"> Peptide 4:1</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Cortex Health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Committee secretariat submission</w:t>
            </w:r>
            <w:r w:rsidRPr="00344F5B">
              <w:rPr>
                <w:rFonts w:asciiTheme="minorHAnsi" w:hAnsiTheme="minorHAnsi" w:cstheme="minorHAnsi"/>
                <w:color w:val="000000"/>
                <w:sz w:val="18"/>
                <w:szCs w:val="18"/>
              </w:rPr>
              <w:br/>
              <w:t>(Other matters)</w:t>
            </w:r>
          </w:p>
        </w:tc>
        <w:tc>
          <w:tcPr>
            <w:tcW w:w="2764" w:type="dxa"/>
            <w:shd w:val="clear" w:color="auto" w:fill="auto"/>
            <w:vAlign w:val="center"/>
          </w:tcPr>
          <w:p w14:paraId="4890A30D" w14:textId="5959306B"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Ketogenic diet</w:t>
            </w:r>
          </w:p>
        </w:tc>
        <w:tc>
          <w:tcPr>
            <w:tcW w:w="3288" w:type="dxa"/>
            <w:shd w:val="clear" w:color="auto" w:fill="auto"/>
            <w:tcMar>
              <w:top w:w="28" w:type="dxa"/>
              <w:bottom w:w="28" w:type="dxa"/>
            </w:tcMar>
            <w:vAlign w:val="center"/>
          </w:tcPr>
          <w:p w14:paraId="6FCBFB18" w14:textId="64137861"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To request </w:t>
            </w:r>
            <w:proofErr w:type="spellStart"/>
            <w:r w:rsidRPr="00344F5B">
              <w:rPr>
                <w:rFonts w:asciiTheme="minorHAnsi" w:hAnsiTheme="minorHAnsi" w:cstheme="minorHAnsi"/>
                <w:color w:val="000000"/>
                <w:sz w:val="18"/>
                <w:szCs w:val="18"/>
              </w:rPr>
              <w:t>KetoVie</w:t>
            </w:r>
            <w:proofErr w:type="spellEnd"/>
            <w:r w:rsidRPr="00344F5B">
              <w:rPr>
                <w:rFonts w:asciiTheme="minorHAnsi" w:hAnsiTheme="minorHAnsi" w:cstheme="minorHAnsi"/>
                <w:color w:val="000000"/>
                <w:sz w:val="18"/>
                <w:szCs w:val="18"/>
              </w:rPr>
              <w:t xml:space="preserve"> 3:1, </w:t>
            </w:r>
            <w:proofErr w:type="spellStart"/>
            <w:r w:rsidRPr="00344F5B">
              <w:rPr>
                <w:rFonts w:asciiTheme="minorHAnsi" w:hAnsiTheme="minorHAnsi" w:cstheme="minorHAnsi"/>
                <w:color w:val="000000"/>
                <w:sz w:val="18"/>
                <w:szCs w:val="18"/>
              </w:rPr>
              <w:t>KetoVie</w:t>
            </w:r>
            <w:proofErr w:type="spellEnd"/>
            <w:r w:rsidRPr="00344F5B">
              <w:rPr>
                <w:rFonts w:asciiTheme="minorHAnsi" w:hAnsiTheme="minorHAnsi" w:cstheme="minorHAnsi"/>
                <w:color w:val="000000"/>
                <w:sz w:val="18"/>
                <w:szCs w:val="18"/>
              </w:rPr>
              <w:t xml:space="preserve"> 4:1, and </w:t>
            </w:r>
            <w:proofErr w:type="spellStart"/>
            <w:r w:rsidRPr="00344F5B">
              <w:rPr>
                <w:rFonts w:asciiTheme="minorHAnsi" w:hAnsiTheme="minorHAnsi" w:cstheme="minorHAnsi"/>
                <w:color w:val="000000"/>
                <w:sz w:val="18"/>
                <w:szCs w:val="18"/>
              </w:rPr>
              <w:t>KetoVie</w:t>
            </w:r>
            <w:proofErr w:type="spellEnd"/>
            <w:r w:rsidRPr="00344F5B">
              <w:rPr>
                <w:rFonts w:asciiTheme="minorHAnsi" w:hAnsiTheme="minorHAnsi" w:cstheme="minorHAnsi"/>
                <w:color w:val="000000"/>
                <w:sz w:val="18"/>
                <w:szCs w:val="18"/>
              </w:rPr>
              <w:t xml:space="preserve"> Peptide 4:1 with new formulation continue to be listed on the PBS under the existing conditions.</w:t>
            </w:r>
          </w:p>
        </w:tc>
        <w:tc>
          <w:tcPr>
            <w:tcW w:w="1987" w:type="dxa"/>
            <w:shd w:val="clear" w:color="auto" w:fill="auto"/>
            <w:vAlign w:val="center"/>
          </w:tcPr>
          <w:p w14:paraId="7F6CAB98" w14:textId="0E8917B4"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06FFEB5F" w14:textId="18B07BF6"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sz w:val="18"/>
                <w:szCs w:val="18"/>
              </w:rPr>
              <w:t>The PBAC recommended that new formulations of high fat formula with vitamins, minerals and trace elements and low in protein and carbohydrate (</w:t>
            </w:r>
            <w:proofErr w:type="spellStart"/>
            <w:r w:rsidRPr="00344F5B">
              <w:rPr>
                <w:rFonts w:asciiTheme="minorHAnsi" w:hAnsiTheme="minorHAnsi" w:cstheme="minorHAnsi"/>
                <w:sz w:val="18"/>
                <w:szCs w:val="18"/>
              </w:rPr>
              <w:t>KetoVie</w:t>
            </w:r>
            <w:proofErr w:type="spellEnd"/>
            <w:r w:rsidRPr="00344F5B">
              <w:rPr>
                <w:rFonts w:asciiTheme="minorHAnsi" w:hAnsiTheme="minorHAnsi" w:cstheme="minorHAnsi"/>
                <w:sz w:val="18"/>
                <w:szCs w:val="18"/>
              </w:rPr>
              <w:t xml:space="preserve"> 3:1, </w:t>
            </w:r>
            <w:proofErr w:type="spellStart"/>
            <w:r w:rsidRPr="00344F5B">
              <w:rPr>
                <w:rFonts w:asciiTheme="minorHAnsi" w:hAnsiTheme="minorHAnsi" w:cstheme="minorHAnsi"/>
                <w:sz w:val="18"/>
                <w:szCs w:val="18"/>
              </w:rPr>
              <w:t>KetoVie</w:t>
            </w:r>
            <w:proofErr w:type="spellEnd"/>
            <w:r w:rsidRPr="00344F5B">
              <w:rPr>
                <w:rFonts w:asciiTheme="minorHAnsi" w:hAnsiTheme="minorHAnsi" w:cstheme="minorHAnsi"/>
                <w:sz w:val="18"/>
                <w:szCs w:val="18"/>
              </w:rPr>
              <w:t xml:space="preserve"> 4:1, </w:t>
            </w:r>
            <w:proofErr w:type="spellStart"/>
            <w:r w:rsidRPr="00344F5B">
              <w:rPr>
                <w:rFonts w:asciiTheme="minorHAnsi" w:hAnsiTheme="minorHAnsi" w:cstheme="minorHAnsi"/>
                <w:sz w:val="18"/>
                <w:szCs w:val="18"/>
              </w:rPr>
              <w:t>KetoVie</w:t>
            </w:r>
            <w:proofErr w:type="spellEnd"/>
            <w:r w:rsidRPr="00344F5B">
              <w:rPr>
                <w:rFonts w:asciiTheme="minorHAnsi" w:hAnsiTheme="minorHAnsi" w:cstheme="minorHAnsi"/>
                <w:sz w:val="18"/>
                <w:szCs w:val="18"/>
              </w:rPr>
              <w:t xml:space="preserve"> Peptide 4:1) continue to be listed on the PBS under the same conditions as the current formulations. The PBAC noted and supported the </w:t>
            </w:r>
            <w:r w:rsidR="00A44A4B" w:rsidRPr="00A44A4B">
              <w:rPr>
                <w:rFonts w:asciiTheme="minorHAnsi" w:hAnsiTheme="minorHAnsi" w:cstheme="minorHAnsi"/>
                <w:sz w:val="18"/>
                <w:szCs w:val="18"/>
              </w:rPr>
              <w:t xml:space="preserve">Nutritional Products Working Party </w:t>
            </w:r>
            <w:r w:rsidRPr="00344F5B">
              <w:rPr>
                <w:rFonts w:asciiTheme="minorHAnsi" w:hAnsiTheme="minorHAnsi" w:cstheme="minorHAnsi"/>
                <w:sz w:val="18"/>
                <w:szCs w:val="18"/>
              </w:rPr>
              <w:t>advice that the new formulations are expected to provide non-inferior clinical benefit for the management of a ketogenic diet.</w:t>
            </w:r>
          </w:p>
        </w:tc>
      </w:tr>
      <w:tr w:rsidR="00894AB9" w:rsidRPr="00544497" w14:paraId="4F8DF70B" w14:textId="77777777" w:rsidTr="00C70218">
        <w:trPr>
          <w:cantSplit/>
          <w:trHeight w:val="2948"/>
          <w:jc w:val="center"/>
        </w:trPr>
        <w:tc>
          <w:tcPr>
            <w:tcW w:w="3013" w:type="dxa"/>
            <w:shd w:val="clear" w:color="auto" w:fill="auto"/>
            <w:tcMar>
              <w:top w:w="28" w:type="dxa"/>
              <w:bottom w:w="28" w:type="dxa"/>
            </w:tcMar>
            <w:vAlign w:val="center"/>
          </w:tcPr>
          <w:p w14:paraId="5632A5B4"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HYALURONIC ACID WITH POLYETHYLENE GLYCOL 400 WITH PROPYLENE GLYCOL WITH HYDROXYPROPYL GUAR</w:t>
            </w:r>
          </w:p>
          <w:p w14:paraId="3C28BD58" w14:textId="700BD04A"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br/>
              <w:t>Eye drops containing sodium hyaluronate 1.5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per mL with polyethylene glycol 400, propylene glycol and hydroxypropyl guar, 10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Systane® Hydration</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Alcon Laboratories (Australia) Pty Ltd</w:t>
            </w:r>
            <w:r w:rsidRPr="00344F5B" w:rsidDel="006E5704">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01F4B9EE" w14:textId="1042A84A"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Severe dry eye syndrome</w:t>
            </w:r>
          </w:p>
        </w:tc>
        <w:tc>
          <w:tcPr>
            <w:tcW w:w="3288" w:type="dxa"/>
            <w:shd w:val="clear" w:color="auto" w:fill="auto"/>
            <w:tcMar>
              <w:top w:w="28" w:type="dxa"/>
              <w:bottom w:w="28" w:type="dxa"/>
            </w:tcMar>
            <w:vAlign w:val="center"/>
          </w:tcPr>
          <w:p w14:paraId="248D9496" w14:textId="683EC6AB"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(STREAMLINED) listing for the treatment of severe dry eye syndrome in patients who are sensitive to preservatives in multi-dose eye drops.</w:t>
            </w:r>
          </w:p>
        </w:tc>
        <w:tc>
          <w:tcPr>
            <w:tcW w:w="1987" w:type="dxa"/>
            <w:shd w:val="clear" w:color="auto" w:fill="auto"/>
            <w:vAlign w:val="center"/>
          </w:tcPr>
          <w:p w14:paraId="668A1004" w14:textId="4B587945"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Deferred</w:t>
            </w:r>
          </w:p>
        </w:tc>
        <w:tc>
          <w:tcPr>
            <w:tcW w:w="4336" w:type="dxa"/>
            <w:shd w:val="clear" w:color="auto" w:fill="auto"/>
            <w:vAlign w:val="center"/>
          </w:tcPr>
          <w:p w14:paraId="1C311C2B" w14:textId="011F4EF4" w:rsidR="00894AB9" w:rsidRPr="000110D5"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The PBAC deferred making a recommendation to list hyaluronic acid with polyethylene glycol 400 with propylene glycol with hydroxypropyl guar as a General Schedule Authority Required (STREAMLINED) listing for the treatment of severe dry eye syndrome in patients who are sensitive to preservatives in multi-dose eye drops in order to undertake further analysis of the cost effectiveness of ocular lubricants in Australia.</w:t>
            </w:r>
          </w:p>
          <w:p w14:paraId="45E7A374"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59954BE8" w14:textId="16F29831" w:rsidR="00417872" w:rsidRPr="00417872" w:rsidRDefault="00417872" w:rsidP="00894AB9">
            <w:pPr>
              <w:rPr>
                <w:rFonts w:asciiTheme="minorHAnsi" w:hAnsiTheme="minorHAnsi" w:cstheme="minorHAnsi"/>
                <w:color w:val="000000"/>
                <w:sz w:val="18"/>
                <w:szCs w:val="18"/>
              </w:rPr>
            </w:pPr>
            <w:r w:rsidRPr="00417872">
              <w:rPr>
                <w:rFonts w:asciiTheme="minorHAnsi" w:hAnsiTheme="minorHAnsi" w:cstheme="minorHAnsi"/>
                <w:color w:val="000000"/>
                <w:sz w:val="18"/>
                <w:szCs w:val="18"/>
              </w:rPr>
              <w:t xml:space="preserve">Alcon is disappointed with the outcome but will work with the PBAC to make Systane </w:t>
            </w:r>
            <w:r w:rsidR="00DC3391">
              <w:rPr>
                <w:rFonts w:asciiTheme="minorHAnsi" w:hAnsiTheme="minorHAnsi" w:cstheme="minorHAnsi"/>
                <w:color w:val="000000"/>
                <w:sz w:val="18"/>
                <w:szCs w:val="18"/>
              </w:rPr>
              <w:t>multi-dose preservative-free eye drop</w:t>
            </w:r>
            <w:r w:rsidR="006C1049">
              <w:rPr>
                <w:rFonts w:asciiTheme="minorHAnsi" w:hAnsiTheme="minorHAnsi" w:cstheme="minorHAnsi"/>
                <w:color w:val="000000"/>
                <w:sz w:val="18"/>
                <w:szCs w:val="18"/>
              </w:rPr>
              <w:t>s</w:t>
            </w:r>
            <w:r w:rsidR="00DC3391">
              <w:rPr>
                <w:rFonts w:asciiTheme="minorHAnsi" w:hAnsiTheme="minorHAnsi" w:cstheme="minorHAnsi"/>
                <w:color w:val="000000"/>
                <w:sz w:val="18"/>
                <w:szCs w:val="18"/>
              </w:rPr>
              <w:t xml:space="preserve"> </w:t>
            </w:r>
            <w:r w:rsidRPr="00417872">
              <w:rPr>
                <w:rFonts w:asciiTheme="minorHAnsi" w:hAnsiTheme="minorHAnsi" w:cstheme="minorHAnsi"/>
                <w:color w:val="000000"/>
                <w:sz w:val="18"/>
                <w:szCs w:val="18"/>
              </w:rPr>
              <w:t xml:space="preserve"> available through the PBS as soon as possible.</w:t>
            </w:r>
          </w:p>
        </w:tc>
      </w:tr>
      <w:tr w:rsidR="00894AB9" w:rsidRPr="00544497" w14:paraId="45978DAE" w14:textId="77777777" w:rsidTr="00C70218">
        <w:trPr>
          <w:cantSplit/>
          <w:trHeight w:val="2948"/>
          <w:jc w:val="center"/>
        </w:trPr>
        <w:tc>
          <w:tcPr>
            <w:tcW w:w="3013" w:type="dxa"/>
            <w:shd w:val="clear" w:color="auto" w:fill="auto"/>
            <w:tcMar>
              <w:top w:w="28" w:type="dxa"/>
              <w:bottom w:w="28" w:type="dxa"/>
            </w:tcMar>
            <w:vAlign w:val="center"/>
          </w:tcPr>
          <w:p w14:paraId="237D85B8" w14:textId="20BB40DD"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INCLISIRAN</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Injection 284</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1.5</w:t>
            </w:r>
            <w:r>
              <w:rPr>
                <w:rFonts w:asciiTheme="minorHAnsi" w:hAnsiTheme="minorHAnsi" w:cstheme="minorHAnsi"/>
                <w:color w:val="000000"/>
                <w:sz w:val="18"/>
                <w:szCs w:val="18"/>
              </w:rPr>
              <w:t> mL</w:t>
            </w:r>
            <w:r w:rsidRPr="00344F5B">
              <w:rPr>
                <w:rFonts w:asciiTheme="minorHAnsi" w:hAnsiTheme="minorHAnsi" w:cstheme="minorHAnsi"/>
                <w:color w:val="000000"/>
                <w:sz w:val="18"/>
                <w:szCs w:val="18"/>
              </w:rPr>
              <w:t xml:space="preserve"> single use pre-filled syringe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Leqvio®</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Novartis Pharmaceuticals Australia Pty Limited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217F9958" w14:textId="4AB4252B"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Hypercholesterolaemia</w:t>
            </w:r>
          </w:p>
        </w:tc>
        <w:tc>
          <w:tcPr>
            <w:tcW w:w="3288" w:type="dxa"/>
            <w:shd w:val="clear" w:color="auto" w:fill="auto"/>
            <w:tcMar>
              <w:top w:w="28" w:type="dxa"/>
              <w:bottom w:w="28" w:type="dxa"/>
            </w:tcMar>
            <w:vAlign w:val="center"/>
          </w:tcPr>
          <w:p w14:paraId="372A92F8" w14:textId="7C7F9FDA"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(STREAMLINED) listing for the treatment of hypercholesterolaemia and atherosclerotic cardiovascular disease</w:t>
            </w:r>
            <w:r w:rsidR="002978B6">
              <w:rPr>
                <w:rFonts w:asciiTheme="minorHAnsi" w:hAnsiTheme="minorHAnsi" w:cstheme="minorHAnsi"/>
                <w:color w:val="000000"/>
                <w:sz w:val="18"/>
                <w:szCs w:val="18"/>
              </w:rPr>
              <w:t xml:space="preserve"> (ASCVD)</w:t>
            </w:r>
            <w:r w:rsidRPr="00344F5B">
              <w:rPr>
                <w:rFonts w:asciiTheme="minorHAnsi" w:hAnsiTheme="minorHAnsi" w:cstheme="minorHAnsi"/>
                <w:color w:val="000000"/>
                <w:sz w:val="18"/>
                <w:szCs w:val="18"/>
              </w:rPr>
              <w:t>.</w:t>
            </w:r>
          </w:p>
        </w:tc>
        <w:tc>
          <w:tcPr>
            <w:tcW w:w="1987" w:type="dxa"/>
            <w:shd w:val="clear" w:color="auto" w:fill="auto"/>
            <w:vAlign w:val="center"/>
          </w:tcPr>
          <w:p w14:paraId="7755114D" w14:textId="0F0D97AA"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Recommended</w:t>
            </w:r>
          </w:p>
        </w:tc>
        <w:tc>
          <w:tcPr>
            <w:tcW w:w="4336" w:type="dxa"/>
            <w:shd w:val="clear" w:color="auto" w:fill="auto"/>
            <w:vAlign w:val="center"/>
          </w:tcPr>
          <w:p w14:paraId="5A4F20D0" w14:textId="67380B40" w:rsidR="002978B6" w:rsidRDefault="00C658F4">
            <w:pPr>
              <w:keepLines/>
              <w:spacing w:after="120"/>
              <w:rPr>
                <w:rFonts w:asciiTheme="minorHAnsi" w:hAnsiTheme="minorHAnsi" w:cstheme="minorHAnsi"/>
                <w:color w:val="000000"/>
                <w:sz w:val="18"/>
                <w:szCs w:val="18"/>
              </w:rPr>
            </w:pPr>
            <w:r w:rsidRPr="00C658F4">
              <w:rPr>
                <w:rFonts w:asciiTheme="minorHAnsi" w:hAnsiTheme="minorHAnsi" w:cstheme="minorHAnsi"/>
                <w:color w:val="000000"/>
                <w:sz w:val="18"/>
                <w:szCs w:val="18"/>
              </w:rPr>
              <w:t xml:space="preserve">The PBAC did not recommend inclisiran for the treatment of hypercholesterolaemia and ASCVD. The PBAC considered the proposed positioning of inclisiran as a second-line alternative to ezetimibe was not justified. The PBAC considered inclisiran would be most appropriately positioned as an alternative to the proprotein convertase subtilisin/kexin type 9 (PCSK9) inhibitors in the third-line setting. The PBAC noted the submission presented supporting indirect treatment comparisons between inclisiran and the PCSK9 inhibitors; however, it considered that, non-inferiority to the PCSK9 inhibitors was uncertain. To address the uncertainty in the non-inferiority claim, an early re-entry resubmission with a lower price than evolocumab would be required to support PBS listing in the same treatment setting as evolocumab for non-familial hypercholesterolaemia and heterozygous familial hypercholesterolaemia. The PBAC considered that revised PBS restrictions and financial estimates would also be required to align with the updated </w:t>
            </w:r>
            <w:r w:rsidR="002978B6">
              <w:rPr>
                <w:rFonts w:asciiTheme="minorHAnsi" w:hAnsiTheme="minorHAnsi" w:cstheme="minorHAnsi"/>
                <w:color w:val="000000"/>
                <w:sz w:val="18"/>
                <w:szCs w:val="18"/>
              </w:rPr>
              <w:t>cost-minimisation analysis.</w:t>
            </w:r>
            <w:r w:rsidRPr="00C658F4">
              <w:rPr>
                <w:rFonts w:asciiTheme="minorHAnsi" w:hAnsiTheme="minorHAnsi" w:cstheme="minorHAnsi"/>
                <w:color w:val="000000"/>
                <w:sz w:val="18"/>
                <w:szCs w:val="18"/>
              </w:rPr>
              <w:t xml:space="preserve"> </w:t>
            </w:r>
          </w:p>
          <w:p w14:paraId="178010EE" w14:textId="69367BD7" w:rsidR="00894AB9" w:rsidRPr="000110D5" w:rsidRDefault="00C658F4" w:rsidP="00D936B4">
            <w:pPr>
              <w:keepLines/>
              <w:spacing w:after="120"/>
              <w:rPr>
                <w:rFonts w:asciiTheme="minorHAnsi" w:hAnsiTheme="minorHAnsi" w:cstheme="minorHAnsi"/>
                <w:color w:val="000000"/>
                <w:sz w:val="18"/>
                <w:szCs w:val="18"/>
              </w:rPr>
            </w:pPr>
            <w:r w:rsidRPr="00C658F4">
              <w:rPr>
                <w:rFonts w:asciiTheme="minorHAnsi" w:hAnsiTheme="minorHAnsi" w:cstheme="minorHAnsi"/>
                <w:color w:val="000000"/>
                <w:sz w:val="18"/>
                <w:szCs w:val="18"/>
              </w:rPr>
              <w:t xml:space="preserve">The PBAC </w:t>
            </w:r>
            <w:r w:rsidR="00902C9D">
              <w:rPr>
                <w:rFonts w:asciiTheme="minorHAnsi" w:hAnsiTheme="minorHAnsi" w:cstheme="minorHAnsi"/>
                <w:color w:val="000000"/>
                <w:sz w:val="18"/>
                <w:szCs w:val="18"/>
              </w:rPr>
              <w:t>nominated the</w:t>
            </w:r>
            <w:r w:rsidRPr="00C658F4">
              <w:rPr>
                <w:rFonts w:asciiTheme="minorHAnsi" w:hAnsiTheme="minorHAnsi" w:cstheme="minorHAnsi"/>
                <w:color w:val="000000"/>
                <w:sz w:val="18"/>
                <w:szCs w:val="18"/>
              </w:rPr>
              <w:t xml:space="preserve"> early re-entry resubmission pathway for inclisiran.</w:t>
            </w:r>
          </w:p>
          <w:p w14:paraId="253C6E7B" w14:textId="77777777" w:rsidR="00894AB9" w:rsidRPr="00C826E0"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585B5AE" w14:textId="56E6C8C4" w:rsidR="00C826E0" w:rsidRPr="00344F5B" w:rsidRDefault="00C826E0" w:rsidP="00894AB9">
            <w:pPr>
              <w:rPr>
                <w:rFonts w:asciiTheme="minorHAnsi" w:hAnsiTheme="minorHAnsi" w:cstheme="minorHAnsi"/>
                <w:color w:val="000000"/>
                <w:sz w:val="18"/>
                <w:szCs w:val="18"/>
              </w:rPr>
            </w:pPr>
            <w:r w:rsidRPr="00C826E0">
              <w:rPr>
                <w:rFonts w:asciiTheme="minorHAnsi" w:hAnsiTheme="minorHAnsi" w:cstheme="minorHAnsi"/>
                <w:color w:val="000000"/>
                <w:sz w:val="18"/>
                <w:szCs w:val="18"/>
              </w:rPr>
              <w:t>Novartis is working with the PBAC to bring Leqvio</w:t>
            </w:r>
            <w:r w:rsidR="003C01FD">
              <w:rPr>
                <w:rFonts w:asciiTheme="minorHAnsi" w:hAnsiTheme="minorHAnsi" w:cstheme="minorHAnsi"/>
                <w:color w:val="000000"/>
                <w:sz w:val="18"/>
                <w:szCs w:val="18"/>
              </w:rPr>
              <w:t>®</w:t>
            </w:r>
            <w:r w:rsidRPr="00C826E0">
              <w:rPr>
                <w:rFonts w:asciiTheme="minorHAnsi" w:hAnsiTheme="minorHAnsi" w:cstheme="minorHAnsi"/>
                <w:color w:val="000000"/>
                <w:sz w:val="18"/>
                <w:szCs w:val="18"/>
              </w:rPr>
              <w:t xml:space="preserve"> to Australians with high-risk cardiovascular disease as soon as possible. Novartis is fully committed to enabling broad access to treatment for Australians with established cardiovascular disease who are not able to reduce LDL-cholesterol to target levels.</w:t>
            </w:r>
          </w:p>
        </w:tc>
      </w:tr>
      <w:tr w:rsidR="00894AB9" w:rsidRPr="00544497" w14:paraId="5295E92B" w14:textId="77777777" w:rsidTr="00C70218">
        <w:trPr>
          <w:cantSplit/>
          <w:trHeight w:val="2948"/>
          <w:jc w:val="center"/>
        </w:trPr>
        <w:tc>
          <w:tcPr>
            <w:tcW w:w="3013" w:type="dxa"/>
            <w:shd w:val="clear" w:color="auto" w:fill="BFBFBF" w:themeFill="background1" w:themeFillShade="BF"/>
            <w:tcMar>
              <w:top w:w="28" w:type="dxa"/>
              <w:bottom w:w="28" w:type="dxa"/>
            </w:tcMar>
            <w:vAlign w:val="center"/>
          </w:tcPr>
          <w:p w14:paraId="76787F89"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 xml:space="preserve">LAROTRECTINIB </w:t>
            </w:r>
            <w:r w:rsidRPr="00344F5B">
              <w:rPr>
                <w:rFonts w:asciiTheme="minorHAnsi" w:hAnsiTheme="minorHAnsi" w:cstheme="minorHAnsi"/>
                <w:color w:val="000000"/>
                <w:sz w:val="18"/>
                <w:szCs w:val="18"/>
              </w:rPr>
              <w:br/>
            </w:r>
          </w:p>
          <w:p w14:paraId="07C1B16B"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Oral solution 20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per mL, 50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2</w:t>
            </w:r>
          </w:p>
          <w:p w14:paraId="2CC01915"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Vitrakvi</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Bayer Australia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Committee secretariat submission</w:t>
            </w:r>
            <w:r w:rsidRPr="00344F5B">
              <w:rPr>
                <w:rFonts w:asciiTheme="minorHAnsi" w:hAnsiTheme="minorHAnsi" w:cstheme="minorHAnsi"/>
                <w:color w:val="000000"/>
                <w:sz w:val="18"/>
                <w:szCs w:val="18"/>
              </w:rPr>
              <w:br/>
              <w:t>(New PBS listing)</w:t>
            </w:r>
            <w:r w:rsidRPr="00344F5B">
              <w:rPr>
                <w:rFonts w:asciiTheme="minorHAnsi" w:hAnsiTheme="minorHAnsi" w:cstheme="minorHAnsi"/>
                <w:color w:val="000000"/>
                <w:sz w:val="18"/>
                <w:szCs w:val="18"/>
              </w:rPr>
              <w:br/>
            </w:r>
          </w:p>
          <w:p w14:paraId="4ACA54CA" w14:textId="608F11D8"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WITHDRAWN</w:t>
            </w:r>
          </w:p>
        </w:tc>
        <w:tc>
          <w:tcPr>
            <w:tcW w:w="2764" w:type="dxa"/>
            <w:shd w:val="clear" w:color="auto" w:fill="BFBFBF" w:themeFill="background1" w:themeFillShade="BF"/>
            <w:vAlign w:val="center"/>
          </w:tcPr>
          <w:p w14:paraId="6BAC75CA"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Solid tumours harbouring</w:t>
            </w:r>
          </w:p>
          <w:p w14:paraId="522FBCEB"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neurotrophic receptor tyrosine</w:t>
            </w:r>
          </w:p>
          <w:p w14:paraId="4F23A8B1" w14:textId="0C6F6B00"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kinase (NTRK) gene fusions</w:t>
            </w:r>
          </w:p>
        </w:tc>
        <w:tc>
          <w:tcPr>
            <w:tcW w:w="3288" w:type="dxa"/>
            <w:shd w:val="clear" w:color="auto" w:fill="BFBFBF" w:themeFill="background1" w:themeFillShade="BF"/>
            <w:tcMar>
              <w:top w:w="28" w:type="dxa"/>
              <w:bottom w:w="28" w:type="dxa"/>
            </w:tcMar>
            <w:vAlign w:val="center"/>
          </w:tcPr>
          <w:p w14:paraId="260B69F1" w14:textId="29689A7F"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To request listing a new form and formulation of oral solution under the existing conditions to replace the currently listed oral solution of </w:t>
            </w:r>
            <w:proofErr w:type="spellStart"/>
            <w:r w:rsidRPr="00344F5B">
              <w:rPr>
                <w:rFonts w:asciiTheme="minorHAnsi" w:hAnsiTheme="minorHAnsi" w:cstheme="minorHAnsi"/>
                <w:color w:val="000000"/>
                <w:sz w:val="18"/>
                <w:szCs w:val="18"/>
              </w:rPr>
              <w:t>larotrectinib</w:t>
            </w:r>
            <w:proofErr w:type="spellEnd"/>
            <w:r w:rsidRPr="00344F5B">
              <w:rPr>
                <w:rFonts w:asciiTheme="minorHAnsi" w:hAnsiTheme="minorHAnsi" w:cstheme="minorHAnsi"/>
                <w:color w:val="000000"/>
                <w:sz w:val="18"/>
                <w:szCs w:val="18"/>
              </w:rPr>
              <w:t xml:space="preserve">. </w:t>
            </w:r>
          </w:p>
        </w:tc>
        <w:tc>
          <w:tcPr>
            <w:tcW w:w="1987" w:type="dxa"/>
            <w:shd w:val="clear" w:color="auto" w:fill="BFBFBF" w:themeFill="background1" w:themeFillShade="BF"/>
            <w:vAlign w:val="center"/>
          </w:tcPr>
          <w:p w14:paraId="1EEBFBA6" w14:textId="2CFBB628"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Applicable</w:t>
            </w:r>
          </w:p>
        </w:tc>
        <w:tc>
          <w:tcPr>
            <w:tcW w:w="4336" w:type="dxa"/>
            <w:shd w:val="clear" w:color="auto" w:fill="BFBFBF" w:themeFill="background1" w:themeFillShade="BF"/>
            <w:vAlign w:val="center"/>
          </w:tcPr>
          <w:p w14:paraId="5E21D284" w14:textId="4F87E2F7" w:rsidR="00894AB9" w:rsidRPr="00344F5B"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rPr>
              <w:t>This item was withdrawn.</w:t>
            </w:r>
          </w:p>
        </w:tc>
      </w:tr>
      <w:tr w:rsidR="00894AB9" w:rsidRPr="00544497" w14:paraId="5710BACA" w14:textId="77777777" w:rsidTr="00C70218">
        <w:trPr>
          <w:cantSplit/>
          <w:trHeight w:val="2948"/>
          <w:jc w:val="center"/>
        </w:trPr>
        <w:tc>
          <w:tcPr>
            <w:tcW w:w="3013" w:type="dxa"/>
            <w:shd w:val="clear" w:color="auto" w:fill="auto"/>
            <w:tcMar>
              <w:top w:w="28" w:type="dxa"/>
              <w:bottom w:w="28" w:type="dxa"/>
            </w:tcMar>
            <w:vAlign w:val="center"/>
          </w:tcPr>
          <w:p w14:paraId="7CACB9A9" w14:textId="5AB9855F"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MIFEPRISTONE AND MISOPROSTOL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Pack containing 1 tablet mifepristone 200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and 4 tablets misoprostol 200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micrograms</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MS-2 Step®</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MS Health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095B85C1" w14:textId="1A3E63C2"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Termination of an intrauterine pregnancy</w:t>
            </w:r>
          </w:p>
        </w:tc>
        <w:tc>
          <w:tcPr>
            <w:tcW w:w="3288" w:type="dxa"/>
            <w:shd w:val="clear" w:color="auto" w:fill="auto"/>
            <w:tcMar>
              <w:top w:w="28" w:type="dxa"/>
              <w:bottom w:w="28" w:type="dxa"/>
            </w:tcMar>
            <w:vAlign w:val="center"/>
          </w:tcPr>
          <w:p w14:paraId="1726EC3F" w14:textId="6685BF93"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change to the restriction level of the existing listing from Authority Required to Authority Required (STREAMLINED) for termination of an intrauterine pregnancy.</w:t>
            </w:r>
          </w:p>
        </w:tc>
        <w:tc>
          <w:tcPr>
            <w:tcW w:w="1987" w:type="dxa"/>
            <w:shd w:val="clear" w:color="auto" w:fill="auto"/>
            <w:vAlign w:val="center"/>
          </w:tcPr>
          <w:p w14:paraId="4B41EA07" w14:textId="341349CA"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3ABBF0C6" w14:textId="286EC5BB"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a change to the restriction level of mifepristone and misoprostol (MS-2 Step</w:t>
            </w:r>
            <w:r w:rsidR="00C77906">
              <w:rPr>
                <w:rFonts w:asciiTheme="minorHAnsi" w:hAnsiTheme="minorHAnsi" w:cstheme="minorHAnsi"/>
                <w:color w:val="000000"/>
                <w:sz w:val="18"/>
                <w:szCs w:val="18"/>
              </w:rPr>
              <w:t>®</w:t>
            </w:r>
            <w:r w:rsidRPr="00344F5B">
              <w:rPr>
                <w:rFonts w:asciiTheme="minorHAnsi" w:hAnsiTheme="minorHAnsi" w:cstheme="minorHAnsi"/>
                <w:color w:val="000000"/>
                <w:sz w:val="18"/>
                <w:szCs w:val="18"/>
              </w:rPr>
              <w:t>) for the termination of intrauterine pregnancy from Authority Required to Authority Required (STREAMLINED). The PBAC considered that there are adequate resources available to prescribers on the safe prescribing of MS-2 Step</w:t>
            </w:r>
            <w:r w:rsidR="00C77906">
              <w:rPr>
                <w:rFonts w:asciiTheme="minorHAnsi" w:hAnsiTheme="minorHAnsi" w:cstheme="minorHAnsi"/>
                <w:color w:val="000000"/>
                <w:sz w:val="18"/>
                <w:szCs w:val="18"/>
              </w:rPr>
              <w:t>®</w:t>
            </w:r>
            <w:r w:rsidRPr="00344F5B">
              <w:rPr>
                <w:rFonts w:asciiTheme="minorHAnsi" w:hAnsiTheme="minorHAnsi" w:cstheme="minorHAnsi"/>
                <w:color w:val="000000"/>
                <w:sz w:val="18"/>
                <w:szCs w:val="18"/>
              </w:rPr>
              <w:t>. While the PBAC considered that the change in authority level is unlikely to increase utilisation of MS-2 Step</w:t>
            </w:r>
            <w:r w:rsidR="00C77906">
              <w:rPr>
                <w:rFonts w:asciiTheme="minorHAnsi" w:hAnsiTheme="minorHAnsi" w:cstheme="minorHAnsi"/>
                <w:color w:val="000000"/>
                <w:sz w:val="18"/>
                <w:szCs w:val="18"/>
              </w:rPr>
              <w:t>®</w:t>
            </w:r>
            <w:r w:rsidRPr="00344F5B">
              <w:rPr>
                <w:rFonts w:asciiTheme="minorHAnsi" w:hAnsiTheme="minorHAnsi" w:cstheme="minorHAnsi"/>
                <w:color w:val="000000"/>
                <w:sz w:val="18"/>
                <w:szCs w:val="18"/>
              </w:rPr>
              <w:t>, it considered that any increase in utilisation may signal improved access for those currently experiencing access challenges, such as people in remote communities.</w:t>
            </w:r>
          </w:p>
        </w:tc>
      </w:tr>
      <w:tr w:rsidR="00894AB9" w:rsidRPr="00544497" w14:paraId="489FAC6F" w14:textId="77777777" w:rsidTr="00C70218">
        <w:trPr>
          <w:cantSplit/>
          <w:trHeight w:val="2948"/>
          <w:jc w:val="center"/>
        </w:trPr>
        <w:tc>
          <w:tcPr>
            <w:tcW w:w="3013" w:type="dxa"/>
            <w:shd w:val="clear" w:color="auto" w:fill="auto"/>
            <w:tcMar>
              <w:top w:w="28" w:type="dxa"/>
              <w:bottom w:w="28" w:type="dxa"/>
            </w:tcMar>
            <w:vAlign w:val="center"/>
          </w:tcPr>
          <w:p w14:paraId="61EC39D5" w14:textId="54FB27D7"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NATALIZUMAB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Injection 150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single dose pre-filled syringe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Tysabri®</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Biogen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4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3E739BB6" w14:textId="42344197"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Relapsing-remitting multiple sclerosis (RRMS)</w:t>
            </w:r>
          </w:p>
        </w:tc>
        <w:tc>
          <w:tcPr>
            <w:tcW w:w="3288" w:type="dxa"/>
            <w:shd w:val="clear" w:color="auto" w:fill="auto"/>
            <w:tcMar>
              <w:top w:w="28" w:type="dxa"/>
              <w:bottom w:w="28" w:type="dxa"/>
            </w:tcMar>
            <w:vAlign w:val="center"/>
          </w:tcPr>
          <w:p w14:paraId="74296E34" w14:textId="69C51991"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(Highly Specialised Drugs Program) Authority Required (STREAMLINED) listing of a new form of natalizumab for the treatment of RRMS.</w:t>
            </w:r>
          </w:p>
        </w:tc>
        <w:tc>
          <w:tcPr>
            <w:tcW w:w="1987" w:type="dxa"/>
            <w:shd w:val="clear" w:color="auto" w:fill="auto"/>
            <w:vAlign w:val="center"/>
          </w:tcPr>
          <w:p w14:paraId="7475BFF7" w14:textId="4972B61A"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64526954" w14:textId="77B0B6DA"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the Section 100 (Highly Specialised Drugs Program) Authority Required (STREAMLINED) listing of natalizumab 150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mL </w:t>
            </w:r>
            <w:r w:rsidR="00C77906">
              <w:rPr>
                <w:rFonts w:asciiTheme="minorHAnsi" w:hAnsiTheme="minorHAnsi" w:cstheme="minorHAnsi"/>
                <w:color w:val="000000"/>
                <w:sz w:val="18"/>
                <w:szCs w:val="18"/>
              </w:rPr>
              <w:t>pre-filled syringe</w:t>
            </w:r>
            <w:r w:rsidRPr="00344F5B">
              <w:rPr>
                <w:rFonts w:asciiTheme="minorHAnsi" w:hAnsiTheme="minorHAnsi" w:cstheme="minorHAnsi"/>
                <w:color w:val="000000"/>
                <w:sz w:val="18"/>
                <w:szCs w:val="18"/>
              </w:rPr>
              <w:t xml:space="preserve"> for subcutaneous</w:t>
            </w:r>
            <w:r w:rsidR="00C77906">
              <w:rPr>
                <w:rFonts w:asciiTheme="minorHAnsi" w:hAnsiTheme="minorHAnsi" w:cstheme="minorHAnsi"/>
                <w:color w:val="000000"/>
                <w:sz w:val="18"/>
                <w:szCs w:val="18"/>
              </w:rPr>
              <w:t xml:space="preserve"> (SC)</w:t>
            </w:r>
            <w:r w:rsidRPr="00344F5B">
              <w:rPr>
                <w:rFonts w:asciiTheme="minorHAnsi" w:hAnsiTheme="minorHAnsi" w:cstheme="minorHAnsi"/>
                <w:color w:val="000000"/>
                <w:sz w:val="18"/>
                <w:szCs w:val="18"/>
              </w:rPr>
              <w:t xml:space="preserve"> injection under the same circumstances as </w:t>
            </w:r>
            <w:r w:rsidRPr="00E26EF2">
              <w:rPr>
                <w:rFonts w:asciiTheme="minorHAnsi" w:hAnsiTheme="minorHAnsi" w:cstheme="minorHAnsi"/>
                <w:color w:val="000000"/>
                <w:sz w:val="18"/>
                <w:szCs w:val="18"/>
              </w:rPr>
              <w:t>the PBS-</w:t>
            </w:r>
            <w:r w:rsidRPr="00344F5B">
              <w:rPr>
                <w:rFonts w:asciiTheme="minorHAnsi" w:hAnsiTheme="minorHAnsi" w:cstheme="minorHAnsi"/>
                <w:color w:val="000000"/>
                <w:sz w:val="18"/>
                <w:szCs w:val="18"/>
              </w:rPr>
              <w:t>listed natalizumab 300</w:t>
            </w:r>
            <w:r>
              <w:rPr>
                <w:rFonts w:asciiTheme="minorHAnsi" w:hAnsiTheme="minorHAnsi" w:cstheme="minorHAnsi"/>
                <w:color w:val="000000"/>
                <w:sz w:val="18"/>
                <w:szCs w:val="18"/>
              </w:rPr>
              <w:t> mg</w:t>
            </w:r>
            <w:r w:rsidR="00C77906">
              <w:rPr>
                <w:rFonts w:asciiTheme="minorHAnsi" w:hAnsiTheme="minorHAnsi" w:cstheme="minorHAnsi"/>
                <w:color w:val="000000"/>
                <w:sz w:val="18"/>
                <w:szCs w:val="18"/>
              </w:rPr>
              <w:t> </w:t>
            </w:r>
            <w:r w:rsidRPr="00344F5B">
              <w:rPr>
                <w:rFonts w:asciiTheme="minorHAnsi" w:hAnsiTheme="minorHAnsi" w:cstheme="minorHAnsi"/>
                <w:color w:val="000000"/>
                <w:sz w:val="18"/>
                <w:szCs w:val="18"/>
              </w:rPr>
              <w:t>in</w:t>
            </w:r>
            <w:r w:rsidR="00C77906">
              <w:rPr>
                <w:rFonts w:asciiTheme="minorHAnsi" w:hAnsiTheme="minorHAnsi" w:cstheme="minorHAnsi"/>
                <w:color w:val="000000"/>
                <w:sz w:val="18"/>
                <w:szCs w:val="18"/>
              </w:rPr>
              <w:t> </w:t>
            </w:r>
            <w:r w:rsidRPr="00344F5B">
              <w:rPr>
                <w:rFonts w:asciiTheme="minorHAnsi" w:hAnsiTheme="minorHAnsi" w:cstheme="minorHAnsi"/>
                <w:color w:val="000000"/>
                <w:sz w:val="18"/>
                <w:szCs w:val="18"/>
              </w:rPr>
              <w:t>15</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 for intravenous</w:t>
            </w:r>
            <w:r w:rsidR="00C77906">
              <w:rPr>
                <w:rFonts w:asciiTheme="minorHAnsi" w:hAnsiTheme="minorHAnsi" w:cstheme="minorHAnsi"/>
                <w:color w:val="000000"/>
                <w:sz w:val="18"/>
                <w:szCs w:val="18"/>
              </w:rPr>
              <w:t xml:space="preserve"> (IV)</w:t>
            </w:r>
            <w:r w:rsidRPr="00344F5B">
              <w:rPr>
                <w:rFonts w:asciiTheme="minorHAnsi" w:hAnsiTheme="minorHAnsi" w:cstheme="minorHAnsi"/>
                <w:color w:val="000000"/>
                <w:sz w:val="18"/>
                <w:szCs w:val="18"/>
              </w:rPr>
              <w:t xml:space="preserve"> infusion. The PBAC advised that the equi-effective doses were natalizumab SC 300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w:t>
            </w:r>
            <w:r w:rsidR="00C77906">
              <w:rPr>
                <w:rFonts w:asciiTheme="minorHAnsi" w:hAnsiTheme="minorHAnsi" w:cstheme="minorHAnsi"/>
                <w:color w:val="000000"/>
                <w:sz w:val="18"/>
                <w:szCs w:val="18"/>
              </w:rPr>
              <w:t>once every 4 weeks (</w:t>
            </w:r>
            <w:r w:rsidRPr="00344F5B">
              <w:rPr>
                <w:rFonts w:asciiTheme="minorHAnsi" w:hAnsiTheme="minorHAnsi" w:cstheme="minorHAnsi"/>
                <w:color w:val="000000"/>
                <w:sz w:val="18"/>
                <w:szCs w:val="18"/>
              </w:rPr>
              <w:t>Q4W</w:t>
            </w:r>
            <w:r w:rsidR="00C77906">
              <w:rPr>
                <w:rFonts w:asciiTheme="minorHAnsi" w:hAnsiTheme="minorHAnsi" w:cstheme="minorHAnsi"/>
                <w:color w:val="000000"/>
                <w:sz w:val="18"/>
                <w:szCs w:val="18"/>
              </w:rPr>
              <w:t>)</w:t>
            </w:r>
            <w:r w:rsidRPr="00344F5B">
              <w:rPr>
                <w:rFonts w:asciiTheme="minorHAnsi" w:hAnsiTheme="minorHAnsi" w:cstheme="minorHAnsi"/>
                <w:color w:val="000000"/>
                <w:sz w:val="18"/>
                <w:szCs w:val="18"/>
              </w:rPr>
              <w:t xml:space="preserve"> and natalizumab IV:300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Q4W.</w:t>
            </w:r>
          </w:p>
        </w:tc>
      </w:tr>
      <w:tr w:rsidR="00894AB9" w:rsidRPr="00544497" w14:paraId="43F0D609" w14:textId="77777777" w:rsidTr="00C70218">
        <w:trPr>
          <w:cantSplit/>
          <w:trHeight w:val="2948"/>
          <w:jc w:val="center"/>
        </w:trPr>
        <w:tc>
          <w:tcPr>
            <w:tcW w:w="3013" w:type="dxa"/>
            <w:shd w:val="clear" w:color="auto" w:fill="auto"/>
            <w:tcMar>
              <w:top w:w="28" w:type="dxa"/>
              <w:bottom w:w="28" w:type="dxa"/>
            </w:tcMar>
            <w:vAlign w:val="center"/>
          </w:tcPr>
          <w:p w14:paraId="1E00BDDB" w14:textId="5163D16A"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NETUPITANT WITH PALONOSETRON</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Capsule containing netupitant 300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with palonosetron 500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microgram (as</w:t>
            </w:r>
            <w:r w:rsidR="00D44105">
              <w:rPr>
                <w:rFonts w:asciiTheme="minorHAnsi" w:hAnsiTheme="minorHAnsi" w:cstheme="minorHAnsi"/>
                <w:color w:val="000000"/>
                <w:sz w:val="18"/>
                <w:szCs w:val="18"/>
              </w:rPr>
              <w:t> </w:t>
            </w:r>
            <w:r w:rsidRPr="00344F5B">
              <w:rPr>
                <w:rFonts w:asciiTheme="minorHAnsi" w:hAnsiTheme="minorHAnsi" w:cstheme="minorHAnsi"/>
                <w:color w:val="000000"/>
                <w:sz w:val="18"/>
                <w:szCs w:val="18"/>
              </w:rPr>
              <w:t>hydrochloride)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Akynzeo</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Juniper Biologics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4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1D804EEE" w14:textId="65C152AB"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Nausea and vomiting</w:t>
            </w:r>
          </w:p>
        </w:tc>
        <w:tc>
          <w:tcPr>
            <w:tcW w:w="3288" w:type="dxa"/>
            <w:shd w:val="clear" w:color="auto" w:fill="auto"/>
            <w:tcMar>
              <w:top w:w="28" w:type="dxa"/>
              <w:bottom w:w="28" w:type="dxa"/>
            </w:tcMar>
            <w:vAlign w:val="center"/>
          </w:tcPr>
          <w:p w14:paraId="5E60C82A" w14:textId="448D4A2E"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change to the clinical criteria to align restrictions with the National Comprehensive Cancer Network Guidelines for the treatment of nausea and vomiting.</w:t>
            </w:r>
          </w:p>
        </w:tc>
        <w:tc>
          <w:tcPr>
            <w:tcW w:w="1987" w:type="dxa"/>
            <w:shd w:val="clear" w:color="auto" w:fill="auto"/>
            <w:vAlign w:val="center"/>
          </w:tcPr>
          <w:p w14:paraId="41EBECF1" w14:textId="7B639B4D"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12EDB2CB" w14:textId="7379ECC4"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an amendment to the restriction criteria of netupitant with palonosetron (NEPA), to align with the </w:t>
            </w:r>
            <w:r w:rsidR="00E26EF2">
              <w:rPr>
                <w:rFonts w:asciiTheme="minorHAnsi" w:hAnsiTheme="minorHAnsi" w:cstheme="minorHAnsi"/>
                <w:color w:val="000000"/>
                <w:sz w:val="18"/>
                <w:szCs w:val="18"/>
              </w:rPr>
              <w:t>Therapeutic Goods Administration</w:t>
            </w:r>
            <w:r w:rsidRPr="00344F5B">
              <w:rPr>
                <w:rFonts w:asciiTheme="minorHAnsi" w:hAnsiTheme="minorHAnsi" w:cstheme="minorHAnsi"/>
                <w:color w:val="000000"/>
                <w:sz w:val="18"/>
                <w:szCs w:val="18"/>
              </w:rPr>
              <w:t xml:space="preserve"> indication ‘Prevention of acute and delayed nausea and vomiting associated with initial and repeat courses of highly and moderately emetogenic cancer chemotherapy’ rather than referencing specific chemotherapy drugs. The PBAC considered that the change would address unmet clinical need and inequities for patients receiving new chemotherapy regimens that are not covered in the existing clinical criteria. The PBAC noted that the recommended restriction change would have the effect of lowering the cost-effectiveness of the NEPA PBS listing, as it would broaden the restriction and allow more first line use. The PBAC considered a price reduction would be required for NEPA to be acceptably cost-effective in the expanded population. The PBAC noted that uncertainties in the utilisation and financial impact would also be partly mitigated by a price reduction. The PBAC recommended that the changes to the PBS restrictions for NEPA flow-on to the other </w:t>
            </w:r>
            <w:r w:rsidR="00C77906">
              <w:rPr>
                <w:rFonts w:asciiTheme="minorHAnsi" w:hAnsiTheme="minorHAnsi" w:cstheme="minorHAnsi"/>
                <w:color w:val="000000"/>
                <w:sz w:val="18"/>
                <w:szCs w:val="18"/>
              </w:rPr>
              <w:t>neurokinin 1 (</w:t>
            </w:r>
            <w:r w:rsidRPr="00344F5B">
              <w:rPr>
                <w:rFonts w:asciiTheme="minorHAnsi" w:hAnsiTheme="minorHAnsi" w:cstheme="minorHAnsi"/>
                <w:color w:val="000000"/>
                <w:sz w:val="18"/>
                <w:szCs w:val="18"/>
              </w:rPr>
              <w:t>NK1</w:t>
            </w:r>
            <w:r w:rsidR="00C77906">
              <w:rPr>
                <w:rFonts w:asciiTheme="minorHAnsi" w:hAnsiTheme="minorHAnsi" w:cstheme="minorHAnsi"/>
                <w:color w:val="000000"/>
                <w:sz w:val="18"/>
                <w:szCs w:val="18"/>
              </w:rPr>
              <w:t>)</w:t>
            </w:r>
            <w:r w:rsidRPr="00344F5B">
              <w:rPr>
                <w:rFonts w:asciiTheme="minorHAnsi" w:hAnsiTheme="minorHAnsi" w:cstheme="minorHAnsi"/>
                <w:color w:val="000000"/>
                <w:sz w:val="18"/>
                <w:szCs w:val="18"/>
              </w:rPr>
              <w:t xml:space="preserve"> inhibitors on the PBS [fosaprepitant (Emend® IV) and aprepitant oral (Aprepitant SCP® and Aprepitant Apotex®)]. The PBAC noted that the Secretariat had received feedback that the NEPA restrictions are unaligned with current clinical practice with regard to multi-day chemotherapy regimens. The PBAC considered that the relevant prescribing instruction could be removed, as it created confusion due to differing definitions of a ‘cycle’ of chemotherapy and was unnecessary as clinicians are familiar with prescribing NK1s for primary and secondary prophylaxis of </w:t>
            </w:r>
            <w:r w:rsidR="0025050D">
              <w:rPr>
                <w:rFonts w:asciiTheme="minorHAnsi" w:hAnsiTheme="minorHAnsi" w:cstheme="minorHAnsi"/>
                <w:color w:val="000000"/>
                <w:sz w:val="18"/>
                <w:szCs w:val="18"/>
              </w:rPr>
              <w:t>chemotherapy-induced nausea and vomiting.</w:t>
            </w:r>
          </w:p>
        </w:tc>
      </w:tr>
      <w:tr w:rsidR="00894AB9" w:rsidRPr="00544497" w14:paraId="41B47CB4" w14:textId="77777777" w:rsidTr="00C70218">
        <w:trPr>
          <w:cantSplit/>
          <w:trHeight w:val="2948"/>
          <w:jc w:val="center"/>
        </w:trPr>
        <w:tc>
          <w:tcPr>
            <w:tcW w:w="3013" w:type="dxa"/>
            <w:shd w:val="clear" w:color="auto" w:fill="auto"/>
            <w:tcMar>
              <w:top w:w="28" w:type="dxa"/>
              <w:bottom w:w="28" w:type="dxa"/>
            </w:tcMar>
            <w:vAlign w:val="center"/>
          </w:tcPr>
          <w:p w14:paraId="1F4E64BA" w14:textId="25C6ED6B" w:rsidR="00894AB9" w:rsidRPr="00344F5B" w:rsidRDefault="00894AB9" w:rsidP="00894AB9">
            <w:pPr>
              <w:keepLines/>
              <w:jc w:val="center"/>
              <w:rPr>
                <w:rFonts w:asciiTheme="minorHAnsi" w:hAnsiTheme="minorHAnsi" w:cstheme="minorHAnsi"/>
                <w:color w:val="000000"/>
                <w:sz w:val="18"/>
                <w:szCs w:val="18"/>
              </w:rPr>
            </w:pPr>
            <w:bookmarkStart w:id="1" w:name="_Hlk121903169"/>
            <w:r w:rsidRPr="00344F5B">
              <w:rPr>
                <w:rFonts w:asciiTheme="minorHAnsi" w:hAnsiTheme="minorHAnsi" w:cstheme="minorHAnsi"/>
                <w:color w:val="000000"/>
                <w:sz w:val="18"/>
                <w:szCs w:val="18"/>
              </w:rPr>
              <w:lastRenderedPageBreak/>
              <w:t>NIRAPARIB</w:t>
            </w:r>
            <w:bookmarkEnd w:id="1"/>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Capsule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Zejula</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GlaxoSmithKline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1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1D7AED15" w14:textId="19AFA485"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Epithelial ovarian, fallopian tube, or primary peritoneal cancer</w:t>
            </w:r>
          </w:p>
        </w:tc>
        <w:tc>
          <w:tcPr>
            <w:tcW w:w="3288" w:type="dxa"/>
            <w:shd w:val="clear" w:color="auto" w:fill="auto"/>
            <w:tcMar>
              <w:top w:w="28" w:type="dxa"/>
              <w:bottom w:w="28" w:type="dxa"/>
            </w:tcMar>
            <w:vAlign w:val="center"/>
          </w:tcPr>
          <w:p w14:paraId="0FE5EEA0" w14:textId="65D037CD"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an expanded General Schedule Authority Required (telephone/online) listing for the treatment of newly diagnosed, homologous recombination deficiency (HRD) positive, BRCA wild type</w:t>
            </w:r>
            <w:r w:rsidR="006B1B45">
              <w:rPr>
                <w:rFonts w:asciiTheme="minorHAnsi" w:hAnsiTheme="minorHAnsi" w:cstheme="minorHAnsi"/>
                <w:color w:val="000000"/>
                <w:sz w:val="18"/>
                <w:szCs w:val="18"/>
              </w:rPr>
              <w:t xml:space="preserve"> (BRCAwt)</w:t>
            </w:r>
            <w:r w:rsidRPr="00344F5B">
              <w:rPr>
                <w:rFonts w:asciiTheme="minorHAnsi" w:hAnsiTheme="minorHAnsi" w:cstheme="minorHAnsi"/>
                <w:color w:val="000000"/>
                <w:sz w:val="18"/>
                <w:szCs w:val="18"/>
              </w:rPr>
              <w:t xml:space="preserve"> advanced (FIGO Stage III-IV) high-grade epithelial ovarian, fallopian tube or primary peritoneal cancer.</w:t>
            </w:r>
          </w:p>
        </w:tc>
        <w:tc>
          <w:tcPr>
            <w:tcW w:w="1987" w:type="dxa"/>
            <w:shd w:val="clear" w:color="auto" w:fill="auto"/>
            <w:vAlign w:val="center"/>
          </w:tcPr>
          <w:p w14:paraId="03001D80" w14:textId="00DEF5D0"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Deferred</w:t>
            </w:r>
          </w:p>
        </w:tc>
        <w:tc>
          <w:tcPr>
            <w:tcW w:w="4336" w:type="dxa"/>
            <w:shd w:val="clear" w:color="auto" w:fill="auto"/>
            <w:vAlign w:val="center"/>
          </w:tcPr>
          <w:p w14:paraId="0488E2E4" w14:textId="277D1D18" w:rsidR="00894AB9" w:rsidRPr="000110D5" w:rsidRDefault="00420A61" w:rsidP="00D936B4">
            <w:pPr>
              <w:keepLines/>
              <w:spacing w:after="120"/>
              <w:rPr>
                <w:rFonts w:asciiTheme="minorHAnsi" w:hAnsiTheme="minorHAnsi" w:cstheme="minorHAnsi"/>
                <w:color w:val="000000"/>
                <w:sz w:val="18"/>
                <w:szCs w:val="18"/>
              </w:rPr>
            </w:pPr>
            <w:r w:rsidRPr="00420A61">
              <w:rPr>
                <w:rFonts w:asciiTheme="minorHAnsi" w:hAnsiTheme="minorHAnsi" w:cstheme="minorHAnsi"/>
                <w:color w:val="000000"/>
                <w:sz w:val="18"/>
                <w:szCs w:val="18"/>
              </w:rPr>
              <w:t xml:space="preserve">The PBAC deferred making a recommendation regarding niraparib for maintenance therapy in patients with newly diagnosed HRD positive BRCAwt advanced epithelial ovarian, fallopian tube or primary peritoneal cancer. The PBAC noted that the integrated </w:t>
            </w:r>
            <w:proofErr w:type="spellStart"/>
            <w:r w:rsidRPr="00420A61">
              <w:rPr>
                <w:rFonts w:asciiTheme="minorHAnsi" w:hAnsiTheme="minorHAnsi" w:cstheme="minorHAnsi"/>
                <w:color w:val="000000"/>
                <w:sz w:val="18"/>
                <w:szCs w:val="18"/>
              </w:rPr>
              <w:t>codependent</w:t>
            </w:r>
            <w:proofErr w:type="spellEnd"/>
            <w:r w:rsidRPr="00420A61">
              <w:rPr>
                <w:rFonts w:asciiTheme="minorHAnsi" w:hAnsiTheme="minorHAnsi" w:cstheme="minorHAnsi"/>
                <w:color w:val="000000"/>
                <w:sz w:val="18"/>
                <w:szCs w:val="18"/>
              </w:rPr>
              <w:t xml:space="preserve"> submission sought M</w:t>
            </w:r>
            <w:r w:rsidR="006B1B45">
              <w:rPr>
                <w:rFonts w:asciiTheme="minorHAnsi" w:hAnsiTheme="minorHAnsi" w:cstheme="minorHAnsi"/>
                <w:color w:val="000000"/>
                <w:sz w:val="18"/>
                <w:szCs w:val="18"/>
              </w:rPr>
              <w:t>edica</w:t>
            </w:r>
            <w:r w:rsidR="00304CF9">
              <w:rPr>
                <w:rFonts w:asciiTheme="minorHAnsi" w:hAnsiTheme="minorHAnsi" w:cstheme="minorHAnsi"/>
                <w:color w:val="000000"/>
                <w:sz w:val="18"/>
                <w:szCs w:val="18"/>
              </w:rPr>
              <w:t>re</w:t>
            </w:r>
            <w:r w:rsidR="006B1B45">
              <w:rPr>
                <w:rFonts w:asciiTheme="minorHAnsi" w:hAnsiTheme="minorHAnsi" w:cstheme="minorHAnsi"/>
                <w:color w:val="000000"/>
                <w:sz w:val="18"/>
                <w:szCs w:val="18"/>
              </w:rPr>
              <w:t xml:space="preserve"> </w:t>
            </w:r>
            <w:r w:rsidRPr="00420A61">
              <w:rPr>
                <w:rFonts w:asciiTheme="minorHAnsi" w:hAnsiTheme="minorHAnsi" w:cstheme="minorHAnsi"/>
                <w:color w:val="000000"/>
                <w:sz w:val="18"/>
                <w:szCs w:val="18"/>
              </w:rPr>
              <w:t>B</w:t>
            </w:r>
            <w:r w:rsidR="006B1B45">
              <w:rPr>
                <w:rFonts w:asciiTheme="minorHAnsi" w:hAnsiTheme="minorHAnsi" w:cstheme="minorHAnsi"/>
                <w:color w:val="000000"/>
                <w:sz w:val="18"/>
                <w:szCs w:val="18"/>
              </w:rPr>
              <w:t xml:space="preserve">enefits </w:t>
            </w:r>
            <w:r w:rsidRPr="00420A61">
              <w:rPr>
                <w:rFonts w:asciiTheme="minorHAnsi" w:hAnsiTheme="minorHAnsi" w:cstheme="minorHAnsi"/>
                <w:color w:val="000000"/>
                <w:sz w:val="18"/>
                <w:szCs w:val="18"/>
              </w:rPr>
              <w:t>S</w:t>
            </w:r>
            <w:r w:rsidR="006B1B45">
              <w:rPr>
                <w:rFonts w:asciiTheme="minorHAnsi" w:hAnsiTheme="minorHAnsi" w:cstheme="minorHAnsi"/>
                <w:color w:val="000000"/>
                <w:sz w:val="18"/>
                <w:szCs w:val="18"/>
              </w:rPr>
              <w:t>chedule</w:t>
            </w:r>
            <w:r w:rsidRPr="00420A61">
              <w:rPr>
                <w:rFonts w:asciiTheme="minorHAnsi" w:hAnsiTheme="minorHAnsi" w:cstheme="minorHAnsi"/>
                <w:color w:val="000000"/>
                <w:sz w:val="18"/>
                <w:szCs w:val="18"/>
              </w:rPr>
              <w:t xml:space="preserve"> funding of HRD testing to determine eligibility for niraparib under the proposed PBS listing. The PBAC considered niraparib was superior to standard medical management in terms of progression free survival in the proposed population of patients with HRD positive BRCAwt tumours, though overall survival data were immature. Consistent with previous advice, the PBAC considered that the benefit of niraparib treatment in the HRD-negative subgroup was uncertain and on this basis it was appropriate to require HRD testing to determine PBS eligibility for niraparib. The PBAC considered that the economic model presented was not reliable for decision-making. However, the PBAC considered that niraparib is likely to be non-inferior to olaparib in the HRD positive BRCAwt setting, as previously accepted in the BRCAm setting, and therefore could be recommended on the basis of cost-minimisation versus olaparib in the event that olaparib is listed on the PBS for patients with HRD positive BRCAwt ovarian cancer.</w:t>
            </w:r>
          </w:p>
          <w:p w14:paraId="506CA30A"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36785728" w14:textId="72B791F8" w:rsidR="000B2A2E" w:rsidRPr="000B2A2E" w:rsidRDefault="000B2A2E" w:rsidP="00894AB9">
            <w:pPr>
              <w:rPr>
                <w:rFonts w:asciiTheme="minorHAnsi" w:hAnsiTheme="minorHAnsi" w:cstheme="minorHAnsi"/>
                <w:color w:val="000000"/>
                <w:sz w:val="18"/>
                <w:szCs w:val="18"/>
              </w:rPr>
            </w:pPr>
            <w:r w:rsidRPr="001B5E08">
              <w:rPr>
                <w:rFonts w:asciiTheme="minorHAnsi" w:hAnsiTheme="minorHAnsi" w:cstheme="minorHAnsi"/>
                <w:color w:val="000000"/>
                <w:sz w:val="18"/>
                <w:szCs w:val="18"/>
              </w:rPr>
              <w:t>The sponsor had no commen</w:t>
            </w:r>
            <w:r>
              <w:rPr>
                <w:rFonts w:asciiTheme="minorHAnsi" w:hAnsiTheme="minorHAnsi" w:cstheme="minorHAnsi"/>
                <w:color w:val="000000"/>
                <w:sz w:val="18"/>
                <w:szCs w:val="18"/>
              </w:rPr>
              <w:t>t.</w:t>
            </w:r>
          </w:p>
        </w:tc>
      </w:tr>
      <w:tr w:rsidR="00894AB9" w:rsidRPr="00544497" w14:paraId="06B2D978" w14:textId="77777777" w:rsidTr="00C70218">
        <w:trPr>
          <w:cantSplit/>
          <w:trHeight w:val="2948"/>
          <w:jc w:val="center"/>
        </w:trPr>
        <w:tc>
          <w:tcPr>
            <w:tcW w:w="3013" w:type="dxa"/>
            <w:shd w:val="clear" w:color="auto" w:fill="auto"/>
            <w:tcMar>
              <w:top w:w="28" w:type="dxa"/>
              <w:bottom w:w="28" w:type="dxa"/>
            </w:tcMar>
            <w:vAlign w:val="center"/>
          </w:tcPr>
          <w:p w14:paraId="30332CCB"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 xml:space="preserve">NIVOLUMAB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Injection concentrate for I.V. infusion 40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4</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w:t>
            </w:r>
          </w:p>
          <w:p w14:paraId="364A3DEA" w14:textId="77777777" w:rsidR="00894AB9" w:rsidRPr="00344F5B" w:rsidRDefault="00894AB9" w:rsidP="00894AB9">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Injection concentrate for I.V. infusion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Opdivo®</w:t>
            </w:r>
          </w:p>
          <w:p w14:paraId="62910A93" w14:textId="59360F80"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br/>
              <w:t>Bristol-Myers Squibb Australia Pty Ltd</w:t>
            </w:r>
            <w:r w:rsidRPr="00344F5B" w:rsidDel="00C5641D">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(Other matters)</w:t>
            </w:r>
          </w:p>
        </w:tc>
        <w:tc>
          <w:tcPr>
            <w:tcW w:w="2764" w:type="dxa"/>
            <w:shd w:val="clear" w:color="auto" w:fill="auto"/>
            <w:vAlign w:val="center"/>
          </w:tcPr>
          <w:p w14:paraId="714F9D77" w14:textId="09FD8502"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Gastro-oesophageal cancers</w:t>
            </w:r>
          </w:p>
        </w:tc>
        <w:tc>
          <w:tcPr>
            <w:tcW w:w="3288" w:type="dxa"/>
            <w:shd w:val="clear" w:color="auto" w:fill="auto"/>
            <w:tcMar>
              <w:top w:w="28" w:type="dxa"/>
              <w:bottom w:w="28" w:type="dxa"/>
            </w:tcMar>
            <w:vAlign w:val="center"/>
          </w:tcPr>
          <w:p w14:paraId="1658C5EF" w14:textId="5DE45998"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eastAsia="Times New Roman" w:hAnsiTheme="minorHAnsi" w:cstheme="minorHAnsi"/>
                <w:color w:val="000000"/>
                <w:sz w:val="18"/>
                <w:szCs w:val="18"/>
              </w:rPr>
              <w:t>To request that first-line oesophageal squamous cell carcinoma (OSCC) patients are included in the financial estimates for the treatment of advanced or metastatic gastro-oesophageal cancers.</w:t>
            </w:r>
          </w:p>
        </w:tc>
        <w:tc>
          <w:tcPr>
            <w:tcW w:w="1987" w:type="dxa"/>
            <w:shd w:val="clear" w:color="auto" w:fill="auto"/>
            <w:vAlign w:val="center"/>
          </w:tcPr>
          <w:p w14:paraId="66AE2449" w14:textId="1C4DFB15"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Recommended</w:t>
            </w:r>
          </w:p>
        </w:tc>
        <w:tc>
          <w:tcPr>
            <w:tcW w:w="4336" w:type="dxa"/>
            <w:shd w:val="clear" w:color="auto" w:fill="auto"/>
            <w:vAlign w:val="center"/>
          </w:tcPr>
          <w:p w14:paraId="41B2E2C8" w14:textId="61A821D8" w:rsidR="00894AB9" w:rsidRPr="00344F5B"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rPr>
              <w:t>The PBAC recommended amending the current risk sharing arrangement expenditure caps for nivolumab for the treatment of advanced or metastatic gastro-oesophageal cancers. The PBAC advised that it was supportive of the requested increase to the expenditure caps to account for the expected additional use of nivolumab should the first line treatment of advanced or metastatic OSCC in patients with tumour cell programmed death-ligand 1 expression ≥</w:t>
            </w:r>
            <w:r>
              <w:rPr>
                <w:rFonts w:asciiTheme="minorHAnsi" w:hAnsiTheme="minorHAnsi" w:cstheme="minorHAnsi"/>
                <w:color w:val="000000"/>
                <w:sz w:val="18"/>
                <w:szCs w:val="18"/>
              </w:rPr>
              <w:t> </w:t>
            </w:r>
            <w:r w:rsidRPr="000110D5">
              <w:rPr>
                <w:rFonts w:asciiTheme="minorHAnsi" w:hAnsiTheme="minorHAnsi" w:cstheme="minorHAnsi"/>
                <w:color w:val="000000"/>
                <w:sz w:val="18"/>
                <w:szCs w:val="18"/>
              </w:rPr>
              <w:t>1%, either in combination with fluoropyrimidine and platinum</w:t>
            </w:r>
            <w:r w:rsidR="00142347">
              <w:rPr>
                <w:rFonts w:asciiTheme="minorHAnsi" w:hAnsiTheme="minorHAnsi" w:cstheme="minorHAnsi"/>
                <w:color w:val="000000"/>
                <w:sz w:val="18"/>
                <w:szCs w:val="18"/>
              </w:rPr>
              <w:t>-</w:t>
            </w:r>
            <w:r w:rsidRPr="000110D5">
              <w:rPr>
                <w:rFonts w:asciiTheme="minorHAnsi" w:hAnsiTheme="minorHAnsi" w:cstheme="minorHAnsi"/>
                <w:color w:val="000000"/>
                <w:sz w:val="18"/>
                <w:szCs w:val="18"/>
              </w:rPr>
              <w:t xml:space="preserve">based chemotherapy or in combination with ipilimumab, be included in the approved Australian Product Information for nivolumab. </w:t>
            </w:r>
          </w:p>
        </w:tc>
      </w:tr>
      <w:tr w:rsidR="00894AB9" w:rsidRPr="00544497" w14:paraId="76945031" w14:textId="77777777" w:rsidTr="00C70218">
        <w:trPr>
          <w:cantSplit/>
          <w:trHeight w:val="1278"/>
          <w:jc w:val="center"/>
        </w:trPr>
        <w:tc>
          <w:tcPr>
            <w:tcW w:w="3013" w:type="dxa"/>
            <w:shd w:val="clear" w:color="auto" w:fill="auto"/>
            <w:tcMar>
              <w:top w:w="28" w:type="dxa"/>
              <w:bottom w:w="28" w:type="dxa"/>
            </w:tcMar>
            <w:vAlign w:val="center"/>
          </w:tcPr>
          <w:p w14:paraId="26D7A96B" w14:textId="332E8BAC"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 xml:space="preserve">NIVOLUMAB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Injection</w:t>
            </w:r>
            <w:r w:rsidRPr="00344F5B" w:rsidDel="00855AE4">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concentrate for I.V. infusion 40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4</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w:t>
            </w:r>
            <w:r w:rsidRPr="00344F5B">
              <w:rPr>
                <w:rFonts w:asciiTheme="minorHAnsi" w:hAnsiTheme="minorHAnsi" w:cstheme="minorHAnsi"/>
                <w:color w:val="000000"/>
                <w:sz w:val="18"/>
                <w:szCs w:val="18"/>
              </w:rPr>
              <w:br/>
              <w:t>Injection</w:t>
            </w:r>
            <w:r w:rsidRPr="00344F5B" w:rsidDel="00855AE4">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concentrate for I.V. infusion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Opdivo®</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Bristol-Myers Squibb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3A8B325B" w14:textId="1BB1259F"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Non-small cell lung cancer (NSCLC)</w:t>
            </w:r>
          </w:p>
        </w:tc>
        <w:tc>
          <w:tcPr>
            <w:tcW w:w="3288" w:type="dxa"/>
            <w:shd w:val="clear" w:color="auto" w:fill="auto"/>
            <w:tcMar>
              <w:top w:w="28" w:type="dxa"/>
              <w:bottom w:w="28" w:type="dxa"/>
            </w:tcMar>
            <w:vAlign w:val="center"/>
          </w:tcPr>
          <w:p w14:paraId="0917A7A7" w14:textId="75FCF9F5"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(Efficient Funding of Chemotherapy) Authority Required (STREAMLINED) listing for the neoadjuvant treatment of resectable NSCLC.</w:t>
            </w:r>
          </w:p>
        </w:tc>
        <w:tc>
          <w:tcPr>
            <w:tcW w:w="1987" w:type="dxa"/>
            <w:shd w:val="clear" w:color="auto" w:fill="auto"/>
            <w:vAlign w:val="center"/>
          </w:tcPr>
          <w:p w14:paraId="6B8755EE" w14:textId="050E2ADD"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Recommended</w:t>
            </w:r>
          </w:p>
        </w:tc>
        <w:tc>
          <w:tcPr>
            <w:tcW w:w="4336" w:type="dxa"/>
            <w:shd w:val="clear" w:color="auto" w:fill="auto"/>
            <w:vAlign w:val="center"/>
          </w:tcPr>
          <w:p w14:paraId="0B8F0155" w14:textId="5D8E0BD1" w:rsidR="00894AB9"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The PBAC did not recommend the Authority Required (STREAMLINED) listing of nivolumab for the neoadjuvant treatment of patients with resectable NSCLC. The PBAC considered that nivolumab provided a moderate clinical benefit with an improvement in event-free survival and immature overall survival data indicated a trend towards improvement. The PBAC considered the incremental cost-effectiveness ratio was highly uncertain given the extent of extrapolation and issues with the model structure and some inputs. The PBAC considered that revised model inputs would be required to address these issues and that a price-reduction would be required for nivolumab to be considered cost-effective in the neoadjuvant NSCLC setting. The PBAC considered that revised financial estimates should account for offsets for current use of immunotherapy, and considered it would be appropriate for nivolumab use to be included in the current risk sharing arrangement in place for immunotherapies for NSCLC.</w:t>
            </w:r>
          </w:p>
          <w:p w14:paraId="3B594887" w14:textId="50F20337" w:rsidR="00FD0189" w:rsidRPr="000110D5" w:rsidRDefault="00FD0189"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 xml:space="preserve">The PBAC </w:t>
            </w:r>
            <w:r w:rsidR="00274815">
              <w:rPr>
                <w:rFonts w:asciiTheme="minorHAnsi" w:hAnsiTheme="minorHAnsi" w:cstheme="minorHAnsi"/>
                <w:color w:val="000000"/>
                <w:sz w:val="18"/>
                <w:szCs w:val="18"/>
              </w:rPr>
              <w:t xml:space="preserve">nominated </w:t>
            </w:r>
            <w:r w:rsidRPr="0011605A">
              <w:rPr>
                <w:rFonts w:asciiTheme="minorHAnsi" w:hAnsiTheme="minorHAnsi" w:cstheme="minorHAnsi"/>
                <w:color w:val="000000"/>
                <w:sz w:val="18"/>
                <w:szCs w:val="18"/>
              </w:rPr>
              <w:t>the early re</w:t>
            </w:r>
            <w:r>
              <w:rPr>
                <w:rFonts w:asciiTheme="minorHAnsi" w:hAnsiTheme="minorHAnsi" w:cstheme="minorHAnsi"/>
                <w:color w:val="000000"/>
                <w:sz w:val="18"/>
                <w:szCs w:val="18"/>
              </w:rPr>
              <w:t xml:space="preserve">-entry </w:t>
            </w:r>
            <w:r w:rsidRPr="0011605A">
              <w:rPr>
                <w:rFonts w:asciiTheme="minorHAnsi" w:hAnsiTheme="minorHAnsi" w:cstheme="minorHAnsi"/>
                <w:color w:val="000000"/>
                <w:sz w:val="18"/>
                <w:szCs w:val="18"/>
              </w:rPr>
              <w:t>resubmission pathway for</w:t>
            </w:r>
            <w:r>
              <w:rPr>
                <w:rFonts w:asciiTheme="minorHAnsi" w:hAnsiTheme="minorHAnsi" w:cstheme="minorHAnsi"/>
                <w:color w:val="000000"/>
                <w:sz w:val="18"/>
                <w:szCs w:val="18"/>
              </w:rPr>
              <w:t xml:space="preserve"> nivolumab.</w:t>
            </w:r>
          </w:p>
          <w:p w14:paraId="1281C956"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41F8885E" w14:textId="38023095" w:rsidR="00E95728" w:rsidRPr="00E95728" w:rsidRDefault="00E95728" w:rsidP="00894AB9">
            <w:pPr>
              <w:rPr>
                <w:rFonts w:asciiTheme="minorHAnsi" w:hAnsiTheme="minorHAnsi" w:cstheme="minorHAnsi"/>
                <w:color w:val="000000"/>
                <w:sz w:val="18"/>
                <w:szCs w:val="18"/>
              </w:rPr>
            </w:pPr>
            <w:r w:rsidRPr="00E95728">
              <w:rPr>
                <w:rFonts w:asciiTheme="minorHAnsi" w:hAnsiTheme="minorHAnsi" w:cstheme="minorHAnsi"/>
                <w:color w:val="000000"/>
                <w:sz w:val="18"/>
                <w:szCs w:val="18"/>
              </w:rPr>
              <w:t>The Sponsor is committed to working with the PBAC to bring nivolumab for the neoadjuvant treatment of patients with resectable NSCLC to Australian patients in a timely manner.</w:t>
            </w:r>
          </w:p>
        </w:tc>
      </w:tr>
      <w:tr w:rsidR="00894AB9" w:rsidRPr="00544497" w14:paraId="07695403" w14:textId="77777777" w:rsidTr="00C70218">
        <w:trPr>
          <w:cantSplit/>
          <w:trHeight w:val="2948"/>
          <w:jc w:val="center"/>
        </w:trPr>
        <w:tc>
          <w:tcPr>
            <w:tcW w:w="3013" w:type="dxa"/>
            <w:shd w:val="clear" w:color="auto" w:fill="auto"/>
            <w:tcMar>
              <w:top w:w="28" w:type="dxa"/>
              <w:bottom w:w="28" w:type="dxa"/>
            </w:tcMar>
            <w:vAlign w:val="center"/>
          </w:tcPr>
          <w:p w14:paraId="4687854B" w14:textId="209546E1"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OLAPARIB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t>Tablet 150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Lynparza®</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AstraZeneca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58117353" w14:textId="19CCE488"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Breast cancer</w:t>
            </w:r>
          </w:p>
        </w:tc>
        <w:tc>
          <w:tcPr>
            <w:tcW w:w="3288" w:type="dxa"/>
            <w:shd w:val="clear" w:color="auto" w:fill="auto"/>
            <w:tcMar>
              <w:top w:w="28" w:type="dxa"/>
              <w:bottom w:w="28" w:type="dxa"/>
            </w:tcMar>
            <w:vAlign w:val="center"/>
          </w:tcPr>
          <w:p w14:paraId="30821244" w14:textId="6467F11F"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(telephone/online) listing for the treatment of human epidermal growth factor 2 (HER2)-negative high risk early breast cancer with a confirmed germline BRCA1 or BRCA2 mutation who have previously been treated with neoadjuvant or adjuvant chemotherapy.</w:t>
            </w:r>
          </w:p>
        </w:tc>
        <w:tc>
          <w:tcPr>
            <w:tcW w:w="1987" w:type="dxa"/>
            <w:shd w:val="clear" w:color="auto" w:fill="auto"/>
            <w:vAlign w:val="center"/>
          </w:tcPr>
          <w:p w14:paraId="09038FC0" w14:textId="029A298D"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Not Recommended</w:t>
            </w:r>
          </w:p>
        </w:tc>
        <w:tc>
          <w:tcPr>
            <w:tcW w:w="4336" w:type="dxa"/>
            <w:shd w:val="clear" w:color="auto" w:fill="auto"/>
            <w:vAlign w:val="center"/>
          </w:tcPr>
          <w:p w14:paraId="5AD581DB" w14:textId="60149801" w:rsidR="00E46089" w:rsidRDefault="00E46089" w:rsidP="00E46089">
            <w:pPr>
              <w:widowControl w:val="0"/>
              <w:spacing w:after="120"/>
              <w:rPr>
                <w:rFonts w:asciiTheme="minorHAnsi" w:hAnsiTheme="minorHAnsi" w:cstheme="minorHAnsi"/>
                <w:color w:val="000000"/>
                <w:sz w:val="18"/>
                <w:szCs w:val="18"/>
              </w:rPr>
            </w:pPr>
            <w:r w:rsidRPr="00E46089">
              <w:rPr>
                <w:rFonts w:asciiTheme="minorHAnsi" w:hAnsiTheme="minorHAnsi" w:cstheme="minorHAnsi"/>
                <w:color w:val="000000"/>
                <w:sz w:val="18"/>
                <w:szCs w:val="18"/>
              </w:rPr>
              <w:t xml:space="preserve">The PBAC did not recommend olaparib for the treatment of HER2- high-risk early breast cancer with a confirmed germline BRCA1 or BRCA2 mutation in patients who have previously been treated with neoadjuvant or adjuvant chemotherapy. The PBAC noted that a statistically significant result for the pre-specified primary endpoint of invasive disease-free survival (IDFS) was reported from the pivotal registration study, but that the IDFS and </w:t>
            </w:r>
            <w:r w:rsidR="00204875">
              <w:rPr>
                <w:rFonts w:asciiTheme="minorHAnsi" w:hAnsiTheme="minorHAnsi" w:cstheme="minorHAnsi"/>
                <w:color w:val="000000"/>
                <w:sz w:val="18"/>
                <w:szCs w:val="18"/>
              </w:rPr>
              <w:t>overall survival</w:t>
            </w:r>
            <w:r w:rsidRPr="00E46089">
              <w:rPr>
                <w:rFonts w:asciiTheme="minorHAnsi" w:hAnsiTheme="minorHAnsi" w:cstheme="minorHAnsi"/>
                <w:color w:val="000000"/>
                <w:sz w:val="18"/>
                <w:szCs w:val="18"/>
              </w:rPr>
              <w:t xml:space="preserve"> data remained immature. Olaparib was inferior to placebo in terms of safety. The PBAC considered that the incremental cost-effectiveness ratio was highly uncertain and unacceptably high. The PBAC considered that revisions were also required to the financial estimates. </w:t>
            </w:r>
          </w:p>
          <w:p w14:paraId="2A1DF308" w14:textId="14C80A43" w:rsidR="00E46089" w:rsidRPr="00E46089" w:rsidRDefault="00E46089" w:rsidP="002346BD">
            <w:pPr>
              <w:widowControl w:val="0"/>
              <w:rPr>
                <w:rFonts w:asciiTheme="minorHAnsi" w:hAnsiTheme="minorHAnsi" w:cstheme="minorHAnsi"/>
                <w:color w:val="000000"/>
                <w:sz w:val="18"/>
                <w:szCs w:val="18"/>
              </w:rPr>
            </w:pPr>
            <w:r w:rsidRPr="00E46089">
              <w:rPr>
                <w:rFonts w:asciiTheme="minorHAnsi" w:hAnsiTheme="minorHAnsi" w:cstheme="minorHAnsi"/>
                <w:color w:val="000000"/>
                <w:sz w:val="18"/>
                <w:szCs w:val="18"/>
              </w:rPr>
              <w:t xml:space="preserve">The PBAC nominated the </w:t>
            </w:r>
            <w:r>
              <w:rPr>
                <w:rFonts w:asciiTheme="minorHAnsi" w:hAnsiTheme="minorHAnsi" w:cstheme="minorHAnsi"/>
                <w:color w:val="000000"/>
                <w:sz w:val="18"/>
                <w:szCs w:val="18"/>
              </w:rPr>
              <w:t>e</w:t>
            </w:r>
            <w:r w:rsidRPr="00E46089">
              <w:rPr>
                <w:rFonts w:asciiTheme="minorHAnsi" w:hAnsiTheme="minorHAnsi" w:cstheme="minorHAnsi"/>
                <w:color w:val="000000"/>
                <w:sz w:val="18"/>
                <w:szCs w:val="18"/>
              </w:rPr>
              <w:t xml:space="preserve">arly </w:t>
            </w:r>
            <w:r>
              <w:rPr>
                <w:rFonts w:asciiTheme="minorHAnsi" w:hAnsiTheme="minorHAnsi" w:cstheme="minorHAnsi"/>
                <w:color w:val="000000"/>
                <w:sz w:val="18"/>
                <w:szCs w:val="18"/>
              </w:rPr>
              <w:t>r</w:t>
            </w:r>
            <w:r w:rsidRPr="00E46089">
              <w:rPr>
                <w:rFonts w:asciiTheme="minorHAnsi" w:hAnsiTheme="minorHAnsi" w:cstheme="minorHAnsi"/>
                <w:color w:val="000000"/>
                <w:sz w:val="18"/>
                <w:szCs w:val="18"/>
              </w:rPr>
              <w:t>e-entry re-submission pathway for this item.</w:t>
            </w:r>
          </w:p>
          <w:p w14:paraId="6F38C04A" w14:textId="77777777" w:rsidR="00894AB9" w:rsidRPr="000110D5" w:rsidRDefault="00894AB9" w:rsidP="00894AB9">
            <w:pPr>
              <w:keepLines/>
              <w:rPr>
                <w:rFonts w:asciiTheme="minorHAnsi" w:hAnsiTheme="minorHAnsi" w:cstheme="minorHAnsi"/>
                <w:color w:val="000000"/>
                <w:sz w:val="18"/>
                <w:szCs w:val="18"/>
              </w:rPr>
            </w:pPr>
          </w:p>
          <w:p w14:paraId="0C0BB6B8"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68AE7271" w14:textId="386D5689" w:rsidR="002346BD" w:rsidRPr="002346BD" w:rsidRDefault="002346BD" w:rsidP="00894AB9">
            <w:pPr>
              <w:rPr>
                <w:rFonts w:asciiTheme="minorHAnsi" w:hAnsiTheme="minorHAnsi" w:cstheme="minorHAnsi"/>
                <w:color w:val="000000"/>
                <w:sz w:val="18"/>
                <w:szCs w:val="18"/>
              </w:rPr>
            </w:pPr>
            <w:r w:rsidRPr="001B5E08">
              <w:rPr>
                <w:rFonts w:asciiTheme="minorHAnsi" w:hAnsiTheme="minorHAnsi" w:cstheme="minorHAnsi"/>
                <w:color w:val="000000"/>
                <w:sz w:val="18"/>
                <w:szCs w:val="18"/>
              </w:rPr>
              <w:t>The sponsor had no commen</w:t>
            </w:r>
            <w:r>
              <w:rPr>
                <w:rFonts w:asciiTheme="minorHAnsi" w:hAnsiTheme="minorHAnsi" w:cstheme="minorHAnsi"/>
                <w:color w:val="000000"/>
                <w:sz w:val="18"/>
                <w:szCs w:val="18"/>
              </w:rPr>
              <w:t>t.</w:t>
            </w:r>
          </w:p>
        </w:tc>
      </w:tr>
      <w:tr w:rsidR="00894AB9" w:rsidRPr="00544497" w14:paraId="6CE326A4" w14:textId="77777777" w:rsidTr="00C70218">
        <w:trPr>
          <w:cantSplit/>
          <w:trHeight w:val="2948"/>
          <w:jc w:val="center"/>
        </w:trPr>
        <w:tc>
          <w:tcPr>
            <w:tcW w:w="3013" w:type="dxa"/>
            <w:shd w:val="clear" w:color="auto" w:fill="auto"/>
            <w:tcMar>
              <w:top w:w="28" w:type="dxa"/>
              <w:bottom w:w="28" w:type="dxa"/>
            </w:tcMar>
            <w:vAlign w:val="center"/>
          </w:tcPr>
          <w:p w14:paraId="040C14BB" w14:textId="39F555CC" w:rsidR="00894AB9" w:rsidRPr="00344F5B" w:rsidRDefault="004D4CE4"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OSILODROSTAT</w:t>
            </w:r>
            <w:r w:rsidR="00894AB9" w:rsidRPr="00344F5B">
              <w:rPr>
                <w:rFonts w:asciiTheme="minorHAnsi" w:hAnsiTheme="minorHAnsi" w:cstheme="minorHAnsi"/>
                <w:color w:val="000000"/>
                <w:sz w:val="18"/>
                <w:szCs w:val="18"/>
              </w:rPr>
              <w:br/>
            </w:r>
            <w:r w:rsidR="00894AB9" w:rsidRPr="00344F5B">
              <w:rPr>
                <w:rFonts w:asciiTheme="minorHAnsi" w:hAnsiTheme="minorHAnsi" w:cstheme="minorHAnsi"/>
                <w:color w:val="000000"/>
                <w:sz w:val="18"/>
                <w:szCs w:val="18"/>
              </w:rPr>
              <w:br/>
              <w:t>Tablet 1</w:t>
            </w:r>
            <w:r w:rsidR="00894AB9">
              <w:rPr>
                <w:rFonts w:asciiTheme="minorHAnsi" w:hAnsiTheme="minorHAnsi" w:cstheme="minorHAnsi"/>
                <w:color w:val="000000"/>
                <w:sz w:val="18"/>
                <w:szCs w:val="18"/>
              </w:rPr>
              <w:t> mg</w:t>
            </w:r>
            <w:r w:rsidR="00894AB9" w:rsidRPr="00344F5B">
              <w:rPr>
                <w:rFonts w:asciiTheme="minorHAnsi" w:hAnsiTheme="minorHAnsi" w:cstheme="minorHAnsi"/>
                <w:color w:val="000000"/>
                <w:sz w:val="18"/>
                <w:szCs w:val="18"/>
              </w:rPr>
              <w:br/>
              <w:t>Tablet 5</w:t>
            </w:r>
            <w:r w:rsidR="00894AB9">
              <w:rPr>
                <w:rFonts w:asciiTheme="minorHAnsi" w:hAnsiTheme="minorHAnsi" w:cstheme="minorHAnsi"/>
                <w:color w:val="000000"/>
                <w:sz w:val="18"/>
                <w:szCs w:val="18"/>
              </w:rPr>
              <w:t> mg</w:t>
            </w:r>
            <w:r w:rsidR="00894AB9" w:rsidRPr="00344F5B">
              <w:rPr>
                <w:rFonts w:asciiTheme="minorHAnsi" w:hAnsiTheme="minorHAnsi" w:cstheme="minorHAnsi"/>
                <w:color w:val="000000"/>
                <w:sz w:val="18"/>
                <w:szCs w:val="18"/>
              </w:rPr>
              <w:br/>
              <w:t>Tablet 10</w:t>
            </w:r>
            <w:r w:rsidR="00894AB9">
              <w:rPr>
                <w:rFonts w:asciiTheme="minorHAnsi" w:hAnsiTheme="minorHAnsi" w:cstheme="minorHAnsi"/>
                <w:color w:val="000000"/>
                <w:sz w:val="18"/>
                <w:szCs w:val="18"/>
              </w:rPr>
              <w:t> mg</w:t>
            </w:r>
            <w:r w:rsidR="00894AB9" w:rsidRPr="00344F5B">
              <w:rPr>
                <w:rFonts w:asciiTheme="minorHAnsi" w:hAnsiTheme="minorHAnsi" w:cstheme="minorHAnsi"/>
                <w:color w:val="000000"/>
                <w:sz w:val="18"/>
                <w:szCs w:val="18"/>
              </w:rPr>
              <w:br/>
            </w:r>
            <w:r w:rsidR="00894AB9" w:rsidRPr="00344F5B">
              <w:rPr>
                <w:rFonts w:asciiTheme="minorHAnsi" w:hAnsiTheme="minorHAnsi" w:cstheme="minorHAnsi"/>
                <w:color w:val="000000"/>
                <w:sz w:val="18"/>
                <w:szCs w:val="18"/>
              </w:rPr>
              <w:br/>
              <w:t>Isturisa®</w:t>
            </w:r>
            <w:r w:rsidR="00894AB9" w:rsidRPr="00344F5B">
              <w:rPr>
                <w:rFonts w:asciiTheme="minorHAnsi" w:hAnsiTheme="minorHAnsi" w:cstheme="minorHAnsi"/>
                <w:color w:val="000000"/>
                <w:sz w:val="18"/>
                <w:szCs w:val="18"/>
              </w:rPr>
              <w:br/>
            </w:r>
            <w:r w:rsidR="00894AB9" w:rsidRPr="00344F5B">
              <w:rPr>
                <w:rFonts w:asciiTheme="minorHAnsi" w:hAnsiTheme="minorHAnsi" w:cstheme="minorHAnsi"/>
                <w:color w:val="000000"/>
                <w:sz w:val="18"/>
                <w:szCs w:val="18"/>
              </w:rPr>
              <w:br/>
              <w:t>Recordati Rare Diseases Australia Pty.</w:t>
            </w:r>
            <w:r w:rsidR="00D44105">
              <w:rPr>
                <w:rFonts w:asciiTheme="minorHAnsi" w:hAnsiTheme="minorHAnsi" w:cstheme="minorHAnsi"/>
                <w:color w:val="000000"/>
                <w:sz w:val="18"/>
                <w:szCs w:val="18"/>
              </w:rPr>
              <w:t> </w:t>
            </w:r>
            <w:r w:rsidR="00894AB9" w:rsidRPr="00344F5B">
              <w:rPr>
                <w:rFonts w:asciiTheme="minorHAnsi" w:hAnsiTheme="minorHAnsi" w:cstheme="minorHAnsi"/>
                <w:color w:val="000000"/>
                <w:sz w:val="18"/>
                <w:szCs w:val="18"/>
              </w:rPr>
              <w:t>Ltd.</w:t>
            </w:r>
            <w:r w:rsidR="00894AB9" w:rsidRPr="00344F5B">
              <w:rPr>
                <w:rFonts w:asciiTheme="minorHAnsi" w:hAnsiTheme="minorHAnsi" w:cstheme="minorHAnsi"/>
                <w:color w:val="000000"/>
                <w:sz w:val="18"/>
                <w:szCs w:val="18"/>
              </w:rPr>
              <w:br/>
            </w:r>
            <w:r w:rsidR="00894AB9" w:rsidRPr="00344F5B">
              <w:rPr>
                <w:rFonts w:asciiTheme="minorHAnsi" w:hAnsiTheme="minorHAnsi" w:cstheme="minorHAnsi"/>
                <w:color w:val="000000"/>
                <w:sz w:val="18"/>
                <w:szCs w:val="18"/>
              </w:rPr>
              <w:br/>
            </w:r>
            <w:r w:rsidR="00894AB9" w:rsidRPr="000110D5">
              <w:rPr>
                <w:rFonts w:asciiTheme="minorHAnsi" w:hAnsiTheme="minorHAnsi" w:cstheme="minorHAnsi"/>
                <w:color w:val="000000"/>
                <w:sz w:val="18"/>
                <w:szCs w:val="18"/>
              </w:rPr>
              <w:t>Category 1 submission</w:t>
            </w:r>
            <w:r w:rsidR="00894AB9" w:rsidRPr="00344F5B">
              <w:rPr>
                <w:rFonts w:asciiTheme="minorHAnsi" w:hAnsiTheme="minorHAnsi" w:cstheme="minorHAnsi"/>
                <w:color w:val="000000"/>
                <w:sz w:val="18"/>
                <w:szCs w:val="18"/>
              </w:rPr>
              <w:br/>
              <w:t>(New PBS listing)</w:t>
            </w:r>
          </w:p>
        </w:tc>
        <w:tc>
          <w:tcPr>
            <w:tcW w:w="2764" w:type="dxa"/>
            <w:shd w:val="clear" w:color="auto" w:fill="auto"/>
            <w:vAlign w:val="center"/>
          </w:tcPr>
          <w:p w14:paraId="5E83F145" w14:textId="1F2BEAB3"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Cushing syndrome</w:t>
            </w:r>
            <w:r w:rsidR="00274815">
              <w:rPr>
                <w:rFonts w:asciiTheme="minorHAnsi" w:hAnsiTheme="minorHAnsi" w:cstheme="minorHAnsi"/>
                <w:color w:val="000000"/>
                <w:sz w:val="18"/>
                <w:szCs w:val="18"/>
              </w:rPr>
              <w:t xml:space="preserve"> (CS)</w:t>
            </w:r>
          </w:p>
        </w:tc>
        <w:tc>
          <w:tcPr>
            <w:tcW w:w="3288" w:type="dxa"/>
            <w:shd w:val="clear" w:color="auto" w:fill="auto"/>
            <w:tcMar>
              <w:top w:w="28" w:type="dxa"/>
              <w:bottom w:w="28" w:type="dxa"/>
            </w:tcMar>
            <w:vAlign w:val="center"/>
          </w:tcPr>
          <w:p w14:paraId="06CBCBC5" w14:textId="6F723E7A"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To request a General Schedule Authority Required (telephone/online) listing for the treatment of adult patients with endogenous </w:t>
            </w:r>
            <w:r w:rsidR="00274815">
              <w:rPr>
                <w:rFonts w:asciiTheme="minorHAnsi" w:hAnsiTheme="minorHAnsi" w:cstheme="minorHAnsi"/>
                <w:color w:val="000000"/>
                <w:sz w:val="18"/>
                <w:szCs w:val="18"/>
              </w:rPr>
              <w:t>CS</w:t>
            </w:r>
            <w:r w:rsidRPr="00344F5B">
              <w:rPr>
                <w:rFonts w:asciiTheme="minorHAnsi" w:hAnsiTheme="minorHAnsi" w:cstheme="minorHAnsi"/>
                <w:color w:val="000000"/>
                <w:sz w:val="18"/>
                <w:szCs w:val="18"/>
              </w:rPr>
              <w:t xml:space="preserve"> who are not candidates for surgery or for whom surgery was not curative.</w:t>
            </w:r>
          </w:p>
        </w:tc>
        <w:tc>
          <w:tcPr>
            <w:tcW w:w="1987" w:type="dxa"/>
            <w:shd w:val="clear" w:color="auto" w:fill="auto"/>
            <w:vAlign w:val="center"/>
          </w:tcPr>
          <w:p w14:paraId="53550707" w14:textId="4CA8C392"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Not Recommended</w:t>
            </w:r>
          </w:p>
        </w:tc>
        <w:tc>
          <w:tcPr>
            <w:tcW w:w="4336" w:type="dxa"/>
            <w:shd w:val="clear" w:color="auto" w:fill="auto"/>
            <w:vAlign w:val="center"/>
          </w:tcPr>
          <w:p w14:paraId="01639FD2" w14:textId="354C015E" w:rsidR="00894AB9" w:rsidRPr="000110D5"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The PBAC did not recommend osilodrostat for the treatment of adult patients with endogenous CS who were not candidates for surgery or for whom surgery was not curative. The PBAC acknowledged the high mortality and the morbidity associated with the disease, and the lack of</w:t>
            </w:r>
            <w:r w:rsidR="00304CF9">
              <w:rPr>
                <w:rFonts w:asciiTheme="minorHAnsi" w:hAnsiTheme="minorHAnsi" w:cstheme="minorHAnsi"/>
                <w:color w:val="000000"/>
                <w:sz w:val="18"/>
                <w:szCs w:val="18"/>
              </w:rPr>
              <w:t xml:space="preserve"> a </w:t>
            </w:r>
            <w:r w:rsidRPr="0011605A">
              <w:rPr>
                <w:rFonts w:asciiTheme="minorHAnsi" w:hAnsiTheme="minorHAnsi" w:cstheme="minorHAnsi"/>
                <w:color w:val="000000"/>
                <w:sz w:val="18"/>
                <w:szCs w:val="18"/>
              </w:rPr>
              <w:t>PBS listed medicine for this condition. The PBAC considered that, although there was evidence that osilodrostat was effective in the short term and response would likely be maintained for longer periods, the magnitude of the benefit of this therapy and its cost-effectiveness was highly uncertain. The PBAC considered that the economic analysis of incremental cost per extra responder as presented was not informative as it did not capture the costs and value of the long-term use and improvement in quality of life that may result from treatment with osilodrostat.</w:t>
            </w:r>
          </w:p>
          <w:p w14:paraId="79396BA1"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7FFB75CD" w14:textId="0816D283" w:rsidR="000B2A2E" w:rsidRPr="000B2A2E" w:rsidRDefault="000264A2" w:rsidP="00894AB9">
            <w:pPr>
              <w:rPr>
                <w:rFonts w:asciiTheme="minorHAnsi" w:hAnsiTheme="minorHAnsi" w:cstheme="minorHAnsi"/>
                <w:color w:val="000000"/>
                <w:sz w:val="18"/>
                <w:szCs w:val="18"/>
              </w:rPr>
            </w:pPr>
            <w:r w:rsidRPr="000264A2">
              <w:rPr>
                <w:rFonts w:asciiTheme="minorHAnsi" w:hAnsiTheme="minorHAnsi" w:cstheme="minorHAnsi"/>
                <w:color w:val="000000"/>
                <w:sz w:val="18"/>
                <w:szCs w:val="18"/>
              </w:rPr>
              <w:t xml:space="preserve">Recordati Rare Diseases is disappointed in the outcome of the PBAC. We look forward to continuing working closely with the PBAC to address their concerns and ensure that patients with endogenous </w:t>
            </w:r>
            <w:r>
              <w:rPr>
                <w:rFonts w:asciiTheme="minorHAnsi" w:hAnsiTheme="minorHAnsi" w:cstheme="minorHAnsi"/>
                <w:color w:val="000000"/>
                <w:sz w:val="18"/>
                <w:szCs w:val="18"/>
              </w:rPr>
              <w:t xml:space="preserve">CS </w:t>
            </w:r>
            <w:r w:rsidRPr="000264A2">
              <w:rPr>
                <w:rFonts w:asciiTheme="minorHAnsi" w:hAnsiTheme="minorHAnsi" w:cstheme="minorHAnsi"/>
                <w:color w:val="000000"/>
                <w:sz w:val="18"/>
                <w:szCs w:val="18"/>
              </w:rPr>
              <w:t>can access medical treatment on the PBS for this rare and severe condition</w:t>
            </w:r>
            <w:r>
              <w:rPr>
                <w:rFonts w:asciiTheme="minorHAnsi" w:hAnsiTheme="minorHAnsi" w:cstheme="minorHAnsi"/>
                <w:color w:val="000000"/>
                <w:sz w:val="18"/>
                <w:szCs w:val="18"/>
              </w:rPr>
              <w:t>.</w:t>
            </w:r>
          </w:p>
        </w:tc>
      </w:tr>
      <w:tr w:rsidR="00894AB9" w:rsidRPr="00544497" w14:paraId="15822741" w14:textId="77777777" w:rsidTr="00C70218">
        <w:trPr>
          <w:cantSplit/>
          <w:trHeight w:val="2948"/>
          <w:jc w:val="center"/>
        </w:trPr>
        <w:tc>
          <w:tcPr>
            <w:tcW w:w="3013" w:type="dxa"/>
            <w:shd w:val="clear" w:color="auto" w:fill="auto"/>
            <w:tcMar>
              <w:top w:w="28" w:type="dxa"/>
              <w:bottom w:w="28" w:type="dxa"/>
            </w:tcMar>
            <w:vAlign w:val="center"/>
          </w:tcPr>
          <w:p w14:paraId="7031AD2E" w14:textId="742105A6"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PATIROMER</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Sachet, 8.4</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g powder for oral liquid </w:t>
            </w:r>
            <w:r w:rsidRPr="00344F5B">
              <w:rPr>
                <w:rFonts w:asciiTheme="minorHAnsi" w:hAnsiTheme="minorHAnsi" w:cstheme="minorHAnsi"/>
                <w:color w:val="000000"/>
                <w:sz w:val="18"/>
                <w:szCs w:val="18"/>
              </w:rPr>
              <w:br/>
              <w:t>Sachet, 16.8</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g powder for oral liquid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Veltassa®</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Vifor Pharma Pty Limited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Early re-entry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3CCDBC31" w14:textId="31E2A332"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Hyperkalaemia</w:t>
            </w:r>
          </w:p>
        </w:tc>
        <w:tc>
          <w:tcPr>
            <w:tcW w:w="3288" w:type="dxa"/>
            <w:shd w:val="clear" w:color="auto" w:fill="auto"/>
            <w:tcMar>
              <w:top w:w="28" w:type="dxa"/>
              <w:bottom w:w="28" w:type="dxa"/>
            </w:tcMar>
            <w:vAlign w:val="center"/>
          </w:tcPr>
          <w:p w14:paraId="3BB96EA8" w14:textId="5EB2E6AC"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Resubmission to request a General Schedule Authority Required listing for the treatment of chronic hyperkalaemia in patients with stage 3 or stage 4 chronic kidney disease</w:t>
            </w:r>
            <w:r w:rsidR="00C77906">
              <w:rPr>
                <w:rFonts w:asciiTheme="minorHAnsi" w:hAnsiTheme="minorHAnsi" w:cstheme="minorHAnsi"/>
                <w:color w:val="000000"/>
                <w:sz w:val="18"/>
                <w:szCs w:val="18"/>
              </w:rPr>
              <w:t xml:space="preserve"> (CKD)</w:t>
            </w:r>
            <w:r w:rsidRPr="00344F5B">
              <w:rPr>
                <w:rFonts w:asciiTheme="minorHAnsi" w:hAnsiTheme="minorHAnsi" w:cstheme="minorHAnsi"/>
                <w:color w:val="000000"/>
                <w:sz w:val="18"/>
                <w:szCs w:val="18"/>
              </w:rPr>
              <w:t>.</w:t>
            </w:r>
          </w:p>
        </w:tc>
        <w:tc>
          <w:tcPr>
            <w:tcW w:w="1987" w:type="dxa"/>
            <w:shd w:val="clear" w:color="auto" w:fill="auto"/>
            <w:vAlign w:val="center"/>
          </w:tcPr>
          <w:p w14:paraId="53D6E81D" w14:textId="1153E4D5"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76938C81" w14:textId="666DA820"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the listing of patiromer for the treatment of adult patients with CKD Stage 3-4, with chronic hyperkalaemia (at least two episodes of serum potassium ≥</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6.0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mmol/L in the previous 12 months), who are receiving at least one renin angiotensin aldosterone system inhibitor (RAASi) or are indicated for a RAASi but are unable to tolerate it due to prior occurrence of hyperkalaemia. The PBAC considered that the cost minimisation approach presented was appropriate and the financial impact estimates were reasonable.</w:t>
            </w:r>
          </w:p>
        </w:tc>
      </w:tr>
      <w:tr w:rsidR="00894AB9" w:rsidRPr="00544497" w14:paraId="02F6AB58" w14:textId="77777777" w:rsidTr="00C70218">
        <w:trPr>
          <w:cantSplit/>
          <w:trHeight w:val="2948"/>
          <w:jc w:val="center"/>
        </w:trPr>
        <w:tc>
          <w:tcPr>
            <w:tcW w:w="3013" w:type="dxa"/>
            <w:shd w:val="clear" w:color="auto" w:fill="auto"/>
            <w:tcMar>
              <w:top w:w="28" w:type="dxa"/>
              <w:bottom w:w="28" w:type="dxa"/>
            </w:tcMar>
            <w:vAlign w:val="center"/>
          </w:tcPr>
          <w:p w14:paraId="1B9E4EC0" w14:textId="4DAA73FC"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PEMBROLIZUMAB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concentrate for I.V. infusion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4</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Keytruda®</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Merck Sharp &amp; Dohme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1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233FD5BF" w14:textId="1F3078EB"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Breast cancer</w:t>
            </w:r>
          </w:p>
        </w:tc>
        <w:tc>
          <w:tcPr>
            <w:tcW w:w="3288" w:type="dxa"/>
            <w:shd w:val="clear" w:color="auto" w:fill="auto"/>
            <w:tcMar>
              <w:top w:w="28" w:type="dxa"/>
              <w:bottom w:w="28" w:type="dxa"/>
            </w:tcMar>
            <w:vAlign w:val="center"/>
          </w:tcPr>
          <w:p w14:paraId="62F7D5FE" w14:textId="219B9834"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(Efficient Funding of Chemotherapy) Authority Required (STREAMLINED) listing for the treatment of locally recurrent unresectable or metastatic triple negative breast cancer.</w:t>
            </w:r>
          </w:p>
        </w:tc>
        <w:tc>
          <w:tcPr>
            <w:tcW w:w="1987" w:type="dxa"/>
            <w:shd w:val="clear" w:color="auto" w:fill="auto"/>
            <w:vAlign w:val="center"/>
          </w:tcPr>
          <w:p w14:paraId="58D94C0C" w14:textId="692ACBA5"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2347578E" w14:textId="7DC06BB5"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sz w:val="18"/>
                <w:szCs w:val="18"/>
              </w:rPr>
              <w:t xml:space="preserve">The PBAC recommended the listing of pembrolizumab for the treatment of patients with locally recurrent unresectable or metastatic triple negative breast cancer whose tumours express PD-L1 (CPS </w:t>
            </w:r>
            <w:r w:rsidRPr="00474C93">
              <w:rPr>
                <w:rFonts w:asciiTheme="minorHAnsi" w:hAnsiTheme="minorHAnsi" w:cstheme="minorHAnsi"/>
                <w:color w:val="000000"/>
                <w:sz w:val="18"/>
                <w:szCs w:val="18"/>
              </w:rPr>
              <w:t>≥</w:t>
            </w:r>
            <w:r>
              <w:rPr>
                <w:rFonts w:asciiTheme="minorHAnsi" w:hAnsiTheme="minorHAnsi" w:cstheme="minorHAnsi"/>
                <w:color w:val="000000"/>
                <w:sz w:val="18"/>
                <w:szCs w:val="18"/>
              </w:rPr>
              <w:t> </w:t>
            </w:r>
            <w:r w:rsidRPr="00344F5B">
              <w:rPr>
                <w:rFonts w:asciiTheme="minorHAnsi" w:hAnsiTheme="minorHAnsi" w:cstheme="minorHAnsi"/>
                <w:sz w:val="18"/>
                <w:szCs w:val="18"/>
              </w:rPr>
              <w:t>10). The PBAC noted there is a high clinical need for effective treatment in this patient population, who are typically young and have a poor prognosis. The PBAC is satisfied that pembrolizumab in combination with chemotherapy provides a meaningful improvement in overall survival, compared with standard chemotherapy alone. The PBAC considered that pembrolizumab would be</w:t>
            </w:r>
            <w:r w:rsidR="00C77906">
              <w:rPr>
                <w:rFonts w:asciiTheme="minorHAnsi" w:hAnsiTheme="minorHAnsi" w:cstheme="minorHAnsi"/>
                <w:sz w:val="18"/>
                <w:szCs w:val="18"/>
              </w:rPr>
              <w:t xml:space="preserve"> </w:t>
            </w:r>
            <w:r w:rsidRPr="00344F5B">
              <w:rPr>
                <w:rFonts w:asciiTheme="minorHAnsi" w:hAnsiTheme="minorHAnsi" w:cstheme="minorHAnsi"/>
                <w:sz w:val="18"/>
                <w:szCs w:val="18"/>
              </w:rPr>
              <w:t xml:space="preserve">cost-effective at the price proposed in the pre-PBAC response. </w:t>
            </w:r>
          </w:p>
        </w:tc>
      </w:tr>
      <w:tr w:rsidR="00803300" w:rsidRPr="00544497" w14:paraId="022CAB1F" w14:textId="77777777" w:rsidTr="00803300">
        <w:trPr>
          <w:cantSplit/>
          <w:trHeight w:val="2948"/>
          <w:jc w:val="center"/>
        </w:trPr>
        <w:tc>
          <w:tcPr>
            <w:tcW w:w="3013" w:type="dxa"/>
            <w:shd w:val="clear" w:color="auto" w:fill="auto"/>
            <w:tcMar>
              <w:top w:w="28" w:type="dxa"/>
              <w:bottom w:w="28" w:type="dxa"/>
            </w:tcMar>
            <w:vAlign w:val="center"/>
          </w:tcPr>
          <w:p w14:paraId="25CAA8A9" w14:textId="2459B7B3" w:rsidR="00803300" w:rsidRPr="00344F5B" w:rsidRDefault="00803300" w:rsidP="00803300">
            <w:pPr>
              <w:keepLines/>
              <w:jc w:val="center"/>
              <w:rPr>
                <w:rFonts w:asciiTheme="minorHAnsi" w:hAnsiTheme="minorHAnsi" w:cstheme="minorHAnsi"/>
                <w:color w:val="000000"/>
                <w:sz w:val="18"/>
                <w:szCs w:val="18"/>
              </w:rPr>
            </w:pPr>
            <w:r w:rsidRPr="00803300">
              <w:rPr>
                <w:rFonts w:asciiTheme="minorHAnsi" w:hAnsiTheme="minorHAnsi" w:cstheme="minorHAnsi"/>
                <w:color w:val="000000"/>
                <w:sz w:val="18"/>
                <w:szCs w:val="18"/>
              </w:rPr>
              <w:t>PEMBROLIZUMAB</w:t>
            </w:r>
            <w:r w:rsidRPr="00803300">
              <w:rPr>
                <w:rFonts w:asciiTheme="minorHAnsi" w:hAnsiTheme="minorHAnsi" w:cstheme="minorHAnsi"/>
                <w:color w:val="000000"/>
                <w:sz w:val="18"/>
                <w:szCs w:val="18"/>
              </w:rPr>
              <w:br/>
            </w:r>
            <w:r w:rsidRPr="00803300">
              <w:rPr>
                <w:rFonts w:asciiTheme="minorHAnsi" w:hAnsiTheme="minorHAnsi" w:cstheme="minorHAnsi"/>
                <w:color w:val="000000"/>
                <w:sz w:val="18"/>
                <w:szCs w:val="18"/>
              </w:rPr>
              <w:br/>
              <w:t>Solution concentrate for I.V. infusion 100 mg in 4 mL</w:t>
            </w:r>
            <w:r w:rsidRPr="00803300">
              <w:rPr>
                <w:rFonts w:asciiTheme="minorHAnsi" w:hAnsiTheme="minorHAnsi" w:cstheme="minorHAnsi"/>
                <w:color w:val="000000"/>
                <w:sz w:val="18"/>
                <w:szCs w:val="18"/>
              </w:rPr>
              <w:br/>
            </w:r>
            <w:r w:rsidRPr="00803300">
              <w:rPr>
                <w:rFonts w:asciiTheme="minorHAnsi" w:hAnsiTheme="minorHAnsi" w:cstheme="minorHAnsi"/>
                <w:color w:val="000000"/>
                <w:sz w:val="18"/>
                <w:szCs w:val="18"/>
              </w:rPr>
              <w:br/>
              <w:t>Keytruda®</w:t>
            </w:r>
            <w:r w:rsidRPr="00803300">
              <w:rPr>
                <w:rFonts w:asciiTheme="minorHAnsi" w:hAnsiTheme="minorHAnsi" w:cstheme="minorHAnsi"/>
                <w:color w:val="000000"/>
                <w:sz w:val="18"/>
                <w:szCs w:val="18"/>
              </w:rPr>
              <w:br/>
            </w:r>
            <w:r w:rsidRPr="00803300">
              <w:rPr>
                <w:rFonts w:asciiTheme="minorHAnsi" w:hAnsiTheme="minorHAnsi" w:cstheme="minorHAnsi"/>
                <w:color w:val="000000"/>
                <w:sz w:val="18"/>
                <w:szCs w:val="18"/>
              </w:rPr>
              <w:br/>
              <w:t>Merck Sharp &amp; Dohme (Australia) Pty Ltd</w:t>
            </w:r>
            <w:r w:rsidRPr="00803300">
              <w:rPr>
                <w:rFonts w:asciiTheme="minorHAnsi" w:hAnsiTheme="minorHAnsi" w:cstheme="minorHAnsi"/>
                <w:color w:val="000000"/>
                <w:sz w:val="18"/>
                <w:szCs w:val="18"/>
              </w:rPr>
              <w:br/>
            </w:r>
            <w:r w:rsidRPr="00803300">
              <w:rPr>
                <w:rFonts w:asciiTheme="minorHAnsi" w:hAnsiTheme="minorHAnsi" w:cstheme="minorHAnsi"/>
                <w:color w:val="000000"/>
                <w:sz w:val="18"/>
                <w:szCs w:val="18"/>
              </w:rPr>
              <w:br/>
              <w:t>Matters outstanding</w:t>
            </w:r>
            <w:r w:rsidRPr="00803300">
              <w:rPr>
                <w:rFonts w:asciiTheme="minorHAnsi" w:hAnsiTheme="minorHAnsi" w:cstheme="minorHAnsi"/>
                <w:color w:val="000000"/>
                <w:sz w:val="18"/>
                <w:szCs w:val="18"/>
              </w:rPr>
              <w:br/>
              <w:t>(Change to PBS listing)</w:t>
            </w:r>
          </w:p>
        </w:tc>
        <w:tc>
          <w:tcPr>
            <w:tcW w:w="2764" w:type="dxa"/>
            <w:shd w:val="clear" w:color="auto" w:fill="auto"/>
            <w:vAlign w:val="center"/>
          </w:tcPr>
          <w:p w14:paraId="6AB5298B" w14:textId="20E926E5" w:rsidR="00803300" w:rsidRPr="00344F5B" w:rsidRDefault="00803300" w:rsidP="00803300">
            <w:pPr>
              <w:keepLines/>
              <w:widowControl w:val="0"/>
              <w:jc w:val="center"/>
              <w:rPr>
                <w:rFonts w:asciiTheme="minorHAnsi" w:hAnsiTheme="minorHAnsi" w:cstheme="minorHAnsi"/>
                <w:color w:val="000000"/>
                <w:sz w:val="18"/>
                <w:szCs w:val="18"/>
              </w:rPr>
            </w:pPr>
            <w:r w:rsidRPr="00803300">
              <w:rPr>
                <w:rFonts w:asciiTheme="minorHAnsi" w:hAnsiTheme="minorHAnsi" w:cstheme="minorHAnsi"/>
                <w:color w:val="000000"/>
                <w:sz w:val="18"/>
                <w:szCs w:val="18"/>
              </w:rPr>
              <w:t>Endometrial cancer</w:t>
            </w:r>
          </w:p>
        </w:tc>
        <w:tc>
          <w:tcPr>
            <w:tcW w:w="3288" w:type="dxa"/>
            <w:shd w:val="clear" w:color="auto" w:fill="auto"/>
            <w:tcMar>
              <w:top w:w="28" w:type="dxa"/>
              <w:bottom w:w="28" w:type="dxa"/>
            </w:tcMar>
            <w:vAlign w:val="center"/>
          </w:tcPr>
          <w:p w14:paraId="2B85E301" w14:textId="133DAC72" w:rsidR="00803300" w:rsidRPr="00803300" w:rsidRDefault="00803300" w:rsidP="00ED4ED9">
            <w:pPr>
              <w:spacing w:after="120"/>
              <w:jc w:val="center"/>
              <w:rPr>
                <w:rFonts w:asciiTheme="minorHAnsi" w:hAnsiTheme="minorHAnsi" w:cstheme="minorHAnsi"/>
                <w:color w:val="000000"/>
                <w:sz w:val="18"/>
                <w:szCs w:val="18"/>
              </w:rPr>
            </w:pPr>
            <w:r w:rsidRPr="00803300">
              <w:rPr>
                <w:rFonts w:asciiTheme="minorHAnsi" w:hAnsiTheme="minorHAnsi" w:cstheme="minorHAnsi"/>
                <w:color w:val="000000"/>
                <w:sz w:val="18"/>
                <w:szCs w:val="18"/>
              </w:rPr>
              <w:t>To seek the PBAC’s advice regarding whether the cost per patient based on the current price offers for pembrolizumab and lenvatinib for the treatment of endometrial cancer is acceptably cost-effective.</w:t>
            </w:r>
          </w:p>
          <w:p w14:paraId="4307A4A5" w14:textId="77777777" w:rsidR="00803300" w:rsidRPr="00803300" w:rsidRDefault="00803300" w:rsidP="0014567E">
            <w:pPr>
              <w:pStyle w:val="ListParagraph"/>
              <w:keepLines/>
              <w:ind w:left="0"/>
              <w:jc w:val="center"/>
              <w:rPr>
                <w:rFonts w:asciiTheme="minorHAnsi" w:eastAsia="Times New Roman" w:hAnsiTheme="minorHAnsi" w:cstheme="minorHAnsi"/>
                <w:color w:val="000000"/>
                <w:sz w:val="18"/>
                <w:szCs w:val="18"/>
              </w:rPr>
            </w:pPr>
          </w:p>
        </w:tc>
        <w:tc>
          <w:tcPr>
            <w:tcW w:w="1987" w:type="dxa"/>
            <w:shd w:val="clear" w:color="auto" w:fill="auto"/>
            <w:vAlign w:val="center"/>
          </w:tcPr>
          <w:p w14:paraId="17441E0B" w14:textId="6DDCA01D" w:rsidR="00803300" w:rsidRPr="00803300" w:rsidRDefault="00803300" w:rsidP="00803300">
            <w:pPr>
              <w:pStyle w:val="ListParagraph"/>
              <w:keepLines/>
              <w:ind w:left="0"/>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Advice Provided</w:t>
            </w:r>
          </w:p>
        </w:tc>
        <w:tc>
          <w:tcPr>
            <w:tcW w:w="4336" w:type="dxa"/>
            <w:shd w:val="clear" w:color="auto" w:fill="auto"/>
          </w:tcPr>
          <w:p w14:paraId="3AFA604D" w14:textId="77777777" w:rsidR="00803300" w:rsidRPr="00803300" w:rsidRDefault="00803300" w:rsidP="00803300">
            <w:pPr>
              <w:rPr>
                <w:rFonts w:asciiTheme="minorHAnsi" w:hAnsiTheme="minorHAnsi" w:cstheme="minorHAnsi"/>
                <w:color w:val="000000"/>
                <w:sz w:val="18"/>
                <w:szCs w:val="18"/>
              </w:rPr>
            </w:pPr>
            <w:r w:rsidRPr="00803300">
              <w:rPr>
                <w:rFonts w:asciiTheme="minorHAnsi" w:hAnsiTheme="minorHAnsi" w:cstheme="minorHAnsi"/>
                <w:color w:val="000000"/>
                <w:sz w:val="18"/>
                <w:szCs w:val="18"/>
              </w:rPr>
              <w:t xml:space="preserve">At its March 2022 meeting, the PBAC recommended the listing of pembrolizumab in combination with lenvatinib for the treatment of patients with advanced endometrial cancer who have disease progression following prior systemic therapy regardless of biomarker status. </w:t>
            </w:r>
          </w:p>
          <w:p w14:paraId="324D3D25" w14:textId="77777777" w:rsidR="00803300" w:rsidRPr="00803300" w:rsidRDefault="00803300" w:rsidP="00803300">
            <w:pPr>
              <w:rPr>
                <w:rFonts w:asciiTheme="minorHAnsi" w:hAnsiTheme="minorHAnsi" w:cstheme="minorHAnsi"/>
                <w:color w:val="000000"/>
                <w:sz w:val="18"/>
                <w:szCs w:val="18"/>
              </w:rPr>
            </w:pPr>
            <w:r w:rsidRPr="00803300">
              <w:rPr>
                <w:rFonts w:asciiTheme="minorHAnsi" w:hAnsiTheme="minorHAnsi" w:cstheme="minorHAnsi"/>
                <w:color w:val="000000"/>
                <w:sz w:val="18"/>
                <w:szCs w:val="18"/>
              </w:rPr>
              <w:t xml:space="preserve"> </w:t>
            </w:r>
          </w:p>
          <w:p w14:paraId="2B414624" w14:textId="582F7FBE" w:rsidR="00803300" w:rsidRPr="00803300" w:rsidRDefault="00803300" w:rsidP="00803300">
            <w:pPr>
              <w:rPr>
                <w:rFonts w:asciiTheme="minorHAnsi" w:hAnsiTheme="minorHAnsi" w:cstheme="minorHAnsi"/>
                <w:color w:val="000000"/>
                <w:sz w:val="18"/>
                <w:szCs w:val="18"/>
              </w:rPr>
            </w:pPr>
            <w:r w:rsidRPr="00803300">
              <w:rPr>
                <w:rFonts w:asciiTheme="minorHAnsi" w:hAnsiTheme="minorHAnsi" w:cstheme="minorHAnsi"/>
                <w:color w:val="000000"/>
                <w:sz w:val="18"/>
                <w:szCs w:val="18"/>
              </w:rPr>
              <w:t>The PBAC noted the sponsors’ price offers for pembrolizumab and lenvatinib resulted in an incremental cost-effectiveness ratio (ICER) higher than the basis of its March 2022 recommendation. The PBAC considered that, on balance, the resulting ICER was acceptably cost-effective, noting the high clinical need in this patient population.</w:t>
            </w:r>
          </w:p>
        </w:tc>
      </w:tr>
      <w:tr w:rsidR="00894AB9" w:rsidRPr="00544497" w14:paraId="46ED49FD" w14:textId="77777777" w:rsidTr="00C70218">
        <w:trPr>
          <w:cantSplit/>
          <w:trHeight w:val="1136"/>
          <w:jc w:val="center"/>
        </w:trPr>
        <w:tc>
          <w:tcPr>
            <w:tcW w:w="3013" w:type="dxa"/>
            <w:shd w:val="clear" w:color="auto" w:fill="auto"/>
            <w:tcMar>
              <w:top w:w="28" w:type="dxa"/>
              <w:bottom w:w="28" w:type="dxa"/>
            </w:tcMar>
            <w:vAlign w:val="center"/>
          </w:tcPr>
          <w:p w14:paraId="05AE09ED" w14:textId="546FE2CB"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PEMBROLIZUMAB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concentrate for I.V. infusion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4</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Keytruda®</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Merck Sharp &amp; Dohme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1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00BF892A" w14:textId="635C6D12"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Breast cancer</w:t>
            </w:r>
          </w:p>
        </w:tc>
        <w:tc>
          <w:tcPr>
            <w:tcW w:w="3288" w:type="dxa"/>
            <w:shd w:val="clear" w:color="auto" w:fill="auto"/>
            <w:tcMar>
              <w:top w:w="28" w:type="dxa"/>
              <w:bottom w:w="28" w:type="dxa"/>
            </w:tcMar>
            <w:vAlign w:val="center"/>
          </w:tcPr>
          <w:p w14:paraId="4EFDCF59" w14:textId="0800208E"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(Efficient Funding of Chemotherapy) Authority Required (STREAMLINED) listing for the treatment of early stage triple negative breast cancer in patients who have not received prior systemic therapy.</w:t>
            </w:r>
          </w:p>
        </w:tc>
        <w:tc>
          <w:tcPr>
            <w:tcW w:w="1987" w:type="dxa"/>
            <w:shd w:val="clear" w:color="auto" w:fill="auto"/>
            <w:vAlign w:val="center"/>
          </w:tcPr>
          <w:p w14:paraId="7A0860EC" w14:textId="5459CBF7"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eastAsia="Times New Roman" w:hAnsiTheme="minorHAnsi" w:cstheme="minorHAnsi"/>
                <w:color w:val="000000"/>
                <w:sz w:val="18"/>
                <w:szCs w:val="18"/>
              </w:rPr>
              <w:t>Not Recommended</w:t>
            </w:r>
          </w:p>
        </w:tc>
        <w:tc>
          <w:tcPr>
            <w:tcW w:w="4336" w:type="dxa"/>
            <w:shd w:val="clear" w:color="auto" w:fill="auto"/>
            <w:vAlign w:val="center"/>
          </w:tcPr>
          <w:p w14:paraId="13F2AE1B" w14:textId="47B7ECCF" w:rsidR="00894AB9" w:rsidRDefault="00E76DCC" w:rsidP="00431211">
            <w:pPr>
              <w:keepLines/>
              <w:spacing w:after="120"/>
              <w:rPr>
                <w:rFonts w:asciiTheme="minorHAnsi" w:hAnsiTheme="minorHAnsi" w:cstheme="minorHAnsi"/>
                <w:color w:val="000000"/>
                <w:sz w:val="18"/>
                <w:szCs w:val="18"/>
              </w:rPr>
            </w:pPr>
            <w:r w:rsidRPr="00E76DCC">
              <w:rPr>
                <w:rFonts w:asciiTheme="minorHAnsi" w:hAnsiTheme="minorHAnsi" w:cstheme="minorHAnsi"/>
                <w:color w:val="000000"/>
                <w:sz w:val="18"/>
                <w:szCs w:val="18"/>
              </w:rPr>
              <w:t>The PBAC did not recommend the listing of pembrolizumab, for the treatment of early stage triple negative breast cancer. The PBAC noted there is a high clinical need for effective treatment in this patient population, who are typically young and have a poor prognosis. The PBAC considered that pembrolizumab in combination with chemotherapy provides a meaningful improvement in event free survival, compared with standard chemotherapy alone, however overall survival data were immature. The PBAC advised that inputs to the economic model should be revised to reflect the uncertainty in overall survival, and a price reduction would be required for pembrolizumab to be considered cost effective in the early stage treatment setting.</w:t>
            </w:r>
          </w:p>
          <w:p w14:paraId="7604A873" w14:textId="58394427" w:rsidR="00431211" w:rsidRPr="000110D5" w:rsidRDefault="00431211" w:rsidP="00D936B4">
            <w:pPr>
              <w:keepLines/>
              <w:spacing w:after="120"/>
              <w:rPr>
                <w:rFonts w:asciiTheme="minorHAnsi" w:hAnsiTheme="minorHAnsi" w:cstheme="minorHAnsi"/>
                <w:color w:val="000000"/>
                <w:sz w:val="18"/>
                <w:szCs w:val="18"/>
              </w:rPr>
            </w:pPr>
            <w:r w:rsidRPr="00C658F4">
              <w:rPr>
                <w:rFonts w:asciiTheme="minorHAnsi" w:hAnsiTheme="minorHAnsi" w:cstheme="minorHAnsi"/>
                <w:color w:val="000000"/>
                <w:sz w:val="18"/>
                <w:szCs w:val="18"/>
              </w:rPr>
              <w:t xml:space="preserve">The PBAC </w:t>
            </w:r>
            <w:r w:rsidR="004C6736">
              <w:rPr>
                <w:rFonts w:asciiTheme="minorHAnsi" w:hAnsiTheme="minorHAnsi" w:cstheme="minorHAnsi"/>
                <w:color w:val="000000"/>
                <w:sz w:val="18"/>
                <w:szCs w:val="18"/>
              </w:rPr>
              <w:t>nominated the</w:t>
            </w:r>
            <w:r w:rsidRPr="00C658F4">
              <w:rPr>
                <w:rFonts w:asciiTheme="minorHAnsi" w:hAnsiTheme="minorHAnsi" w:cstheme="minorHAnsi"/>
                <w:color w:val="000000"/>
                <w:sz w:val="18"/>
                <w:szCs w:val="18"/>
              </w:rPr>
              <w:t xml:space="preserve"> early re-entry resubmission pathway for </w:t>
            </w:r>
            <w:r>
              <w:rPr>
                <w:rFonts w:asciiTheme="minorHAnsi" w:hAnsiTheme="minorHAnsi" w:cstheme="minorHAnsi"/>
                <w:color w:val="000000"/>
                <w:sz w:val="18"/>
                <w:szCs w:val="18"/>
              </w:rPr>
              <w:t>pembrolizumab</w:t>
            </w:r>
            <w:r w:rsidRPr="00C658F4">
              <w:rPr>
                <w:rFonts w:asciiTheme="minorHAnsi" w:hAnsiTheme="minorHAnsi" w:cstheme="minorHAnsi"/>
                <w:color w:val="000000"/>
                <w:sz w:val="18"/>
                <w:szCs w:val="18"/>
              </w:rPr>
              <w:t>.</w:t>
            </w:r>
          </w:p>
          <w:p w14:paraId="5C546024" w14:textId="77777777" w:rsidR="00894AB9" w:rsidRDefault="00894AB9" w:rsidP="00894AB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2E7B3000" w14:textId="03205877" w:rsidR="007221D3" w:rsidRPr="007221D3" w:rsidRDefault="007221D3" w:rsidP="00894AB9">
            <w:pPr>
              <w:rPr>
                <w:rFonts w:asciiTheme="minorHAnsi" w:hAnsiTheme="minorHAnsi" w:cstheme="minorHAnsi"/>
                <w:color w:val="000000"/>
                <w:sz w:val="18"/>
                <w:szCs w:val="18"/>
              </w:rPr>
            </w:pPr>
            <w:r w:rsidRPr="007221D3">
              <w:rPr>
                <w:rFonts w:asciiTheme="minorHAnsi" w:hAnsiTheme="minorHAnsi" w:cstheme="minorHAnsi"/>
                <w:color w:val="000000"/>
                <w:sz w:val="18"/>
                <w:szCs w:val="18"/>
              </w:rPr>
              <w:t xml:space="preserve">MSD welcomes that the PBAC has acknowledged that there is a high clinical need for effective treatment in this patient population. Treatments for early stage, aggressive cancers such as </w:t>
            </w:r>
            <w:r w:rsidR="00525535">
              <w:rPr>
                <w:rFonts w:asciiTheme="minorHAnsi" w:hAnsiTheme="minorHAnsi" w:cstheme="minorHAnsi"/>
                <w:color w:val="000000"/>
                <w:sz w:val="18"/>
                <w:szCs w:val="18"/>
              </w:rPr>
              <w:t>triple negative breast cancer</w:t>
            </w:r>
            <w:r w:rsidRPr="007221D3">
              <w:rPr>
                <w:rFonts w:asciiTheme="minorHAnsi" w:hAnsiTheme="minorHAnsi" w:cstheme="minorHAnsi"/>
                <w:color w:val="000000"/>
                <w:sz w:val="18"/>
                <w:szCs w:val="18"/>
              </w:rPr>
              <w:t xml:space="preserve"> will have challenges regarding timing and maturity of survival outcomes. MSD is committed to working with the PBAC to expedite availability of pembrolizumab, so patients can get access to treatment without needing to await final overall survival data.</w:t>
            </w:r>
          </w:p>
        </w:tc>
      </w:tr>
      <w:tr w:rsidR="00894AB9" w:rsidRPr="00544497" w14:paraId="42DD270F" w14:textId="77777777" w:rsidTr="00C70218">
        <w:trPr>
          <w:cantSplit/>
          <w:trHeight w:val="2948"/>
          <w:jc w:val="center"/>
        </w:trPr>
        <w:tc>
          <w:tcPr>
            <w:tcW w:w="3013" w:type="dxa"/>
            <w:shd w:val="clear" w:color="auto" w:fill="auto"/>
            <w:tcMar>
              <w:top w:w="28" w:type="dxa"/>
              <w:bottom w:w="28" w:type="dxa"/>
            </w:tcMar>
            <w:vAlign w:val="center"/>
          </w:tcPr>
          <w:p w14:paraId="0BDA6E8E" w14:textId="69DA395D" w:rsidR="00894AB9" w:rsidRPr="00344F5B" w:rsidRDefault="00894AB9" w:rsidP="00894AB9">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PEMETREXED</w:t>
            </w:r>
            <w:r w:rsidRPr="00344F5B" w:rsidDel="00866527">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concentrate for I.V. infusion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4</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t>Solution concentrate for I.V. infusion 500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20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t>Solution concentrate for I.V. infusion 1000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40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Pemetrexed EVER Pharma</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Interpharma</w:t>
            </w:r>
            <w:proofErr w:type="spellEnd"/>
            <w:r w:rsidRPr="00344F5B">
              <w:rPr>
                <w:rFonts w:asciiTheme="minorHAnsi" w:hAnsiTheme="minorHAnsi" w:cstheme="minorHAnsi"/>
                <w:color w:val="000000"/>
                <w:sz w:val="18"/>
                <w:szCs w:val="18"/>
              </w:rPr>
              <w:t xml:space="preserve">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Committee secretariat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55CFEEE3" w14:textId="374ABE07" w:rsidR="00894AB9" w:rsidRPr="00344F5B" w:rsidRDefault="00894AB9" w:rsidP="00894AB9">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Mesothelioma </w:t>
            </w:r>
            <w:r w:rsidRPr="00344F5B">
              <w:rPr>
                <w:rFonts w:asciiTheme="minorHAnsi" w:hAnsiTheme="minorHAnsi" w:cstheme="minorHAnsi"/>
                <w:color w:val="000000"/>
                <w:sz w:val="18"/>
                <w:szCs w:val="18"/>
              </w:rPr>
              <w:br/>
              <w:t>Locally advanced or metastatic non-small cell lung cancer</w:t>
            </w:r>
          </w:p>
        </w:tc>
        <w:tc>
          <w:tcPr>
            <w:tcW w:w="3288" w:type="dxa"/>
            <w:shd w:val="clear" w:color="auto" w:fill="auto"/>
            <w:tcMar>
              <w:top w:w="28" w:type="dxa"/>
              <w:bottom w:w="28" w:type="dxa"/>
            </w:tcMar>
            <w:vAlign w:val="center"/>
          </w:tcPr>
          <w:p w14:paraId="250C683D" w14:textId="4968F200"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listing a new form of pemetrexed under the existing conditions as the currently listed pemetrexed powder for I.V. infusion.</w:t>
            </w:r>
          </w:p>
        </w:tc>
        <w:tc>
          <w:tcPr>
            <w:tcW w:w="1987" w:type="dxa"/>
            <w:shd w:val="clear" w:color="auto" w:fill="auto"/>
            <w:vAlign w:val="center"/>
          </w:tcPr>
          <w:p w14:paraId="6807A39B" w14:textId="5A18D393" w:rsidR="00894AB9" w:rsidRPr="00344F5B" w:rsidRDefault="00894AB9" w:rsidP="00894AB9">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081C5B09" w14:textId="4B55040A" w:rsidR="00894AB9" w:rsidRPr="00344F5B" w:rsidRDefault="00894AB9" w:rsidP="00894AB9">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the Section 100 </w:t>
            </w:r>
            <w:r w:rsidR="00D44105">
              <w:rPr>
                <w:rFonts w:asciiTheme="minorHAnsi" w:hAnsiTheme="minorHAnsi" w:cstheme="minorHAnsi"/>
                <w:color w:val="000000"/>
                <w:sz w:val="18"/>
                <w:szCs w:val="18"/>
              </w:rPr>
              <w:t>(</w:t>
            </w:r>
            <w:r w:rsidRPr="00344F5B">
              <w:rPr>
                <w:rFonts w:asciiTheme="minorHAnsi" w:hAnsiTheme="minorHAnsi" w:cstheme="minorHAnsi"/>
                <w:color w:val="000000"/>
                <w:sz w:val="18"/>
                <w:szCs w:val="18"/>
              </w:rPr>
              <w:t xml:space="preserve">Efficient Funding of Chemotherapy </w:t>
            </w:r>
            <w:r w:rsidR="00D44105">
              <w:rPr>
                <w:rFonts w:asciiTheme="minorHAnsi" w:hAnsiTheme="minorHAnsi" w:cstheme="minorHAnsi"/>
                <w:color w:val="000000"/>
                <w:sz w:val="18"/>
                <w:szCs w:val="18"/>
              </w:rPr>
              <w:t>P</w:t>
            </w:r>
            <w:r w:rsidRPr="00344F5B">
              <w:rPr>
                <w:rFonts w:asciiTheme="minorHAnsi" w:hAnsiTheme="minorHAnsi" w:cstheme="minorHAnsi"/>
                <w:color w:val="000000"/>
                <w:sz w:val="18"/>
                <w:szCs w:val="18"/>
              </w:rPr>
              <w:t>rogram</w:t>
            </w:r>
            <w:r w:rsidR="00D44105">
              <w:rPr>
                <w:rFonts w:asciiTheme="minorHAnsi" w:hAnsiTheme="minorHAnsi" w:cstheme="minorHAnsi"/>
                <w:color w:val="000000"/>
                <w:sz w:val="18"/>
                <w:szCs w:val="18"/>
              </w:rPr>
              <w:t>)</w:t>
            </w:r>
            <w:r w:rsidRPr="00344F5B">
              <w:rPr>
                <w:rFonts w:asciiTheme="minorHAnsi" w:hAnsiTheme="minorHAnsi" w:cstheme="minorHAnsi"/>
                <w:color w:val="000000"/>
                <w:sz w:val="18"/>
                <w:szCs w:val="18"/>
              </w:rPr>
              <w:t xml:space="preserve"> listing of three new forms of pemetrexed (Pemetrexed </w:t>
            </w:r>
            <w:r w:rsidR="00C77906" w:rsidRPr="00344F5B">
              <w:rPr>
                <w:rFonts w:asciiTheme="minorHAnsi" w:hAnsiTheme="minorHAnsi" w:cstheme="minorHAnsi"/>
                <w:color w:val="000000"/>
                <w:sz w:val="18"/>
                <w:szCs w:val="18"/>
              </w:rPr>
              <w:t>E</w:t>
            </w:r>
            <w:r w:rsidR="00C77906">
              <w:rPr>
                <w:rFonts w:asciiTheme="minorHAnsi" w:hAnsiTheme="minorHAnsi" w:cstheme="minorHAnsi"/>
                <w:color w:val="000000"/>
                <w:sz w:val="18"/>
                <w:szCs w:val="18"/>
              </w:rPr>
              <w:t>VER</w:t>
            </w:r>
            <w:r w:rsidR="00C77906" w:rsidRPr="00344F5B">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Pharma)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/4</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500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/20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and 1000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/40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solutions for injection as unrestricted benefits under the same circumstances as the currently listed brands of pemetrexed powder for I.V. infusion.</w:t>
            </w:r>
          </w:p>
        </w:tc>
      </w:tr>
      <w:tr w:rsidR="009D0701" w:rsidRPr="00544497" w14:paraId="6C41C9DC" w14:textId="77777777" w:rsidTr="00C70218">
        <w:trPr>
          <w:cantSplit/>
          <w:trHeight w:val="2948"/>
          <w:jc w:val="center"/>
        </w:trPr>
        <w:tc>
          <w:tcPr>
            <w:tcW w:w="3013" w:type="dxa"/>
            <w:shd w:val="clear" w:color="auto" w:fill="auto"/>
            <w:tcMar>
              <w:top w:w="28" w:type="dxa"/>
              <w:bottom w:w="28" w:type="dxa"/>
            </w:tcMar>
            <w:vAlign w:val="center"/>
          </w:tcPr>
          <w:p w14:paraId="116E4539" w14:textId="1788D7E4" w:rsidR="009D0701" w:rsidRPr="00344F5B" w:rsidRDefault="009D0701" w:rsidP="009D0701">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PNEUMOCOCCAL CONJUGATE VACCINE, 15 VALENT ADSORBED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0.5</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pre-filled syringe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Vaxneuvanc</w:t>
            </w:r>
            <w:r w:rsidR="00C77906">
              <w:rPr>
                <w:rFonts w:asciiTheme="minorHAnsi" w:hAnsiTheme="minorHAnsi" w:cstheme="minorHAnsi"/>
                <w:color w:val="000000"/>
                <w:sz w:val="18"/>
                <w:szCs w:val="18"/>
              </w:rPr>
              <w:t>e</w:t>
            </w:r>
            <w:proofErr w:type="spellEnd"/>
            <w:r>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Merck Sharp &amp; Dohme (Australia) Pty</w:t>
            </w:r>
            <w:r w:rsidR="00D44105">
              <w:rPr>
                <w:rFonts w:asciiTheme="minorHAnsi" w:hAnsiTheme="minorHAnsi" w:cstheme="minorHAnsi"/>
                <w:color w:val="000000"/>
                <w:sz w:val="18"/>
                <w:szCs w:val="18"/>
              </w:rPr>
              <w:t> </w:t>
            </w:r>
            <w:r w:rsidRPr="00344F5B">
              <w:rPr>
                <w:rFonts w:asciiTheme="minorHAnsi" w:hAnsiTheme="minorHAnsi" w:cstheme="minorHAnsi"/>
                <w:color w:val="000000"/>
                <w:sz w:val="18"/>
                <w:szCs w:val="18"/>
              </w:rPr>
              <w:t>Ltd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t>Category 2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4E626476" w14:textId="00012689" w:rsidR="009D0701" w:rsidRPr="00344F5B" w:rsidRDefault="009D0701" w:rsidP="009D0701">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Prevention of pneumococcal disease</w:t>
            </w:r>
          </w:p>
        </w:tc>
        <w:tc>
          <w:tcPr>
            <w:tcW w:w="3288" w:type="dxa"/>
            <w:shd w:val="clear" w:color="auto" w:fill="auto"/>
            <w:tcMar>
              <w:top w:w="28" w:type="dxa"/>
              <w:bottom w:w="28" w:type="dxa"/>
            </w:tcMar>
            <w:vAlign w:val="center"/>
          </w:tcPr>
          <w:p w14:paraId="2FB4EB05" w14:textId="473014EF" w:rsidR="009D0701" w:rsidRPr="00344F5B" w:rsidRDefault="009D0701" w:rsidP="009D0701">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National Immunisation Program listing for the prevention of pneumococcal disease in paediatrics.</w:t>
            </w:r>
          </w:p>
        </w:tc>
        <w:tc>
          <w:tcPr>
            <w:tcW w:w="1987" w:type="dxa"/>
            <w:shd w:val="clear" w:color="auto" w:fill="auto"/>
            <w:vAlign w:val="center"/>
          </w:tcPr>
          <w:p w14:paraId="4AA8E4B9" w14:textId="1A9FF363" w:rsidR="009D0701" w:rsidRPr="00344F5B" w:rsidRDefault="009D0701" w:rsidP="009D0701">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0548E726" w14:textId="77777777" w:rsidR="009D0701" w:rsidRDefault="009D0701" w:rsidP="009D0701">
            <w:pPr>
              <w:keepLines/>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that 15-valent pneumococcal conjugate vaccine (15vPCV, </w:t>
            </w:r>
            <w:proofErr w:type="spellStart"/>
            <w:r w:rsidRPr="00344F5B">
              <w:rPr>
                <w:rFonts w:asciiTheme="minorHAnsi" w:hAnsiTheme="minorHAnsi" w:cstheme="minorHAnsi"/>
                <w:color w:val="000000"/>
                <w:sz w:val="18"/>
                <w:szCs w:val="18"/>
              </w:rPr>
              <w:t>Vaxneuvance</w:t>
            </w:r>
            <w:proofErr w:type="spellEnd"/>
            <w:r w:rsidRPr="00344F5B">
              <w:rPr>
                <w:rFonts w:asciiTheme="minorHAnsi" w:hAnsiTheme="minorHAnsi" w:cstheme="minorHAnsi"/>
                <w:color w:val="000000"/>
                <w:sz w:val="18"/>
                <w:szCs w:val="18"/>
              </w:rPr>
              <w:t xml:space="preserve">®) be a designated vaccine for the purposes of the </w:t>
            </w:r>
            <w:r w:rsidRPr="00344F5B">
              <w:rPr>
                <w:rFonts w:asciiTheme="minorHAnsi" w:hAnsiTheme="minorHAnsi" w:cstheme="minorHAnsi"/>
                <w:i/>
                <w:iCs/>
                <w:color w:val="000000"/>
                <w:sz w:val="18"/>
                <w:szCs w:val="18"/>
              </w:rPr>
              <w:t>National Health Act 1953</w:t>
            </w:r>
            <w:r w:rsidRPr="00344F5B">
              <w:rPr>
                <w:rFonts w:asciiTheme="minorHAnsi" w:hAnsiTheme="minorHAnsi" w:cstheme="minorHAnsi"/>
                <w:color w:val="000000"/>
                <w:sz w:val="18"/>
                <w:szCs w:val="18"/>
              </w:rPr>
              <w:t>, for the prevention of pneumococcal disease in the following paediatric populations:</w:t>
            </w:r>
          </w:p>
          <w:p w14:paraId="58D84989" w14:textId="5A72B4AE" w:rsidR="009D0701" w:rsidRDefault="009D0701" w:rsidP="009D0701">
            <w:pPr>
              <w:pStyle w:val="ListParagraph"/>
              <w:keepLines/>
              <w:numPr>
                <w:ilvl w:val="0"/>
                <w:numId w:val="25"/>
              </w:numPr>
              <w:ind w:left="481"/>
              <w:rPr>
                <w:rFonts w:asciiTheme="minorHAnsi" w:hAnsiTheme="minorHAnsi" w:cstheme="minorHAnsi"/>
                <w:color w:val="000000"/>
                <w:sz w:val="18"/>
                <w:szCs w:val="18"/>
              </w:rPr>
            </w:pPr>
            <w:r w:rsidRPr="00344F5B">
              <w:rPr>
                <w:rFonts w:asciiTheme="minorHAnsi" w:hAnsiTheme="minorHAnsi" w:cstheme="minorHAnsi"/>
                <w:color w:val="000000"/>
                <w:sz w:val="18"/>
                <w:szCs w:val="18"/>
              </w:rPr>
              <w:t>Non-indigenous infants and Aboriginal and Torres Strait Islander infants living in ACT, NSW, V</w:t>
            </w:r>
            <w:r w:rsidR="00C77906">
              <w:rPr>
                <w:rFonts w:asciiTheme="minorHAnsi" w:hAnsiTheme="minorHAnsi" w:cstheme="minorHAnsi"/>
                <w:color w:val="000000"/>
                <w:sz w:val="18"/>
                <w:szCs w:val="18"/>
              </w:rPr>
              <w:t>IC</w:t>
            </w:r>
            <w:r w:rsidRPr="00344F5B">
              <w:rPr>
                <w:rFonts w:asciiTheme="minorHAnsi" w:hAnsiTheme="minorHAnsi" w:cstheme="minorHAnsi"/>
                <w:color w:val="000000"/>
                <w:sz w:val="18"/>
                <w:szCs w:val="18"/>
              </w:rPr>
              <w:t xml:space="preserve"> and T</w:t>
            </w:r>
            <w:r w:rsidR="00C77906">
              <w:rPr>
                <w:rFonts w:asciiTheme="minorHAnsi" w:hAnsiTheme="minorHAnsi" w:cstheme="minorHAnsi"/>
                <w:color w:val="000000"/>
                <w:sz w:val="18"/>
                <w:szCs w:val="18"/>
              </w:rPr>
              <w:t>AS</w:t>
            </w:r>
            <w:r w:rsidRPr="00344F5B">
              <w:rPr>
                <w:rFonts w:asciiTheme="minorHAnsi" w:hAnsiTheme="minorHAnsi" w:cstheme="minorHAnsi"/>
                <w:color w:val="000000"/>
                <w:sz w:val="18"/>
                <w:szCs w:val="18"/>
              </w:rPr>
              <w:t>: 3 doses at ages 2, 4 and 12 months (2+1 doses);</w:t>
            </w:r>
          </w:p>
          <w:p w14:paraId="7C89F777" w14:textId="7D8A5325" w:rsidR="009D0701" w:rsidRDefault="009D0701" w:rsidP="009D0701">
            <w:pPr>
              <w:pStyle w:val="ListParagraph"/>
              <w:keepLines/>
              <w:numPr>
                <w:ilvl w:val="0"/>
                <w:numId w:val="25"/>
              </w:numPr>
              <w:ind w:left="481"/>
              <w:rPr>
                <w:rFonts w:asciiTheme="minorHAnsi" w:hAnsiTheme="minorHAnsi" w:cstheme="minorHAnsi"/>
                <w:color w:val="000000"/>
                <w:sz w:val="18"/>
                <w:szCs w:val="18"/>
              </w:rPr>
            </w:pPr>
            <w:r w:rsidRPr="00344F5B">
              <w:rPr>
                <w:rFonts w:asciiTheme="minorHAnsi" w:hAnsiTheme="minorHAnsi" w:cstheme="minorHAnsi"/>
                <w:color w:val="000000"/>
                <w:sz w:val="18"/>
                <w:szCs w:val="18"/>
              </w:rPr>
              <w:t>Infants with specified medical risk conditions and Aboriginal and Torres Strait Islander infants living in WA, NT, SA and Q</w:t>
            </w:r>
            <w:r w:rsidR="00C77906">
              <w:rPr>
                <w:rFonts w:asciiTheme="minorHAnsi" w:hAnsiTheme="minorHAnsi" w:cstheme="minorHAnsi"/>
                <w:color w:val="000000"/>
                <w:sz w:val="18"/>
                <w:szCs w:val="18"/>
              </w:rPr>
              <w:t>LD</w:t>
            </w:r>
            <w:r w:rsidRPr="00344F5B">
              <w:rPr>
                <w:rFonts w:asciiTheme="minorHAnsi" w:hAnsiTheme="minorHAnsi" w:cstheme="minorHAnsi"/>
                <w:color w:val="000000"/>
                <w:sz w:val="18"/>
                <w:szCs w:val="18"/>
              </w:rPr>
              <w:t>: 4 doses at ages 2, 4, 6 and 12 months (3+1 doses);</w:t>
            </w:r>
          </w:p>
          <w:p w14:paraId="53E7833F" w14:textId="77777777" w:rsidR="009D0701" w:rsidRDefault="009D0701" w:rsidP="009D0701">
            <w:pPr>
              <w:pStyle w:val="ListParagraph"/>
              <w:keepLines/>
              <w:numPr>
                <w:ilvl w:val="0"/>
                <w:numId w:val="25"/>
              </w:numPr>
              <w:ind w:left="481"/>
              <w:rPr>
                <w:rFonts w:asciiTheme="minorHAnsi" w:hAnsiTheme="minorHAnsi" w:cstheme="minorHAnsi"/>
                <w:color w:val="000000"/>
                <w:sz w:val="18"/>
                <w:szCs w:val="18"/>
              </w:rPr>
            </w:pPr>
            <w:r w:rsidRPr="00344F5B">
              <w:rPr>
                <w:rFonts w:asciiTheme="minorHAnsi" w:hAnsiTheme="minorHAnsi" w:cstheme="minorHAnsi"/>
                <w:color w:val="000000"/>
                <w:sz w:val="18"/>
                <w:szCs w:val="18"/>
              </w:rPr>
              <w:t>Children and adolescents between 12 months and 18 years newly diagnosed with a specified medical risk condition (1 dose);</w:t>
            </w:r>
          </w:p>
          <w:p w14:paraId="73A2DAD4" w14:textId="3EA4ADC6" w:rsidR="009D0701" w:rsidRPr="00344F5B" w:rsidRDefault="009D0701" w:rsidP="009D0701">
            <w:pPr>
              <w:pStyle w:val="ListParagraph"/>
              <w:keepLines/>
              <w:numPr>
                <w:ilvl w:val="0"/>
                <w:numId w:val="25"/>
              </w:numPr>
              <w:ind w:left="481"/>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Haematopoietic stem cell transplant recipients aged 12 months to &lt;18 years: 3 doses at 6, 8, and 12 months after </w:t>
            </w:r>
            <w:r w:rsidR="00C77906">
              <w:rPr>
                <w:rFonts w:asciiTheme="minorHAnsi" w:hAnsiTheme="minorHAnsi" w:cstheme="minorHAnsi"/>
                <w:color w:val="000000"/>
                <w:sz w:val="18"/>
                <w:szCs w:val="18"/>
              </w:rPr>
              <w:t xml:space="preserve">haematopoietic stem cell transplant </w:t>
            </w:r>
            <w:r w:rsidRPr="00344F5B">
              <w:rPr>
                <w:rFonts w:asciiTheme="minorHAnsi" w:hAnsiTheme="minorHAnsi" w:cstheme="minorHAnsi"/>
                <w:color w:val="000000"/>
                <w:sz w:val="18"/>
                <w:szCs w:val="18"/>
              </w:rPr>
              <w:t xml:space="preserve">(3 doses). </w:t>
            </w:r>
          </w:p>
          <w:p w14:paraId="4C5B791A" w14:textId="1F487E46" w:rsidR="009D0701" w:rsidRPr="00344F5B" w:rsidRDefault="009D0701" w:rsidP="009D0701">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PBAC’s recommendation for listing for the existing paediatric populations was based on, among other matters, its assessment that the cost-effectiveness of 15vPCV would be acceptable if it were cost-minimised against the nominated comparator, 13-valent pneumococcal conjugate vaccine</w:t>
            </w:r>
            <w:r w:rsidR="003A63B8">
              <w:rPr>
                <w:rFonts w:asciiTheme="minorHAnsi" w:hAnsiTheme="minorHAnsi" w:cstheme="minorHAnsi"/>
                <w:color w:val="000000"/>
                <w:sz w:val="18"/>
                <w:szCs w:val="18"/>
              </w:rPr>
              <w:t>.</w:t>
            </w:r>
          </w:p>
        </w:tc>
      </w:tr>
      <w:tr w:rsidR="00610178" w:rsidRPr="00544497" w14:paraId="71C25DB4" w14:textId="77777777" w:rsidTr="00C70218">
        <w:trPr>
          <w:cantSplit/>
          <w:trHeight w:val="2948"/>
          <w:jc w:val="center"/>
        </w:trPr>
        <w:tc>
          <w:tcPr>
            <w:tcW w:w="3013" w:type="dxa"/>
            <w:shd w:val="clear" w:color="auto" w:fill="auto"/>
            <w:tcMar>
              <w:top w:w="28" w:type="dxa"/>
              <w:bottom w:w="28" w:type="dxa"/>
            </w:tcMar>
            <w:vAlign w:val="center"/>
          </w:tcPr>
          <w:p w14:paraId="7B3FE599" w14:textId="1CF0B9F0" w:rsidR="00610178" w:rsidRPr="00344F5B" w:rsidRDefault="00610178" w:rsidP="00610178">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RAVULIZUMAB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concentrate for I.V. infusion 300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3</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t>Solution concentrate for I.V. infusion 1.1</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g in 11</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Ultomiris</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Alexion Pharmaceuticals Australasia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5D58065B" w14:textId="5A19E821" w:rsidR="00610178" w:rsidRPr="00344F5B" w:rsidRDefault="00610178" w:rsidP="00610178">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Atypical haemolytic uraemic syndrome (</w:t>
            </w:r>
            <w:proofErr w:type="spellStart"/>
            <w:r w:rsidRPr="00344F5B">
              <w:rPr>
                <w:rFonts w:asciiTheme="minorHAnsi" w:hAnsiTheme="minorHAnsi" w:cstheme="minorHAnsi"/>
                <w:color w:val="000000"/>
                <w:sz w:val="18"/>
                <w:szCs w:val="18"/>
              </w:rPr>
              <w:t>aHUS</w:t>
            </w:r>
            <w:proofErr w:type="spellEnd"/>
            <w:r w:rsidRPr="00344F5B">
              <w:rPr>
                <w:rFonts w:asciiTheme="minorHAnsi" w:hAnsiTheme="minorHAnsi" w:cstheme="minorHAnsi"/>
                <w:color w:val="000000"/>
                <w:sz w:val="18"/>
                <w:szCs w:val="18"/>
              </w:rPr>
              <w:t>)</w:t>
            </w:r>
          </w:p>
        </w:tc>
        <w:tc>
          <w:tcPr>
            <w:tcW w:w="3288" w:type="dxa"/>
            <w:shd w:val="clear" w:color="auto" w:fill="auto"/>
            <w:tcMar>
              <w:top w:w="28" w:type="dxa"/>
              <w:bottom w:w="28" w:type="dxa"/>
            </w:tcMar>
            <w:vAlign w:val="center"/>
          </w:tcPr>
          <w:p w14:paraId="14F8C0EE" w14:textId="27F87512" w:rsidR="00610178" w:rsidRPr="00344F5B" w:rsidRDefault="00610178" w:rsidP="00610178">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(Highly Specialised Drugs Program) Authority Required (</w:t>
            </w:r>
            <w:r w:rsidR="002A570E">
              <w:rPr>
                <w:rFonts w:asciiTheme="minorHAnsi" w:hAnsiTheme="minorHAnsi" w:cstheme="minorHAnsi"/>
                <w:color w:val="000000"/>
                <w:sz w:val="18"/>
                <w:szCs w:val="18"/>
              </w:rPr>
              <w:t>W</w:t>
            </w:r>
            <w:r w:rsidRPr="00344F5B">
              <w:rPr>
                <w:rFonts w:asciiTheme="minorHAnsi" w:hAnsiTheme="minorHAnsi" w:cstheme="minorHAnsi"/>
                <w:color w:val="000000"/>
                <w:sz w:val="18"/>
                <w:szCs w:val="18"/>
              </w:rPr>
              <w:t xml:space="preserve">ritten) listing for the treatment of </w:t>
            </w:r>
            <w:proofErr w:type="spellStart"/>
            <w:r w:rsidRPr="00344F5B">
              <w:rPr>
                <w:rFonts w:asciiTheme="minorHAnsi" w:hAnsiTheme="minorHAnsi" w:cstheme="minorHAnsi"/>
                <w:color w:val="000000"/>
                <w:sz w:val="18"/>
                <w:szCs w:val="18"/>
              </w:rPr>
              <w:t>aHUS</w:t>
            </w:r>
            <w:proofErr w:type="spellEnd"/>
            <w:r w:rsidRPr="00344F5B">
              <w:rPr>
                <w:rFonts w:asciiTheme="minorHAnsi" w:hAnsiTheme="minorHAnsi" w:cstheme="minorHAnsi"/>
                <w:color w:val="000000"/>
                <w:sz w:val="18"/>
                <w:szCs w:val="18"/>
              </w:rPr>
              <w:t>.</w:t>
            </w:r>
          </w:p>
        </w:tc>
        <w:tc>
          <w:tcPr>
            <w:tcW w:w="1987" w:type="dxa"/>
            <w:shd w:val="clear" w:color="auto" w:fill="auto"/>
            <w:vAlign w:val="center"/>
          </w:tcPr>
          <w:p w14:paraId="260E2535" w14:textId="0D306900" w:rsidR="00610178" w:rsidRPr="00344F5B" w:rsidRDefault="00610178" w:rsidP="00610178">
            <w:pPr>
              <w:pStyle w:val="ListParagraph"/>
              <w:keepLines/>
              <w:ind w:left="0"/>
              <w:jc w:val="center"/>
              <w:rPr>
                <w:rFonts w:asciiTheme="minorHAnsi" w:hAnsiTheme="minorHAnsi" w:cstheme="minorHAnsi"/>
                <w:color w:val="000000"/>
                <w:sz w:val="18"/>
                <w:szCs w:val="18"/>
              </w:rPr>
            </w:pPr>
            <w:r w:rsidRPr="00344F5B">
              <w:rPr>
                <w:rFonts w:asciiTheme="minorHAnsi" w:eastAsia="Times New Roman" w:hAnsiTheme="minorHAnsi" w:cstheme="minorHAnsi"/>
                <w:color w:val="000000"/>
                <w:sz w:val="18"/>
                <w:szCs w:val="18"/>
              </w:rPr>
              <w:t>Deferred</w:t>
            </w:r>
          </w:p>
        </w:tc>
        <w:tc>
          <w:tcPr>
            <w:tcW w:w="4336" w:type="dxa"/>
            <w:shd w:val="clear" w:color="auto" w:fill="auto"/>
            <w:vAlign w:val="center"/>
          </w:tcPr>
          <w:p w14:paraId="2700347F" w14:textId="3FDD3A68" w:rsidR="00431211" w:rsidRPr="00431211" w:rsidRDefault="00431211" w:rsidP="00D936B4">
            <w:pPr>
              <w:keepLines/>
              <w:spacing w:after="120"/>
              <w:rPr>
                <w:rFonts w:asciiTheme="minorHAnsi" w:hAnsiTheme="minorHAnsi" w:cstheme="minorHAnsi"/>
                <w:color w:val="000000"/>
                <w:sz w:val="18"/>
                <w:szCs w:val="18"/>
              </w:rPr>
            </w:pPr>
            <w:r w:rsidRPr="00431211">
              <w:rPr>
                <w:rFonts w:asciiTheme="minorHAnsi" w:hAnsiTheme="minorHAnsi" w:cstheme="minorHAnsi"/>
                <w:color w:val="000000"/>
                <w:sz w:val="18"/>
                <w:szCs w:val="18"/>
              </w:rPr>
              <w:t xml:space="preserve">The PBAC deferred making a recommendation regarding the PBS listing of </w:t>
            </w:r>
            <w:proofErr w:type="spellStart"/>
            <w:r w:rsidRPr="00431211">
              <w:rPr>
                <w:rFonts w:asciiTheme="minorHAnsi" w:hAnsiTheme="minorHAnsi" w:cstheme="minorHAnsi"/>
                <w:color w:val="000000"/>
                <w:sz w:val="18"/>
                <w:szCs w:val="18"/>
              </w:rPr>
              <w:t>ravulizumab</w:t>
            </w:r>
            <w:proofErr w:type="spellEnd"/>
            <w:r w:rsidRPr="00431211">
              <w:rPr>
                <w:rFonts w:asciiTheme="minorHAnsi" w:hAnsiTheme="minorHAnsi" w:cstheme="minorHAnsi"/>
                <w:color w:val="000000"/>
                <w:sz w:val="18"/>
                <w:szCs w:val="18"/>
              </w:rPr>
              <w:t xml:space="preserve"> for the treatment of </w:t>
            </w:r>
            <w:proofErr w:type="spellStart"/>
            <w:r w:rsidRPr="00431211">
              <w:rPr>
                <w:rFonts w:asciiTheme="minorHAnsi" w:hAnsiTheme="minorHAnsi" w:cstheme="minorHAnsi"/>
                <w:color w:val="000000"/>
                <w:sz w:val="18"/>
                <w:szCs w:val="18"/>
              </w:rPr>
              <w:t>aHUS</w:t>
            </w:r>
            <w:proofErr w:type="spellEnd"/>
            <w:r w:rsidRPr="00431211">
              <w:rPr>
                <w:rFonts w:asciiTheme="minorHAnsi" w:hAnsiTheme="minorHAnsi" w:cstheme="minorHAnsi"/>
                <w:color w:val="000000"/>
                <w:sz w:val="18"/>
                <w:szCs w:val="18"/>
              </w:rPr>
              <w:t xml:space="preserve"> pending resolution of substantial restriction issues, and amendments to the cost-minimisation approach (CMA) and financial estimates. The PBAC noted that the submission’s request for PBS funding of </w:t>
            </w:r>
            <w:proofErr w:type="spellStart"/>
            <w:r w:rsidRPr="00431211">
              <w:rPr>
                <w:rFonts w:asciiTheme="minorHAnsi" w:hAnsiTheme="minorHAnsi" w:cstheme="minorHAnsi"/>
                <w:color w:val="000000"/>
                <w:sz w:val="18"/>
                <w:szCs w:val="18"/>
              </w:rPr>
              <w:t>ravulizumab</w:t>
            </w:r>
            <w:proofErr w:type="spellEnd"/>
            <w:r w:rsidRPr="00431211">
              <w:rPr>
                <w:rFonts w:asciiTheme="minorHAnsi" w:hAnsiTheme="minorHAnsi" w:cstheme="minorHAnsi"/>
                <w:color w:val="000000"/>
                <w:sz w:val="18"/>
                <w:szCs w:val="18"/>
              </w:rPr>
              <w:t xml:space="preserve"> for public hospital inpatients was inconsistent with PBS policy. The PBAC also considered that the submission’s CMA had several uncertainties which would need to be resolved to ensure the cost of </w:t>
            </w:r>
            <w:proofErr w:type="spellStart"/>
            <w:r w:rsidRPr="00431211">
              <w:rPr>
                <w:rFonts w:asciiTheme="minorHAnsi" w:hAnsiTheme="minorHAnsi" w:cstheme="minorHAnsi"/>
                <w:color w:val="000000"/>
                <w:sz w:val="18"/>
                <w:szCs w:val="18"/>
              </w:rPr>
              <w:t>ravulizumab</w:t>
            </w:r>
            <w:proofErr w:type="spellEnd"/>
            <w:r w:rsidRPr="00431211">
              <w:rPr>
                <w:rFonts w:asciiTheme="minorHAnsi" w:hAnsiTheme="minorHAnsi" w:cstheme="minorHAnsi"/>
                <w:color w:val="000000"/>
                <w:sz w:val="18"/>
                <w:szCs w:val="18"/>
              </w:rPr>
              <w:t xml:space="preserve"> would be no greater than that of eculizumab. The PBAC also considered the estimated linear growth in utilisation over the forward estimates was not justified and that a risk sharing arrangement to cover the overall PBS cost of </w:t>
            </w:r>
            <w:proofErr w:type="spellStart"/>
            <w:r w:rsidRPr="00431211">
              <w:rPr>
                <w:rFonts w:asciiTheme="minorHAnsi" w:hAnsiTheme="minorHAnsi" w:cstheme="minorHAnsi"/>
                <w:color w:val="000000"/>
                <w:sz w:val="18"/>
                <w:szCs w:val="18"/>
              </w:rPr>
              <w:t>aHUS</w:t>
            </w:r>
            <w:proofErr w:type="spellEnd"/>
            <w:r w:rsidRPr="00431211">
              <w:rPr>
                <w:rFonts w:asciiTheme="minorHAnsi" w:hAnsiTheme="minorHAnsi" w:cstheme="minorHAnsi"/>
                <w:color w:val="000000"/>
                <w:sz w:val="18"/>
                <w:szCs w:val="18"/>
              </w:rPr>
              <w:t xml:space="preserve"> therapy with a C5 inhibitor would be required.</w:t>
            </w:r>
          </w:p>
          <w:p w14:paraId="1538D0D6" w14:textId="251677A8" w:rsidR="00610178" w:rsidRPr="000110D5" w:rsidRDefault="00431211" w:rsidP="00D936B4">
            <w:pPr>
              <w:keepLines/>
              <w:spacing w:after="120"/>
              <w:rPr>
                <w:rFonts w:asciiTheme="minorHAnsi" w:hAnsiTheme="minorHAnsi" w:cstheme="minorHAnsi"/>
                <w:color w:val="000000"/>
                <w:sz w:val="18"/>
                <w:szCs w:val="18"/>
              </w:rPr>
            </w:pPr>
            <w:r w:rsidRPr="00431211">
              <w:rPr>
                <w:rFonts w:asciiTheme="minorHAnsi" w:hAnsiTheme="minorHAnsi" w:cstheme="minorHAnsi"/>
                <w:color w:val="000000"/>
                <w:sz w:val="18"/>
                <w:szCs w:val="18"/>
              </w:rPr>
              <w:t>The PBAC recommended a change to the circumstances under which meningococcal ACWY (</w:t>
            </w:r>
            <w:proofErr w:type="spellStart"/>
            <w:r w:rsidRPr="00431211">
              <w:rPr>
                <w:rFonts w:asciiTheme="minorHAnsi" w:hAnsiTheme="minorHAnsi" w:cstheme="minorHAnsi"/>
                <w:color w:val="000000"/>
                <w:sz w:val="18"/>
                <w:szCs w:val="18"/>
              </w:rPr>
              <w:t>MenACWY</w:t>
            </w:r>
            <w:proofErr w:type="spellEnd"/>
            <w:r w:rsidRPr="00431211">
              <w:rPr>
                <w:rFonts w:asciiTheme="minorHAnsi" w:hAnsiTheme="minorHAnsi" w:cstheme="minorHAnsi"/>
                <w:color w:val="000000"/>
                <w:sz w:val="18"/>
                <w:szCs w:val="18"/>
              </w:rPr>
              <w:t>) and meningococcal B (</w:t>
            </w:r>
            <w:proofErr w:type="spellStart"/>
            <w:r w:rsidRPr="00431211">
              <w:rPr>
                <w:rFonts w:asciiTheme="minorHAnsi" w:hAnsiTheme="minorHAnsi" w:cstheme="minorHAnsi"/>
                <w:color w:val="000000"/>
                <w:sz w:val="18"/>
                <w:szCs w:val="18"/>
              </w:rPr>
              <w:t>MenB</w:t>
            </w:r>
            <w:proofErr w:type="spellEnd"/>
            <w:r w:rsidRPr="00431211">
              <w:rPr>
                <w:rFonts w:asciiTheme="minorHAnsi" w:hAnsiTheme="minorHAnsi" w:cstheme="minorHAnsi"/>
                <w:color w:val="000000"/>
                <w:sz w:val="18"/>
                <w:szCs w:val="18"/>
              </w:rPr>
              <w:t xml:space="preserve">) vaccines be made available as designated vaccines for the purposes of Section 9B of the </w:t>
            </w:r>
            <w:r w:rsidRPr="00D936B4">
              <w:rPr>
                <w:rFonts w:asciiTheme="minorHAnsi" w:hAnsiTheme="minorHAnsi" w:cstheme="minorHAnsi"/>
                <w:i/>
                <w:iCs/>
                <w:color w:val="000000"/>
                <w:sz w:val="18"/>
                <w:szCs w:val="18"/>
              </w:rPr>
              <w:t>National Health Act 1953</w:t>
            </w:r>
            <w:r w:rsidRPr="00431211">
              <w:rPr>
                <w:rFonts w:asciiTheme="minorHAnsi" w:hAnsiTheme="minorHAnsi" w:cstheme="minorHAnsi"/>
                <w:color w:val="000000"/>
                <w:sz w:val="18"/>
                <w:szCs w:val="18"/>
              </w:rPr>
              <w:t xml:space="preserve">. The PBAC recommended that certain vaccines should be made available as designated vaccines for patients treated with </w:t>
            </w:r>
            <w:proofErr w:type="spellStart"/>
            <w:r w:rsidRPr="00431211">
              <w:rPr>
                <w:rFonts w:asciiTheme="minorHAnsi" w:hAnsiTheme="minorHAnsi" w:cstheme="minorHAnsi"/>
                <w:color w:val="000000"/>
                <w:sz w:val="18"/>
                <w:szCs w:val="18"/>
              </w:rPr>
              <w:t>ravulizumab</w:t>
            </w:r>
            <w:proofErr w:type="spellEnd"/>
            <w:r w:rsidRPr="00431211">
              <w:rPr>
                <w:rFonts w:asciiTheme="minorHAnsi" w:hAnsiTheme="minorHAnsi" w:cstheme="minorHAnsi"/>
                <w:color w:val="000000"/>
                <w:sz w:val="18"/>
                <w:szCs w:val="18"/>
              </w:rPr>
              <w:t xml:space="preserve"> as well as eculizumab, and noted that this aligned with the A</w:t>
            </w:r>
            <w:r w:rsidR="003D1AE5">
              <w:rPr>
                <w:rFonts w:asciiTheme="minorHAnsi" w:hAnsiTheme="minorHAnsi" w:cstheme="minorHAnsi"/>
                <w:color w:val="000000"/>
                <w:sz w:val="18"/>
                <w:szCs w:val="18"/>
              </w:rPr>
              <w:t xml:space="preserve">ustralian </w:t>
            </w:r>
            <w:r w:rsidRPr="00431211">
              <w:rPr>
                <w:rFonts w:asciiTheme="minorHAnsi" w:hAnsiTheme="minorHAnsi" w:cstheme="minorHAnsi"/>
                <w:color w:val="000000"/>
                <w:sz w:val="18"/>
                <w:szCs w:val="18"/>
              </w:rPr>
              <w:t>T</w:t>
            </w:r>
            <w:r w:rsidR="003D1AE5">
              <w:rPr>
                <w:rFonts w:asciiTheme="minorHAnsi" w:hAnsiTheme="minorHAnsi" w:cstheme="minorHAnsi"/>
                <w:color w:val="000000"/>
                <w:sz w:val="18"/>
                <w:szCs w:val="18"/>
              </w:rPr>
              <w:t xml:space="preserve">echnical </w:t>
            </w:r>
            <w:r w:rsidRPr="00431211">
              <w:rPr>
                <w:rFonts w:asciiTheme="minorHAnsi" w:hAnsiTheme="minorHAnsi" w:cstheme="minorHAnsi"/>
                <w:color w:val="000000"/>
                <w:sz w:val="18"/>
                <w:szCs w:val="18"/>
              </w:rPr>
              <w:t>A</w:t>
            </w:r>
            <w:r w:rsidR="003D1AE5">
              <w:rPr>
                <w:rFonts w:asciiTheme="minorHAnsi" w:hAnsiTheme="minorHAnsi" w:cstheme="minorHAnsi"/>
                <w:color w:val="000000"/>
                <w:sz w:val="18"/>
                <w:szCs w:val="18"/>
              </w:rPr>
              <w:t xml:space="preserve">dvisory </w:t>
            </w:r>
            <w:r w:rsidRPr="00431211">
              <w:rPr>
                <w:rFonts w:asciiTheme="minorHAnsi" w:hAnsiTheme="minorHAnsi" w:cstheme="minorHAnsi"/>
                <w:color w:val="000000"/>
                <w:sz w:val="18"/>
                <w:szCs w:val="18"/>
              </w:rPr>
              <w:t>G</w:t>
            </w:r>
            <w:r w:rsidR="003D1AE5">
              <w:rPr>
                <w:rFonts w:asciiTheme="minorHAnsi" w:hAnsiTheme="minorHAnsi" w:cstheme="minorHAnsi"/>
                <w:color w:val="000000"/>
                <w:sz w:val="18"/>
                <w:szCs w:val="18"/>
              </w:rPr>
              <w:t xml:space="preserve">roup on </w:t>
            </w:r>
            <w:r w:rsidRPr="00431211">
              <w:rPr>
                <w:rFonts w:asciiTheme="minorHAnsi" w:hAnsiTheme="minorHAnsi" w:cstheme="minorHAnsi"/>
                <w:color w:val="000000"/>
                <w:sz w:val="18"/>
                <w:szCs w:val="18"/>
              </w:rPr>
              <w:t>I</w:t>
            </w:r>
            <w:r w:rsidR="003D1AE5">
              <w:rPr>
                <w:rFonts w:asciiTheme="minorHAnsi" w:hAnsiTheme="minorHAnsi" w:cstheme="minorHAnsi"/>
                <w:color w:val="000000"/>
                <w:sz w:val="18"/>
                <w:szCs w:val="18"/>
              </w:rPr>
              <w:t>mmunisation</w:t>
            </w:r>
            <w:r w:rsidRPr="00431211">
              <w:rPr>
                <w:rFonts w:asciiTheme="minorHAnsi" w:hAnsiTheme="minorHAnsi" w:cstheme="minorHAnsi"/>
                <w:color w:val="000000"/>
                <w:sz w:val="18"/>
                <w:szCs w:val="18"/>
              </w:rPr>
              <w:t>’s advice.</w:t>
            </w:r>
          </w:p>
          <w:p w14:paraId="0E63C6AF" w14:textId="77777777" w:rsidR="00610178" w:rsidRDefault="00610178" w:rsidP="00A205F5">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07B62552" w14:textId="5AE059EB" w:rsidR="00A205F5" w:rsidRPr="00A205F5" w:rsidRDefault="00A205F5" w:rsidP="00A205F5">
            <w:pPr>
              <w:rPr>
                <w:rFonts w:asciiTheme="minorHAnsi" w:hAnsiTheme="minorHAnsi" w:cstheme="minorHAnsi"/>
                <w:color w:val="000000"/>
                <w:sz w:val="18"/>
                <w:szCs w:val="18"/>
              </w:rPr>
            </w:pPr>
            <w:r w:rsidRPr="00A205F5">
              <w:rPr>
                <w:rFonts w:asciiTheme="minorHAnsi" w:hAnsiTheme="minorHAnsi" w:cstheme="minorHAnsi"/>
                <w:color w:val="000000"/>
                <w:sz w:val="18"/>
                <w:szCs w:val="18"/>
              </w:rPr>
              <w:t xml:space="preserve">Alexion is committed to working with the PBAC and Department of Health </w:t>
            </w:r>
            <w:r>
              <w:rPr>
                <w:rFonts w:asciiTheme="minorHAnsi" w:hAnsiTheme="minorHAnsi" w:cstheme="minorHAnsi"/>
                <w:color w:val="000000"/>
                <w:sz w:val="18"/>
                <w:szCs w:val="18"/>
              </w:rPr>
              <w:t xml:space="preserve">and Aged Care </w:t>
            </w:r>
            <w:r w:rsidRPr="00A205F5">
              <w:rPr>
                <w:rFonts w:asciiTheme="minorHAnsi" w:hAnsiTheme="minorHAnsi" w:cstheme="minorHAnsi"/>
                <w:color w:val="000000"/>
                <w:sz w:val="18"/>
                <w:szCs w:val="18"/>
              </w:rPr>
              <w:t xml:space="preserve">to enable PBS reimbursement of </w:t>
            </w:r>
            <w:proofErr w:type="spellStart"/>
            <w:r w:rsidRPr="00A205F5">
              <w:rPr>
                <w:rFonts w:asciiTheme="minorHAnsi" w:hAnsiTheme="minorHAnsi" w:cstheme="minorHAnsi"/>
                <w:color w:val="000000"/>
                <w:sz w:val="18"/>
                <w:szCs w:val="18"/>
              </w:rPr>
              <w:t>ravulizumab</w:t>
            </w:r>
            <w:proofErr w:type="spellEnd"/>
            <w:r w:rsidRPr="00A205F5">
              <w:rPr>
                <w:rFonts w:asciiTheme="minorHAnsi" w:hAnsiTheme="minorHAnsi" w:cstheme="minorHAnsi"/>
                <w:color w:val="000000"/>
                <w:sz w:val="18"/>
                <w:szCs w:val="18"/>
              </w:rPr>
              <w:t xml:space="preserve"> for people with </w:t>
            </w:r>
            <w:proofErr w:type="spellStart"/>
            <w:r w:rsidRPr="00A205F5">
              <w:rPr>
                <w:rFonts w:asciiTheme="minorHAnsi" w:hAnsiTheme="minorHAnsi" w:cstheme="minorHAnsi"/>
                <w:color w:val="000000"/>
                <w:sz w:val="18"/>
                <w:szCs w:val="18"/>
              </w:rPr>
              <w:t>aHUS</w:t>
            </w:r>
            <w:proofErr w:type="spellEnd"/>
            <w:r w:rsidRPr="00A205F5">
              <w:rPr>
                <w:rFonts w:asciiTheme="minorHAnsi" w:hAnsiTheme="minorHAnsi" w:cstheme="minorHAnsi"/>
                <w:color w:val="000000"/>
                <w:sz w:val="18"/>
                <w:szCs w:val="18"/>
              </w:rPr>
              <w:t xml:space="preserve">; </w:t>
            </w:r>
            <w:r w:rsidRPr="006C1049">
              <w:rPr>
                <w:rFonts w:asciiTheme="minorHAnsi" w:hAnsiTheme="minorHAnsi" w:cstheme="minorHAnsi"/>
                <w:color w:val="000000"/>
                <w:sz w:val="18"/>
                <w:szCs w:val="18"/>
              </w:rPr>
              <w:t>an ultra-rare, life-threatening condition.</w:t>
            </w:r>
          </w:p>
        </w:tc>
      </w:tr>
      <w:tr w:rsidR="00610178" w:rsidRPr="00544497" w14:paraId="12F566C2" w14:textId="77777777" w:rsidTr="00C70218">
        <w:trPr>
          <w:cantSplit/>
          <w:trHeight w:val="2948"/>
          <w:jc w:val="center"/>
        </w:trPr>
        <w:tc>
          <w:tcPr>
            <w:tcW w:w="3013" w:type="dxa"/>
            <w:shd w:val="clear" w:color="auto" w:fill="auto"/>
            <w:tcMar>
              <w:top w:w="28" w:type="dxa"/>
              <w:bottom w:w="28" w:type="dxa"/>
            </w:tcMar>
            <w:vAlign w:val="center"/>
          </w:tcPr>
          <w:p w14:paraId="00720220" w14:textId="2E9D25EE" w:rsidR="00610178" w:rsidRPr="00344F5B" w:rsidRDefault="00610178" w:rsidP="00610178">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RELATLIMAB AND NIVOLUMAB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concentrate for I.V. infusion containing 80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relatlimab and 240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nivolumab in 20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Opdualag</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Bristol-Myers Squibb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Standard re-entry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30C82FE3" w14:textId="5DC4E377" w:rsidR="00610178" w:rsidRPr="00344F5B" w:rsidRDefault="00610178" w:rsidP="00610178">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Melanoma</w:t>
            </w:r>
          </w:p>
        </w:tc>
        <w:tc>
          <w:tcPr>
            <w:tcW w:w="3288" w:type="dxa"/>
            <w:shd w:val="clear" w:color="auto" w:fill="auto"/>
            <w:tcMar>
              <w:top w:w="28" w:type="dxa"/>
              <w:bottom w:w="28" w:type="dxa"/>
            </w:tcMar>
            <w:vAlign w:val="center"/>
          </w:tcPr>
          <w:p w14:paraId="0AE1DC07" w14:textId="65573B6C" w:rsidR="00610178" w:rsidRPr="00344F5B" w:rsidRDefault="00610178" w:rsidP="00610178">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Resubmission to request a Section 100 (Efficient Funding of Chemotherapy) Authority Required (STREAMLINED) listing for the treatment of unresectable Stage III or Stage IV malignant melanoma.</w:t>
            </w:r>
          </w:p>
        </w:tc>
        <w:tc>
          <w:tcPr>
            <w:tcW w:w="1987" w:type="dxa"/>
            <w:shd w:val="clear" w:color="auto" w:fill="auto"/>
            <w:vAlign w:val="center"/>
          </w:tcPr>
          <w:p w14:paraId="15C2BF3E" w14:textId="5E8F8D5A" w:rsidR="00610178" w:rsidRPr="00344F5B" w:rsidRDefault="00610178" w:rsidP="00610178">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6B2F5C50" w14:textId="3B21176D" w:rsidR="00610178" w:rsidRPr="00344F5B" w:rsidRDefault="00610178" w:rsidP="00610178">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the listing of relatlimab and nivolumab (RELA+NIVO), a fixed-dose combination treatment, for the treatment of patients with unresectable Stage III or IV malignant melanoma, on the basis that it should be available only under special arrangements under Section 100 (Efficient Funding of Chemotherapy). The PBAC was satisfied the RELA+NIVO was non-inferior in terms of efficacy and safety compared to nivolumab plus ipilimumab (NIVO+IPI) and therefore, recommended RELA+NIVO on a cost-minimisation basis to NIVO+IPI. The PBAC considered that the financial uncertainty relating to the substitution rates of RELA+NIVO for NIVO+IPI and programmed cell death protein (PD-1) inhibitor monotherapies may be mitigated by including RELA+NIVO in the existing PD-1 inhibitor risk sharing arrangement for melanoma.</w:t>
            </w:r>
          </w:p>
        </w:tc>
      </w:tr>
      <w:tr w:rsidR="00610178" w:rsidRPr="00544497" w14:paraId="39F54A75" w14:textId="77777777" w:rsidTr="00C70218">
        <w:trPr>
          <w:cantSplit/>
          <w:trHeight w:val="2948"/>
          <w:jc w:val="center"/>
        </w:trPr>
        <w:tc>
          <w:tcPr>
            <w:tcW w:w="3013" w:type="dxa"/>
            <w:shd w:val="clear" w:color="auto" w:fill="BFBFBF" w:themeFill="background1" w:themeFillShade="BF"/>
            <w:tcMar>
              <w:top w:w="28" w:type="dxa"/>
              <w:bottom w:w="28" w:type="dxa"/>
            </w:tcMar>
            <w:vAlign w:val="center"/>
          </w:tcPr>
          <w:p w14:paraId="5B3FEC50" w14:textId="4471D4E4" w:rsidR="00610178" w:rsidRPr="00344F5B" w:rsidRDefault="00610178" w:rsidP="00610178">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RIOCIGUAT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500 microgram tablet, 84</w:t>
            </w:r>
            <w:r w:rsidRPr="00344F5B">
              <w:rPr>
                <w:rFonts w:asciiTheme="minorHAnsi" w:hAnsiTheme="minorHAnsi" w:cstheme="minorHAnsi"/>
                <w:color w:val="000000"/>
                <w:sz w:val="18"/>
                <w:szCs w:val="18"/>
              </w:rPr>
              <w:br/>
              <w:t>1</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tablet, 84</w:t>
            </w:r>
            <w:r w:rsidRPr="00344F5B">
              <w:rPr>
                <w:rFonts w:asciiTheme="minorHAnsi" w:hAnsiTheme="minorHAnsi" w:cstheme="minorHAnsi"/>
                <w:color w:val="000000"/>
                <w:sz w:val="18"/>
                <w:szCs w:val="18"/>
              </w:rPr>
              <w:br/>
              <w:t>1.5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tablet, 84</w:t>
            </w:r>
            <w:r w:rsidRPr="00344F5B">
              <w:rPr>
                <w:rFonts w:asciiTheme="minorHAnsi" w:hAnsiTheme="minorHAnsi" w:cstheme="minorHAnsi"/>
                <w:color w:val="000000"/>
                <w:sz w:val="18"/>
                <w:szCs w:val="18"/>
              </w:rPr>
              <w:br/>
              <w:t>2</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tablet, 84</w:t>
            </w:r>
            <w:r w:rsidRPr="00344F5B">
              <w:rPr>
                <w:rFonts w:asciiTheme="minorHAnsi" w:hAnsiTheme="minorHAnsi" w:cstheme="minorHAnsi"/>
                <w:color w:val="000000"/>
                <w:sz w:val="18"/>
                <w:szCs w:val="18"/>
              </w:rPr>
              <w:br/>
              <w:t>2.5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tablet, 84</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Adempas®</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Bayer Australia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4 submission</w:t>
            </w:r>
            <w:r w:rsidRPr="00344F5B">
              <w:rPr>
                <w:rFonts w:asciiTheme="minorHAnsi" w:hAnsiTheme="minorHAnsi" w:cstheme="minorHAnsi"/>
                <w:color w:val="000000"/>
                <w:sz w:val="18"/>
                <w:szCs w:val="18"/>
              </w:rPr>
              <w:br/>
              <w:t>(Change to PBS listing)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WITHDRAWN</w:t>
            </w:r>
          </w:p>
        </w:tc>
        <w:tc>
          <w:tcPr>
            <w:tcW w:w="2764" w:type="dxa"/>
            <w:shd w:val="clear" w:color="auto" w:fill="BFBFBF" w:themeFill="background1" w:themeFillShade="BF"/>
            <w:vAlign w:val="center"/>
          </w:tcPr>
          <w:p w14:paraId="3E598DA8" w14:textId="5E01122E" w:rsidR="00610178" w:rsidRPr="00344F5B" w:rsidRDefault="00610178" w:rsidP="00610178">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Pulmonary arterial hypertension Chronic thromboembolic pulmonary hypertension</w:t>
            </w:r>
          </w:p>
        </w:tc>
        <w:tc>
          <w:tcPr>
            <w:tcW w:w="3288" w:type="dxa"/>
            <w:shd w:val="clear" w:color="auto" w:fill="BFBFBF" w:themeFill="background1" w:themeFillShade="BF"/>
            <w:tcMar>
              <w:top w:w="28" w:type="dxa"/>
              <w:bottom w:w="28" w:type="dxa"/>
            </w:tcMar>
            <w:vAlign w:val="center"/>
          </w:tcPr>
          <w:p w14:paraId="0C9C42A5" w14:textId="6A23695E" w:rsidR="00610178" w:rsidRPr="00344F5B" w:rsidRDefault="00610178" w:rsidP="00610178">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change in pack size from a pack of 84 tablets to a pack of 42 tablets and an increase of maximum quantity and number of repeats for the existing listings of 0.5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1</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1.5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and 2</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The submission also requests an increase to the maximum number of repeats for the existing listings of 2.5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(84 pack size).</w:t>
            </w:r>
          </w:p>
        </w:tc>
        <w:tc>
          <w:tcPr>
            <w:tcW w:w="1987" w:type="dxa"/>
            <w:shd w:val="clear" w:color="auto" w:fill="BFBFBF" w:themeFill="background1" w:themeFillShade="BF"/>
            <w:vAlign w:val="center"/>
          </w:tcPr>
          <w:p w14:paraId="61B57AE6" w14:textId="6B8E223F" w:rsidR="00610178" w:rsidRPr="00344F5B" w:rsidRDefault="00610178" w:rsidP="00610178">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Applicable</w:t>
            </w:r>
          </w:p>
        </w:tc>
        <w:tc>
          <w:tcPr>
            <w:tcW w:w="4336" w:type="dxa"/>
            <w:shd w:val="clear" w:color="auto" w:fill="BFBFBF" w:themeFill="background1" w:themeFillShade="BF"/>
            <w:vAlign w:val="center"/>
          </w:tcPr>
          <w:p w14:paraId="0A38A3EC" w14:textId="46C4C8B1" w:rsidR="00610178" w:rsidRPr="00344F5B" w:rsidRDefault="00610178" w:rsidP="00610178">
            <w:pPr>
              <w:rPr>
                <w:rFonts w:asciiTheme="minorHAnsi" w:hAnsiTheme="minorHAnsi" w:cstheme="minorHAnsi"/>
                <w:color w:val="000000"/>
                <w:sz w:val="18"/>
                <w:szCs w:val="18"/>
              </w:rPr>
            </w:pPr>
            <w:r w:rsidRPr="000110D5">
              <w:rPr>
                <w:rFonts w:asciiTheme="minorHAnsi" w:hAnsiTheme="minorHAnsi" w:cstheme="minorHAnsi"/>
                <w:color w:val="000000"/>
                <w:sz w:val="18"/>
                <w:szCs w:val="18"/>
              </w:rPr>
              <w:t>This item was withdrawn.</w:t>
            </w:r>
          </w:p>
        </w:tc>
      </w:tr>
      <w:tr w:rsidR="00610178" w:rsidRPr="00544497" w14:paraId="61EAC40A" w14:textId="77777777" w:rsidTr="00C70218">
        <w:trPr>
          <w:cantSplit/>
          <w:trHeight w:val="2948"/>
          <w:jc w:val="center"/>
        </w:trPr>
        <w:tc>
          <w:tcPr>
            <w:tcW w:w="3013" w:type="dxa"/>
            <w:shd w:val="clear" w:color="auto" w:fill="auto"/>
            <w:tcMar>
              <w:top w:w="28" w:type="dxa"/>
              <w:bottom w:w="28" w:type="dxa"/>
            </w:tcMar>
            <w:vAlign w:val="center"/>
          </w:tcPr>
          <w:p w14:paraId="17EF7A28" w14:textId="02965790" w:rsidR="00610178" w:rsidRPr="00344F5B" w:rsidRDefault="00610178" w:rsidP="00610178">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RISDIPLAM</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Powder for oral solution 0.75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per 1</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80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Evrysdi</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Roche Products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Standard re-entry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592E079A" w14:textId="5CA9D5F9" w:rsidR="00610178" w:rsidRPr="00344F5B" w:rsidRDefault="00610178" w:rsidP="00610178">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Spinal muscular atrophy (SMA)</w:t>
            </w:r>
          </w:p>
        </w:tc>
        <w:tc>
          <w:tcPr>
            <w:tcW w:w="3288" w:type="dxa"/>
            <w:shd w:val="clear" w:color="auto" w:fill="auto"/>
            <w:tcMar>
              <w:top w:w="28" w:type="dxa"/>
              <w:bottom w:w="28" w:type="dxa"/>
            </w:tcMar>
            <w:vAlign w:val="center"/>
          </w:tcPr>
          <w:p w14:paraId="7A82A72B" w14:textId="55F34277" w:rsidR="00610178" w:rsidRPr="00344F5B" w:rsidRDefault="00610178" w:rsidP="00610178">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Resubmission to request a Section 100 (Highly Specialised Drugs Program) Authority Required (</w:t>
            </w:r>
            <w:r w:rsidR="002A570E">
              <w:rPr>
                <w:rFonts w:asciiTheme="minorHAnsi" w:hAnsiTheme="minorHAnsi" w:cstheme="minorHAnsi"/>
                <w:color w:val="000000"/>
                <w:sz w:val="18"/>
                <w:szCs w:val="18"/>
              </w:rPr>
              <w:t>W</w:t>
            </w:r>
            <w:r w:rsidRPr="00344F5B">
              <w:rPr>
                <w:rFonts w:asciiTheme="minorHAnsi" w:hAnsiTheme="minorHAnsi" w:cstheme="minorHAnsi"/>
                <w:color w:val="000000"/>
                <w:sz w:val="18"/>
                <w:szCs w:val="18"/>
              </w:rPr>
              <w:t>ritten) listing for the treatment of</w:t>
            </w:r>
            <w:r w:rsidRPr="000110D5">
              <w:rPr>
                <w:rFonts w:asciiTheme="minorHAnsi" w:hAnsiTheme="minorHAnsi" w:cstheme="minorHAnsi"/>
                <w:color w:val="000000"/>
                <w:sz w:val="18"/>
                <w:szCs w:val="18"/>
              </w:rPr>
              <w:t>:</w:t>
            </w:r>
          </w:p>
          <w:p w14:paraId="01541B2E" w14:textId="77777777" w:rsidR="00610178" w:rsidRPr="00344F5B" w:rsidRDefault="00610178" w:rsidP="00610178">
            <w:pPr>
              <w:pStyle w:val="ListParagraph"/>
              <w:numPr>
                <w:ilvl w:val="0"/>
                <w:numId w:val="26"/>
              </w:numPr>
              <w:ind w:left="478" w:hanging="318"/>
              <w:rPr>
                <w:rFonts w:asciiTheme="minorHAnsi" w:hAnsiTheme="minorHAnsi" w:cstheme="minorHAnsi"/>
                <w:color w:val="000000"/>
                <w:sz w:val="18"/>
                <w:szCs w:val="18"/>
              </w:rPr>
            </w:pPr>
            <w:r w:rsidRPr="00344F5B">
              <w:rPr>
                <w:rFonts w:asciiTheme="minorHAnsi" w:hAnsiTheme="minorHAnsi" w:cstheme="minorHAnsi"/>
                <w:color w:val="000000"/>
                <w:sz w:val="18"/>
                <w:szCs w:val="18"/>
              </w:rPr>
              <w:t>adults diagnosed with 5q SMA with symptom onset prior to 19 years of age,</w:t>
            </w:r>
          </w:p>
          <w:p w14:paraId="12A35F3F" w14:textId="43A4BA95" w:rsidR="00610178" w:rsidRPr="00344F5B" w:rsidRDefault="00610178" w:rsidP="00610178">
            <w:pPr>
              <w:pStyle w:val="ListParagraph"/>
              <w:numPr>
                <w:ilvl w:val="0"/>
                <w:numId w:val="26"/>
              </w:numPr>
              <w:ind w:left="478" w:hanging="318"/>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patients with confirmed genetic diagnosis of SMA (SMA1 deletion or mutation) who have a </w:t>
            </w:r>
            <w:r w:rsidR="001A63A3">
              <w:rPr>
                <w:rFonts w:asciiTheme="minorHAnsi" w:hAnsiTheme="minorHAnsi" w:cstheme="minorHAnsi"/>
                <w:color w:val="000000"/>
                <w:sz w:val="18"/>
                <w:szCs w:val="18"/>
              </w:rPr>
              <w:t>Survival Motor Neuron 2 (</w:t>
            </w:r>
            <w:r w:rsidRPr="00142347">
              <w:rPr>
                <w:rFonts w:asciiTheme="minorHAnsi" w:hAnsiTheme="minorHAnsi" w:cstheme="minorHAnsi"/>
                <w:i/>
                <w:iCs/>
                <w:color w:val="000000"/>
                <w:sz w:val="18"/>
                <w:szCs w:val="18"/>
              </w:rPr>
              <w:t>SMN2</w:t>
            </w:r>
            <w:r w:rsidR="001A63A3">
              <w:rPr>
                <w:rFonts w:asciiTheme="minorHAnsi" w:hAnsiTheme="minorHAnsi" w:cstheme="minorHAnsi"/>
                <w:i/>
                <w:iCs/>
                <w:color w:val="000000"/>
                <w:sz w:val="18"/>
                <w:szCs w:val="18"/>
              </w:rPr>
              <w:t>)</w:t>
            </w:r>
            <w:r w:rsidRPr="00344F5B">
              <w:rPr>
                <w:rFonts w:asciiTheme="minorHAnsi" w:hAnsiTheme="minorHAnsi" w:cstheme="minorHAnsi"/>
                <w:color w:val="000000"/>
                <w:sz w:val="18"/>
                <w:szCs w:val="18"/>
              </w:rPr>
              <w:t xml:space="preserve"> gene copy number of 1 or 2, and</w:t>
            </w:r>
          </w:p>
          <w:p w14:paraId="55E68C31" w14:textId="2089BBD2" w:rsidR="00610178" w:rsidRPr="00344F5B" w:rsidRDefault="00610178" w:rsidP="00610178">
            <w:pPr>
              <w:pStyle w:val="ListParagraph"/>
              <w:numPr>
                <w:ilvl w:val="0"/>
                <w:numId w:val="26"/>
              </w:numPr>
              <w:ind w:left="478" w:hanging="318"/>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patients with confirmed genetic diagnosis of SMA (SMA1 deletion or mutation) who have a </w:t>
            </w:r>
            <w:r w:rsidRPr="00142347">
              <w:rPr>
                <w:rFonts w:asciiTheme="minorHAnsi" w:hAnsiTheme="minorHAnsi" w:cstheme="minorHAnsi"/>
                <w:i/>
                <w:iCs/>
                <w:color w:val="000000"/>
                <w:sz w:val="18"/>
                <w:szCs w:val="18"/>
              </w:rPr>
              <w:t>SMN2</w:t>
            </w:r>
            <w:r w:rsidRPr="00344F5B">
              <w:rPr>
                <w:rFonts w:asciiTheme="minorHAnsi" w:hAnsiTheme="minorHAnsi" w:cstheme="minorHAnsi"/>
                <w:color w:val="000000"/>
                <w:sz w:val="18"/>
                <w:szCs w:val="18"/>
              </w:rPr>
              <w:t xml:space="preserve"> gene copy number of 3.</w:t>
            </w:r>
          </w:p>
        </w:tc>
        <w:tc>
          <w:tcPr>
            <w:tcW w:w="1987" w:type="dxa"/>
            <w:shd w:val="clear" w:color="auto" w:fill="auto"/>
            <w:vAlign w:val="center"/>
          </w:tcPr>
          <w:p w14:paraId="089D0733" w14:textId="5EF734A7" w:rsidR="00610178" w:rsidRPr="00344F5B" w:rsidRDefault="00610178" w:rsidP="00610178">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0B29E960" w14:textId="4B773594" w:rsidR="00610178" w:rsidRPr="00344F5B" w:rsidRDefault="00610178" w:rsidP="00610178">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the listing of risdiplam for adults diagnosed with 5q SMA with symptom onset prior to 19 years of age and no initiation of disease-modifying treatment during childhood (population 1) and patients aged &lt;</w:t>
            </w:r>
            <w:r w:rsidR="00C77906">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36 months with a confirmed genetic diagnosis of SMA (SMA1 deletion or mutation) who have an </w:t>
            </w:r>
            <w:r w:rsidRPr="00142347">
              <w:rPr>
                <w:rFonts w:asciiTheme="minorHAnsi" w:hAnsiTheme="minorHAnsi" w:cstheme="minorHAnsi"/>
                <w:i/>
                <w:iCs/>
                <w:color w:val="000000"/>
                <w:sz w:val="18"/>
                <w:szCs w:val="18"/>
              </w:rPr>
              <w:t>SMN2</w:t>
            </w:r>
            <w:r w:rsidRPr="00344F5B">
              <w:rPr>
                <w:rFonts w:asciiTheme="minorHAnsi" w:hAnsiTheme="minorHAnsi" w:cstheme="minorHAnsi"/>
                <w:color w:val="000000"/>
                <w:sz w:val="18"/>
                <w:szCs w:val="18"/>
              </w:rPr>
              <w:t xml:space="preserve"> gene copy number of 1 or 2 and are pre-symptomatic (population 2) on the basis that it should be available only under special arrangements under Section 100. The PBAC’s recommendation for listing in these populations was based on, among other matters, its assessment that the cost-effectiveness of risdiplam would be acceptable if it were cost minimised against nusinersen. The PBAC noted that the sponsor withdrew the request for listing of risdiplam for patients aged &lt;</w:t>
            </w:r>
            <w:r w:rsidR="00C77906">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36 months with a confirmed genetic diagnosis of SMA (SMA1 deletion or mutation) who have a </w:t>
            </w:r>
            <w:r w:rsidRPr="00142347">
              <w:rPr>
                <w:rFonts w:asciiTheme="minorHAnsi" w:hAnsiTheme="minorHAnsi" w:cstheme="minorHAnsi"/>
                <w:i/>
                <w:iCs/>
                <w:color w:val="000000"/>
                <w:sz w:val="18"/>
                <w:szCs w:val="18"/>
              </w:rPr>
              <w:t>SMN2</w:t>
            </w:r>
            <w:r w:rsidRPr="00344F5B">
              <w:rPr>
                <w:rFonts w:asciiTheme="minorHAnsi" w:hAnsiTheme="minorHAnsi" w:cstheme="minorHAnsi"/>
                <w:color w:val="000000"/>
                <w:sz w:val="18"/>
                <w:szCs w:val="18"/>
              </w:rPr>
              <w:t xml:space="preserve"> gene copy number of 3 and are pre-symptomatic. </w:t>
            </w:r>
          </w:p>
        </w:tc>
      </w:tr>
      <w:tr w:rsidR="00462AAF" w:rsidRPr="00544497" w14:paraId="73CCA187" w14:textId="77777777" w:rsidTr="00C70218">
        <w:trPr>
          <w:cantSplit/>
          <w:trHeight w:val="2948"/>
          <w:jc w:val="center"/>
        </w:trPr>
        <w:tc>
          <w:tcPr>
            <w:tcW w:w="3013" w:type="dxa"/>
            <w:shd w:val="clear" w:color="auto" w:fill="auto"/>
            <w:tcMar>
              <w:top w:w="28" w:type="dxa"/>
              <w:bottom w:w="28" w:type="dxa"/>
            </w:tcMar>
            <w:vAlign w:val="center"/>
          </w:tcPr>
          <w:p w14:paraId="36CECB75" w14:textId="4434ECCD"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RISEDRONIC ACID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(enteric coated) containing risedronate sodium 35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Actonel® EC</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THERAMEX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Matters outstanding</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366011E9" w14:textId="3D6D441F"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Osteoporosis</w:t>
            </w:r>
          </w:p>
        </w:tc>
        <w:tc>
          <w:tcPr>
            <w:tcW w:w="3288" w:type="dxa"/>
            <w:shd w:val="clear" w:color="auto" w:fill="auto"/>
            <w:tcMar>
              <w:top w:w="28" w:type="dxa"/>
              <w:bottom w:w="28" w:type="dxa"/>
            </w:tcMar>
            <w:vAlign w:val="center"/>
          </w:tcPr>
          <w:p w14:paraId="1E9BD949" w14:textId="23DB3653"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an expansion of the current risedronate listing to include patients with osteoporosis aged below 70 years of age.</w:t>
            </w:r>
          </w:p>
        </w:tc>
        <w:tc>
          <w:tcPr>
            <w:tcW w:w="1987" w:type="dxa"/>
            <w:shd w:val="clear" w:color="auto" w:fill="auto"/>
            <w:vAlign w:val="center"/>
          </w:tcPr>
          <w:p w14:paraId="5BEB7D7D" w14:textId="2BBFD88F"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Not Recommended</w:t>
            </w:r>
          </w:p>
        </w:tc>
        <w:tc>
          <w:tcPr>
            <w:tcW w:w="4336" w:type="dxa"/>
            <w:shd w:val="clear" w:color="auto" w:fill="auto"/>
            <w:vAlign w:val="center"/>
          </w:tcPr>
          <w:p w14:paraId="79E3A795" w14:textId="21FBEFAB" w:rsidR="00462AAF" w:rsidRPr="000110D5"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The PBAC did not recommend an amendment to the current age restriction on the PBS listing of risedronic acid (risedronate) for the primary prevention of fracture in patients with a bone mineral density (BMD) T-score of -2.5 or less, on the basis</w:t>
            </w:r>
            <w:r w:rsidR="00185571">
              <w:rPr>
                <w:rFonts w:asciiTheme="minorHAnsi" w:hAnsiTheme="minorHAnsi" w:cstheme="minorHAnsi"/>
                <w:color w:val="000000"/>
                <w:sz w:val="18"/>
                <w:szCs w:val="18"/>
              </w:rPr>
              <w:t xml:space="preserve"> that</w:t>
            </w:r>
            <w:r w:rsidRPr="0011605A">
              <w:rPr>
                <w:rFonts w:asciiTheme="minorHAnsi" w:hAnsiTheme="minorHAnsi" w:cstheme="minorHAnsi"/>
                <w:color w:val="000000"/>
                <w:sz w:val="18"/>
                <w:szCs w:val="18"/>
              </w:rPr>
              <w:t xml:space="preserve"> the </w:t>
            </w:r>
            <w:r w:rsidR="00185571">
              <w:rPr>
                <w:rFonts w:asciiTheme="minorHAnsi" w:hAnsiTheme="minorHAnsi" w:cstheme="minorHAnsi"/>
                <w:color w:val="000000"/>
                <w:sz w:val="18"/>
                <w:szCs w:val="18"/>
              </w:rPr>
              <w:t>Medical Services Advisory Committee (</w:t>
            </w:r>
            <w:r w:rsidRPr="0011605A">
              <w:rPr>
                <w:rFonts w:asciiTheme="minorHAnsi" w:hAnsiTheme="minorHAnsi" w:cstheme="minorHAnsi"/>
                <w:color w:val="000000"/>
                <w:sz w:val="18"/>
                <w:szCs w:val="18"/>
              </w:rPr>
              <w:t>MSAC</w:t>
            </w:r>
            <w:r w:rsidR="00185571">
              <w:rPr>
                <w:rFonts w:asciiTheme="minorHAnsi" w:hAnsiTheme="minorHAnsi" w:cstheme="minorHAnsi"/>
                <w:color w:val="000000"/>
                <w:sz w:val="18"/>
                <w:szCs w:val="18"/>
              </w:rPr>
              <w:t>)</w:t>
            </w:r>
            <w:r w:rsidRPr="0011605A">
              <w:rPr>
                <w:rFonts w:asciiTheme="minorHAnsi" w:hAnsiTheme="minorHAnsi" w:cstheme="minorHAnsi"/>
                <w:color w:val="000000"/>
                <w:sz w:val="18"/>
                <w:szCs w:val="18"/>
              </w:rPr>
              <w:t xml:space="preserve"> Executive advised that resubmission as a </w:t>
            </w:r>
            <w:proofErr w:type="spellStart"/>
            <w:r w:rsidRPr="0011605A">
              <w:rPr>
                <w:rFonts w:asciiTheme="minorHAnsi" w:hAnsiTheme="minorHAnsi" w:cstheme="minorHAnsi"/>
                <w:color w:val="000000"/>
                <w:sz w:val="18"/>
                <w:szCs w:val="18"/>
              </w:rPr>
              <w:t>codependent</w:t>
            </w:r>
            <w:proofErr w:type="spellEnd"/>
            <w:r w:rsidRPr="0011605A">
              <w:rPr>
                <w:rFonts w:asciiTheme="minorHAnsi" w:hAnsiTheme="minorHAnsi" w:cstheme="minorHAnsi"/>
                <w:color w:val="000000"/>
                <w:sz w:val="18"/>
                <w:szCs w:val="18"/>
              </w:rPr>
              <w:t xml:space="preserve"> application would be required to assess the cost-effectiveness and financial implications of expanded BMD testing on the Medicare Benefit</w:t>
            </w:r>
            <w:r w:rsidR="00185571">
              <w:rPr>
                <w:rFonts w:asciiTheme="minorHAnsi" w:hAnsiTheme="minorHAnsi" w:cstheme="minorHAnsi"/>
                <w:color w:val="000000"/>
                <w:sz w:val="18"/>
                <w:szCs w:val="18"/>
              </w:rPr>
              <w:t>s</w:t>
            </w:r>
            <w:r w:rsidRPr="0011605A">
              <w:rPr>
                <w:rFonts w:asciiTheme="minorHAnsi" w:hAnsiTheme="minorHAnsi" w:cstheme="minorHAnsi"/>
                <w:color w:val="000000"/>
                <w:sz w:val="18"/>
                <w:szCs w:val="18"/>
              </w:rPr>
              <w:t xml:space="preserve"> Schedule to support such a listing.</w:t>
            </w:r>
          </w:p>
          <w:p w14:paraId="68F1D34A" w14:textId="77777777" w:rsidR="00462AAF" w:rsidRDefault="00462AAF" w:rsidP="00462AAF">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743A188C" w14:textId="20439D1E" w:rsidR="000B2A2E" w:rsidRPr="000B2A2E" w:rsidRDefault="000B2A2E" w:rsidP="00462AAF">
            <w:pPr>
              <w:rPr>
                <w:rFonts w:asciiTheme="minorHAnsi" w:hAnsiTheme="minorHAnsi" w:cstheme="minorHAnsi"/>
                <w:color w:val="000000"/>
                <w:sz w:val="18"/>
                <w:szCs w:val="18"/>
              </w:rPr>
            </w:pPr>
            <w:r w:rsidRPr="001B5E08">
              <w:rPr>
                <w:rFonts w:asciiTheme="minorHAnsi" w:hAnsiTheme="minorHAnsi" w:cstheme="minorHAnsi"/>
                <w:color w:val="000000"/>
                <w:sz w:val="18"/>
                <w:szCs w:val="18"/>
              </w:rPr>
              <w:t>The sponsor had no commen</w:t>
            </w:r>
            <w:r>
              <w:rPr>
                <w:rFonts w:asciiTheme="minorHAnsi" w:hAnsiTheme="minorHAnsi" w:cstheme="minorHAnsi"/>
                <w:color w:val="000000"/>
                <w:sz w:val="18"/>
                <w:szCs w:val="18"/>
              </w:rPr>
              <w:t>t.</w:t>
            </w:r>
          </w:p>
        </w:tc>
      </w:tr>
      <w:tr w:rsidR="00462AAF" w:rsidRPr="00544497" w14:paraId="6BD235FA" w14:textId="77777777" w:rsidTr="00C70218">
        <w:trPr>
          <w:cantSplit/>
          <w:trHeight w:val="2948"/>
          <w:jc w:val="center"/>
        </w:trPr>
        <w:tc>
          <w:tcPr>
            <w:tcW w:w="3013" w:type="dxa"/>
            <w:shd w:val="clear" w:color="auto" w:fill="BFBFBF" w:themeFill="background1" w:themeFillShade="BF"/>
            <w:tcMar>
              <w:top w:w="28" w:type="dxa"/>
              <w:bottom w:w="28" w:type="dxa"/>
            </w:tcMar>
            <w:vAlign w:val="center"/>
          </w:tcPr>
          <w:p w14:paraId="61ACFAF0" w14:textId="151CA9DE"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RISPERIDONE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Powder for I.M. injection 75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(modified release) with 0.383</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diluent in pre-filled syringe</w:t>
            </w:r>
            <w:r w:rsidRPr="00344F5B">
              <w:rPr>
                <w:rFonts w:asciiTheme="minorHAnsi" w:hAnsiTheme="minorHAnsi" w:cstheme="minorHAnsi"/>
                <w:color w:val="000000"/>
                <w:sz w:val="18"/>
                <w:szCs w:val="18"/>
              </w:rPr>
              <w:br/>
              <w:t>Powder for I.M. injection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(modified release) with 0.49</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mL diluent in pre-filled syringe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Okedi</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Maxx Pharma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(New PBS listing)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To be considered at a future PBAC meeting</w:t>
            </w:r>
          </w:p>
        </w:tc>
        <w:tc>
          <w:tcPr>
            <w:tcW w:w="2764" w:type="dxa"/>
            <w:shd w:val="clear" w:color="auto" w:fill="BFBFBF" w:themeFill="background1" w:themeFillShade="BF"/>
            <w:vAlign w:val="center"/>
          </w:tcPr>
          <w:p w14:paraId="4423C0C6" w14:textId="07AD78ED"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Schizophrenia</w:t>
            </w:r>
          </w:p>
        </w:tc>
        <w:tc>
          <w:tcPr>
            <w:tcW w:w="3288" w:type="dxa"/>
            <w:shd w:val="clear" w:color="auto" w:fill="BFBFBF" w:themeFill="background1" w:themeFillShade="BF"/>
            <w:tcMar>
              <w:top w:w="28" w:type="dxa"/>
              <w:bottom w:w="28" w:type="dxa"/>
            </w:tcMar>
            <w:vAlign w:val="center"/>
          </w:tcPr>
          <w:p w14:paraId="2AA741E0" w14:textId="2504D652"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(STREAMLINED) listing for the treatment of schizophrenia.</w:t>
            </w:r>
          </w:p>
        </w:tc>
        <w:tc>
          <w:tcPr>
            <w:tcW w:w="1987" w:type="dxa"/>
            <w:shd w:val="clear" w:color="auto" w:fill="BFBFBF" w:themeFill="background1" w:themeFillShade="BF"/>
            <w:vAlign w:val="center"/>
          </w:tcPr>
          <w:p w14:paraId="6D96EEF6" w14:textId="459EC06F"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Applicable</w:t>
            </w:r>
          </w:p>
        </w:tc>
        <w:tc>
          <w:tcPr>
            <w:tcW w:w="4336" w:type="dxa"/>
            <w:shd w:val="clear" w:color="auto" w:fill="BFBFBF" w:themeFill="background1" w:themeFillShade="BF"/>
            <w:vAlign w:val="center"/>
          </w:tcPr>
          <w:p w14:paraId="525A433C" w14:textId="76494873" w:rsidR="00462AAF" w:rsidRPr="00344F5B" w:rsidRDefault="00462AAF" w:rsidP="00462AAF">
            <w:pPr>
              <w:rPr>
                <w:rFonts w:asciiTheme="minorHAnsi" w:hAnsiTheme="minorHAnsi" w:cstheme="minorHAnsi"/>
                <w:color w:val="000000"/>
                <w:sz w:val="18"/>
                <w:szCs w:val="18"/>
              </w:rPr>
            </w:pPr>
            <w:r w:rsidRPr="000110D5">
              <w:rPr>
                <w:rFonts w:asciiTheme="minorHAnsi" w:hAnsiTheme="minorHAnsi" w:cstheme="minorHAnsi"/>
                <w:color w:val="000000"/>
                <w:sz w:val="18"/>
                <w:szCs w:val="18"/>
              </w:rPr>
              <w:t>This item is to be considered at a future PBAC meeting.</w:t>
            </w:r>
          </w:p>
        </w:tc>
      </w:tr>
      <w:tr w:rsidR="00462AAF" w:rsidRPr="00544497" w14:paraId="0615811D" w14:textId="77777777" w:rsidTr="00C70218">
        <w:trPr>
          <w:cantSplit/>
          <w:trHeight w:val="2948"/>
          <w:jc w:val="center"/>
        </w:trPr>
        <w:tc>
          <w:tcPr>
            <w:tcW w:w="3013" w:type="dxa"/>
            <w:shd w:val="clear" w:color="auto" w:fill="auto"/>
            <w:tcMar>
              <w:top w:w="28" w:type="dxa"/>
              <w:bottom w:w="28" w:type="dxa"/>
            </w:tcMar>
            <w:vAlign w:val="center"/>
          </w:tcPr>
          <w:p w14:paraId="3930A53F" w14:textId="0E00F72C"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ROMOSOZUMAB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Injection 105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1.17</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single use pre-filled syringe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Evenity</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Amgen Australia Pty Limited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Standard re-entry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1A402B65" w14:textId="56171106"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Osteoporosis</w:t>
            </w:r>
          </w:p>
        </w:tc>
        <w:tc>
          <w:tcPr>
            <w:tcW w:w="3288" w:type="dxa"/>
            <w:shd w:val="clear" w:color="auto" w:fill="auto"/>
            <w:tcMar>
              <w:top w:w="28" w:type="dxa"/>
              <w:bottom w:w="28" w:type="dxa"/>
            </w:tcMar>
            <w:vAlign w:val="center"/>
          </w:tcPr>
          <w:p w14:paraId="2ACD7C70" w14:textId="4DF4FC4E"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Resubmission to request a General Schedule Authority Required (Telephone/electronic) listing for the treatment of severe established osteoporosis.</w:t>
            </w:r>
          </w:p>
        </w:tc>
        <w:tc>
          <w:tcPr>
            <w:tcW w:w="1987" w:type="dxa"/>
            <w:shd w:val="clear" w:color="auto" w:fill="auto"/>
            <w:vAlign w:val="center"/>
          </w:tcPr>
          <w:p w14:paraId="282B97C0" w14:textId="4A80101B"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2B696A08" w14:textId="58B39480" w:rsidR="00462AAF" w:rsidRPr="00344F5B" w:rsidRDefault="00462AAF" w:rsidP="00462AAF">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the Authority Required (Telephone/electronic) listing of romosozumab for the treatment of severe osteoporosis in the first-line setting. The PBAC considered the clinical and cost-effectiveness evidence for romosozumab was adequate to support listing in the first-line setting but not an expansion to the current second-line listing. On this basis, the PBAC considered that romosozumab in the first-line setting provides, for some patients a significant improvement in efficacy over alendronate. The PBAC noted that the resubmission had addressed a number of its previous concerns with the economic model, but had not provided an economic analysis for romosozumab in the expanded second-line setting. The PBAC’s recommendation for listing was based on, among other matters, its assessment that romosozumab would be cost-effective in the first-line setting if its price was reduced such that the incremental cost-effectiveness ratio was no higher than the revised base case in the July 2022 submission (</w:t>
            </w:r>
            <w:r w:rsidRPr="006D39C8">
              <w:rPr>
                <w:rFonts w:asciiTheme="minorHAnsi" w:hAnsiTheme="minorHAnsi" w:cstheme="minorHAnsi"/>
                <w:color w:val="000000"/>
                <w:sz w:val="18"/>
                <w:szCs w:val="18"/>
              </w:rPr>
              <w:t>$</w:t>
            </w:r>
            <w:r>
              <w:rPr>
                <w:rFonts w:asciiTheme="minorHAnsi" w:hAnsiTheme="minorHAnsi" w:cstheme="minorHAnsi"/>
                <w:color w:val="000000"/>
                <w:sz w:val="18"/>
                <w:szCs w:val="18"/>
              </w:rPr>
              <w:t>3</w:t>
            </w:r>
            <w:r w:rsidRPr="006D39C8">
              <w:rPr>
                <w:rFonts w:asciiTheme="minorHAnsi" w:hAnsiTheme="minorHAnsi" w:cstheme="minorHAnsi"/>
                <w:color w:val="000000"/>
                <w:sz w:val="18"/>
                <w:szCs w:val="18"/>
              </w:rPr>
              <w:t>5,000 to &lt;</w:t>
            </w:r>
            <w:r>
              <w:rPr>
                <w:rFonts w:asciiTheme="minorHAnsi" w:hAnsiTheme="minorHAnsi" w:cstheme="minorHAnsi"/>
                <w:color w:val="000000"/>
                <w:sz w:val="18"/>
                <w:szCs w:val="18"/>
              </w:rPr>
              <w:t> </w:t>
            </w:r>
            <w:r w:rsidRPr="006D39C8">
              <w:rPr>
                <w:rFonts w:asciiTheme="minorHAnsi" w:hAnsiTheme="minorHAnsi" w:cstheme="minorHAnsi"/>
                <w:color w:val="000000"/>
                <w:sz w:val="18"/>
                <w:szCs w:val="18"/>
              </w:rPr>
              <w:t>$</w:t>
            </w:r>
            <w:r>
              <w:rPr>
                <w:rFonts w:asciiTheme="minorHAnsi" w:hAnsiTheme="minorHAnsi" w:cstheme="minorHAnsi"/>
                <w:color w:val="000000"/>
                <w:sz w:val="18"/>
                <w:szCs w:val="18"/>
              </w:rPr>
              <w:t>4</w:t>
            </w:r>
            <w:r w:rsidRPr="006D39C8">
              <w:rPr>
                <w:rFonts w:asciiTheme="minorHAnsi" w:hAnsiTheme="minorHAnsi" w:cstheme="minorHAnsi"/>
                <w:color w:val="000000"/>
                <w:sz w:val="18"/>
                <w:szCs w:val="18"/>
              </w:rPr>
              <w:t>5,000</w:t>
            </w:r>
            <w:r w:rsidRPr="00027F75">
              <w:rPr>
                <w:rFonts w:asciiTheme="minorHAnsi" w:hAnsiTheme="minorHAnsi" w:cstheme="minorHAnsi"/>
                <w:color w:val="000000"/>
                <w:sz w:val="18"/>
                <w:szCs w:val="18"/>
              </w:rPr>
              <w:t xml:space="preserve"> </w:t>
            </w:r>
            <w:r w:rsidRPr="00344F5B">
              <w:rPr>
                <w:rFonts w:asciiTheme="minorHAnsi" w:hAnsiTheme="minorHAnsi" w:cstheme="minorHAnsi"/>
                <w:color w:val="000000"/>
                <w:sz w:val="18"/>
                <w:szCs w:val="18"/>
              </w:rPr>
              <w:t xml:space="preserve">per </w:t>
            </w:r>
            <w:r w:rsidR="00C77906">
              <w:rPr>
                <w:rFonts w:asciiTheme="minorHAnsi" w:hAnsiTheme="minorHAnsi" w:cstheme="minorHAnsi"/>
                <w:color w:val="000000"/>
                <w:sz w:val="18"/>
                <w:szCs w:val="18"/>
              </w:rPr>
              <w:t>quality adjusted life year</w:t>
            </w:r>
            <w:r w:rsidRPr="00344F5B">
              <w:rPr>
                <w:rFonts w:asciiTheme="minorHAnsi" w:hAnsiTheme="minorHAnsi" w:cstheme="minorHAnsi"/>
                <w:color w:val="000000"/>
                <w:sz w:val="18"/>
                <w:szCs w:val="18"/>
              </w:rPr>
              <w:t xml:space="preserve"> gained) and with a risk sharing arrangement to address the uncertainty associated with the size of the eligible first-line population and also with any residual concerns regarding the cost-effectiveness of romosozumab use in the first-line setting. </w:t>
            </w:r>
          </w:p>
        </w:tc>
      </w:tr>
      <w:tr w:rsidR="00462AAF" w:rsidRPr="00544497" w14:paraId="7A59C19B" w14:textId="77777777" w:rsidTr="00C70218">
        <w:trPr>
          <w:cantSplit/>
          <w:trHeight w:val="2948"/>
          <w:jc w:val="center"/>
        </w:trPr>
        <w:tc>
          <w:tcPr>
            <w:tcW w:w="3013" w:type="dxa"/>
            <w:shd w:val="clear" w:color="auto" w:fill="auto"/>
            <w:tcMar>
              <w:top w:w="28" w:type="dxa"/>
              <w:bottom w:w="28" w:type="dxa"/>
            </w:tcMar>
            <w:vAlign w:val="center"/>
          </w:tcPr>
          <w:p w14:paraId="62D48938" w14:textId="3BC7C973"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TEBENTAFUSP</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Solution concentrate for I.V. infusion 100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mcg in 0.5</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 vial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Kimmtrak®</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Synevi Pty Limited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1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0EA11252" w14:textId="7A881871"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Advanced (unresectable or metastatic) human leukocyte antigen (HLA)-A*02:01-positive uveal melanoma</w:t>
            </w:r>
          </w:p>
        </w:tc>
        <w:tc>
          <w:tcPr>
            <w:tcW w:w="3288" w:type="dxa"/>
            <w:shd w:val="clear" w:color="auto" w:fill="auto"/>
            <w:tcMar>
              <w:top w:w="28" w:type="dxa"/>
              <w:bottom w:w="28" w:type="dxa"/>
            </w:tcMar>
            <w:vAlign w:val="center"/>
          </w:tcPr>
          <w:p w14:paraId="5448999F" w14:textId="521E94D2"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Section 100 (Efficient Funding of Chemotherapy) Authority Required (telephone/online) listing for the treatment of HLA-A*02:01-positive adult patients with advanced (unresectable or metastatic) uveal melanoma.</w:t>
            </w:r>
          </w:p>
        </w:tc>
        <w:tc>
          <w:tcPr>
            <w:tcW w:w="1987" w:type="dxa"/>
            <w:shd w:val="clear" w:color="auto" w:fill="auto"/>
            <w:vAlign w:val="center"/>
          </w:tcPr>
          <w:p w14:paraId="003A4DB2" w14:textId="7A401A2C"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Not Recommended</w:t>
            </w:r>
          </w:p>
        </w:tc>
        <w:tc>
          <w:tcPr>
            <w:tcW w:w="4336" w:type="dxa"/>
            <w:shd w:val="clear" w:color="auto" w:fill="auto"/>
            <w:vAlign w:val="center"/>
          </w:tcPr>
          <w:p w14:paraId="18299700" w14:textId="6B35F341" w:rsidR="00DB10F3"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 xml:space="preserve">The PBAC did not recommend tebentafusp for the treatment of HLA-A*02:01-positive adult patients with advanced (unresectable or metastatic) uveal melanoma. The PBAC noted the unmet clinical need for new treatments in this setting and considered that tebentafusp was superior in terms of efficacy compared to pembrolizumab, but likely inferior in term of safety. The PBAC noted that there were uncertainties associated with the economic model and considered that these could be mitigated by reducing the time horizon applied and adjusting the utility values. The PBAC considered that a price reduction would be required for tebentafusp to be cost effective. The PBAC considered that the utilisation estimates for tebentafusp were reasonable. </w:t>
            </w:r>
          </w:p>
          <w:p w14:paraId="0838FAAE" w14:textId="732B5F45" w:rsidR="00462AAF" w:rsidRPr="000110D5"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 xml:space="preserve">The PBAC </w:t>
            </w:r>
            <w:r w:rsidR="00274815">
              <w:rPr>
                <w:rFonts w:asciiTheme="minorHAnsi" w:hAnsiTheme="minorHAnsi" w:cstheme="minorHAnsi"/>
                <w:color w:val="000000"/>
                <w:sz w:val="18"/>
                <w:szCs w:val="18"/>
              </w:rPr>
              <w:t>nominated</w:t>
            </w:r>
            <w:r w:rsidR="00274815" w:rsidRPr="0011605A">
              <w:rPr>
                <w:rFonts w:asciiTheme="minorHAnsi" w:hAnsiTheme="minorHAnsi" w:cstheme="minorHAnsi"/>
                <w:color w:val="000000"/>
                <w:sz w:val="18"/>
                <w:szCs w:val="18"/>
              </w:rPr>
              <w:t xml:space="preserve"> </w:t>
            </w:r>
            <w:r w:rsidRPr="0011605A">
              <w:rPr>
                <w:rFonts w:asciiTheme="minorHAnsi" w:hAnsiTheme="minorHAnsi" w:cstheme="minorHAnsi"/>
                <w:color w:val="000000"/>
                <w:sz w:val="18"/>
                <w:szCs w:val="18"/>
              </w:rPr>
              <w:t>the early resolution resubmission pathway for tebentafusp.</w:t>
            </w:r>
          </w:p>
          <w:p w14:paraId="7AD61AF3" w14:textId="77777777" w:rsidR="00462AAF" w:rsidRDefault="00462AAF" w:rsidP="00462AAF">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57C34C7A" w14:textId="325C35D0" w:rsidR="002346BD" w:rsidRPr="002346BD" w:rsidRDefault="002346BD" w:rsidP="00462AAF">
            <w:pPr>
              <w:rPr>
                <w:rFonts w:asciiTheme="minorHAnsi" w:hAnsiTheme="minorHAnsi" w:cstheme="minorHAnsi"/>
                <w:color w:val="000000"/>
                <w:sz w:val="18"/>
                <w:szCs w:val="18"/>
              </w:rPr>
            </w:pPr>
            <w:proofErr w:type="spellStart"/>
            <w:r w:rsidRPr="002346BD">
              <w:rPr>
                <w:rFonts w:asciiTheme="minorHAnsi" w:hAnsiTheme="minorHAnsi" w:cstheme="minorHAnsi"/>
                <w:color w:val="000000"/>
                <w:sz w:val="18"/>
                <w:szCs w:val="18"/>
              </w:rPr>
              <w:t>SYNEVi</w:t>
            </w:r>
            <w:proofErr w:type="spellEnd"/>
            <w:r w:rsidRPr="002346BD">
              <w:rPr>
                <w:rFonts w:asciiTheme="minorHAnsi" w:hAnsiTheme="minorHAnsi" w:cstheme="minorHAnsi"/>
                <w:color w:val="000000"/>
                <w:sz w:val="18"/>
                <w:szCs w:val="18"/>
              </w:rPr>
              <w:t xml:space="preserve"> on behalf of Immunocore and </w:t>
            </w:r>
            <w:proofErr w:type="spellStart"/>
            <w:r w:rsidRPr="002346BD">
              <w:rPr>
                <w:rFonts w:asciiTheme="minorHAnsi" w:hAnsiTheme="minorHAnsi" w:cstheme="minorHAnsi"/>
                <w:color w:val="000000"/>
                <w:sz w:val="18"/>
                <w:szCs w:val="18"/>
              </w:rPr>
              <w:t>Medison</w:t>
            </w:r>
            <w:proofErr w:type="spellEnd"/>
            <w:r w:rsidRPr="002346BD">
              <w:rPr>
                <w:rFonts w:asciiTheme="minorHAnsi" w:hAnsiTheme="minorHAnsi" w:cstheme="minorHAnsi"/>
                <w:color w:val="000000"/>
                <w:sz w:val="18"/>
                <w:szCs w:val="18"/>
              </w:rPr>
              <w:t xml:space="preserve"> is disappointed with the outcome but will continue working with the PBAC so that patients with advanced uveal melanoma will be able to access tebentafusp on the PBS.</w:t>
            </w:r>
          </w:p>
        </w:tc>
      </w:tr>
      <w:tr w:rsidR="00462AAF" w:rsidRPr="00544497" w14:paraId="671B4874" w14:textId="77777777" w:rsidTr="00C70218">
        <w:trPr>
          <w:cantSplit/>
          <w:trHeight w:val="2948"/>
          <w:jc w:val="center"/>
        </w:trPr>
        <w:tc>
          <w:tcPr>
            <w:tcW w:w="3013" w:type="dxa"/>
            <w:shd w:val="clear" w:color="auto" w:fill="auto"/>
            <w:tcMar>
              <w:top w:w="28" w:type="dxa"/>
              <w:bottom w:w="28" w:type="dxa"/>
            </w:tcMar>
            <w:vAlign w:val="center"/>
          </w:tcPr>
          <w:p w14:paraId="6AD19F64" w14:textId="46859ADE"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 xml:space="preserve">TICAGRELOR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90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Brilinta</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AstraZeneca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06DC9DE4" w14:textId="5791ACDA"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Acute coronary syndrome</w:t>
            </w:r>
            <w:r w:rsidR="00274815">
              <w:rPr>
                <w:rFonts w:asciiTheme="minorHAnsi" w:hAnsiTheme="minorHAnsi" w:cstheme="minorHAnsi"/>
                <w:color w:val="000000"/>
                <w:sz w:val="18"/>
                <w:szCs w:val="18"/>
              </w:rPr>
              <w:t xml:space="preserve"> (ACS)</w:t>
            </w:r>
            <w:r w:rsidRPr="00344F5B">
              <w:rPr>
                <w:rFonts w:asciiTheme="minorHAnsi" w:hAnsiTheme="minorHAnsi" w:cstheme="minorHAnsi"/>
                <w:color w:val="000000"/>
                <w:sz w:val="18"/>
                <w:szCs w:val="18"/>
              </w:rPr>
              <w:t xml:space="preserve"> </w:t>
            </w:r>
          </w:p>
        </w:tc>
        <w:tc>
          <w:tcPr>
            <w:tcW w:w="3288" w:type="dxa"/>
            <w:shd w:val="clear" w:color="auto" w:fill="auto"/>
            <w:tcMar>
              <w:top w:w="28" w:type="dxa"/>
              <w:bottom w:w="28" w:type="dxa"/>
            </w:tcMar>
            <w:vAlign w:val="center"/>
          </w:tcPr>
          <w:p w14:paraId="58A1F04B" w14:textId="3D39A292"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change to the restriction level of the existing listing from Authority Required (STREAMLINED) to an unrestricted benefit.</w:t>
            </w:r>
          </w:p>
        </w:tc>
        <w:tc>
          <w:tcPr>
            <w:tcW w:w="1987" w:type="dxa"/>
            <w:shd w:val="clear" w:color="auto" w:fill="auto"/>
            <w:vAlign w:val="center"/>
          </w:tcPr>
          <w:p w14:paraId="578C5D7D" w14:textId="671E939A"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Not Recommended</w:t>
            </w:r>
          </w:p>
        </w:tc>
        <w:tc>
          <w:tcPr>
            <w:tcW w:w="4336" w:type="dxa"/>
            <w:shd w:val="clear" w:color="auto" w:fill="auto"/>
            <w:vAlign w:val="center"/>
          </w:tcPr>
          <w:p w14:paraId="1B116F9C" w14:textId="69F933A2" w:rsidR="00462AAF" w:rsidRPr="000110D5"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The PBAC did not recommend a change to the restriction level of ticagrelor for the treatment of ACS from Authority Required (STREAMLINED) to Unrestricted Benefit or Restricted Benefit to align with the recent change in restriction level of clopidogrel for the treatment of ACS. The PBAC considered that the submission’s claim of nil financial impact to the Commonwealth was unreasonable given that ticagrelor may substitute for the less costly clopidogrel. The PBAC considered that the submission’s nominated comparator, ticagrelor, was inappropriate, and that clopidogrel was the only relevant comparator.</w:t>
            </w:r>
          </w:p>
          <w:p w14:paraId="637CC2EF" w14:textId="77777777" w:rsidR="00462AAF" w:rsidRDefault="00462AAF" w:rsidP="00462AAF">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3EEB61FF" w14:textId="444F396B" w:rsidR="000B2A2E" w:rsidRPr="000B2A2E" w:rsidRDefault="000B2A2E" w:rsidP="00462AAF">
            <w:pPr>
              <w:rPr>
                <w:rFonts w:asciiTheme="minorHAnsi" w:hAnsiTheme="minorHAnsi" w:cstheme="minorHAnsi"/>
                <w:color w:val="000000"/>
                <w:sz w:val="18"/>
                <w:szCs w:val="18"/>
              </w:rPr>
            </w:pPr>
            <w:r w:rsidRPr="001B5E08">
              <w:rPr>
                <w:rFonts w:asciiTheme="minorHAnsi" w:hAnsiTheme="minorHAnsi" w:cstheme="minorHAnsi"/>
                <w:color w:val="000000"/>
                <w:sz w:val="18"/>
                <w:szCs w:val="18"/>
              </w:rPr>
              <w:t>The sponsor had no commen</w:t>
            </w:r>
            <w:r>
              <w:rPr>
                <w:rFonts w:asciiTheme="minorHAnsi" w:hAnsiTheme="minorHAnsi" w:cstheme="minorHAnsi"/>
                <w:color w:val="000000"/>
                <w:sz w:val="18"/>
                <w:szCs w:val="18"/>
              </w:rPr>
              <w:t>t.</w:t>
            </w:r>
          </w:p>
        </w:tc>
      </w:tr>
      <w:tr w:rsidR="00462AAF" w:rsidRPr="00544497" w14:paraId="652C6BE0" w14:textId="77777777" w:rsidTr="00C70218">
        <w:trPr>
          <w:cantSplit/>
          <w:trHeight w:val="2270"/>
          <w:jc w:val="center"/>
        </w:trPr>
        <w:tc>
          <w:tcPr>
            <w:tcW w:w="3013" w:type="dxa"/>
            <w:shd w:val="clear" w:color="auto" w:fill="auto"/>
            <w:tcMar>
              <w:top w:w="28" w:type="dxa"/>
              <w:bottom w:w="28" w:type="dxa"/>
            </w:tcMar>
            <w:vAlign w:val="center"/>
          </w:tcPr>
          <w:p w14:paraId="2E646ED0" w14:textId="4777988C"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TILDRAKIZUMAB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Injection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mL single </w:t>
            </w:r>
            <w:r>
              <w:rPr>
                <w:rFonts w:asciiTheme="minorHAnsi" w:hAnsiTheme="minorHAnsi" w:cstheme="minorHAnsi"/>
                <w:color w:val="000000"/>
                <w:sz w:val="18"/>
                <w:szCs w:val="18"/>
              </w:rPr>
              <w:t>dose</w:t>
            </w:r>
            <w:r w:rsidRPr="00344F5B">
              <w:rPr>
                <w:rFonts w:asciiTheme="minorHAnsi" w:hAnsiTheme="minorHAnsi" w:cstheme="minorHAnsi"/>
                <w:color w:val="000000"/>
                <w:sz w:val="18"/>
                <w:szCs w:val="18"/>
              </w:rPr>
              <w:t xml:space="preserve"> pre-filled syringe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Ilumya</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Sun Pharma ANZ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3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5DFBEC90" w14:textId="113F2E61"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Severe chronic plaque psoriasis</w:t>
            </w:r>
            <w:r w:rsidR="00274815">
              <w:rPr>
                <w:rFonts w:asciiTheme="minorHAnsi" w:hAnsiTheme="minorHAnsi" w:cstheme="minorHAnsi"/>
                <w:color w:val="000000"/>
                <w:sz w:val="18"/>
                <w:szCs w:val="18"/>
              </w:rPr>
              <w:t xml:space="preserve"> (</w:t>
            </w:r>
            <w:r w:rsidR="00274815" w:rsidRPr="0011605A">
              <w:rPr>
                <w:rFonts w:asciiTheme="minorHAnsi" w:hAnsiTheme="minorHAnsi" w:cstheme="minorHAnsi"/>
                <w:color w:val="000000"/>
                <w:sz w:val="18"/>
                <w:szCs w:val="18"/>
              </w:rPr>
              <w:t>CPP</w:t>
            </w:r>
            <w:r w:rsidR="00274815">
              <w:rPr>
                <w:rFonts w:asciiTheme="minorHAnsi" w:hAnsiTheme="minorHAnsi" w:cstheme="minorHAnsi"/>
                <w:color w:val="000000"/>
                <w:sz w:val="18"/>
                <w:szCs w:val="18"/>
              </w:rPr>
              <w:t>)</w:t>
            </w:r>
          </w:p>
        </w:tc>
        <w:tc>
          <w:tcPr>
            <w:tcW w:w="3288" w:type="dxa"/>
            <w:shd w:val="clear" w:color="auto" w:fill="auto"/>
            <w:tcMar>
              <w:top w:w="28" w:type="dxa"/>
              <w:bottom w:w="28" w:type="dxa"/>
            </w:tcMar>
            <w:vAlign w:val="center"/>
          </w:tcPr>
          <w:p w14:paraId="24AF49B3" w14:textId="4D2493E5"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adding a grandfathering restriction to allow eligible patients enrolled in two tildrakizumab clinical trials to transition to PBS-subsidised tildrakizumab after completing the clinical trials.</w:t>
            </w:r>
          </w:p>
        </w:tc>
        <w:tc>
          <w:tcPr>
            <w:tcW w:w="1987" w:type="dxa"/>
            <w:shd w:val="clear" w:color="auto" w:fill="auto"/>
            <w:vAlign w:val="center"/>
          </w:tcPr>
          <w:p w14:paraId="73AB1564" w14:textId="0F4A9F99"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Not Recommended</w:t>
            </w:r>
          </w:p>
        </w:tc>
        <w:tc>
          <w:tcPr>
            <w:tcW w:w="4336" w:type="dxa"/>
            <w:shd w:val="clear" w:color="auto" w:fill="auto"/>
            <w:vAlign w:val="center"/>
          </w:tcPr>
          <w:p w14:paraId="4574AB44" w14:textId="2501FF17" w:rsidR="0011605A" w:rsidRPr="0011605A"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The PBAC did not recommend adding a new grandfathering restriction to the existing PBS listing for tildrakizumab injection 100 mg in 1 mL single dose pre-filled syringe (</w:t>
            </w:r>
            <w:proofErr w:type="spellStart"/>
            <w:r w:rsidRPr="0011605A">
              <w:rPr>
                <w:rFonts w:asciiTheme="minorHAnsi" w:hAnsiTheme="minorHAnsi" w:cstheme="minorHAnsi"/>
                <w:color w:val="000000"/>
                <w:sz w:val="18"/>
                <w:szCs w:val="18"/>
              </w:rPr>
              <w:t>Ilumya</w:t>
            </w:r>
            <w:proofErr w:type="spellEnd"/>
            <w:r w:rsidR="00DB10F3">
              <w:rPr>
                <w:rFonts w:asciiTheme="minorHAnsi" w:hAnsiTheme="minorHAnsi" w:cstheme="minorHAnsi"/>
                <w:color w:val="000000"/>
                <w:sz w:val="18"/>
                <w:szCs w:val="18"/>
              </w:rPr>
              <w:t>®</w:t>
            </w:r>
            <w:r w:rsidRPr="0011605A">
              <w:rPr>
                <w:rFonts w:asciiTheme="minorHAnsi" w:hAnsiTheme="minorHAnsi" w:cstheme="minorHAnsi"/>
                <w:color w:val="000000"/>
                <w:sz w:val="18"/>
                <w:szCs w:val="18"/>
              </w:rPr>
              <w:t xml:space="preserve">) for the treatment of severe CPP for patients enrolled in two new clinical trials. The PBAC noted that an inclusion criterion for the two new clinical trials was a Psoriasis Area and Severity Index (PASI) score &gt;12. While this was consistent with inclusion criteria for the clinical trials presented in the original submission for tildrakizumab considered by the PBAC in July 2018, it differed from the current PBS clinical criteria for initial treatment with tildrakizumab, which states that the condition must have a PASI score &gt;15. The PBAC therefore considered that it was uncertain whether the patients in the clinical trials would have been eligible for treatment with tildrakizumab through the PBS prior to starting the trials. </w:t>
            </w:r>
          </w:p>
          <w:p w14:paraId="3CD9572C" w14:textId="27DB36A8" w:rsidR="00462AAF" w:rsidRPr="000110D5" w:rsidRDefault="0011605A" w:rsidP="0011605A">
            <w:pPr>
              <w:keepLines/>
              <w:spacing w:after="120"/>
              <w:rPr>
                <w:rFonts w:asciiTheme="minorHAnsi" w:hAnsiTheme="minorHAnsi" w:cstheme="minorHAnsi"/>
                <w:color w:val="000000"/>
                <w:sz w:val="18"/>
                <w:szCs w:val="18"/>
              </w:rPr>
            </w:pPr>
            <w:r w:rsidRPr="0011605A">
              <w:rPr>
                <w:rFonts w:asciiTheme="minorHAnsi" w:hAnsiTheme="minorHAnsi" w:cstheme="minorHAnsi"/>
                <w:color w:val="000000"/>
                <w:sz w:val="18"/>
                <w:szCs w:val="18"/>
              </w:rPr>
              <w:t>The PBAC noted that the intent of a grandfathering restriction is to allow access to subsidised treatment for eligible patients who start therapy before the requested PBS-listing is implemented. The PBAC considered that patients who start therapy as part of clinical trials that commence after the medicine has been PBS listed are not ‘grandfathered’ patients.</w:t>
            </w:r>
          </w:p>
          <w:p w14:paraId="27B4C10D" w14:textId="77777777" w:rsidR="00462AAF" w:rsidRDefault="00462AAF" w:rsidP="00462AAF">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05609478" w14:textId="371DB7A5" w:rsidR="000B2A2E" w:rsidRPr="000B2A2E" w:rsidRDefault="008262F6" w:rsidP="00462AAF">
            <w:pPr>
              <w:rPr>
                <w:rFonts w:asciiTheme="minorHAnsi" w:hAnsiTheme="minorHAnsi" w:cstheme="minorHAnsi"/>
                <w:color w:val="000000"/>
                <w:sz w:val="18"/>
                <w:szCs w:val="18"/>
              </w:rPr>
            </w:pPr>
            <w:r w:rsidRPr="008262F6">
              <w:rPr>
                <w:rFonts w:asciiTheme="minorHAnsi" w:hAnsiTheme="minorHAnsi" w:cstheme="minorHAnsi"/>
                <w:color w:val="000000"/>
                <w:sz w:val="18"/>
                <w:szCs w:val="18"/>
              </w:rPr>
              <w:t>Sun Pharma is disappointed with the PBAC outcome.</w:t>
            </w:r>
          </w:p>
        </w:tc>
      </w:tr>
      <w:tr w:rsidR="00462AAF" w:rsidRPr="00544497" w14:paraId="5E325F3D" w14:textId="77777777" w:rsidTr="00C70218">
        <w:trPr>
          <w:cantSplit/>
          <w:trHeight w:val="2948"/>
          <w:jc w:val="center"/>
        </w:trPr>
        <w:tc>
          <w:tcPr>
            <w:tcW w:w="3013" w:type="dxa"/>
            <w:shd w:val="clear" w:color="auto" w:fill="auto"/>
            <w:tcMar>
              <w:top w:w="28" w:type="dxa"/>
              <w:bottom w:w="28" w:type="dxa"/>
            </w:tcMar>
            <w:vAlign w:val="center"/>
          </w:tcPr>
          <w:p w14:paraId="14D07024" w14:textId="70C4BBE5"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TOFACITINIB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Xeljanz®</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Pfizer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1B6AE4BB" w14:textId="4669323B"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Ankylosing spondylitis</w:t>
            </w:r>
          </w:p>
        </w:tc>
        <w:tc>
          <w:tcPr>
            <w:tcW w:w="3288" w:type="dxa"/>
            <w:shd w:val="clear" w:color="auto" w:fill="auto"/>
            <w:tcMar>
              <w:top w:w="28" w:type="dxa"/>
              <w:bottom w:w="28" w:type="dxa"/>
            </w:tcMar>
            <w:vAlign w:val="center"/>
          </w:tcPr>
          <w:p w14:paraId="6ED590A1" w14:textId="3BA13259"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w:t>
            </w:r>
            <w:r w:rsidR="002A570E">
              <w:rPr>
                <w:rFonts w:asciiTheme="minorHAnsi" w:hAnsiTheme="minorHAnsi" w:cstheme="minorHAnsi"/>
                <w:color w:val="000000"/>
                <w:sz w:val="18"/>
                <w:szCs w:val="18"/>
              </w:rPr>
              <w:t>W</w:t>
            </w:r>
            <w:r w:rsidRPr="00344F5B">
              <w:rPr>
                <w:rFonts w:asciiTheme="minorHAnsi" w:hAnsiTheme="minorHAnsi" w:cstheme="minorHAnsi"/>
                <w:color w:val="000000"/>
                <w:sz w:val="18"/>
                <w:szCs w:val="18"/>
              </w:rPr>
              <w:t>ritten) listing for the treatment of ankylosing spondylitis</w:t>
            </w:r>
            <w:r w:rsidR="00C77906">
              <w:rPr>
                <w:rFonts w:asciiTheme="minorHAnsi" w:hAnsiTheme="minorHAnsi" w:cstheme="minorHAnsi"/>
                <w:color w:val="000000"/>
                <w:sz w:val="18"/>
                <w:szCs w:val="18"/>
              </w:rPr>
              <w:t xml:space="preserve"> (AS)</w:t>
            </w:r>
            <w:r w:rsidRPr="00344F5B">
              <w:rPr>
                <w:rFonts w:asciiTheme="minorHAnsi" w:hAnsiTheme="minorHAnsi" w:cstheme="minorHAnsi"/>
                <w:color w:val="000000"/>
                <w:sz w:val="18"/>
                <w:szCs w:val="18"/>
              </w:rPr>
              <w:t>.</w:t>
            </w:r>
          </w:p>
        </w:tc>
        <w:tc>
          <w:tcPr>
            <w:tcW w:w="1987" w:type="dxa"/>
            <w:shd w:val="clear" w:color="auto" w:fill="auto"/>
            <w:vAlign w:val="center"/>
          </w:tcPr>
          <w:p w14:paraId="121A6142" w14:textId="6D673F94"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1911E2B1" w14:textId="0DA9B838" w:rsidR="00462AAF" w:rsidRPr="00344F5B" w:rsidRDefault="00462AAF" w:rsidP="00462AAF">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the General Schedule listing of tofacitinib (TOF) for the treatment of AS. The PBAC’s recommendation was based on, among other matters, its assessment the cost-effectiveness of TOF would be acceptable if it were cost minimised to the least costly alternative therapy of adalimumab, etanercept, infliximab, golimumab, certolizumab pegol, ixekizumab, secukinumab and upadacitinib.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 xml:space="preserve">The </w:t>
            </w:r>
            <w:r w:rsidR="003A63B8">
              <w:rPr>
                <w:rFonts w:asciiTheme="minorHAnsi" w:hAnsiTheme="minorHAnsi" w:cstheme="minorHAnsi"/>
                <w:color w:val="000000"/>
                <w:sz w:val="18"/>
                <w:szCs w:val="18"/>
              </w:rPr>
              <w:t xml:space="preserve">PBAC recommended </w:t>
            </w:r>
            <w:r w:rsidRPr="00344F5B">
              <w:rPr>
                <w:rFonts w:asciiTheme="minorHAnsi" w:hAnsiTheme="minorHAnsi" w:cstheme="minorHAnsi"/>
                <w:color w:val="000000"/>
                <w:sz w:val="18"/>
                <w:szCs w:val="18"/>
              </w:rPr>
              <w:t>flow-on changes to other AS listings to include TOF in the list of eligible therapies.</w:t>
            </w:r>
          </w:p>
        </w:tc>
      </w:tr>
      <w:tr w:rsidR="00462AAF" w:rsidRPr="00544497" w14:paraId="41D26DDC" w14:textId="77777777" w:rsidTr="00C70218">
        <w:trPr>
          <w:cantSplit/>
          <w:trHeight w:val="2948"/>
          <w:jc w:val="center"/>
        </w:trPr>
        <w:tc>
          <w:tcPr>
            <w:tcW w:w="3013" w:type="dxa"/>
            <w:shd w:val="clear" w:color="auto" w:fill="auto"/>
            <w:tcMar>
              <w:top w:w="28" w:type="dxa"/>
              <w:bottom w:w="28" w:type="dxa"/>
            </w:tcMar>
            <w:vAlign w:val="center"/>
          </w:tcPr>
          <w:p w14:paraId="6C98BE4F" w14:textId="53EEC77B"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TOFACITINIB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t>Oral liquid 1</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per mL, 240</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mL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Xeljanz®</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Pfizer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3AC9CEF7" w14:textId="0A679C25"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Juvenile idiopathic arthritis</w:t>
            </w:r>
          </w:p>
        </w:tc>
        <w:tc>
          <w:tcPr>
            <w:tcW w:w="3288" w:type="dxa"/>
            <w:shd w:val="clear" w:color="auto" w:fill="auto"/>
            <w:tcMar>
              <w:top w:w="28" w:type="dxa"/>
              <w:bottom w:w="28" w:type="dxa"/>
            </w:tcMar>
            <w:vAlign w:val="center"/>
          </w:tcPr>
          <w:p w14:paraId="6B15B3B8" w14:textId="32155C1F"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w:t>
            </w:r>
            <w:r w:rsidR="002A570E">
              <w:rPr>
                <w:rFonts w:asciiTheme="minorHAnsi" w:hAnsiTheme="minorHAnsi" w:cstheme="minorHAnsi"/>
                <w:color w:val="000000"/>
                <w:sz w:val="18"/>
                <w:szCs w:val="18"/>
              </w:rPr>
              <w:t>W</w:t>
            </w:r>
            <w:r w:rsidRPr="00344F5B">
              <w:rPr>
                <w:rFonts w:asciiTheme="minorHAnsi" w:hAnsiTheme="minorHAnsi" w:cstheme="minorHAnsi"/>
                <w:color w:val="000000"/>
                <w:sz w:val="18"/>
                <w:szCs w:val="18"/>
              </w:rPr>
              <w:t>ritten) listing for the treatment of severe active juvenile idiopathic arthritis</w:t>
            </w:r>
            <w:r w:rsidR="00C77906">
              <w:rPr>
                <w:rFonts w:asciiTheme="minorHAnsi" w:hAnsiTheme="minorHAnsi" w:cstheme="minorHAnsi"/>
                <w:color w:val="000000"/>
                <w:sz w:val="18"/>
                <w:szCs w:val="18"/>
              </w:rPr>
              <w:t xml:space="preserve"> (JIA)</w:t>
            </w:r>
            <w:r w:rsidRPr="00344F5B">
              <w:rPr>
                <w:rFonts w:asciiTheme="minorHAnsi" w:hAnsiTheme="minorHAnsi" w:cstheme="minorHAnsi"/>
                <w:color w:val="000000"/>
                <w:sz w:val="18"/>
                <w:szCs w:val="18"/>
              </w:rPr>
              <w:t>.</w:t>
            </w:r>
          </w:p>
        </w:tc>
        <w:tc>
          <w:tcPr>
            <w:tcW w:w="1987" w:type="dxa"/>
            <w:shd w:val="clear" w:color="auto" w:fill="auto"/>
            <w:vAlign w:val="center"/>
          </w:tcPr>
          <w:p w14:paraId="3A9C7974" w14:textId="31ACE083"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1FEC284A" w14:textId="787BD84A" w:rsidR="00462AAF" w:rsidRPr="00344F5B" w:rsidRDefault="00462AAF" w:rsidP="00462AAF">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the listing of tofacitinib (TOF) for the treatment of severe active JIA. The PBAC’s recommendation was based on, among other matters, its assessment the cost-effectiveness of TOF would be acceptable if it were cost minimised to the least costly alternative therapy of adalimumab, etanercept and tocilizumab. </w:t>
            </w:r>
            <w:r>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The PBAC considered there was an unmet need for non-injectable treatment options for JIA and that an oral therapy would was likely to reduce the stress and anxiety associated with JIA treatment for patients and families with an aversion to injections.</w:t>
            </w:r>
            <w:r>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 xml:space="preserve">The PBAC </w:t>
            </w:r>
            <w:r w:rsidR="003A63B8">
              <w:rPr>
                <w:rFonts w:asciiTheme="minorHAnsi" w:hAnsiTheme="minorHAnsi" w:cstheme="minorHAnsi"/>
                <w:color w:val="000000"/>
                <w:sz w:val="18"/>
                <w:szCs w:val="18"/>
              </w:rPr>
              <w:t>recommended</w:t>
            </w:r>
            <w:r w:rsidRPr="00344F5B">
              <w:rPr>
                <w:rFonts w:asciiTheme="minorHAnsi" w:hAnsiTheme="minorHAnsi" w:cstheme="minorHAnsi"/>
                <w:color w:val="000000"/>
                <w:sz w:val="18"/>
                <w:szCs w:val="18"/>
              </w:rPr>
              <w:t xml:space="preserve"> flow-on changes to other JIA listings to include TOF in the list of eligible therapies.</w:t>
            </w:r>
          </w:p>
        </w:tc>
      </w:tr>
      <w:tr w:rsidR="00462AAF" w:rsidRPr="00544497" w14:paraId="077601F6" w14:textId="77777777" w:rsidTr="00C70218">
        <w:trPr>
          <w:cantSplit/>
          <w:trHeight w:val="2948"/>
          <w:jc w:val="center"/>
        </w:trPr>
        <w:tc>
          <w:tcPr>
            <w:tcW w:w="3013" w:type="dxa"/>
            <w:shd w:val="clear" w:color="auto" w:fill="auto"/>
            <w:tcMar>
              <w:top w:w="28" w:type="dxa"/>
              <w:bottom w:w="28" w:type="dxa"/>
            </w:tcMar>
            <w:vAlign w:val="center"/>
          </w:tcPr>
          <w:p w14:paraId="351668E3" w14:textId="77777777"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TRASTUZUMAB DERUXTECAN</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Powder for I.V. infusion 100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Enhertu</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AstraZeneca Pty Ltd</w:t>
            </w:r>
            <w:r w:rsidRPr="00344F5B">
              <w:rPr>
                <w:rFonts w:asciiTheme="minorHAnsi" w:hAnsiTheme="minorHAnsi" w:cstheme="minorHAnsi"/>
                <w:color w:val="000000"/>
                <w:sz w:val="18"/>
                <w:szCs w:val="18"/>
              </w:rPr>
              <w:br/>
            </w:r>
          </w:p>
          <w:p w14:paraId="08D34BEB" w14:textId="384950BD" w:rsidR="00462AAF" w:rsidRPr="00344F5B" w:rsidRDefault="00C13D15" w:rsidP="00462AAF">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outstanding</w:t>
            </w:r>
            <w:r w:rsidR="00462AAF" w:rsidRPr="00344F5B">
              <w:rPr>
                <w:rFonts w:asciiTheme="minorHAnsi" w:hAnsiTheme="minorHAnsi" w:cstheme="minorHAnsi"/>
                <w:color w:val="000000"/>
                <w:sz w:val="18"/>
                <w:szCs w:val="18"/>
              </w:rPr>
              <w:br/>
              <w:t>(New PBS listing)</w:t>
            </w:r>
          </w:p>
        </w:tc>
        <w:tc>
          <w:tcPr>
            <w:tcW w:w="2764" w:type="dxa"/>
            <w:shd w:val="clear" w:color="auto" w:fill="auto"/>
            <w:vAlign w:val="center"/>
          </w:tcPr>
          <w:p w14:paraId="2D1439BC" w14:textId="3F8D05DD"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Breast Cancer</w:t>
            </w:r>
          </w:p>
        </w:tc>
        <w:tc>
          <w:tcPr>
            <w:tcW w:w="3288" w:type="dxa"/>
            <w:shd w:val="clear" w:color="auto" w:fill="auto"/>
            <w:tcMar>
              <w:top w:w="28" w:type="dxa"/>
              <w:bottom w:w="28" w:type="dxa"/>
            </w:tcMar>
            <w:vAlign w:val="center"/>
          </w:tcPr>
          <w:p w14:paraId="7BF7A015" w14:textId="2026CE99"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A resubmission to request a Section 100 (Efficient Funding of Chemotherapy Program) Authority Required (Written) listing for the treatment of human epidermal growth factor receptor 2 positive (HER2) metastatic breast cancer in patients whose disease has progressed following treatment with at least one prior</w:t>
            </w:r>
            <w:r w:rsidRPr="00344F5B">
              <w:rPr>
                <w:rFonts w:asciiTheme="minorHAnsi" w:hAnsiTheme="minorHAnsi" w:cstheme="minorHAnsi"/>
                <w:color w:val="000000"/>
                <w:sz w:val="18"/>
                <w:szCs w:val="18"/>
              </w:rPr>
              <w:br/>
              <w:t>HER2-directed regimen in the metastatic setting or whose disease has progressed during or within 6 months following HER2-directed adjuvant treatment.</w:t>
            </w:r>
          </w:p>
        </w:tc>
        <w:tc>
          <w:tcPr>
            <w:tcW w:w="1987" w:type="dxa"/>
            <w:shd w:val="clear" w:color="auto" w:fill="auto"/>
            <w:vAlign w:val="center"/>
          </w:tcPr>
          <w:p w14:paraId="65C54E12" w14:textId="0BD078DC"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5D50FFE6" w14:textId="6FAB366D" w:rsidR="00462AAF" w:rsidRPr="00344F5B" w:rsidRDefault="00462AAF" w:rsidP="00462AAF">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the listing of trastuzumab </w:t>
            </w:r>
            <w:proofErr w:type="spellStart"/>
            <w:r w:rsidRPr="00344F5B">
              <w:rPr>
                <w:rFonts w:asciiTheme="minorHAnsi" w:hAnsiTheme="minorHAnsi" w:cstheme="minorHAnsi"/>
                <w:color w:val="000000"/>
                <w:sz w:val="18"/>
                <w:szCs w:val="18"/>
              </w:rPr>
              <w:t>deruxtecan</w:t>
            </w:r>
            <w:proofErr w:type="spellEnd"/>
            <w:r w:rsidRPr="00344F5B">
              <w:rPr>
                <w:rFonts w:asciiTheme="minorHAnsi" w:hAnsiTheme="minorHAnsi" w:cstheme="minorHAnsi"/>
                <w:color w:val="000000"/>
                <w:sz w:val="18"/>
                <w:szCs w:val="18"/>
              </w:rPr>
              <w:t xml:space="preserve"> (T-</w:t>
            </w:r>
            <w:proofErr w:type="spellStart"/>
            <w:r w:rsidRPr="00344F5B">
              <w:rPr>
                <w:rFonts w:asciiTheme="minorHAnsi" w:hAnsiTheme="minorHAnsi" w:cstheme="minorHAnsi"/>
                <w:color w:val="000000"/>
                <w:sz w:val="18"/>
                <w:szCs w:val="18"/>
              </w:rPr>
              <w:t>DXd</w:t>
            </w:r>
            <w:proofErr w:type="spellEnd"/>
            <w:r w:rsidRPr="00344F5B">
              <w:rPr>
                <w:rFonts w:asciiTheme="minorHAnsi" w:hAnsiTheme="minorHAnsi" w:cstheme="minorHAnsi"/>
                <w:color w:val="000000"/>
                <w:sz w:val="18"/>
                <w:szCs w:val="18"/>
              </w:rPr>
              <w:t>) for the treatment of HER2 positive breast cancer for patients who have progressed following up to two prior lines of HER2 directed therapy for metastatic disease, or relapsed during or within 6</w:t>
            </w:r>
            <w:r w:rsidR="00D953F7">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months of receiving HER2 directed adjuvant therapy. The PBAC noted that the that Authority Required (telephone/online) listing should be available under the Section 100 (Efficient Funding of Chemotherapy) schedule. The PBAC </w:t>
            </w:r>
            <w:r w:rsidR="00185571">
              <w:rPr>
                <w:rFonts w:asciiTheme="minorHAnsi" w:hAnsiTheme="minorHAnsi" w:cstheme="minorHAnsi"/>
                <w:color w:val="000000"/>
                <w:sz w:val="18"/>
                <w:szCs w:val="18"/>
              </w:rPr>
              <w:t>was</w:t>
            </w:r>
            <w:r w:rsidRPr="00344F5B">
              <w:rPr>
                <w:rFonts w:asciiTheme="minorHAnsi" w:hAnsiTheme="minorHAnsi" w:cstheme="minorHAnsi"/>
                <w:color w:val="000000"/>
                <w:sz w:val="18"/>
                <w:szCs w:val="18"/>
              </w:rPr>
              <w:t xml:space="preserve"> satisfied that T-</w:t>
            </w:r>
            <w:proofErr w:type="spellStart"/>
            <w:r w:rsidRPr="00344F5B">
              <w:rPr>
                <w:rFonts w:asciiTheme="minorHAnsi" w:hAnsiTheme="minorHAnsi" w:cstheme="minorHAnsi"/>
                <w:color w:val="000000"/>
                <w:sz w:val="18"/>
                <w:szCs w:val="18"/>
              </w:rPr>
              <w:t>DXd</w:t>
            </w:r>
            <w:proofErr w:type="spellEnd"/>
            <w:r w:rsidRPr="00344F5B">
              <w:rPr>
                <w:rFonts w:asciiTheme="minorHAnsi" w:hAnsiTheme="minorHAnsi" w:cstheme="minorHAnsi"/>
                <w:color w:val="000000"/>
                <w:sz w:val="18"/>
                <w:szCs w:val="18"/>
              </w:rPr>
              <w:t xml:space="preserve"> provides, for some patients, a substantial clinical benefit over trastuzumab emtansine that is likely to translate into clinically meaningful gains in overall survival, and that T-</w:t>
            </w:r>
            <w:proofErr w:type="spellStart"/>
            <w:r w:rsidRPr="00344F5B">
              <w:rPr>
                <w:rFonts w:asciiTheme="minorHAnsi" w:hAnsiTheme="minorHAnsi" w:cstheme="minorHAnsi"/>
                <w:color w:val="000000"/>
                <w:sz w:val="18"/>
                <w:szCs w:val="18"/>
              </w:rPr>
              <w:t>DXd</w:t>
            </w:r>
            <w:proofErr w:type="spellEnd"/>
            <w:r w:rsidRPr="00344F5B">
              <w:rPr>
                <w:rFonts w:asciiTheme="minorHAnsi" w:hAnsiTheme="minorHAnsi" w:cstheme="minorHAnsi"/>
                <w:color w:val="000000"/>
                <w:sz w:val="18"/>
                <w:szCs w:val="18"/>
              </w:rPr>
              <w:t xml:space="preserve"> offers high added therapeutic value compared to the treatment options currently available. The PBAC’s recommendation for listing was based on, among other matters, its assessment that the cost effectiveness of T-</w:t>
            </w:r>
            <w:proofErr w:type="spellStart"/>
            <w:r w:rsidRPr="00344F5B">
              <w:rPr>
                <w:rFonts w:asciiTheme="minorHAnsi" w:hAnsiTheme="minorHAnsi" w:cstheme="minorHAnsi"/>
                <w:color w:val="000000"/>
                <w:sz w:val="18"/>
                <w:szCs w:val="18"/>
              </w:rPr>
              <w:t>DXd</w:t>
            </w:r>
            <w:proofErr w:type="spellEnd"/>
            <w:r w:rsidRPr="00344F5B">
              <w:rPr>
                <w:rFonts w:asciiTheme="minorHAnsi" w:hAnsiTheme="minorHAnsi" w:cstheme="minorHAnsi"/>
                <w:color w:val="000000"/>
                <w:sz w:val="18"/>
                <w:szCs w:val="18"/>
              </w:rPr>
              <w:t xml:space="preserve"> would be acceptable using the economic model and price proposal in the March</w:t>
            </w:r>
            <w:r w:rsidR="00D953F7">
              <w:rPr>
                <w:rFonts w:asciiTheme="minorHAnsi" w:hAnsiTheme="minorHAnsi" w:cstheme="minorHAnsi"/>
                <w:color w:val="000000"/>
                <w:sz w:val="18"/>
                <w:szCs w:val="18"/>
              </w:rPr>
              <w:t> </w:t>
            </w:r>
            <w:r w:rsidRPr="00344F5B">
              <w:rPr>
                <w:rFonts w:asciiTheme="minorHAnsi" w:hAnsiTheme="minorHAnsi" w:cstheme="minorHAnsi"/>
                <w:color w:val="000000"/>
                <w:sz w:val="18"/>
                <w:szCs w:val="18"/>
              </w:rPr>
              <w:t>2023 resubmission, with an adjustment to incorporate the cost</w:t>
            </w:r>
            <w:r w:rsidR="00185571">
              <w:rPr>
                <w:rFonts w:asciiTheme="minorHAnsi" w:hAnsiTheme="minorHAnsi" w:cstheme="minorHAnsi"/>
                <w:color w:val="000000"/>
                <w:sz w:val="18"/>
                <w:szCs w:val="18"/>
              </w:rPr>
              <w:t>-</w:t>
            </w:r>
            <w:r w:rsidRPr="00344F5B">
              <w:rPr>
                <w:rFonts w:asciiTheme="minorHAnsi" w:hAnsiTheme="minorHAnsi" w:cstheme="minorHAnsi"/>
                <w:color w:val="000000"/>
                <w:sz w:val="18"/>
                <w:szCs w:val="18"/>
              </w:rPr>
              <w:t>effective price of trastuzumab emtansine as managed through a risk sharing arrangement (RSA). The PBAC considered that a RSA would be necessary for T-</w:t>
            </w:r>
            <w:proofErr w:type="spellStart"/>
            <w:r w:rsidRPr="00344F5B">
              <w:rPr>
                <w:rFonts w:asciiTheme="minorHAnsi" w:hAnsiTheme="minorHAnsi" w:cstheme="minorHAnsi"/>
                <w:color w:val="000000"/>
                <w:sz w:val="18"/>
                <w:szCs w:val="18"/>
              </w:rPr>
              <w:t>DXd</w:t>
            </w:r>
            <w:proofErr w:type="spellEnd"/>
            <w:r w:rsidRPr="00344F5B">
              <w:rPr>
                <w:rFonts w:asciiTheme="minorHAnsi" w:hAnsiTheme="minorHAnsi" w:cstheme="minorHAnsi"/>
                <w:color w:val="000000"/>
                <w:sz w:val="18"/>
                <w:szCs w:val="18"/>
              </w:rPr>
              <w:t xml:space="preserve"> to address uncertainty associated with the proposed PBS population including the potential for use in a broader patient population where the use may not be cost-effective.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 the context of T-</w:t>
            </w:r>
            <w:proofErr w:type="spellStart"/>
            <w:r w:rsidRPr="00344F5B">
              <w:rPr>
                <w:rFonts w:asciiTheme="minorHAnsi" w:hAnsiTheme="minorHAnsi" w:cstheme="minorHAnsi"/>
                <w:color w:val="000000"/>
                <w:sz w:val="18"/>
                <w:szCs w:val="18"/>
              </w:rPr>
              <w:t>DXd</w:t>
            </w:r>
            <w:proofErr w:type="spellEnd"/>
            <w:r w:rsidRPr="00344F5B">
              <w:rPr>
                <w:rFonts w:asciiTheme="minorHAnsi" w:hAnsiTheme="minorHAnsi" w:cstheme="minorHAnsi"/>
                <w:color w:val="000000"/>
                <w:sz w:val="18"/>
                <w:szCs w:val="18"/>
              </w:rPr>
              <w:t xml:space="preserve"> effectiveness, cost effectiveness and patient numbers being highly uncertain for those who have received more than two prior lines of HER2 directed therapy, the PBAC deferred its decision regarding the inclusion of these patients in its recommendation to seek further information on the likely size of this population and corresponding appropriate RSA parameters.</w:t>
            </w:r>
          </w:p>
        </w:tc>
      </w:tr>
      <w:tr w:rsidR="00462AAF" w:rsidRPr="00544497" w14:paraId="4A461386" w14:textId="77777777" w:rsidTr="00C70218">
        <w:trPr>
          <w:cantSplit/>
          <w:trHeight w:val="2948"/>
          <w:jc w:val="center"/>
        </w:trPr>
        <w:tc>
          <w:tcPr>
            <w:tcW w:w="3013" w:type="dxa"/>
            <w:shd w:val="clear" w:color="auto" w:fill="auto"/>
            <w:tcMar>
              <w:top w:w="28" w:type="dxa"/>
              <w:bottom w:w="28" w:type="dxa"/>
            </w:tcMar>
            <w:vAlign w:val="center"/>
          </w:tcPr>
          <w:p w14:paraId="370ED211" w14:textId="75A8CBD0"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UPADACITINIB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15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Rinvoq®</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ABBVIE PTY LTD</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Matters outstanding</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4E9DA7C6" w14:textId="2942E0F9"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Non-radiographic axial</w:t>
            </w:r>
            <w:r w:rsidRPr="00344F5B">
              <w:rPr>
                <w:rFonts w:asciiTheme="minorHAnsi" w:hAnsiTheme="minorHAnsi" w:cstheme="minorHAnsi"/>
                <w:color w:val="000000"/>
                <w:sz w:val="18"/>
                <w:szCs w:val="18"/>
              </w:rPr>
              <w:br/>
              <w:t>spondyloarthritis</w:t>
            </w:r>
            <w:r w:rsidR="003A63B8">
              <w:rPr>
                <w:rFonts w:asciiTheme="minorHAnsi" w:hAnsiTheme="minorHAnsi" w:cstheme="minorHAnsi"/>
                <w:color w:val="000000"/>
                <w:sz w:val="18"/>
                <w:szCs w:val="18"/>
              </w:rPr>
              <w:t xml:space="preserve"> </w:t>
            </w:r>
            <w:r w:rsidR="003A63B8" w:rsidRPr="00344F5B">
              <w:rPr>
                <w:rFonts w:asciiTheme="minorHAnsi" w:hAnsiTheme="minorHAnsi" w:cstheme="minorHAnsi"/>
                <w:sz w:val="18"/>
                <w:szCs w:val="18"/>
              </w:rPr>
              <w:t>(nr-</w:t>
            </w:r>
            <w:proofErr w:type="spellStart"/>
            <w:r w:rsidR="003A63B8" w:rsidRPr="00344F5B">
              <w:rPr>
                <w:rFonts w:asciiTheme="minorHAnsi" w:hAnsiTheme="minorHAnsi" w:cstheme="minorHAnsi"/>
                <w:sz w:val="18"/>
                <w:szCs w:val="18"/>
              </w:rPr>
              <w:t>axSpA</w:t>
            </w:r>
            <w:proofErr w:type="spellEnd"/>
            <w:r w:rsidR="003A63B8" w:rsidRPr="00344F5B">
              <w:rPr>
                <w:rFonts w:asciiTheme="minorHAnsi" w:hAnsiTheme="minorHAnsi" w:cstheme="minorHAnsi"/>
                <w:sz w:val="18"/>
                <w:szCs w:val="18"/>
              </w:rPr>
              <w:t>)</w:t>
            </w:r>
          </w:p>
        </w:tc>
        <w:tc>
          <w:tcPr>
            <w:tcW w:w="3288" w:type="dxa"/>
            <w:shd w:val="clear" w:color="auto" w:fill="auto"/>
            <w:tcMar>
              <w:top w:w="28" w:type="dxa"/>
              <w:bottom w:w="28" w:type="dxa"/>
            </w:tcMar>
            <w:vAlign w:val="center"/>
          </w:tcPr>
          <w:p w14:paraId="113A295B" w14:textId="1653F6A6"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sz w:val="18"/>
                <w:szCs w:val="18"/>
              </w:rPr>
              <w:t xml:space="preserve">To request a General Schedule Authority Required (Written) listing for the treatment of </w:t>
            </w:r>
            <w:r w:rsidR="000D17E0" w:rsidRPr="00344F5B">
              <w:rPr>
                <w:rFonts w:asciiTheme="minorHAnsi" w:hAnsiTheme="minorHAnsi" w:cstheme="minorHAnsi"/>
                <w:sz w:val="18"/>
                <w:szCs w:val="18"/>
              </w:rPr>
              <w:t>nr-</w:t>
            </w:r>
            <w:proofErr w:type="spellStart"/>
            <w:r w:rsidR="000D17E0" w:rsidRPr="00344F5B">
              <w:rPr>
                <w:rFonts w:asciiTheme="minorHAnsi" w:hAnsiTheme="minorHAnsi" w:cstheme="minorHAnsi"/>
                <w:sz w:val="18"/>
                <w:szCs w:val="18"/>
              </w:rPr>
              <w:t>axSpA</w:t>
            </w:r>
            <w:proofErr w:type="spellEnd"/>
            <w:r w:rsidRPr="00344F5B">
              <w:rPr>
                <w:rFonts w:asciiTheme="minorHAnsi" w:hAnsiTheme="minorHAnsi" w:cstheme="minorHAnsi"/>
                <w:sz w:val="18"/>
                <w:szCs w:val="18"/>
              </w:rPr>
              <w:t>.</w:t>
            </w:r>
          </w:p>
        </w:tc>
        <w:tc>
          <w:tcPr>
            <w:tcW w:w="1987" w:type="dxa"/>
            <w:shd w:val="clear" w:color="auto" w:fill="auto"/>
            <w:vAlign w:val="center"/>
          </w:tcPr>
          <w:p w14:paraId="7F51340A" w14:textId="740319DA"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6946555F" w14:textId="2E2A0C4E" w:rsidR="00462AAF" w:rsidRPr="00344F5B" w:rsidRDefault="00462AAF" w:rsidP="00462AAF">
            <w:pPr>
              <w:rPr>
                <w:rFonts w:asciiTheme="minorHAnsi" w:hAnsiTheme="minorHAnsi" w:cstheme="minorHAnsi"/>
                <w:color w:val="000000"/>
                <w:sz w:val="18"/>
                <w:szCs w:val="18"/>
              </w:rPr>
            </w:pPr>
            <w:r w:rsidRPr="00344F5B">
              <w:rPr>
                <w:rFonts w:asciiTheme="minorHAnsi" w:hAnsiTheme="minorHAnsi" w:cstheme="minorHAnsi"/>
                <w:sz w:val="18"/>
                <w:szCs w:val="18"/>
              </w:rPr>
              <w:t>The PBAC recommended the General Schedule, Authority Required listing of upadacitinib (UPA) for the treatment of nr-</w:t>
            </w:r>
            <w:proofErr w:type="spellStart"/>
            <w:r w:rsidRPr="00344F5B">
              <w:rPr>
                <w:rFonts w:asciiTheme="minorHAnsi" w:hAnsiTheme="minorHAnsi" w:cstheme="minorHAnsi"/>
                <w:sz w:val="18"/>
                <w:szCs w:val="18"/>
              </w:rPr>
              <w:t>axSpA</w:t>
            </w:r>
            <w:proofErr w:type="spellEnd"/>
            <w:r w:rsidRPr="00344F5B">
              <w:rPr>
                <w:rFonts w:asciiTheme="minorHAnsi" w:hAnsiTheme="minorHAnsi" w:cstheme="minorHAnsi"/>
                <w:sz w:val="18"/>
                <w:szCs w:val="18"/>
              </w:rPr>
              <w:t xml:space="preserve"> on a cost minimisation basis with the least costly alternative biologic or targeted synthetic disease modifying anti-rheumatic drug (bDMARD/tsDMARD). The PBAC considered the claim of non-inferior comparative effectiveness and safety to the alternative treatments, including </w:t>
            </w:r>
            <w:r w:rsidR="00185571">
              <w:rPr>
                <w:rFonts w:asciiTheme="minorHAnsi" w:hAnsiTheme="minorHAnsi" w:cstheme="minorHAnsi"/>
                <w:sz w:val="18"/>
                <w:szCs w:val="18"/>
              </w:rPr>
              <w:t>i</w:t>
            </w:r>
            <w:r w:rsidRPr="00344F5B">
              <w:rPr>
                <w:rFonts w:asciiTheme="minorHAnsi" w:hAnsiTheme="minorHAnsi" w:cstheme="minorHAnsi"/>
                <w:sz w:val="18"/>
                <w:szCs w:val="18"/>
              </w:rPr>
              <w:t>xekizumab, golimumab, secukinumab and certolizumab pegol was adequately supported. The PBAC’s recommendation was therefore, among other matters, based on its assessment that the cost of UPA should be no greater than the cost of the alternative therapies over two years.</w:t>
            </w:r>
            <w:r>
              <w:rPr>
                <w:rFonts w:asciiTheme="minorHAnsi" w:hAnsiTheme="minorHAnsi" w:cstheme="minorHAnsi"/>
                <w:sz w:val="18"/>
                <w:szCs w:val="18"/>
              </w:rPr>
              <w:br/>
            </w:r>
            <w:r w:rsidRPr="00344F5B">
              <w:rPr>
                <w:rFonts w:asciiTheme="minorHAnsi" w:hAnsiTheme="minorHAnsi" w:cstheme="minorHAnsi"/>
                <w:sz w:val="18"/>
                <w:szCs w:val="18"/>
              </w:rPr>
              <w:br/>
              <w:t>The PBAC recommended flow-on changes to other bDMARD/tsDMARD listings in nr-</w:t>
            </w:r>
            <w:proofErr w:type="spellStart"/>
            <w:r w:rsidRPr="00344F5B">
              <w:rPr>
                <w:rFonts w:asciiTheme="minorHAnsi" w:hAnsiTheme="minorHAnsi" w:cstheme="minorHAnsi"/>
                <w:sz w:val="18"/>
                <w:szCs w:val="18"/>
              </w:rPr>
              <w:t>axSpA</w:t>
            </w:r>
            <w:proofErr w:type="spellEnd"/>
            <w:r w:rsidRPr="00344F5B">
              <w:rPr>
                <w:rFonts w:asciiTheme="minorHAnsi" w:hAnsiTheme="minorHAnsi" w:cstheme="minorHAnsi"/>
                <w:sz w:val="18"/>
                <w:szCs w:val="18"/>
              </w:rPr>
              <w:t xml:space="preserve"> to include UPA in the list of eligible treatments in a treatment cycle. </w:t>
            </w:r>
          </w:p>
        </w:tc>
      </w:tr>
      <w:tr w:rsidR="00462AAF" w:rsidRPr="00544497" w14:paraId="63DBF673" w14:textId="77777777" w:rsidTr="00C70218">
        <w:trPr>
          <w:cantSplit/>
          <w:trHeight w:val="2948"/>
          <w:jc w:val="center"/>
        </w:trPr>
        <w:tc>
          <w:tcPr>
            <w:tcW w:w="3013" w:type="dxa"/>
            <w:shd w:val="clear" w:color="auto" w:fill="BFBFBF" w:themeFill="background1" w:themeFillShade="BF"/>
            <w:tcMar>
              <w:top w:w="28" w:type="dxa"/>
              <w:bottom w:w="28" w:type="dxa"/>
            </w:tcMar>
            <w:vAlign w:val="center"/>
          </w:tcPr>
          <w:p w14:paraId="4929DA50" w14:textId="500DB873"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UPADACITINIB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Tablet 15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t>Tablet 30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t>Tablet 45</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Rinvoq®</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Abbvie</w:t>
            </w:r>
            <w:proofErr w:type="spellEnd"/>
            <w:r w:rsidRPr="00344F5B">
              <w:rPr>
                <w:rFonts w:asciiTheme="minorHAnsi" w:hAnsiTheme="minorHAnsi" w:cstheme="minorHAnsi"/>
                <w:color w:val="000000"/>
                <w:sz w:val="18"/>
                <w:szCs w:val="18"/>
              </w:rPr>
              <w:t xml:space="preserve">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(Change to PBS listing)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To be considered at a future PBAC meeting</w:t>
            </w:r>
          </w:p>
        </w:tc>
        <w:tc>
          <w:tcPr>
            <w:tcW w:w="2764" w:type="dxa"/>
            <w:shd w:val="clear" w:color="auto" w:fill="BFBFBF" w:themeFill="background1" w:themeFillShade="BF"/>
            <w:vAlign w:val="center"/>
          </w:tcPr>
          <w:p w14:paraId="65A9103E" w14:textId="3969FFE6"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Crohn disease</w:t>
            </w:r>
          </w:p>
        </w:tc>
        <w:tc>
          <w:tcPr>
            <w:tcW w:w="3288" w:type="dxa"/>
            <w:shd w:val="clear" w:color="auto" w:fill="BFBFBF" w:themeFill="background1" w:themeFillShade="BF"/>
            <w:tcMar>
              <w:top w:w="28" w:type="dxa"/>
              <w:bottom w:w="28" w:type="dxa"/>
            </w:tcMar>
            <w:vAlign w:val="center"/>
          </w:tcPr>
          <w:p w14:paraId="21E10AEB" w14:textId="370E83CF"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w:t>
            </w:r>
            <w:r w:rsidR="002A570E">
              <w:rPr>
                <w:rFonts w:asciiTheme="minorHAnsi" w:hAnsiTheme="minorHAnsi" w:cstheme="minorHAnsi"/>
                <w:color w:val="000000"/>
                <w:sz w:val="18"/>
                <w:szCs w:val="18"/>
              </w:rPr>
              <w:t>W</w:t>
            </w:r>
            <w:r w:rsidRPr="00344F5B">
              <w:rPr>
                <w:rFonts w:asciiTheme="minorHAnsi" w:hAnsiTheme="minorHAnsi" w:cstheme="minorHAnsi"/>
                <w:color w:val="000000"/>
                <w:sz w:val="18"/>
                <w:szCs w:val="18"/>
              </w:rPr>
              <w:t>ritten) listing for the treatment of severe Crohn disease.</w:t>
            </w:r>
          </w:p>
        </w:tc>
        <w:tc>
          <w:tcPr>
            <w:tcW w:w="1987" w:type="dxa"/>
            <w:shd w:val="clear" w:color="auto" w:fill="BFBFBF" w:themeFill="background1" w:themeFillShade="BF"/>
            <w:vAlign w:val="center"/>
          </w:tcPr>
          <w:p w14:paraId="516C9E87" w14:textId="186CB141"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0110D5">
              <w:rPr>
                <w:rFonts w:asciiTheme="minorHAnsi" w:hAnsiTheme="minorHAnsi" w:cstheme="minorHAnsi"/>
                <w:color w:val="000000"/>
                <w:sz w:val="18"/>
                <w:szCs w:val="18"/>
              </w:rPr>
              <w:t>Not Applicable</w:t>
            </w:r>
          </w:p>
        </w:tc>
        <w:tc>
          <w:tcPr>
            <w:tcW w:w="4336" w:type="dxa"/>
            <w:shd w:val="clear" w:color="auto" w:fill="BFBFBF" w:themeFill="background1" w:themeFillShade="BF"/>
            <w:vAlign w:val="center"/>
          </w:tcPr>
          <w:p w14:paraId="4F0A93FB" w14:textId="1CD8C12A" w:rsidR="00462AAF" w:rsidRPr="00344F5B" w:rsidRDefault="00462AAF" w:rsidP="00462AAF">
            <w:pPr>
              <w:rPr>
                <w:rFonts w:asciiTheme="minorHAnsi" w:hAnsiTheme="minorHAnsi" w:cstheme="minorHAnsi"/>
                <w:color w:val="000000"/>
                <w:sz w:val="18"/>
                <w:szCs w:val="18"/>
              </w:rPr>
            </w:pPr>
            <w:r w:rsidRPr="000110D5">
              <w:rPr>
                <w:rFonts w:asciiTheme="minorHAnsi" w:hAnsiTheme="minorHAnsi" w:cstheme="minorHAnsi"/>
                <w:color w:val="000000"/>
                <w:sz w:val="18"/>
                <w:szCs w:val="18"/>
              </w:rPr>
              <w:t>This item is to be considered at a future PBAC meeting.</w:t>
            </w:r>
          </w:p>
        </w:tc>
      </w:tr>
      <w:tr w:rsidR="00462AAF" w:rsidRPr="00544497" w14:paraId="7D0E13F1" w14:textId="77777777" w:rsidTr="00C70218">
        <w:trPr>
          <w:cantSplit/>
          <w:trHeight w:val="2948"/>
          <w:jc w:val="center"/>
        </w:trPr>
        <w:tc>
          <w:tcPr>
            <w:tcW w:w="3013" w:type="dxa"/>
            <w:shd w:val="clear" w:color="auto" w:fill="auto"/>
            <w:tcMar>
              <w:top w:w="28" w:type="dxa"/>
              <w:bottom w:w="28" w:type="dxa"/>
            </w:tcMar>
            <w:vAlign w:val="center"/>
          </w:tcPr>
          <w:p w14:paraId="6E3B492F" w14:textId="591EE6DA" w:rsidR="00462AAF" w:rsidRPr="00344F5B" w:rsidRDefault="00462AAF" w:rsidP="00462AAF">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 xml:space="preserve">URSODEOXYCHOLIC ACID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Capsule 250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t>Tablet 500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Ursofalk</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Dr Falk Pharma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4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737372D4" w14:textId="118B11C4" w:rsidR="00462AAF" w:rsidRPr="00344F5B" w:rsidRDefault="00462AAF" w:rsidP="00462AAF">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Primary biliary cholangitis</w:t>
            </w:r>
          </w:p>
        </w:tc>
        <w:tc>
          <w:tcPr>
            <w:tcW w:w="3288" w:type="dxa"/>
            <w:shd w:val="clear" w:color="auto" w:fill="auto"/>
            <w:tcMar>
              <w:top w:w="28" w:type="dxa"/>
              <w:bottom w:w="28" w:type="dxa"/>
            </w:tcMar>
            <w:vAlign w:val="center"/>
          </w:tcPr>
          <w:p w14:paraId="2F091871" w14:textId="1F353424"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an increase to the number of repeats for the treatment of primary biliary cholangitis.</w:t>
            </w:r>
            <w:r w:rsidRPr="00344F5B" w:rsidDel="00E879D1">
              <w:rPr>
                <w:rFonts w:asciiTheme="minorHAnsi" w:hAnsiTheme="minorHAnsi" w:cstheme="minorHAnsi"/>
                <w:color w:val="000000"/>
                <w:sz w:val="18"/>
                <w:szCs w:val="18"/>
              </w:rPr>
              <w:t xml:space="preserve"> </w:t>
            </w:r>
          </w:p>
        </w:tc>
        <w:tc>
          <w:tcPr>
            <w:tcW w:w="1987" w:type="dxa"/>
            <w:shd w:val="clear" w:color="auto" w:fill="auto"/>
            <w:vAlign w:val="center"/>
          </w:tcPr>
          <w:p w14:paraId="0AFB7069" w14:textId="571E1BCC" w:rsidR="00462AAF" w:rsidRPr="00344F5B" w:rsidRDefault="00462AAF" w:rsidP="00462AAF">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6B1418F3" w14:textId="28C4109F" w:rsidR="00462AAF" w:rsidRPr="00344F5B" w:rsidRDefault="00462AAF" w:rsidP="00462AAF">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an increase to the maximum number of repeats for the PBS listings of ursodeoxycholic acid 250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capsule and 500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tablet forms from 2 repeats to 4 repeats. The PBAC noted this would provide, for most patients, up to at least 6</w:t>
            </w:r>
            <w:r w:rsidR="00D953F7">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months’ supply per prescription. This is expected to assist in improving patient access and reducing administrative burden for patients and prescribers.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The PBAC recommended</w:t>
            </w:r>
            <w:r w:rsidR="000D17E0">
              <w:rPr>
                <w:rFonts w:asciiTheme="minorHAnsi" w:hAnsiTheme="minorHAnsi" w:cstheme="minorHAnsi"/>
                <w:color w:val="000000"/>
                <w:sz w:val="18"/>
                <w:szCs w:val="18"/>
              </w:rPr>
              <w:t xml:space="preserve"> </w:t>
            </w:r>
            <w:r w:rsidR="004D4CE4">
              <w:rPr>
                <w:rFonts w:asciiTheme="minorHAnsi" w:hAnsiTheme="minorHAnsi" w:cstheme="minorHAnsi"/>
                <w:color w:val="000000"/>
                <w:sz w:val="18"/>
                <w:szCs w:val="18"/>
              </w:rPr>
              <w:t>flow</w:t>
            </w:r>
            <w:r w:rsidR="00763DE8">
              <w:rPr>
                <w:rFonts w:asciiTheme="minorHAnsi" w:hAnsiTheme="minorHAnsi" w:cstheme="minorHAnsi"/>
                <w:color w:val="000000"/>
                <w:sz w:val="18"/>
                <w:szCs w:val="18"/>
              </w:rPr>
              <w:t>-</w:t>
            </w:r>
            <w:r w:rsidR="000D17E0">
              <w:rPr>
                <w:rFonts w:asciiTheme="minorHAnsi" w:hAnsiTheme="minorHAnsi" w:cstheme="minorHAnsi"/>
                <w:color w:val="000000"/>
                <w:sz w:val="18"/>
                <w:szCs w:val="18"/>
              </w:rPr>
              <w:t>on</w:t>
            </w:r>
            <w:r w:rsidRPr="00344F5B">
              <w:rPr>
                <w:rFonts w:asciiTheme="minorHAnsi" w:hAnsiTheme="minorHAnsi" w:cstheme="minorHAnsi"/>
                <w:color w:val="000000"/>
                <w:sz w:val="18"/>
                <w:szCs w:val="18"/>
              </w:rPr>
              <w:t xml:space="preserve"> changes to all brands of ursodeoxycholic acid currently listed on the PBS.</w:t>
            </w:r>
          </w:p>
        </w:tc>
      </w:tr>
      <w:tr w:rsidR="00B00223" w:rsidRPr="00544497" w14:paraId="1EAF0637" w14:textId="77777777" w:rsidTr="00C70218">
        <w:trPr>
          <w:cantSplit/>
          <w:trHeight w:val="2948"/>
          <w:jc w:val="center"/>
        </w:trPr>
        <w:tc>
          <w:tcPr>
            <w:tcW w:w="3013" w:type="dxa"/>
            <w:shd w:val="clear" w:color="auto" w:fill="auto"/>
            <w:tcMar>
              <w:top w:w="28" w:type="dxa"/>
              <w:bottom w:w="28" w:type="dxa"/>
            </w:tcMar>
            <w:vAlign w:val="center"/>
          </w:tcPr>
          <w:p w14:paraId="556FB270" w14:textId="36FB3889" w:rsidR="00B00223" w:rsidRPr="00344F5B" w:rsidRDefault="00B00223" w:rsidP="00B00223">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VARICELLA ZOSTER VIRUS RECOMBINANT VACCINE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Injection [1 vial] &amp; adjuvant substance diluent [0.5</w:t>
            </w:r>
            <w:r>
              <w:rPr>
                <w:rFonts w:asciiTheme="minorHAnsi" w:hAnsiTheme="minorHAnsi" w:cstheme="minorHAnsi"/>
                <w:color w:val="000000"/>
                <w:sz w:val="18"/>
                <w:szCs w:val="18"/>
              </w:rPr>
              <w:t> </w:t>
            </w:r>
            <w:r w:rsidRPr="00344F5B">
              <w:rPr>
                <w:rFonts w:asciiTheme="minorHAnsi" w:hAnsiTheme="minorHAnsi" w:cstheme="minorHAnsi"/>
                <w:color w:val="000000"/>
                <w:sz w:val="18"/>
                <w:szCs w:val="18"/>
              </w:rPr>
              <w:t xml:space="preserve">mL vial] </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Shingrix®</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GlaxoSmithKline Australia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Standard re-entry submission</w:t>
            </w:r>
            <w:r w:rsidRPr="00344F5B">
              <w:rPr>
                <w:rFonts w:asciiTheme="minorHAnsi" w:hAnsiTheme="minorHAnsi" w:cstheme="minorHAnsi"/>
                <w:color w:val="000000"/>
                <w:sz w:val="18"/>
                <w:szCs w:val="18"/>
              </w:rPr>
              <w:br/>
              <w:t>(New PBS listing)</w:t>
            </w:r>
          </w:p>
        </w:tc>
        <w:tc>
          <w:tcPr>
            <w:tcW w:w="2764" w:type="dxa"/>
            <w:shd w:val="clear" w:color="auto" w:fill="auto"/>
            <w:vAlign w:val="center"/>
          </w:tcPr>
          <w:p w14:paraId="391D585E" w14:textId="5EB4AB39" w:rsidR="00B00223" w:rsidRPr="00344F5B" w:rsidRDefault="00B00223" w:rsidP="00B00223">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Prevention of herpes zoster and post-herpetic neuralgia</w:t>
            </w:r>
          </w:p>
        </w:tc>
        <w:tc>
          <w:tcPr>
            <w:tcW w:w="3288" w:type="dxa"/>
            <w:shd w:val="clear" w:color="auto" w:fill="auto"/>
            <w:tcMar>
              <w:top w:w="28" w:type="dxa"/>
              <w:bottom w:w="28" w:type="dxa"/>
            </w:tcMar>
            <w:vAlign w:val="center"/>
          </w:tcPr>
          <w:p w14:paraId="5419802C" w14:textId="0225C136" w:rsidR="00B00223" w:rsidRPr="00344F5B" w:rsidRDefault="00B00223" w:rsidP="00B00223">
            <w:pPr>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Resubmission to request a National Immunisation Program listing for the prevention of herpes zoster</w:t>
            </w:r>
            <w:r w:rsidR="00A0109E">
              <w:rPr>
                <w:rFonts w:asciiTheme="minorHAnsi" w:hAnsiTheme="minorHAnsi" w:cstheme="minorHAnsi"/>
                <w:color w:val="000000"/>
                <w:sz w:val="18"/>
                <w:szCs w:val="18"/>
              </w:rPr>
              <w:t xml:space="preserve"> (HZ)</w:t>
            </w:r>
            <w:r w:rsidRPr="00344F5B">
              <w:rPr>
                <w:rFonts w:asciiTheme="minorHAnsi" w:hAnsiTheme="minorHAnsi" w:cstheme="minorHAnsi"/>
                <w:color w:val="000000"/>
                <w:sz w:val="18"/>
                <w:szCs w:val="18"/>
              </w:rPr>
              <w:t xml:space="preserve"> and post-herpetic neuralgia in:</w:t>
            </w:r>
          </w:p>
          <w:p w14:paraId="71570959" w14:textId="77777777" w:rsidR="00B00223" w:rsidRPr="00344F5B" w:rsidRDefault="00B00223" w:rsidP="00B00223">
            <w:pPr>
              <w:pStyle w:val="ListParagraph"/>
              <w:numPr>
                <w:ilvl w:val="0"/>
                <w:numId w:val="25"/>
              </w:numPr>
              <w:ind w:left="477" w:hanging="243"/>
              <w:rPr>
                <w:rFonts w:asciiTheme="minorHAnsi" w:hAnsiTheme="minorHAnsi" w:cstheme="minorHAnsi"/>
                <w:color w:val="000000"/>
                <w:sz w:val="18"/>
                <w:szCs w:val="18"/>
              </w:rPr>
            </w:pPr>
            <w:r w:rsidRPr="00344F5B">
              <w:rPr>
                <w:rFonts w:asciiTheme="minorHAnsi" w:hAnsiTheme="minorHAnsi" w:cstheme="minorHAnsi"/>
                <w:color w:val="000000"/>
                <w:sz w:val="18"/>
                <w:szCs w:val="18"/>
              </w:rPr>
              <w:t>adults 65 years of age with ongoing catch-up for adults over 65 years of age.</w:t>
            </w:r>
          </w:p>
          <w:p w14:paraId="35D3D448" w14:textId="330E94B8" w:rsidR="00B00223" w:rsidRPr="00344F5B" w:rsidRDefault="00B00223" w:rsidP="00B00223">
            <w:pPr>
              <w:pStyle w:val="ListParagraph"/>
              <w:numPr>
                <w:ilvl w:val="0"/>
                <w:numId w:val="25"/>
              </w:numPr>
              <w:ind w:left="477" w:hanging="243"/>
              <w:rPr>
                <w:rFonts w:asciiTheme="minorHAnsi" w:hAnsiTheme="minorHAnsi" w:cstheme="minorHAnsi"/>
                <w:color w:val="000000"/>
                <w:sz w:val="18"/>
                <w:szCs w:val="18"/>
              </w:rPr>
            </w:pPr>
            <w:r w:rsidRPr="00344F5B">
              <w:rPr>
                <w:rFonts w:asciiTheme="minorHAnsi" w:hAnsiTheme="minorHAnsi" w:cstheme="minorHAnsi"/>
                <w:color w:val="000000"/>
                <w:sz w:val="18"/>
                <w:szCs w:val="18"/>
              </w:rPr>
              <w:t>Aboriginal and Torres Strait Islander adults 50 years of age with ongoing catch-up for adults over 50 years of age.</w:t>
            </w:r>
          </w:p>
        </w:tc>
        <w:tc>
          <w:tcPr>
            <w:tcW w:w="1987" w:type="dxa"/>
            <w:shd w:val="clear" w:color="auto" w:fill="auto"/>
            <w:vAlign w:val="center"/>
          </w:tcPr>
          <w:p w14:paraId="1A83A899" w14:textId="516C1436" w:rsidR="00B00223" w:rsidRPr="00344F5B" w:rsidRDefault="00B00223" w:rsidP="00B00223">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47E7B246" w14:textId="3AF13328" w:rsidR="00B00223" w:rsidRPr="00344F5B" w:rsidRDefault="00B00223" w:rsidP="00B00223">
            <w:pPr>
              <w:rPr>
                <w:rFonts w:asciiTheme="minorHAnsi" w:hAnsiTheme="minorHAnsi" w:cstheme="minorHAnsi"/>
                <w:color w:val="000000"/>
                <w:sz w:val="18"/>
                <w:szCs w:val="18"/>
              </w:rPr>
            </w:pPr>
            <w:r w:rsidRPr="00344F5B">
              <w:rPr>
                <w:rFonts w:asciiTheme="minorHAnsi" w:hAnsiTheme="minorHAnsi" w:cstheme="minorHAnsi"/>
                <w:sz w:val="18"/>
                <w:szCs w:val="18"/>
              </w:rPr>
              <w:t>The PBAC recommended that varicella virus recombinant vaccine (RZV, Shingrix</w:t>
            </w:r>
            <w:r w:rsidR="00554999">
              <w:rPr>
                <w:rFonts w:asciiTheme="minorHAnsi" w:hAnsiTheme="minorHAnsi" w:cstheme="minorHAnsi"/>
                <w:sz w:val="18"/>
                <w:szCs w:val="18"/>
              </w:rPr>
              <w:t>®</w:t>
            </w:r>
            <w:r w:rsidRPr="00344F5B">
              <w:rPr>
                <w:rFonts w:asciiTheme="minorHAnsi" w:hAnsiTheme="minorHAnsi" w:cstheme="minorHAnsi"/>
                <w:sz w:val="18"/>
                <w:szCs w:val="18"/>
              </w:rPr>
              <w:t>) be a designated vaccine for the purposes of the</w:t>
            </w:r>
            <w:r w:rsidRPr="00142347">
              <w:rPr>
                <w:rFonts w:asciiTheme="minorHAnsi" w:hAnsiTheme="minorHAnsi" w:cstheme="minorHAnsi"/>
                <w:i/>
                <w:iCs/>
                <w:sz w:val="18"/>
                <w:szCs w:val="18"/>
              </w:rPr>
              <w:t xml:space="preserve"> National Health Act 1953</w:t>
            </w:r>
            <w:r w:rsidRPr="00344F5B">
              <w:rPr>
                <w:rFonts w:asciiTheme="minorHAnsi" w:hAnsiTheme="minorHAnsi" w:cstheme="minorHAnsi"/>
                <w:sz w:val="18"/>
                <w:szCs w:val="18"/>
              </w:rPr>
              <w:t>, for the prevention of HZ and post-herpetic neuralgia. The PBAC considered the range of incremental cost effectiveness ratios presented in the resubmission were acceptable at the price requested in the resubmission for non-Indigenous individuals aged</w:t>
            </w:r>
            <w:r w:rsidR="00A0109E">
              <w:rPr>
                <w:rFonts w:asciiTheme="minorHAnsi" w:hAnsiTheme="minorHAnsi" w:cstheme="minorHAnsi"/>
                <w:sz w:val="18"/>
                <w:szCs w:val="18"/>
              </w:rPr>
              <w:t> </w:t>
            </w:r>
            <w:r w:rsidRPr="00344F5B">
              <w:rPr>
                <w:rFonts w:asciiTheme="minorHAnsi" w:hAnsiTheme="minorHAnsi" w:cstheme="minorHAnsi"/>
                <w:sz w:val="18"/>
                <w:szCs w:val="18"/>
              </w:rPr>
              <w:t xml:space="preserve">70 years, Aboriginal and Torres Strait Islander individuals aged </w:t>
            </w:r>
            <w:r>
              <w:rPr>
                <w:rFonts w:asciiTheme="minorHAnsi" w:hAnsiTheme="minorHAnsi" w:cstheme="minorHAnsi"/>
                <w:sz w:val="18"/>
                <w:szCs w:val="18"/>
              </w:rPr>
              <w:t>≥ </w:t>
            </w:r>
            <w:r w:rsidRPr="00344F5B">
              <w:rPr>
                <w:rFonts w:asciiTheme="minorHAnsi" w:hAnsiTheme="minorHAnsi" w:cstheme="minorHAnsi"/>
                <w:sz w:val="18"/>
                <w:szCs w:val="18"/>
              </w:rPr>
              <w:t>50 years and immunocompromised individuals aged</w:t>
            </w:r>
            <w:r w:rsidRPr="00474C93">
              <w:rPr>
                <w:rFonts w:asciiTheme="minorHAnsi" w:hAnsiTheme="minorHAnsi" w:cstheme="minorHAnsi" w:hint="eastAsia"/>
                <w:sz w:val="18"/>
                <w:szCs w:val="18"/>
              </w:rPr>
              <w:t xml:space="preserve"> </w:t>
            </w:r>
            <w:r>
              <w:rPr>
                <w:rFonts w:asciiTheme="minorHAnsi" w:hAnsiTheme="minorHAnsi" w:cstheme="minorHAnsi"/>
                <w:sz w:val="18"/>
                <w:szCs w:val="18"/>
              </w:rPr>
              <w:t>≥ </w:t>
            </w:r>
            <w:r w:rsidRPr="00344F5B">
              <w:rPr>
                <w:rFonts w:asciiTheme="minorHAnsi" w:hAnsiTheme="minorHAnsi" w:cstheme="minorHAnsi"/>
                <w:sz w:val="18"/>
                <w:szCs w:val="18"/>
              </w:rPr>
              <w:t xml:space="preserve">18 years with conditions at </w:t>
            </w:r>
            <w:r w:rsidRPr="00344F5B">
              <w:rPr>
                <w:rFonts w:asciiTheme="minorHAnsi" w:hAnsiTheme="minorHAnsi" w:cstheme="minorHAnsi" w:hint="eastAsia"/>
                <w:sz w:val="18"/>
                <w:szCs w:val="18"/>
              </w:rPr>
              <w:t>‘</w:t>
            </w:r>
            <w:r w:rsidRPr="00344F5B">
              <w:rPr>
                <w:rFonts w:asciiTheme="minorHAnsi" w:hAnsiTheme="minorHAnsi" w:cstheme="minorHAnsi"/>
                <w:sz w:val="18"/>
                <w:szCs w:val="18"/>
              </w:rPr>
              <w:t>high risk</w:t>
            </w:r>
            <w:r w:rsidRPr="00344F5B">
              <w:rPr>
                <w:rFonts w:asciiTheme="minorHAnsi" w:hAnsiTheme="minorHAnsi" w:cstheme="minorHAnsi" w:hint="eastAsia"/>
                <w:sz w:val="18"/>
                <w:szCs w:val="18"/>
              </w:rPr>
              <w:t>’</w:t>
            </w:r>
            <w:r w:rsidRPr="00344F5B">
              <w:rPr>
                <w:rFonts w:asciiTheme="minorHAnsi" w:hAnsiTheme="minorHAnsi" w:cstheme="minorHAnsi"/>
                <w:sz w:val="18"/>
                <w:szCs w:val="18"/>
              </w:rPr>
              <w:t xml:space="preserve"> of HZ infection </w:t>
            </w:r>
            <w:r w:rsidR="00B95B37">
              <w:rPr>
                <w:rFonts w:asciiTheme="minorHAnsi" w:hAnsiTheme="minorHAnsi" w:cstheme="minorHAnsi"/>
                <w:sz w:val="18"/>
                <w:szCs w:val="18"/>
              </w:rPr>
              <w:t>[</w:t>
            </w:r>
            <w:r w:rsidRPr="00344F5B">
              <w:rPr>
                <w:rFonts w:asciiTheme="minorHAnsi" w:hAnsiTheme="minorHAnsi" w:cstheme="minorHAnsi"/>
                <w:sz w:val="18"/>
                <w:szCs w:val="18"/>
              </w:rPr>
              <w:t xml:space="preserve">as </w:t>
            </w:r>
            <w:r w:rsidR="00D953F7">
              <w:rPr>
                <w:rFonts w:asciiTheme="minorHAnsi" w:hAnsiTheme="minorHAnsi" w:cstheme="minorHAnsi"/>
                <w:sz w:val="18"/>
                <w:szCs w:val="18"/>
              </w:rPr>
              <w:t>advised</w:t>
            </w:r>
            <w:r w:rsidRPr="00344F5B">
              <w:rPr>
                <w:rFonts w:asciiTheme="minorHAnsi" w:hAnsiTheme="minorHAnsi" w:cstheme="minorHAnsi"/>
                <w:sz w:val="18"/>
                <w:szCs w:val="18"/>
              </w:rPr>
              <w:t xml:space="preserve"> by </w:t>
            </w:r>
            <w:r w:rsidR="00B95B37">
              <w:rPr>
                <w:rFonts w:asciiTheme="minorHAnsi" w:hAnsiTheme="minorHAnsi" w:cstheme="minorHAnsi"/>
                <w:sz w:val="18"/>
                <w:szCs w:val="18"/>
              </w:rPr>
              <w:t>Australian Technical Advisory Group on Immunisation (</w:t>
            </w:r>
            <w:r w:rsidRPr="00344F5B">
              <w:rPr>
                <w:rFonts w:asciiTheme="minorHAnsi" w:hAnsiTheme="minorHAnsi" w:cstheme="minorHAnsi"/>
                <w:sz w:val="18"/>
                <w:szCs w:val="18"/>
              </w:rPr>
              <w:t>ATAGI)</w:t>
            </w:r>
            <w:r w:rsidR="00B95B37">
              <w:rPr>
                <w:rFonts w:asciiTheme="minorHAnsi" w:hAnsiTheme="minorHAnsi" w:cstheme="minorHAnsi"/>
                <w:sz w:val="18"/>
                <w:szCs w:val="18"/>
              </w:rPr>
              <w:t>]</w:t>
            </w:r>
            <w:r w:rsidRPr="00344F5B">
              <w:rPr>
                <w:rFonts w:asciiTheme="minorHAnsi" w:hAnsiTheme="minorHAnsi" w:cstheme="minorHAnsi"/>
                <w:sz w:val="18"/>
                <w:szCs w:val="18"/>
              </w:rPr>
              <w:t xml:space="preserve">. </w:t>
            </w:r>
            <w:r w:rsidR="00685040" w:rsidRPr="004E764B">
              <w:rPr>
                <w:rFonts w:asciiTheme="minorHAnsi" w:hAnsiTheme="minorHAnsi" w:cstheme="minorHAnsi"/>
                <w:sz w:val="18"/>
                <w:szCs w:val="18"/>
              </w:rPr>
              <w:t>These conditions include haemopoietic stem cell transplant, solid organ transplant, haematological malignancy and advanced or untreated HIV.</w:t>
            </w:r>
            <w:r>
              <w:rPr>
                <w:rFonts w:asciiTheme="minorHAnsi" w:hAnsiTheme="minorHAnsi" w:cstheme="minorHAnsi"/>
                <w:sz w:val="18"/>
                <w:szCs w:val="18"/>
              </w:rPr>
              <w:br/>
            </w:r>
            <w:r w:rsidRPr="00344F5B">
              <w:rPr>
                <w:rFonts w:asciiTheme="minorHAnsi" w:hAnsiTheme="minorHAnsi" w:cstheme="minorHAnsi"/>
                <w:sz w:val="18"/>
                <w:szCs w:val="18"/>
              </w:rPr>
              <w:br/>
              <w:t xml:space="preserve">The PBAC deferred a decision for the broader population of immunocompromised individuals aged </w:t>
            </w:r>
            <w:r>
              <w:rPr>
                <w:rFonts w:asciiTheme="minorHAnsi" w:hAnsiTheme="minorHAnsi" w:cstheme="minorHAnsi"/>
                <w:sz w:val="18"/>
                <w:szCs w:val="18"/>
              </w:rPr>
              <w:t>≥ </w:t>
            </w:r>
            <w:r w:rsidRPr="00344F5B">
              <w:rPr>
                <w:rFonts w:asciiTheme="minorHAnsi" w:hAnsiTheme="minorHAnsi" w:cstheme="minorHAnsi"/>
                <w:sz w:val="18"/>
                <w:szCs w:val="18"/>
              </w:rPr>
              <w:t xml:space="preserve">18 years at increased risk of HZ infection to seek further ATAGI advice on the appropriate definition of this population. The PBAC considered there was likely to be a broader population of immunocompromised individuals aged </w:t>
            </w:r>
            <w:r>
              <w:rPr>
                <w:rFonts w:asciiTheme="minorHAnsi" w:hAnsiTheme="minorHAnsi" w:cstheme="minorHAnsi"/>
                <w:sz w:val="18"/>
                <w:szCs w:val="18"/>
              </w:rPr>
              <w:t>≥ </w:t>
            </w:r>
            <w:r w:rsidRPr="00344F5B">
              <w:rPr>
                <w:rFonts w:asciiTheme="minorHAnsi" w:hAnsiTheme="minorHAnsi" w:cstheme="minorHAnsi"/>
                <w:sz w:val="18"/>
                <w:szCs w:val="18"/>
              </w:rPr>
              <w:t>18 years at increased risk of HZ for whom RVZ was cost effective, but this population had not yet been clearly defined.</w:t>
            </w:r>
            <w:r>
              <w:rPr>
                <w:rFonts w:asciiTheme="minorHAnsi" w:hAnsiTheme="minorHAnsi" w:cstheme="minorHAnsi"/>
                <w:sz w:val="18"/>
                <w:szCs w:val="18"/>
              </w:rPr>
              <w:br/>
            </w:r>
            <w:r w:rsidRPr="00344F5B">
              <w:rPr>
                <w:rFonts w:asciiTheme="minorHAnsi" w:hAnsiTheme="minorHAnsi" w:cstheme="minorHAnsi"/>
                <w:sz w:val="18"/>
                <w:szCs w:val="18"/>
              </w:rPr>
              <w:br/>
              <w:t>The PBAC did not recommend RZV for non-Indigenous individuals aged 65 to 69 years and individuals aged</w:t>
            </w:r>
            <w:r w:rsidR="00A0109E">
              <w:rPr>
                <w:rFonts w:asciiTheme="minorHAnsi" w:hAnsiTheme="minorHAnsi" w:cstheme="minorHAnsi"/>
                <w:sz w:val="18"/>
                <w:szCs w:val="18"/>
              </w:rPr>
              <w:t> </w:t>
            </w:r>
            <w:r>
              <w:rPr>
                <w:rFonts w:asciiTheme="minorHAnsi" w:hAnsiTheme="minorHAnsi" w:cstheme="minorHAnsi"/>
                <w:sz w:val="18"/>
                <w:szCs w:val="18"/>
              </w:rPr>
              <w:t>≥ </w:t>
            </w:r>
            <w:r w:rsidRPr="00344F5B">
              <w:rPr>
                <w:rFonts w:asciiTheme="minorHAnsi" w:hAnsiTheme="minorHAnsi" w:cstheme="minorHAnsi"/>
                <w:sz w:val="18"/>
                <w:szCs w:val="18"/>
              </w:rPr>
              <w:t xml:space="preserve">71 years. The PBAC noted that these populations were of lower clinical priority and represented a high volume of doses. In the context of the total cost, the PBAC considered the extent of uncertainty regarding the cost-effectiveness of RZV </w:t>
            </w:r>
            <w:r w:rsidR="00B8769D">
              <w:rPr>
                <w:rFonts w:asciiTheme="minorHAnsi" w:hAnsiTheme="minorHAnsi" w:cstheme="minorHAnsi"/>
                <w:sz w:val="18"/>
                <w:szCs w:val="18"/>
              </w:rPr>
              <w:t xml:space="preserve">in these populations </w:t>
            </w:r>
            <w:r w:rsidRPr="00344F5B">
              <w:rPr>
                <w:rFonts w:asciiTheme="minorHAnsi" w:hAnsiTheme="minorHAnsi" w:cstheme="minorHAnsi"/>
                <w:sz w:val="18"/>
                <w:szCs w:val="18"/>
              </w:rPr>
              <w:t>to be too high.</w:t>
            </w:r>
          </w:p>
        </w:tc>
      </w:tr>
      <w:tr w:rsidR="00B00223" w:rsidRPr="00544497" w14:paraId="12C597C6" w14:textId="77777777" w:rsidTr="00C70218">
        <w:trPr>
          <w:cantSplit/>
          <w:trHeight w:val="2948"/>
          <w:jc w:val="center"/>
        </w:trPr>
        <w:tc>
          <w:tcPr>
            <w:tcW w:w="3013" w:type="dxa"/>
            <w:shd w:val="clear" w:color="auto" w:fill="auto"/>
            <w:tcMar>
              <w:top w:w="28" w:type="dxa"/>
              <w:bottom w:w="28" w:type="dxa"/>
            </w:tcMar>
            <w:vAlign w:val="center"/>
          </w:tcPr>
          <w:p w14:paraId="09DE63FE" w14:textId="50C43436" w:rsidR="00B00223" w:rsidRPr="00344F5B" w:rsidRDefault="00B00223" w:rsidP="00B00223">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ZANUBRUTINIB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Capsule 80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Brukinsa</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Beigene</w:t>
            </w:r>
            <w:proofErr w:type="spellEnd"/>
            <w:r w:rsidRPr="00344F5B">
              <w:rPr>
                <w:rFonts w:asciiTheme="minorHAnsi" w:hAnsiTheme="minorHAnsi" w:cstheme="minorHAnsi"/>
                <w:color w:val="000000"/>
                <w:sz w:val="18"/>
                <w:szCs w:val="18"/>
              </w:rPr>
              <w:t xml:space="preserve"> </w:t>
            </w:r>
            <w:proofErr w:type="spellStart"/>
            <w:r w:rsidRPr="00344F5B">
              <w:rPr>
                <w:rFonts w:asciiTheme="minorHAnsi" w:hAnsiTheme="minorHAnsi" w:cstheme="minorHAnsi"/>
                <w:color w:val="000000"/>
                <w:sz w:val="18"/>
                <w:szCs w:val="18"/>
              </w:rPr>
              <w:t>Aus</w:t>
            </w:r>
            <w:proofErr w:type="spellEnd"/>
            <w:r w:rsidRPr="00344F5B">
              <w:rPr>
                <w:rFonts w:asciiTheme="minorHAnsi" w:hAnsiTheme="minorHAnsi" w:cstheme="minorHAnsi"/>
                <w:color w:val="000000"/>
                <w:sz w:val="18"/>
                <w:szCs w:val="18"/>
              </w:rPr>
              <w:t xml:space="preserve">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33AEBB6D" w14:textId="1213D6F5" w:rsidR="00B00223" w:rsidRPr="00344F5B" w:rsidRDefault="00B00223" w:rsidP="00B00223">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Chronic lymphocytic leukaemia (CLL)/Small lymphocytic leukaemia (SLL)</w:t>
            </w:r>
          </w:p>
        </w:tc>
        <w:tc>
          <w:tcPr>
            <w:tcW w:w="3288" w:type="dxa"/>
            <w:shd w:val="clear" w:color="auto" w:fill="auto"/>
            <w:tcMar>
              <w:top w:w="28" w:type="dxa"/>
              <w:bottom w:w="28" w:type="dxa"/>
            </w:tcMar>
            <w:vAlign w:val="center"/>
          </w:tcPr>
          <w:p w14:paraId="51590842" w14:textId="1E2A3897" w:rsidR="00B00223" w:rsidRPr="00344F5B" w:rsidRDefault="00B00223" w:rsidP="00B00223">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(Telephone/Streamlined) listing for the treatment of treatment naive CLL/SLL.</w:t>
            </w:r>
          </w:p>
        </w:tc>
        <w:tc>
          <w:tcPr>
            <w:tcW w:w="1987" w:type="dxa"/>
            <w:shd w:val="clear" w:color="auto" w:fill="auto"/>
            <w:vAlign w:val="center"/>
          </w:tcPr>
          <w:p w14:paraId="5F9EA6A3" w14:textId="54C9CC8D" w:rsidR="00B00223" w:rsidRPr="00344F5B" w:rsidRDefault="00B00223" w:rsidP="00B00223">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646BB32C" w14:textId="42E36016" w:rsidR="00B00223" w:rsidRPr="00344F5B" w:rsidRDefault="00B00223" w:rsidP="00B00223">
            <w:pPr>
              <w:rPr>
                <w:rFonts w:asciiTheme="minorHAnsi" w:hAnsiTheme="minorHAnsi" w:cstheme="minorHAnsi"/>
                <w:color w:val="000000"/>
                <w:sz w:val="18"/>
                <w:szCs w:val="18"/>
              </w:rPr>
            </w:pPr>
            <w:r w:rsidRPr="00344F5B">
              <w:rPr>
                <w:rFonts w:asciiTheme="minorHAnsi" w:hAnsiTheme="minorHAnsi" w:cstheme="minorHAnsi"/>
                <w:color w:val="000000"/>
                <w:sz w:val="18"/>
                <w:szCs w:val="18"/>
              </w:rPr>
              <w:t>The PBAC recommended extending the listing of zanubrutinib to include treatment naive CLL or SLL. The PBAC considered that the clinical claims of non-inferior effectiveness and safety to venetoclax plus obinutuzumab were reasonably supported, but with some uncertainty given the indirect treatment comparisons presented, and the immaturity of the clinical data. The PBAC’s recommendation for listing was based on, among other matters, its assessment that the cost-effectiveness of zanubrutinib would be acceptable if it were cost-minimised to venetoclax plus obinutuzumab.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 xml:space="preserve">The PBAC </w:t>
            </w:r>
            <w:r w:rsidR="000D17E0">
              <w:rPr>
                <w:rFonts w:asciiTheme="minorHAnsi" w:hAnsiTheme="minorHAnsi" w:cstheme="minorHAnsi"/>
                <w:color w:val="000000"/>
                <w:sz w:val="18"/>
                <w:szCs w:val="18"/>
              </w:rPr>
              <w:t xml:space="preserve">recommended </w:t>
            </w:r>
            <w:r w:rsidRPr="00344F5B">
              <w:rPr>
                <w:rFonts w:asciiTheme="minorHAnsi" w:hAnsiTheme="minorHAnsi" w:cstheme="minorHAnsi"/>
                <w:color w:val="000000"/>
                <w:sz w:val="18"/>
                <w:szCs w:val="18"/>
              </w:rPr>
              <w:t>flow-on changes to the restriction criteria for other therapies for CLL/SLL would be required to incorporate the International Workshop on CLL guidance in relation to when to prescribe drug treatment.</w:t>
            </w:r>
          </w:p>
        </w:tc>
      </w:tr>
      <w:tr w:rsidR="00B00223" w:rsidRPr="00544497" w14:paraId="6FE58314" w14:textId="77777777" w:rsidTr="00C70218">
        <w:trPr>
          <w:cantSplit/>
          <w:trHeight w:val="2948"/>
          <w:jc w:val="center"/>
        </w:trPr>
        <w:tc>
          <w:tcPr>
            <w:tcW w:w="3013" w:type="dxa"/>
            <w:shd w:val="clear" w:color="auto" w:fill="auto"/>
            <w:tcMar>
              <w:top w:w="28" w:type="dxa"/>
              <w:bottom w:w="28" w:type="dxa"/>
            </w:tcMar>
            <w:vAlign w:val="center"/>
          </w:tcPr>
          <w:p w14:paraId="6D6044A4" w14:textId="1114698D" w:rsidR="00B00223" w:rsidRPr="00344F5B" w:rsidRDefault="00B00223" w:rsidP="00B00223">
            <w:pPr>
              <w:keepLines/>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lastRenderedPageBreak/>
              <w:t>ZANUBRUTINIB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Capsule 80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Brukinsa</w:t>
            </w:r>
            <w:proofErr w:type="spellEnd"/>
            <w:r w:rsidRPr="00344F5B">
              <w:rPr>
                <w:rFonts w:asciiTheme="minorHAnsi" w:hAnsiTheme="minorHAnsi" w:cstheme="minorHAnsi"/>
                <w:color w:val="000000"/>
                <w:sz w:val="18"/>
                <w:szCs w:val="18"/>
              </w:rPr>
              <w:t>®</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proofErr w:type="spellStart"/>
            <w:r w:rsidRPr="00344F5B">
              <w:rPr>
                <w:rFonts w:asciiTheme="minorHAnsi" w:hAnsiTheme="minorHAnsi" w:cstheme="minorHAnsi"/>
                <w:color w:val="000000"/>
                <w:sz w:val="18"/>
                <w:szCs w:val="18"/>
              </w:rPr>
              <w:t>Beigene</w:t>
            </w:r>
            <w:proofErr w:type="spellEnd"/>
            <w:r w:rsidRPr="00344F5B">
              <w:rPr>
                <w:rFonts w:asciiTheme="minorHAnsi" w:hAnsiTheme="minorHAnsi" w:cstheme="minorHAnsi"/>
                <w:color w:val="000000"/>
                <w:sz w:val="18"/>
                <w:szCs w:val="18"/>
              </w:rPr>
              <w:t xml:space="preserve"> </w:t>
            </w:r>
            <w:proofErr w:type="spellStart"/>
            <w:r w:rsidRPr="00344F5B">
              <w:rPr>
                <w:rFonts w:asciiTheme="minorHAnsi" w:hAnsiTheme="minorHAnsi" w:cstheme="minorHAnsi"/>
                <w:color w:val="000000"/>
                <w:sz w:val="18"/>
                <w:szCs w:val="18"/>
              </w:rPr>
              <w:t>Aus</w:t>
            </w:r>
            <w:proofErr w:type="spellEnd"/>
            <w:r w:rsidRPr="00344F5B">
              <w:rPr>
                <w:rFonts w:asciiTheme="minorHAnsi" w:hAnsiTheme="minorHAnsi" w:cstheme="minorHAnsi"/>
                <w:color w:val="000000"/>
                <w:sz w:val="18"/>
                <w:szCs w:val="18"/>
              </w:rPr>
              <w:t xml:space="preserve"> Pty Ltd</w:t>
            </w:r>
            <w:r w:rsidRPr="00344F5B">
              <w:rPr>
                <w:rFonts w:asciiTheme="minorHAnsi" w:hAnsiTheme="minorHAnsi" w:cstheme="minorHAnsi"/>
                <w:color w:val="000000"/>
                <w:sz w:val="18"/>
                <w:szCs w:val="18"/>
              </w:rPr>
              <w:br/>
            </w:r>
            <w:r w:rsidRPr="000110D5">
              <w:rPr>
                <w:rFonts w:asciiTheme="minorHAnsi" w:hAnsiTheme="minorHAnsi" w:cstheme="minorHAnsi"/>
                <w:color w:val="000000"/>
                <w:sz w:val="18"/>
                <w:szCs w:val="18"/>
              </w:rPr>
              <w:br/>
              <w:t>Category 2 submission</w:t>
            </w:r>
            <w:r w:rsidRPr="00344F5B">
              <w:rPr>
                <w:rFonts w:asciiTheme="minorHAnsi" w:hAnsiTheme="minorHAnsi" w:cstheme="minorHAnsi"/>
                <w:color w:val="000000"/>
                <w:sz w:val="18"/>
                <w:szCs w:val="18"/>
              </w:rPr>
              <w:br/>
              <w:t>(Change to PBS listing)</w:t>
            </w:r>
          </w:p>
        </w:tc>
        <w:tc>
          <w:tcPr>
            <w:tcW w:w="2764" w:type="dxa"/>
            <w:shd w:val="clear" w:color="auto" w:fill="auto"/>
            <w:vAlign w:val="center"/>
          </w:tcPr>
          <w:p w14:paraId="21362CF5" w14:textId="572210ED" w:rsidR="00B00223" w:rsidRPr="00344F5B" w:rsidRDefault="00B00223" w:rsidP="00B00223">
            <w:pPr>
              <w:keepLines/>
              <w:widowControl w:val="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Chronic lymphocytic leukaemia (CLL)/Small lymphocytic leukaemia (SLL)</w:t>
            </w:r>
          </w:p>
        </w:tc>
        <w:tc>
          <w:tcPr>
            <w:tcW w:w="3288" w:type="dxa"/>
            <w:shd w:val="clear" w:color="auto" w:fill="auto"/>
            <w:tcMar>
              <w:top w:w="28" w:type="dxa"/>
              <w:bottom w:w="28" w:type="dxa"/>
            </w:tcMar>
            <w:vAlign w:val="center"/>
          </w:tcPr>
          <w:p w14:paraId="366783B4" w14:textId="50F0319C" w:rsidR="00B00223" w:rsidRPr="00344F5B" w:rsidRDefault="00B00223" w:rsidP="00B00223">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To request a General Schedule Authority Required (Telephone/Streamlined) listing for the treatment of relapsed or refractory CLL/SLL considered unsuitable for treatment or retreatment with a purine analogue.</w:t>
            </w:r>
          </w:p>
        </w:tc>
        <w:tc>
          <w:tcPr>
            <w:tcW w:w="1987" w:type="dxa"/>
            <w:shd w:val="clear" w:color="auto" w:fill="auto"/>
            <w:vAlign w:val="center"/>
          </w:tcPr>
          <w:p w14:paraId="3C345BEB" w14:textId="29ABFB86" w:rsidR="00B00223" w:rsidRPr="00344F5B" w:rsidRDefault="00B00223" w:rsidP="00B00223">
            <w:pPr>
              <w:pStyle w:val="ListParagraph"/>
              <w:keepLines/>
              <w:ind w:left="0"/>
              <w:jc w:val="center"/>
              <w:rPr>
                <w:rFonts w:asciiTheme="minorHAnsi" w:hAnsiTheme="minorHAnsi" w:cstheme="minorHAnsi"/>
                <w:color w:val="000000"/>
                <w:sz w:val="18"/>
                <w:szCs w:val="18"/>
              </w:rPr>
            </w:pPr>
            <w:r w:rsidRPr="00344F5B">
              <w:rPr>
                <w:rFonts w:asciiTheme="minorHAnsi" w:hAnsiTheme="minorHAnsi" w:cstheme="minorHAnsi"/>
                <w:color w:val="000000"/>
                <w:sz w:val="18"/>
                <w:szCs w:val="18"/>
              </w:rPr>
              <w:t>Recommended</w:t>
            </w:r>
          </w:p>
        </w:tc>
        <w:tc>
          <w:tcPr>
            <w:tcW w:w="4336" w:type="dxa"/>
            <w:shd w:val="clear" w:color="auto" w:fill="auto"/>
            <w:vAlign w:val="center"/>
          </w:tcPr>
          <w:p w14:paraId="3FB723CF" w14:textId="27E9F533" w:rsidR="00B00223" w:rsidRPr="00344F5B" w:rsidRDefault="00B00223" w:rsidP="00B00223">
            <w:pPr>
              <w:rPr>
                <w:rFonts w:asciiTheme="minorHAnsi" w:hAnsiTheme="minorHAnsi" w:cstheme="minorHAnsi"/>
                <w:color w:val="000000"/>
                <w:sz w:val="18"/>
                <w:szCs w:val="18"/>
              </w:rPr>
            </w:pPr>
            <w:r w:rsidRPr="00344F5B">
              <w:rPr>
                <w:rFonts w:asciiTheme="minorHAnsi" w:hAnsiTheme="minorHAnsi" w:cstheme="minorHAnsi"/>
                <w:color w:val="000000"/>
                <w:sz w:val="18"/>
                <w:szCs w:val="18"/>
              </w:rPr>
              <w:t xml:space="preserve">The PBAC recommended an Authority Required (Telephone/Online) listing for zanubrutinib for relapsed or refractory CLL or SLL. The PBAC considered that the clinical claims of non-inferior efficacy and safety to ibrutinib were reasonably supported. The PBAC considered that the clinical claims of non-inferior efficacy and safety to acalabrutinib were also reasonably supported, but with some uncertainty given the indirect treatment comparisons presented. The PBAC’s recommendation for listing was based on, among other matters, its assessment, that the cost-effectiveness of zanubrutinib would be acceptable if it were cost-minimised to the least costly alternative of ibrutinib and acalabrutinib. The PBAC noted that in order for the cost per patient for zanubrutinib in relapsed/refractory disease to be equivalent to that for the alternative therapies it would be appropriate for zanubrutinib to join the current </w:t>
            </w:r>
            <w:r w:rsidR="00B43B71">
              <w:rPr>
                <w:rFonts w:asciiTheme="minorHAnsi" w:hAnsiTheme="minorHAnsi" w:cstheme="minorHAnsi"/>
                <w:color w:val="000000"/>
                <w:sz w:val="18"/>
                <w:szCs w:val="18"/>
              </w:rPr>
              <w:t>risk sharing arrangement</w:t>
            </w:r>
            <w:r w:rsidRPr="00344F5B">
              <w:rPr>
                <w:rFonts w:asciiTheme="minorHAnsi" w:hAnsiTheme="minorHAnsi" w:cstheme="minorHAnsi"/>
                <w:color w:val="000000"/>
                <w:sz w:val="18"/>
                <w:szCs w:val="18"/>
              </w:rPr>
              <w:t xml:space="preserve"> in place for relapsed/refractory CLL/SLL.</w:t>
            </w:r>
            <w:r w:rsidR="00554999">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 xml:space="preserve">The PBAC </w:t>
            </w:r>
            <w:r w:rsidR="000D17E0">
              <w:rPr>
                <w:rFonts w:asciiTheme="minorHAnsi" w:hAnsiTheme="minorHAnsi" w:cstheme="minorHAnsi"/>
                <w:color w:val="000000"/>
                <w:sz w:val="18"/>
                <w:szCs w:val="18"/>
              </w:rPr>
              <w:t xml:space="preserve">recommended </w:t>
            </w:r>
            <w:r w:rsidRPr="00344F5B">
              <w:rPr>
                <w:rFonts w:asciiTheme="minorHAnsi" w:hAnsiTheme="minorHAnsi" w:cstheme="minorHAnsi"/>
                <w:color w:val="000000"/>
                <w:sz w:val="18"/>
                <w:szCs w:val="18"/>
              </w:rPr>
              <w:t>flow-on changes to the restriction criteria for other therapies for CLL/SLL would be required to incorporate the International Workshop on CLL guidance in relation to when to prescribe drug treatment.</w:t>
            </w:r>
          </w:p>
        </w:tc>
      </w:tr>
    </w:tbl>
    <w:p w14:paraId="6E704BBA" w14:textId="77777777" w:rsidR="001B15BA" w:rsidRPr="00292120" w:rsidRDefault="001B15BA">
      <w:pPr>
        <w:rPr>
          <w:rFonts w:ascii="Arial" w:hAnsi="Arial" w:cs="Arial"/>
        </w:rPr>
      </w:pPr>
    </w:p>
    <w:p w14:paraId="2CF311E1" w14:textId="4F960C14" w:rsidR="007F1C7A" w:rsidRPr="00292120" w:rsidRDefault="007F1C7A">
      <w:pPr>
        <w:rPr>
          <w:rFonts w:ascii="Arial" w:hAnsi="Arial" w:cs="Arial"/>
          <w:b/>
          <w:lang w:val="en-US"/>
        </w:rPr>
      </w:pPr>
      <w:r w:rsidRPr="00292120">
        <w:rPr>
          <w:rFonts w:ascii="Arial" w:hAnsi="Arial" w:cs="Arial"/>
          <w:b/>
          <w:lang w:val="en-US"/>
        </w:rPr>
        <w:br w:type="page"/>
      </w:r>
    </w:p>
    <w:tbl>
      <w:tblPr>
        <w:tblW w:w="5002" w:type="pct"/>
        <w:tblLayout w:type="fixed"/>
        <w:tblLook w:val="04A0" w:firstRow="1" w:lastRow="0" w:firstColumn="1" w:lastColumn="0" w:noHBand="0" w:noVBand="1"/>
      </w:tblPr>
      <w:tblGrid>
        <w:gridCol w:w="3824"/>
        <w:gridCol w:w="3827"/>
        <w:gridCol w:w="3685"/>
        <w:gridCol w:w="4058"/>
      </w:tblGrid>
      <w:tr w:rsidR="00155809" w:rsidRPr="00007932" w14:paraId="5471EC42" w14:textId="77777777" w:rsidTr="00A159CA">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04F48" w14:textId="6C24D4BD" w:rsidR="00155809" w:rsidRPr="00B0328C" w:rsidRDefault="00FB3935" w:rsidP="00C5261F">
            <w:pPr>
              <w:widowControl w:val="0"/>
              <w:spacing w:after="120"/>
              <w:jc w:val="center"/>
              <w:rPr>
                <w:rFonts w:asciiTheme="minorHAnsi" w:hAnsiTheme="minorHAnsi" w:cstheme="minorHAnsi"/>
                <w:b/>
                <w:bCs/>
                <w:snapToGrid w:val="0"/>
                <w:color w:val="000000"/>
                <w:sz w:val="18"/>
                <w:szCs w:val="18"/>
              </w:rPr>
            </w:pPr>
            <w:r w:rsidRPr="00B0328C">
              <w:rPr>
                <w:rFonts w:asciiTheme="minorHAnsi" w:hAnsiTheme="minorHAnsi" w:cstheme="minorHAnsi"/>
                <w:b/>
                <w:bCs/>
                <w:snapToGrid w:val="0"/>
                <w:color w:val="000000"/>
                <w:sz w:val="18"/>
                <w:szCs w:val="18"/>
              </w:rPr>
              <w:lastRenderedPageBreak/>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278E5918" w14:textId="60B70EDC" w:rsidR="00155809" w:rsidRPr="00B0328C" w:rsidRDefault="00FB3935" w:rsidP="00C5261F">
            <w:pPr>
              <w:widowControl w:val="0"/>
              <w:spacing w:after="120"/>
              <w:jc w:val="center"/>
              <w:rPr>
                <w:rFonts w:asciiTheme="minorHAnsi" w:hAnsiTheme="minorHAnsi" w:cstheme="minorHAnsi"/>
                <w:b/>
                <w:bCs/>
                <w:snapToGrid w:val="0"/>
                <w:color w:val="000000"/>
                <w:sz w:val="18"/>
                <w:szCs w:val="18"/>
              </w:rPr>
            </w:pPr>
            <w:r w:rsidRPr="00B0328C">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1AFCC2B1" w14:textId="5326647F" w:rsidR="00155809" w:rsidRPr="00B0328C" w:rsidRDefault="00FB3935" w:rsidP="00C5261F">
            <w:pPr>
              <w:widowControl w:val="0"/>
              <w:spacing w:after="120"/>
              <w:jc w:val="center"/>
              <w:rPr>
                <w:rFonts w:asciiTheme="minorHAnsi" w:hAnsiTheme="minorHAnsi" w:cstheme="minorHAnsi"/>
                <w:b/>
                <w:bCs/>
                <w:snapToGrid w:val="0"/>
                <w:color w:val="000000"/>
                <w:sz w:val="18"/>
                <w:szCs w:val="18"/>
              </w:rPr>
            </w:pPr>
            <w:r w:rsidRPr="00B0328C">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6DC5B306" w14:textId="22A89F99" w:rsidR="00155809" w:rsidRPr="00B0328C" w:rsidRDefault="00FB3935" w:rsidP="00C5261F">
            <w:pPr>
              <w:widowControl w:val="0"/>
              <w:spacing w:after="120"/>
              <w:jc w:val="center"/>
              <w:rPr>
                <w:rFonts w:asciiTheme="minorHAnsi" w:hAnsiTheme="minorHAnsi" w:cstheme="minorHAnsi"/>
                <w:b/>
                <w:bCs/>
                <w:snapToGrid w:val="0"/>
                <w:color w:val="000000"/>
                <w:sz w:val="18"/>
                <w:szCs w:val="18"/>
              </w:rPr>
            </w:pPr>
            <w:r w:rsidRPr="00B0328C">
              <w:rPr>
                <w:rFonts w:asciiTheme="minorHAnsi" w:hAnsiTheme="minorHAnsi" w:cstheme="minorHAnsi"/>
                <w:b/>
                <w:bCs/>
                <w:snapToGrid w:val="0"/>
                <w:color w:val="000000"/>
                <w:sz w:val="18"/>
                <w:szCs w:val="18"/>
              </w:rPr>
              <w:t>PBAC OUTCOME</w:t>
            </w:r>
          </w:p>
        </w:tc>
      </w:tr>
      <w:tr w:rsidR="002F2228" w:rsidRPr="00007932" w14:paraId="36138A4B"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702E352" w14:textId="23D0CFD7" w:rsidR="002F2228" w:rsidRPr="0004257E" w:rsidRDefault="002F2228" w:rsidP="002F2228">
            <w:pPr>
              <w:spacing w:line="256" w:lineRule="auto"/>
              <w:jc w:val="center"/>
              <w:rPr>
                <w:rFonts w:asciiTheme="minorHAnsi" w:hAnsiTheme="minorHAnsi" w:cstheme="minorHAnsi"/>
                <w:sz w:val="18"/>
                <w:szCs w:val="18"/>
                <w:lang w:eastAsia="en-US"/>
              </w:rPr>
            </w:pPr>
            <w:r w:rsidRPr="00344F5B">
              <w:rPr>
                <w:rFonts w:asciiTheme="minorHAnsi" w:hAnsiTheme="minorHAnsi" w:cstheme="minorHAnsi"/>
                <w:color w:val="000000"/>
                <w:sz w:val="18"/>
                <w:szCs w:val="18"/>
              </w:rPr>
              <w:t>ARIPIPRAZOLE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Powder for injection 400</w:t>
            </w:r>
            <w:r>
              <w:rPr>
                <w:rFonts w:asciiTheme="minorHAnsi" w:hAnsiTheme="minorHAnsi" w:cstheme="minorHAnsi"/>
                <w:color w:val="000000"/>
                <w:sz w:val="18"/>
                <w:szCs w:val="18"/>
              </w:rPr>
              <w:t> mg</w:t>
            </w:r>
            <w:r w:rsidRPr="00344F5B">
              <w:rPr>
                <w:rFonts w:asciiTheme="minorHAnsi" w:hAnsiTheme="minorHAnsi" w:cstheme="minorHAnsi"/>
                <w:color w:val="000000"/>
                <w:sz w:val="18"/>
                <w:szCs w:val="18"/>
              </w:rPr>
              <w:t xml:space="preserve"> (as monohydrate) with diluent pre-filled dual chamber syringe</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Abilify Maintena®</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Lundbeck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4D7838E" w14:textId="1CC2227B" w:rsidR="002F2228" w:rsidRPr="0004257E" w:rsidRDefault="002F2228" w:rsidP="002F2228">
            <w:pPr>
              <w:widowControl w:val="0"/>
              <w:spacing w:after="120"/>
              <w:jc w:val="center"/>
              <w:rPr>
                <w:rFonts w:asciiTheme="minorHAnsi" w:hAnsiTheme="minorHAnsi" w:cstheme="minorHAnsi"/>
                <w:bCs/>
                <w:sz w:val="18"/>
                <w:szCs w:val="18"/>
                <w:lang w:eastAsia="en-US"/>
              </w:rPr>
            </w:pPr>
            <w:r w:rsidRPr="00344F5B">
              <w:rPr>
                <w:rFonts w:asciiTheme="minorHAnsi" w:hAnsiTheme="minorHAnsi" w:cstheme="minorHAnsi"/>
                <w:color w:val="000000"/>
                <w:sz w:val="18"/>
                <w:szCs w:val="18"/>
              </w:rPr>
              <w:t>Schizophrenia</w:t>
            </w:r>
          </w:p>
        </w:tc>
        <w:tc>
          <w:tcPr>
            <w:tcW w:w="1197" w:type="pct"/>
            <w:tcBorders>
              <w:top w:val="single" w:sz="4" w:space="0" w:color="auto"/>
              <w:left w:val="nil"/>
              <w:bottom w:val="single" w:sz="4" w:space="0" w:color="auto"/>
              <w:right w:val="single" w:sz="4" w:space="0" w:color="auto"/>
            </w:tcBorders>
            <w:shd w:val="clear" w:color="auto" w:fill="auto"/>
            <w:vAlign w:val="center"/>
          </w:tcPr>
          <w:p w14:paraId="2ADE8BFE" w14:textId="5EB18513" w:rsidR="002F2228" w:rsidRPr="0004257E" w:rsidRDefault="002F2228" w:rsidP="002F2228">
            <w:pPr>
              <w:widowControl w:val="0"/>
              <w:spacing w:after="120"/>
              <w:jc w:val="center"/>
              <w:rPr>
                <w:rFonts w:asciiTheme="minorHAnsi" w:hAnsiTheme="minorHAnsi" w:cstheme="minorHAnsi"/>
                <w:sz w:val="18"/>
                <w:szCs w:val="18"/>
                <w:lang w:eastAsia="en-US"/>
              </w:rPr>
            </w:pPr>
            <w:r w:rsidRPr="0004257E">
              <w:rPr>
                <w:rFonts w:asciiTheme="minorHAnsi" w:hAnsiTheme="minorHAnsi" w:cstheme="minorHAnsi"/>
                <w:sz w:val="18"/>
                <w:szCs w:val="18"/>
                <w:lang w:eastAsia="en-US"/>
              </w:rPr>
              <w:t>Review of positive PBAC recommendations not accepted by applicants</w:t>
            </w:r>
            <w:r w:rsidRPr="00D96F94" w:rsidDel="00DB2A86">
              <w:rPr>
                <w:rFonts w:asciiTheme="minorHAnsi" w:hAnsiTheme="minorHAnsi" w:cstheme="minorHAnsi"/>
                <w:sz w:val="18"/>
                <w:szCs w:val="18"/>
                <w:lang w:eastAsia="en-US"/>
              </w:rPr>
              <w:t xml:space="preserve"> </w:t>
            </w:r>
          </w:p>
        </w:tc>
        <w:tc>
          <w:tcPr>
            <w:tcW w:w="1318" w:type="pct"/>
            <w:tcBorders>
              <w:top w:val="single" w:sz="4" w:space="0" w:color="auto"/>
              <w:left w:val="nil"/>
              <w:bottom w:val="single" w:sz="4" w:space="0" w:color="auto"/>
              <w:right w:val="single" w:sz="4" w:space="0" w:color="auto"/>
            </w:tcBorders>
            <w:vAlign w:val="center"/>
          </w:tcPr>
          <w:p w14:paraId="36AD6BF6" w14:textId="09E8B423" w:rsidR="002F2228" w:rsidRPr="001374F4" w:rsidRDefault="00EF3CFD" w:rsidP="002F2228">
            <w:pPr>
              <w:widowControl w:val="0"/>
              <w:spacing w:after="120"/>
              <w:jc w:val="center"/>
              <w:rPr>
                <w:rFonts w:asciiTheme="minorHAnsi" w:hAnsiTheme="minorHAnsi" w:cstheme="minorHAnsi"/>
                <w:bCs/>
                <w:snapToGrid w:val="0"/>
                <w:sz w:val="18"/>
                <w:szCs w:val="18"/>
              </w:rPr>
            </w:pPr>
            <w:r w:rsidRPr="00EF3CFD">
              <w:rPr>
                <w:rFonts w:asciiTheme="minorHAnsi" w:hAnsiTheme="minorHAnsi" w:cstheme="minorHAnsi"/>
                <w:bCs/>
                <w:snapToGrid w:val="0"/>
                <w:sz w:val="18"/>
                <w:szCs w:val="18"/>
              </w:rPr>
              <w:t>The PBAC advised that the July 2018 recommendation could be revoked, noting that another form of the product was available on the PBS.</w:t>
            </w:r>
          </w:p>
        </w:tc>
      </w:tr>
      <w:tr w:rsidR="002F2228" w:rsidRPr="00007932" w14:paraId="408FF98A"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C9EC299" w14:textId="371EA506" w:rsidR="002F2228" w:rsidRPr="0004257E" w:rsidRDefault="002F2228" w:rsidP="002F2228">
            <w:pPr>
              <w:spacing w:line="256" w:lineRule="auto"/>
              <w:jc w:val="center"/>
              <w:rPr>
                <w:rFonts w:asciiTheme="minorHAnsi" w:hAnsiTheme="minorHAnsi" w:cstheme="minorHAnsi"/>
                <w:snapToGrid w:val="0"/>
                <w:sz w:val="18"/>
                <w:szCs w:val="18"/>
              </w:rPr>
            </w:pPr>
            <w:r w:rsidRPr="00344F5B">
              <w:rPr>
                <w:rFonts w:asciiTheme="minorHAnsi" w:hAnsiTheme="minorHAnsi" w:cstheme="minorHAnsi"/>
                <w:color w:val="000000"/>
                <w:sz w:val="18"/>
                <w:szCs w:val="18"/>
              </w:rPr>
              <w:t>AVELUMAB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r>
            <w:r w:rsidRPr="00344F5B">
              <w:rPr>
                <w:rFonts w:asciiTheme="minorHAnsi" w:hAnsiTheme="minorHAnsi" w:cstheme="minorHAnsi"/>
                <w:sz w:val="18"/>
                <w:szCs w:val="18"/>
              </w:rPr>
              <w:t>Solution concentrate for I.V. infusion 200</w:t>
            </w:r>
            <w:r>
              <w:rPr>
                <w:rFonts w:asciiTheme="minorHAnsi" w:hAnsiTheme="minorHAnsi" w:cstheme="minorHAnsi"/>
                <w:sz w:val="18"/>
                <w:szCs w:val="18"/>
              </w:rPr>
              <w:t> mg</w:t>
            </w:r>
            <w:r w:rsidRPr="00344F5B">
              <w:rPr>
                <w:rFonts w:asciiTheme="minorHAnsi" w:hAnsiTheme="minorHAnsi" w:cstheme="minorHAnsi"/>
                <w:sz w:val="18"/>
                <w:szCs w:val="18"/>
              </w:rPr>
              <w:t xml:space="preserve"> in 10 mL</w:t>
            </w:r>
            <w:r w:rsidRPr="00344F5B">
              <w:rPr>
                <w:rFonts w:asciiTheme="minorHAnsi" w:hAnsiTheme="minorHAnsi" w:cstheme="minorHAnsi"/>
                <w:sz w:val="18"/>
                <w:szCs w:val="18"/>
              </w:rPr>
              <w:br/>
            </w:r>
            <w:r w:rsidRPr="00344F5B">
              <w:rPr>
                <w:rFonts w:asciiTheme="minorHAnsi" w:hAnsiTheme="minorHAnsi" w:cstheme="minorHAnsi"/>
                <w:color w:val="000000"/>
                <w:sz w:val="18"/>
                <w:szCs w:val="18"/>
              </w:rPr>
              <w:br/>
              <w:t>Bavencio®</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Merck Healthcare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3867266" w14:textId="2DAD9F30" w:rsidR="002F2228" w:rsidRPr="0004257E" w:rsidRDefault="002F2228" w:rsidP="002F2228">
            <w:pPr>
              <w:widowControl w:val="0"/>
              <w:spacing w:after="120"/>
              <w:jc w:val="center"/>
              <w:rPr>
                <w:rFonts w:asciiTheme="minorHAnsi" w:hAnsiTheme="minorHAnsi" w:cstheme="minorHAnsi"/>
                <w:snapToGrid w:val="0"/>
                <w:sz w:val="18"/>
                <w:szCs w:val="18"/>
              </w:rPr>
            </w:pPr>
            <w:r w:rsidRPr="00344F5B">
              <w:rPr>
                <w:rFonts w:asciiTheme="minorHAnsi" w:hAnsiTheme="minorHAnsi" w:cstheme="minorHAnsi"/>
                <w:color w:val="000000"/>
                <w:sz w:val="18"/>
                <w:szCs w:val="18"/>
              </w:rPr>
              <w:t>Stage IV clear cell variant renal cell carcinoma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32E2C4C2" w14:textId="78C0BD44" w:rsidR="002F2228" w:rsidRPr="0004257E" w:rsidRDefault="002F2228" w:rsidP="002F2228">
            <w:pPr>
              <w:widowControl w:val="0"/>
              <w:spacing w:after="120"/>
              <w:jc w:val="center"/>
              <w:rPr>
                <w:rFonts w:asciiTheme="minorHAnsi" w:hAnsiTheme="minorHAnsi" w:cstheme="minorHAnsi"/>
                <w:bCs/>
                <w:snapToGrid w:val="0"/>
                <w:color w:val="000000"/>
                <w:sz w:val="18"/>
                <w:szCs w:val="18"/>
              </w:rPr>
            </w:pPr>
            <w:r w:rsidRPr="0004257E">
              <w:rPr>
                <w:rFonts w:asciiTheme="minorHAnsi" w:hAnsiTheme="minorHAnsi" w:cstheme="minorHAnsi"/>
                <w:sz w:val="18"/>
                <w:szCs w:val="18"/>
                <w:lang w:eastAsia="en-US"/>
              </w:rPr>
              <w:t>Review of positive PBAC recommendations not accepted by applicants</w:t>
            </w:r>
            <w:r w:rsidRPr="00D96F94" w:rsidDel="00DB2A86">
              <w:rPr>
                <w:rFonts w:asciiTheme="minorHAnsi" w:hAnsiTheme="minorHAnsi" w:cstheme="minorHAnsi"/>
                <w:sz w:val="18"/>
                <w:szCs w:val="18"/>
                <w:lang w:eastAsia="en-US"/>
              </w:rPr>
              <w:t xml:space="preserve"> </w:t>
            </w:r>
          </w:p>
        </w:tc>
        <w:tc>
          <w:tcPr>
            <w:tcW w:w="1318" w:type="pct"/>
            <w:tcBorders>
              <w:top w:val="single" w:sz="4" w:space="0" w:color="auto"/>
              <w:left w:val="nil"/>
              <w:bottom w:val="single" w:sz="4" w:space="0" w:color="auto"/>
              <w:right w:val="single" w:sz="4" w:space="0" w:color="auto"/>
            </w:tcBorders>
            <w:vAlign w:val="center"/>
          </w:tcPr>
          <w:p w14:paraId="4A0518A9" w14:textId="0768A73A" w:rsidR="002F2228" w:rsidRPr="0004257E" w:rsidRDefault="00EF3CFD" w:rsidP="002F2228">
            <w:pPr>
              <w:widowControl w:val="0"/>
              <w:spacing w:after="120"/>
              <w:jc w:val="center"/>
              <w:rPr>
                <w:rFonts w:asciiTheme="minorHAnsi" w:hAnsiTheme="minorHAnsi" w:cstheme="minorHAnsi"/>
                <w:bCs/>
                <w:snapToGrid w:val="0"/>
                <w:sz w:val="18"/>
                <w:szCs w:val="18"/>
              </w:rPr>
            </w:pPr>
            <w:r w:rsidRPr="00EF3CFD">
              <w:rPr>
                <w:rFonts w:asciiTheme="minorHAnsi" w:hAnsiTheme="minorHAnsi" w:cstheme="minorHAnsi"/>
                <w:bCs/>
                <w:snapToGrid w:val="0"/>
                <w:sz w:val="18"/>
                <w:szCs w:val="18"/>
              </w:rPr>
              <w:t>The PBAC advised that the March 2021 recommendation be extended for 12 months (if listing process has not commenced by the end of February 2024 the sponsor will be asked to justify the recommendation again).</w:t>
            </w:r>
          </w:p>
        </w:tc>
      </w:tr>
      <w:tr w:rsidR="002F2228" w:rsidRPr="00007932" w14:paraId="6B5DB651"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D138D7D" w14:textId="1529C8D3" w:rsidR="002F2228" w:rsidRPr="00B0328C" w:rsidRDefault="002F2228" w:rsidP="002F2228">
            <w:pPr>
              <w:spacing w:line="256" w:lineRule="auto"/>
              <w:jc w:val="center"/>
              <w:rPr>
                <w:rFonts w:asciiTheme="minorHAnsi" w:hAnsiTheme="minorHAnsi" w:cstheme="minorHAnsi"/>
                <w:snapToGrid w:val="0"/>
                <w:color w:val="FF0000"/>
                <w:sz w:val="18"/>
                <w:szCs w:val="18"/>
              </w:rPr>
            </w:pPr>
            <w:r w:rsidRPr="00344F5B">
              <w:rPr>
                <w:rFonts w:asciiTheme="minorHAnsi" w:hAnsiTheme="minorHAnsi" w:cstheme="minorHAnsi"/>
                <w:color w:val="000000"/>
                <w:sz w:val="18"/>
                <w:szCs w:val="18"/>
              </w:rPr>
              <w:t>IBRUTINIB</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Capsule 140 mg</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Imbruvica®</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Janssen-Cilag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227D25F" w14:textId="7F0A0883" w:rsidR="002F2228" w:rsidRPr="00B0328C" w:rsidRDefault="002F2228" w:rsidP="002F2228">
            <w:pPr>
              <w:widowControl w:val="0"/>
              <w:spacing w:after="120"/>
              <w:jc w:val="center"/>
              <w:rPr>
                <w:rFonts w:asciiTheme="minorHAnsi" w:hAnsiTheme="minorHAnsi" w:cstheme="minorHAnsi"/>
                <w:snapToGrid w:val="0"/>
                <w:color w:val="FF0000"/>
                <w:sz w:val="18"/>
                <w:szCs w:val="18"/>
              </w:rPr>
            </w:pPr>
            <w:r w:rsidRPr="00344F5B">
              <w:rPr>
                <w:rFonts w:asciiTheme="minorHAnsi" w:hAnsiTheme="minorHAnsi" w:cstheme="minorHAnsi"/>
                <w:color w:val="000000"/>
                <w:sz w:val="18"/>
                <w:szCs w:val="18"/>
              </w:rPr>
              <w:t>Chronic lymphocytic leukaemia (CLL)/ Small lymphocytic leukaemia (SLL)</w:t>
            </w:r>
          </w:p>
        </w:tc>
        <w:tc>
          <w:tcPr>
            <w:tcW w:w="1197" w:type="pct"/>
            <w:tcBorders>
              <w:top w:val="single" w:sz="4" w:space="0" w:color="auto"/>
              <w:left w:val="nil"/>
              <w:bottom w:val="single" w:sz="4" w:space="0" w:color="auto"/>
              <w:right w:val="single" w:sz="4" w:space="0" w:color="auto"/>
            </w:tcBorders>
            <w:shd w:val="clear" w:color="auto" w:fill="auto"/>
            <w:vAlign w:val="center"/>
          </w:tcPr>
          <w:p w14:paraId="6D3B7D1C" w14:textId="3EF57CD4" w:rsidR="002F2228" w:rsidRPr="00B0328C" w:rsidRDefault="002F2228" w:rsidP="002F2228">
            <w:pPr>
              <w:widowControl w:val="0"/>
              <w:spacing w:after="120"/>
              <w:jc w:val="center"/>
              <w:rPr>
                <w:rFonts w:asciiTheme="minorHAnsi" w:hAnsiTheme="minorHAnsi" w:cstheme="minorHAnsi"/>
                <w:bCs/>
                <w:snapToGrid w:val="0"/>
                <w:color w:val="000000"/>
                <w:sz w:val="18"/>
                <w:szCs w:val="18"/>
              </w:rPr>
            </w:pPr>
            <w:r w:rsidRPr="0004257E">
              <w:rPr>
                <w:rFonts w:asciiTheme="minorHAnsi" w:hAnsiTheme="minorHAnsi" w:cstheme="minorHAnsi"/>
                <w:sz w:val="18"/>
                <w:szCs w:val="18"/>
                <w:lang w:eastAsia="en-US"/>
              </w:rPr>
              <w:t>Review of positive PBAC recommendations not accepted by applicants</w:t>
            </w:r>
            <w:r w:rsidRPr="00D96F94" w:rsidDel="00DB2A86">
              <w:rPr>
                <w:rFonts w:asciiTheme="minorHAnsi" w:hAnsiTheme="minorHAnsi" w:cstheme="minorHAnsi"/>
                <w:sz w:val="18"/>
                <w:szCs w:val="18"/>
                <w:lang w:eastAsia="en-US"/>
              </w:rPr>
              <w:t xml:space="preserve"> </w:t>
            </w:r>
          </w:p>
        </w:tc>
        <w:tc>
          <w:tcPr>
            <w:tcW w:w="1318" w:type="pct"/>
            <w:tcBorders>
              <w:top w:val="single" w:sz="4" w:space="0" w:color="auto"/>
              <w:left w:val="nil"/>
              <w:bottom w:val="single" w:sz="4" w:space="0" w:color="auto"/>
              <w:right w:val="single" w:sz="4" w:space="0" w:color="auto"/>
            </w:tcBorders>
            <w:vAlign w:val="center"/>
          </w:tcPr>
          <w:p w14:paraId="1E3B7E01" w14:textId="0CE0D277" w:rsidR="002F2228" w:rsidRPr="00B0328C" w:rsidRDefault="00EF3CFD" w:rsidP="002F2228">
            <w:pPr>
              <w:widowControl w:val="0"/>
              <w:spacing w:after="120"/>
              <w:jc w:val="center"/>
              <w:rPr>
                <w:rFonts w:asciiTheme="minorHAnsi" w:hAnsiTheme="minorHAnsi" w:cstheme="minorHAnsi"/>
                <w:bCs/>
                <w:snapToGrid w:val="0"/>
                <w:sz w:val="18"/>
                <w:szCs w:val="18"/>
              </w:rPr>
            </w:pPr>
            <w:r w:rsidRPr="00EF3CFD">
              <w:rPr>
                <w:rFonts w:asciiTheme="minorHAnsi" w:hAnsiTheme="minorHAnsi" w:cstheme="minorHAnsi"/>
                <w:bCs/>
                <w:snapToGrid w:val="0"/>
                <w:sz w:val="18"/>
                <w:szCs w:val="18"/>
              </w:rPr>
              <w:t>The PBAC advised that the March 2021 recommendation be extended for 12 months (if listing process has not commenced by the end of February 2024 the sponsor will be asked to justify the recommendation again).</w:t>
            </w:r>
          </w:p>
        </w:tc>
      </w:tr>
      <w:tr w:rsidR="005A57CE" w:rsidRPr="00007932" w14:paraId="65B26D2F"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645A09F" w14:textId="51972AAA" w:rsidR="005A57CE" w:rsidRPr="00B0328C" w:rsidRDefault="005A57CE" w:rsidP="005A57CE">
            <w:pPr>
              <w:spacing w:line="256" w:lineRule="auto"/>
              <w:jc w:val="center"/>
              <w:rPr>
                <w:rFonts w:asciiTheme="minorHAnsi" w:hAnsiTheme="minorHAnsi" w:cstheme="minorHAnsi"/>
                <w:sz w:val="18"/>
                <w:szCs w:val="18"/>
              </w:rPr>
            </w:pPr>
            <w:r w:rsidRPr="00344F5B">
              <w:rPr>
                <w:rFonts w:asciiTheme="minorHAnsi" w:hAnsiTheme="minorHAnsi" w:cstheme="minorHAnsi"/>
                <w:sz w:val="18"/>
                <w:szCs w:val="18"/>
              </w:rPr>
              <w:t>MENINGOCOCCAL POLYSACCHARIDE SEROGROUPS A, C, W-135 AND Y CONJUGATE VACCINE</w:t>
            </w:r>
            <w:r w:rsidRPr="00344F5B">
              <w:rPr>
                <w:rFonts w:asciiTheme="minorHAnsi" w:hAnsiTheme="minorHAnsi" w:cstheme="minorHAnsi"/>
                <w:sz w:val="18"/>
                <w:szCs w:val="18"/>
              </w:rPr>
              <w:br/>
            </w:r>
            <w:r w:rsidRPr="00344F5B">
              <w:rPr>
                <w:rFonts w:asciiTheme="minorHAnsi" w:hAnsiTheme="minorHAnsi" w:cstheme="minorHAnsi"/>
                <w:sz w:val="18"/>
                <w:szCs w:val="18"/>
              </w:rPr>
              <w:br/>
            </w:r>
            <w:r w:rsidRPr="00344F5B">
              <w:rPr>
                <w:rFonts w:asciiTheme="minorHAnsi" w:hAnsiTheme="minorHAnsi" w:cstheme="minorHAnsi"/>
                <w:color w:val="000000"/>
                <w:sz w:val="18"/>
                <w:szCs w:val="18"/>
              </w:rPr>
              <w:t>Injection 0.5 mL</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MenQuadfi®</w:t>
            </w:r>
            <w:r w:rsidRPr="00344F5B">
              <w:rPr>
                <w:rFonts w:asciiTheme="minorHAnsi" w:hAnsiTheme="minorHAnsi" w:cstheme="minorHAnsi"/>
                <w:color w:val="000000"/>
                <w:sz w:val="18"/>
                <w:szCs w:val="18"/>
              </w:rPr>
              <w:br/>
            </w:r>
            <w:r w:rsidRPr="00344F5B">
              <w:rPr>
                <w:rFonts w:asciiTheme="minorHAnsi" w:hAnsiTheme="minorHAnsi" w:cstheme="minorHAnsi"/>
                <w:color w:val="000000"/>
                <w:sz w:val="18"/>
                <w:szCs w:val="18"/>
              </w:rPr>
              <w:b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82FB661" w14:textId="2F4C9D17" w:rsidR="005A57CE" w:rsidRPr="00B0328C" w:rsidRDefault="005A57CE" w:rsidP="005A57CE">
            <w:pPr>
              <w:widowControl w:val="0"/>
              <w:spacing w:after="120"/>
              <w:jc w:val="center"/>
              <w:rPr>
                <w:rFonts w:asciiTheme="minorHAnsi" w:hAnsiTheme="minorHAnsi" w:cstheme="minorHAnsi"/>
                <w:sz w:val="18"/>
                <w:szCs w:val="18"/>
              </w:rPr>
            </w:pPr>
            <w:r w:rsidRPr="00344F5B">
              <w:rPr>
                <w:rFonts w:asciiTheme="minorHAnsi" w:hAnsiTheme="minorHAnsi" w:cstheme="minorHAnsi"/>
                <w:color w:val="000000"/>
                <w:sz w:val="18"/>
                <w:szCs w:val="18"/>
              </w:rPr>
              <w:t>Prevention of meningococcal disease</w:t>
            </w:r>
          </w:p>
        </w:tc>
        <w:tc>
          <w:tcPr>
            <w:tcW w:w="1197" w:type="pct"/>
            <w:tcBorders>
              <w:top w:val="single" w:sz="4" w:space="0" w:color="auto"/>
              <w:left w:val="nil"/>
              <w:bottom w:val="single" w:sz="4" w:space="0" w:color="auto"/>
              <w:right w:val="single" w:sz="4" w:space="0" w:color="auto"/>
            </w:tcBorders>
            <w:shd w:val="clear" w:color="auto" w:fill="auto"/>
            <w:vAlign w:val="center"/>
          </w:tcPr>
          <w:p w14:paraId="49745DB6" w14:textId="29335353" w:rsidR="005A57CE" w:rsidRPr="00B0328C" w:rsidRDefault="005A57CE" w:rsidP="005A57CE">
            <w:pPr>
              <w:widowControl w:val="0"/>
              <w:spacing w:after="120"/>
              <w:jc w:val="center"/>
              <w:rPr>
                <w:rFonts w:asciiTheme="minorHAnsi" w:hAnsiTheme="minorHAnsi" w:cstheme="minorHAnsi"/>
                <w:sz w:val="18"/>
                <w:szCs w:val="18"/>
              </w:rPr>
            </w:pPr>
            <w:r w:rsidRPr="0004257E">
              <w:rPr>
                <w:rFonts w:asciiTheme="minorHAnsi" w:hAnsiTheme="minorHAnsi" w:cstheme="minorHAnsi"/>
                <w:sz w:val="18"/>
                <w:szCs w:val="18"/>
                <w:lang w:eastAsia="en-US"/>
              </w:rPr>
              <w:t>Review of positive PBAC recommendations not accepted by applicants</w:t>
            </w:r>
            <w:r w:rsidRPr="00D96F94" w:rsidDel="00DB2A86">
              <w:rPr>
                <w:rFonts w:asciiTheme="minorHAnsi" w:hAnsiTheme="minorHAnsi" w:cstheme="minorHAnsi"/>
                <w:sz w:val="18"/>
                <w:szCs w:val="18"/>
                <w:lang w:eastAsia="en-US"/>
              </w:rPr>
              <w:t xml:space="preserve"> </w:t>
            </w:r>
          </w:p>
        </w:tc>
        <w:tc>
          <w:tcPr>
            <w:tcW w:w="1318" w:type="pct"/>
            <w:tcBorders>
              <w:top w:val="single" w:sz="4" w:space="0" w:color="auto"/>
              <w:left w:val="nil"/>
              <w:bottom w:val="single" w:sz="4" w:space="0" w:color="auto"/>
              <w:right w:val="single" w:sz="4" w:space="0" w:color="auto"/>
            </w:tcBorders>
            <w:vAlign w:val="center"/>
          </w:tcPr>
          <w:p w14:paraId="103BEAFC" w14:textId="71EDB1D4" w:rsidR="005A57CE" w:rsidRPr="00B0328C" w:rsidRDefault="00EF3CFD" w:rsidP="005A57CE">
            <w:pPr>
              <w:widowControl w:val="0"/>
              <w:spacing w:after="120"/>
              <w:jc w:val="center"/>
              <w:rPr>
                <w:rFonts w:asciiTheme="minorHAnsi" w:hAnsiTheme="minorHAnsi" w:cstheme="minorHAnsi"/>
                <w:sz w:val="18"/>
                <w:szCs w:val="18"/>
              </w:rPr>
            </w:pPr>
            <w:r w:rsidRPr="00EF3CFD">
              <w:rPr>
                <w:rFonts w:asciiTheme="minorHAnsi" w:hAnsiTheme="minorHAnsi" w:cstheme="minorHAnsi"/>
                <w:sz w:val="18"/>
                <w:szCs w:val="18"/>
              </w:rPr>
              <w:t>The PBAC advised that the March 2021 recommendation be extended for 12 months (if listing process has not commenced by the end of February 2024 the sponsor will be asked to justify the recommendation again).</w:t>
            </w:r>
          </w:p>
        </w:tc>
      </w:tr>
      <w:tr w:rsidR="005A57CE" w:rsidRPr="00007932" w14:paraId="7A38C97D"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D6D1C58" w14:textId="31105412" w:rsidR="005A57CE" w:rsidRPr="00B0328C" w:rsidRDefault="005A57CE" w:rsidP="005A57CE">
            <w:pPr>
              <w:spacing w:line="256" w:lineRule="auto"/>
              <w:jc w:val="center"/>
              <w:rPr>
                <w:rFonts w:asciiTheme="minorHAnsi" w:hAnsiTheme="minorHAnsi" w:cstheme="minorHAnsi"/>
                <w:sz w:val="18"/>
                <w:szCs w:val="18"/>
              </w:rPr>
            </w:pPr>
            <w:r w:rsidRPr="00344F5B">
              <w:rPr>
                <w:rFonts w:asciiTheme="minorHAnsi" w:hAnsiTheme="minorHAnsi" w:cstheme="minorHAnsi"/>
                <w:sz w:val="18"/>
                <w:szCs w:val="18"/>
              </w:rPr>
              <w:lastRenderedPageBreak/>
              <w:t>PANCREATIC EXTRACT</w:t>
            </w:r>
            <w:r w:rsidRPr="00344F5B">
              <w:rPr>
                <w:rFonts w:asciiTheme="minorHAnsi" w:hAnsiTheme="minorHAnsi" w:cstheme="minorHAnsi"/>
                <w:sz w:val="18"/>
                <w:szCs w:val="18"/>
              </w:rPr>
              <w:br/>
            </w:r>
            <w:r w:rsidRPr="00344F5B">
              <w:rPr>
                <w:rFonts w:asciiTheme="minorHAnsi" w:hAnsiTheme="minorHAnsi" w:cstheme="minorHAnsi"/>
                <w:sz w:val="18"/>
                <w:szCs w:val="18"/>
              </w:rPr>
              <w:br/>
              <w:t>Capsule (containing enteric coated minimicrospheres) providing not less than 20,000 BP units of lipase activity</w:t>
            </w:r>
            <w:r w:rsidRPr="00344F5B">
              <w:rPr>
                <w:rFonts w:asciiTheme="minorHAnsi" w:hAnsiTheme="minorHAnsi" w:cstheme="minorHAnsi"/>
                <w:sz w:val="18"/>
                <w:szCs w:val="18"/>
              </w:rPr>
              <w:br/>
              <w:t xml:space="preserve"> </w:t>
            </w:r>
            <w:r w:rsidRPr="00344F5B">
              <w:rPr>
                <w:rFonts w:asciiTheme="minorHAnsi" w:hAnsiTheme="minorHAnsi" w:cstheme="minorHAnsi"/>
                <w:sz w:val="18"/>
                <w:szCs w:val="18"/>
              </w:rPr>
              <w:br/>
              <w:t>Creon®</w:t>
            </w:r>
            <w:r w:rsidRPr="00344F5B">
              <w:rPr>
                <w:rFonts w:asciiTheme="minorHAnsi" w:hAnsiTheme="minorHAnsi" w:cstheme="minorHAnsi"/>
                <w:sz w:val="18"/>
                <w:szCs w:val="18"/>
              </w:rPr>
              <w:br/>
            </w:r>
            <w:r w:rsidRPr="00344F5B">
              <w:rPr>
                <w:rFonts w:asciiTheme="minorHAnsi" w:hAnsiTheme="minorHAnsi" w:cstheme="minorHAnsi"/>
                <w:color w:val="000000"/>
                <w:sz w:val="18"/>
                <w:szCs w:val="18"/>
              </w:rPr>
              <w:br/>
              <w:t>Mylan Health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DE5216D" w14:textId="5A7603DD" w:rsidR="005A57CE" w:rsidRPr="00B0328C" w:rsidRDefault="005A57CE" w:rsidP="005A57CE">
            <w:pPr>
              <w:widowControl w:val="0"/>
              <w:spacing w:after="120"/>
              <w:jc w:val="center"/>
              <w:rPr>
                <w:rFonts w:asciiTheme="minorHAnsi" w:hAnsiTheme="minorHAnsi" w:cstheme="minorHAnsi"/>
                <w:sz w:val="18"/>
                <w:szCs w:val="18"/>
              </w:rPr>
            </w:pPr>
            <w:r w:rsidRPr="00344F5B">
              <w:rPr>
                <w:rFonts w:asciiTheme="minorHAnsi" w:hAnsiTheme="minorHAnsi" w:cstheme="minorHAnsi"/>
                <w:color w:val="000000"/>
                <w:sz w:val="18"/>
                <w:szCs w:val="18"/>
              </w:rPr>
              <w:t>Cystic fibrosis and unrestricted benefit</w:t>
            </w:r>
          </w:p>
        </w:tc>
        <w:tc>
          <w:tcPr>
            <w:tcW w:w="1197" w:type="pct"/>
            <w:tcBorders>
              <w:top w:val="single" w:sz="4" w:space="0" w:color="auto"/>
              <w:left w:val="nil"/>
              <w:bottom w:val="single" w:sz="4" w:space="0" w:color="auto"/>
              <w:right w:val="single" w:sz="4" w:space="0" w:color="auto"/>
            </w:tcBorders>
            <w:shd w:val="clear" w:color="auto" w:fill="auto"/>
            <w:vAlign w:val="center"/>
          </w:tcPr>
          <w:p w14:paraId="6A403B0C" w14:textId="7C7F2081" w:rsidR="005A57CE" w:rsidRPr="00B0328C" w:rsidRDefault="005A57CE" w:rsidP="005A57CE">
            <w:pPr>
              <w:widowControl w:val="0"/>
              <w:spacing w:after="120"/>
              <w:jc w:val="center"/>
              <w:rPr>
                <w:rFonts w:asciiTheme="minorHAnsi" w:hAnsiTheme="minorHAnsi" w:cstheme="minorHAnsi"/>
                <w:sz w:val="18"/>
                <w:szCs w:val="18"/>
              </w:rPr>
            </w:pPr>
            <w:r w:rsidRPr="0004257E">
              <w:rPr>
                <w:rFonts w:asciiTheme="minorHAnsi" w:hAnsiTheme="minorHAnsi" w:cstheme="minorHAnsi"/>
                <w:sz w:val="18"/>
                <w:szCs w:val="18"/>
                <w:lang w:eastAsia="en-US"/>
              </w:rPr>
              <w:t>Review of positive PBAC recommendations not accepted by applicants</w:t>
            </w:r>
            <w:r w:rsidRPr="00D96F94" w:rsidDel="00DB2A86">
              <w:rPr>
                <w:rFonts w:asciiTheme="minorHAnsi" w:hAnsiTheme="minorHAnsi" w:cstheme="minorHAnsi"/>
                <w:sz w:val="18"/>
                <w:szCs w:val="18"/>
                <w:lang w:eastAsia="en-US"/>
              </w:rPr>
              <w:t xml:space="preserve"> </w:t>
            </w:r>
          </w:p>
        </w:tc>
        <w:tc>
          <w:tcPr>
            <w:tcW w:w="1318" w:type="pct"/>
            <w:tcBorders>
              <w:top w:val="single" w:sz="4" w:space="0" w:color="auto"/>
              <w:left w:val="nil"/>
              <w:bottom w:val="single" w:sz="4" w:space="0" w:color="auto"/>
              <w:right w:val="single" w:sz="4" w:space="0" w:color="auto"/>
            </w:tcBorders>
            <w:vAlign w:val="center"/>
          </w:tcPr>
          <w:p w14:paraId="3D261D24" w14:textId="095F4C5E" w:rsidR="005A57CE" w:rsidRPr="00B0328C" w:rsidRDefault="00EF3CFD" w:rsidP="005A57CE">
            <w:pPr>
              <w:widowControl w:val="0"/>
              <w:spacing w:after="120"/>
              <w:jc w:val="center"/>
              <w:rPr>
                <w:rFonts w:asciiTheme="minorHAnsi" w:hAnsiTheme="minorHAnsi" w:cstheme="minorHAnsi"/>
                <w:sz w:val="18"/>
                <w:szCs w:val="18"/>
              </w:rPr>
            </w:pPr>
            <w:r w:rsidRPr="00EF3CFD">
              <w:rPr>
                <w:rFonts w:asciiTheme="minorHAnsi" w:hAnsiTheme="minorHAnsi" w:cstheme="minorHAnsi"/>
                <w:sz w:val="18"/>
                <w:szCs w:val="18"/>
              </w:rPr>
              <w:t>The PBAC advised that the March 2021 recommendation be extended for 12 months (if listing process has not commenced by the end of February 2024 the sponsor will be asked to justify the recommendation again).</w:t>
            </w:r>
          </w:p>
        </w:tc>
      </w:tr>
    </w:tbl>
    <w:p w14:paraId="2FD4C11F" w14:textId="7EA68E21" w:rsidR="00FB3935" w:rsidRPr="00292120" w:rsidRDefault="00FB3935" w:rsidP="002F2228">
      <w:pPr>
        <w:rPr>
          <w:rFonts w:ascii="Arial" w:hAnsi="Arial" w:cs="Arial"/>
        </w:rPr>
      </w:pPr>
    </w:p>
    <w:p w14:paraId="237E7119" w14:textId="4574191B" w:rsidR="000F6F0D" w:rsidRPr="004118DA" w:rsidRDefault="000F6F0D" w:rsidP="002F2228">
      <w:pPr>
        <w:rPr>
          <w:rFonts w:ascii="Arial" w:hAnsi="Arial" w:cs="Arial"/>
        </w:rPr>
      </w:pPr>
    </w:p>
    <w:p w14:paraId="511B88D5" w14:textId="196217C3" w:rsidR="003E0E09" w:rsidRPr="002F2228" w:rsidRDefault="003E0E09" w:rsidP="002F2228">
      <w:pPr>
        <w:ind w:left="360"/>
        <w:rPr>
          <w:rFonts w:ascii="Arial" w:hAnsi="Arial" w:cs="Arial"/>
          <w:bCs/>
          <w:lang w:val="en-US"/>
        </w:rPr>
      </w:pPr>
      <w:r w:rsidRPr="002F2228">
        <w:rPr>
          <w:rFonts w:ascii="Arial" w:hAnsi="Arial" w:cs="Arial"/>
          <w:bCs/>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99"/>
        <w:gridCol w:w="2839"/>
        <w:gridCol w:w="8168"/>
      </w:tblGrid>
      <w:tr w:rsidR="002F2228" w:rsidRPr="00062FEE" w14:paraId="7FB72931" w14:textId="77777777" w:rsidTr="00344F5B">
        <w:trPr>
          <w:cantSplit/>
          <w:trHeight w:val="58"/>
          <w:tblHeader/>
        </w:trPr>
        <w:tc>
          <w:tcPr>
            <w:tcW w:w="873" w:type="pct"/>
            <w:shd w:val="clear" w:color="auto" w:fill="auto"/>
            <w:vAlign w:val="center"/>
          </w:tcPr>
          <w:p w14:paraId="50048F5E" w14:textId="77777777" w:rsidR="002F2228" w:rsidRPr="00062FEE" w:rsidRDefault="002F2228" w:rsidP="00344F5B">
            <w:pPr>
              <w:keepLines/>
              <w:widowControl w:val="0"/>
              <w:jc w:val="center"/>
              <w:rPr>
                <w:rFonts w:asciiTheme="minorHAnsi" w:hAnsiTheme="minorHAnsi" w:cs="Arial"/>
                <w:b/>
              </w:rPr>
            </w:pPr>
            <w:r w:rsidRPr="00062FEE">
              <w:rPr>
                <w:rFonts w:asciiTheme="minorHAnsi" w:hAnsiTheme="minorHAnsi" w:cs="Arial"/>
                <w:b/>
              </w:rPr>
              <w:lastRenderedPageBreak/>
              <w:t>DRUG NAME, FORM(S), STRENGTH(S), SPONSOR, TYPE OF SUBMISSION</w:t>
            </w:r>
          </w:p>
        </w:tc>
        <w:tc>
          <w:tcPr>
            <w:tcW w:w="552" w:type="pct"/>
            <w:shd w:val="clear" w:color="auto" w:fill="auto"/>
            <w:vAlign w:val="center"/>
          </w:tcPr>
          <w:p w14:paraId="59FCD99F" w14:textId="77777777" w:rsidR="002F2228" w:rsidRPr="00062FEE" w:rsidRDefault="002F2228" w:rsidP="00344F5B">
            <w:pPr>
              <w:keepLines/>
              <w:widowControl w:val="0"/>
              <w:jc w:val="center"/>
              <w:rPr>
                <w:rFonts w:asciiTheme="minorHAnsi" w:hAnsiTheme="minorHAnsi" w:cs="Arial"/>
                <w:b/>
              </w:rPr>
            </w:pPr>
            <w:r w:rsidRPr="00062FEE">
              <w:rPr>
                <w:rFonts w:asciiTheme="minorHAnsi" w:hAnsiTheme="minorHAnsi" w:cs="Arial"/>
                <w:b/>
              </w:rPr>
              <w:t>DRUG TYPE AND USE</w:t>
            </w:r>
          </w:p>
        </w:tc>
        <w:tc>
          <w:tcPr>
            <w:tcW w:w="922" w:type="pct"/>
            <w:shd w:val="clear" w:color="auto" w:fill="auto"/>
            <w:vAlign w:val="center"/>
          </w:tcPr>
          <w:p w14:paraId="543585BF" w14:textId="77777777" w:rsidR="002F2228" w:rsidRPr="00062FEE" w:rsidRDefault="002F2228" w:rsidP="00344F5B">
            <w:pPr>
              <w:keepLines/>
              <w:widowControl w:val="0"/>
              <w:jc w:val="center"/>
              <w:rPr>
                <w:rFonts w:asciiTheme="minorHAnsi" w:hAnsiTheme="minorHAnsi" w:cs="Arial"/>
                <w:b/>
              </w:rPr>
            </w:pPr>
            <w:r w:rsidRPr="00062FEE">
              <w:rPr>
                <w:rFonts w:asciiTheme="minorHAnsi" w:hAnsiTheme="minorHAnsi" w:cs="Arial"/>
                <w:b/>
              </w:rPr>
              <w:t>LISTING REQUESTED BY SPONSOR / PURPOSE OF SUBMISSION</w:t>
            </w:r>
          </w:p>
        </w:tc>
        <w:tc>
          <w:tcPr>
            <w:tcW w:w="2653" w:type="pct"/>
            <w:shd w:val="clear" w:color="auto" w:fill="auto"/>
            <w:vAlign w:val="center"/>
          </w:tcPr>
          <w:p w14:paraId="2458DA30" w14:textId="77777777" w:rsidR="002F2228" w:rsidRPr="00062FEE" w:rsidRDefault="002F2228" w:rsidP="00344F5B">
            <w:pPr>
              <w:keepLines/>
              <w:jc w:val="center"/>
              <w:rPr>
                <w:rFonts w:asciiTheme="minorHAnsi" w:hAnsiTheme="minorHAnsi" w:cs="Arial"/>
                <w:b/>
              </w:rPr>
            </w:pPr>
            <w:r w:rsidRPr="00062FEE">
              <w:rPr>
                <w:rFonts w:asciiTheme="minorHAnsi" w:hAnsiTheme="minorHAnsi" w:cs="Arial"/>
                <w:b/>
              </w:rPr>
              <w:t>PBAC OUTCOME</w:t>
            </w:r>
          </w:p>
        </w:tc>
      </w:tr>
      <w:tr w:rsidR="002F2228" w:rsidRPr="00062FEE" w14:paraId="13CC6938" w14:textId="77777777" w:rsidTr="00344F5B">
        <w:trPr>
          <w:cantSplit/>
          <w:trHeight w:val="58"/>
        </w:trPr>
        <w:tc>
          <w:tcPr>
            <w:tcW w:w="873" w:type="pct"/>
            <w:shd w:val="clear" w:color="auto" w:fill="auto"/>
            <w:vAlign w:val="center"/>
          </w:tcPr>
          <w:p w14:paraId="70511C5F" w14:textId="4B49FF57" w:rsidR="00312763" w:rsidRDefault="00B172E7" w:rsidP="00344F5B">
            <w:pPr>
              <w:jc w:val="center"/>
              <w:rPr>
                <w:rFonts w:asciiTheme="minorHAnsi" w:hAnsiTheme="minorHAnsi" w:cstheme="minorHAnsi"/>
                <w:sz w:val="18"/>
                <w:szCs w:val="18"/>
              </w:rPr>
            </w:pPr>
            <w:r>
              <w:rPr>
                <w:rFonts w:asciiTheme="minorHAnsi" w:hAnsiTheme="minorHAnsi" w:cstheme="minorHAnsi"/>
                <w:sz w:val="18"/>
                <w:szCs w:val="18"/>
              </w:rPr>
              <w:t>PBS R</w:t>
            </w:r>
            <w:r w:rsidR="00312763">
              <w:rPr>
                <w:rFonts w:asciiTheme="minorHAnsi" w:hAnsiTheme="minorHAnsi" w:cstheme="minorHAnsi"/>
                <w:sz w:val="18"/>
                <w:szCs w:val="18"/>
              </w:rPr>
              <w:t>estrictions</w:t>
            </w:r>
            <w:r>
              <w:rPr>
                <w:rFonts w:asciiTheme="minorHAnsi" w:hAnsiTheme="minorHAnsi" w:cstheme="minorHAnsi"/>
                <w:sz w:val="18"/>
                <w:szCs w:val="18"/>
              </w:rPr>
              <w:t xml:space="preserve"> </w:t>
            </w:r>
            <w:r w:rsidR="00312763">
              <w:rPr>
                <w:rFonts w:asciiTheme="minorHAnsi" w:hAnsiTheme="minorHAnsi" w:cstheme="minorHAnsi"/>
                <w:sz w:val="18"/>
                <w:szCs w:val="18"/>
              </w:rPr>
              <w:t>for</w:t>
            </w:r>
            <w:r>
              <w:rPr>
                <w:rFonts w:asciiTheme="minorHAnsi" w:hAnsiTheme="minorHAnsi" w:cstheme="minorHAnsi"/>
                <w:sz w:val="18"/>
                <w:szCs w:val="18"/>
              </w:rPr>
              <w:t xml:space="preserve"> </w:t>
            </w:r>
            <w:r w:rsidR="00312763">
              <w:rPr>
                <w:rFonts w:asciiTheme="minorHAnsi" w:hAnsiTheme="minorHAnsi" w:cstheme="minorHAnsi"/>
                <w:sz w:val="18"/>
                <w:szCs w:val="18"/>
              </w:rPr>
              <w:t>Type 2 diabetes mellitus medicines</w:t>
            </w:r>
          </w:p>
          <w:p w14:paraId="701FD68A" w14:textId="77777777" w:rsidR="00312763" w:rsidRDefault="00312763" w:rsidP="00344F5B">
            <w:pPr>
              <w:jc w:val="center"/>
              <w:rPr>
                <w:rFonts w:asciiTheme="minorHAnsi" w:hAnsiTheme="minorHAnsi" w:cstheme="minorHAnsi"/>
                <w:sz w:val="18"/>
                <w:szCs w:val="18"/>
              </w:rPr>
            </w:pPr>
          </w:p>
          <w:p w14:paraId="7987AD00" w14:textId="72BA4CC3"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PIOGLITAZONE</w:t>
            </w:r>
          </w:p>
          <w:p w14:paraId="55F96ED7" w14:textId="77777777"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DULAGLUTIDE</w:t>
            </w:r>
          </w:p>
          <w:p w14:paraId="08C6A2DB" w14:textId="77777777"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SEMAGLUTIDE</w:t>
            </w:r>
          </w:p>
          <w:p w14:paraId="05E11030" w14:textId="77777777"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ERTUGLIFLOZIN</w:t>
            </w:r>
          </w:p>
          <w:p w14:paraId="1CF8FF3B" w14:textId="77777777"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EMPAGLIFLOZIN</w:t>
            </w:r>
          </w:p>
          <w:p w14:paraId="43C92B0E" w14:textId="77777777"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DAPAGLIFLOZIN</w:t>
            </w:r>
          </w:p>
          <w:p w14:paraId="2B538DAA" w14:textId="77777777"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SITAGLIPFLOZIN</w:t>
            </w:r>
          </w:p>
          <w:p w14:paraId="2D3E164F" w14:textId="69F9DE53"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ALOGLIPTIN</w:t>
            </w:r>
          </w:p>
          <w:p w14:paraId="55318360" w14:textId="032E9606"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SAXAGLIPTIN</w:t>
            </w:r>
          </w:p>
          <w:p w14:paraId="60E7FA52" w14:textId="77777777"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SITAGLIPTIN</w:t>
            </w:r>
          </w:p>
          <w:p w14:paraId="4009F4B8" w14:textId="77777777" w:rsidR="00B172E7" w:rsidRDefault="00B172E7" w:rsidP="00344F5B">
            <w:pPr>
              <w:jc w:val="center"/>
              <w:rPr>
                <w:rFonts w:asciiTheme="minorHAnsi" w:hAnsiTheme="minorHAnsi" w:cstheme="minorHAnsi"/>
                <w:sz w:val="18"/>
                <w:szCs w:val="18"/>
              </w:rPr>
            </w:pPr>
            <w:r>
              <w:rPr>
                <w:rFonts w:asciiTheme="minorHAnsi" w:hAnsiTheme="minorHAnsi" w:cstheme="minorHAnsi"/>
                <w:sz w:val="18"/>
                <w:szCs w:val="18"/>
              </w:rPr>
              <w:t>LINAGLIPTIN</w:t>
            </w:r>
          </w:p>
          <w:p w14:paraId="30B44120" w14:textId="54BC8E62" w:rsidR="002F2228" w:rsidRPr="00D96F94" w:rsidRDefault="00B172E7" w:rsidP="00344F5B">
            <w:pPr>
              <w:jc w:val="center"/>
              <w:rPr>
                <w:rFonts w:asciiTheme="minorHAnsi" w:hAnsiTheme="minorHAnsi" w:cstheme="minorHAnsi"/>
                <w:sz w:val="18"/>
                <w:szCs w:val="18"/>
              </w:rPr>
            </w:pPr>
            <w:r>
              <w:rPr>
                <w:rFonts w:asciiTheme="minorHAnsi" w:hAnsiTheme="minorHAnsi" w:cstheme="minorHAnsi"/>
                <w:sz w:val="18"/>
                <w:szCs w:val="18"/>
              </w:rPr>
              <w:t>VILDAGLIPTIN</w:t>
            </w:r>
          </w:p>
        </w:tc>
        <w:tc>
          <w:tcPr>
            <w:tcW w:w="552" w:type="pct"/>
            <w:shd w:val="clear" w:color="auto" w:fill="auto"/>
            <w:vAlign w:val="center"/>
          </w:tcPr>
          <w:p w14:paraId="0E333A13" w14:textId="60AF33BF" w:rsidR="002F2228" w:rsidRPr="00D96F94" w:rsidRDefault="00B172E7" w:rsidP="00344F5B">
            <w:pPr>
              <w:jc w:val="center"/>
              <w:rPr>
                <w:rFonts w:asciiTheme="minorHAnsi" w:hAnsiTheme="minorHAnsi" w:cstheme="minorHAnsi"/>
                <w:sz w:val="18"/>
                <w:szCs w:val="18"/>
              </w:rPr>
            </w:pPr>
            <w:r>
              <w:rPr>
                <w:rFonts w:asciiTheme="minorHAnsi" w:hAnsiTheme="minorHAnsi" w:cstheme="minorHAnsi"/>
                <w:color w:val="000000"/>
                <w:sz w:val="18"/>
                <w:szCs w:val="18"/>
              </w:rPr>
              <w:t>Type 2 diabetes mellitus (T2DM) medicines</w:t>
            </w:r>
          </w:p>
        </w:tc>
        <w:tc>
          <w:tcPr>
            <w:tcW w:w="922" w:type="pct"/>
            <w:shd w:val="clear" w:color="auto" w:fill="auto"/>
            <w:vAlign w:val="center"/>
          </w:tcPr>
          <w:p w14:paraId="5E47AF63" w14:textId="7063C1F7" w:rsidR="002F2228" w:rsidRPr="00D96F94" w:rsidRDefault="00B172E7" w:rsidP="00344F5B">
            <w:pPr>
              <w:jc w:val="center"/>
              <w:rPr>
                <w:rFonts w:asciiTheme="minorHAnsi" w:hAnsiTheme="minorHAnsi" w:cstheme="minorHAnsi"/>
                <w:bCs/>
                <w:snapToGrid w:val="0"/>
                <w:color w:val="000000"/>
                <w:sz w:val="18"/>
                <w:szCs w:val="18"/>
              </w:rPr>
            </w:pPr>
            <w:r>
              <w:rPr>
                <w:rFonts w:asciiTheme="minorHAnsi" w:hAnsiTheme="minorHAnsi" w:cstheme="minorHAnsi"/>
                <w:color w:val="000000"/>
                <w:sz w:val="18"/>
                <w:szCs w:val="18"/>
              </w:rPr>
              <w:t>To review the PBS restrictions for T2DM medicines following the DUSC analysis considered by the PBAC in November 2022.</w:t>
            </w:r>
          </w:p>
        </w:tc>
        <w:tc>
          <w:tcPr>
            <w:tcW w:w="2653" w:type="pct"/>
            <w:shd w:val="clear" w:color="auto" w:fill="auto"/>
          </w:tcPr>
          <w:p w14:paraId="50208098" w14:textId="77777777" w:rsidR="00431211" w:rsidRPr="00431211" w:rsidRDefault="00431211" w:rsidP="00D936B4">
            <w:pPr>
              <w:pStyle w:val="Default"/>
              <w:spacing w:after="120"/>
              <w:jc w:val="both"/>
              <w:rPr>
                <w:rFonts w:asciiTheme="minorHAnsi" w:hAnsiTheme="minorHAnsi" w:cstheme="minorHAnsi"/>
                <w:bCs/>
                <w:sz w:val="18"/>
                <w:szCs w:val="18"/>
              </w:rPr>
            </w:pPr>
            <w:r w:rsidRPr="00431211">
              <w:rPr>
                <w:rFonts w:asciiTheme="minorHAnsi" w:hAnsiTheme="minorHAnsi" w:cstheme="minorHAnsi"/>
                <w:bCs/>
                <w:sz w:val="18"/>
                <w:szCs w:val="18"/>
              </w:rPr>
              <w:t>The PBAC recommended changes to the restrictions for dipeptidyl peptidase 4 (DPP4) inhibitors and sodium-glucose cotransporter 2 (SGLT2) inhibitors to reduce complexity. For DPP4 inhibitors, SGLT2 inhibitors and glucagon-like peptide</w:t>
            </w:r>
            <w:r w:rsidRPr="00431211">
              <w:rPr>
                <w:rFonts w:ascii="Cambria Math" w:hAnsi="Cambria Math" w:cs="Cambria Math"/>
                <w:bCs/>
                <w:sz w:val="18"/>
                <w:szCs w:val="18"/>
              </w:rPr>
              <w:t>‑</w:t>
            </w:r>
            <w:r w:rsidRPr="00431211">
              <w:rPr>
                <w:rFonts w:asciiTheme="minorHAnsi" w:hAnsiTheme="minorHAnsi" w:cstheme="minorHAnsi"/>
                <w:bCs/>
                <w:sz w:val="18"/>
                <w:szCs w:val="18"/>
              </w:rPr>
              <w:t>1 receptor agonists (GLP</w:t>
            </w:r>
            <w:r w:rsidRPr="00431211">
              <w:rPr>
                <w:rFonts w:ascii="Cambria Math" w:hAnsi="Cambria Math" w:cs="Cambria Math"/>
                <w:bCs/>
                <w:sz w:val="18"/>
                <w:szCs w:val="18"/>
              </w:rPr>
              <w:t>‑</w:t>
            </w:r>
            <w:r w:rsidRPr="00431211">
              <w:rPr>
                <w:rFonts w:asciiTheme="minorHAnsi" w:hAnsiTheme="minorHAnsi" w:cstheme="minorHAnsi"/>
                <w:bCs/>
                <w:sz w:val="18"/>
                <w:szCs w:val="18"/>
              </w:rPr>
              <w:t>1</w:t>
            </w:r>
            <w:r w:rsidRPr="00431211">
              <w:rPr>
                <w:rFonts w:ascii="Calibri" w:hAnsi="Calibri" w:cs="Calibri"/>
                <w:bCs/>
                <w:sz w:val="18"/>
                <w:szCs w:val="18"/>
              </w:rPr>
              <w:t> </w:t>
            </w:r>
            <w:r w:rsidRPr="00431211">
              <w:rPr>
                <w:rFonts w:asciiTheme="minorHAnsi" w:hAnsiTheme="minorHAnsi" w:cstheme="minorHAnsi"/>
                <w:bCs/>
                <w:sz w:val="18"/>
                <w:szCs w:val="18"/>
              </w:rPr>
              <w:t>RAs), the PBAC recommended removal of the requirement for contraindication or intolerance to metformin for patients to use these medicines in dual therapy with insulin.</w:t>
            </w:r>
          </w:p>
          <w:p w14:paraId="09F22376" w14:textId="77777777" w:rsidR="00431211" w:rsidRPr="00431211" w:rsidRDefault="00431211" w:rsidP="00D936B4">
            <w:pPr>
              <w:pStyle w:val="Default"/>
              <w:spacing w:after="120"/>
              <w:jc w:val="both"/>
              <w:rPr>
                <w:rFonts w:asciiTheme="minorHAnsi" w:hAnsiTheme="minorHAnsi" w:cstheme="minorHAnsi"/>
                <w:bCs/>
                <w:sz w:val="18"/>
                <w:szCs w:val="18"/>
              </w:rPr>
            </w:pPr>
            <w:r w:rsidRPr="00431211">
              <w:rPr>
                <w:rFonts w:asciiTheme="minorHAnsi" w:hAnsiTheme="minorHAnsi" w:cstheme="minorHAnsi"/>
                <w:bCs/>
                <w:sz w:val="18"/>
                <w:szCs w:val="18"/>
              </w:rPr>
              <w:t>Regarding the November 2022 recommendation for a 15% price reduction to DPP4 and SGLT2 inhibitors, the PBAC recommended that the 15% price reduction should not apply to sitagliptin brands, as these brands had recently taken a 25% price reduction and were now subject to price disclosure. The PBAC recommended that if the 15% price reduction to SGLT2 inhibitors was implemented, then the outstanding March 2022 PBAC recommendation to expand the restrictions of dapagliflozin and empagliflozin to include dual therapy with metformin in patients with high cardiovascular risk without a glycaemic requirement, could be implemented without further price reductions or a financial cap.</w:t>
            </w:r>
          </w:p>
          <w:p w14:paraId="294709FC" w14:textId="77777777" w:rsidR="00431211" w:rsidRPr="00431211" w:rsidRDefault="00431211" w:rsidP="00D936B4">
            <w:pPr>
              <w:pStyle w:val="Default"/>
              <w:spacing w:after="120"/>
              <w:jc w:val="both"/>
              <w:rPr>
                <w:rFonts w:asciiTheme="minorHAnsi" w:hAnsiTheme="minorHAnsi" w:cstheme="minorHAnsi"/>
                <w:bCs/>
                <w:sz w:val="18"/>
                <w:szCs w:val="18"/>
              </w:rPr>
            </w:pPr>
            <w:r w:rsidRPr="00431211">
              <w:rPr>
                <w:rFonts w:asciiTheme="minorHAnsi" w:hAnsiTheme="minorHAnsi" w:cstheme="minorHAnsi"/>
                <w:bCs/>
                <w:sz w:val="18"/>
                <w:szCs w:val="18"/>
              </w:rPr>
              <w:t xml:space="preserve">The PBAC recommended that the authority type for GLP-1 RAs, for therapy initiation for all indications, be changed from Authority Required (STREAMLINED) to Authority Required (telephone/electronic), but that continuing access should be via a streamlined authority. In making this recommendation, the PBAC considered the high use of GLP-1 RAs outside of the PBS restrictions, their high cost versus comparator treatments, and the administrative burden on prescribers associated with telephone/electronic authorities. The PBAC further recommended that the use of GLP-1 RAs in all T2DM indications should be restricted to patients who are contraindicated, intolerant or inadequately responsive to SGLT2 inhibitors. The PBAC noted that both SGLT2 inhibitors and GLP-1 RAs were PBS-listed based on a series of non-inferiority comparisons originating from insulin. The PBAC considered that the price reduction to SGLT2 inhibitors in 2015 meant that SGLT2 inhibitors were now more cost-effective than GLP-1 RAs. </w:t>
            </w:r>
          </w:p>
          <w:p w14:paraId="7F20438D" w14:textId="2556D128" w:rsidR="002F2228" w:rsidRPr="00D96F94" w:rsidRDefault="00431211" w:rsidP="00D936B4">
            <w:pPr>
              <w:pStyle w:val="Default"/>
              <w:spacing w:after="120"/>
              <w:jc w:val="both"/>
              <w:rPr>
                <w:rFonts w:asciiTheme="minorHAnsi" w:hAnsiTheme="minorHAnsi" w:cstheme="minorHAnsi"/>
                <w:bCs/>
                <w:sz w:val="18"/>
                <w:szCs w:val="18"/>
              </w:rPr>
            </w:pPr>
            <w:r w:rsidRPr="00431211">
              <w:rPr>
                <w:rFonts w:asciiTheme="minorHAnsi" w:hAnsiTheme="minorHAnsi" w:cstheme="minorHAnsi"/>
                <w:bCs/>
                <w:sz w:val="18"/>
                <w:szCs w:val="18"/>
              </w:rPr>
              <w:t>The PBAC recommended that relevant clinical groups be consulted on the proposed T2DM medicines restriction wording prior to implementation to ensure the restrictions are simple and clear and that the Department pursue quality use of medicines educational activities on the restrictions in concert with implementation. The PBAC recommended that the effectiveness of the restriction changes and compliance with the restrictions be investigated as part of future DUSC utilisation reviews.</w:t>
            </w:r>
          </w:p>
        </w:tc>
      </w:tr>
      <w:tr w:rsidR="002F2228" w:rsidRPr="00062FEE" w14:paraId="7126892B" w14:textId="77777777" w:rsidTr="00344F5B">
        <w:trPr>
          <w:cantSplit/>
          <w:trHeight w:val="58"/>
        </w:trPr>
        <w:tc>
          <w:tcPr>
            <w:tcW w:w="873" w:type="pct"/>
            <w:shd w:val="clear" w:color="auto" w:fill="auto"/>
            <w:vAlign w:val="center"/>
          </w:tcPr>
          <w:p w14:paraId="23ED3986" w14:textId="77777777" w:rsidR="002F2228" w:rsidRDefault="002F2228" w:rsidP="00344F5B">
            <w:pPr>
              <w:jc w:val="center"/>
              <w:rPr>
                <w:rFonts w:asciiTheme="minorHAnsi" w:hAnsiTheme="minorHAnsi" w:cstheme="minorHAnsi"/>
                <w:bCs/>
                <w:sz w:val="18"/>
                <w:szCs w:val="18"/>
              </w:rPr>
            </w:pPr>
            <w:r>
              <w:rPr>
                <w:rFonts w:asciiTheme="minorHAnsi" w:hAnsiTheme="minorHAnsi" w:cstheme="minorHAnsi"/>
                <w:sz w:val="18"/>
                <w:szCs w:val="18"/>
              </w:rPr>
              <w:lastRenderedPageBreak/>
              <w:t>C</w:t>
            </w:r>
            <w:r w:rsidRPr="00D96F94">
              <w:rPr>
                <w:rFonts w:asciiTheme="minorHAnsi" w:hAnsiTheme="minorHAnsi" w:cstheme="minorHAnsi"/>
                <w:sz w:val="18"/>
                <w:szCs w:val="18"/>
              </w:rPr>
              <w:t xml:space="preserve">orrespondence from </w:t>
            </w:r>
            <w:r>
              <w:rPr>
                <w:rFonts w:asciiTheme="minorHAnsi" w:hAnsiTheme="minorHAnsi" w:cstheme="minorHAnsi"/>
                <w:bCs/>
                <w:sz w:val="18"/>
                <w:szCs w:val="18"/>
              </w:rPr>
              <w:t>M</w:t>
            </w:r>
            <w:r w:rsidRPr="003F5DB9">
              <w:rPr>
                <w:rFonts w:asciiTheme="minorHAnsi" w:hAnsiTheme="minorHAnsi" w:cstheme="minorHAnsi"/>
                <w:bCs/>
                <w:sz w:val="18"/>
                <w:szCs w:val="18"/>
              </w:rPr>
              <w:t xml:space="preserve">edical </w:t>
            </w:r>
            <w:r>
              <w:rPr>
                <w:rFonts w:asciiTheme="minorHAnsi" w:hAnsiTheme="minorHAnsi" w:cstheme="minorHAnsi"/>
                <w:bCs/>
                <w:sz w:val="18"/>
                <w:szCs w:val="18"/>
              </w:rPr>
              <w:t>S</w:t>
            </w:r>
            <w:r w:rsidRPr="003F5DB9">
              <w:rPr>
                <w:rFonts w:asciiTheme="minorHAnsi" w:hAnsiTheme="minorHAnsi" w:cstheme="minorHAnsi"/>
                <w:bCs/>
                <w:sz w:val="18"/>
                <w:szCs w:val="18"/>
              </w:rPr>
              <w:t xml:space="preserve">ervices </w:t>
            </w:r>
            <w:r>
              <w:rPr>
                <w:rFonts w:asciiTheme="minorHAnsi" w:hAnsiTheme="minorHAnsi" w:cstheme="minorHAnsi"/>
                <w:bCs/>
                <w:sz w:val="18"/>
                <w:szCs w:val="18"/>
              </w:rPr>
              <w:t>A</w:t>
            </w:r>
            <w:r w:rsidRPr="003F5DB9">
              <w:rPr>
                <w:rFonts w:asciiTheme="minorHAnsi" w:hAnsiTheme="minorHAnsi" w:cstheme="minorHAnsi"/>
                <w:bCs/>
                <w:sz w:val="18"/>
                <w:szCs w:val="18"/>
              </w:rPr>
              <w:t xml:space="preserve">dvisory </w:t>
            </w:r>
            <w:r>
              <w:rPr>
                <w:rFonts w:asciiTheme="minorHAnsi" w:hAnsiTheme="minorHAnsi" w:cstheme="minorHAnsi"/>
                <w:bCs/>
                <w:sz w:val="18"/>
                <w:szCs w:val="18"/>
              </w:rPr>
              <w:t>C</w:t>
            </w:r>
            <w:r w:rsidRPr="003F5DB9">
              <w:rPr>
                <w:rFonts w:asciiTheme="minorHAnsi" w:hAnsiTheme="minorHAnsi" w:cstheme="minorHAnsi"/>
                <w:bCs/>
                <w:sz w:val="18"/>
                <w:szCs w:val="18"/>
              </w:rPr>
              <w:t>ommittee</w:t>
            </w:r>
            <w:r>
              <w:rPr>
                <w:rFonts w:asciiTheme="minorHAnsi" w:hAnsiTheme="minorHAnsi" w:cstheme="minorHAnsi"/>
                <w:bCs/>
                <w:sz w:val="18"/>
                <w:szCs w:val="18"/>
              </w:rPr>
              <w:t xml:space="preserve"> (MSAC):</w:t>
            </w:r>
          </w:p>
          <w:p w14:paraId="5EC49BA6" w14:textId="77777777" w:rsidR="002F2228" w:rsidRDefault="002F2228" w:rsidP="00344F5B">
            <w:pPr>
              <w:jc w:val="center"/>
              <w:rPr>
                <w:rFonts w:asciiTheme="minorHAnsi" w:hAnsiTheme="minorHAnsi" w:cstheme="minorHAnsi"/>
                <w:bCs/>
                <w:sz w:val="18"/>
                <w:szCs w:val="18"/>
              </w:rPr>
            </w:pPr>
          </w:p>
          <w:p w14:paraId="37942491" w14:textId="77777777" w:rsidR="002F2228" w:rsidRDefault="002F2228" w:rsidP="00344F5B">
            <w:pPr>
              <w:jc w:val="center"/>
              <w:rPr>
                <w:rFonts w:asciiTheme="minorHAnsi" w:hAnsiTheme="minorHAnsi" w:cstheme="minorHAnsi"/>
                <w:sz w:val="18"/>
                <w:szCs w:val="18"/>
              </w:rPr>
            </w:pPr>
            <w:r>
              <w:rPr>
                <w:rFonts w:asciiTheme="minorHAnsi" w:hAnsiTheme="minorHAnsi" w:cstheme="minorHAnsi"/>
                <w:sz w:val="18"/>
                <w:szCs w:val="18"/>
              </w:rPr>
              <w:t>R</w:t>
            </w:r>
            <w:r w:rsidRPr="003F5DB9">
              <w:rPr>
                <w:rFonts w:asciiTheme="minorHAnsi" w:hAnsiTheme="minorHAnsi" w:cstheme="minorHAnsi"/>
                <w:sz w:val="18"/>
                <w:szCs w:val="18"/>
              </w:rPr>
              <w:t>equest for review of PBS restrictions regarding measurable residual disease testing in patients with acute lymphoblastic leukaemia</w:t>
            </w:r>
          </w:p>
          <w:p w14:paraId="494BB2C8" w14:textId="77777777" w:rsidR="002F2228" w:rsidRDefault="002F2228" w:rsidP="00344F5B">
            <w:pPr>
              <w:jc w:val="center"/>
              <w:rPr>
                <w:rFonts w:asciiTheme="minorHAnsi" w:hAnsiTheme="minorHAnsi" w:cstheme="minorHAnsi"/>
                <w:sz w:val="18"/>
                <w:szCs w:val="18"/>
              </w:rPr>
            </w:pPr>
          </w:p>
          <w:p w14:paraId="78166FE7" w14:textId="77777777" w:rsidR="002F2228" w:rsidRPr="00D96F94" w:rsidRDefault="002F2228" w:rsidP="00344F5B">
            <w:pPr>
              <w:jc w:val="center"/>
              <w:rPr>
                <w:rFonts w:asciiTheme="minorHAnsi" w:hAnsiTheme="minorHAnsi" w:cstheme="minorHAnsi"/>
                <w:sz w:val="18"/>
                <w:szCs w:val="18"/>
              </w:rPr>
            </w:pPr>
            <w:r w:rsidRPr="003F5DB9">
              <w:rPr>
                <w:rFonts w:asciiTheme="minorHAnsi" w:hAnsiTheme="minorHAnsi" w:cstheme="minorHAnsi"/>
                <w:bCs/>
                <w:sz w:val="18"/>
                <w:szCs w:val="18"/>
              </w:rPr>
              <w:t>BLINATUMOMAB</w:t>
            </w:r>
          </w:p>
        </w:tc>
        <w:tc>
          <w:tcPr>
            <w:tcW w:w="552" w:type="pct"/>
            <w:shd w:val="clear" w:color="auto" w:fill="auto"/>
            <w:vAlign w:val="center"/>
          </w:tcPr>
          <w:p w14:paraId="0FCFFB8A" w14:textId="0FAC8773" w:rsidR="002F2228" w:rsidRPr="00D96F94" w:rsidRDefault="002F2228" w:rsidP="00344F5B">
            <w:pPr>
              <w:jc w:val="center"/>
              <w:rPr>
                <w:rFonts w:asciiTheme="minorHAnsi" w:hAnsiTheme="minorHAnsi" w:cstheme="minorHAnsi"/>
                <w:sz w:val="18"/>
                <w:szCs w:val="18"/>
              </w:rPr>
            </w:pPr>
            <w:r>
              <w:rPr>
                <w:rFonts w:asciiTheme="minorHAnsi" w:hAnsiTheme="minorHAnsi" w:cstheme="minorHAnsi"/>
                <w:sz w:val="18"/>
                <w:szCs w:val="18"/>
              </w:rPr>
              <w:t xml:space="preserve">Drugs for the treatment of </w:t>
            </w:r>
            <w:r w:rsidRPr="003F5DB9">
              <w:rPr>
                <w:rFonts w:asciiTheme="minorHAnsi" w:hAnsiTheme="minorHAnsi" w:cstheme="minorHAnsi"/>
                <w:sz w:val="18"/>
                <w:szCs w:val="18"/>
              </w:rPr>
              <w:t>acute lymphoblastic leukaemia</w:t>
            </w:r>
            <w:r w:rsidR="00B43B71">
              <w:rPr>
                <w:rFonts w:asciiTheme="minorHAnsi" w:hAnsiTheme="minorHAnsi" w:cstheme="minorHAnsi"/>
                <w:sz w:val="18"/>
                <w:szCs w:val="18"/>
              </w:rPr>
              <w:t xml:space="preserve"> (ALL)</w:t>
            </w:r>
          </w:p>
        </w:tc>
        <w:tc>
          <w:tcPr>
            <w:tcW w:w="922" w:type="pct"/>
            <w:shd w:val="clear" w:color="auto" w:fill="auto"/>
            <w:vAlign w:val="center"/>
          </w:tcPr>
          <w:p w14:paraId="38F1921C" w14:textId="034A7793" w:rsidR="002F2228" w:rsidRPr="00D96F94" w:rsidRDefault="002F2228" w:rsidP="00344F5B">
            <w:pPr>
              <w:jc w:val="center"/>
              <w:rPr>
                <w:rFonts w:asciiTheme="minorHAnsi" w:hAnsiTheme="minorHAnsi" w:cstheme="minorHAnsi"/>
                <w:bCs/>
                <w:snapToGrid w:val="0"/>
                <w:color w:val="000000"/>
                <w:sz w:val="18"/>
                <w:szCs w:val="18"/>
              </w:rPr>
            </w:pPr>
            <w:r>
              <w:rPr>
                <w:rFonts w:asciiTheme="minorHAnsi" w:hAnsiTheme="minorHAnsi" w:cstheme="minorHAnsi"/>
                <w:sz w:val="18"/>
                <w:szCs w:val="18"/>
              </w:rPr>
              <w:t>R</w:t>
            </w:r>
            <w:r w:rsidRPr="003F5DB9">
              <w:rPr>
                <w:rFonts w:asciiTheme="minorHAnsi" w:hAnsiTheme="minorHAnsi" w:cstheme="minorHAnsi"/>
                <w:sz w:val="18"/>
                <w:szCs w:val="18"/>
              </w:rPr>
              <w:t xml:space="preserve">esidual disease testing in patients with </w:t>
            </w:r>
            <w:r w:rsidR="00B43B71">
              <w:rPr>
                <w:rFonts w:asciiTheme="minorHAnsi" w:hAnsiTheme="minorHAnsi" w:cstheme="minorHAnsi"/>
                <w:sz w:val="18"/>
                <w:szCs w:val="18"/>
              </w:rPr>
              <w:t>ALL</w:t>
            </w:r>
          </w:p>
        </w:tc>
        <w:tc>
          <w:tcPr>
            <w:tcW w:w="2653" w:type="pct"/>
            <w:shd w:val="clear" w:color="auto" w:fill="auto"/>
            <w:vAlign w:val="center"/>
          </w:tcPr>
          <w:p w14:paraId="267EFFC2" w14:textId="7633707D" w:rsidR="002F2228" w:rsidRPr="00D96F94" w:rsidRDefault="002F2228" w:rsidP="00344F5B">
            <w:pPr>
              <w:pStyle w:val="Default"/>
              <w:rPr>
                <w:rFonts w:asciiTheme="minorHAnsi" w:hAnsiTheme="minorHAnsi" w:cstheme="minorHAnsi"/>
                <w:bCs/>
                <w:sz w:val="18"/>
                <w:szCs w:val="18"/>
              </w:rPr>
            </w:pPr>
            <w:r w:rsidRPr="003F5DB9">
              <w:rPr>
                <w:rFonts w:asciiTheme="minorHAnsi" w:hAnsiTheme="minorHAnsi" w:cstheme="minorHAnsi"/>
                <w:bCs/>
                <w:sz w:val="18"/>
                <w:szCs w:val="18"/>
              </w:rPr>
              <w:t>The PBAC recommended amending the current PBS restrictions for blinatumomab in relation to the detection of measurable residual disease (MRD) in patients with ALL to align with the MRD testing methods supported for public funding by the Medical Services Advisory Committee (MSAC). The PBAC considered that it would be appropriate to make the following changes to the blinatumomab PBS listings: (i) remove the MRD threshold (≥10-4 blasts) to allow use of testing methods with a higher sensitivity for MRD detection, (ii) include a wider range of MRD testing methodologies by replacing the term ‘polymerase chain reaction’ with ‘molecular methods, and (iii) replace ‘minimal residual disease’ with the currently accepted term ‘measurable residual disease’.</w:t>
            </w:r>
          </w:p>
        </w:tc>
      </w:tr>
    </w:tbl>
    <w:p w14:paraId="633662E3" w14:textId="0E14649A" w:rsidR="002F2228" w:rsidRPr="00ED4ED9" w:rsidRDefault="002F2228" w:rsidP="002F2228">
      <w:pPr>
        <w:rPr>
          <w:rFonts w:asciiTheme="minorHAnsi" w:hAnsiTheme="minorHAnsi" w:cstheme="minorHAnsi"/>
          <w:bCs/>
          <w:lang w:val="en-US"/>
        </w:rPr>
      </w:pPr>
    </w:p>
    <w:p w14:paraId="1A894255" w14:textId="77777777" w:rsidR="00685040" w:rsidRDefault="00685040" w:rsidP="00685040">
      <w:pPr>
        <w:rPr>
          <w:rFonts w:asciiTheme="minorHAnsi" w:hAnsiTheme="minorHAnsi" w:cstheme="minorHAnsi"/>
          <w:b/>
          <w:bCs/>
          <w:sz w:val="18"/>
          <w:szCs w:val="18"/>
        </w:rPr>
      </w:pPr>
      <w:r>
        <w:rPr>
          <w:rFonts w:asciiTheme="minorHAnsi" w:hAnsiTheme="minorHAnsi" w:cstheme="minorHAnsi"/>
          <w:b/>
          <w:bCs/>
          <w:sz w:val="18"/>
          <w:szCs w:val="18"/>
        </w:rPr>
        <w:t>Version 3</w:t>
      </w:r>
    </w:p>
    <w:p w14:paraId="1EC26C15" w14:textId="26F4298E" w:rsidR="00685040" w:rsidRPr="004E764B" w:rsidRDefault="00685040" w:rsidP="00685040">
      <w:pPr>
        <w:rPr>
          <w:rFonts w:asciiTheme="minorHAnsi" w:hAnsiTheme="minorHAnsi" w:cstheme="minorHAnsi"/>
          <w:b/>
          <w:bCs/>
          <w:sz w:val="18"/>
          <w:szCs w:val="18"/>
          <w:u w:val="single"/>
        </w:rPr>
      </w:pPr>
      <w:r w:rsidRPr="004E764B">
        <w:rPr>
          <w:rFonts w:asciiTheme="minorHAnsi" w:hAnsiTheme="minorHAnsi" w:cstheme="minorHAnsi"/>
          <w:b/>
          <w:bCs/>
          <w:sz w:val="18"/>
          <w:szCs w:val="18"/>
          <w:u w:val="single"/>
        </w:rPr>
        <w:t>Amendment</w:t>
      </w:r>
    </w:p>
    <w:p w14:paraId="23B913C2" w14:textId="4C4CB729" w:rsidR="00685040" w:rsidRPr="004E764B" w:rsidRDefault="00685040" w:rsidP="00685040">
      <w:pPr>
        <w:pStyle w:val="ListParagraph"/>
        <w:numPr>
          <w:ilvl w:val="0"/>
          <w:numId w:val="41"/>
        </w:numPr>
        <w:rPr>
          <w:rFonts w:asciiTheme="minorHAnsi" w:hAnsiTheme="minorHAnsi" w:cstheme="minorHAnsi"/>
          <w:b/>
          <w:bCs/>
          <w:sz w:val="18"/>
          <w:szCs w:val="18"/>
        </w:rPr>
      </w:pPr>
      <w:r w:rsidRPr="00344F5B">
        <w:rPr>
          <w:rFonts w:asciiTheme="minorHAnsi" w:hAnsiTheme="minorHAnsi" w:cstheme="minorHAnsi"/>
          <w:color w:val="000000"/>
          <w:sz w:val="18"/>
          <w:szCs w:val="18"/>
        </w:rPr>
        <w:t>VARICELLA ZOSTER VIRUS RECOMBINANT VACCINE</w:t>
      </w:r>
      <w:r>
        <w:rPr>
          <w:rFonts w:asciiTheme="minorHAnsi" w:hAnsiTheme="minorHAnsi" w:cstheme="minorHAnsi"/>
          <w:color w:val="000000"/>
          <w:sz w:val="18"/>
          <w:szCs w:val="18"/>
        </w:rPr>
        <w:t xml:space="preserve"> (Shingrix®)– Web outcome updated</w:t>
      </w:r>
      <w:r w:rsidRPr="00344F5B">
        <w:rPr>
          <w:rFonts w:asciiTheme="minorHAnsi" w:hAnsiTheme="minorHAnsi" w:cstheme="minorHAnsi"/>
          <w:color w:val="000000"/>
          <w:sz w:val="18"/>
          <w:szCs w:val="18"/>
        </w:rPr>
        <w:br/>
      </w:r>
    </w:p>
    <w:p w14:paraId="0E37C0D0" w14:textId="77777777" w:rsidR="00685040" w:rsidRPr="004E764B" w:rsidRDefault="00685040" w:rsidP="00685040">
      <w:pPr>
        <w:rPr>
          <w:rFonts w:asciiTheme="minorHAnsi" w:hAnsiTheme="minorHAnsi" w:cstheme="minorHAnsi"/>
          <w:color w:val="BFBFBF" w:themeColor="background1" w:themeShade="BF"/>
          <w:sz w:val="18"/>
          <w:szCs w:val="18"/>
          <w:u w:val="single"/>
        </w:rPr>
      </w:pPr>
      <w:r w:rsidRPr="004E764B">
        <w:rPr>
          <w:rFonts w:asciiTheme="minorHAnsi" w:hAnsiTheme="minorHAnsi" w:cstheme="minorHAnsi"/>
          <w:color w:val="BFBFBF" w:themeColor="background1" w:themeShade="BF"/>
          <w:sz w:val="18"/>
          <w:szCs w:val="18"/>
          <w:u w:val="single"/>
        </w:rPr>
        <w:t>Previous amendments</w:t>
      </w:r>
    </w:p>
    <w:p w14:paraId="0BEC9C0B" w14:textId="77777777" w:rsidR="00685040" w:rsidRPr="004E764B" w:rsidRDefault="00685040" w:rsidP="00685040">
      <w:pPr>
        <w:pStyle w:val="ListParagraph"/>
        <w:ind w:hanging="360"/>
        <w:contextualSpacing w:val="0"/>
        <w:rPr>
          <w:rFonts w:asciiTheme="minorHAnsi" w:hAnsiTheme="minorHAnsi" w:cstheme="minorHAnsi"/>
          <w:color w:val="BFBFBF" w:themeColor="background1" w:themeShade="BF"/>
          <w:sz w:val="18"/>
          <w:szCs w:val="18"/>
        </w:rPr>
      </w:pPr>
      <w:r w:rsidRPr="004E764B">
        <w:rPr>
          <w:rFonts w:asciiTheme="minorHAnsi" w:hAnsiTheme="minorHAnsi" w:cstheme="minorHAnsi"/>
          <w:color w:val="BFBFBF" w:themeColor="background1" w:themeShade="BF"/>
          <w:sz w:val="18"/>
          <w:szCs w:val="18"/>
        </w:rPr>
        <w:t>1.DOSTARLIMAB (Jemperli®) – Outcome added</w:t>
      </w:r>
    </w:p>
    <w:p w14:paraId="0F2B197B" w14:textId="77777777" w:rsidR="00685040" w:rsidRPr="004E764B" w:rsidRDefault="00685040" w:rsidP="00685040">
      <w:pPr>
        <w:pStyle w:val="ListParagraph"/>
        <w:ind w:hanging="360"/>
        <w:contextualSpacing w:val="0"/>
        <w:rPr>
          <w:rFonts w:asciiTheme="minorHAnsi" w:hAnsiTheme="minorHAnsi" w:cstheme="minorHAnsi"/>
          <w:color w:val="BFBFBF" w:themeColor="background1" w:themeShade="BF"/>
          <w:sz w:val="18"/>
          <w:szCs w:val="18"/>
        </w:rPr>
      </w:pPr>
      <w:r w:rsidRPr="004E764B">
        <w:rPr>
          <w:rFonts w:asciiTheme="minorHAnsi" w:hAnsiTheme="minorHAnsi" w:cstheme="minorHAnsi"/>
          <w:color w:val="BFBFBF" w:themeColor="background1" w:themeShade="BF"/>
          <w:sz w:val="18"/>
          <w:szCs w:val="18"/>
        </w:rPr>
        <w:t>2.PEMBROLIZUMAB (Keytruda®) – Outcome added</w:t>
      </w:r>
    </w:p>
    <w:p w14:paraId="6B64D1DE" w14:textId="518210F9" w:rsidR="007F48F6" w:rsidRPr="00292120" w:rsidRDefault="00685040" w:rsidP="007F48F6">
      <w:pPr>
        <w:rPr>
          <w:rFonts w:ascii="Arial" w:hAnsi="Arial" w:cs="Arial"/>
          <w:b/>
          <w:lang w:val="en-US"/>
        </w:rPr>
      </w:pPr>
      <w:r>
        <w:rPr>
          <w:rFonts w:ascii="Arial" w:hAnsi="Arial" w:cs="Arial"/>
          <w:bCs/>
          <w:lang w:val="en-US"/>
        </w:rPr>
        <w:br w:type="page"/>
      </w:r>
      <w:r w:rsidR="007F48F6" w:rsidRPr="00292120">
        <w:rPr>
          <w:rFonts w:ascii="Arial" w:hAnsi="Arial" w:cs="Arial"/>
          <w:b/>
          <w:lang w:val="en-US"/>
        </w:rPr>
        <w:lastRenderedPageBreak/>
        <w:t>Submission category types</w:t>
      </w:r>
    </w:p>
    <w:p w14:paraId="15D4233E" w14:textId="77777777" w:rsidR="007F48F6" w:rsidRPr="00292120" w:rsidRDefault="007F48F6" w:rsidP="007F48F6">
      <w:pPr>
        <w:rPr>
          <w:rFonts w:ascii="Arial" w:hAnsi="Arial"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14:paraId="49C9D26F" w14:textId="77777777" w:rsidTr="005B583D">
        <w:tc>
          <w:tcPr>
            <w:tcW w:w="1984" w:type="dxa"/>
          </w:tcPr>
          <w:p w14:paraId="1640FA5D" w14:textId="3DC6C07C" w:rsidR="007F48F6" w:rsidRPr="00292120" w:rsidRDefault="007F48F6" w:rsidP="00A159CA">
            <w:pPr>
              <w:autoSpaceDE w:val="0"/>
              <w:autoSpaceDN w:val="0"/>
              <w:adjustRightInd w:val="0"/>
              <w:rPr>
                <w:rFonts w:ascii="Arial" w:hAnsi="Arial" w:cs="Arial"/>
                <w:b/>
                <w:lang w:val="en-US"/>
              </w:rPr>
            </w:pPr>
            <w:r w:rsidRPr="00292120">
              <w:rPr>
                <w:rFonts w:ascii="Arial" w:hAnsi="Arial" w:cs="Arial"/>
                <w:b/>
                <w:color w:val="000000"/>
              </w:rPr>
              <w:t>Category 1</w:t>
            </w:r>
          </w:p>
        </w:tc>
        <w:tc>
          <w:tcPr>
            <w:tcW w:w="12474" w:type="dxa"/>
          </w:tcPr>
          <w:p w14:paraId="55D16D51" w14:textId="77777777" w:rsidR="007F48F6" w:rsidRPr="00292120" w:rsidRDefault="007F48F6" w:rsidP="005B583D">
            <w:pPr>
              <w:autoSpaceDE w:val="0"/>
              <w:autoSpaceDN w:val="0"/>
              <w:adjustRightInd w:val="0"/>
              <w:rPr>
                <w:rFonts w:ascii="Arial" w:hAnsi="Arial" w:cs="Arial"/>
                <w:b/>
                <w:color w:val="000000"/>
              </w:rPr>
            </w:pPr>
            <w:r w:rsidRPr="00292120">
              <w:rPr>
                <w:rFonts w:ascii="Arial" w:hAnsi="Arial" w:cs="Arial"/>
                <w:color w:val="000000"/>
              </w:rPr>
              <w:t xml:space="preserve">A request for PBS or NIP listing of one or more of the following: </w:t>
            </w:r>
          </w:p>
          <w:p w14:paraId="5E5BAAB8"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first in class medicine or vaccine, and/or a medicine or vaccine for a new population. OR </w:t>
            </w:r>
          </w:p>
          <w:p w14:paraId="7DB13D11"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drug with a </w:t>
            </w:r>
            <w:proofErr w:type="spellStart"/>
            <w:r w:rsidRPr="00292120">
              <w:rPr>
                <w:rFonts w:ascii="Arial" w:hAnsi="Arial" w:cs="Arial"/>
                <w:color w:val="000000"/>
                <w:sz w:val="20"/>
                <w:szCs w:val="20"/>
              </w:rPr>
              <w:t>codependent</w:t>
            </w:r>
            <w:proofErr w:type="spellEnd"/>
            <w:r w:rsidRPr="00292120">
              <w:rPr>
                <w:rFonts w:ascii="Arial" w:hAnsi="Arial" w:cs="Arial"/>
                <w:color w:val="000000"/>
                <w:sz w:val="20"/>
                <w:szCs w:val="20"/>
              </w:rPr>
              <w:t xml:space="preserve"> technology that requires an integrated </w:t>
            </w:r>
            <w:proofErr w:type="spellStart"/>
            <w:r w:rsidRPr="00292120">
              <w:rPr>
                <w:rFonts w:ascii="Arial" w:hAnsi="Arial" w:cs="Arial"/>
                <w:color w:val="000000"/>
                <w:sz w:val="20"/>
                <w:szCs w:val="20"/>
              </w:rPr>
              <w:t>codependent</w:t>
            </w:r>
            <w:proofErr w:type="spellEnd"/>
            <w:r w:rsidRPr="00292120">
              <w:rPr>
                <w:rFonts w:ascii="Arial" w:hAnsi="Arial" w:cs="Arial"/>
                <w:color w:val="000000"/>
                <w:sz w:val="20"/>
                <w:szCs w:val="20"/>
              </w:rPr>
              <w:t xml:space="preserve"> submission to the PBAC and MSAC. OR </w:t>
            </w:r>
          </w:p>
          <w:p w14:paraId="1380A86B"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A drug or designated vaccine with a TGA Provisional determination related to the proposed population.</w:t>
            </w:r>
          </w:p>
        </w:tc>
      </w:tr>
      <w:tr w:rsidR="007F48F6" w:rsidRPr="00292120" w14:paraId="55E97F75" w14:textId="77777777" w:rsidTr="005B583D">
        <w:tc>
          <w:tcPr>
            <w:tcW w:w="1984" w:type="dxa"/>
          </w:tcPr>
          <w:p w14:paraId="5E9AC3B0"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2</w:t>
            </w:r>
          </w:p>
        </w:tc>
        <w:tc>
          <w:tcPr>
            <w:tcW w:w="12474" w:type="dxa"/>
          </w:tcPr>
          <w:p w14:paraId="72522F32" w14:textId="77777777" w:rsidR="007F48F6" w:rsidRPr="00292120" w:rsidRDefault="007F48F6" w:rsidP="005B583D">
            <w:pPr>
              <w:tabs>
                <w:tab w:val="left" w:pos="5210"/>
              </w:tabs>
              <w:rPr>
                <w:rFonts w:ascii="Arial" w:hAnsi="Arial" w:cs="Arial"/>
              </w:rPr>
            </w:pPr>
            <w:r w:rsidRPr="00292120">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14:paraId="2189A220" w14:textId="77777777" w:rsidTr="005B583D">
        <w:tc>
          <w:tcPr>
            <w:tcW w:w="1984" w:type="dxa"/>
          </w:tcPr>
          <w:p w14:paraId="79CB93BA"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3</w:t>
            </w:r>
          </w:p>
        </w:tc>
        <w:tc>
          <w:tcPr>
            <w:tcW w:w="12474" w:type="dxa"/>
          </w:tcPr>
          <w:p w14:paraId="11EF39D0" w14:textId="77777777" w:rsidR="007F48F6" w:rsidRPr="00292120" w:rsidRDefault="007F48F6" w:rsidP="005B583D">
            <w:pPr>
              <w:tabs>
                <w:tab w:val="left" w:pos="5210"/>
              </w:tabs>
              <w:rPr>
                <w:rFonts w:ascii="Arial" w:hAnsi="Arial" w:cs="Arial"/>
              </w:rPr>
            </w:pPr>
            <w:r w:rsidRPr="00292120">
              <w:rPr>
                <w:rFonts w:ascii="Arial" w:hAnsi="Arial" w:cs="Arial"/>
              </w:rPr>
              <w:t>Requests to change existing listings that do not change the population or cost-effectiveness of the medicine or vaccine that do not meet the criteria for a Category 4 submission.</w:t>
            </w:r>
          </w:p>
        </w:tc>
      </w:tr>
      <w:tr w:rsidR="007F48F6" w:rsidRPr="00292120" w14:paraId="3189B6F0" w14:textId="77777777" w:rsidTr="005B583D">
        <w:tc>
          <w:tcPr>
            <w:tcW w:w="1984" w:type="dxa"/>
          </w:tcPr>
          <w:p w14:paraId="381D7CFE" w14:textId="5CAA3093" w:rsidR="007F48F6" w:rsidRPr="00292120" w:rsidRDefault="007F48F6" w:rsidP="005B583D">
            <w:pPr>
              <w:pStyle w:val="Default"/>
              <w:rPr>
                <w:rFonts w:ascii="Arial" w:hAnsi="Arial" w:cs="Arial"/>
                <w:b/>
                <w:sz w:val="20"/>
                <w:szCs w:val="20"/>
                <w:lang w:val="en-US"/>
              </w:rPr>
            </w:pPr>
            <w:r w:rsidRPr="00292120">
              <w:rPr>
                <w:rFonts w:ascii="Arial" w:hAnsi="Arial" w:cs="Arial"/>
                <w:b/>
                <w:sz w:val="20"/>
                <w:szCs w:val="20"/>
              </w:rPr>
              <w:t xml:space="preserve">Category 4 </w:t>
            </w:r>
          </w:p>
        </w:tc>
        <w:tc>
          <w:tcPr>
            <w:tcW w:w="12474" w:type="dxa"/>
          </w:tcPr>
          <w:p w14:paraId="5E50EE2B" w14:textId="77777777" w:rsidR="007F48F6" w:rsidRPr="00292120" w:rsidRDefault="007F48F6" w:rsidP="005B583D">
            <w:pPr>
              <w:pStyle w:val="Default"/>
              <w:rPr>
                <w:rFonts w:ascii="Arial" w:hAnsi="Arial" w:cs="Arial"/>
                <w:b/>
                <w:sz w:val="20"/>
                <w:szCs w:val="20"/>
              </w:rPr>
            </w:pPr>
            <w:r w:rsidRPr="00292120">
              <w:rPr>
                <w:rFonts w:ascii="Arial" w:hAnsi="Arial" w:cs="Arial"/>
                <w:sz w:val="20"/>
                <w:szCs w:val="20"/>
              </w:rPr>
              <w:t xml:space="preserve">A request for one or more of the following: </w:t>
            </w:r>
          </w:p>
          <w:p w14:paraId="61CDD5EA"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Listing of a new pharmaceutical item of a listed medicine. </w:t>
            </w:r>
          </w:p>
          <w:p w14:paraId="30945A3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Consideration as an exempt item (Exempt item as per subsection 84AH of the </w:t>
            </w:r>
            <w:r w:rsidRPr="00292120">
              <w:rPr>
                <w:rFonts w:ascii="Arial" w:hAnsi="Arial" w:cs="Arial"/>
                <w:i/>
                <w:iCs/>
                <w:color w:val="000000"/>
                <w:sz w:val="20"/>
                <w:szCs w:val="20"/>
              </w:rPr>
              <w:t>National Health Act 1953</w:t>
            </w:r>
            <w:r w:rsidRPr="00292120">
              <w:rPr>
                <w:rFonts w:ascii="Arial" w:hAnsi="Arial" w:cs="Arial"/>
                <w:color w:val="000000"/>
                <w:sz w:val="20"/>
                <w:szCs w:val="20"/>
              </w:rPr>
              <w:t xml:space="preserve">). </w:t>
            </w:r>
          </w:p>
          <w:p w14:paraId="46567CA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sz w:val="20"/>
                <w:szCs w:val="20"/>
              </w:rPr>
              <w:t xml:space="preserve">Including a listed medicine on the prescriber bag, or varying an existing prescriber bag listing. </w:t>
            </w:r>
          </w:p>
          <w:p w14:paraId="7EF9BA42"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change/new manner of administration of a listed medicine. </w:t>
            </w:r>
          </w:p>
          <w:p w14:paraId="4D6B65C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 to the maximum quantity and/or number of repeats of a listed medicine. </w:t>
            </w:r>
          </w:p>
          <w:p w14:paraId="2C2C10B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A change or addition to the prescriber type(s) of a listed medicine.</w:t>
            </w:r>
          </w:p>
        </w:tc>
      </w:tr>
      <w:tr w:rsidR="009A1C75" w:rsidRPr="00292120" w14:paraId="5129ECF2" w14:textId="77777777" w:rsidTr="009A1C75">
        <w:trPr>
          <w:trHeight w:val="1026"/>
        </w:trPr>
        <w:tc>
          <w:tcPr>
            <w:tcW w:w="1984" w:type="dxa"/>
          </w:tcPr>
          <w:p w14:paraId="4FD9FAAA" w14:textId="0063D706" w:rsidR="009A1C75" w:rsidRPr="00292120" w:rsidRDefault="009A1C75" w:rsidP="005B583D">
            <w:pPr>
              <w:pStyle w:val="Default"/>
              <w:rPr>
                <w:rFonts w:ascii="Arial" w:hAnsi="Arial" w:cs="Arial"/>
                <w:sz w:val="20"/>
                <w:szCs w:val="20"/>
              </w:rPr>
            </w:pPr>
            <w:r w:rsidRPr="00292120">
              <w:rPr>
                <w:rFonts w:ascii="Arial" w:hAnsi="Arial" w:cs="Arial"/>
                <w:b/>
                <w:sz w:val="20"/>
                <w:szCs w:val="20"/>
              </w:rPr>
              <w:t>Committee Secretariat</w:t>
            </w:r>
          </w:p>
        </w:tc>
        <w:tc>
          <w:tcPr>
            <w:tcW w:w="12474" w:type="dxa"/>
          </w:tcPr>
          <w:p w14:paraId="4E0E04D8" w14:textId="77777777" w:rsidR="009A1C75" w:rsidRPr="00292120" w:rsidRDefault="009A1C75" w:rsidP="009A1C75">
            <w:pPr>
              <w:rPr>
                <w:rFonts w:ascii="Arial" w:hAnsi="Arial" w:cs="Arial"/>
                <w:color w:val="000000"/>
              </w:rPr>
            </w:pPr>
            <w:r w:rsidRPr="00292120">
              <w:rPr>
                <w:rFonts w:ascii="Arial" w:hAnsi="Arial" w:cs="Arial"/>
                <w:color w:val="000000"/>
              </w:rPr>
              <w:t>Application is not in Categories 1, 2, 3 or 4 and requests for one or more of the following:</w:t>
            </w:r>
          </w:p>
          <w:p w14:paraId="0ADCA80A" w14:textId="77777777"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or varied listed drugs, medicinal preparations and designated vaccines that pose no greater risk</w:t>
            </w:r>
          </w:p>
          <w:p w14:paraId="4E274BBE" w14:textId="474796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Pharmaceutical benefits that can no longer be supplied early</w:t>
            </w:r>
          </w:p>
          <w:p w14:paraId="78723A0D" w14:textId="4DE6AD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brand of glucose indicator pharmaceutical item.</w:t>
            </w:r>
          </w:p>
        </w:tc>
      </w:tr>
    </w:tbl>
    <w:p w14:paraId="1A3326E0" w14:textId="77777777" w:rsidR="007F48F6" w:rsidRPr="00292120" w:rsidRDefault="007F48F6" w:rsidP="00EF3B9C">
      <w:pPr>
        <w:rPr>
          <w:rFonts w:ascii="Arial" w:hAnsi="Arial" w:cs="Arial"/>
          <w:b/>
          <w:lang w:val="en-US"/>
        </w:rPr>
      </w:pPr>
    </w:p>
    <w:p w14:paraId="379497B6" w14:textId="77777777" w:rsidR="008D62B4" w:rsidRPr="00292120" w:rsidRDefault="008D62B4">
      <w:pPr>
        <w:rPr>
          <w:rFonts w:ascii="Arial" w:hAnsi="Arial" w:cs="Arial"/>
          <w:b/>
          <w:lang w:val="en-US"/>
        </w:rPr>
      </w:pPr>
      <w:r w:rsidRPr="00292120">
        <w:rPr>
          <w:rFonts w:ascii="Arial" w:hAnsi="Arial" w:cs="Arial"/>
          <w:b/>
          <w:lang w:val="en-US"/>
        </w:rPr>
        <w:br w:type="page"/>
      </w:r>
    </w:p>
    <w:p w14:paraId="6CE3C41E" w14:textId="0367938F" w:rsidR="00640C80" w:rsidRPr="00292120" w:rsidRDefault="005A0A21" w:rsidP="00EF3B9C">
      <w:pPr>
        <w:rPr>
          <w:rFonts w:ascii="Arial" w:hAnsi="Arial" w:cs="Arial"/>
          <w:b/>
          <w:lang w:val="en-US"/>
        </w:rPr>
      </w:pPr>
      <w:r w:rsidRPr="00292120">
        <w:rPr>
          <w:rFonts w:ascii="Arial" w:hAnsi="Arial" w:cs="Arial"/>
          <w:b/>
          <w:lang w:val="en-US"/>
        </w:rPr>
        <w:lastRenderedPageBreak/>
        <w:t>Resubmission pathways</w:t>
      </w:r>
    </w:p>
    <w:p w14:paraId="025CE011" w14:textId="77777777" w:rsidR="005A0A21" w:rsidRPr="00292120" w:rsidRDefault="005A0A21" w:rsidP="00640C80">
      <w:pPr>
        <w:tabs>
          <w:tab w:val="left" w:pos="5210"/>
        </w:tabs>
        <w:rPr>
          <w:rFonts w:ascii="Arial" w:hAnsi="Arial" w:cs="Arial"/>
          <w:b/>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14:paraId="1B32CA1F" w14:textId="77777777" w:rsidTr="00A159CA">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292120" w:rsidRDefault="004A3371">
            <w:pPr>
              <w:rPr>
                <w:rFonts w:ascii="Arial" w:hAnsi="Arial" w:cs="Arial"/>
              </w:rPr>
            </w:pPr>
            <w:r w:rsidRPr="00292120">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00292120">
              <w:rPr>
                <w:rFonts w:ascii="Arial" w:hAnsi="Arial" w:cs="Arial"/>
              </w:rPr>
              <w:t>The resubmission pathways are classified into the following categories:</w:t>
            </w:r>
          </w:p>
        </w:tc>
      </w:tr>
      <w:tr w:rsidR="004A3371" w:rsidRPr="00292120" w14:paraId="5A78A628"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292120" w:rsidRDefault="004A3371">
            <w:pPr>
              <w:spacing w:after="160" w:line="252" w:lineRule="auto"/>
              <w:contextualSpacing/>
              <w:rPr>
                <w:rFonts w:ascii="Arial" w:hAnsi="Arial" w:cs="Arial"/>
                <w:b/>
                <w:bCs/>
              </w:rPr>
            </w:pPr>
            <w:r w:rsidRPr="00292120">
              <w:rPr>
                <w:rFonts w:ascii="Arial" w:hAnsi="Arial" w:cs="Arial"/>
                <w:b/>
                <w:bCs/>
              </w:rPr>
              <w:t>Standard re-entry</w:t>
            </w:r>
          </w:p>
          <w:p w14:paraId="14CD87B9" w14:textId="77777777" w:rsidR="004A3371" w:rsidRPr="00292120" w:rsidRDefault="004A3371">
            <w:pPr>
              <w:spacing w:line="252" w:lineRule="auto"/>
              <w:rPr>
                <w:rFonts w:ascii="Arial" w:hAnsi="Arial" w:cs="Arial"/>
                <w:b/>
                <w:bCs/>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292120" w:rsidRDefault="004A3371">
            <w:pPr>
              <w:autoSpaceDE w:val="0"/>
              <w:autoSpaceDN w:val="0"/>
              <w:rPr>
                <w:rFonts w:ascii="Arial" w:hAnsi="Arial" w:cs="Arial"/>
                <w:color w:val="000000"/>
              </w:rPr>
            </w:pPr>
            <w:r w:rsidRPr="00292120">
              <w:rPr>
                <w:rFonts w:ascii="Arial" w:hAnsi="Arial" w:cs="Arial"/>
                <w:color w:val="000000"/>
              </w:rPr>
              <w:t xml:space="preserve">The Standard Re-entry Pathway is the default pathway for resubmissions and also applies where: </w:t>
            </w:r>
          </w:p>
          <w:p w14:paraId="430AF034" w14:textId="77777777" w:rsidR="004A3371" w:rsidRPr="00292120" w:rsidRDefault="004A3371" w:rsidP="00461045">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chooses not to accept the PBAC nominated resubmission pathway; or </w:t>
            </w:r>
          </w:p>
          <w:p w14:paraId="15ADDEB3" w14:textId="3C3608FE" w:rsidR="004A3371" w:rsidRPr="00292120" w:rsidRDefault="004A3371" w:rsidP="00461045">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292120" w:rsidRDefault="004A3371" w:rsidP="00461045">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decides to lodge later than the allowable timelines for the other pathways. </w:t>
            </w:r>
          </w:p>
        </w:tc>
      </w:tr>
      <w:tr w:rsidR="004A3371" w:rsidRPr="00292120" w14:paraId="46BDFCAF"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292120" w:rsidRDefault="004A3371">
            <w:pPr>
              <w:spacing w:after="160" w:line="252" w:lineRule="auto"/>
              <w:contextualSpacing/>
              <w:rPr>
                <w:rFonts w:ascii="Arial" w:hAnsi="Arial" w:cs="Arial"/>
                <w:b/>
                <w:bCs/>
                <w:lang w:eastAsia="en-US"/>
              </w:rPr>
            </w:pPr>
            <w:r w:rsidRPr="00292120">
              <w:rPr>
                <w:rFonts w:ascii="Arial" w:hAnsi="Arial" w:cs="Arial"/>
                <w:b/>
                <w:bCs/>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292120" w:rsidRDefault="004A3371">
            <w:pPr>
              <w:spacing w:after="160" w:line="252" w:lineRule="auto"/>
              <w:contextualSpacing/>
              <w:rPr>
                <w:rFonts w:ascii="Arial" w:hAnsi="Arial" w:cs="Arial"/>
                <w:color w:val="000000"/>
              </w:rPr>
            </w:pPr>
            <w:r w:rsidRPr="00292120">
              <w:rPr>
                <w:rFonts w:ascii="Arial" w:hAnsi="Arial" w:cs="Arial"/>
              </w:rPr>
              <w:t>An Early Re-entry Pathway may be nominated by the PBAC where the PBAC considers that the remaining issues could be easily resolved and the medicine or vaccine does not represent HATV for the proposed population. Applicants who accept this pathway are eligible for PBAC consideration at the immediate next meeting.</w:t>
            </w:r>
          </w:p>
        </w:tc>
      </w:tr>
      <w:tr w:rsidR="004A3371" w:rsidRPr="00292120" w14:paraId="1A2475F2"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292120" w:rsidRDefault="004A3371">
            <w:pPr>
              <w:spacing w:line="252" w:lineRule="auto"/>
              <w:rPr>
                <w:rFonts w:ascii="Arial" w:hAnsi="Arial" w:cs="Arial"/>
                <w:b/>
                <w:bCs/>
                <w:lang w:eastAsia="en-US"/>
              </w:rPr>
            </w:pPr>
            <w:r w:rsidRPr="00292120">
              <w:rPr>
                <w:rFonts w:ascii="Arial" w:hAnsi="Arial" w:cs="Arial"/>
                <w:b/>
                <w:bCs/>
              </w:rPr>
              <w:t>Early resolution pathway</w:t>
            </w:r>
          </w:p>
          <w:p w14:paraId="157D2C85" w14:textId="77777777" w:rsidR="004A3371" w:rsidRPr="00292120" w:rsidRDefault="004A3371">
            <w:pPr>
              <w:rPr>
                <w:rFonts w:ascii="Arial" w:hAnsi="Arial" w:cs="Arial"/>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292120" w:rsidRDefault="004A3371">
            <w:pPr>
              <w:autoSpaceDE w:val="0"/>
              <w:autoSpaceDN w:val="0"/>
              <w:rPr>
                <w:rFonts w:ascii="Arial" w:hAnsi="Arial" w:cs="Arial"/>
                <w:color w:val="000000"/>
              </w:rPr>
            </w:pPr>
            <w:r w:rsidRPr="00292120">
              <w:rPr>
                <w:rFonts w:ascii="Arial" w:hAnsi="Arial" w:cs="Arial"/>
                <w:color w:val="000000"/>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292120" w:rsidRDefault="004A3371" w:rsidP="00461045">
            <w:pPr>
              <w:pStyle w:val="ListParagraph"/>
              <w:numPr>
                <w:ilvl w:val="0"/>
                <w:numId w:val="2"/>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new clinical study data requiring evaluation is not considered necessary by the PBAC to support new clinical claims to be made in the resubmission; and </w:t>
            </w:r>
          </w:p>
          <w:p w14:paraId="1D4B869E" w14:textId="77777777" w:rsidR="004A3371" w:rsidRPr="00292120" w:rsidRDefault="004A3371" w:rsidP="00461045">
            <w:pPr>
              <w:pStyle w:val="ListParagraph"/>
              <w:numPr>
                <w:ilvl w:val="0"/>
                <w:numId w:val="2"/>
              </w:numPr>
              <w:autoSpaceDE w:val="0"/>
              <w:autoSpaceDN w:val="0"/>
              <w:spacing w:after="120"/>
              <w:contextualSpacing w:val="0"/>
              <w:rPr>
                <w:rFonts w:ascii="Arial" w:hAnsi="Arial" w:cs="Arial"/>
                <w:color w:val="000000"/>
                <w:sz w:val="20"/>
                <w:szCs w:val="20"/>
              </w:rPr>
            </w:pPr>
            <w:r w:rsidRPr="00292120">
              <w:rPr>
                <w:rFonts w:ascii="Arial" w:hAnsi="Arial" w:cs="Arial"/>
                <w:color w:val="000000"/>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292120" w:rsidRDefault="004A3371">
            <w:pPr>
              <w:pStyle w:val="NormalWeb"/>
              <w:spacing w:before="0" w:beforeAutospacing="0" w:after="0" w:afterAutospacing="0"/>
              <w:rPr>
                <w:rFonts w:ascii="Arial" w:hAnsi="Arial" w:cs="Arial"/>
                <w:sz w:val="20"/>
                <w:szCs w:val="20"/>
              </w:rPr>
            </w:pPr>
            <w:r w:rsidRPr="00292120">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14:paraId="1CF59836"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292120" w:rsidRDefault="004A3371">
            <w:pPr>
              <w:rPr>
                <w:rFonts w:ascii="Arial" w:hAnsi="Arial" w:cs="Arial"/>
              </w:rPr>
            </w:pPr>
            <w:r w:rsidRPr="00292120">
              <w:rPr>
                <w:rFonts w:ascii="Arial" w:hAnsi="Arial" w:cs="Arial"/>
                <w:b/>
                <w:bCs/>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292120" w:rsidRDefault="004A3371">
            <w:pPr>
              <w:autoSpaceDE w:val="0"/>
              <w:autoSpaceDN w:val="0"/>
              <w:rPr>
                <w:rFonts w:ascii="Arial" w:hAnsi="Arial" w:cs="Arial"/>
                <w:b/>
                <w:bCs/>
                <w:highlight w:val="green"/>
              </w:rPr>
            </w:pPr>
            <w:r w:rsidRPr="00292120">
              <w:rPr>
                <w:rFonts w:ascii="Arial" w:hAnsi="Arial" w:cs="Arial"/>
                <w:color w:val="00000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4F2BEE75" w:rsidR="00AD3477" w:rsidRPr="00292120" w:rsidRDefault="00AD3477" w:rsidP="004A3371">
      <w:pPr>
        <w:tabs>
          <w:tab w:val="left" w:pos="5210"/>
        </w:tabs>
        <w:rPr>
          <w:rFonts w:ascii="Arial" w:hAnsi="Arial" w:cs="Arial"/>
          <w:lang w:val="en-US"/>
        </w:rPr>
      </w:pPr>
    </w:p>
    <w:p w14:paraId="6C9BA0D5" w14:textId="77777777" w:rsidR="00461045" w:rsidRPr="00292120" w:rsidRDefault="00461045" w:rsidP="004A3371">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E902E8" w:rsidRDefault="00E902E8">
      <w:r>
        <w:separator/>
      </w:r>
    </w:p>
  </w:endnote>
  <w:endnote w:type="continuationSeparator" w:id="0">
    <w:p w14:paraId="0B94B43F" w14:textId="77777777" w:rsidR="00E902E8" w:rsidRDefault="00E902E8">
      <w:r>
        <w:continuationSeparator/>
      </w:r>
    </w:p>
  </w:endnote>
  <w:endnote w:type="continuationNotice" w:id="1">
    <w:p w14:paraId="340BFECE" w14:textId="77777777" w:rsidR="00E902E8" w:rsidRDefault="00E9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97E" w14:textId="77777777" w:rsidR="00424F1F" w:rsidRDefault="0042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E902E8" w:rsidRDefault="00E902E8">
      <w:r>
        <w:separator/>
      </w:r>
    </w:p>
  </w:footnote>
  <w:footnote w:type="continuationSeparator" w:id="0">
    <w:p w14:paraId="7F846E8F" w14:textId="77777777" w:rsidR="00E902E8" w:rsidRDefault="00E902E8">
      <w:r>
        <w:continuationSeparator/>
      </w:r>
    </w:p>
  </w:footnote>
  <w:footnote w:type="continuationNotice" w:id="1">
    <w:p w14:paraId="70FA89B9" w14:textId="77777777" w:rsidR="00E902E8" w:rsidRDefault="00E90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7D82" w14:textId="77777777" w:rsidR="00424F1F" w:rsidRDefault="0042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53509053" w:rsidR="00E902E8" w:rsidRDefault="00894AB9" w:rsidP="00571206">
    <w:pPr>
      <w:pStyle w:val="Header"/>
      <w:jc w:val="center"/>
      <w:rPr>
        <w:rFonts w:ascii="Arial" w:hAnsi="Arial" w:cs="Arial"/>
        <w:b/>
      </w:rPr>
    </w:pPr>
    <w:r>
      <w:rPr>
        <w:rFonts w:ascii="Arial" w:hAnsi="Arial" w:cs="Arial"/>
        <w:b/>
      </w:rPr>
      <w:t>MARCH</w:t>
    </w:r>
    <w:r w:rsidR="00424F1F">
      <w:rPr>
        <w:rFonts w:ascii="Arial" w:hAnsi="Arial" w:cs="Arial"/>
        <w:b/>
      </w:rPr>
      <w:t xml:space="preserve"> </w:t>
    </w:r>
    <w:r w:rsidR="00E902E8">
      <w:rPr>
        <w:rFonts w:ascii="Arial" w:hAnsi="Arial" w:cs="Arial"/>
        <w:b/>
      </w:rPr>
      <w:t>202</w:t>
    </w:r>
    <w:r>
      <w:rPr>
        <w:rFonts w:ascii="Arial" w:hAnsi="Arial" w:cs="Arial"/>
        <w:b/>
      </w:rPr>
      <w:t>3</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788A" w14:textId="77777777" w:rsidR="00424F1F" w:rsidRDefault="00424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0"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4"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C92629"/>
    <w:multiLevelType w:val="hybridMultilevel"/>
    <w:tmpl w:val="073019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6"/>
  </w:num>
  <w:num w:numId="5">
    <w:abstractNumId w:val="9"/>
  </w:num>
  <w:num w:numId="6">
    <w:abstractNumId w:val="2"/>
  </w:num>
  <w:num w:numId="7">
    <w:abstractNumId w:val="12"/>
  </w:num>
  <w:num w:numId="8">
    <w:abstractNumId w:val="26"/>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36"/>
  </w:num>
  <w:num w:numId="13">
    <w:abstractNumId w:val="39"/>
  </w:num>
  <w:num w:numId="14">
    <w:abstractNumId w:val="10"/>
  </w:num>
  <w:num w:numId="15">
    <w:abstractNumId w:val="15"/>
  </w:num>
  <w:num w:numId="16">
    <w:abstractNumId w:val="20"/>
  </w:num>
  <w:num w:numId="17">
    <w:abstractNumId w:val="37"/>
  </w:num>
  <w:num w:numId="18">
    <w:abstractNumId w:val="5"/>
  </w:num>
  <w:num w:numId="19">
    <w:abstractNumId w:val="30"/>
  </w:num>
  <w:num w:numId="20">
    <w:abstractNumId w:val="14"/>
  </w:num>
  <w:num w:numId="21">
    <w:abstractNumId w:val="29"/>
  </w:num>
  <w:num w:numId="22">
    <w:abstractNumId w:val="32"/>
  </w:num>
  <w:num w:numId="23">
    <w:abstractNumId w:val="28"/>
  </w:num>
  <w:num w:numId="24">
    <w:abstractNumId w:val="18"/>
  </w:num>
  <w:num w:numId="25">
    <w:abstractNumId w:val="4"/>
  </w:num>
  <w:num w:numId="26">
    <w:abstractNumId w:val="24"/>
  </w:num>
  <w:num w:numId="27">
    <w:abstractNumId w:val="21"/>
  </w:num>
  <w:num w:numId="28">
    <w:abstractNumId w:val="13"/>
  </w:num>
  <w:num w:numId="29">
    <w:abstractNumId w:val="3"/>
  </w:num>
  <w:num w:numId="30">
    <w:abstractNumId w:val="27"/>
  </w:num>
  <w:num w:numId="31">
    <w:abstractNumId w:val="0"/>
  </w:num>
  <w:num w:numId="32">
    <w:abstractNumId w:val="1"/>
  </w:num>
  <w:num w:numId="33">
    <w:abstractNumId w:val="19"/>
  </w:num>
  <w:num w:numId="34">
    <w:abstractNumId w:val="11"/>
  </w:num>
  <w:num w:numId="35">
    <w:abstractNumId w:val="34"/>
  </w:num>
  <w:num w:numId="36">
    <w:abstractNumId w:val="38"/>
  </w:num>
  <w:num w:numId="37">
    <w:abstractNumId w:val="8"/>
  </w:num>
  <w:num w:numId="38">
    <w:abstractNumId w:val="16"/>
  </w:num>
  <w:num w:numId="39">
    <w:abstractNumId w:val="25"/>
  </w:num>
  <w:num w:numId="40">
    <w:abstractNumId w:val="33"/>
  </w:num>
  <w:num w:numId="4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E16"/>
    <w:rsid w:val="00002E7D"/>
    <w:rsid w:val="000034C3"/>
    <w:rsid w:val="00003584"/>
    <w:rsid w:val="00004628"/>
    <w:rsid w:val="0000462B"/>
    <w:rsid w:val="00004D33"/>
    <w:rsid w:val="00004D75"/>
    <w:rsid w:val="00004F9D"/>
    <w:rsid w:val="00005F17"/>
    <w:rsid w:val="00005FA7"/>
    <w:rsid w:val="000063DB"/>
    <w:rsid w:val="000068DD"/>
    <w:rsid w:val="00006BB1"/>
    <w:rsid w:val="0000733C"/>
    <w:rsid w:val="000074BD"/>
    <w:rsid w:val="00007932"/>
    <w:rsid w:val="00007D69"/>
    <w:rsid w:val="000102AF"/>
    <w:rsid w:val="00010379"/>
    <w:rsid w:val="00010886"/>
    <w:rsid w:val="00010920"/>
    <w:rsid w:val="00010B32"/>
    <w:rsid w:val="00010EF9"/>
    <w:rsid w:val="0001152D"/>
    <w:rsid w:val="000118E3"/>
    <w:rsid w:val="00011EA7"/>
    <w:rsid w:val="000120D3"/>
    <w:rsid w:val="000129ED"/>
    <w:rsid w:val="00013284"/>
    <w:rsid w:val="0001362E"/>
    <w:rsid w:val="000136A0"/>
    <w:rsid w:val="00013785"/>
    <w:rsid w:val="00014746"/>
    <w:rsid w:val="00014B96"/>
    <w:rsid w:val="00014DC1"/>
    <w:rsid w:val="00014FF8"/>
    <w:rsid w:val="000155A7"/>
    <w:rsid w:val="00015748"/>
    <w:rsid w:val="00015DFE"/>
    <w:rsid w:val="00016092"/>
    <w:rsid w:val="0001617C"/>
    <w:rsid w:val="00016211"/>
    <w:rsid w:val="0001634D"/>
    <w:rsid w:val="00016707"/>
    <w:rsid w:val="00016F44"/>
    <w:rsid w:val="00017050"/>
    <w:rsid w:val="000171D6"/>
    <w:rsid w:val="00017870"/>
    <w:rsid w:val="000179CE"/>
    <w:rsid w:val="00017CDE"/>
    <w:rsid w:val="00020127"/>
    <w:rsid w:val="000210EB"/>
    <w:rsid w:val="000220E8"/>
    <w:rsid w:val="00022361"/>
    <w:rsid w:val="000223D3"/>
    <w:rsid w:val="00022435"/>
    <w:rsid w:val="00022686"/>
    <w:rsid w:val="000228B1"/>
    <w:rsid w:val="00022BDB"/>
    <w:rsid w:val="00022BF5"/>
    <w:rsid w:val="0002300F"/>
    <w:rsid w:val="0002305C"/>
    <w:rsid w:val="00023228"/>
    <w:rsid w:val="000235A6"/>
    <w:rsid w:val="00023817"/>
    <w:rsid w:val="0002401C"/>
    <w:rsid w:val="00024248"/>
    <w:rsid w:val="000245BC"/>
    <w:rsid w:val="0002470A"/>
    <w:rsid w:val="00024CE2"/>
    <w:rsid w:val="00024E72"/>
    <w:rsid w:val="0002564D"/>
    <w:rsid w:val="00025967"/>
    <w:rsid w:val="00025F56"/>
    <w:rsid w:val="00026187"/>
    <w:rsid w:val="000264A2"/>
    <w:rsid w:val="0002716D"/>
    <w:rsid w:val="00027346"/>
    <w:rsid w:val="00027672"/>
    <w:rsid w:val="00027AB0"/>
    <w:rsid w:val="00030320"/>
    <w:rsid w:val="00030887"/>
    <w:rsid w:val="00030A03"/>
    <w:rsid w:val="00030A49"/>
    <w:rsid w:val="000311AC"/>
    <w:rsid w:val="00031946"/>
    <w:rsid w:val="00032078"/>
    <w:rsid w:val="00032226"/>
    <w:rsid w:val="000322EC"/>
    <w:rsid w:val="00032AB9"/>
    <w:rsid w:val="00032CE5"/>
    <w:rsid w:val="00033D0B"/>
    <w:rsid w:val="00034086"/>
    <w:rsid w:val="00034121"/>
    <w:rsid w:val="000350A9"/>
    <w:rsid w:val="00035472"/>
    <w:rsid w:val="00035622"/>
    <w:rsid w:val="00035CFA"/>
    <w:rsid w:val="00036501"/>
    <w:rsid w:val="00036531"/>
    <w:rsid w:val="000365B0"/>
    <w:rsid w:val="00036CF7"/>
    <w:rsid w:val="00037175"/>
    <w:rsid w:val="00037F52"/>
    <w:rsid w:val="0004019D"/>
    <w:rsid w:val="000407E0"/>
    <w:rsid w:val="00041467"/>
    <w:rsid w:val="0004160D"/>
    <w:rsid w:val="00041F3D"/>
    <w:rsid w:val="0004257E"/>
    <w:rsid w:val="00042593"/>
    <w:rsid w:val="00042704"/>
    <w:rsid w:val="00042970"/>
    <w:rsid w:val="000433CA"/>
    <w:rsid w:val="00043755"/>
    <w:rsid w:val="00043C1D"/>
    <w:rsid w:val="00044146"/>
    <w:rsid w:val="0004479C"/>
    <w:rsid w:val="00044BB4"/>
    <w:rsid w:val="00045450"/>
    <w:rsid w:val="00046725"/>
    <w:rsid w:val="000468C0"/>
    <w:rsid w:val="00046DA2"/>
    <w:rsid w:val="00050762"/>
    <w:rsid w:val="000507B9"/>
    <w:rsid w:val="00050DA9"/>
    <w:rsid w:val="0005150B"/>
    <w:rsid w:val="00051AF5"/>
    <w:rsid w:val="000548C7"/>
    <w:rsid w:val="00054EA7"/>
    <w:rsid w:val="00055866"/>
    <w:rsid w:val="0005661F"/>
    <w:rsid w:val="00057006"/>
    <w:rsid w:val="000575B4"/>
    <w:rsid w:val="000601EA"/>
    <w:rsid w:val="000603CB"/>
    <w:rsid w:val="000605F9"/>
    <w:rsid w:val="0006084C"/>
    <w:rsid w:val="000608FE"/>
    <w:rsid w:val="00060E7B"/>
    <w:rsid w:val="000615B0"/>
    <w:rsid w:val="00061E01"/>
    <w:rsid w:val="0006239E"/>
    <w:rsid w:val="0006295A"/>
    <w:rsid w:val="00062DBE"/>
    <w:rsid w:val="00062EE7"/>
    <w:rsid w:val="00062F87"/>
    <w:rsid w:val="00062FEE"/>
    <w:rsid w:val="00063210"/>
    <w:rsid w:val="0006357B"/>
    <w:rsid w:val="00063D17"/>
    <w:rsid w:val="000643D0"/>
    <w:rsid w:val="000648E2"/>
    <w:rsid w:val="000650C3"/>
    <w:rsid w:val="00065195"/>
    <w:rsid w:val="00065C22"/>
    <w:rsid w:val="000672D3"/>
    <w:rsid w:val="0006744F"/>
    <w:rsid w:val="00067A06"/>
    <w:rsid w:val="00067E91"/>
    <w:rsid w:val="00070204"/>
    <w:rsid w:val="00070612"/>
    <w:rsid w:val="0007061C"/>
    <w:rsid w:val="000714CE"/>
    <w:rsid w:val="00071D67"/>
    <w:rsid w:val="0007221C"/>
    <w:rsid w:val="00072584"/>
    <w:rsid w:val="000728AC"/>
    <w:rsid w:val="00072E3B"/>
    <w:rsid w:val="00072F02"/>
    <w:rsid w:val="00072F85"/>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27F9"/>
    <w:rsid w:val="000834C8"/>
    <w:rsid w:val="00083789"/>
    <w:rsid w:val="00083792"/>
    <w:rsid w:val="000839D5"/>
    <w:rsid w:val="00083A63"/>
    <w:rsid w:val="00083BE8"/>
    <w:rsid w:val="00083E6A"/>
    <w:rsid w:val="00084012"/>
    <w:rsid w:val="00084017"/>
    <w:rsid w:val="00084264"/>
    <w:rsid w:val="000842BB"/>
    <w:rsid w:val="00084CED"/>
    <w:rsid w:val="00084D37"/>
    <w:rsid w:val="000855C9"/>
    <w:rsid w:val="00085F9C"/>
    <w:rsid w:val="00086013"/>
    <w:rsid w:val="0008687E"/>
    <w:rsid w:val="000868A3"/>
    <w:rsid w:val="00086D66"/>
    <w:rsid w:val="000872FA"/>
    <w:rsid w:val="00087C38"/>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C2D"/>
    <w:rsid w:val="000A2DE4"/>
    <w:rsid w:val="000A2FEC"/>
    <w:rsid w:val="000A3BB7"/>
    <w:rsid w:val="000A418B"/>
    <w:rsid w:val="000A46FC"/>
    <w:rsid w:val="000A4955"/>
    <w:rsid w:val="000A570D"/>
    <w:rsid w:val="000A59CC"/>
    <w:rsid w:val="000A6103"/>
    <w:rsid w:val="000A64C7"/>
    <w:rsid w:val="000A7C8A"/>
    <w:rsid w:val="000A7F23"/>
    <w:rsid w:val="000B1170"/>
    <w:rsid w:val="000B1811"/>
    <w:rsid w:val="000B1A6E"/>
    <w:rsid w:val="000B21DD"/>
    <w:rsid w:val="000B2A2E"/>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A91"/>
    <w:rsid w:val="000B7F45"/>
    <w:rsid w:val="000C0211"/>
    <w:rsid w:val="000C040A"/>
    <w:rsid w:val="000C0497"/>
    <w:rsid w:val="000C0C31"/>
    <w:rsid w:val="000C0E21"/>
    <w:rsid w:val="000C15DB"/>
    <w:rsid w:val="000C1A94"/>
    <w:rsid w:val="000C1BA1"/>
    <w:rsid w:val="000C219D"/>
    <w:rsid w:val="000C22B0"/>
    <w:rsid w:val="000C2786"/>
    <w:rsid w:val="000C2E72"/>
    <w:rsid w:val="000C2FFA"/>
    <w:rsid w:val="000C3369"/>
    <w:rsid w:val="000C339F"/>
    <w:rsid w:val="000C3CAA"/>
    <w:rsid w:val="000C3F2C"/>
    <w:rsid w:val="000C45E3"/>
    <w:rsid w:val="000C494F"/>
    <w:rsid w:val="000C56B4"/>
    <w:rsid w:val="000C586F"/>
    <w:rsid w:val="000C5A78"/>
    <w:rsid w:val="000C5B48"/>
    <w:rsid w:val="000C661A"/>
    <w:rsid w:val="000C77A9"/>
    <w:rsid w:val="000D0D8B"/>
    <w:rsid w:val="000D14F1"/>
    <w:rsid w:val="000D17E0"/>
    <w:rsid w:val="000D1C61"/>
    <w:rsid w:val="000D2AFE"/>
    <w:rsid w:val="000D2D84"/>
    <w:rsid w:val="000D3190"/>
    <w:rsid w:val="000D3BC0"/>
    <w:rsid w:val="000D3ECA"/>
    <w:rsid w:val="000D418F"/>
    <w:rsid w:val="000D4551"/>
    <w:rsid w:val="000D53FC"/>
    <w:rsid w:val="000D5D71"/>
    <w:rsid w:val="000D5EFB"/>
    <w:rsid w:val="000D6416"/>
    <w:rsid w:val="000D79EB"/>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CF9"/>
    <w:rsid w:val="000E73BD"/>
    <w:rsid w:val="000F0297"/>
    <w:rsid w:val="000F069C"/>
    <w:rsid w:val="000F0B27"/>
    <w:rsid w:val="000F0D4C"/>
    <w:rsid w:val="000F0D73"/>
    <w:rsid w:val="000F0DFC"/>
    <w:rsid w:val="000F14EE"/>
    <w:rsid w:val="000F1D4F"/>
    <w:rsid w:val="000F26BE"/>
    <w:rsid w:val="000F2E82"/>
    <w:rsid w:val="000F305F"/>
    <w:rsid w:val="000F3A4F"/>
    <w:rsid w:val="000F3D50"/>
    <w:rsid w:val="000F5D35"/>
    <w:rsid w:val="000F5DDE"/>
    <w:rsid w:val="000F6F0D"/>
    <w:rsid w:val="000F7390"/>
    <w:rsid w:val="000F7D67"/>
    <w:rsid w:val="001000EA"/>
    <w:rsid w:val="00100A53"/>
    <w:rsid w:val="00100B0B"/>
    <w:rsid w:val="00101C2F"/>
    <w:rsid w:val="001025E7"/>
    <w:rsid w:val="0010275F"/>
    <w:rsid w:val="0010316E"/>
    <w:rsid w:val="001038BB"/>
    <w:rsid w:val="00103F76"/>
    <w:rsid w:val="001049E3"/>
    <w:rsid w:val="00104C50"/>
    <w:rsid w:val="00105880"/>
    <w:rsid w:val="00107038"/>
    <w:rsid w:val="00107219"/>
    <w:rsid w:val="001074AC"/>
    <w:rsid w:val="00107D47"/>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605A"/>
    <w:rsid w:val="001171CB"/>
    <w:rsid w:val="00117210"/>
    <w:rsid w:val="0011744C"/>
    <w:rsid w:val="00117AF4"/>
    <w:rsid w:val="00120070"/>
    <w:rsid w:val="00120A89"/>
    <w:rsid w:val="00120F0F"/>
    <w:rsid w:val="00120FAC"/>
    <w:rsid w:val="00121311"/>
    <w:rsid w:val="00121A8E"/>
    <w:rsid w:val="00121BF6"/>
    <w:rsid w:val="00123872"/>
    <w:rsid w:val="001242F1"/>
    <w:rsid w:val="00124585"/>
    <w:rsid w:val="00124D80"/>
    <w:rsid w:val="00125074"/>
    <w:rsid w:val="00125CB8"/>
    <w:rsid w:val="001261A9"/>
    <w:rsid w:val="001267DB"/>
    <w:rsid w:val="001275A6"/>
    <w:rsid w:val="001276FB"/>
    <w:rsid w:val="00130019"/>
    <w:rsid w:val="00130C57"/>
    <w:rsid w:val="0013141F"/>
    <w:rsid w:val="001317E4"/>
    <w:rsid w:val="00131CB1"/>
    <w:rsid w:val="00132052"/>
    <w:rsid w:val="0013211B"/>
    <w:rsid w:val="0013270B"/>
    <w:rsid w:val="001329B7"/>
    <w:rsid w:val="00132A3A"/>
    <w:rsid w:val="00132DAB"/>
    <w:rsid w:val="00132FA5"/>
    <w:rsid w:val="001334F9"/>
    <w:rsid w:val="001335DA"/>
    <w:rsid w:val="00133B4C"/>
    <w:rsid w:val="00133D7F"/>
    <w:rsid w:val="00134ECB"/>
    <w:rsid w:val="00134F08"/>
    <w:rsid w:val="001357A1"/>
    <w:rsid w:val="00135E47"/>
    <w:rsid w:val="001362A6"/>
    <w:rsid w:val="00136B3F"/>
    <w:rsid w:val="00136DF8"/>
    <w:rsid w:val="0013745F"/>
    <w:rsid w:val="001374F4"/>
    <w:rsid w:val="00137894"/>
    <w:rsid w:val="00137CB8"/>
    <w:rsid w:val="00140035"/>
    <w:rsid w:val="00140465"/>
    <w:rsid w:val="00140E09"/>
    <w:rsid w:val="0014101A"/>
    <w:rsid w:val="0014142D"/>
    <w:rsid w:val="0014148A"/>
    <w:rsid w:val="00141FEB"/>
    <w:rsid w:val="00142347"/>
    <w:rsid w:val="00142EED"/>
    <w:rsid w:val="00143743"/>
    <w:rsid w:val="001437D5"/>
    <w:rsid w:val="00143E66"/>
    <w:rsid w:val="00143FEE"/>
    <w:rsid w:val="00144CCA"/>
    <w:rsid w:val="0014567E"/>
    <w:rsid w:val="00145D66"/>
    <w:rsid w:val="00146059"/>
    <w:rsid w:val="00146F0E"/>
    <w:rsid w:val="0014776D"/>
    <w:rsid w:val="00147845"/>
    <w:rsid w:val="00147FC1"/>
    <w:rsid w:val="001500C8"/>
    <w:rsid w:val="001502B0"/>
    <w:rsid w:val="00150381"/>
    <w:rsid w:val="0015080E"/>
    <w:rsid w:val="0015100D"/>
    <w:rsid w:val="001511D3"/>
    <w:rsid w:val="00151705"/>
    <w:rsid w:val="00151C88"/>
    <w:rsid w:val="00151D35"/>
    <w:rsid w:val="00152387"/>
    <w:rsid w:val="00152A0C"/>
    <w:rsid w:val="00153424"/>
    <w:rsid w:val="00153C15"/>
    <w:rsid w:val="00153EE1"/>
    <w:rsid w:val="0015402E"/>
    <w:rsid w:val="001546E8"/>
    <w:rsid w:val="00154828"/>
    <w:rsid w:val="00155698"/>
    <w:rsid w:val="00155809"/>
    <w:rsid w:val="00155BC9"/>
    <w:rsid w:val="00155C11"/>
    <w:rsid w:val="00157D22"/>
    <w:rsid w:val="00157F62"/>
    <w:rsid w:val="001600EB"/>
    <w:rsid w:val="00160327"/>
    <w:rsid w:val="00160423"/>
    <w:rsid w:val="00160AB7"/>
    <w:rsid w:val="00161841"/>
    <w:rsid w:val="00161C25"/>
    <w:rsid w:val="00161CC6"/>
    <w:rsid w:val="00161CD7"/>
    <w:rsid w:val="001628AD"/>
    <w:rsid w:val="0016312E"/>
    <w:rsid w:val="00163182"/>
    <w:rsid w:val="0016341E"/>
    <w:rsid w:val="00163694"/>
    <w:rsid w:val="00164303"/>
    <w:rsid w:val="00164617"/>
    <w:rsid w:val="00164D3D"/>
    <w:rsid w:val="00164EA4"/>
    <w:rsid w:val="001654A9"/>
    <w:rsid w:val="00165A05"/>
    <w:rsid w:val="00165E5D"/>
    <w:rsid w:val="00166297"/>
    <w:rsid w:val="001663D5"/>
    <w:rsid w:val="0016683E"/>
    <w:rsid w:val="00166F24"/>
    <w:rsid w:val="00167277"/>
    <w:rsid w:val="00167AC7"/>
    <w:rsid w:val="00170573"/>
    <w:rsid w:val="001707C4"/>
    <w:rsid w:val="001711A9"/>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E59"/>
    <w:rsid w:val="001772D4"/>
    <w:rsid w:val="0017743E"/>
    <w:rsid w:val="00177845"/>
    <w:rsid w:val="00180261"/>
    <w:rsid w:val="001806A2"/>
    <w:rsid w:val="001807A5"/>
    <w:rsid w:val="001810C8"/>
    <w:rsid w:val="001812AE"/>
    <w:rsid w:val="00182E45"/>
    <w:rsid w:val="00183DEE"/>
    <w:rsid w:val="0018419E"/>
    <w:rsid w:val="00184E8A"/>
    <w:rsid w:val="0018519A"/>
    <w:rsid w:val="00185571"/>
    <w:rsid w:val="00190B36"/>
    <w:rsid w:val="00190B9C"/>
    <w:rsid w:val="00190D52"/>
    <w:rsid w:val="0019138B"/>
    <w:rsid w:val="001919D3"/>
    <w:rsid w:val="001925E9"/>
    <w:rsid w:val="00192900"/>
    <w:rsid w:val="00192D91"/>
    <w:rsid w:val="00192F48"/>
    <w:rsid w:val="0019395E"/>
    <w:rsid w:val="00193C35"/>
    <w:rsid w:val="0019441C"/>
    <w:rsid w:val="001950D9"/>
    <w:rsid w:val="00195379"/>
    <w:rsid w:val="00195A6E"/>
    <w:rsid w:val="00196144"/>
    <w:rsid w:val="00196284"/>
    <w:rsid w:val="00196644"/>
    <w:rsid w:val="001971B1"/>
    <w:rsid w:val="001971EA"/>
    <w:rsid w:val="00197975"/>
    <w:rsid w:val="001A0DC8"/>
    <w:rsid w:val="001A0F43"/>
    <w:rsid w:val="001A14F5"/>
    <w:rsid w:val="001A1777"/>
    <w:rsid w:val="001A1A8A"/>
    <w:rsid w:val="001A2649"/>
    <w:rsid w:val="001A307D"/>
    <w:rsid w:val="001A3986"/>
    <w:rsid w:val="001A3E19"/>
    <w:rsid w:val="001A4242"/>
    <w:rsid w:val="001A48FD"/>
    <w:rsid w:val="001A63A3"/>
    <w:rsid w:val="001A6DEF"/>
    <w:rsid w:val="001A7A6A"/>
    <w:rsid w:val="001A7A87"/>
    <w:rsid w:val="001B049D"/>
    <w:rsid w:val="001B04E4"/>
    <w:rsid w:val="001B0553"/>
    <w:rsid w:val="001B0636"/>
    <w:rsid w:val="001B1577"/>
    <w:rsid w:val="001B15BA"/>
    <w:rsid w:val="001B16C3"/>
    <w:rsid w:val="001B1838"/>
    <w:rsid w:val="001B1C67"/>
    <w:rsid w:val="001B1D5D"/>
    <w:rsid w:val="001B2234"/>
    <w:rsid w:val="001B22B4"/>
    <w:rsid w:val="001B2C7D"/>
    <w:rsid w:val="001B322D"/>
    <w:rsid w:val="001B344B"/>
    <w:rsid w:val="001B3984"/>
    <w:rsid w:val="001B3C3B"/>
    <w:rsid w:val="001B3E1C"/>
    <w:rsid w:val="001B3FE9"/>
    <w:rsid w:val="001B46AE"/>
    <w:rsid w:val="001B5009"/>
    <w:rsid w:val="001B54F0"/>
    <w:rsid w:val="001B5950"/>
    <w:rsid w:val="001B5DCE"/>
    <w:rsid w:val="001B5E08"/>
    <w:rsid w:val="001B61CA"/>
    <w:rsid w:val="001B6AAD"/>
    <w:rsid w:val="001B71B5"/>
    <w:rsid w:val="001B76C4"/>
    <w:rsid w:val="001B77E9"/>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AA"/>
    <w:rsid w:val="001C3D80"/>
    <w:rsid w:val="001C4100"/>
    <w:rsid w:val="001C43B3"/>
    <w:rsid w:val="001C4834"/>
    <w:rsid w:val="001C4C95"/>
    <w:rsid w:val="001C4FF2"/>
    <w:rsid w:val="001C5BA6"/>
    <w:rsid w:val="001D0229"/>
    <w:rsid w:val="001D028A"/>
    <w:rsid w:val="001D0868"/>
    <w:rsid w:val="001D1636"/>
    <w:rsid w:val="001D181F"/>
    <w:rsid w:val="001D2755"/>
    <w:rsid w:val="001D2F4D"/>
    <w:rsid w:val="001D30A0"/>
    <w:rsid w:val="001D3816"/>
    <w:rsid w:val="001D39E8"/>
    <w:rsid w:val="001D4075"/>
    <w:rsid w:val="001D4E5E"/>
    <w:rsid w:val="001D548F"/>
    <w:rsid w:val="001D600F"/>
    <w:rsid w:val="001D6843"/>
    <w:rsid w:val="001D79BC"/>
    <w:rsid w:val="001E0221"/>
    <w:rsid w:val="001E0711"/>
    <w:rsid w:val="001E092F"/>
    <w:rsid w:val="001E0947"/>
    <w:rsid w:val="001E152C"/>
    <w:rsid w:val="001E17F9"/>
    <w:rsid w:val="001E1ABD"/>
    <w:rsid w:val="001E24EA"/>
    <w:rsid w:val="001E25FF"/>
    <w:rsid w:val="001E35D6"/>
    <w:rsid w:val="001E3B0A"/>
    <w:rsid w:val="001E411C"/>
    <w:rsid w:val="001E5979"/>
    <w:rsid w:val="001E5C38"/>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5B4"/>
    <w:rsid w:val="0020062A"/>
    <w:rsid w:val="002010D3"/>
    <w:rsid w:val="002017E3"/>
    <w:rsid w:val="00201885"/>
    <w:rsid w:val="002024B2"/>
    <w:rsid w:val="002028FF"/>
    <w:rsid w:val="0020322B"/>
    <w:rsid w:val="002032C8"/>
    <w:rsid w:val="00203A75"/>
    <w:rsid w:val="0020409B"/>
    <w:rsid w:val="00204875"/>
    <w:rsid w:val="00205337"/>
    <w:rsid w:val="00205C7C"/>
    <w:rsid w:val="002060A5"/>
    <w:rsid w:val="0020622C"/>
    <w:rsid w:val="002068F5"/>
    <w:rsid w:val="002070E4"/>
    <w:rsid w:val="002070E6"/>
    <w:rsid w:val="0020721C"/>
    <w:rsid w:val="002072C3"/>
    <w:rsid w:val="00207813"/>
    <w:rsid w:val="0020790A"/>
    <w:rsid w:val="00207C47"/>
    <w:rsid w:val="00207E86"/>
    <w:rsid w:val="00210594"/>
    <w:rsid w:val="00210F65"/>
    <w:rsid w:val="002114F0"/>
    <w:rsid w:val="00212939"/>
    <w:rsid w:val="002129AB"/>
    <w:rsid w:val="00212B8B"/>
    <w:rsid w:val="00213388"/>
    <w:rsid w:val="002133B8"/>
    <w:rsid w:val="0021371C"/>
    <w:rsid w:val="002139E7"/>
    <w:rsid w:val="00213C5E"/>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0BA9"/>
    <w:rsid w:val="00231068"/>
    <w:rsid w:val="00231F8F"/>
    <w:rsid w:val="002346BD"/>
    <w:rsid w:val="00234DBA"/>
    <w:rsid w:val="00234FCD"/>
    <w:rsid w:val="00234FD9"/>
    <w:rsid w:val="0023596F"/>
    <w:rsid w:val="00236374"/>
    <w:rsid w:val="00236F49"/>
    <w:rsid w:val="00237E07"/>
    <w:rsid w:val="00237F8D"/>
    <w:rsid w:val="002400A1"/>
    <w:rsid w:val="00240222"/>
    <w:rsid w:val="002410D8"/>
    <w:rsid w:val="002411C9"/>
    <w:rsid w:val="0024160F"/>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36F"/>
    <w:rsid w:val="00247783"/>
    <w:rsid w:val="0025050D"/>
    <w:rsid w:val="00250912"/>
    <w:rsid w:val="00250DBA"/>
    <w:rsid w:val="00251087"/>
    <w:rsid w:val="00251294"/>
    <w:rsid w:val="00251AD5"/>
    <w:rsid w:val="00251E7D"/>
    <w:rsid w:val="002523E5"/>
    <w:rsid w:val="00253058"/>
    <w:rsid w:val="00253764"/>
    <w:rsid w:val="002550D8"/>
    <w:rsid w:val="00255896"/>
    <w:rsid w:val="00256078"/>
    <w:rsid w:val="002564FB"/>
    <w:rsid w:val="00256907"/>
    <w:rsid w:val="00257387"/>
    <w:rsid w:val="00257615"/>
    <w:rsid w:val="00257660"/>
    <w:rsid w:val="00257A68"/>
    <w:rsid w:val="00257EB8"/>
    <w:rsid w:val="0026049B"/>
    <w:rsid w:val="00260EFA"/>
    <w:rsid w:val="00261377"/>
    <w:rsid w:val="00261EFF"/>
    <w:rsid w:val="00262160"/>
    <w:rsid w:val="00262814"/>
    <w:rsid w:val="002629E0"/>
    <w:rsid w:val="00262E2E"/>
    <w:rsid w:val="00263457"/>
    <w:rsid w:val="00263727"/>
    <w:rsid w:val="00263EF4"/>
    <w:rsid w:val="00264650"/>
    <w:rsid w:val="00264A64"/>
    <w:rsid w:val="00265312"/>
    <w:rsid w:val="00265FE9"/>
    <w:rsid w:val="00266D5F"/>
    <w:rsid w:val="00266F46"/>
    <w:rsid w:val="0026773E"/>
    <w:rsid w:val="00267F1F"/>
    <w:rsid w:val="0027062D"/>
    <w:rsid w:val="00271BEB"/>
    <w:rsid w:val="0027218C"/>
    <w:rsid w:val="002723FD"/>
    <w:rsid w:val="00272E01"/>
    <w:rsid w:val="00273015"/>
    <w:rsid w:val="0027463A"/>
    <w:rsid w:val="00274815"/>
    <w:rsid w:val="0027487A"/>
    <w:rsid w:val="00274D0D"/>
    <w:rsid w:val="00274D8B"/>
    <w:rsid w:val="00275318"/>
    <w:rsid w:val="00276041"/>
    <w:rsid w:val="002766B0"/>
    <w:rsid w:val="00277572"/>
    <w:rsid w:val="00277812"/>
    <w:rsid w:val="002802A1"/>
    <w:rsid w:val="002803B8"/>
    <w:rsid w:val="002808CA"/>
    <w:rsid w:val="00280926"/>
    <w:rsid w:val="00281269"/>
    <w:rsid w:val="00281922"/>
    <w:rsid w:val="00281B0A"/>
    <w:rsid w:val="00282CDE"/>
    <w:rsid w:val="00283073"/>
    <w:rsid w:val="0028348A"/>
    <w:rsid w:val="00283C7F"/>
    <w:rsid w:val="00284142"/>
    <w:rsid w:val="00284579"/>
    <w:rsid w:val="00285478"/>
    <w:rsid w:val="00285792"/>
    <w:rsid w:val="0028663C"/>
    <w:rsid w:val="00287C89"/>
    <w:rsid w:val="002905B5"/>
    <w:rsid w:val="002911D8"/>
    <w:rsid w:val="00292120"/>
    <w:rsid w:val="0029294F"/>
    <w:rsid w:val="00293203"/>
    <w:rsid w:val="0029322C"/>
    <w:rsid w:val="0029329A"/>
    <w:rsid w:val="00293A15"/>
    <w:rsid w:val="00293D58"/>
    <w:rsid w:val="00294048"/>
    <w:rsid w:val="00295693"/>
    <w:rsid w:val="002960C3"/>
    <w:rsid w:val="002969C0"/>
    <w:rsid w:val="0029707F"/>
    <w:rsid w:val="002972D4"/>
    <w:rsid w:val="002978B6"/>
    <w:rsid w:val="002979D2"/>
    <w:rsid w:val="002979E1"/>
    <w:rsid w:val="00297AEF"/>
    <w:rsid w:val="00297F02"/>
    <w:rsid w:val="002A06E1"/>
    <w:rsid w:val="002A0D05"/>
    <w:rsid w:val="002A21E8"/>
    <w:rsid w:val="002A2DC2"/>
    <w:rsid w:val="002A3220"/>
    <w:rsid w:val="002A3596"/>
    <w:rsid w:val="002A37BE"/>
    <w:rsid w:val="002A3AA9"/>
    <w:rsid w:val="002A570E"/>
    <w:rsid w:val="002A58F4"/>
    <w:rsid w:val="002A5AA2"/>
    <w:rsid w:val="002A5C85"/>
    <w:rsid w:val="002A5C87"/>
    <w:rsid w:val="002A5D50"/>
    <w:rsid w:val="002A5DE5"/>
    <w:rsid w:val="002A6503"/>
    <w:rsid w:val="002A659A"/>
    <w:rsid w:val="002A7542"/>
    <w:rsid w:val="002A7BE8"/>
    <w:rsid w:val="002B04C5"/>
    <w:rsid w:val="002B0687"/>
    <w:rsid w:val="002B09C6"/>
    <w:rsid w:val="002B0F52"/>
    <w:rsid w:val="002B1071"/>
    <w:rsid w:val="002B129B"/>
    <w:rsid w:val="002B1B49"/>
    <w:rsid w:val="002B1C33"/>
    <w:rsid w:val="002B29E2"/>
    <w:rsid w:val="002B2C11"/>
    <w:rsid w:val="002B3708"/>
    <w:rsid w:val="002B4D46"/>
    <w:rsid w:val="002B4FB2"/>
    <w:rsid w:val="002B5625"/>
    <w:rsid w:val="002B5F9C"/>
    <w:rsid w:val="002B6147"/>
    <w:rsid w:val="002B6282"/>
    <w:rsid w:val="002B6BB5"/>
    <w:rsid w:val="002B7E81"/>
    <w:rsid w:val="002C0170"/>
    <w:rsid w:val="002C0B1F"/>
    <w:rsid w:val="002C0E18"/>
    <w:rsid w:val="002C1F7B"/>
    <w:rsid w:val="002C2427"/>
    <w:rsid w:val="002C2773"/>
    <w:rsid w:val="002C2A4F"/>
    <w:rsid w:val="002C2A5F"/>
    <w:rsid w:val="002C3502"/>
    <w:rsid w:val="002C35B9"/>
    <w:rsid w:val="002C397B"/>
    <w:rsid w:val="002C3B01"/>
    <w:rsid w:val="002C3BA0"/>
    <w:rsid w:val="002C436C"/>
    <w:rsid w:val="002C47C4"/>
    <w:rsid w:val="002C5CD2"/>
    <w:rsid w:val="002C65DE"/>
    <w:rsid w:val="002C6E41"/>
    <w:rsid w:val="002C748E"/>
    <w:rsid w:val="002C7BFF"/>
    <w:rsid w:val="002C7D3C"/>
    <w:rsid w:val="002D04DB"/>
    <w:rsid w:val="002D0DDF"/>
    <w:rsid w:val="002D17A5"/>
    <w:rsid w:val="002D1AC7"/>
    <w:rsid w:val="002D2926"/>
    <w:rsid w:val="002D347E"/>
    <w:rsid w:val="002D37D6"/>
    <w:rsid w:val="002D3C72"/>
    <w:rsid w:val="002D3D17"/>
    <w:rsid w:val="002D3DB2"/>
    <w:rsid w:val="002D42A0"/>
    <w:rsid w:val="002D440D"/>
    <w:rsid w:val="002D4A4F"/>
    <w:rsid w:val="002D4C8C"/>
    <w:rsid w:val="002D4EF6"/>
    <w:rsid w:val="002D5367"/>
    <w:rsid w:val="002D545A"/>
    <w:rsid w:val="002D550B"/>
    <w:rsid w:val="002D59E5"/>
    <w:rsid w:val="002D5C23"/>
    <w:rsid w:val="002D5CBC"/>
    <w:rsid w:val="002D5DC3"/>
    <w:rsid w:val="002D6635"/>
    <w:rsid w:val="002D6B4D"/>
    <w:rsid w:val="002E0FD6"/>
    <w:rsid w:val="002E1388"/>
    <w:rsid w:val="002E13B3"/>
    <w:rsid w:val="002E16E6"/>
    <w:rsid w:val="002E1AD3"/>
    <w:rsid w:val="002E1B83"/>
    <w:rsid w:val="002E1C1F"/>
    <w:rsid w:val="002E2688"/>
    <w:rsid w:val="002E28A0"/>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736D"/>
    <w:rsid w:val="002E78AC"/>
    <w:rsid w:val="002F0875"/>
    <w:rsid w:val="002F0884"/>
    <w:rsid w:val="002F1A5B"/>
    <w:rsid w:val="002F1B87"/>
    <w:rsid w:val="002F2228"/>
    <w:rsid w:val="002F3470"/>
    <w:rsid w:val="002F3A0F"/>
    <w:rsid w:val="002F3F56"/>
    <w:rsid w:val="002F4CA2"/>
    <w:rsid w:val="002F51B3"/>
    <w:rsid w:val="002F527B"/>
    <w:rsid w:val="002F5306"/>
    <w:rsid w:val="002F5570"/>
    <w:rsid w:val="002F55A4"/>
    <w:rsid w:val="002F5792"/>
    <w:rsid w:val="002F5C9A"/>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22B8"/>
    <w:rsid w:val="003023C4"/>
    <w:rsid w:val="003023EB"/>
    <w:rsid w:val="003026B9"/>
    <w:rsid w:val="00302C73"/>
    <w:rsid w:val="003035B2"/>
    <w:rsid w:val="00303733"/>
    <w:rsid w:val="00303A2F"/>
    <w:rsid w:val="00303C94"/>
    <w:rsid w:val="00304BF7"/>
    <w:rsid w:val="00304CF9"/>
    <w:rsid w:val="00304F0A"/>
    <w:rsid w:val="00304FE8"/>
    <w:rsid w:val="0030527B"/>
    <w:rsid w:val="00305FA4"/>
    <w:rsid w:val="0030617A"/>
    <w:rsid w:val="00306989"/>
    <w:rsid w:val="00310015"/>
    <w:rsid w:val="00310992"/>
    <w:rsid w:val="00311387"/>
    <w:rsid w:val="003119DF"/>
    <w:rsid w:val="00311EEA"/>
    <w:rsid w:val="00312151"/>
    <w:rsid w:val="00312763"/>
    <w:rsid w:val="0031351E"/>
    <w:rsid w:val="00313537"/>
    <w:rsid w:val="003135CD"/>
    <w:rsid w:val="003138AC"/>
    <w:rsid w:val="00313C59"/>
    <w:rsid w:val="00314373"/>
    <w:rsid w:val="00314425"/>
    <w:rsid w:val="003146EE"/>
    <w:rsid w:val="003153EA"/>
    <w:rsid w:val="00315536"/>
    <w:rsid w:val="003160B4"/>
    <w:rsid w:val="0031641C"/>
    <w:rsid w:val="00316745"/>
    <w:rsid w:val="00316CCF"/>
    <w:rsid w:val="00316D1E"/>
    <w:rsid w:val="00317FE3"/>
    <w:rsid w:val="00320015"/>
    <w:rsid w:val="00320263"/>
    <w:rsid w:val="003209C7"/>
    <w:rsid w:val="00320A02"/>
    <w:rsid w:val="00320AB2"/>
    <w:rsid w:val="003219EA"/>
    <w:rsid w:val="003225D5"/>
    <w:rsid w:val="0032271E"/>
    <w:rsid w:val="003229A0"/>
    <w:rsid w:val="00322BC4"/>
    <w:rsid w:val="003232F1"/>
    <w:rsid w:val="0032378E"/>
    <w:rsid w:val="00323C12"/>
    <w:rsid w:val="00323C80"/>
    <w:rsid w:val="00323CB9"/>
    <w:rsid w:val="00323D04"/>
    <w:rsid w:val="003243CB"/>
    <w:rsid w:val="003245FB"/>
    <w:rsid w:val="003250E2"/>
    <w:rsid w:val="0032569E"/>
    <w:rsid w:val="00325BC7"/>
    <w:rsid w:val="00326522"/>
    <w:rsid w:val="003270BF"/>
    <w:rsid w:val="003277B3"/>
    <w:rsid w:val="00327A0C"/>
    <w:rsid w:val="003301A3"/>
    <w:rsid w:val="00330353"/>
    <w:rsid w:val="0033063D"/>
    <w:rsid w:val="00330D77"/>
    <w:rsid w:val="00331186"/>
    <w:rsid w:val="00331B79"/>
    <w:rsid w:val="00331DCA"/>
    <w:rsid w:val="00332129"/>
    <w:rsid w:val="00332736"/>
    <w:rsid w:val="0033322F"/>
    <w:rsid w:val="00334912"/>
    <w:rsid w:val="00335779"/>
    <w:rsid w:val="00336FF2"/>
    <w:rsid w:val="003376B5"/>
    <w:rsid w:val="003376DF"/>
    <w:rsid w:val="003402DF"/>
    <w:rsid w:val="00340A89"/>
    <w:rsid w:val="00340D16"/>
    <w:rsid w:val="00340D94"/>
    <w:rsid w:val="00340EB5"/>
    <w:rsid w:val="00341067"/>
    <w:rsid w:val="00341361"/>
    <w:rsid w:val="00342A29"/>
    <w:rsid w:val="00343D26"/>
    <w:rsid w:val="00343D77"/>
    <w:rsid w:val="00345308"/>
    <w:rsid w:val="003455FE"/>
    <w:rsid w:val="00345652"/>
    <w:rsid w:val="00345B4F"/>
    <w:rsid w:val="00346216"/>
    <w:rsid w:val="0034672E"/>
    <w:rsid w:val="00346BB9"/>
    <w:rsid w:val="00347577"/>
    <w:rsid w:val="0034782B"/>
    <w:rsid w:val="00347C46"/>
    <w:rsid w:val="00347FAD"/>
    <w:rsid w:val="00350DDB"/>
    <w:rsid w:val="00351A7F"/>
    <w:rsid w:val="003525C0"/>
    <w:rsid w:val="0035262D"/>
    <w:rsid w:val="00352CFB"/>
    <w:rsid w:val="00352F20"/>
    <w:rsid w:val="0035309E"/>
    <w:rsid w:val="003530B9"/>
    <w:rsid w:val="00353174"/>
    <w:rsid w:val="00353798"/>
    <w:rsid w:val="0035396F"/>
    <w:rsid w:val="003541D1"/>
    <w:rsid w:val="003548D7"/>
    <w:rsid w:val="003548F0"/>
    <w:rsid w:val="00354D94"/>
    <w:rsid w:val="003550C7"/>
    <w:rsid w:val="00355FEC"/>
    <w:rsid w:val="003566E9"/>
    <w:rsid w:val="00357214"/>
    <w:rsid w:val="0035791D"/>
    <w:rsid w:val="003607A0"/>
    <w:rsid w:val="00360CBD"/>
    <w:rsid w:val="00361072"/>
    <w:rsid w:val="00361851"/>
    <w:rsid w:val="00362461"/>
    <w:rsid w:val="003628AA"/>
    <w:rsid w:val="00362D37"/>
    <w:rsid w:val="00363DA3"/>
    <w:rsid w:val="0036400A"/>
    <w:rsid w:val="00364B18"/>
    <w:rsid w:val="00364D63"/>
    <w:rsid w:val="00365105"/>
    <w:rsid w:val="0036579C"/>
    <w:rsid w:val="003657E7"/>
    <w:rsid w:val="00365E78"/>
    <w:rsid w:val="00366857"/>
    <w:rsid w:val="00370449"/>
    <w:rsid w:val="003708DD"/>
    <w:rsid w:val="00370EE0"/>
    <w:rsid w:val="003713B0"/>
    <w:rsid w:val="003717F5"/>
    <w:rsid w:val="00371B3D"/>
    <w:rsid w:val="00372F44"/>
    <w:rsid w:val="00374783"/>
    <w:rsid w:val="003750B5"/>
    <w:rsid w:val="00375135"/>
    <w:rsid w:val="003763FF"/>
    <w:rsid w:val="00377224"/>
    <w:rsid w:val="00377360"/>
    <w:rsid w:val="0037737B"/>
    <w:rsid w:val="003777B8"/>
    <w:rsid w:val="00377A8B"/>
    <w:rsid w:val="00377BAD"/>
    <w:rsid w:val="0038196D"/>
    <w:rsid w:val="00381DCB"/>
    <w:rsid w:val="00381F87"/>
    <w:rsid w:val="003821D7"/>
    <w:rsid w:val="00382EFE"/>
    <w:rsid w:val="00383A59"/>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B0C"/>
    <w:rsid w:val="00393DD4"/>
    <w:rsid w:val="003946AC"/>
    <w:rsid w:val="00395338"/>
    <w:rsid w:val="00395600"/>
    <w:rsid w:val="00395B97"/>
    <w:rsid w:val="00397340"/>
    <w:rsid w:val="00397572"/>
    <w:rsid w:val="003A0717"/>
    <w:rsid w:val="003A074E"/>
    <w:rsid w:val="003A1CFF"/>
    <w:rsid w:val="003A2BB7"/>
    <w:rsid w:val="003A312D"/>
    <w:rsid w:val="003A37BF"/>
    <w:rsid w:val="003A4AB4"/>
    <w:rsid w:val="003A4C61"/>
    <w:rsid w:val="003A4D4A"/>
    <w:rsid w:val="003A4F09"/>
    <w:rsid w:val="003A546F"/>
    <w:rsid w:val="003A565B"/>
    <w:rsid w:val="003A5C29"/>
    <w:rsid w:val="003A5DEB"/>
    <w:rsid w:val="003A5F75"/>
    <w:rsid w:val="003A61D4"/>
    <w:rsid w:val="003A6240"/>
    <w:rsid w:val="003A63B8"/>
    <w:rsid w:val="003A648B"/>
    <w:rsid w:val="003A6592"/>
    <w:rsid w:val="003A6A14"/>
    <w:rsid w:val="003A6FDD"/>
    <w:rsid w:val="003A72E4"/>
    <w:rsid w:val="003A7535"/>
    <w:rsid w:val="003A7616"/>
    <w:rsid w:val="003A799B"/>
    <w:rsid w:val="003A7D18"/>
    <w:rsid w:val="003B00C2"/>
    <w:rsid w:val="003B07D1"/>
    <w:rsid w:val="003B0A3B"/>
    <w:rsid w:val="003B12DB"/>
    <w:rsid w:val="003B1AF6"/>
    <w:rsid w:val="003B1B75"/>
    <w:rsid w:val="003B1C89"/>
    <w:rsid w:val="003B2FBC"/>
    <w:rsid w:val="003B32CC"/>
    <w:rsid w:val="003B35CB"/>
    <w:rsid w:val="003B497D"/>
    <w:rsid w:val="003B4DA2"/>
    <w:rsid w:val="003B4DDF"/>
    <w:rsid w:val="003B4E68"/>
    <w:rsid w:val="003B4EE8"/>
    <w:rsid w:val="003B545C"/>
    <w:rsid w:val="003B57B7"/>
    <w:rsid w:val="003B5E19"/>
    <w:rsid w:val="003B64D8"/>
    <w:rsid w:val="003B6D36"/>
    <w:rsid w:val="003B78AC"/>
    <w:rsid w:val="003C01FD"/>
    <w:rsid w:val="003C08BD"/>
    <w:rsid w:val="003C1A62"/>
    <w:rsid w:val="003C1A7F"/>
    <w:rsid w:val="003C27F3"/>
    <w:rsid w:val="003C2F43"/>
    <w:rsid w:val="003C32FC"/>
    <w:rsid w:val="003C3FD4"/>
    <w:rsid w:val="003C457C"/>
    <w:rsid w:val="003C49A9"/>
    <w:rsid w:val="003C4EBE"/>
    <w:rsid w:val="003C558C"/>
    <w:rsid w:val="003C5A3A"/>
    <w:rsid w:val="003C66C3"/>
    <w:rsid w:val="003C6F87"/>
    <w:rsid w:val="003C7429"/>
    <w:rsid w:val="003C75BD"/>
    <w:rsid w:val="003C7E0E"/>
    <w:rsid w:val="003D0802"/>
    <w:rsid w:val="003D098A"/>
    <w:rsid w:val="003D0B7A"/>
    <w:rsid w:val="003D1303"/>
    <w:rsid w:val="003D17E4"/>
    <w:rsid w:val="003D1A6C"/>
    <w:rsid w:val="003D1AE5"/>
    <w:rsid w:val="003D1AEC"/>
    <w:rsid w:val="003D23D5"/>
    <w:rsid w:val="003D2533"/>
    <w:rsid w:val="003D2F1C"/>
    <w:rsid w:val="003D2FE6"/>
    <w:rsid w:val="003D3CD1"/>
    <w:rsid w:val="003D489A"/>
    <w:rsid w:val="003D4EA6"/>
    <w:rsid w:val="003D5944"/>
    <w:rsid w:val="003D5D05"/>
    <w:rsid w:val="003D5E0B"/>
    <w:rsid w:val="003D5ECA"/>
    <w:rsid w:val="003D5FB6"/>
    <w:rsid w:val="003D63D1"/>
    <w:rsid w:val="003D6CBF"/>
    <w:rsid w:val="003D72CC"/>
    <w:rsid w:val="003D7D05"/>
    <w:rsid w:val="003E03C3"/>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652F"/>
    <w:rsid w:val="003E7AFC"/>
    <w:rsid w:val="003E7C04"/>
    <w:rsid w:val="003E7C95"/>
    <w:rsid w:val="003E7FDA"/>
    <w:rsid w:val="003F01F7"/>
    <w:rsid w:val="003F0570"/>
    <w:rsid w:val="003F0D15"/>
    <w:rsid w:val="003F1283"/>
    <w:rsid w:val="003F13F6"/>
    <w:rsid w:val="003F174E"/>
    <w:rsid w:val="003F1A53"/>
    <w:rsid w:val="003F1F13"/>
    <w:rsid w:val="003F29E1"/>
    <w:rsid w:val="003F2DAF"/>
    <w:rsid w:val="003F2ED2"/>
    <w:rsid w:val="003F3772"/>
    <w:rsid w:val="003F3ED2"/>
    <w:rsid w:val="003F40B6"/>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8FD"/>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18DA"/>
    <w:rsid w:val="00413BE9"/>
    <w:rsid w:val="00413E03"/>
    <w:rsid w:val="00414E73"/>
    <w:rsid w:val="00415330"/>
    <w:rsid w:val="00415367"/>
    <w:rsid w:val="004161C2"/>
    <w:rsid w:val="004170A6"/>
    <w:rsid w:val="004176BC"/>
    <w:rsid w:val="004176EB"/>
    <w:rsid w:val="004177A1"/>
    <w:rsid w:val="00417872"/>
    <w:rsid w:val="00417CB0"/>
    <w:rsid w:val="00417F47"/>
    <w:rsid w:val="00417FB8"/>
    <w:rsid w:val="00420584"/>
    <w:rsid w:val="004207B4"/>
    <w:rsid w:val="00420A61"/>
    <w:rsid w:val="00421048"/>
    <w:rsid w:val="0042164F"/>
    <w:rsid w:val="00422A93"/>
    <w:rsid w:val="00422BB1"/>
    <w:rsid w:val="00423EA1"/>
    <w:rsid w:val="00424D21"/>
    <w:rsid w:val="00424F1F"/>
    <w:rsid w:val="00424F3C"/>
    <w:rsid w:val="00425333"/>
    <w:rsid w:val="00425C24"/>
    <w:rsid w:val="0042646A"/>
    <w:rsid w:val="00427238"/>
    <w:rsid w:val="004273BF"/>
    <w:rsid w:val="00427E91"/>
    <w:rsid w:val="004311FF"/>
    <w:rsid w:val="00431211"/>
    <w:rsid w:val="004314B6"/>
    <w:rsid w:val="00432447"/>
    <w:rsid w:val="00432D97"/>
    <w:rsid w:val="00432F21"/>
    <w:rsid w:val="00433964"/>
    <w:rsid w:val="004349D9"/>
    <w:rsid w:val="00434C7F"/>
    <w:rsid w:val="004353AE"/>
    <w:rsid w:val="0043544F"/>
    <w:rsid w:val="004362C0"/>
    <w:rsid w:val="00436425"/>
    <w:rsid w:val="004364E6"/>
    <w:rsid w:val="00436B27"/>
    <w:rsid w:val="00437069"/>
    <w:rsid w:val="0043712E"/>
    <w:rsid w:val="00437E12"/>
    <w:rsid w:val="004400BC"/>
    <w:rsid w:val="00440B81"/>
    <w:rsid w:val="00440F39"/>
    <w:rsid w:val="004412E8"/>
    <w:rsid w:val="00441947"/>
    <w:rsid w:val="0044296C"/>
    <w:rsid w:val="00443331"/>
    <w:rsid w:val="00443561"/>
    <w:rsid w:val="00443591"/>
    <w:rsid w:val="00444A0A"/>
    <w:rsid w:val="00444BA5"/>
    <w:rsid w:val="00444C04"/>
    <w:rsid w:val="0044501E"/>
    <w:rsid w:val="0044580B"/>
    <w:rsid w:val="00445B35"/>
    <w:rsid w:val="00445DFA"/>
    <w:rsid w:val="004462BD"/>
    <w:rsid w:val="004462FA"/>
    <w:rsid w:val="0044692E"/>
    <w:rsid w:val="0044732A"/>
    <w:rsid w:val="00450BC1"/>
    <w:rsid w:val="00451103"/>
    <w:rsid w:val="00451F2C"/>
    <w:rsid w:val="0045203F"/>
    <w:rsid w:val="004520DB"/>
    <w:rsid w:val="00452550"/>
    <w:rsid w:val="004525A5"/>
    <w:rsid w:val="004526B0"/>
    <w:rsid w:val="00453228"/>
    <w:rsid w:val="004534FB"/>
    <w:rsid w:val="00453DB2"/>
    <w:rsid w:val="00453E81"/>
    <w:rsid w:val="00453F45"/>
    <w:rsid w:val="00454471"/>
    <w:rsid w:val="00454829"/>
    <w:rsid w:val="00454D4D"/>
    <w:rsid w:val="00454F1D"/>
    <w:rsid w:val="00455817"/>
    <w:rsid w:val="00455982"/>
    <w:rsid w:val="00455AE4"/>
    <w:rsid w:val="00457034"/>
    <w:rsid w:val="00457BAA"/>
    <w:rsid w:val="00460981"/>
    <w:rsid w:val="004609DE"/>
    <w:rsid w:val="00461045"/>
    <w:rsid w:val="00461A3E"/>
    <w:rsid w:val="00461DC0"/>
    <w:rsid w:val="00462516"/>
    <w:rsid w:val="00462787"/>
    <w:rsid w:val="004628F0"/>
    <w:rsid w:val="00462AAF"/>
    <w:rsid w:val="00462D54"/>
    <w:rsid w:val="00462D63"/>
    <w:rsid w:val="004636BC"/>
    <w:rsid w:val="00463886"/>
    <w:rsid w:val="00464E03"/>
    <w:rsid w:val="00464F36"/>
    <w:rsid w:val="00464F3A"/>
    <w:rsid w:val="0046507A"/>
    <w:rsid w:val="0046568B"/>
    <w:rsid w:val="0046569B"/>
    <w:rsid w:val="00466121"/>
    <w:rsid w:val="00466912"/>
    <w:rsid w:val="004670C3"/>
    <w:rsid w:val="00467686"/>
    <w:rsid w:val="00467792"/>
    <w:rsid w:val="004679AB"/>
    <w:rsid w:val="00471665"/>
    <w:rsid w:val="0047195F"/>
    <w:rsid w:val="00471A9E"/>
    <w:rsid w:val="00471B86"/>
    <w:rsid w:val="00472227"/>
    <w:rsid w:val="004722EC"/>
    <w:rsid w:val="00472E9C"/>
    <w:rsid w:val="0047312A"/>
    <w:rsid w:val="004732E6"/>
    <w:rsid w:val="00473FF9"/>
    <w:rsid w:val="00474927"/>
    <w:rsid w:val="00474FBE"/>
    <w:rsid w:val="0047540F"/>
    <w:rsid w:val="00475438"/>
    <w:rsid w:val="00476F8F"/>
    <w:rsid w:val="004772FF"/>
    <w:rsid w:val="00477324"/>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DA8"/>
    <w:rsid w:val="00486EEE"/>
    <w:rsid w:val="0048735B"/>
    <w:rsid w:val="004875E6"/>
    <w:rsid w:val="00487AD4"/>
    <w:rsid w:val="00487BF3"/>
    <w:rsid w:val="00490275"/>
    <w:rsid w:val="00490628"/>
    <w:rsid w:val="0049071D"/>
    <w:rsid w:val="0049103F"/>
    <w:rsid w:val="00491532"/>
    <w:rsid w:val="00491F80"/>
    <w:rsid w:val="0049239D"/>
    <w:rsid w:val="004925C9"/>
    <w:rsid w:val="00492B52"/>
    <w:rsid w:val="00493577"/>
    <w:rsid w:val="00493767"/>
    <w:rsid w:val="00493EB8"/>
    <w:rsid w:val="004942A0"/>
    <w:rsid w:val="00494307"/>
    <w:rsid w:val="00494B3B"/>
    <w:rsid w:val="00495665"/>
    <w:rsid w:val="004963FE"/>
    <w:rsid w:val="00496996"/>
    <w:rsid w:val="00496DD8"/>
    <w:rsid w:val="00497AE7"/>
    <w:rsid w:val="004A020A"/>
    <w:rsid w:val="004A036F"/>
    <w:rsid w:val="004A04FE"/>
    <w:rsid w:val="004A0859"/>
    <w:rsid w:val="004A0C71"/>
    <w:rsid w:val="004A0CF6"/>
    <w:rsid w:val="004A15D4"/>
    <w:rsid w:val="004A18E6"/>
    <w:rsid w:val="004A18FA"/>
    <w:rsid w:val="004A1B4E"/>
    <w:rsid w:val="004A20DA"/>
    <w:rsid w:val="004A2509"/>
    <w:rsid w:val="004A294E"/>
    <w:rsid w:val="004A2E67"/>
    <w:rsid w:val="004A3371"/>
    <w:rsid w:val="004A3391"/>
    <w:rsid w:val="004A3C39"/>
    <w:rsid w:val="004A3FAE"/>
    <w:rsid w:val="004A4291"/>
    <w:rsid w:val="004A4728"/>
    <w:rsid w:val="004A4AC3"/>
    <w:rsid w:val="004A4D02"/>
    <w:rsid w:val="004A4F2D"/>
    <w:rsid w:val="004A5AFA"/>
    <w:rsid w:val="004A5B38"/>
    <w:rsid w:val="004B0AF1"/>
    <w:rsid w:val="004B17CE"/>
    <w:rsid w:val="004B1903"/>
    <w:rsid w:val="004B1A9C"/>
    <w:rsid w:val="004B1B15"/>
    <w:rsid w:val="004B1CB3"/>
    <w:rsid w:val="004B21DA"/>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0D0"/>
    <w:rsid w:val="004C2E64"/>
    <w:rsid w:val="004C33E8"/>
    <w:rsid w:val="004C366F"/>
    <w:rsid w:val="004C44DD"/>
    <w:rsid w:val="004C4A96"/>
    <w:rsid w:val="004C4E5F"/>
    <w:rsid w:val="004C5875"/>
    <w:rsid w:val="004C5F28"/>
    <w:rsid w:val="004C66F8"/>
    <w:rsid w:val="004C6736"/>
    <w:rsid w:val="004C6997"/>
    <w:rsid w:val="004C6CDB"/>
    <w:rsid w:val="004C723F"/>
    <w:rsid w:val="004C7C36"/>
    <w:rsid w:val="004C7D16"/>
    <w:rsid w:val="004D0132"/>
    <w:rsid w:val="004D080F"/>
    <w:rsid w:val="004D138E"/>
    <w:rsid w:val="004D185E"/>
    <w:rsid w:val="004D2556"/>
    <w:rsid w:val="004D29F9"/>
    <w:rsid w:val="004D3753"/>
    <w:rsid w:val="004D4B61"/>
    <w:rsid w:val="004D4CE4"/>
    <w:rsid w:val="004D606D"/>
    <w:rsid w:val="004D67CB"/>
    <w:rsid w:val="004D6B20"/>
    <w:rsid w:val="004D6C2F"/>
    <w:rsid w:val="004D71FE"/>
    <w:rsid w:val="004D72CE"/>
    <w:rsid w:val="004D7964"/>
    <w:rsid w:val="004D7A80"/>
    <w:rsid w:val="004D7CA3"/>
    <w:rsid w:val="004E0388"/>
    <w:rsid w:val="004E04C7"/>
    <w:rsid w:val="004E0894"/>
    <w:rsid w:val="004E135A"/>
    <w:rsid w:val="004E1C50"/>
    <w:rsid w:val="004E20EE"/>
    <w:rsid w:val="004E23BB"/>
    <w:rsid w:val="004E251F"/>
    <w:rsid w:val="004E2B23"/>
    <w:rsid w:val="004E2FB9"/>
    <w:rsid w:val="004E3390"/>
    <w:rsid w:val="004E37C8"/>
    <w:rsid w:val="004E416F"/>
    <w:rsid w:val="004E424D"/>
    <w:rsid w:val="004E5F45"/>
    <w:rsid w:val="004E64DC"/>
    <w:rsid w:val="004E674C"/>
    <w:rsid w:val="004E6F86"/>
    <w:rsid w:val="004E706A"/>
    <w:rsid w:val="004F0671"/>
    <w:rsid w:val="004F0C01"/>
    <w:rsid w:val="004F126D"/>
    <w:rsid w:val="004F1E92"/>
    <w:rsid w:val="004F234E"/>
    <w:rsid w:val="004F24B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468"/>
    <w:rsid w:val="004F7D65"/>
    <w:rsid w:val="004F7D7B"/>
    <w:rsid w:val="00501519"/>
    <w:rsid w:val="00501659"/>
    <w:rsid w:val="00501733"/>
    <w:rsid w:val="00501B75"/>
    <w:rsid w:val="00501C39"/>
    <w:rsid w:val="00502203"/>
    <w:rsid w:val="005026D4"/>
    <w:rsid w:val="005027B8"/>
    <w:rsid w:val="00503286"/>
    <w:rsid w:val="00503C6D"/>
    <w:rsid w:val="00503F42"/>
    <w:rsid w:val="0050449C"/>
    <w:rsid w:val="00504D6F"/>
    <w:rsid w:val="00505378"/>
    <w:rsid w:val="00505A66"/>
    <w:rsid w:val="00505F9F"/>
    <w:rsid w:val="0050633C"/>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64CC"/>
    <w:rsid w:val="0051769B"/>
    <w:rsid w:val="00517D26"/>
    <w:rsid w:val="0052052F"/>
    <w:rsid w:val="00520571"/>
    <w:rsid w:val="005212B6"/>
    <w:rsid w:val="00522C8A"/>
    <w:rsid w:val="00523AF8"/>
    <w:rsid w:val="00523F57"/>
    <w:rsid w:val="00523F8F"/>
    <w:rsid w:val="005248F8"/>
    <w:rsid w:val="00524E1E"/>
    <w:rsid w:val="00525535"/>
    <w:rsid w:val="0052565F"/>
    <w:rsid w:val="00525D92"/>
    <w:rsid w:val="0052654A"/>
    <w:rsid w:val="00526E9C"/>
    <w:rsid w:val="005278F8"/>
    <w:rsid w:val="005300ED"/>
    <w:rsid w:val="005306B9"/>
    <w:rsid w:val="005314D8"/>
    <w:rsid w:val="00531706"/>
    <w:rsid w:val="00531F66"/>
    <w:rsid w:val="00532121"/>
    <w:rsid w:val="00532429"/>
    <w:rsid w:val="00532850"/>
    <w:rsid w:val="005328A9"/>
    <w:rsid w:val="00532C7A"/>
    <w:rsid w:val="00532E23"/>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B60"/>
    <w:rsid w:val="00540D9E"/>
    <w:rsid w:val="0054171A"/>
    <w:rsid w:val="005420CF"/>
    <w:rsid w:val="00542C2A"/>
    <w:rsid w:val="0054337D"/>
    <w:rsid w:val="005438E3"/>
    <w:rsid w:val="00543CAC"/>
    <w:rsid w:val="005440E4"/>
    <w:rsid w:val="00544497"/>
    <w:rsid w:val="005448FE"/>
    <w:rsid w:val="00545BEC"/>
    <w:rsid w:val="005468A5"/>
    <w:rsid w:val="00546A1D"/>
    <w:rsid w:val="00546C8E"/>
    <w:rsid w:val="00546CB9"/>
    <w:rsid w:val="00546E83"/>
    <w:rsid w:val="005471C3"/>
    <w:rsid w:val="00547725"/>
    <w:rsid w:val="00550292"/>
    <w:rsid w:val="005506E5"/>
    <w:rsid w:val="00551309"/>
    <w:rsid w:val="00551D80"/>
    <w:rsid w:val="00552426"/>
    <w:rsid w:val="00552604"/>
    <w:rsid w:val="00552F1A"/>
    <w:rsid w:val="0055363B"/>
    <w:rsid w:val="00553693"/>
    <w:rsid w:val="005536D5"/>
    <w:rsid w:val="00553934"/>
    <w:rsid w:val="00553B71"/>
    <w:rsid w:val="00553D3C"/>
    <w:rsid w:val="00554999"/>
    <w:rsid w:val="00554C4D"/>
    <w:rsid w:val="00555241"/>
    <w:rsid w:val="00555C08"/>
    <w:rsid w:val="0055622C"/>
    <w:rsid w:val="005564BE"/>
    <w:rsid w:val="00556A43"/>
    <w:rsid w:val="00556A63"/>
    <w:rsid w:val="0055727C"/>
    <w:rsid w:val="0056087F"/>
    <w:rsid w:val="00560D8A"/>
    <w:rsid w:val="0056121A"/>
    <w:rsid w:val="00562195"/>
    <w:rsid w:val="0056261D"/>
    <w:rsid w:val="005627E1"/>
    <w:rsid w:val="005627E6"/>
    <w:rsid w:val="00562918"/>
    <w:rsid w:val="00563269"/>
    <w:rsid w:val="00564169"/>
    <w:rsid w:val="00564643"/>
    <w:rsid w:val="00564772"/>
    <w:rsid w:val="005654CF"/>
    <w:rsid w:val="00566518"/>
    <w:rsid w:val="005669DA"/>
    <w:rsid w:val="00566B0A"/>
    <w:rsid w:val="00567613"/>
    <w:rsid w:val="00567D48"/>
    <w:rsid w:val="00570C88"/>
    <w:rsid w:val="00571206"/>
    <w:rsid w:val="00571640"/>
    <w:rsid w:val="00571678"/>
    <w:rsid w:val="00571902"/>
    <w:rsid w:val="0057194C"/>
    <w:rsid w:val="00571D62"/>
    <w:rsid w:val="005720AF"/>
    <w:rsid w:val="00572283"/>
    <w:rsid w:val="00572F6B"/>
    <w:rsid w:val="00573604"/>
    <w:rsid w:val="00573DE2"/>
    <w:rsid w:val="00573F29"/>
    <w:rsid w:val="00574949"/>
    <w:rsid w:val="00574AD1"/>
    <w:rsid w:val="0057501B"/>
    <w:rsid w:val="00575F52"/>
    <w:rsid w:val="005762C9"/>
    <w:rsid w:val="0057666F"/>
    <w:rsid w:val="005767F1"/>
    <w:rsid w:val="00576A92"/>
    <w:rsid w:val="00577417"/>
    <w:rsid w:val="00577653"/>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9C4"/>
    <w:rsid w:val="00582D45"/>
    <w:rsid w:val="00582E8D"/>
    <w:rsid w:val="00582FA1"/>
    <w:rsid w:val="00582FFE"/>
    <w:rsid w:val="005843DF"/>
    <w:rsid w:val="0058513F"/>
    <w:rsid w:val="005860BC"/>
    <w:rsid w:val="00587129"/>
    <w:rsid w:val="0058724D"/>
    <w:rsid w:val="0058725A"/>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CE"/>
    <w:rsid w:val="005A57D4"/>
    <w:rsid w:val="005A5C31"/>
    <w:rsid w:val="005A5DB4"/>
    <w:rsid w:val="005A600A"/>
    <w:rsid w:val="005A74D9"/>
    <w:rsid w:val="005A7E88"/>
    <w:rsid w:val="005A7F92"/>
    <w:rsid w:val="005B01F4"/>
    <w:rsid w:val="005B05BE"/>
    <w:rsid w:val="005B0692"/>
    <w:rsid w:val="005B07C7"/>
    <w:rsid w:val="005B14C2"/>
    <w:rsid w:val="005B1B4F"/>
    <w:rsid w:val="005B2564"/>
    <w:rsid w:val="005B2E53"/>
    <w:rsid w:val="005B2F26"/>
    <w:rsid w:val="005B3076"/>
    <w:rsid w:val="005B334E"/>
    <w:rsid w:val="005B389B"/>
    <w:rsid w:val="005B4224"/>
    <w:rsid w:val="005B426C"/>
    <w:rsid w:val="005B4B88"/>
    <w:rsid w:val="005B4C25"/>
    <w:rsid w:val="005B52D8"/>
    <w:rsid w:val="005B57E9"/>
    <w:rsid w:val="005B583D"/>
    <w:rsid w:val="005B5DAD"/>
    <w:rsid w:val="005B6035"/>
    <w:rsid w:val="005B659A"/>
    <w:rsid w:val="005B65CA"/>
    <w:rsid w:val="005B79C6"/>
    <w:rsid w:val="005B7E79"/>
    <w:rsid w:val="005C04C0"/>
    <w:rsid w:val="005C0912"/>
    <w:rsid w:val="005C1912"/>
    <w:rsid w:val="005C1B46"/>
    <w:rsid w:val="005C1F7E"/>
    <w:rsid w:val="005C2057"/>
    <w:rsid w:val="005C20A0"/>
    <w:rsid w:val="005C2EF2"/>
    <w:rsid w:val="005C3234"/>
    <w:rsid w:val="005C34D5"/>
    <w:rsid w:val="005C3AE2"/>
    <w:rsid w:val="005C5258"/>
    <w:rsid w:val="005C57F7"/>
    <w:rsid w:val="005C64B4"/>
    <w:rsid w:val="005C694E"/>
    <w:rsid w:val="005C6E89"/>
    <w:rsid w:val="005C76FD"/>
    <w:rsid w:val="005C7A6D"/>
    <w:rsid w:val="005C7DC3"/>
    <w:rsid w:val="005D09FF"/>
    <w:rsid w:val="005D0DAF"/>
    <w:rsid w:val="005D0E2B"/>
    <w:rsid w:val="005D14A4"/>
    <w:rsid w:val="005D1D83"/>
    <w:rsid w:val="005D2E2B"/>
    <w:rsid w:val="005D3D10"/>
    <w:rsid w:val="005D63D9"/>
    <w:rsid w:val="005D6E2B"/>
    <w:rsid w:val="005D71BB"/>
    <w:rsid w:val="005D7D0E"/>
    <w:rsid w:val="005E07F3"/>
    <w:rsid w:val="005E0823"/>
    <w:rsid w:val="005E0D53"/>
    <w:rsid w:val="005E1008"/>
    <w:rsid w:val="005E10B7"/>
    <w:rsid w:val="005E11E2"/>
    <w:rsid w:val="005E170E"/>
    <w:rsid w:val="005E1717"/>
    <w:rsid w:val="005E1DDB"/>
    <w:rsid w:val="005E1E55"/>
    <w:rsid w:val="005E1F3B"/>
    <w:rsid w:val="005E1F3F"/>
    <w:rsid w:val="005E250E"/>
    <w:rsid w:val="005E2961"/>
    <w:rsid w:val="005E2FF7"/>
    <w:rsid w:val="005E3769"/>
    <w:rsid w:val="005E3B68"/>
    <w:rsid w:val="005E4148"/>
    <w:rsid w:val="005E4455"/>
    <w:rsid w:val="005E4674"/>
    <w:rsid w:val="005E4AF5"/>
    <w:rsid w:val="005E4F30"/>
    <w:rsid w:val="005E511D"/>
    <w:rsid w:val="005E56C4"/>
    <w:rsid w:val="005E5BEB"/>
    <w:rsid w:val="005E6369"/>
    <w:rsid w:val="005E652A"/>
    <w:rsid w:val="005E68B2"/>
    <w:rsid w:val="005E6C14"/>
    <w:rsid w:val="005E6F87"/>
    <w:rsid w:val="005E7038"/>
    <w:rsid w:val="005E79FE"/>
    <w:rsid w:val="005F043C"/>
    <w:rsid w:val="005F0593"/>
    <w:rsid w:val="005F1BE8"/>
    <w:rsid w:val="005F1C1F"/>
    <w:rsid w:val="005F20C7"/>
    <w:rsid w:val="005F267F"/>
    <w:rsid w:val="005F2ABB"/>
    <w:rsid w:val="005F3375"/>
    <w:rsid w:val="005F354A"/>
    <w:rsid w:val="005F405A"/>
    <w:rsid w:val="005F570C"/>
    <w:rsid w:val="005F74BD"/>
    <w:rsid w:val="005F7D2F"/>
    <w:rsid w:val="006003A9"/>
    <w:rsid w:val="00600E8E"/>
    <w:rsid w:val="006018CA"/>
    <w:rsid w:val="006019E6"/>
    <w:rsid w:val="00601AA5"/>
    <w:rsid w:val="006021EE"/>
    <w:rsid w:val="0060270D"/>
    <w:rsid w:val="00602A5A"/>
    <w:rsid w:val="006034A7"/>
    <w:rsid w:val="006037CC"/>
    <w:rsid w:val="00603A6B"/>
    <w:rsid w:val="006040F2"/>
    <w:rsid w:val="0060449A"/>
    <w:rsid w:val="00604805"/>
    <w:rsid w:val="00604C62"/>
    <w:rsid w:val="0060529E"/>
    <w:rsid w:val="00605384"/>
    <w:rsid w:val="00605829"/>
    <w:rsid w:val="00606CD7"/>
    <w:rsid w:val="00606FBC"/>
    <w:rsid w:val="006072E8"/>
    <w:rsid w:val="00607C2D"/>
    <w:rsid w:val="00607E71"/>
    <w:rsid w:val="00610178"/>
    <w:rsid w:val="006103A4"/>
    <w:rsid w:val="00610837"/>
    <w:rsid w:val="00610922"/>
    <w:rsid w:val="00610D06"/>
    <w:rsid w:val="00610EC4"/>
    <w:rsid w:val="00611250"/>
    <w:rsid w:val="00611D8D"/>
    <w:rsid w:val="006122E2"/>
    <w:rsid w:val="006125AA"/>
    <w:rsid w:val="00612638"/>
    <w:rsid w:val="0061367E"/>
    <w:rsid w:val="00613E9D"/>
    <w:rsid w:val="0061423C"/>
    <w:rsid w:val="0061427C"/>
    <w:rsid w:val="0061444C"/>
    <w:rsid w:val="006150FD"/>
    <w:rsid w:val="00615427"/>
    <w:rsid w:val="00615DED"/>
    <w:rsid w:val="00615FAB"/>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210D"/>
    <w:rsid w:val="006337EA"/>
    <w:rsid w:val="00634871"/>
    <w:rsid w:val="006348ED"/>
    <w:rsid w:val="00634DF1"/>
    <w:rsid w:val="006355E6"/>
    <w:rsid w:val="00635EFB"/>
    <w:rsid w:val="00636A18"/>
    <w:rsid w:val="00636C52"/>
    <w:rsid w:val="0063771E"/>
    <w:rsid w:val="006401D2"/>
    <w:rsid w:val="0064038A"/>
    <w:rsid w:val="006406A6"/>
    <w:rsid w:val="006409F7"/>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3DD"/>
    <w:rsid w:val="006446AE"/>
    <w:rsid w:val="00644A9F"/>
    <w:rsid w:val="00646BA0"/>
    <w:rsid w:val="00646F54"/>
    <w:rsid w:val="0065002D"/>
    <w:rsid w:val="00650254"/>
    <w:rsid w:val="006502BB"/>
    <w:rsid w:val="006515EF"/>
    <w:rsid w:val="0065219E"/>
    <w:rsid w:val="00652202"/>
    <w:rsid w:val="0065234B"/>
    <w:rsid w:val="006530E2"/>
    <w:rsid w:val="006535DE"/>
    <w:rsid w:val="006538F2"/>
    <w:rsid w:val="0065453F"/>
    <w:rsid w:val="00654758"/>
    <w:rsid w:val="006563FC"/>
    <w:rsid w:val="00656EAE"/>
    <w:rsid w:val="00657344"/>
    <w:rsid w:val="00657AE2"/>
    <w:rsid w:val="006602CF"/>
    <w:rsid w:val="00660FB0"/>
    <w:rsid w:val="00661356"/>
    <w:rsid w:val="00662399"/>
    <w:rsid w:val="006628D0"/>
    <w:rsid w:val="00663E53"/>
    <w:rsid w:val="00664A30"/>
    <w:rsid w:val="00664B40"/>
    <w:rsid w:val="006652C0"/>
    <w:rsid w:val="006652FD"/>
    <w:rsid w:val="006653DF"/>
    <w:rsid w:val="00665679"/>
    <w:rsid w:val="0066568C"/>
    <w:rsid w:val="0066590A"/>
    <w:rsid w:val="00665DB7"/>
    <w:rsid w:val="00666038"/>
    <w:rsid w:val="00666370"/>
    <w:rsid w:val="0066646F"/>
    <w:rsid w:val="00666775"/>
    <w:rsid w:val="00666A5B"/>
    <w:rsid w:val="0066768F"/>
    <w:rsid w:val="006701F6"/>
    <w:rsid w:val="00670532"/>
    <w:rsid w:val="00670EFB"/>
    <w:rsid w:val="00671380"/>
    <w:rsid w:val="006713F9"/>
    <w:rsid w:val="006715DC"/>
    <w:rsid w:val="00672F3E"/>
    <w:rsid w:val="00673BF2"/>
    <w:rsid w:val="00673C58"/>
    <w:rsid w:val="0067494B"/>
    <w:rsid w:val="00674DB0"/>
    <w:rsid w:val="00675296"/>
    <w:rsid w:val="006761BE"/>
    <w:rsid w:val="006766B8"/>
    <w:rsid w:val="00677143"/>
    <w:rsid w:val="006807E1"/>
    <w:rsid w:val="00680DE4"/>
    <w:rsid w:val="0068116A"/>
    <w:rsid w:val="00681663"/>
    <w:rsid w:val="006823D9"/>
    <w:rsid w:val="00682434"/>
    <w:rsid w:val="00683367"/>
    <w:rsid w:val="00683B8F"/>
    <w:rsid w:val="006841B1"/>
    <w:rsid w:val="006841F4"/>
    <w:rsid w:val="0068436A"/>
    <w:rsid w:val="00685040"/>
    <w:rsid w:val="0068523F"/>
    <w:rsid w:val="006855A0"/>
    <w:rsid w:val="006861C4"/>
    <w:rsid w:val="00686C23"/>
    <w:rsid w:val="00687033"/>
    <w:rsid w:val="0068762F"/>
    <w:rsid w:val="00687774"/>
    <w:rsid w:val="0068799C"/>
    <w:rsid w:val="00687D28"/>
    <w:rsid w:val="00687EC6"/>
    <w:rsid w:val="00690AC8"/>
    <w:rsid w:val="00690CCF"/>
    <w:rsid w:val="00690E24"/>
    <w:rsid w:val="00691626"/>
    <w:rsid w:val="006936CD"/>
    <w:rsid w:val="0069391C"/>
    <w:rsid w:val="00693EA8"/>
    <w:rsid w:val="00694430"/>
    <w:rsid w:val="00694731"/>
    <w:rsid w:val="0069493D"/>
    <w:rsid w:val="00694C13"/>
    <w:rsid w:val="00694FF9"/>
    <w:rsid w:val="0069620B"/>
    <w:rsid w:val="00696363"/>
    <w:rsid w:val="0069659F"/>
    <w:rsid w:val="00696801"/>
    <w:rsid w:val="0069758F"/>
    <w:rsid w:val="006978DB"/>
    <w:rsid w:val="00697989"/>
    <w:rsid w:val="006979EF"/>
    <w:rsid w:val="006A049D"/>
    <w:rsid w:val="006A0623"/>
    <w:rsid w:val="006A12AE"/>
    <w:rsid w:val="006A12E9"/>
    <w:rsid w:val="006A1BC6"/>
    <w:rsid w:val="006A272F"/>
    <w:rsid w:val="006A2842"/>
    <w:rsid w:val="006A2B81"/>
    <w:rsid w:val="006A393F"/>
    <w:rsid w:val="006A4443"/>
    <w:rsid w:val="006A54EF"/>
    <w:rsid w:val="006A58A2"/>
    <w:rsid w:val="006A5A39"/>
    <w:rsid w:val="006A5C7F"/>
    <w:rsid w:val="006A5F5C"/>
    <w:rsid w:val="006A6263"/>
    <w:rsid w:val="006A6484"/>
    <w:rsid w:val="006A652E"/>
    <w:rsid w:val="006A67D8"/>
    <w:rsid w:val="006A7EA3"/>
    <w:rsid w:val="006B022C"/>
    <w:rsid w:val="006B07D8"/>
    <w:rsid w:val="006B0CEB"/>
    <w:rsid w:val="006B13C1"/>
    <w:rsid w:val="006B1707"/>
    <w:rsid w:val="006B1B45"/>
    <w:rsid w:val="006B2194"/>
    <w:rsid w:val="006B2489"/>
    <w:rsid w:val="006B3215"/>
    <w:rsid w:val="006B3348"/>
    <w:rsid w:val="006B3448"/>
    <w:rsid w:val="006B4346"/>
    <w:rsid w:val="006B4F5C"/>
    <w:rsid w:val="006B5062"/>
    <w:rsid w:val="006B50A3"/>
    <w:rsid w:val="006B5725"/>
    <w:rsid w:val="006B6BDE"/>
    <w:rsid w:val="006B6CBE"/>
    <w:rsid w:val="006B71E4"/>
    <w:rsid w:val="006B721D"/>
    <w:rsid w:val="006B7256"/>
    <w:rsid w:val="006C00B5"/>
    <w:rsid w:val="006C04B0"/>
    <w:rsid w:val="006C062E"/>
    <w:rsid w:val="006C1049"/>
    <w:rsid w:val="006C1170"/>
    <w:rsid w:val="006C17D4"/>
    <w:rsid w:val="006C1D88"/>
    <w:rsid w:val="006C2506"/>
    <w:rsid w:val="006C2793"/>
    <w:rsid w:val="006C2952"/>
    <w:rsid w:val="006C3343"/>
    <w:rsid w:val="006C348B"/>
    <w:rsid w:val="006C34C1"/>
    <w:rsid w:val="006C374C"/>
    <w:rsid w:val="006C441B"/>
    <w:rsid w:val="006C4B43"/>
    <w:rsid w:val="006C4E73"/>
    <w:rsid w:val="006C4EB7"/>
    <w:rsid w:val="006C5014"/>
    <w:rsid w:val="006C565B"/>
    <w:rsid w:val="006C5D35"/>
    <w:rsid w:val="006C6470"/>
    <w:rsid w:val="006C75FA"/>
    <w:rsid w:val="006C7FAC"/>
    <w:rsid w:val="006D002D"/>
    <w:rsid w:val="006D0421"/>
    <w:rsid w:val="006D047B"/>
    <w:rsid w:val="006D0655"/>
    <w:rsid w:val="006D1D18"/>
    <w:rsid w:val="006D2594"/>
    <w:rsid w:val="006D2BD4"/>
    <w:rsid w:val="006D3530"/>
    <w:rsid w:val="006D3BF4"/>
    <w:rsid w:val="006D407D"/>
    <w:rsid w:val="006D4721"/>
    <w:rsid w:val="006D477F"/>
    <w:rsid w:val="006D47BC"/>
    <w:rsid w:val="006D4ACA"/>
    <w:rsid w:val="006D4F07"/>
    <w:rsid w:val="006D5843"/>
    <w:rsid w:val="006D6871"/>
    <w:rsid w:val="006D6CA2"/>
    <w:rsid w:val="006D71D3"/>
    <w:rsid w:val="006E02F2"/>
    <w:rsid w:val="006E1FB4"/>
    <w:rsid w:val="006E23E0"/>
    <w:rsid w:val="006E24D7"/>
    <w:rsid w:val="006E3415"/>
    <w:rsid w:val="006E3962"/>
    <w:rsid w:val="006E3A8F"/>
    <w:rsid w:val="006E464C"/>
    <w:rsid w:val="006E4970"/>
    <w:rsid w:val="006E4A6B"/>
    <w:rsid w:val="006E4CCB"/>
    <w:rsid w:val="006E4CCC"/>
    <w:rsid w:val="006E516B"/>
    <w:rsid w:val="006E64FC"/>
    <w:rsid w:val="006E6536"/>
    <w:rsid w:val="006E6A28"/>
    <w:rsid w:val="006E78A4"/>
    <w:rsid w:val="006E7A04"/>
    <w:rsid w:val="006F065D"/>
    <w:rsid w:val="006F0C10"/>
    <w:rsid w:val="006F14B1"/>
    <w:rsid w:val="006F290B"/>
    <w:rsid w:val="006F29B4"/>
    <w:rsid w:val="006F36F0"/>
    <w:rsid w:val="006F3C48"/>
    <w:rsid w:val="006F533D"/>
    <w:rsid w:val="006F6D3E"/>
    <w:rsid w:val="006F6DDA"/>
    <w:rsid w:val="006F7041"/>
    <w:rsid w:val="006F726F"/>
    <w:rsid w:val="006F7BBD"/>
    <w:rsid w:val="0070068B"/>
    <w:rsid w:val="00700990"/>
    <w:rsid w:val="00700CF4"/>
    <w:rsid w:val="007016BE"/>
    <w:rsid w:val="007025A3"/>
    <w:rsid w:val="00702A5C"/>
    <w:rsid w:val="007030B9"/>
    <w:rsid w:val="00703181"/>
    <w:rsid w:val="00703505"/>
    <w:rsid w:val="00703B08"/>
    <w:rsid w:val="007042E7"/>
    <w:rsid w:val="007044EC"/>
    <w:rsid w:val="00704571"/>
    <w:rsid w:val="007048F0"/>
    <w:rsid w:val="00705362"/>
    <w:rsid w:val="0070604E"/>
    <w:rsid w:val="00706DF0"/>
    <w:rsid w:val="0070718C"/>
    <w:rsid w:val="00710339"/>
    <w:rsid w:val="00710630"/>
    <w:rsid w:val="00711526"/>
    <w:rsid w:val="0071165C"/>
    <w:rsid w:val="00711CAD"/>
    <w:rsid w:val="0071201B"/>
    <w:rsid w:val="007128F7"/>
    <w:rsid w:val="0071320C"/>
    <w:rsid w:val="0071356F"/>
    <w:rsid w:val="00714166"/>
    <w:rsid w:val="007153F0"/>
    <w:rsid w:val="007154CF"/>
    <w:rsid w:val="007159A1"/>
    <w:rsid w:val="007167FF"/>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1D3"/>
    <w:rsid w:val="007224ED"/>
    <w:rsid w:val="00722FD8"/>
    <w:rsid w:val="007232D3"/>
    <w:rsid w:val="0072366C"/>
    <w:rsid w:val="00724291"/>
    <w:rsid w:val="00724D0C"/>
    <w:rsid w:val="0072590A"/>
    <w:rsid w:val="00725996"/>
    <w:rsid w:val="00726886"/>
    <w:rsid w:val="0072724E"/>
    <w:rsid w:val="00727381"/>
    <w:rsid w:val="00727924"/>
    <w:rsid w:val="00730896"/>
    <w:rsid w:val="007314BA"/>
    <w:rsid w:val="007319B3"/>
    <w:rsid w:val="00732A2D"/>
    <w:rsid w:val="00732D06"/>
    <w:rsid w:val="00733E70"/>
    <w:rsid w:val="00733FFC"/>
    <w:rsid w:val="0073438B"/>
    <w:rsid w:val="007343F1"/>
    <w:rsid w:val="00734428"/>
    <w:rsid w:val="007347C7"/>
    <w:rsid w:val="0073490E"/>
    <w:rsid w:val="0073536C"/>
    <w:rsid w:val="007359A2"/>
    <w:rsid w:val="00735D79"/>
    <w:rsid w:val="007360A9"/>
    <w:rsid w:val="0073699B"/>
    <w:rsid w:val="0073710F"/>
    <w:rsid w:val="00737362"/>
    <w:rsid w:val="00737753"/>
    <w:rsid w:val="007409AA"/>
    <w:rsid w:val="00740E1B"/>
    <w:rsid w:val="00740EE3"/>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4A0F"/>
    <w:rsid w:val="007550FE"/>
    <w:rsid w:val="00755EE8"/>
    <w:rsid w:val="0075603B"/>
    <w:rsid w:val="00756609"/>
    <w:rsid w:val="007566A7"/>
    <w:rsid w:val="007567D2"/>
    <w:rsid w:val="00756E30"/>
    <w:rsid w:val="0075707E"/>
    <w:rsid w:val="00757941"/>
    <w:rsid w:val="007615C0"/>
    <w:rsid w:val="00762FCA"/>
    <w:rsid w:val="007639A5"/>
    <w:rsid w:val="00763DE8"/>
    <w:rsid w:val="00763EE9"/>
    <w:rsid w:val="00764375"/>
    <w:rsid w:val="007653BF"/>
    <w:rsid w:val="00765630"/>
    <w:rsid w:val="00765919"/>
    <w:rsid w:val="007661BB"/>
    <w:rsid w:val="0076653E"/>
    <w:rsid w:val="00766647"/>
    <w:rsid w:val="0076786D"/>
    <w:rsid w:val="007700F8"/>
    <w:rsid w:val="0077094D"/>
    <w:rsid w:val="00770E63"/>
    <w:rsid w:val="00772964"/>
    <w:rsid w:val="00774469"/>
    <w:rsid w:val="00774752"/>
    <w:rsid w:val="00774913"/>
    <w:rsid w:val="00775291"/>
    <w:rsid w:val="0077594E"/>
    <w:rsid w:val="00775FB9"/>
    <w:rsid w:val="00776268"/>
    <w:rsid w:val="00777495"/>
    <w:rsid w:val="0078016F"/>
    <w:rsid w:val="007804B1"/>
    <w:rsid w:val="007805EC"/>
    <w:rsid w:val="007807E9"/>
    <w:rsid w:val="007808A4"/>
    <w:rsid w:val="00780928"/>
    <w:rsid w:val="00780B0E"/>
    <w:rsid w:val="00781689"/>
    <w:rsid w:val="00782394"/>
    <w:rsid w:val="00782848"/>
    <w:rsid w:val="007829B1"/>
    <w:rsid w:val="00782C5A"/>
    <w:rsid w:val="007834C1"/>
    <w:rsid w:val="00783873"/>
    <w:rsid w:val="007847D1"/>
    <w:rsid w:val="00784924"/>
    <w:rsid w:val="00785B0C"/>
    <w:rsid w:val="00785D82"/>
    <w:rsid w:val="00785DE4"/>
    <w:rsid w:val="0078647B"/>
    <w:rsid w:val="00786ED4"/>
    <w:rsid w:val="0078716F"/>
    <w:rsid w:val="00787256"/>
    <w:rsid w:val="007873C8"/>
    <w:rsid w:val="0078793D"/>
    <w:rsid w:val="00787F80"/>
    <w:rsid w:val="00790F50"/>
    <w:rsid w:val="00791374"/>
    <w:rsid w:val="0079263D"/>
    <w:rsid w:val="007929C5"/>
    <w:rsid w:val="00792B66"/>
    <w:rsid w:val="0079352C"/>
    <w:rsid w:val="007937E7"/>
    <w:rsid w:val="00793B34"/>
    <w:rsid w:val="00793B84"/>
    <w:rsid w:val="00793D87"/>
    <w:rsid w:val="00794795"/>
    <w:rsid w:val="007949E6"/>
    <w:rsid w:val="00794CC2"/>
    <w:rsid w:val="00794D98"/>
    <w:rsid w:val="00794F29"/>
    <w:rsid w:val="007954BD"/>
    <w:rsid w:val="00795A2A"/>
    <w:rsid w:val="00795E7E"/>
    <w:rsid w:val="007964B5"/>
    <w:rsid w:val="007972FB"/>
    <w:rsid w:val="007977AD"/>
    <w:rsid w:val="007978FC"/>
    <w:rsid w:val="007A02BC"/>
    <w:rsid w:val="007A099F"/>
    <w:rsid w:val="007A0ADA"/>
    <w:rsid w:val="007A0F0F"/>
    <w:rsid w:val="007A16EB"/>
    <w:rsid w:val="007A17E2"/>
    <w:rsid w:val="007A26C4"/>
    <w:rsid w:val="007A2742"/>
    <w:rsid w:val="007A2790"/>
    <w:rsid w:val="007A2F96"/>
    <w:rsid w:val="007A33C4"/>
    <w:rsid w:val="007A49D9"/>
    <w:rsid w:val="007A5620"/>
    <w:rsid w:val="007A7E4C"/>
    <w:rsid w:val="007B01E7"/>
    <w:rsid w:val="007B0810"/>
    <w:rsid w:val="007B0DC2"/>
    <w:rsid w:val="007B104F"/>
    <w:rsid w:val="007B120B"/>
    <w:rsid w:val="007B1418"/>
    <w:rsid w:val="007B1C29"/>
    <w:rsid w:val="007B2177"/>
    <w:rsid w:val="007B2FF1"/>
    <w:rsid w:val="007B3584"/>
    <w:rsid w:val="007B3BDC"/>
    <w:rsid w:val="007B3F86"/>
    <w:rsid w:val="007B41BE"/>
    <w:rsid w:val="007B482A"/>
    <w:rsid w:val="007B52BB"/>
    <w:rsid w:val="007B56E1"/>
    <w:rsid w:val="007B5C49"/>
    <w:rsid w:val="007B71D9"/>
    <w:rsid w:val="007B7BB1"/>
    <w:rsid w:val="007C0B47"/>
    <w:rsid w:val="007C1229"/>
    <w:rsid w:val="007C17AB"/>
    <w:rsid w:val="007C1DFF"/>
    <w:rsid w:val="007C1E1D"/>
    <w:rsid w:val="007C2145"/>
    <w:rsid w:val="007C21A1"/>
    <w:rsid w:val="007C2349"/>
    <w:rsid w:val="007C2A41"/>
    <w:rsid w:val="007C377C"/>
    <w:rsid w:val="007C378F"/>
    <w:rsid w:val="007C3815"/>
    <w:rsid w:val="007C3B7F"/>
    <w:rsid w:val="007C5B20"/>
    <w:rsid w:val="007C65FA"/>
    <w:rsid w:val="007C685F"/>
    <w:rsid w:val="007C7F59"/>
    <w:rsid w:val="007D069C"/>
    <w:rsid w:val="007D090A"/>
    <w:rsid w:val="007D1AFD"/>
    <w:rsid w:val="007D1E73"/>
    <w:rsid w:val="007D23C4"/>
    <w:rsid w:val="007D2FC8"/>
    <w:rsid w:val="007D310A"/>
    <w:rsid w:val="007D408D"/>
    <w:rsid w:val="007D4CA7"/>
    <w:rsid w:val="007D4CD5"/>
    <w:rsid w:val="007D52A7"/>
    <w:rsid w:val="007D5BD5"/>
    <w:rsid w:val="007D619D"/>
    <w:rsid w:val="007D658F"/>
    <w:rsid w:val="007D6B04"/>
    <w:rsid w:val="007D6D6F"/>
    <w:rsid w:val="007D6E6D"/>
    <w:rsid w:val="007D6F1A"/>
    <w:rsid w:val="007D6F5D"/>
    <w:rsid w:val="007D7604"/>
    <w:rsid w:val="007D7729"/>
    <w:rsid w:val="007D7AA9"/>
    <w:rsid w:val="007D7F8B"/>
    <w:rsid w:val="007E075D"/>
    <w:rsid w:val="007E0803"/>
    <w:rsid w:val="007E0D86"/>
    <w:rsid w:val="007E170B"/>
    <w:rsid w:val="007E1720"/>
    <w:rsid w:val="007E18BA"/>
    <w:rsid w:val="007E18FA"/>
    <w:rsid w:val="007E1DF2"/>
    <w:rsid w:val="007E2170"/>
    <w:rsid w:val="007E26E4"/>
    <w:rsid w:val="007E2888"/>
    <w:rsid w:val="007E2BA4"/>
    <w:rsid w:val="007E3026"/>
    <w:rsid w:val="007E32D4"/>
    <w:rsid w:val="007E3514"/>
    <w:rsid w:val="007E3829"/>
    <w:rsid w:val="007E402B"/>
    <w:rsid w:val="007E495E"/>
    <w:rsid w:val="007E5FF3"/>
    <w:rsid w:val="007E6257"/>
    <w:rsid w:val="007E65FE"/>
    <w:rsid w:val="007E6782"/>
    <w:rsid w:val="007E6B64"/>
    <w:rsid w:val="007E6F9A"/>
    <w:rsid w:val="007E7679"/>
    <w:rsid w:val="007E7683"/>
    <w:rsid w:val="007E79F5"/>
    <w:rsid w:val="007E7AF0"/>
    <w:rsid w:val="007F02BF"/>
    <w:rsid w:val="007F10B5"/>
    <w:rsid w:val="007F10D0"/>
    <w:rsid w:val="007F1BC2"/>
    <w:rsid w:val="007F1C7A"/>
    <w:rsid w:val="007F1CCC"/>
    <w:rsid w:val="007F25B4"/>
    <w:rsid w:val="007F2C38"/>
    <w:rsid w:val="007F2EFF"/>
    <w:rsid w:val="007F3244"/>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FCD"/>
    <w:rsid w:val="00801057"/>
    <w:rsid w:val="00801387"/>
    <w:rsid w:val="00801BFF"/>
    <w:rsid w:val="0080250E"/>
    <w:rsid w:val="0080281E"/>
    <w:rsid w:val="0080288E"/>
    <w:rsid w:val="00803300"/>
    <w:rsid w:val="00803DDF"/>
    <w:rsid w:val="00804C27"/>
    <w:rsid w:val="00805261"/>
    <w:rsid w:val="0080563D"/>
    <w:rsid w:val="008056BE"/>
    <w:rsid w:val="00805F75"/>
    <w:rsid w:val="00806071"/>
    <w:rsid w:val="00807692"/>
    <w:rsid w:val="00807C1B"/>
    <w:rsid w:val="00807E3E"/>
    <w:rsid w:val="00810489"/>
    <w:rsid w:val="00810B18"/>
    <w:rsid w:val="00810D65"/>
    <w:rsid w:val="00811026"/>
    <w:rsid w:val="0081143A"/>
    <w:rsid w:val="00811982"/>
    <w:rsid w:val="00811B7A"/>
    <w:rsid w:val="00811E77"/>
    <w:rsid w:val="0081206F"/>
    <w:rsid w:val="00812638"/>
    <w:rsid w:val="00812656"/>
    <w:rsid w:val="00812720"/>
    <w:rsid w:val="00812AE2"/>
    <w:rsid w:val="00812CD4"/>
    <w:rsid w:val="0081303A"/>
    <w:rsid w:val="0081342A"/>
    <w:rsid w:val="00814892"/>
    <w:rsid w:val="00814D78"/>
    <w:rsid w:val="00815167"/>
    <w:rsid w:val="008151B0"/>
    <w:rsid w:val="00815F87"/>
    <w:rsid w:val="00816744"/>
    <w:rsid w:val="0081696D"/>
    <w:rsid w:val="00816B36"/>
    <w:rsid w:val="00817452"/>
    <w:rsid w:val="0081758D"/>
    <w:rsid w:val="00817C39"/>
    <w:rsid w:val="00817C8A"/>
    <w:rsid w:val="0082098B"/>
    <w:rsid w:val="008214EB"/>
    <w:rsid w:val="00821601"/>
    <w:rsid w:val="00821923"/>
    <w:rsid w:val="00821E84"/>
    <w:rsid w:val="00822005"/>
    <w:rsid w:val="0082256B"/>
    <w:rsid w:val="00822609"/>
    <w:rsid w:val="00822B0C"/>
    <w:rsid w:val="00822C45"/>
    <w:rsid w:val="00822F66"/>
    <w:rsid w:val="00823764"/>
    <w:rsid w:val="008241E4"/>
    <w:rsid w:val="00824394"/>
    <w:rsid w:val="00824912"/>
    <w:rsid w:val="00824F1A"/>
    <w:rsid w:val="00825B07"/>
    <w:rsid w:val="008262F6"/>
    <w:rsid w:val="008265E8"/>
    <w:rsid w:val="00826634"/>
    <w:rsid w:val="00826C0C"/>
    <w:rsid w:val="0082711A"/>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923"/>
    <w:rsid w:val="00850A19"/>
    <w:rsid w:val="00850AFC"/>
    <w:rsid w:val="00850C7E"/>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57F4"/>
    <w:rsid w:val="00856542"/>
    <w:rsid w:val="00856B56"/>
    <w:rsid w:val="0085729A"/>
    <w:rsid w:val="008575ED"/>
    <w:rsid w:val="00857A8B"/>
    <w:rsid w:val="00857F3D"/>
    <w:rsid w:val="00860F08"/>
    <w:rsid w:val="008611C8"/>
    <w:rsid w:val="008612F5"/>
    <w:rsid w:val="00861376"/>
    <w:rsid w:val="00861D5B"/>
    <w:rsid w:val="00861E55"/>
    <w:rsid w:val="00861F9D"/>
    <w:rsid w:val="00862B4C"/>
    <w:rsid w:val="0086307F"/>
    <w:rsid w:val="008639AD"/>
    <w:rsid w:val="00863C1F"/>
    <w:rsid w:val="00863E22"/>
    <w:rsid w:val="0086425E"/>
    <w:rsid w:val="00866BCC"/>
    <w:rsid w:val="00870856"/>
    <w:rsid w:val="00870F6E"/>
    <w:rsid w:val="0087157B"/>
    <w:rsid w:val="00871C4C"/>
    <w:rsid w:val="00871E03"/>
    <w:rsid w:val="00873845"/>
    <w:rsid w:val="008748D1"/>
    <w:rsid w:val="00874E52"/>
    <w:rsid w:val="00876400"/>
    <w:rsid w:val="00876522"/>
    <w:rsid w:val="00876AE3"/>
    <w:rsid w:val="008775DB"/>
    <w:rsid w:val="00877B07"/>
    <w:rsid w:val="00877B7A"/>
    <w:rsid w:val="00880EFA"/>
    <w:rsid w:val="00881EBC"/>
    <w:rsid w:val="0088248D"/>
    <w:rsid w:val="008828DF"/>
    <w:rsid w:val="00882C23"/>
    <w:rsid w:val="00882E91"/>
    <w:rsid w:val="00882EA8"/>
    <w:rsid w:val="00883EB8"/>
    <w:rsid w:val="00883EE1"/>
    <w:rsid w:val="0088421A"/>
    <w:rsid w:val="00884ED2"/>
    <w:rsid w:val="00885317"/>
    <w:rsid w:val="0088567D"/>
    <w:rsid w:val="00885D0E"/>
    <w:rsid w:val="00885E1B"/>
    <w:rsid w:val="008863EC"/>
    <w:rsid w:val="008865CF"/>
    <w:rsid w:val="00886995"/>
    <w:rsid w:val="00887227"/>
    <w:rsid w:val="008900AA"/>
    <w:rsid w:val="00890211"/>
    <w:rsid w:val="00890427"/>
    <w:rsid w:val="008905B4"/>
    <w:rsid w:val="0089096B"/>
    <w:rsid w:val="008919D4"/>
    <w:rsid w:val="00892157"/>
    <w:rsid w:val="0089225A"/>
    <w:rsid w:val="00892AC0"/>
    <w:rsid w:val="008934FE"/>
    <w:rsid w:val="00893B5D"/>
    <w:rsid w:val="00893E2F"/>
    <w:rsid w:val="008944DB"/>
    <w:rsid w:val="00894AB9"/>
    <w:rsid w:val="00895260"/>
    <w:rsid w:val="00895570"/>
    <w:rsid w:val="0089594E"/>
    <w:rsid w:val="008968C4"/>
    <w:rsid w:val="00896E93"/>
    <w:rsid w:val="00897463"/>
    <w:rsid w:val="0089753B"/>
    <w:rsid w:val="00897911"/>
    <w:rsid w:val="00897B11"/>
    <w:rsid w:val="008A03BE"/>
    <w:rsid w:val="008A0FD5"/>
    <w:rsid w:val="008A100E"/>
    <w:rsid w:val="008A10EF"/>
    <w:rsid w:val="008A17AC"/>
    <w:rsid w:val="008A1C8E"/>
    <w:rsid w:val="008A2377"/>
    <w:rsid w:val="008A2A21"/>
    <w:rsid w:val="008A2E17"/>
    <w:rsid w:val="008A344E"/>
    <w:rsid w:val="008A3721"/>
    <w:rsid w:val="008A382F"/>
    <w:rsid w:val="008A39A0"/>
    <w:rsid w:val="008A39AD"/>
    <w:rsid w:val="008A3DB6"/>
    <w:rsid w:val="008A4715"/>
    <w:rsid w:val="008A56ED"/>
    <w:rsid w:val="008A5BE4"/>
    <w:rsid w:val="008A5F0F"/>
    <w:rsid w:val="008A7E3B"/>
    <w:rsid w:val="008B0364"/>
    <w:rsid w:val="008B0379"/>
    <w:rsid w:val="008B0D70"/>
    <w:rsid w:val="008B0EA7"/>
    <w:rsid w:val="008B0FC7"/>
    <w:rsid w:val="008B18C5"/>
    <w:rsid w:val="008B256F"/>
    <w:rsid w:val="008B480A"/>
    <w:rsid w:val="008B4F76"/>
    <w:rsid w:val="008B58D9"/>
    <w:rsid w:val="008B64DC"/>
    <w:rsid w:val="008B6AFD"/>
    <w:rsid w:val="008B6B42"/>
    <w:rsid w:val="008B70D9"/>
    <w:rsid w:val="008B7236"/>
    <w:rsid w:val="008C0396"/>
    <w:rsid w:val="008C07A9"/>
    <w:rsid w:val="008C0944"/>
    <w:rsid w:val="008C0A39"/>
    <w:rsid w:val="008C1814"/>
    <w:rsid w:val="008C18D1"/>
    <w:rsid w:val="008C3CCC"/>
    <w:rsid w:val="008C4084"/>
    <w:rsid w:val="008C4116"/>
    <w:rsid w:val="008C4162"/>
    <w:rsid w:val="008C43A5"/>
    <w:rsid w:val="008C5C81"/>
    <w:rsid w:val="008C5CDF"/>
    <w:rsid w:val="008C6580"/>
    <w:rsid w:val="008C66A9"/>
    <w:rsid w:val="008C7162"/>
    <w:rsid w:val="008C7375"/>
    <w:rsid w:val="008C79F3"/>
    <w:rsid w:val="008D021C"/>
    <w:rsid w:val="008D0267"/>
    <w:rsid w:val="008D04D0"/>
    <w:rsid w:val="008D1097"/>
    <w:rsid w:val="008D11A8"/>
    <w:rsid w:val="008D1417"/>
    <w:rsid w:val="008D1DF5"/>
    <w:rsid w:val="008D1F27"/>
    <w:rsid w:val="008D2EFD"/>
    <w:rsid w:val="008D2F95"/>
    <w:rsid w:val="008D384C"/>
    <w:rsid w:val="008D3EF5"/>
    <w:rsid w:val="008D43B3"/>
    <w:rsid w:val="008D483E"/>
    <w:rsid w:val="008D4B98"/>
    <w:rsid w:val="008D4BD7"/>
    <w:rsid w:val="008D5469"/>
    <w:rsid w:val="008D56F1"/>
    <w:rsid w:val="008D62B4"/>
    <w:rsid w:val="008D6375"/>
    <w:rsid w:val="008D70CA"/>
    <w:rsid w:val="008D7D36"/>
    <w:rsid w:val="008E02E0"/>
    <w:rsid w:val="008E0670"/>
    <w:rsid w:val="008E114F"/>
    <w:rsid w:val="008E1153"/>
    <w:rsid w:val="008E1D76"/>
    <w:rsid w:val="008E2594"/>
    <w:rsid w:val="008E2DD0"/>
    <w:rsid w:val="008E3455"/>
    <w:rsid w:val="008E3BFB"/>
    <w:rsid w:val="008E4349"/>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345A"/>
    <w:rsid w:val="008F3FE5"/>
    <w:rsid w:val="008F42D7"/>
    <w:rsid w:val="008F4382"/>
    <w:rsid w:val="008F4CE7"/>
    <w:rsid w:val="008F4E16"/>
    <w:rsid w:val="008F5536"/>
    <w:rsid w:val="008F557E"/>
    <w:rsid w:val="008F6537"/>
    <w:rsid w:val="00900416"/>
    <w:rsid w:val="00900590"/>
    <w:rsid w:val="00901459"/>
    <w:rsid w:val="00901C47"/>
    <w:rsid w:val="00902190"/>
    <w:rsid w:val="00902BD7"/>
    <w:rsid w:val="00902C9D"/>
    <w:rsid w:val="0090328B"/>
    <w:rsid w:val="009032E9"/>
    <w:rsid w:val="00903D57"/>
    <w:rsid w:val="00903EFE"/>
    <w:rsid w:val="009040EB"/>
    <w:rsid w:val="0090437C"/>
    <w:rsid w:val="0090472D"/>
    <w:rsid w:val="0090518E"/>
    <w:rsid w:val="0090563D"/>
    <w:rsid w:val="00906EF4"/>
    <w:rsid w:val="00907057"/>
    <w:rsid w:val="00910287"/>
    <w:rsid w:val="00910D9D"/>
    <w:rsid w:val="00910F33"/>
    <w:rsid w:val="009110BA"/>
    <w:rsid w:val="00911691"/>
    <w:rsid w:val="009118B0"/>
    <w:rsid w:val="00912000"/>
    <w:rsid w:val="009120D7"/>
    <w:rsid w:val="009124E6"/>
    <w:rsid w:val="00913944"/>
    <w:rsid w:val="00913EF4"/>
    <w:rsid w:val="00914CD6"/>
    <w:rsid w:val="00915B92"/>
    <w:rsid w:val="00916440"/>
    <w:rsid w:val="00916748"/>
    <w:rsid w:val="00917332"/>
    <w:rsid w:val="009177FA"/>
    <w:rsid w:val="009202C5"/>
    <w:rsid w:val="009205FD"/>
    <w:rsid w:val="00920773"/>
    <w:rsid w:val="009209C5"/>
    <w:rsid w:val="00921817"/>
    <w:rsid w:val="00922327"/>
    <w:rsid w:val="0092265F"/>
    <w:rsid w:val="00922F1A"/>
    <w:rsid w:val="0092359E"/>
    <w:rsid w:val="00923EA0"/>
    <w:rsid w:val="0092474D"/>
    <w:rsid w:val="00924C0E"/>
    <w:rsid w:val="00925637"/>
    <w:rsid w:val="0092598F"/>
    <w:rsid w:val="00925FF9"/>
    <w:rsid w:val="009265E4"/>
    <w:rsid w:val="00927BAA"/>
    <w:rsid w:val="00927E94"/>
    <w:rsid w:val="009305AF"/>
    <w:rsid w:val="00930743"/>
    <w:rsid w:val="00930B6B"/>
    <w:rsid w:val="00931282"/>
    <w:rsid w:val="00931457"/>
    <w:rsid w:val="009315B3"/>
    <w:rsid w:val="0093167B"/>
    <w:rsid w:val="0093175E"/>
    <w:rsid w:val="00931B23"/>
    <w:rsid w:val="00932333"/>
    <w:rsid w:val="00932567"/>
    <w:rsid w:val="009326C6"/>
    <w:rsid w:val="00933665"/>
    <w:rsid w:val="00933695"/>
    <w:rsid w:val="00933A7E"/>
    <w:rsid w:val="00933CF4"/>
    <w:rsid w:val="00933F52"/>
    <w:rsid w:val="009344EF"/>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ADE"/>
    <w:rsid w:val="00955E1B"/>
    <w:rsid w:val="00955EE1"/>
    <w:rsid w:val="00955F37"/>
    <w:rsid w:val="0095706B"/>
    <w:rsid w:val="009570F9"/>
    <w:rsid w:val="009573EB"/>
    <w:rsid w:val="009575BF"/>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4CB"/>
    <w:rsid w:val="00966CC0"/>
    <w:rsid w:val="009671A1"/>
    <w:rsid w:val="0097179C"/>
    <w:rsid w:val="0097191C"/>
    <w:rsid w:val="0097198A"/>
    <w:rsid w:val="009734BF"/>
    <w:rsid w:val="00973612"/>
    <w:rsid w:val="009737F3"/>
    <w:rsid w:val="00973917"/>
    <w:rsid w:val="00973C3E"/>
    <w:rsid w:val="0097420B"/>
    <w:rsid w:val="00974ACC"/>
    <w:rsid w:val="00974C49"/>
    <w:rsid w:val="00974EE4"/>
    <w:rsid w:val="009754CE"/>
    <w:rsid w:val="009756B6"/>
    <w:rsid w:val="00975EF7"/>
    <w:rsid w:val="00976A74"/>
    <w:rsid w:val="00976DE3"/>
    <w:rsid w:val="009774BE"/>
    <w:rsid w:val="00977A70"/>
    <w:rsid w:val="00980140"/>
    <w:rsid w:val="009801D6"/>
    <w:rsid w:val="0098027F"/>
    <w:rsid w:val="009802D1"/>
    <w:rsid w:val="0098050A"/>
    <w:rsid w:val="00980592"/>
    <w:rsid w:val="009806B0"/>
    <w:rsid w:val="009807B8"/>
    <w:rsid w:val="00981E56"/>
    <w:rsid w:val="00982064"/>
    <w:rsid w:val="00982142"/>
    <w:rsid w:val="00982639"/>
    <w:rsid w:val="00982BCF"/>
    <w:rsid w:val="00982EEA"/>
    <w:rsid w:val="00982F82"/>
    <w:rsid w:val="009831E2"/>
    <w:rsid w:val="00983255"/>
    <w:rsid w:val="00983D12"/>
    <w:rsid w:val="00983E5F"/>
    <w:rsid w:val="00985051"/>
    <w:rsid w:val="00985C80"/>
    <w:rsid w:val="00985DA2"/>
    <w:rsid w:val="0098660C"/>
    <w:rsid w:val="00986765"/>
    <w:rsid w:val="009867E7"/>
    <w:rsid w:val="00987028"/>
    <w:rsid w:val="00987DF4"/>
    <w:rsid w:val="00987FDA"/>
    <w:rsid w:val="00990175"/>
    <w:rsid w:val="00990CAE"/>
    <w:rsid w:val="00990FEA"/>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0C6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2D5B"/>
    <w:rsid w:val="009B34FC"/>
    <w:rsid w:val="009B3BEA"/>
    <w:rsid w:val="009B41BA"/>
    <w:rsid w:val="009B44F0"/>
    <w:rsid w:val="009B545D"/>
    <w:rsid w:val="009B5957"/>
    <w:rsid w:val="009B5C0B"/>
    <w:rsid w:val="009B5C8C"/>
    <w:rsid w:val="009B6013"/>
    <w:rsid w:val="009B7273"/>
    <w:rsid w:val="009B7356"/>
    <w:rsid w:val="009B76DB"/>
    <w:rsid w:val="009B7FAC"/>
    <w:rsid w:val="009C0126"/>
    <w:rsid w:val="009C03C5"/>
    <w:rsid w:val="009C0C99"/>
    <w:rsid w:val="009C1122"/>
    <w:rsid w:val="009C1840"/>
    <w:rsid w:val="009C1B99"/>
    <w:rsid w:val="009C1DC2"/>
    <w:rsid w:val="009C315D"/>
    <w:rsid w:val="009C323A"/>
    <w:rsid w:val="009C3A70"/>
    <w:rsid w:val="009C3AE8"/>
    <w:rsid w:val="009C4087"/>
    <w:rsid w:val="009C4959"/>
    <w:rsid w:val="009C4CFF"/>
    <w:rsid w:val="009C5961"/>
    <w:rsid w:val="009C6DB6"/>
    <w:rsid w:val="009C76A3"/>
    <w:rsid w:val="009C79E5"/>
    <w:rsid w:val="009C7ACB"/>
    <w:rsid w:val="009C7C85"/>
    <w:rsid w:val="009D03F6"/>
    <w:rsid w:val="009D0701"/>
    <w:rsid w:val="009D1578"/>
    <w:rsid w:val="009D485D"/>
    <w:rsid w:val="009D5416"/>
    <w:rsid w:val="009D6353"/>
    <w:rsid w:val="009D6B28"/>
    <w:rsid w:val="009D6CF0"/>
    <w:rsid w:val="009D6E22"/>
    <w:rsid w:val="009D71D1"/>
    <w:rsid w:val="009D7591"/>
    <w:rsid w:val="009D75A9"/>
    <w:rsid w:val="009D7906"/>
    <w:rsid w:val="009E0A40"/>
    <w:rsid w:val="009E153F"/>
    <w:rsid w:val="009E19AE"/>
    <w:rsid w:val="009E1E60"/>
    <w:rsid w:val="009E1F86"/>
    <w:rsid w:val="009E3112"/>
    <w:rsid w:val="009E34B7"/>
    <w:rsid w:val="009E434B"/>
    <w:rsid w:val="009E480B"/>
    <w:rsid w:val="009E4986"/>
    <w:rsid w:val="009E4C2E"/>
    <w:rsid w:val="009E5772"/>
    <w:rsid w:val="009E5BAE"/>
    <w:rsid w:val="009E5BF5"/>
    <w:rsid w:val="009E5D18"/>
    <w:rsid w:val="009E5EC1"/>
    <w:rsid w:val="009E5F8E"/>
    <w:rsid w:val="009E648E"/>
    <w:rsid w:val="009E65CA"/>
    <w:rsid w:val="009E699D"/>
    <w:rsid w:val="009F1904"/>
    <w:rsid w:val="009F209E"/>
    <w:rsid w:val="009F2446"/>
    <w:rsid w:val="009F2450"/>
    <w:rsid w:val="009F259C"/>
    <w:rsid w:val="009F29FF"/>
    <w:rsid w:val="009F2BF4"/>
    <w:rsid w:val="009F2C12"/>
    <w:rsid w:val="009F2F47"/>
    <w:rsid w:val="009F385D"/>
    <w:rsid w:val="009F4B7F"/>
    <w:rsid w:val="009F555E"/>
    <w:rsid w:val="009F5C78"/>
    <w:rsid w:val="009F5E9D"/>
    <w:rsid w:val="009F5F56"/>
    <w:rsid w:val="009F697A"/>
    <w:rsid w:val="009F6DAC"/>
    <w:rsid w:val="009F7309"/>
    <w:rsid w:val="009F763F"/>
    <w:rsid w:val="009F7748"/>
    <w:rsid w:val="009F7802"/>
    <w:rsid w:val="009F78B7"/>
    <w:rsid w:val="009F791B"/>
    <w:rsid w:val="009F79D5"/>
    <w:rsid w:val="009F7D96"/>
    <w:rsid w:val="00A007E7"/>
    <w:rsid w:val="00A00F2E"/>
    <w:rsid w:val="00A0109E"/>
    <w:rsid w:val="00A01E64"/>
    <w:rsid w:val="00A02992"/>
    <w:rsid w:val="00A03470"/>
    <w:rsid w:val="00A035DE"/>
    <w:rsid w:val="00A035EA"/>
    <w:rsid w:val="00A04331"/>
    <w:rsid w:val="00A04F59"/>
    <w:rsid w:val="00A05597"/>
    <w:rsid w:val="00A05B20"/>
    <w:rsid w:val="00A05CC6"/>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C67"/>
    <w:rsid w:val="00A11F1D"/>
    <w:rsid w:val="00A121D9"/>
    <w:rsid w:val="00A1253F"/>
    <w:rsid w:val="00A12ACB"/>
    <w:rsid w:val="00A13C50"/>
    <w:rsid w:val="00A14331"/>
    <w:rsid w:val="00A145EB"/>
    <w:rsid w:val="00A14987"/>
    <w:rsid w:val="00A14AB2"/>
    <w:rsid w:val="00A14AC9"/>
    <w:rsid w:val="00A159CA"/>
    <w:rsid w:val="00A175A7"/>
    <w:rsid w:val="00A17608"/>
    <w:rsid w:val="00A177D9"/>
    <w:rsid w:val="00A1787D"/>
    <w:rsid w:val="00A17D5B"/>
    <w:rsid w:val="00A20573"/>
    <w:rsid w:val="00A205F5"/>
    <w:rsid w:val="00A207FA"/>
    <w:rsid w:val="00A20C94"/>
    <w:rsid w:val="00A21374"/>
    <w:rsid w:val="00A21C4C"/>
    <w:rsid w:val="00A220B7"/>
    <w:rsid w:val="00A227D6"/>
    <w:rsid w:val="00A227E7"/>
    <w:rsid w:val="00A22A71"/>
    <w:rsid w:val="00A22D55"/>
    <w:rsid w:val="00A22F6E"/>
    <w:rsid w:val="00A239DB"/>
    <w:rsid w:val="00A24008"/>
    <w:rsid w:val="00A24078"/>
    <w:rsid w:val="00A2475E"/>
    <w:rsid w:val="00A24F47"/>
    <w:rsid w:val="00A258E0"/>
    <w:rsid w:val="00A25FCF"/>
    <w:rsid w:val="00A269B5"/>
    <w:rsid w:val="00A26A3F"/>
    <w:rsid w:val="00A2726D"/>
    <w:rsid w:val="00A30627"/>
    <w:rsid w:val="00A30B6C"/>
    <w:rsid w:val="00A31D99"/>
    <w:rsid w:val="00A31F37"/>
    <w:rsid w:val="00A3244C"/>
    <w:rsid w:val="00A32555"/>
    <w:rsid w:val="00A32E59"/>
    <w:rsid w:val="00A33017"/>
    <w:rsid w:val="00A333C1"/>
    <w:rsid w:val="00A33D5D"/>
    <w:rsid w:val="00A33E4D"/>
    <w:rsid w:val="00A346EE"/>
    <w:rsid w:val="00A34995"/>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50C"/>
    <w:rsid w:val="00A43813"/>
    <w:rsid w:val="00A439B7"/>
    <w:rsid w:val="00A43D47"/>
    <w:rsid w:val="00A44090"/>
    <w:rsid w:val="00A440A6"/>
    <w:rsid w:val="00A44A4B"/>
    <w:rsid w:val="00A45121"/>
    <w:rsid w:val="00A45B00"/>
    <w:rsid w:val="00A4618D"/>
    <w:rsid w:val="00A464E1"/>
    <w:rsid w:val="00A46C4E"/>
    <w:rsid w:val="00A46D95"/>
    <w:rsid w:val="00A46F53"/>
    <w:rsid w:val="00A47081"/>
    <w:rsid w:val="00A47480"/>
    <w:rsid w:val="00A47A6D"/>
    <w:rsid w:val="00A47E8C"/>
    <w:rsid w:val="00A50F9A"/>
    <w:rsid w:val="00A51BC0"/>
    <w:rsid w:val="00A5298C"/>
    <w:rsid w:val="00A52AD0"/>
    <w:rsid w:val="00A53497"/>
    <w:rsid w:val="00A535A7"/>
    <w:rsid w:val="00A536CB"/>
    <w:rsid w:val="00A542F8"/>
    <w:rsid w:val="00A54524"/>
    <w:rsid w:val="00A55A47"/>
    <w:rsid w:val="00A56DF0"/>
    <w:rsid w:val="00A574BF"/>
    <w:rsid w:val="00A5790F"/>
    <w:rsid w:val="00A579F8"/>
    <w:rsid w:val="00A605E1"/>
    <w:rsid w:val="00A60C15"/>
    <w:rsid w:val="00A60F08"/>
    <w:rsid w:val="00A6204A"/>
    <w:rsid w:val="00A62093"/>
    <w:rsid w:val="00A62CA0"/>
    <w:rsid w:val="00A6310C"/>
    <w:rsid w:val="00A6316B"/>
    <w:rsid w:val="00A63679"/>
    <w:rsid w:val="00A639BE"/>
    <w:rsid w:val="00A63A8F"/>
    <w:rsid w:val="00A64389"/>
    <w:rsid w:val="00A64797"/>
    <w:rsid w:val="00A64817"/>
    <w:rsid w:val="00A66BE3"/>
    <w:rsid w:val="00A67102"/>
    <w:rsid w:val="00A67F2A"/>
    <w:rsid w:val="00A70347"/>
    <w:rsid w:val="00A71CDE"/>
    <w:rsid w:val="00A7252E"/>
    <w:rsid w:val="00A72BBC"/>
    <w:rsid w:val="00A72E18"/>
    <w:rsid w:val="00A730F3"/>
    <w:rsid w:val="00A73C89"/>
    <w:rsid w:val="00A746A3"/>
    <w:rsid w:val="00A74BE6"/>
    <w:rsid w:val="00A754C4"/>
    <w:rsid w:val="00A7557C"/>
    <w:rsid w:val="00A758A4"/>
    <w:rsid w:val="00A75A61"/>
    <w:rsid w:val="00A75BA0"/>
    <w:rsid w:val="00A75FDF"/>
    <w:rsid w:val="00A768A2"/>
    <w:rsid w:val="00A76A55"/>
    <w:rsid w:val="00A773B4"/>
    <w:rsid w:val="00A80733"/>
    <w:rsid w:val="00A80948"/>
    <w:rsid w:val="00A81811"/>
    <w:rsid w:val="00A8234E"/>
    <w:rsid w:val="00A833A3"/>
    <w:rsid w:val="00A835E5"/>
    <w:rsid w:val="00A83768"/>
    <w:rsid w:val="00A84373"/>
    <w:rsid w:val="00A8456A"/>
    <w:rsid w:val="00A845ED"/>
    <w:rsid w:val="00A859F5"/>
    <w:rsid w:val="00A867C8"/>
    <w:rsid w:val="00A867CD"/>
    <w:rsid w:val="00A86F87"/>
    <w:rsid w:val="00A87161"/>
    <w:rsid w:val="00A874D6"/>
    <w:rsid w:val="00A87C01"/>
    <w:rsid w:val="00A902A7"/>
    <w:rsid w:val="00A90327"/>
    <w:rsid w:val="00A904AB"/>
    <w:rsid w:val="00A90DEF"/>
    <w:rsid w:val="00A90E27"/>
    <w:rsid w:val="00A91FE5"/>
    <w:rsid w:val="00A92F34"/>
    <w:rsid w:val="00A93154"/>
    <w:rsid w:val="00A93214"/>
    <w:rsid w:val="00A93ABB"/>
    <w:rsid w:val="00A93C27"/>
    <w:rsid w:val="00A93C2B"/>
    <w:rsid w:val="00A94865"/>
    <w:rsid w:val="00A94D8C"/>
    <w:rsid w:val="00A9598F"/>
    <w:rsid w:val="00A96FC0"/>
    <w:rsid w:val="00A97BFA"/>
    <w:rsid w:val="00AA007C"/>
    <w:rsid w:val="00AA0B30"/>
    <w:rsid w:val="00AA20ED"/>
    <w:rsid w:val="00AA25C9"/>
    <w:rsid w:val="00AA3676"/>
    <w:rsid w:val="00AA3726"/>
    <w:rsid w:val="00AA40AA"/>
    <w:rsid w:val="00AA4F09"/>
    <w:rsid w:val="00AA62A1"/>
    <w:rsid w:val="00AA64E9"/>
    <w:rsid w:val="00AA67F0"/>
    <w:rsid w:val="00AA7897"/>
    <w:rsid w:val="00AA7A72"/>
    <w:rsid w:val="00AA7DCE"/>
    <w:rsid w:val="00AA7F8C"/>
    <w:rsid w:val="00AA7FA5"/>
    <w:rsid w:val="00AB0725"/>
    <w:rsid w:val="00AB0807"/>
    <w:rsid w:val="00AB0C5B"/>
    <w:rsid w:val="00AB0FB2"/>
    <w:rsid w:val="00AB10E3"/>
    <w:rsid w:val="00AB18AB"/>
    <w:rsid w:val="00AB1FAD"/>
    <w:rsid w:val="00AB26FB"/>
    <w:rsid w:val="00AB2AF8"/>
    <w:rsid w:val="00AB37FD"/>
    <w:rsid w:val="00AB41AF"/>
    <w:rsid w:val="00AB42BB"/>
    <w:rsid w:val="00AB4316"/>
    <w:rsid w:val="00AB4B6A"/>
    <w:rsid w:val="00AB502F"/>
    <w:rsid w:val="00AB50C3"/>
    <w:rsid w:val="00AB562B"/>
    <w:rsid w:val="00AB57D9"/>
    <w:rsid w:val="00AB6F61"/>
    <w:rsid w:val="00AB7601"/>
    <w:rsid w:val="00AB7957"/>
    <w:rsid w:val="00AB7A15"/>
    <w:rsid w:val="00AC0BD8"/>
    <w:rsid w:val="00AC1E53"/>
    <w:rsid w:val="00AC2F56"/>
    <w:rsid w:val="00AC3669"/>
    <w:rsid w:val="00AC40D8"/>
    <w:rsid w:val="00AC42FA"/>
    <w:rsid w:val="00AC455C"/>
    <w:rsid w:val="00AC45CA"/>
    <w:rsid w:val="00AC4D66"/>
    <w:rsid w:val="00AC5C0E"/>
    <w:rsid w:val="00AC5FCE"/>
    <w:rsid w:val="00AC615E"/>
    <w:rsid w:val="00AC62B7"/>
    <w:rsid w:val="00AC692A"/>
    <w:rsid w:val="00AC6BDA"/>
    <w:rsid w:val="00AC6E20"/>
    <w:rsid w:val="00AC7A38"/>
    <w:rsid w:val="00AD0404"/>
    <w:rsid w:val="00AD07F1"/>
    <w:rsid w:val="00AD1F02"/>
    <w:rsid w:val="00AD20E0"/>
    <w:rsid w:val="00AD280C"/>
    <w:rsid w:val="00AD2BE1"/>
    <w:rsid w:val="00AD3477"/>
    <w:rsid w:val="00AD3C49"/>
    <w:rsid w:val="00AD3D21"/>
    <w:rsid w:val="00AD68F8"/>
    <w:rsid w:val="00AD692B"/>
    <w:rsid w:val="00AD7E1C"/>
    <w:rsid w:val="00AE08FD"/>
    <w:rsid w:val="00AE0B68"/>
    <w:rsid w:val="00AE0CA2"/>
    <w:rsid w:val="00AE10CD"/>
    <w:rsid w:val="00AE13BB"/>
    <w:rsid w:val="00AE1499"/>
    <w:rsid w:val="00AE2D0A"/>
    <w:rsid w:val="00AE3725"/>
    <w:rsid w:val="00AE448F"/>
    <w:rsid w:val="00AE4E58"/>
    <w:rsid w:val="00AE4F14"/>
    <w:rsid w:val="00AE5139"/>
    <w:rsid w:val="00AE54FA"/>
    <w:rsid w:val="00AE5C8B"/>
    <w:rsid w:val="00AE64DD"/>
    <w:rsid w:val="00AE65CA"/>
    <w:rsid w:val="00AE6800"/>
    <w:rsid w:val="00AE6CDA"/>
    <w:rsid w:val="00AE72FC"/>
    <w:rsid w:val="00AE7389"/>
    <w:rsid w:val="00AE751E"/>
    <w:rsid w:val="00AF000E"/>
    <w:rsid w:val="00AF16A0"/>
    <w:rsid w:val="00AF17A5"/>
    <w:rsid w:val="00AF1E36"/>
    <w:rsid w:val="00AF239F"/>
    <w:rsid w:val="00AF23AA"/>
    <w:rsid w:val="00AF23C2"/>
    <w:rsid w:val="00AF3040"/>
    <w:rsid w:val="00AF31DB"/>
    <w:rsid w:val="00AF39BC"/>
    <w:rsid w:val="00AF44E0"/>
    <w:rsid w:val="00AF4979"/>
    <w:rsid w:val="00AF4E9F"/>
    <w:rsid w:val="00AF51E5"/>
    <w:rsid w:val="00AF52E7"/>
    <w:rsid w:val="00AF575D"/>
    <w:rsid w:val="00AF5D55"/>
    <w:rsid w:val="00AF605B"/>
    <w:rsid w:val="00AF62CE"/>
    <w:rsid w:val="00AF6749"/>
    <w:rsid w:val="00AF741B"/>
    <w:rsid w:val="00AF7453"/>
    <w:rsid w:val="00AF7C3D"/>
    <w:rsid w:val="00AF7E72"/>
    <w:rsid w:val="00AF7F12"/>
    <w:rsid w:val="00B00223"/>
    <w:rsid w:val="00B00C97"/>
    <w:rsid w:val="00B00E2D"/>
    <w:rsid w:val="00B0115C"/>
    <w:rsid w:val="00B01F83"/>
    <w:rsid w:val="00B02BD8"/>
    <w:rsid w:val="00B0328C"/>
    <w:rsid w:val="00B0338C"/>
    <w:rsid w:val="00B036CF"/>
    <w:rsid w:val="00B0396C"/>
    <w:rsid w:val="00B03F9B"/>
    <w:rsid w:val="00B0432F"/>
    <w:rsid w:val="00B043ED"/>
    <w:rsid w:val="00B054FF"/>
    <w:rsid w:val="00B05CB6"/>
    <w:rsid w:val="00B0633F"/>
    <w:rsid w:val="00B06DE5"/>
    <w:rsid w:val="00B070A0"/>
    <w:rsid w:val="00B07CC0"/>
    <w:rsid w:val="00B102F5"/>
    <w:rsid w:val="00B103E9"/>
    <w:rsid w:val="00B10BEF"/>
    <w:rsid w:val="00B10F28"/>
    <w:rsid w:val="00B11539"/>
    <w:rsid w:val="00B11586"/>
    <w:rsid w:val="00B11E6D"/>
    <w:rsid w:val="00B11FA4"/>
    <w:rsid w:val="00B12242"/>
    <w:rsid w:val="00B126DF"/>
    <w:rsid w:val="00B13427"/>
    <w:rsid w:val="00B1393B"/>
    <w:rsid w:val="00B140D2"/>
    <w:rsid w:val="00B1462C"/>
    <w:rsid w:val="00B14CD1"/>
    <w:rsid w:val="00B15491"/>
    <w:rsid w:val="00B15580"/>
    <w:rsid w:val="00B1562F"/>
    <w:rsid w:val="00B16D0D"/>
    <w:rsid w:val="00B16D63"/>
    <w:rsid w:val="00B172E7"/>
    <w:rsid w:val="00B174AB"/>
    <w:rsid w:val="00B17629"/>
    <w:rsid w:val="00B2135F"/>
    <w:rsid w:val="00B214E4"/>
    <w:rsid w:val="00B21D6E"/>
    <w:rsid w:val="00B222B5"/>
    <w:rsid w:val="00B22C39"/>
    <w:rsid w:val="00B22D8C"/>
    <w:rsid w:val="00B22DE0"/>
    <w:rsid w:val="00B230F8"/>
    <w:rsid w:val="00B2352F"/>
    <w:rsid w:val="00B23D2D"/>
    <w:rsid w:val="00B24380"/>
    <w:rsid w:val="00B24FEA"/>
    <w:rsid w:val="00B2540B"/>
    <w:rsid w:val="00B25426"/>
    <w:rsid w:val="00B258B5"/>
    <w:rsid w:val="00B25B94"/>
    <w:rsid w:val="00B25FE6"/>
    <w:rsid w:val="00B2603E"/>
    <w:rsid w:val="00B26397"/>
    <w:rsid w:val="00B26407"/>
    <w:rsid w:val="00B26CD6"/>
    <w:rsid w:val="00B27255"/>
    <w:rsid w:val="00B2749B"/>
    <w:rsid w:val="00B2763A"/>
    <w:rsid w:val="00B27A0A"/>
    <w:rsid w:val="00B30160"/>
    <w:rsid w:val="00B301E2"/>
    <w:rsid w:val="00B3068C"/>
    <w:rsid w:val="00B317DC"/>
    <w:rsid w:val="00B31A2F"/>
    <w:rsid w:val="00B31E48"/>
    <w:rsid w:val="00B327F4"/>
    <w:rsid w:val="00B32D08"/>
    <w:rsid w:val="00B32F4E"/>
    <w:rsid w:val="00B3322F"/>
    <w:rsid w:val="00B334B1"/>
    <w:rsid w:val="00B339CE"/>
    <w:rsid w:val="00B33E53"/>
    <w:rsid w:val="00B3426C"/>
    <w:rsid w:val="00B346E2"/>
    <w:rsid w:val="00B35631"/>
    <w:rsid w:val="00B3586B"/>
    <w:rsid w:val="00B3587C"/>
    <w:rsid w:val="00B35902"/>
    <w:rsid w:val="00B35B04"/>
    <w:rsid w:val="00B36E10"/>
    <w:rsid w:val="00B36E89"/>
    <w:rsid w:val="00B37246"/>
    <w:rsid w:val="00B3733C"/>
    <w:rsid w:val="00B3775E"/>
    <w:rsid w:val="00B37810"/>
    <w:rsid w:val="00B37B94"/>
    <w:rsid w:val="00B37E95"/>
    <w:rsid w:val="00B4097F"/>
    <w:rsid w:val="00B410B3"/>
    <w:rsid w:val="00B4190C"/>
    <w:rsid w:val="00B41956"/>
    <w:rsid w:val="00B42A22"/>
    <w:rsid w:val="00B43539"/>
    <w:rsid w:val="00B43B71"/>
    <w:rsid w:val="00B43F67"/>
    <w:rsid w:val="00B45359"/>
    <w:rsid w:val="00B45535"/>
    <w:rsid w:val="00B4553C"/>
    <w:rsid w:val="00B4572C"/>
    <w:rsid w:val="00B459C8"/>
    <w:rsid w:val="00B45B2C"/>
    <w:rsid w:val="00B45BAB"/>
    <w:rsid w:val="00B46739"/>
    <w:rsid w:val="00B46975"/>
    <w:rsid w:val="00B472EC"/>
    <w:rsid w:val="00B51611"/>
    <w:rsid w:val="00B518C6"/>
    <w:rsid w:val="00B52046"/>
    <w:rsid w:val="00B5259A"/>
    <w:rsid w:val="00B52CB1"/>
    <w:rsid w:val="00B53A25"/>
    <w:rsid w:val="00B53B6D"/>
    <w:rsid w:val="00B53C9A"/>
    <w:rsid w:val="00B53D31"/>
    <w:rsid w:val="00B54F0D"/>
    <w:rsid w:val="00B553DF"/>
    <w:rsid w:val="00B5563C"/>
    <w:rsid w:val="00B55939"/>
    <w:rsid w:val="00B57D54"/>
    <w:rsid w:val="00B60946"/>
    <w:rsid w:val="00B609C3"/>
    <w:rsid w:val="00B609D4"/>
    <w:rsid w:val="00B60C95"/>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7B1"/>
    <w:rsid w:val="00B66802"/>
    <w:rsid w:val="00B67453"/>
    <w:rsid w:val="00B675F7"/>
    <w:rsid w:val="00B677EA"/>
    <w:rsid w:val="00B67A78"/>
    <w:rsid w:val="00B707BA"/>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645"/>
    <w:rsid w:val="00B80A5E"/>
    <w:rsid w:val="00B80F1F"/>
    <w:rsid w:val="00B813C8"/>
    <w:rsid w:val="00B8146F"/>
    <w:rsid w:val="00B8167D"/>
    <w:rsid w:val="00B82C49"/>
    <w:rsid w:val="00B82D90"/>
    <w:rsid w:val="00B82FB4"/>
    <w:rsid w:val="00B83B69"/>
    <w:rsid w:val="00B83DFC"/>
    <w:rsid w:val="00B83F10"/>
    <w:rsid w:val="00B8406A"/>
    <w:rsid w:val="00B84439"/>
    <w:rsid w:val="00B8654A"/>
    <w:rsid w:val="00B865EE"/>
    <w:rsid w:val="00B86B7E"/>
    <w:rsid w:val="00B8769D"/>
    <w:rsid w:val="00B87BE1"/>
    <w:rsid w:val="00B87DD5"/>
    <w:rsid w:val="00B90F96"/>
    <w:rsid w:val="00B9219F"/>
    <w:rsid w:val="00B926CB"/>
    <w:rsid w:val="00B92BB9"/>
    <w:rsid w:val="00B92FBB"/>
    <w:rsid w:val="00B933B2"/>
    <w:rsid w:val="00B936CB"/>
    <w:rsid w:val="00B93BDF"/>
    <w:rsid w:val="00B93CAF"/>
    <w:rsid w:val="00B941B6"/>
    <w:rsid w:val="00B94A06"/>
    <w:rsid w:val="00B952E7"/>
    <w:rsid w:val="00B95B2F"/>
    <w:rsid w:val="00B95B37"/>
    <w:rsid w:val="00B95E21"/>
    <w:rsid w:val="00B97356"/>
    <w:rsid w:val="00B97A6D"/>
    <w:rsid w:val="00BA0391"/>
    <w:rsid w:val="00BA060B"/>
    <w:rsid w:val="00BA0710"/>
    <w:rsid w:val="00BA0D90"/>
    <w:rsid w:val="00BA0DCD"/>
    <w:rsid w:val="00BA22BB"/>
    <w:rsid w:val="00BA2423"/>
    <w:rsid w:val="00BA249D"/>
    <w:rsid w:val="00BA34B1"/>
    <w:rsid w:val="00BA382E"/>
    <w:rsid w:val="00BA3830"/>
    <w:rsid w:val="00BA41E7"/>
    <w:rsid w:val="00BA42E0"/>
    <w:rsid w:val="00BA5792"/>
    <w:rsid w:val="00BA6C06"/>
    <w:rsid w:val="00BA7701"/>
    <w:rsid w:val="00BA7AF1"/>
    <w:rsid w:val="00BA7BAB"/>
    <w:rsid w:val="00BA7C02"/>
    <w:rsid w:val="00BA7C73"/>
    <w:rsid w:val="00BB00C3"/>
    <w:rsid w:val="00BB01F3"/>
    <w:rsid w:val="00BB073E"/>
    <w:rsid w:val="00BB0741"/>
    <w:rsid w:val="00BB17AD"/>
    <w:rsid w:val="00BB2428"/>
    <w:rsid w:val="00BB292D"/>
    <w:rsid w:val="00BB300F"/>
    <w:rsid w:val="00BB309F"/>
    <w:rsid w:val="00BB369B"/>
    <w:rsid w:val="00BB3919"/>
    <w:rsid w:val="00BB3A56"/>
    <w:rsid w:val="00BB3E2E"/>
    <w:rsid w:val="00BB49CB"/>
    <w:rsid w:val="00BB4CAE"/>
    <w:rsid w:val="00BB67F1"/>
    <w:rsid w:val="00BB6A14"/>
    <w:rsid w:val="00BB79C2"/>
    <w:rsid w:val="00BB7E42"/>
    <w:rsid w:val="00BB7F0F"/>
    <w:rsid w:val="00BC0EC7"/>
    <w:rsid w:val="00BC1722"/>
    <w:rsid w:val="00BC194A"/>
    <w:rsid w:val="00BC2214"/>
    <w:rsid w:val="00BC2825"/>
    <w:rsid w:val="00BC2E96"/>
    <w:rsid w:val="00BC365F"/>
    <w:rsid w:val="00BC3A31"/>
    <w:rsid w:val="00BC406F"/>
    <w:rsid w:val="00BC4C88"/>
    <w:rsid w:val="00BC4DFB"/>
    <w:rsid w:val="00BC59CA"/>
    <w:rsid w:val="00BC6970"/>
    <w:rsid w:val="00BC6BA8"/>
    <w:rsid w:val="00BC6D81"/>
    <w:rsid w:val="00BC6F87"/>
    <w:rsid w:val="00BC734E"/>
    <w:rsid w:val="00BC7713"/>
    <w:rsid w:val="00BC7C93"/>
    <w:rsid w:val="00BD0286"/>
    <w:rsid w:val="00BD0A29"/>
    <w:rsid w:val="00BD1B3F"/>
    <w:rsid w:val="00BD33A9"/>
    <w:rsid w:val="00BD33BE"/>
    <w:rsid w:val="00BD3623"/>
    <w:rsid w:val="00BD3792"/>
    <w:rsid w:val="00BD3BB0"/>
    <w:rsid w:val="00BD3C72"/>
    <w:rsid w:val="00BD4E12"/>
    <w:rsid w:val="00BD4F07"/>
    <w:rsid w:val="00BD56F8"/>
    <w:rsid w:val="00BD5D4E"/>
    <w:rsid w:val="00BD5F7E"/>
    <w:rsid w:val="00BD7991"/>
    <w:rsid w:val="00BD7E30"/>
    <w:rsid w:val="00BE0BDD"/>
    <w:rsid w:val="00BE21E3"/>
    <w:rsid w:val="00BE305B"/>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A87"/>
    <w:rsid w:val="00BF1D23"/>
    <w:rsid w:val="00BF1F82"/>
    <w:rsid w:val="00BF2520"/>
    <w:rsid w:val="00BF3470"/>
    <w:rsid w:val="00BF3885"/>
    <w:rsid w:val="00BF3B94"/>
    <w:rsid w:val="00BF3FF8"/>
    <w:rsid w:val="00BF4C53"/>
    <w:rsid w:val="00BF54DC"/>
    <w:rsid w:val="00BF5748"/>
    <w:rsid w:val="00BF5B81"/>
    <w:rsid w:val="00BF6270"/>
    <w:rsid w:val="00BF67B7"/>
    <w:rsid w:val="00BF703E"/>
    <w:rsid w:val="00BF770B"/>
    <w:rsid w:val="00BF7802"/>
    <w:rsid w:val="00C007A6"/>
    <w:rsid w:val="00C01510"/>
    <w:rsid w:val="00C01CEB"/>
    <w:rsid w:val="00C01F6E"/>
    <w:rsid w:val="00C02B42"/>
    <w:rsid w:val="00C03249"/>
    <w:rsid w:val="00C036F7"/>
    <w:rsid w:val="00C03978"/>
    <w:rsid w:val="00C04BA2"/>
    <w:rsid w:val="00C04BAE"/>
    <w:rsid w:val="00C05362"/>
    <w:rsid w:val="00C05537"/>
    <w:rsid w:val="00C05896"/>
    <w:rsid w:val="00C0599A"/>
    <w:rsid w:val="00C05D89"/>
    <w:rsid w:val="00C06C42"/>
    <w:rsid w:val="00C06D80"/>
    <w:rsid w:val="00C06EB2"/>
    <w:rsid w:val="00C073DA"/>
    <w:rsid w:val="00C078C1"/>
    <w:rsid w:val="00C079DB"/>
    <w:rsid w:val="00C07C15"/>
    <w:rsid w:val="00C10B9B"/>
    <w:rsid w:val="00C10C30"/>
    <w:rsid w:val="00C1104C"/>
    <w:rsid w:val="00C11577"/>
    <w:rsid w:val="00C11990"/>
    <w:rsid w:val="00C11DC5"/>
    <w:rsid w:val="00C11F13"/>
    <w:rsid w:val="00C11F39"/>
    <w:rsid w:val="00C11F55"/>
    <w:rsid w:val="00C12249"/>
    <w:rsid w:val="00C1250E"/>
    <w:rsid w:val="00C1262D"/>
    <w:rsid w:val="00C138E7"/>
    <w:rsid w:val="00C139A1"/>
    <w:rsid w:val="00C13D15"/>
    <w:rsid w:val="00C1448C"/>
    <w:rsid w:val="00C14D7A"/>
    <w:rsid w:val="00C153BC"/>
    <w:rsid w:val="00C16490"/>
    <w:rsid w:val="00C168E7"/>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30F6"/>
    <w:rsid w:val="00C23686"/>
    <w:rsid w:val="00C23F8A"/>
    <w:rsid w:val="00C244B3"/>
    <w:rsid w:val="00C24B05"/>
    <w:rsid w:val="00C24D07"/>
    <w:rsid w:val="00C25052"/>
    <w:rsid w:val="00C25D31"/>
    <w:rsid w:val="00C262C1"/>
    <w:rsid w:val="00C265D0"/>
    <w:rsid w:val="00C26FE5"/>
    <w:rsid w:val="00C3022B"/>
    <w:rsid w:val="00C30723"/>
    <w:rsid w:val="00C3137D"/>
    <w:rsid w:val="00C31756"/>
    <w:rsid w:val="00C31F7F"/>
    <w:rsid w:val="00C32186"/>
    <w:rsid w:val="00C335AE"/>
    <w:rsid w:val="00C33C0D"/>
    <w:rsid w:val="00C34197"/>
    <w:rsid w:val="00C3427B"/>
    <w:rsid w:val="00C34E1F"/>
    <w:rsid w:val="00C35C70"/>
    <w:rsid w:val="00C35E26"/>
    <w:rsid w:val="00C3626A"/>
    <w:rsid w:val="00C36684"/>
    <w:rsid w:val="00C36DCC"/>
    <w:rsid w:val="00C36F0A"/>
    <w:rsid w:val="00C36F4F"/>
    <w:rsid w:val="00C372CB"/>
    <w:rsid w:val="00C37B23"/>
    <w:rsid w:val="00C4067A"/>
    <w:rsid w:val="00C41480"/>
    <w:rsid w:val="00C417F1"/>
    <w:rsid w:val="00C439E0"/>
    <w:rsid w:val="00C44052"/>
    <w:rsid w:val="00C44368"/>
    <w:rsid w:val="00C46111"/>
    <w:rsid w:val="00C46816"/>
    <w:rsid w:val="00C46822"/>
    <w:rsid w:val="00C468CE"/>
    <w:rsid w:val="00C46CE5"/>
    <w:rsid w:val="00C4706F"/>
    <w:rsid w:val="00C47CFC"/>
    <w:rsid w:val="00C50206"/>
    <w:rsid w:val="00C50260"/>
    <w:rsid w:val="00C512B5"/>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58CE"/>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728"/>
    <w:rsid w:val="00C658F4"/>
    <w:rsid w:val="00C65B6B"/>
    <w:rsid w:val="00C66492"/>
    <w:rsid w:val="00C664AB"/>
    <w:rsid w:val="00C66584"/>
    <w:rsid w:val="00C665A9"/>
    <w:rsid w:val="00C66705"/>
    <w:rsid w:val="00C67754"/>
    <w:rsid w:val="00C70218"/>
    <w:rsid w:val="00C70254"/>
    <w:rsid w:val="00C703C0"/>
    <w:rsid w:val="00C706D1"/>
    <w:rsid w:val="00C70FAE"/>
    <w:rsid w:val="00C7113D"/>
    <w:rsid w:val="00C71284"/>
    <w:rsid w:val="00C719C3"/>
    <w:rsid w:val="00C724F5"/>
    <w:rsid w:val="00C72BA3"/>
    <w:rsid w:val="00C72DD5"/>
    <w:rsid w:val="00C733A6"/>
    <w:rsid w:val="00C737B0"/>
    <w:rsid w:val="00C73D39"/>
    <w:rsid w:val="00C760ED"/>
    <w:rsid w:val="00C76282"/>
    <w:rsid w:val="00C7675A"/>
    <w:rsid w:val="00C76E9D"/>
    <w:rsid w:val="00C77906"/>
    <w:rsid w:val="00C80E18"/>
    <w:rsid w:val="00C816DF"/>
    <w:rsid w:val="00C820EE"/>
    <w:rsid w:val="00C826E0"/>
    <w:rsid w:val="00C82CD4"/>
    <w:rsid w:val="00C84475"/>
    <w:rsid w:val="00C84713"/>
    <w:rsid w:val="00C84758"/>
    <w:rsid w:val="00C853AB"/>
    <w:rsid w:val="00C856EF"/>
    <w:rsid w:val="00C85D45"/>
    <w:rsid w:val="00C85F72"/>
    <w:rsid w:val="00C86896"/>
    <w:rsid w:val="00C876E1"/>
    <w:rsid w:val="00C90162"/>
    <w:rsid w:val="00C908A9"/>
    <w:rsid w:val="00C908BE"/>
    <w:rsid w:val="00C91507"/>
    <w:rsid w:val="00C929E1"/>
    <w:rsid w:val="00C92F67"/>
    <w:rsid w:val="00C93C36"/>
    <w:rsid w:val="00C940C2"/>
    <w:rsid w:val="00C952E2"/>
    <w:rsid w:val="00C952E9"/>
    <w:rsid w:val="00C95AC8"/>
    <w:rsid w:val="00C95AF0"/>
    <w:rsid w:val="00C95E95"/>
    <w:rsid w:val="00C962BE"/>
    <w:rsid w:val="00C9639C"/>
    <w:rsid w:val="00C96514"/>
    <w:rsid w:val="00C972A5"/>
    <w:rsid w:val="00C9760B"/>
    <w:rsid w:val="00C976E0"/>
    <w:rsid w:val="00C9796B"/>
    <w:rsid w:val="00C97C19"/>
    <w:rsid w:val="00CA0174"/>
    <w:rsid w:val="00CA018B"/>
    <w:rsid w:val="00CA05EE"/>
    <w:rsid w:val="00CA0C53"/>
    <w:rsid w:val="00CA0FB8"/>
    <w:rsid w:val="00CA1AE4"/>
    <w:rsid w:val="00CA1E0C"/>
    <w:rsid w:val="00CA1FA7"/>
    <w:rsid w:val="00CA20E3"/>
    <w:rsid w:val="00CA245C"/>
    <w:rsid w:val="00CA26EC"/>
    <w:rsid w:val="00CA3AC7"/>
    <w:rsid w:val="00CA423D"/>
    <w:rsid w:val="00CA4AAC"/>
    <w:rsid w:val="00CA5AF9"/>
    <w:rsid w:val="00CA5D0C"/>
    <w:rsid w:val="00CA5E13"/>
    <w:rsid w:val="00CA625D"/>
    <w:rsid w:val="00CA69FF"/>
    <w:rsid w:val="00CA6F73"/>
    <w:rsid w:val="00CA7A1F"/>
    <w:rsid w:val="00CA7DAF"/>
    <w:rsid w:val="00CB017E"/>
    <w:rsid w:val="00CB0226"/>
    <w:rsid w:val="00CB0717"/>
    <w:rsid w:val="00CB0A65"/>
    <w:rsid w:val="00CB0DC8"/>
    <w:rsid w:val="00CB0FDE"/>
    <w:rsid w:val="00CB1177"/>
    <w:rsid w:val="00CB1618"/>
    <w:rsid w:val="00CB1A88"/>
    <w:rsid w:val="00CB277F"/>
    <w:rsid w:val="00CB2809"/>
    <w:rsid w:val="00CB328B"/>
    <w:rsid w:val="00CB3318"/>
    <w:rsid w:val="00CB3628"/>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3EBF"/>
    <w:rsid w:val="00CC4207"/>
    <w:rsid w:val="00CC51BD"/>
    <w:rsid w:val="00CC5222"/>
    <w:rsid w:val="00CC5775"/>
    <w:rsid w:val="00CC62CD"/>
    <w:rsid w:val="00CC6C6A"/>
    <w:rsid w:val="00CC6F07"/>
    <w:rsid w:val="00CC702B"/>
    <w:rsid w:val="00CC7881"/>
    <w:rsid w:val="00CC7971"/>
    <w:rsid w:val="00CD0422"/>
    <w:rsid w:val="00CD083E"/>
    <w:rsid w:val="00CD0982"/>
    <w:rsid w:val="00CD0FFA"/>
    <w:rsid w:val="00CD124B"/>
    <w:rsid w:val="00CD19CF"/>
    <w:rsid w:val="00CD265B"/>
    <w:rsid w:val="00CD2987"/>
    <w:rsid w:val="00CD2A22"/>
    <w:rsid w:val="00CD2A3D"/>
    <w:rsid w:val="00CD2EE0"/>
    <w:rsid w:val="00CD3DD5"/>
    <w:rsid w:val="00CD400D"/>
    <w:rsid w:val="00CD40C7"/>
    <w:rsid w:val="00CD4F38"/>
    <w:rsid w:val="00CD5885"/>
    <w:rsid w:val="00CD5D11"/>
    <w:rsid w:val="00CD5D93"/>
    <w:rsid w:val="00CD63D3"/>
    <w:rsid w:val="00CD6924"/>
    <w:rsid w:val="00CD7055"/>
    <w:rsid w:val="00CD7340"/>
    <w:rsid w:val="00CD73E8"/>
    <w:rsid w:val="00CD78B1"/>
    <w:rsid w:val="00CE047A"/>
    <w:rsid w:val="00CE06B1"/>
    <w:rsid w:val="00CE08D7"/>
    <w:rsid w:val="00CE0944"/>
    <w:rsid w:val="00CE0A76"/>
    <w:rsid w:val="00CE166B"/>
    <w:rsid w:val="00CE2362"/>
    <w:rsid w:val="00CE3120"/>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6EB7"/>
    <w:rsid w:val="00CF7105"/>
    <w:rsid w:val="00CF7271"/>
    <w:rsid w:val="00CF7305"/>
    <w:rsid w:val="00D005E0"/>
    <w:rsid w:val="00D00AD1"/>
    <w:rsid w:val="00D00FF7"/>
    <w:rsid w:val="00D012FF"/>
    <w:rsid w:val="00D0157B"/>
    <w:rsid w:val="00D01CC4"/>
    <w:rsid w:val="00D01E6B"/>
    <w:rsid w:val="00D0354D"/>
    <w:rsid w:val="00D0497C"/>
    <w:rsid w:val="00D04E4D"/>
    <w:rsid w:val="00D04F45"/>
    <w:rsid w:val="00D04FAA"/>
    <w:rsid w:val="00D0534B"/>
    <w:rsid w:val="00D0548B"/>
    <w:rsid w:val="00D05AEE"/>
    <w:rsid w:val="00D05D6E"/>
    <w:rsid w:val="00D0648D"/>
    <w:rsid w:val="00D06EB9"/>
    <w:rsid w:val="00D07830"/>
    <w:rsid w:val="00D1153F"/>
    <w:rsid w:val="00D11995"/>
    <w:rsid w:val="00D11CFD"/>
    <w:rsid w:val="00D12432"/>
    <w:rsid w:val="00D126CF"/>
    <w:rsid w:val="00D12AD9"/>
    <w:rsid w:val="00D13808"/>
    <w:rsid w:val="00D146FE"/>
    <w:rsid w:val="00D1581E"/>
    <w:rsid w:val="00D15D19"/>
    <w:rsid w:val="00D15D93"/>
    <w:rsid w:val="00D15DA1"/>
    <w:rsid w:val="00D15EEC"/>
    <w:rsid w:val="00D1635E"/>
    <w:rsid w:val="00D16380"/>
    <w:rsid w:val="00D163FF"/>
    <w:rsid w:val="00D1643C"/>
    <w:rsid w:val="00D166B5"/>
    <w:rsid w:val="00D167D0"/>
    <w:rsid w:val="00D16E87"/>
    <w:rsid w:val="00D17335"/>
    <w:rsid w:val="00D2079E"/>
    <w:rsid w:val="00D21356"/>
    <w:rsid w:val="00D216EE"/>
    <w:rsid w:val="00D220B5"/>
    <w:rsid w:val="00D224CF"/>
    <w:rsid w:val="00D230C1"/>
    <w:rsid w:val="00D232D8"/>
    <w:rsid w:val="00D233CD"/>
    <w:rsid w:val="00D23500"/>
    <w:rsid w:val="00D23AD3"/>
    <w:rsid w:val="00D23FC0"/>
    <w:rsid w:val="00D23FCE"/>
    <w:rsid w:val="00D2401D"/>
    <w:rsid w:val="00D24364"/>
    <w:rsid w:val="00D2469E"/>
    <w:rsid w:val="00D2649E"/>
    <w:rsid w:val="00D264D3"/>
    <w:rsid w:val="00D27300"/>
    <w:rsid w:val="00D27875"/>
    <w:rsid w:val="00D307FD"/>
    <w:rsid w:val="00D30A3B"/>
    <w:rsid w:val="00D3141B"/>
    <w:rsid w:val="00D31E2D"/>
    <w:rsid w:val="00D321E8"/>
    <w:rsid w:val="00D328E1"/>
    <w:rsid w:val="00D329D8"/>
    <w:rsid w:val="00D32E01"/>
    <w:rsid w:val="00D33975"/>
    <w:rsid w:val="00D33A8C"/>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105"/>
    <w:rsid w:val="00D4459D"/>
    <w:rsid w:val="00D45A14"/>
    <w:rsid w:val="00D46189"/>
    <w:rsid w:val="00D46BE9"/>
    <w:rsid w:val="00D46FA2"/>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51"/>
    <w:rsid w:val="00D5578A"/>
    <w:rsid w:val="00D5616C"/>
    <w:rsid w:val="00D56C00"/>
    <w:rsid w:val="00D57082"/>
    <w:rsid w:val="00D577BB"/>
    <w:rsid w:val="00D57B91"/>
    <w:rsid w:val="00D60E67"/>
    <w:rsid w:val="00D62320"/>
    <w:rsid w:val="00D6248B"/>
    <w:rsid w:val="00D62B5D"/>
    <w:rsid w:val="00D62B75"/>
    <w:rsid w:val="00D6317D"/>
    <w:rsid w:val="00D63379"/>
    <w:rsid w:val="00D635B1"/>
    <w:rsid w:val="00D639C5"/>
    <w:rsid w:val="00D63DB5"/>
    <w:rsid w:val="00D63E14"/>
    <w:rsid w:val="00D63F98"/>
    <w:rsid w:val="00D64155"/>
    <w:rsid w:val="00D649A1"/>
    <w:rsid w:val="00D64BEA"/>
    <w:rsid w:val="00D65C02"/>
    <w:rsid w:val="00D65CC7"/>
    <w:rsid w:val="00D661D2"/>
    <w:rsid w:val="00D66410"/>
    <w:rsid w:val="00D66550"/>
    <w:rsid w:val="00D66648"/>
    <w:rsid w:val="00D66EFB"/>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BE7"/>
    <w:rsid w:val="00D73CAC"/>
    <w:rsid w:val="00D73DF6"/>
    <w:rsid w:val="00D73FC4"/>
    <w:rsid w:val="00D73FE8"/>
    <w:rsid w:val="00D74538"/>
    <w:rsid w:val="00D749A0"/>
    <w:rsid w:val="00D749CB"/>
    <w:rsid w:val="00D74C9E"/>
    <w:rsid w:val="00D75F19"/>
    <w:rsid w:val="00D767AE"/>
    <w:rsid w:val="00D77AD8"/>
    <w:rsid w:val="00D80605"/>
    <w:rsid w:val="00D80973"/>
    <w:rsid w:val="00D80BD8"/>
    <w:rsid w:val="00D8261C"/>
    <w:rsid w:val="00D82A2B"/>
    <w:rsid w:val="00D8301D"/>
    <w:rsid w:val="00D8473E"/>
    <w:rsid w:val="00D85797"/>
    <w:rsid w:val="00D86255"/>
    <w:rsid w:val="00D863D1"/>
    <w:rsid w:val="00D872B7"/>
    <w:rsid w:val="00D87DCF"/>
    <w:rsid w:val="00D87F5B"/>
    <w:rsid w:val="00D90125"/>
    <w:rsid w:val="00D9057B"/>
    <w:rsid w:val="00D9096B"/>
    <w:rsid w:val="00D90ED1"/>
    <w:rsid w:val="00D91C34"/>
    <w:rsid w:val="00D925C5"/>
    <w:rsid w:val="00D9279F"/>
    <w:rsid w:val="00D92D23"/>
    <w:rsid w:val="00D935AB"/>
    <w:rsid w:val="00D936B4"/>
    <w:rsid w:val="00D94900"/>
    <w:rsid w:val="00D94E4C"/>
    <w:rsid w:val="00D953F7"/>
    <w:rsid w:val="00D95709"/>
    <w:rsid w:val="00D958D7"/>
    <w:rsid w:val="00D96083"/>
    <w:rsid w:val="00D96248"/>
    <w:rsid w:val="00D96AFA"/>
    <w:rsid w:val="00D96B2B"/>
    <w:rsid w:val="00D96D46"/>
    <w:rsid w:val="00D97B72"/>
    <w:rsid w:val="00D97CF6"/>
    <w:rsid w:val="00DA0BBE"/>
    <w:rsid w:val="00DA11AE"/>
    <w:rsid w:val="00DA16E5"/>
    <w:rsid w:val="00DA1BE9"/>
    <w:rsid w:val="00DA1DAA"/>
    <w:rsid w:val="00DA283D"/>
    <w:rsid w:val="00DA2CA6"/>
    <w:rsid w:val="00DA3E12"/>
    <w:rsid w:val="00DA4141"/>
    <w:rsid w:val="00DA417B"/>
    <w:rsid w:val="00DA45BD"/>
    <w:rsid w:val="00DA5000"/>
    <w:rsid w:val="00DA52EB"/>
    <w:rsid w:val="00DA5CD6"/>
    <w:rsid w:val="00DA6868"/>
    <w:rsid w:val="00DA7044"/>
    <w:rsid w:val="00DB0312"/>
    <w:rsid w:val="00DB06ED"/>
    <w:rsid w:val="00DB0ED0"/>
    <w:rsid w:val="00DB10F3"/>
    <w:rsid w:val="00DB115A"/>
    <w:rsid w:val="00DB1DCE"/>
    <w:rsid w:val="00DB31DB"/>
    <w:rsid w:val="00DB3213"/>
    <w:rsid w:val="00DB387C"/>
    <w:rsid w:val="00DB42F5"/>
    <w:rsid w:val="00DB4353"/>
    <w:rsid w:val="00DB43F8"/>
    <w:rsid w:val="00DB46DA"/>
    <w:rsid w:val="00DB488A"/>
    <w:rsid w:val="00DB5186"/>
    <w:rsid w:val="00DB5A7F"/>
    <w:rsid w:val="00DB640B"/>
    <w:rsid w:val="00DB656B"/>
    <w:rsid w:val="00DB6A23"/>
    <w:rsid w:val="00DB75BE"/>
    <w:rsid w:val="00DB7CD6"/>
    <w:rsid w:val="00DB7D6B"/>
    <w:rsid w:val="00DC00C2"/>
    <w:rsid w:val="00DC01DD"/>
    <w:rsid w:val="00DC198F"/>
    <w:rsid w:val="00DC29D6"/>
    <w:rsid w:val="00DC2DA2"/>
    <w:rsid w:val="00DC2F60"/>
    <w:rsid w:val="00DC2FFF"/>
    <w:rsid w:val="00DC3149"/>
    <w:rsid w:val="00DC3391"/>
    <w:rsid w:val="00DC3FB4"/>
    <w:rsid w:val="00DC430F"/>
    <w:rsid w:val="00DC43B0"/>
    <w:rsid w:val="00DC478C"/>
    <w:rsid w:val="00DC47BF"/>
    <w:rsid w:val="00DC4CEC"/>
    <w:rsid w:val="00DC5F0A"/>
    <w:rsid w:val="00DC6348"/>
    <w:rsid w:val="00DC6447"/>
    <w:rsid w:val="00DC6F43"/>
    <w:rsid w:val="00DD086B"/>
    <w:rsid w:val="00DD0C80"/>
    <w:rsid w:val="00DD1091"/>
    <w:rsid w:val="00DD145B"/>
    <w:rsid w:val="00DD1ACD"/>
    <w:rsid w:val="00DD2409"/>
    <w:rsid w:val="00DD2798"/>
    <w:rsid w:val="00DD2A6B"/>
    <w:rsid w:val="00DD3217"/>
    <w:rsid w:val="00DD3A79"/>
    <w:rsid w:val="00DD4174"/>
    <w:rsid w:val="00DD418A"/>
    <w:rsid w:val="00DD452E"/>
    <w:rsid w:val="00DD4929"/>
    <w:rsid w:val="00DD4EA1"/>
    <w:rsid w:val="00DD6998"/>
    <w:rsid w:val="00DD720F"/>
    <w:rsid w:val="00DD7C32"/>
    <w:rsid w:val="00DD7D9D"/>
    <w:rsid w:val="00DE00A7"/>
    <w:rsid w:val="00DE0A7D"/>
    <w:rsid w:val="00DE0DC9"/>
    <w:rsid w:val="00DE12EF"/>
    <w:rsid w:val="00DE19AA"/>
    <w:rsid w:val="00DE1BFE"/>
    <w:rsid w:val="00DE2156"/>
    <w:rsid w:val="00DE367F"/>
    <w:rsid w:val="00DE3E2A"/>
    <w:rsid w:val="00DE4973"/>
    <w:rsid w:val="00DE4F7F"/>
    <w:rsid w:val="00DE5469"/>
    <w:rsid w:val="00DE54CA"/>
    <w:rsid w:val="00DE5D83"/>
    <w:rsid w:val="00DE5E44"/>
    <w:rsid w:val="00DE6EC6"/>
    <w:rsid w:val="00DE704F"/>
    <w:rsid w:val="00DE7DBA"/>
    <w:rsid w:val="00DE7FB5"/>
    <w:rsid w:val="00DF02A0"/>
    <w:rsid w:val="00DF0953"/>
    <w:rsid w:val="00DF354D"/>
    <w:rsid w:val="00DF3B05"/>
    <w:rsid w:val="00DF44BC"/>
    <w:rsid w:val="00DF46D2"/>
    <w:rsid w:val="00DF4D9D"/>
    <w:rsid w:val="00DF4F63"/>
    <w:rsid w:val="00DF5209"/>
    <w:rsid w:val="00DF5300"/>
    <w:rsid w:val="00DF6443"/>
    <w:rsid w:val="00DF649D"/>
    <w:rsid w:val="00DF64D4"/>
    <w:rsid w:val="00DF6D56"/>
    <w:rsid w:val="00E00733"/>
    <w:rsid w:val="00E00948"/>
    <w:rsid w:val="00E00C13"/>
    <w:rsid w:val="00E00C41"/>
    <w:rsid w:val="00E00C46"/>
    <w:rsid w:val="00E01D40"/>
    <w:rsid w:val="00E024F6"/>
    <w:rsid w:val="00E0287E"/>
    <w:rsid w:val="00E02D84"/>
    <w:rsid w:val="00E037FD"/>
    <w:rsid w:val="00E04271"/>
    <w:rsid w:val="00E053BA"/>
    <w:rsid w:val="00E05420"/>
    <w:rsid w:val="00E0562D"/>
    <w:rsid w:val="00E05C05"/>
    <w:rsid w:val="00E0606D"/>
    <w:rsid w:val="00E06510"/>
    <w:rsid w:val="00E0676D"/>
    <w:rsid w:val="00E072B0"/>
    <w:rsid w:val="00E07C90"/>
    <w:rsid w:val="00E111E7"/>
    <w:rsid w:val="00E111F8"/>
    <w:rsid w:val="00E11DB5"/>
    <w:rsid w:val="00E12041"/>
    <w:rsid w:val="00E12618"/>
    <w:rsid w:val="00E128D7"/>
    <w:rsid w:val="00E129DF"/>
    <w:rsid w:val="00E12B5D"/>
    <w:rsid w:val="00E12C2E"/>
    <w:rsid w:val="00E13435"/>
    <w:rsid w:val="00E13F23"/>
    <w:rsid w:val="00E143D4"/>
    <w:rsid w:val="00E14773"/>
    <w:rsid w:val="00E14EC6"/>
    <w:rsid w:val="00E1521D"/>
    <w:rsid w:val="00E154D2"/>
    <w:rsid w:val="00E155E5"/>
    <w:rsid w:val="00E16633"/>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ECA"/>
    <w:rsid w:val="00E264B9"/>
    <w:rsid w:val="00E26859"/>
    <w:rsid w:val="00E26DB9"/>
    <w:rsid w:val="00E26E41"/>
    <w:rsid w:val="00E26EF2"/>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2E22"/>
    <w:rsid w:val="00E334B8"/>
    <w:rsid w:val="00E33C3F"/>
    <w:rsid w:val="00E34523"/>
    <w:rsid w:val="00E3511E"/>
    <w:rsid w:val="00E35FC8"/>
    <w:rsid w:val="00E36F8A"/>
    <w:rsid w:val="00E37394"/>
    <w:rsid w:val="00E37482"/>
    <w:rsid w:val="00E37A6A"/>
    <w:rsid w:val="00E37CC3"/>
    <w:rsid w:val="00E40479"/>
    <w:rsid w:val="00E40B38"/>
    <w:rsid w:val="00E40FB5"/>
    <w:rsid w:val="00E41884"/>
    <w:rsid w:val="00E4192C"/>
    <w:rsid w:val="00E41DF6"/>
    <w:rsid w:val="00E420CB"/>
    <w:rsid w:val="00E4281D"/>
    <w:rsid w:val="00E42BB9"/>
    <w:rsid w:val="00E42FB9"/>
    <w:rsid w:val="00E446FD"/>
    <w:rsid w:val="00E451B6"/>
    <w:rsid w:val="00E454AD"/>
    <w:rsid w:val="00E458B2"/>
    <w:rsid w:val="00E46089"/>
    <w:rsid w:val="00E4671A"/>
    <w:rsid w:val="00E474DE"/>
    <w:rsid w:val="00E47920"/>
    <w:rsid w:val="00E5019C"/>
    <w:rsid w:val="00E51311"/>
    <w:rsid w:val="00E51D11"/>
    <w:rsid w:val="00E52056"/>
    <w:rsid w:val="00E52222"/>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57111"/>
    <w:rsid w:val="00E57BEF"/>
    <w:rsid w:val="00E603AF"/>
    <w:rsid w:val="00E604FA"/>
    <w:rsid w:val="00E60FAB"/>
    <w:rsid w:val="00E6133F"/>
    <w:rsid w:val="00E615BD"/>
    <w:rsid w:val="00E61F48"/>
    <w:rsid w:val="00E62A1B"/>
    <w:rsid w:val="00E62B98"/>
    <w:rsid w:val="00E62F16"/>
    <w:rsid w:val="00E631E5"/>
    <w:rsid w:val="00E6329E"/>
    <w:rsid w:val="00E6390E"/>
    <w:rsid w:val="00E63980"/>
    <w:rsid w:val="00E64FA9"/>
    <w:rsid w:val="00E65018"/>
    <w:rsid w:val="00E65948"/>
    <w:rsid w:val="00E66CF4"/>
    <w:rsid w:val="00E66EAB"/>
    <w:rsid w:val="00E67339"/>
    <w:rsid w:val="00E6734C"/>
    <w:rsid w:val="00E67560"/>
    <w:rsid w:val="00E67B4D"/>
    <w:rsid w:val="00E67B50"/>
    <w:rsid w:val="00E67EF0"/>
    <w:rsid w:val="00E705EE"/>
    <w:rsid w:val="00E70B72"/>
    <w:rsid w:val="00E70FDA"/>
    <w:rsid w:val="00E7132D"/>
    <w:rsid w:val="00E713BF"/>
    <w:rsid w:val="00E721F6"/>
    <w:rsid w:val="00E722A2"/>
    <w:rsid w:val="00E729B9"/>
    <w:rsid w:val="00E730FA"/>
    <w:rsid w:val="00E742E4"/>
    <w:rsid w:val="00E746A4"/>
    <w:rsid w:val="00E752A9"/>
    <w:rsid w:val="00E75529"/>
    <w:rsid w:val="00E75D96"/>
    <w:rsid w:val="00E75DC3"/>
    <w:rsid w:val="00E76D6E"/>
    <w:rsid w:val="00E76DCC"/>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0D4"/>
    <w:rsid w:val="00E8551B"/>
    <w:rsid w:val="00E878A3"/>
    <w:rsid w:val="00E900A4"/>
    <w:rsid w:val="00E902E8"/>
    <w:rsid w:val="00E9033D"/>
    <w:rsid w:val="00E9041B"/>
    <w:rsid w:val="00E9076C"/>
    <w:rsid w:val="00E90F41"/>
    <w:rsid w:val="00E91398"/>
    <w:rsid w:val="00E9159F"/>
    <w:rsid w:val="00E91897"/>
    <w:rsid w:val="00E91BF4"/>
    <w:rsid w:val="00E91E02"/>
    <w:rsid w:val="00E92398"/>
    <w:rsid w:val="00E92777"/>
    <w:rsid w:val="00E92CBF"/>
    <w:rsid w:val="00E92E0A"/>
    <w:rsid w:val="00E935F5"/>
    <w:rsid w:val="00E9381C"/>
    <w:rsid w:val="00E93CFD"/>
    <w:rsid w:val="00E94584"/>
    <w:rsid w:val="00E95728"/>
    <w:rsid w:val="00E95C26"/>
    <w:rsid w:val="00E95CEA"/>
    <w:rsid w:val="00E962EC"/>
    <w:rsid w:val="00E967F1"/>
    <w:rsid w:val="00E976D8"/>
    <w:rsid w:val="00E97FE2"/>
    <w:rsid w:val="00EA08E8"/>
    <w:rsid w:val="00EA0F7E"/>
    <w:rsid w:val="00EA1457"/>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3F7"/>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1B2E"/>
    <w:rsid w:val="00EB20F4"/>
    <w:rsid w:val="00EB2490"/>
    <w:rsid w:val="00EB3F05"/>
    <w:rsid w:val="00EB4207"/>
    <w:rsid w:val="00EB53CC"/>
    <w:rsid w:val="00EB56C4"/>
    <w:rsid w:val="00EB5955"/>
    <w:rsid w:val="00EB6662"/>
    <w:rsid w:val="00EB6903"/>
    <w:rsid w:val="00EB6E71"/>
    <w:rsid w:val="00EC05E1"/>
    <w:rsid w:val="00EC07BA"/>
    <w:rsid w:val="00EC08E4"/>
    <w:rsid w:val="00EC1186"/>
    <w:rsid w:val="00EC23D8"/>
    <w:rsid w:val="00EC25BB"/>
    <w:rsid w:val="00EC3785"/>
    <w:rsid w:val="00EC3B2D"/>
    <w:rsid w:val="00EC3E5A"/>
    <w:rsid w:val="00EC453E"/>
    <w:rsid w:val="00EC458A"/>
    <w:rsid w:val="00EC4DE4"/>
    <w:rsid w:val="00EC51A1"/>
    <w:rsid w:val="00EC531B"/>
    <w:rsid w:val="00EC6178"/>
    <w:rsid w:val="00EC6288"/>
    <w:rsid w:val="00EC65DD"/>
    <w:rsid w:val="00EC6A56"/>
    <w:rsid w:val="00EC7166"/>
    <w:rsid w:val="00EC75D3"/>
    <w:rsid w:val="00EC7E78"/>
    <w:rsid w:val="00ED06AD"/>
    <w:rsid w:val="00ED0BED"/>
    <w:rsid w:val="00ED1232"/>
    <w:rsid w:val="00ED1A7F"/>
    <w:rsid w:val="00ED20BB"/>
    <w:rsid w:val="00ED22C5"/>
    <w:rsid w:val="00ED307B"/>
    <w:rsid w:val="00ED3503"/>
    <w:rsid w:val="00ED4DFC"/>
    <w:rsid w:val="00ED4E42"/>
    <w:rsid w:val="00ED4ED9"/>
    <w:rsid w:val="00ED54D7"/>
    <w:rsid w:val="00ED5E54"/>
    <w:rsid w:val="00ED69D8"/>
    <w:rsid w:val="00ED6CFE"/>
    <w:rsid w:val="00ED7786"/>
    <w:rsid w:val="00ED7EA9"/>
    <w:rsid w:val="00EE00E5"/>
    <w:rsid w:val="00EE0B31"/>
    <w:rsid w:val="00EE1E9C"/>
    <w:rsid w:val="00EE200B"/>
    <w:rsid w:val="00EE2083"/>
    <w:rsid w:val="00EE20A8"/>
    <w:rsid w:val="00EE23BC"/>
    <w:rsid w:val="00EE25D9"/>
    <w:rsid w:val="00EE433B"/>
    <w:rsid w:val="00EE434D"/>
    <w:rsid w:val="00EE46D0"/>
    <w:rsid w:val="00EE476D"/>
    <w:rsid w:val="00EE49A6"/>
    <w:rsid w:val="00EE4C73"/>
    <w:rsid w:val="00EE5ACC"/>
    <w:rsid w:val="00EE5C23"/>
    <w:rsid w:val="00EE67FE"/>
    <w:rsid w:val="00EE6BDD"/>
    <w:rsid w:val="00EE703E"/>
    <w:rsid w:val="00EE76F0"/>
    <w:rsid w:val="00EE7B1C"/>
    <w:rsid w:val="00EF02BD"/>
    <w:rsid w:val="00EF0965"/>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99A"/>
    <w:rsid w:val="00EF4E97"/>
    <w:rsid w:val="00EF61FC"/>
    <w:rsid w:val="00EF7388"/>
    <w:rsid w:val="00EF75A6"/>
    <w:rsid w:val="00EF7C48"/>
    <w:rsid w:val="00F0045E"/>
    <w:rsid w:val="00F006D2"/>
    <w:rsid w:val="00F00724"/>
    <w:rsid w:val="00F00774"/>
    <w:rsid w:val="00F0081B"/>
    <w:rsid w:val="00F00B7A"/>
    <w:rsid w:val="00F01298"/>
    <w:rsid w:val="00F01968"/>
    <w:rsid w:val="00F01B3E"/>
    <w:rsid w:val="00F01F95"/>
    <w:rsid w:val="00F0256E"/>
    <w:rsid w:val="00F030DD"/>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0D8"/>
    <w:rsid w:val="00F17267"/>
    <w:rsid w:val="00F211C9"/>
    <w:rsid w:val="00F21448"/>
    <w:rsid w:val="00F215D1"/>
    <w:rsid w:val="00F2210C"/>
    <w:rsid w:val="00F22F2A"/>
    <w:rsid w:val="00F231FB"/>
    <w:rsid w:val="00F243C4"/>
    <w:rsid w:val="00F243FF"/>
    <w:rsid w:val="00F2515E"/>
    <w:rsid w:val="00F25199"/>
    <w:rsid w:val="00F254D8"/>
    <w:rsid w:val="00F25CD3"/>
    <w:rsid w:val="00F26A46"/>
    <w:rsid w:val="00F26F86"/>
    <w:rsid w:val="00F2780A"/>
    <w:rsid w:val="00F30B28"/>
    <w:rsid w:val="00F314EF"/>
    <w:rsid w:val="00F3167E"/>
    <w:rsid w:val="00F3265E"/>
    <w:rsid w:val="00F332B2"/>
    <w:rsid w:val="00F33DD2"/>
    <w:rsid w:val="00F33E94"/>
    <w:rsid w:val="00F33F0D"/>
    <w:rsid w:val="00F34D2E"/>
    <w:rsid w:val="00F352BD"/>
    <w:rsid w:val="00F3589E"/>
    <w:rsid w:val="00F35DAE"/>
    <w:rsid w:val="00F368F2"/>
    <w:rsid w:val="00F36FB5"/>
    <w:rsid w:val="00F3715D"/>
    <w:rsid w:val="00F374F7"/>
    <w:rsid w:val="00F37A09"/>
    <w:rsid w:val="00F404BF"/>
    <w:rsid w:val="00F404D3"/>
    <w:rsid w:val="00F405B4"/>
    <w:rsid w:val="00F40EB5"/>
    <w:rsid w:val="00F40F31"/>
    <w:rsid w:val="00F41380"/>
    <w:rsid w:val="00F41421"/>
    <w:rsid w:val="00F4174A"/>
    <w:rsid w:val="00F41886"/>
    <w:rsid w:val="00F419C3"/>
    <w:rsid w:val="00F41A80"/>
    <w:rsid w:val="00F41C4B"/>
    <w:rsid w:val="00F42798"/>
    <w:rsid w:val="00F4311B"/>
    <w:rsid w:val="00F43206"/>
    <w:rsid w:val="00F435B6"/>
    <w:rsid w:val="00F43849"/>
    <w:rsid w:val="00F439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3D3"/>
    <w:rsid w:val="00F5253A"/>
    <w:rsid w:val="00F5325B"/>
    <w:rsid w:val="00F53AF0"/>
    <w:rsid w:val="00F544DD"/>
    <w:rsid w:val="00F55337"/>
    <w:rsid w:val="00F55BB0"/>
    <w:rsid w:val="00F55F0A"/>
    <w:rsid w:val="00F5636E"/>
    <w:rsid w:val="00F5652C"/>
    <w:rsid w:val="00F568F6"/>
    <w:rsid w:val="00F56BEF"/>
    <w:rsid w:val="00F57843"/>
    <w:rsid w:val="00F578D7"/>
    <w:rsid w:val="00F57C49"/>
    <w:rsid w:val="00F57D6B"/>
    <w:rsid w:val="00F609BF"/>
    <w:rsid w:val="00F60A98"/>
    <w:rsid w:val="00F618C5"/>
    <w:rsid w:val="00F619E0"/>
    <w:rsid w:val="00F61A38"/>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B7"/>
    <w:rsid w:val="00F724F5"/>
    <w:rsid w:val="00F72F11"/>
    <w:rsid w:val="00F72F51"/>
    <w:rsid w:val="00F73999"/>
    <w:rsid w:val="00F73AB3"/>
    <w:rsid w:val="00F73AB7"/>
    <w:rsid w:val="00F7566A"/>
    <w:rsid w:val="00F76268"/>
    <w:rsid w:val="00F76CF3"/>
    <w:rsid w:val="00F76CF4"/>
    <w:rsid w:val="00F76DA3"/>
    <w:rsid w:val="00F7718B"/>
    <w:rsid w:val="00F77BCA"/>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3F7C"/>
    <w:rsid w:val="00F8457A"/>
    <w:rsid w:val="00F8517B"/>
    <w:rsid w:val="00F853BE"/>
    <w:rsid w:val="00F8675D"/>
    <w:rsid w:val="00F86E2D"/>
    <w:rsid w:val="00F87B71"/>
    <w:rsid w:val="00F87EB0"/>
    <w:rsid w:val="00F9052C"/>
    <w:rsid w:val="00F90EBF"/>
    <w:rsid w:val="00F90FF1"/>
    <w:rsid w:val="00F9135D"/>
    <w:rsid w:val="00F9176D"/>
    <w:rsid w:val="00F91AD8"/>
    <w:rsid w:val="00F91B71"/>
    <w:rsid w:val="00F91BA8"/>
    <w:rsid w:val="00F9207A"/>
    <w:rsid w:val="00F922F2"/>
    <w:rsid w:val="00F9260F"/>
    <w:rsid w:val="00F9308E"/>
    <w:rsid w:val="00F9404B"/>
    <w:rsid w:val="00F9493C"/>
    <w:rsid w:val="00F95E64"/>
    <w:rsid w:val="00F960B8"/>
    <w:rsid w:val="00F9649D"/>
    <w:rsid w:val="00F967C4"/>
    <w:rsid w:val="00F96A46"/>
    <w:rsid w:val="00F96BB8"/>
    <w:rsid w:val="00F97647"/>
    <w:rsid w:val="00F97724"/>
    <w:rsid w:val="00F97A19"/>
    <w:rsid w:val="00FA068B"/>
    <w:rsid w:val="00FA1973"/>
    <w:rsid w:val="00FA1B1B"/>
    <w:rsid w:val="00FA20F0"/>
    <w:rsid w:val="00FA2534"/>
    <w:rsid w:val="00FA2BC2"/>
    <w:rsid w:val="00FA2D57"/>
    <w:rsid w:val="00FA37EA"/>
    <w:rsid w:val="00FA381E"/>
    <w:rsid w:val="00FA3DE3"/>
    <w:rsid w:val="00FA3F50"/>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2BD9"/>
    <w:rsid w:val="00FB2C51"/>
    <w:rsid w:val="00FB3935"/>
    <w:rsid w:val="00FB4250"/>
    <w:rsid w:val="00FB4E05"/>
    <w:rsid w:val="00FB50F4"/>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501B"/>
    <w:rsid w:val="00FC54D5"/>
    <w:rsid w:val="00FC664D"/>
    <w:rsid w:val="00FC737A"/>
    <w:rsid w:val="00FC7844"/>
    <w:rsid w:val="00FC78E5"/>
    <w:rsid w:val="00FD0189"/>
    <w:rsid w:val="00FD0A8B"/>
    <w:rsid w:val="00FD0CE5"/>
    <w:rsid w:val="00FD126A"/>
    <w:rsid w:val="00FD1512"/>
    <w:rsid w:val="00FD1AB4"/>
    <w:rsid w:val="00FD1DDF"/>
    <w:rsid w:val="00FD2217"/>
    <w:rsid w:val="00FD28E8"/>
    <w:rsid w:val="00FD3330"/>
    <w:rsid w:val="00FD3355"/>
    <w:rsid w:val="00FD3CF7"/>
    <w:rsid w:val="00FD472A"/>
    <w:rsid w:val="00FD4FCC"/>
    <w:rsid w:val="00FD522F"/>
    <w:rsid w:val="00FD55AE"/>
    <w:rsid w:val="00FD5690"/>
    <w:rsid w:val="00FD5A00"/>
    <w:rsid w:val="00FD5F89"/>
    <w:rsid w:val="00FD6570"/>
    <w:rsid w:val="00FD66E5"/>
    <w:rsid w:val="00FD6EA4"/>
    <w:rsid w:val="00FD6FCC"/>
    <w:rsid w:val="00FD79A7"/>
    <w:rsid w:val="00FD7DB9"/>
    <w:rsid w:val="00FE0841"/>
    <w:rsid w:val="00FE08FD"/>
    <w:rsid w:val="00FE12A5"/>
    <w:rsid w:val="00FE1352"/>
    <w:rsid w:val="00FE1B58"/>
    <w:rsid w:val="00FE1DFA"/>
    <w:rsid w:val="00FE1EDA"/>
    <w:rsid w:val="00FE1F3B"/>
    <w:rsid w:val="00FE22CB"/>
    <w:rsid w:val="00FE2859"/>
    <w:rsid w:val="00FE2A81"/>
    <w:rsid w:val="00FE2F6A"/>
    <w:rsid w:val="00FE303A"/>
    <w:rsid w:val="00FE345D"/>
    <w:rsid w:val="00FE486C"/>
    <w:rsid w:val="00FE4E00"/>
    <w:rsid w:val="00FE5194"/>
    <w:rsid w:val="00FE544E"/>
    <w:rsid w:val="00FE5A35"/>
    <w:rsid w:val="00FE64A9"/>
    <w:rsid w:val="00FE6BD7"/>
    <w:rsid w:val="00FE6C8F"/>
    <w:rsid w:val="00FE6F0F"/>
    <w:rsid w:val="00FF0644"/>
    <w:rsid w:val="00FF094E"/>
    <w:rsid w:val="00FF0A66"/>
    <w:rsid w:val="00FF1FCE"/>
    <w:rsid w:val="00FF2234"/>
    <w:rsid w:val="00FF290B"/>
    <w:rsid w:val="00FF320D"/>
    <w:rsid w:val="00FF33BD"/>
    <w:rsid w:val="00FF3B8C"/>
    <w:rsid w:val="00FF3C13"/>
    <w:rsid w:val="00FF3CEA"/>
    <w:rsid w:val="00FF3F18"/>
    <w:rsid w:val="00FF4169"/>
    <w:rsid w:val="00FF42CC"/>
    <w:rsid w:val="00FF4B56"/>
    <w:rsid w:val="00FF4D79"/>
    <w:rsid w:val="00FF4FD5"/>
    <w:rsid w:val="00FF57C0"/>
    <w:rsid w:val="00FF582B"/>
    <w:rsid w:val="00FF6702"/>
    <w:rsid w:val="00FF6822"/>
    <w:rsid w:val="00FF7188"/>
    <w:rsid w:val="00FF72DC"/>
    <w:rsid w:val="00FF750F"/>
    <w:rsid w:val="00FF76DE"/>
    <w:rsid w:val="00FF7785"/>
    <w:rsid w:val="00FF7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21"/>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1242F1"/>
    <w:pPr>
      <w:spacing w:line="256" w:lineRule="auto"/>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locked/>
    <w:rsid w:val="00A35BF0"/>
    <w:rPr>
      <w:rFonts w:asciiTheme="minorHAnsi" w:hAnsiTheme="minorHAnsi" w:cs="Arial"/>
    </w:rPr>
  </w:style>
  <w:style w:type="paragraph" w:customStyle="1" w:styleId="ExecSumBodyText">
    <w:name w:val="Exec Sum Body Text"/>
    <w:basedOn w:val="Normal"/>
    <w:link w:val="ExecSumBodyTextChar"/>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8946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80338678">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56136651">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6782784">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172703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003699">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6531820">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772245">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87147073">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5579703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53812917">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63337785">
      <w:bodyDiv w:val="1"/>
      <w:marLeft w:val="0"/>
      <w:marRight w:val="0"/>
      <w:marTop w:val="0"/>
      <w:marBottom w:val="0"/>
      <w:divBdr>
        <w:top w:val="none" w:sz="0" w:space="0" w:color="auto"/>
        <w:left w:val="none" w:sz="0" w:space="0" w:color="auto"/>
        <w:bottom w:val="none" w:sz="0" w:space="0" w:color="auto"/>
        <w:right w:val="none" w:sz="0" w:space="0" w:color="auto"/>
      </w:divBdr>
    </w:div>
    <w:div w:id="1985041913">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13190</Words>
  <Characters>76680</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2023-05-05T06:48:00Z</dcterms:created>
  <dcterms:modified xsi:type="dcterms:W3CDTF">2023-05-05T06:48:00Z</dcterms:modified>
</cp:coreProperties>
</file>