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B0EE" w14:textId="77777777" w:rsidR="00D7136A" w:rsidRDefault="00464DA0" w:rsidP="00052897">
      <w:pPr>
        <w:contextualSpacing/>
        <w:jc w:val="both"/>
        <w:rPr>
          <w:rFonts w:ascii="Arial" w:hAnsi="Arial" w:cs="Arial"/>
          <w:b/>
          <w:szCs w:val="20"/>
          <w:lang w:eastAsia="en-AU"/>
        </w:rPr>
      </w:pPr>
      <w:r>
        <w:rPr>
          <w:rFonts w:ascii="Arial" w:hAnsi="Arial" w:cs="Arial"/>
          <w:b/>
          <w:sz w:val="28"/>
          <w:lang w:eastAsia="en-AU"/>
        </w:rPr>
        <w:t xml:space="preserve">PBAC CONSIDERATION OF THE </w:t>
      </w:r>
      <w:r w:rsidR="00D7136A">
        <w:rPr>
          <w:rFonts w:ascii="Arial" w:hAnsi="Arial" w:cs="Arial"/>
          <w:b/>
          <w:sz w:val="28"/>
          <w:lang w:eastAsia="en-AU"/>
        </w:rPr>
        <w:t>REPORT</w:t>
      </w:r>
      <w:r w:rsidR="00267A9D">
        <w:rPr>
          <w:rFonts w:ascii="Arial" w:hAnsi="Arial" w:cs="Arial"/>
          <w:b/>
          <w:sz w:val="28"/>
          <w:lang w:eastAsia="en-AU"/>
        </w:rPr>
        <w:t xml:space="preserve"> OF THE DRUG </w:t>
      </w:r>
      <w:r w:rsidR="00D7136A" w:rsidRPr="00B94022">
        <w:rPr>
          <w:rFonts w:ascii="Arial" w:hAnsi="Arial" w:cs="Arial"/>
          <w:b/>
          <w:sz w:val="28"/>
          <w:lang w:eastAsia="en-AU"/>
        </w:rPr>
        <w:t>UTILISATION SUB-COMMITTEE</w:t>
      </w:r>
    </w:p>
    <w:p w14:paraId="7F124E9C" w14:textId="77777777" w:rsidR="00D7136A" w:rsidRPr="006951BF" w:rsidRDefault="00D7136A" w:rsidP="00052897">
      <w:pPr>
        <w:jc w:val="both"/>
        <w:rPr>
          <w:rFonts w:ascii="Arial" w:hAnsi="Arial" w:cs="Arial"/>
          <w:b/>
          <w:sz w:val="28"/>
          <w:szCs w:val="20"/>
          <w:lang w:eastAsia="en-AU"/>
        </w:rPr>
      </w:pPr>
    </w:p>
    <w:p w14:paraId="2BEF9007" w14:textId="1290D51B" w:rsidR="005616CC" w:rsidRPr="009E20A4" w:rsidRDefault="00D7136A" w:rsidP="00052897">
      <w:pPr>
        <w:contextualSpacing/>
        <w:jc w:val="both"/>
        <w:rPr>
          <w:rFonts w:ascii="Arial" w:hAnsi="Arial" w:cs="Arial"/>
          <w:color w:val="A6A6A6"/>
          <w:sz w:val="22"/>
          <w:lang w:eastAsia="en-AU"/>
        </w:rPr>
      </w:pPr>
      <w:r w:rsidRPr="006951BF">
        <w:rPr>
          <w:rFonts w:ascii="Arial" w:hAnsi="Arial" w:cs="Arial"/>
          <w:sz w:val="22"/>
          <w:lang w:eastAsia="en-AU"/>
        </w:rPr>
        <w:t xml:space="preserve">The PBAC noted reports with associated stakeholder responses from the </w:t>
      </w:r>
      <w:r w:rsidR="00A152EE">
        <w:rPr>
          <w:rFonts w:ascii="Arial" w:hAnsi="Arial" w:cs="Arial"/>
          <w:sz w:val="22"/>
          <w:lang w:eastAsia="en-AU"/>
        </w:rPr>
        <w:t>June</w:t>
      </w:r>
      <w:r w:rsidR="008621E7">
        <w:rPr>
          <w:rFonts w:ascii="Arial" w:hAnsi="Arial" w:cs="Arial"/>
          <w:sz w:val="22"/>
          <w:lang w:eastAsia="en-AU"/>
        </w:rPr>
        <w:t xml:space="preserve"> 2023</w:t>
      </w:r>
      <w:r w:rsidR="00DB4B4C">
        <w:rPr>
          <w:rFonts w:ascii="Arial" w:hAnsi="Arial" w:cs="Arial"/>
          <w:sz w:val="22"/>
          <w:lang w:eastAsia="en-AU"/>
        </w:rPr>
        <w:t xml:space="preserve"> </w:t>
      </w:r>
      <w:r w:rsidR="00A31269" w:rsidRPr="006951BF">
        <w:rPr>
          <w:rFonts w:ascii="Arial" w:hAnsi="Arial" w:cs="Arial"/>
          <w:sz w:val="22"/>
          <w:lang w:eastAsia="en-AU"/>
        </w:rPr>
        <w:t xml:space="preserve">Drug Utilisation Sub-Committee (DUSC) </w:t>
      </w:r>
      <w:r w:rsidRPr="006951BF">
        <w:rPr>
          <w:rFonts w:ascii="Arial" w:hAnsi="Arial" w:cs="Arial"/>
          <w:sz w:val="22"/>
          <w:lang w:eastAsia="en-AU"/>
        </w:rPr>
        <w:t>meeting, which were provided in Item</w:t>
      </w:r>
      <w:r w:rsidR="00A31269" w:rsidRPr="006951BF">
        <w:rPr>
          <w:rFonts w:ascii="Arial" w:hAnsi="Arial" w:cs="Arial"/>
          <w:sz w:val="22"/>
          <w:lang w:eastAsia="en-AU"/>
        </w:rPr>
        <w:t>s 10.0</w:t>
      </w:r>
      <w:r w:rsidR="006354AB">
        <w:rPr>
          <w:rFonts w:ascii="Arial" w:hAnsi="Arial" w:cs="Arial"/>
          <w:sz w:val="22"/>
          <w:lang w:eastAsia="en-AU"/>
        </w:rPr>
        <w:t xml:space="preserve">2, </w:t>
      </w:r>
      <w:r w:rsidR="008621E7">
        <w:rPr>
          <w:rFonts w:ascii="Arial" w:hAnsi="Arial" w:cs="Arial"/>
          <w:sz w:val="22"/>
          <w:lang w:eastAsia="en-AU"/>
        </w:rPr>
        <w:t xml:space="preserve">and </w:t>
      </w:r>
      <w:r w:rsidR="006354AB">
        <w:rPr>
          <w:rFonts w:ascii="Arial" w:hAnsi="Arial" w:cs="Arial"/>
          <w:sz w:val="22"/>
          <w:lang w:eastAsia="en-AU"/>
        </w:rPr>
        <w:t>10.</w:t>
      </w:r>
      <w:r w:rsidR="008621E7">
        <w:rPr>
          <w:rFonts w:ascii="Arial" w:hAnsi="Arial" w:cs="Arial"/>
          <w:sz w:val="22"/>
          <w:lang w:eastAsia="en-AU"/>
        </w:rPr>
        <w:t>03</w:t>
      </w:r>
      <w:r w:rsidR="00C229C3">
        <w:rPr>
          <w:rFonts w:ascii="Arial" w:hAnsi="Arial" w:cs="Arial"/>
          <w:sz w:val="22"/>
          <w:lang w:eastAsia="en-AU"/>
        </w:rPr>
        <w:t xml:space="preserve"> </w:t>
      </w:r>
      <w:r w:rsidRPr="006951BF">
        <w:rPr>
          <w:rFonts w:ascii="Arial" w:hAnsi="Arial" w:cs="Arial"/>
          <w:sz w:val="22"/>
          <w:lang w:eastAsia="en-AU"/>
        </w:rPr>
        <w:t xml:space="preserve">of the PBAC Agenda. </w:t>
      </w:r>
      <w:r w:rsidR="00A31269" w:rsidRPr="006951BF">
        <w:rPr>
          <w:rFonts w:ascii="Arial" w:hAnsi="Arial" w:cs="Arial"/>
          <w:sz w:val="22"/>
          <w:lang w:eastAsia="en-AU"/>
        </w:rPr>
        <w:t>DUSC minutes relating to these items were provided to the PBAC</w:t>
      </w:r>
      <w:r w:rsidR="00F8213A">
        <w:rPr>
          <w:rFonts w:ascii="Arial" w:hAnsi="Arial" w:cs="Arial"/>
          <w:sz w:val="22"/>
          <w:lang w:eastAsia="en-AU"/>
        </w:rPr>
        <w:t>. The outcomes of the DUSC consideration of these items are available in</w:t>
      </w:r>
      <w:r w:rsidR="00CB6BC5">
        <w:rPr>
          <w:rFonts w:ascii="Arial" w:hAnsi="Arial" w:cs="Arial"/>
          <w:sz w:val="22"/>
          <w:lang w:eastAsia="en-AU"/>
        </w:rPr>
        <w:t xml:space="preserve"> the</w:t>
      </w:r>
      <w:r w:rsidR="00BD0BA3">
        <w:rPr>
          <w:rFonts w:ascii="Arial" w:hAnsi="Arial" w:cs="Arial"/>
          <w:sz w:val="22"/>
          <w:lang w:eastAsia="en-AU"/>
        </w:rPr>
        <w:t xml:space="preserve"> </w:t>
      </w:r>
      <w:hyperlink r:id="rId11" w:history="1">
        <w:r w:rsidR="00AB23B4">
          <w:rPr>
            <w:rStyle w:val="Hyperlink"/>
            <w:rFonts w:ascii="Arial" w:hAnsi="Arial" w:cs="Arial"/>
            <w:sz w:val="22"/>
            <w:lang w:eastAsia="en-AU"/>
          </w:rPr>
          <w:t>June 2023 DUSC outcome statement</w:t>
        </w:r>
      </w:hyperlink>
      <w:r w:rsidR="00BD0BA3">
        <w:rPr>
          <w:rFonts w:ascii="Arial" w:hAnsi="Arial" w:cs="Arial"/>
          <w:sz w:val="22"/>
          <w:lang w:eastAsia="en-AU"/>
        </w:rPr>
        <w:t>.</w:t>
      </w:r>
    </w:p>
    <w:p w14:paraId="5DB2DFD8" w14:textId="77777777" w:rsidR="001E1951" w:rsidRPr="006951BF" w:rsidRDefault="001E1951" w:rsidP="00973009">
      <w:pPr>
        <w:contextualSpacing/>
        <w:jc w:val="both"/>
        <w:rPr>
          <w:rFonts w:ascii="Arial" w:hAnsi="Arial" w:cs="Arial"/>
          <w:b/>
          <w:sz w:val="22"/>
          <w:lang w:eastAsia="en-AU"/>
        </w:rPr>
      </w:pPr>
    </w:p>
    <w:p w14:paraId="536A5C33" w14:textId="7AE6A27C" w:rsidR="00614F10" w:rsidRPr="00050E03" w:rsidRDefault="00050E03" w:rsidP="00973009">
      <w:pPr>
        <w:spacing w:after="120"/>
        <w:jc w:val="both"/>
        <w:rPr>
          <w:rFonts w:ascii="Arial" w:hAnsi="Arial" w:cs="Arial"/>
          <w:b/>
          <w:caps/>
          <w:sz w:val="22"/>
          <w:szCs w:val="22"/>
          <w:lang w:eastAsia="en-AU"/>
        </w:rPr>
      </w:pPr>
      <w:r w:rsidRPr="00050E03">
        <w:rPr>
          <w:rFonts w:ascii="Arial" w:hAnsi="Arial" w:cs="Arial"/>
          <w:b/>
          <w:caps/>
          <w:sz w:val="22"/>
          <w:szCs w:val="22"/>
          <w:lang w:eastAsia="en-AU"/>
        </w:rPr>
        <w:t>Olaparib for ovarian, fallopian tube and primary peritoneal cancer</w:t>
      </w:r>
    </w:p>
    <w:p w14:paraId="4711D0AD" w14:textId="20F349AF" w:rsidR="00A31269" w:rsidRDefault="00A31269" w:rsidP="00973009">
      <w:pPr>
        <w:spacing w:after="120"/>
        <w:jc w:val="both"/>
        <w:rPr>
          <w:rFonts w:ascii="Arial" w:hAnsi="Arial" w:cs="Arial"/>
          <w:i/>
          <w:sz w:val="22"/>
          <w:szCs w:val="22"/>
        </w:rPr>
      </w:pPr>
      <w:r w:rsidRPr="00362AC3">
        <w:rPr>
          <w:rFonts w:ascii="Arial" w:hAnsi="Arial" w:cs="Arial"/>
          <w:i/>
          <w:sz w:val="22"/>
          <w:szCs w:val="22"/>
        </w:rPr>
        <w:t>Outcome</w:t>
      </w:r>
    </w:p>
    <w:p w14:paraId="19E0EB4C" w14:textId="76840708" w:rsidR="009F55CE" w:rsidRDefault="00022BF9" w:rsidP="009F55CE">
      <w:pPr>
        <w:spacing w:before="120" w:after="120"/>
        <w:jc w:val="both"/>
        <w:rPr>
          <w:rFonts w:ascii="Arial" w:hAnsi="Arial" w:cs="Arial"/>
          <w:i/>
          <w:iCs/>
          <w:sz w:val="22"/>
          <w:szCs w:val="22"/>
        </w:rPr>
      </w:pPr>
      <w:r w:rsidRPr="00550F01">
        <w:rPr>
          <w:rFonts w:ascii="Arial" w:hAnsi="Arial" w:cs="Arial"/>
          <w:sz w:val="22"/>
          <w:szCs w:val="22"/>
        </w:rPr>
        <w:t xml:space="preserve">The PBAC noted </w:t>
      </w:r>
      <w:r w:rsidR="00EE6509">
        <w:rPr>
          <w:rFonts w:ascii="Arial" w:hAnsi="Arial" w:cs="Arial"/>
          <w:sz w:val="22"/>
          <w:szCs w:val="22"/>
        </w:rPr>
        <w:t xml:space="preserve">that the </w:t>
      </w:r>
      <w:r w:rsidRPr="00550F01">
        <w:rPr>
          <w:rFonts w:ascii="Arial" w:hAnsi="Arial" w:cs="Arial"/>
          <w:sz w:val="22"/>
          <w:szCs w:val="22"/>
        </w:rPr>
        <w:t>utilisation of olaparib for first-line therapy was different from estimated.</w:t>
      </w:r>
      <w:r w:rsidR="009F55CE" w:rsidRPr="009F55CE">
        <w:rPr>
          <w:rFonts w:ascii="Arial" w:hAnsi="Arial" w:cs="Arial"/>
          <w:sz w:val="22"/>
          <w:szCs w:val="22"/>
        </w:rPr>
        <w:t xml:space="preserve"> </w:t>
      </w:r>
      <w:r w:rsidR="009F55CE" w:rsidRPr="00550F01">
        <w:rPr>
          <w:rFonts w:ascii="Arial" w:hAnsi="Arial" w:cs="Arial"/>
          <w:sz w:val="22"/>
          <w:szCs w:val="22"/>
        </w:rPr>
        <w:t xml:space="preserve">The PBAC noted that the utilisation review was based on 25 months of data since the extension of listing to the </w:t>
      </w:r>
      <w:r w:rsidR="009F55CE">
        <w:rPr>
          <w:rFonts w:ascii="Arial" w:hAnsi="Arial" w:cs="Arial"/>
          <w:sz w:val="22"/>
          <w:szCs w:val="22"/>
        </w:rPr>
        <w:t>first-line</w:t>
      </w:r>
      <w:r w:rsidR="009F55CE" w:rsidRPr="00550F01">
        <w:rPr>
          <w:rFonts w:ascii="Arial" w:hAnsi="Arial" w:cs="Arial"/>
          <w:sz w:val="22"/>
          <w:szCs w:val="22"/>
        </w:rPr>
        <w:t xml:space="preserve"> setting. The PBAC noted the immaturity of the utilisation data and that with increased time and clinician familiarity, patients may be treated with olaparib for longer. The PBAC noted </w:t>
      </w:r>
      <w:r w:rsidR="00EE6509">
        <w:rPr>
          <w:rFonts w:ascii="Arial" w:hAnsi="Arial" w:cs="Arial"/>
          <w:sz w:val="22"/>
          <w:szCs w:val="22"/>
        </w:rPr>
        <w:t xml:space="preserve">the </w:t>
      </w:r>
      <w:r w:rsidR="009F55CE">
        <w:rPr>
          <w:rFonts w:ascii="Arial" w:hAnsi="Arial" w:cs="Arial"/>
          <w:sz w:val="22"/>
          <w:szCs w:val="22"/>
        </w:rPr>
        <w:t>sponsor comments</w:t>
      </w:r>
      <w:r w:rsidR="009F55CE" w:rsidRPr="00550F01">
        <w:rPr>
          <w:rFonts w:ascii="Arial" w:hAnsi="Arial" w:cs="Arial"/>
          <w:sz w:val="22"/>
          <w:szCs w:val="22"/>
        </w:rPr>
        <w:t xml:space="preserve"> on the immaturity of the utilisation data with regards to future utilisation in the </w:t>
      </w:r>
      <w:r w:rsidR="009F55CE">
        <w:rPr>
          <w:rFonts w:ascii="Arial" w:hAnsi="Arial" w:cs="Arial"/>
          <w:sz w:val="22"/>
          <w:szCs w:val="22"/>
        </w:rPr>
        <w:t>first-</w:t>
      </w:r>
      <w:r w:rsidR="009F55CE" w:rsidRPr="00550F01">
        <w:rPr>
          <w:rFonts w:ascii="Arial" w:hAnsi="Arial" w:cs="Arial"/>
          <w:sz w:val="22"/>
          <w:szCs w:val="22"/>
        </w:rPr>
        <w:t xml:space="preserve"> and </w:t>
      </w:r>
      <w:r w:rsidR="009F55CE">
        <w:rPr>
          <w:rFonts w:ascii="Arial" w:hAnsi="Arial" w:cs="Arial"/>
          <w:sz w:val="22"/>
          <w:szCs w:val="22"/>
        </w:rPr>
        <w:t>second-line</w:t>
      </w:r>
      <w:r w:rsidR="009F55CE" w:rsidRPr="00550F01">
        <w:rPr>
          <w:rFonts w:ascii="Arial" w:hAnsi="Arial" w:cs="Arial"/>
          <w:sz w:val="22"/>
          <w:szCs w:val="22"/>
        </w:rPr>
        <w:t xml:space="preserve"> setting.</w:t>
      </w:r>
      <w:r w:rsidR="009F55CE" w:rsidRPr="00550F01">
        <w:rPr>
          <w:rFonts w:ascii="Arial" w:hAnsi="Arial" w:cs="Arial"/>
          <w:i/>
          <w:iCs/>
          <w:sz w:val="22"/>
          <w:szCs w:val="22"/>
        </w:rPr>
        <w:t xml:space="preserve"> </w:t>
      </w:r>
    </w:p>
    <w:p w14:paraId="66544911" w14:textId="736AE5D3" w:rsidR="00022BF9" w:rsidRPr="00550F01" w:rsidRDefault="00022BF9" w:rsidP="00A71C64">
      <w:pPr>
        <w:spacing w:before="120" w:after="120"/>
        <w:jc w:val="both"/>
        <w:rPr>
          <w:rFonts w:ascii="Arial" w:hAnsi="Arial" w:cs="Arial"/>
          <w:sz w:val="22"/>
          <w:szCs w:val="22"/>
        </w:rPr>
      </w:pPr>
      <w:r w:rsidRPr="00550F01">
        <w:rPr>
          <w:rFonts w:ascii="Arial" w:hAnsi="Arial" w:cs="Arial"/>
          <w:sz w:val="22"/>
          <w:szCs w:val="22"/>
        </w:rPr>
        <w:t>The PBAC considered the impact of the COVID-19 pandemic on the delay in diagnosis and treatment.</w:t>
      </w:r>
      <w:r w:rsidRPr="00550F01">
        <w:rPr>
          <w:rStyle w:val="FootnoteReference"/>
          <w:rFonts w:ascii="Arial" w:hAnsi="Arial" w:cs="Arial"/>
          <w:sz w:val="22"/>
          <w:szCs w:val="22"/>
        </w:rPr>
        <w:footnoteReference w:id="1"/>
      </w:r>
      <w:r w:rsidRPr="00550F01">
        <w:rPr>
          <w:rFonts w:ascii="Arial" w:hAnsi="Arial" w:cs="Arial"/>
          <w:sz w:val="22"/>
          <w:szCs w:val="22"/>
        </w:rPr>
        <w:t xml:space="preserve"> The PBAC noted </w:t>
      </w:r>
      <w:r w:rsidR="00EE6509">
        <w:rPr>
          <w:rFonts w:ascii="Arial" w:hAnsi="Arial" w:cs="Arial"/>
          <w:sz w:val="22"/>
          <w:szCs w:val="22"/>
        </w:rPr>
        <w:t xml:space="preserve">the </w:t>
      </w:r>
      <w:r w:rsidRPr="00550F01">
        <w:rPr>
          <w:rFonts w:ascii="Arial" w:hAnsi="Arial" w:cs="Arial"/>
          <w:sz w:val="22"/>
          <w:szCs w:val="22"/>
        </w:rPr>
        <w:t>consumer input from Ovarian Cancer Australia who commented on the decrease in investigations for gynaecological cancers, however</w:t>
      </w:r>
      <w:r w:rsidR="00EE6509">
        <w:rPr>
          <w:rFonts w:ascii="Arial" w:hAnsi="Arial" w:cs="Arial"/>
          <w:sz w:val="22"/>
          <w:szCs w:val="22"/>
        </w:rPr>
        <w:t xml:space="preserve"> noted that the</w:t>
      </w:r>
      <w:r w:rsidRPr="00550F01">
        <w:rPr>
          <w:rFonts w:ascii="Arial" w:hAnsi="Arial" w:cs="Arial"/>
          <w:sz w:val="22"/>
          <w:szCs w:val="22"/>
        </w:rPr>
        <w:t xml:space="preserve"> implications for diagnosis and treatment are uncertain.</w:t>
      </w:r>
      <w:r w:rsidRPr="00550F01">
        <w:rPr>
          <w:rFonts w:ascii="Arial" w:hAnsi="Arial" w:cs="Arial"/>
          <w:i/>
          <w:iCs/>
          <w:sz w:val="22"/>
          <w:szCs w:val="22"/>
        </w:rPr>
        <w:t xml:space="preserve"> </w:t>
      </w:r>
    </w:p>
    <w:p w14:paraId="5E233CB5" w14:textId="6CA7412C" w:rsidR="008621E7" w:rsidRPr="00550F01" w:rsidRDefault="008621E7" w:rsidP="008621E7">
      <w:pPr>
        <w:spacing w:before="120" w:after="120"/>
        <w:jc w:val="both"/>
        <w:rPr>
          <w:rFonts w:ascii="Arial" w:hAnsi="Arial" w:cs="Arial"/>
          <w:sz w:val="22"/>
          <w:szCs w:val="22"/>
        </w:rPr>
      </w:pPr>
    </w:p>
    <w:p w14:paraId="4E681FBA" w14:textId="0E0662DC" w:rsidR="00ED1C3D" w:rsidRPr="00984270" w:rsidRDefault="00984270" w:rsidP="00ED1C3D">
      <w:pPr>
        <w:contextualSpacing/>
        <w:jc w:val="both"/>
        <w:rPr>
          <w:rFonts w:ascii="Arial" w:hAnsi="Arial" w:cs="Arial"/>
          <w:b/>
          <w:caps/>
          <w:sz w:val="22"/>
          <w:szCs w:val="22"/>
          <w:lang w:eastAsia="en-AU"/>
        </w:rPr>
      </w:pPr>
      <w:r w:rsidRPr="00984270">
        <w:rPr>
          <w:rFonts w:ascii="Arial" w:hAnsi="Arial" w:cs="Arial"/>
          <w:b/>
          <w:caps/>
          <w:sz w:val="22"/>
          <w:szCs w:val="22"/>
          <w:lang w:eastAsia="en-AU"/>
        </w:rPr>
        <w:t>Omalizumab for chronic spontaneous urticaria</w:t>
      </w:r>
      <w:r w:rsidR="00ED1C3D" w:rsidRPr="00984270">
        <w:rPr>
          <w:rFonts w:ascii="Arial" w:hAnsi="Arial" w:cs="Arial"/>
          <w:b/>
          <w:caps/>
          <w:sz w:val="22"/>
          <w:szCs w:val="22"/>
          <w:lang w:eastAsia="en-AU"/>
        </w:rPr>
        <w:t xml:space="preserve"> </w:t>
      </w:r>
    </w:p>
    <w:p w14:paraId="60AFAC0C" w14:textId="3DC32B16" w:rsidR="00ED1C3D" w:rsidRDefault="00ED1C3D" w:rsidP="008621E7">
      <w:pPr>
        <w:spacing w:before="120" w:after="120"/>
        <w:jc w:val="both"/>
        <w:rPr>
          <w:rFonts w:ascii="Arial" w:hAnsi="Arial" w:cs="Arial"/>
          <w:i/>
          <w:iCs/>
          <w:sz w:val="22"/>
          <w:szCs w:val="22"/>
        </w:rPr>
      </w:pPr>
      <w:r w:rsidRPr="00ED1C3D">
        <w:rPr>
          <w:rFonts w:ascii="Arial" w:hAnsi="Arial" w:cs="Arial"/>
          <w:i/>
          <w:iCs/>
          <w:sz w:val="22"/>
          <w:szCs w:val="22"/>
        </w:rPr>
        <w:t>Outcome</w:t>
      </w:r>
    </w:p>
    <w:p w14:paraId="13A21336" w14:textId="56DCEAE0" w:rsidR="00EE12C0" w:rsidRPr="00EE12C0" w:rsidRDefault="00EE12C0" w:rsidP="009B339D">
      <w:pPr>
        <w:spacing w:before="120" w:after="120"/>
        <w:jc w:val="both"/>
        <w:rPr>
          <w:rFonts w:ascii="Arial" w:hAnsi="Arial" w:cs="Arial"/>
          <w:sz w:val="22"/>
          <w:szCs w:val="22"/>
        </w:rPr>
      </w:pPr>
      <w:r w:rsidRPr="00EE12C0">
        <w:rPr>
          <w:rFonts w:ascii="Arial" w:hAnsi="Arial" w:cs="Arial"/>
          <w:sz w:val="22"/>
          <w:szCs w:val="22"/>
        </w:rPr>
        <w:t xml:space="preserve">The PBAC noted the longer duration of treatment and higher supplied dose for both initiating and continuing patients than initially anticipated mainly due to use for chronic disease management. </w:t>
      </w:r>
    </w:p>
    <w:p w14:paraId="2516B07E" w14:textId="201447E0" w:rsidR="00EE12C0" w:rsidRDefault="00EE6509" w:rsidP="00FC2585">
      <w:pPr>
        <w:spacing w:before="120" w:after="120"/>
        <w:jc w:val="both"/>
        <w:rPr>
          <w:rFonts w:ascii="Arial" w:hAnsi="Arial" w:cs="Arial"/>
          <w:sz w:val="22"/>
          <w:szCs w:val="22"/>
        </w:rPr>
      </w:pPr>
      <w:r>
        <w:rPr>
          <w:rFonts w:ascii="Arial" w:hAnsi="Arial" w:cs="Arial"/>
          <w:sz w:val="22"/>
          <w:szCs w:val="22"/>
        </w:rPr>
        <w:t xml:space="preserve">The </w:t>
      </w:r>
      <w:r w:rsidR="00EE12C0" w:rsidRPr="00EE12C0">
        <w:rPr>
          <w:rFonts w:ascii="Arial" w:hAnsi="Arial" w:cs="Arial"/>
          <w:sz w:val="22"/>
          <w:szCs w:val="22"/>
        </w:rPr>
        <w:t>PBAC noted that DUSC will continue to monitor the pattern of omalizumab</w:t>
      </w:r>
      <w:r w:rsidR="00AD3542">
        <w:rPr>
          <w:rFonts w:ascii="Arial" w:hAnsi="Arial" w:cs="Arial"/>
          <w:sz w:val="22"/>
          <w:szCs w:val="22"/>
        </w:rPr>
        <w:t xml:space="preserve"> usage</w:t>
      </w:r>
      <w:r w:rsidR="00EE12C0" w:rsidRPr="00EE12C0">
        <w:rPr>
          <w:rFonts w:ascii="Arial" w:hAnsi="Arial" w:cs="Arial"/>
          <w:sz w:val="22"/>
          <w:szCs w:val="22"/>
        </w:rPr>
        <w:t xml:space="preserve"> and that the Department was currently undertaking a systematic literature review of the most recent comparative clinical evidence for omalizumab and cyclosporin for the treatment of </w:t>
      </w:r>
      <w:r w:rsidR="00FC2585" w:rsidRPr="00FC2585">
        <w:rPr>
          <w:rFonts w:ascii="Arial" w:hAnsi="Arial" w:cs="Arial"/>
          <w:bCs/>
          <w:sz w:val="22"/>
          <w:szCs w:val="22"/>
          <w:lang w:eastAsia="en-AU"/>
        </w:rPr>
        <w:t>chronic spontaneous urticaria</w:t>
      </w:r>
      <w:r w:rsidR="00EE12C0" w:rsidRPr="00EE12C0">
        <w:rPr>
          <w:rFonts w:ascii="Arial" w:hAnsi="Arial" w:cs="Arial"/>
          <w:sz w:val="22"/>
          <w:szCs w:val="22"/>
        </w:rPr>
        <w:t>.</w:t>
      </w:r>
    </w:p>
    <w:p w14:paraId="0818E7E9" w14:textId="3E85981B" w:rsidR="009B339D" w:rsidRDefault="009B339D" w:rsidP="00FC2585">
      <w:pPr>
        <w:spacing w:before="120" w:after="120"/>
        <w:jc w:val="both"/>
        <w:rPr>
          <w:rFonts w:ascii="Arial" w:hAnsi="Arial" w:cs="Arial"/>
          <w:sz w:val="22"/>
          <w:szCs w:val="22"/>
        </w:rPr>
      </w:pPr>
    </w:p>
    <w:p w14:paraId="5D35AB8F" w14:textId="77777777" w:rsidR="009B339D" w:rsidRDefault="009B339D" w:rsidP="009B339D">
      <w:pPr>
        <w:contextualSpacing/>
        <w:jc w:val="both"/>
        <w:rPr>
          <w:rFonts w:ascii="Arial" w:hAnsi="Arial" w:cs="Arial"/>
          <w:b/>
          <w:caps/>
          <w:sz w:val="22"/>
          <w:szCs w:val="22"/>
          <w:lang w:eastAsia="en-AU"/>
        </w:rPr>
      </w:pPr>
      <w:r>
        <w:rPr>
          <w:rFonts w:ascii="Arial" w:hAnsi="Arial" w:cs="Arial"/>
          <w:b/>
          <w:caps/>
          <w:sz w:val="22"/>
          <w:szCs w:val="22"/>
          <w:lang w:eastAsia="en-AU"/>
        </w:rPr>
        <w:t xml:space="preserve">UTILISATION OF ANTIPSYCHOTICS </w:t>
      </w:r>
    </w:p>
    <w:p w14:paraId="72CCEB0F" w14:textId="7148E28A" w:rsidR="009B339D" w:rsidRDefault="009B339D" w:rsidP="009B339D">
      <w:pPr>
        <w:spacing w:before="120" w:after="120"/>
        <w:jc w:val="both"/>
        <w:rPr>
          <w:rFonts w:ascii="Arial" w:hAnsi="Arial" w:cs="Arial"/>
          <w:i/>
          <w:iCs/>
          <w:sz w:val="22"/>
          <w:szCs w:val="22"/>
        </w:rPr>
      </w:pPr>
      <w:r w:rsidRPr="00ED1C3D">
        <w:rPr>
          <w:rFonts w:ascii="Arial" w:hAnsi="Arial" w:cs="Arial"/>
          <w:i/>
          <w:iCs/>
          <w:sz w:val="22"/>
          <w:szCs w:val="22"/>
        </w:rPr>
        <w:t>Outcome</w:t>
      </w:r>
    </w:p>
    <w:p w14:paraId="2C983976" w14:textId="12EBBF8C" w:rsidR="009B339D" w:rsidRPr="009B339D" w:rsidRDefault="009B339D" w:rsidP="009B339D">
      <w:pPr>
        <w:contextualSpacing/>
        <w:jc w:val="both"/>
        <w:rPr>
          <w:rFonts w:ascii="Arial" w:hAnsi="Arial" w:cs="Arial"/>
          <w:sz w:val="22"/>
          <w:szCs w:val="22"/>
        </w:rPr>
      </w:pPr>
      <w:r>
        <w:rPr>
          <w:rFonts w:ascii="Arial" w:hAnsi="Arial" w:cs="Arial"/>
          <w:sz w:val="22"/>
          <w:szCs w:val="22"/>
        </w:rPr>
        <w:t>The PBAC</w:t>
      </w:r>
      <w:r w:rsidRPr="009B339D">
        <w:rPr>
          <w:rFonts w:ascii="Arial" w:hAnsi="Arial" w:cs="Arial"/>
          <w:sz w:val="22"/>
          <w:szCs w:val="22"/>
        </w:rPr>
        <w:t xml:space="preserve"> noted that the number of prevalent patients supplied an Anatomical Therapeutic Code N05A (antipsychotic) medication between 2016 to 2022 remained steady at less than 1,000,000 persons per year. </w:t>
      </w:r>
      <w:r>
        <w:rPr>
          <w:rFonts w:ascii="Arial" w:hAnsi="Arial" w:cs="Arial"/>
          <w:sz w:val="22"/>
          <w:szCs w:val="22"/>
        </w:rPr>
        <w:t>The PBAC</w:t>
      </w:r>
      <w:r w:rsidRPr="009B339D">
        <w:rPr>
          <w:rFonts w:ascii="Arial" w:hAnsi="Arial" w:cs="Arial"/>
          <w:sz w:val="22"/>
          <w:szCs w:val="22"/>
        </w:rPr>
        <w:t xml:space="preserve"> noted that the top five </w:t>
      </w:r>
      <w:r w:rsidRPr="009B339D">
        <w:rPr>
          <w:rFonts w:ascii="Arial" w:hAnsi="Arial" w:cs="Arial"/>
          <w:sz w:val="22"/>
          <w:szCs w:val="22"/>
        </w:rPr>
        <w:lastRenderedPageBreak/>
        <w:t xml:space="preserve">dispensed antipsychotics between 2016 to 2022 were aripiprazole, risperidone, prochlorperazine, quetiapine, and olanzapine. </w:t>
      </w:r>
      <w:r>
        <w:rPr>
          <w:rFonts w:ascii="Arial" w:hAnsi="Arial" w:cs="Arial"/>
          <w:sz w:val="22"/>
          <w:szCs w:val="22"/>
        </w:rPr>
        <w:t>The PBAC</w:t>
      </w:r>
      <w:r w:rsidRPr="009B339D">
        <w:rPr>
          <w:rFonts w:ascii="Arial" w:hAnsi="Arial" w:cs="Arial"/>
          <w:sz w:val="22"/>
          <w:szCs w:val="22"/>
        </w:rPr>
        <w:t xml:space="preserve"> considered that prochlorperazine was unlikely to be used for the purposes of antipsychotic treatment. </w:t>
      </w:r>
      <w:r>
        <w:rPr>
          <w:rFonts w:ascii="Arial" w:hAnsi="Arial" w:cs="Arial"/>
          <w:sz w:val="22"/>
          <w:szCs w:val="22"/>
        </w:rPr>
        <w:t>The PBAC</w:t>
      </w:r>
      <w:r w:rsidRPr="009B339D">
        <w:rPr>
          <w:rFonts w:ascii="Arial" w:hAnsi="Arial" w:cs="Arial"/>
          <w:sz w:val="22"/>
          <w:szCs w:val="22"/>
        </w:rPr>
        <w:t xml:space="preserve"> noted that risperidone use has been declining while aripiprazole, quetiapine, and olanzapine use have been increasing. </w:t>
      </w:r>
      <w:r>
        <w:rPr>
          <w:rFonts w:ascii="Arial" w:hAnsi="Arial" w:cs="Arial"/>
          <w:sz w:val="22"/>
          <w:szCs w:val="22"/>
        </w:rPr>
        <w:t>The PBAC</w:t>
      </w:r>
      <w:r w:rsidRPr="009B339D">
        <w:rPr>
          <w:rFonts w:ascii="Arial" w:hAnsi="Arial" w:cs="Arial"/>
          <w:sz w:val="22"/>
          <w:szCs w:val="22"/>
        </w:rPr>
        <w:t xml:space="preserve"> noted that the rate of dispensing in 2017 in the over 65 population was 374 prescriptions per 1</w:t>
      </w:r>
      <w:r w:rsidR="00593867">
        <w:rPr>
          <w:rFonts w:ascii="Arial" w:hAnsi="Arial" w:cs="Arial"/>
          <w:sz w:val="22"/>
          <w:szCs w:val="22"/>
        </w:rPr>
        <w:t>,</w:t>
      </w:r>
      <w:r w:rsidRPr="009B339D">
        <w:rPr>
          <w:rFonts w:ascii="Arial" w:hAnsi="Arial" w:cs="Arial"/>
          <w:sz w:val="22"/>
          <w:szCs w:val="22"/>
        </w:rPr>
        <w:t>000 population which decreased to 316 per 1</w:t>
      </w:r>
      <w:r w:rsidR="00593867">
        <w:rPr>
          <w:rFonts w:ascii="Arial" w:hAnsi="Arial" w:cs="Arial"/>
          <w:sz w:val="22"/>
          <w:szCs w:val="22"/>
        </w:rPr>
        <w:t>,</w:t>
      </w:r>
      <w:r w:rsidRPr="009B339D">
        <w:rPr>
          <w:rFonts w:ascii="Arial" w:hAnsi="Arial" w:cs="Arial"/>
          <w:sz w:val="22"/>
          <w:szCs w:val="22"/>
        </w:rPr>
        <w:t xml:space="preserve">000 in 2022. </w:t>
      </w:r>
    </w:p>
    <w:p w14:paraId="66E1396F" w14:textId="77777777" w:rsidR="009B339D" w:rsidRPr="009B339D" w:rsidRDefault="009B339D" w:rsidP="009B339D">
      <w:pPr>
        <w:contextualSpacing/>
        <w:jc w:val="both"/>
        <w:rPr>
          <w:rFonts w:ascii="Arial" w:hAnsi="Arial" w:cs="Arial"/>
          <w:sz w:val="22"/>
          <w:szCs w:val="22"/>
        </w:rPr>
      </w:pPr>
    </w:p>
    <w:p w14:paraId="696541CC" w14:textId="750E63BA" w:rsidR="009B339D" w:rsidRPr="009B339D" w:rsidRDefault="009B339D" w:rsidP="009B339D">
      <w:pPr>
        <w:contextualSpacing/>
        <w:jc w:val="both"/>
        <w:rPr>
          <w:rFonts w:ascii="Arial" w:hAnsi="Arial" w:cs="Arial"/>
          <w:sz w:val="22"/>
          <w:szCs w:val="22"/>
        </w:rPr>
      </w:pPr>
      <w:r>
        <w:rPr>
          <w:rFonts w:ascii="Arial" w:hAnsi="Arial" w:cs="Arial"/>
          <w:sz w:val="22"/>
          <w:szCs w:val="22"/>
        </w:rPr>
        <w:t>The PBAC</w:t>
      </w:r>
      <w:r w:rsidRPr="009B339D">
        <w:rPr>
          <w:rFonts w:ascii="Arial" w:hAnsi="Arial" w:cs="Arial"/>
          <w:sz w:val="22"/>
          <w:szCs w:val="22"/>
        </w:rPr>
        <w:t xml:space="preserve"> noted that the overall utilisation of risperidone for behavioural and psychological symptoms of dementia (BPSD) was declining however noted that utilisation in Residential Aged Care Facilities (RACFs) was increasing. </w:t>
      </w:r>
      <w:r>
        <w:rPr>
          <w:rFonts w:ascii="Arial" w:hAnsi="Arial" w:cs="Arial"/>
          <w:sz w:val="22"/>
          <w:szCs w:val="22"/>
        </w:rPr>
        <w:t>The PBAC</w:t>
      </w:r>
      <w:r w:rsidRPr="009B339D">
        <w:rPr>
          <w:rFonts w:ascii="Arial" w:hAnsi="Arial" w:cs="Arial"/>
          <w:sz w:val="22"/>
          <w:szCs w:val="22"/>
        </w:rPr>
        <w:t xml:space="preserve"> noted that patients who were admitted into a RACF at any point in their medication history had a median time on treatment of 277 days while those who were never admitted into a RACF had a median time on treatment of 96 days. </w:t>
      </w:r>
    </w:p>
    <w:p w14:paraId="6C9A0D38" w14:textId="77777777" w:rsidR="009B339D" w:rsidRPr="009B339D" w:rsidRDefault="009B339D" w:rsidP="009B339D">
      <w:pPr>
        <w:contextualSpacing/>
        <w:jc w:val="both"/>
        <w:rPr>
          <w:rFonts w:ascii="Arial" w:hAnsi="Arial" w:cs="Arial"/>
          <w:sz w:val="22"/>
          <w:szCs w:val="22"/>
        </w:rPr>
      </w:pPr>
    </w:p>
    <w:p w14:paraId="130CD359" w14:textId="10C65DA8" w:rsidR="009B339D" w:rsidRPr="00984270" w:rsidRDefault="009B339D" w:rsidP="009B339D">
      <w:pPr>
        <w:contextualSpacing/>
        <w:jc w:val="both"/>
        <w:rPr>
          <w:rFonts w:ascii="Arial" w:hAnsi="Arial" w:cs="Arial"/>
          <w:b/>
          <w:caps/>
          <w:sz w:val="22"/>
          <w:szCs w:val="22"/>
          <w:lang w:eastAsia="en-AU"/>
        </w:rPr>
      </w:pPr>
      <w:r>
        <w:rPr>
          <w:rFonts w:ascii="Arial" w:hAnsi="Arial" w:cs="Arial"/>
          <w:sz w:val="22"/>
          <w:szCs w:val="22"/>
        </w:rPr>
        <w:t>The PBAC</w:t>
      </w:r>
      <w:r w:rsidRPr="009B339D">
        <w:rPr>
          <w:rFonts w:ascii="Arial" w:hAnsi="Arial" w:cs="Arial"/>
          <w:sz w:val="22"/>
          <w:szCs w:val="22"/>
        </w:rPr>
        <w:t xml:space="preserve"> noted that mirtazapine use in patients in RACFs was increasing steadily with 1,500 new patients per quarter and approximately 27,000 prevalent patients in 2023</w:t>
      </w:r>
      <w:r w:rsidR="00593867">
        <w:rPr>
          <w:rFonts w:ascii="Arial" w:hAnsi="Arial" w:cs="Arial"/>
          <w:sz w:val="22"/>
          <w:szCs w:val="22"/>
        </w:rPr>
        <w:t xml:space="preserve"> </w:t>
      </w:r>
      <w:r w:rsidRPr="009B339D">
        <w:rPr>
          <w:rFonts w:ascii="Arial" w:hAnsi="Arial" w:cs="Arial"/>
          <w:sz w:val="22"/>
          <w:szCs w:val="22"/>
        </w:rPr>
        <w:t xml:space="preserve">Q1. </w:t>
      </w:r>
      <w:r>
        <w:rPr>
          <w:rFonts w:ascii="Arial" w:hAnsi="Arial" w:cs="Arial"/>
          <w:sz w:val="22"/>
          <w:szCs w:val="22"/>
        </w:rPr>
        <w:t>The PBAC</w:t>
      </w:r>
      <w:r w:rsidRPr="009B339D">
        <w:rPr>
          <w:rFonts w:ascii="Arial" w:hAnsi="Arial" w:cs="Arial"/>
          <w:sz w:val="22"/>
          <w:szCs w:val="22"/>
        </w:rPr>
        <w:t xml:space="preserve"> noted that quetiapine use had remained steady at less than 8,000 prevalent patients per quarter and 1,000 new initiations per quarter. </w:t>
      </w:r>
      <w:r>
        <w:rPr>
          <w:rFonts w:ascii="Arial" w:hAnsi="Arial" w:cs="Arial"/>
          <w:sz w:val="22"/>
          <w:szCs w:val="22"/>
        </w:rPr>
        <w:t>The PBAC</w:t>
      </w:r>
      <w:r w:rsidRPr="009B339D">
        <w:rPr>
          <w:rFonts w:ascii="Arial" w:hAnsi="Arial" w:cs="Arial"/>
          <w:sz w:val="22"/>
          <w:szCs w:val="22"/>
        </w:rPr>
        <w:t xml:space="preserve"> considered that</w:t>
      </w:r>
      <w:r>
        <w:rPr>
          <w:rFonts w:ascii="Arial" w:hAnsi="Arial" w:cs="Arial"/>
          <w:sz w:val="22"/>
          <w:szCs w:val="22"/>
        </w:rPr>
        <w:t xml:space="preserve"> it may be beneficial for DUSC to conduct</w:t>
      </w:r>
      <w:r w:rsidRPr="009B339D">
        <w:rPr>
          <w:rFonts w:ascii="Arial" w:hAnsi="Arial" w:cs="Arial"/>
          <w:sz w:val="22"/>
          <w:szCs w:val="22"/>
        </w:rPr>
        <w:t xml:space="preserve"> a future analysis of patients switching between mirtazapine, quetiapine, risperidone, and benzodiazepines</w:t>
      </w:r>
      <w:r w:rsidR="00DC0E0A">
        <w:rPr>
          <w:rFonts w:ascii="Arial" w:hAnsi="Arial" w:cs="Arial"/>
          <w:sz w:val="22"/>
          <w:szCs w:val="22"/>
        </w:rPr>
        <w:t xml:space="preserve"> </w:t>
      </w:r>
      <w:r w:rsidRPr="009B339D">
        <w:rPr>
          <w:rFonts w:ascii="Arial" w:hAnsi="Arial" w:cs="Arial"/>
          <w:sz w:val="22"/>
          <w:szCs w:val="22"/>
        </w:rPr>
        <w:t xml:space="preserve">to determine if the limitations on the risperidone restriction has caused </w:t>
      </w:r>
      <w:r w:rsidR="00EE6509">
        <w:rPr>
          <w:rFonts w:ascii="Arial" w:hAnsi="Arial" w:cs="Arial"/>
          <w:sz w:val="22"/>
          <w:szCs w:val="22"/>
        </w:rPr>
        <w:t xml:space="preserve">an </w:t>
      </w:r>
      <w:r w:rsidRPr="009B339D">
        <w:rPr>
          <w:rFonts w:ascii="Arial" w:hAnsi="Arial" w:cs="Arial"/>
          <w:sz w:val="22"/>
          <w:szCs w:val="22"/>
        </w:rPr>
        <w:t xml:space="preserve">increased uptake of other medications with the potential for chemical restraint. </w:t>
      </w:r>
      <w:r>
        <w:rPr>
          <w:rFonts w:ascii="Arial" w:hAnsi="Arial" w:cs="Arial"/>
          <w:sz w:val="22"/>
          <w:szCs w:val="22"/>
        </w:rPr>
        <w:t>The PBAC</w:t>
      </w:r>
      <w:r w:rsidRPr="009B339D">
        <w:rPr>
          <w:rFonts w:ascii="Arial" w:hAnsi="Arial" w:cs="Arial"/>
          <w:sz w:val="22"/>
          <w:szCs w:val="22"/>
        </w:rPr>
        <w:t xml:space="preserve"> considered that incorporating data and metrics from the National Aged Care Mandatory Quality Indicator Program run by The Aged Care Quality and Safety Commission may be useful to this planned analysis.</w:t>
      </w:r>
    </w:p>
    <w:p w14:paraId="26292212" w14:textId="77777777" w:rsidR="009B339D" w:rsidRPr="00EE12C0" w:rsidRDefault="009B339D" w:rsidP="00FC2585">
      <w:pPr>
        <w:spacing w:before="120" w:after="120"/>
        <w:jc w:val="both"/>
        <w:rPr>
          <w:rFonts w:ascii="Arial" w:hAnsi="Arial" w:cs="Arial"/>
          <w:sz w:val="22"/>
          <w:szCs w:val="22"/>
        </w:rPr>
      </w:pPr>
    </w:p>
    <w:sectPr w:rsidR="009B339D" w:rsidRPr="00EE12C0" w:rsidSect="007A242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FCF8" w14:textId="77777777" w:rsidR="00F55E20" w:rsidRDefault="00F55E20">
      <w:r>
        <w:separator/>
      </w:r>
    </w:p>
  </w:endnote>
  <w:endnote w:type="continuationSeparator" w:id="0">
    <w:p w14:paraId="43FBB065" w14:textId="77777777" w:rsidR="00F55E20" w:rsidRDefault="00F5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BA6D" w14:textId="77777777" w:rsidR="00150970" w:rsidRDefault="00150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5BA" w14:textId="77777777" w:rsidR="001F312C" w:rsidRPr="004630FE" w:rsidRDefault="001F312C">
    <w:pPr>
      <w:pStyle w:val="Footer"/>
      <w:jc w:val="center"/>
      <w:rPr>
        <w:rFonts w:ascii="Arial" w:hAnsi="Arial" w:cs="Arial"/>
        <w:sz w:val="22"/>
      </w:rPr>
    </w:pPr>
  </w:p>
  <w:p w14:paraId="0A6D77EE" w14:textId="1328933C" w:rsidR="001F312C" w:rsidRPr="00EC37B4" w:rsidRDefault="001F312C" w:rsidP="00EC37B4">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B84143">
      <w:rPr>
        <w:rFonts w:ascii="Arial" w:hAnsi="Arial" w:cs="Arial"/>
        <w:noProof/>
        <w:sz w:val="22"/>
      </w:rPr>
      <w:t>3</w:t>
    </w:r>
    <w:r w:rsidRPr="004630FE">
      <w:rPr>
        <w:rFonts w:ascii="Arial" w:hAnsi="Arial" w:cs="Arial"/>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3D26" w14:textId="77777777" w:rsidR="00150970" w:rsidRDefault="00150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FC99" w14:textId="77777777" w:rsidR="00F55E20" w:rsidRDefault="00F55E20">
      <w:r>
        <w:separator/>
      </w:r>
    </w:p>
  </w:footnote>
  <w:footnote w:type="continuationSeparator" w:id="0">
    <w:p w14:paraId="163CD1DE" w14:textId="77777777" w:rsidR="00F55E20" w:rsidRDefault="00F55E20">
      <w:r>
        <w:continuationSeparator/>
      </w:r>
    </w:p>
  </w:footnote>
  <w:footnote w:id="1">
    <w:p w14:paraId="677C24ED" w14:textId="77777777" w:rsidR="00022BF9" w:rsidRPr="005D1506" w:rsidRDefault="00022BF9" w:rsidP="00022BF9">
      <w:pPr>
        <w:pStyle w:val="FootnoteText"/>
        <w:rPr>
          <w:rFonts w:ascii="Arial" w:hAnsi="Arial" w:cs="Arial"/>
        </w:rPr>
      </w:pPr>
      <w:r>
        <w:rPr>
          <w:rStyle w:val="FootnoteReference"/>
        </w:rPr>
        <w:footnoteRef/>
      </w:r>
      <w:r>
        <w:t xml:space="preserve"> </w:t>
      </w:r>
      <w:r w:rsidRPr="005D1506">
        <w:rPr>
          <w:rFonts w:ascii="Arial" w:hAnsi="Arial" w:cs="Arial"/>
        </w:rPr>
        <w:t>National Gynae Oncology Registry. Ovarian Cancer Registry: The OvCR Annual Report July 2020-December 2021. Available from &lt; https://ngor.org.au/index.php/news-and-reports/&gt;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72D0" w14:textId="77777777" w:rsidR="00150970" w:rsidRDefault="00150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87D6" w14:textId="4ACAC736" w:rsidR="001F312C" w:rsidRPr="00520B6E" w:rsidRDefault="00533BC7" w:rsidP="004630FE">
    <w:pPr>
      <w:tabs>
        <w:tab w:val="center" w:pos="4153"/>
        <w:tab w:val="right" w:pos="8306"/>
      </w:tabs>
      <w:jc w:val="center"/>
      <w:rPr>
        <w:rFonts w:ascii="Arial" w:hAnsi="Arial" w:cs="Arial"/>
        <w:b/>
        <w:sz w:val="20"/>
      </w:rPr>
    </w:pPr>
    <w:r>
      <w:rPr>
        <w:rFonts w:ascii="Arial" w:hAnsi="Arial" w:cs="Arial"/>
        <w:b/>
        <w:sz w:val="20"/>
      </w:rPr>
      <w:t>JULY</w:t>
    </w:r>
    <w:r w:rsidR="008621E7">
      <w:rPr>
        <w:rFonts w:ascii="Arial" w:hAnsi="Arial" w:cs="Arial"/>
        <w:b/>
        <w:sz w:val="20"/>
      </w:rPr>
      <w:t xml:space="preserve"> 2023</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668D" w14:textId="77777777" w:rsidR="00150970" w:rsidRDefault="00150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68F"/>
    <w:multiLevelType w:val="hybridMultilevel"/>
    <w:tmpl w:val="8FEA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5E65A0"/>
    <w:multiLevelType w:val="hybridMultilevel"/>
    <w:tmpl w:val="D016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84D757A"/>
    <w:multiLevelType w:val="hybridMultilevel"/>
    <w:tmpl w:val="ABC2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78199203">
    <w:abstractNumId w:val="10"/>
  </w:num>
  <w:num w:numId="2" w16cid:durableId="1589389630">
    <w:abstractNumId w:val="5"/>
  </w:num>
  <w:num w:numId="3" w16cid:durableId="1547256440">
    <w:abstractNumId w:val="2"/>
  </w:num>
  <w:num w:numId="4" w16cid:durableId="405959758">
    <w:abstractNumId w:val="6"/>
  </w:num>
  <w:num w:numId="5" w16cid:durableId="95175730">
    <w:abstractNumId w:val="4"/>
  </w:num>
  <w:num w:numId="6" w16cid:durableId="1082995549">
    <w:abstractNumId w:val="8"/>
  </w:num>
  <w:num w:numId="7" w16cid:durableId="1388995512">
    <w:abstractNumId w:val="1"/>
  </w:num>
  <w:num w:numId="8" w16cid:durableId="2034452257">
    <w:abstractNumId w:val="3"/>
  </w:num>
  <w:num w:numId="9" w16cid:durableId="2011633779">
    <w:abstractNumId w:val="9"/>
  </w:num>
  <w:num w:numId="10" w16cid:durableId="1838376336">
    <w:abstractNumId w:val="7"/>
  </w:num>
  <w:num w:numId="11" w16cid:durableId="3012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A"/>
    <w:rsid w:val="0000028F"/>
    <w:rsid w:val="00016CBD"/>
    <w:rsid w:val="0002143A"/>
    <w:rsid w:val="00022BF9"/>
    <w:rsid w:val="00034F16"/>
    <w:rsid w:val="000413ED"/>
    <w:rsid w:val="000437B9"/>
    <w:rsid w:val="00046F5C"/>
    <w:rsid w:val="00050E03"/>
    <w:rsid w:val="00052897"/>
    <w:rsid w:val="0006056A"/>
    <w:rsid w:val="00060A45"/>
    <w:rsid w:val="0007306F"/>
    <w:rsid w:val="00080336"/>
    <w:rsid w:val="00084B66"/>
    <w:rsid w:val="00095F78"/>
    <w:rsid w:val="000A160F"/>
    <w:rsid w:val="000A2CDC"/>
    <w:rsid w:val="000B2DD0"/>
    <w:rsid w:val="000C6902"/>
    <w:rsid w:val="000E4B3A"/>
    <w:rsid w:val="0014056F"/>
    <w:rsid w:val="001416A4"/>
    <w:rsid w:val="00150970"/>
    <w:rsid w:val="00156D69"/>
    <w:rsid w:val="00176F11"/>
    <w:rsid w:val="001B5725"/>
    <w:rsid w:val="001B5726"/>
    <w:rsid w:val="001B648D"/>
    <w:rsid w:val="001D0ACE"/>
    <w:rsid w:val="001D0B69"/>
    <w:rsid w:val="001D38C7"/>
    <w:rsid w:val="001D45AF"/>
    <w:rsid w:val="001E1951"/>
    <w:rsid w:val="001E7E86"/>
    <w:rsid w:val="001F0355"/>
    <w:rsid w:val="001F312C"/>
    <w:rsid w:val="00215DE5"/>
    <w:rsid w:val="0022150A"/>
    <w:rsid w:val="002374AC"/>
    <w:rsid w:val="00244B20"/>
    <w:rsid w:val="00250A1C"/>
    <w:rsid w:val="00251848"/>
    <w:rsid w:val="00265781"/>
    <w:rsid w:val="00267A9D"/>
    <w:rsid w:val="0028590B"/>
    <w:rsid w:val="002A0EF1"/>
    <w:rsid w:val="002D4006"/>
    <w:rsid w:val="002D7178"/>
    <w:rsid w:val="002E7273"/>
    <w:rsid w:val="002F7591"/>
    <w:rsid w:val="002F775E"/>
    <w:rsid w:val="00301E55"/>
    <w:rsid w:val="00310423"/>
    <w:rsid w:val="0031133D"/>
    <w:rsid w:val="003172AB"/>
    <w:rsid w:val="003211BA"/>
    <w:rsid w:val="00326328"/>
    <w:rsid w:val="0034025C"/>
    <w:rsid w:val="00341334"/>
    <w:rsid w:val="00341E66"/>
    <w:rsid w:val="003603AD"/>
    <w:rsid w:val="00362AC3"/>
    <w:rsid w:val="00385940"/>
    <w:rsid w:val="00397836"/>
    <w:rsid w:val="003A0382"/>
    <w:rsid w:val="003B0BEA"/>
    <w:rsid w:val="003B695E"/>
    <w:rsid w:val="003B79EE"/>
    <w:rsid w:val="003C2B83"/>
    <w:rsid w:val="003E55CB"/>
    <w:rsid w:val="00400159"/>
    <w:rsid w:val="0040140B"/>
    <w:rsid w:val="004048D8"/>
    <w:rsid w:val="00407FAA"/>
    <w:rsid w:val="00446CF7"/>
    <w:rsid w:val="004630FE"/>
    <w:rsid w:val="00464B70"/>
    <w:rsid w:val="00464DA0"/>
    <w:rsid w:val="004669DB"/>
    <w:rsid w:val="004A1627"/>
    <w:rsid w:val="004C295B"/>
    <w:rsid w:val="004C4C12"/>
    <w:rsid w:val="004D4DEE"/>
    <w:rsid w:val="004E76AE"/>
    <w:rsid w:val="004F2C21"/>
    <w:rsid w:val="00507F23"/>
    <w:rsid w:val="00514593"/>
    <w:rsid w:val="005166A6"/>
    <w:rsid w:val="00520024"/>
    <w:rsid w:val="00533BC7"/>
    <w:rsid w:val="0054217F"/>
    <w:rsid w:val="00550F01"/>
    <w:rsid w:val="00553E58"/>
    <w:rsid w:val="005616CC"/>
    <w:rsid w:val="005639BA"/>
    <w:rsid w:val="005642B3"/>
    <w:rsid w:val="00565336"/>
    <w:rsid w:val="005732A3"/>
    <w:rsid w:val="00575B2C"/>
    <w:rsid w:val="00582F85"/>
    <w:rsid w:val="00593867"/>
    <w:rsid w:val="005A71CE"/>
    <w:rsid w:val="005C202C"/>
    <w:rsid w:val="005D081A"/>
    <w:rsid w:val="005D1506"/>
    <w:rsid w:val="005D774C"/>
    <w:rsid w:val="005F2273"/>
    <w:rsid w:val="005F5574"/>
    <w:rsid w:val="006102C6"/>
    <w:rsid w:val="00614F10"/>
    <w:rsid w:val="006354AB"/>
    <w:rsid w:val="00641F0C"/>
    <w:rsid w:val="00647788"/>
    <w:rsid w:val="00652D57"/>
    <w:rsid w:val="00664A75"/>
    <w:rsid w:val="00666863"/>
    <w:rsid w:val="00666881"/>
    <w:rsid w:val="00677683"/>
    <w:rsid w:val="00677983"/>
    <w:rsid w:val="00683251"/>
    <w:rsid w:val="006847AC"/>
    <w:rsid w:val="006951BF"/>
    <w:rsid w:val="006A2EB2"/>
    <w:rsid w:val="006A5F26"/>
    <w:rsid w:val="006D0A58"/>
    <w:rsid w:val="006D36DC"/>
    <w:rsid w:val="006D4C23"/>
    <w:rsid w:val="006D4F54"/>
    <w:rsid w:val="006D593A"/>
    <w:rsid w:val="006E57A3"/>
    <w:rsid w:val="0070348A"/>
    <w:rsid w:val="007178BA"/>
    <w:rsid w:val="0073297F"/>
    <w:rsid w:val="0074603E"/>
    <w:rsid w:val="0075366B"/>
    <w:rsid w:val="00793AF0"/>
    <w:rsid w:val="007A2421"/>
    <w:rsid w:val="007C1098"/>
    <w:rsid w:val="007C758A"/>
    <w:rsid w:val="007C75EE"/>
    <w:rsid w:val="007D7263"/>
    <w:rsid w:val="007E275C"/>
    <w:rsid w:val="007F4E20"/>
    <w:rsid w:val="00801B19"/>
    <w:rsid w:val="00816A6C"/>
    <w:rsid w:val="0082288D"/>
    <w:rsid w:val="0083210F"/>
    <w:rsid w:val="008361CD"/>
    <w:rsid w:val="008479A0"/>
    <w:rsid w:val="008545D1"/>
    <w:rsid w:val="008613B3"/>
    <w:rsid w:val="008621E7"/>
    <w:rsid w:val="00866D71"/>
    <w:rsid w:val="008842CE"/>
    <w:rsid w:val="008866E8"/>
    <w:rsid w:val="00890D53"/>
    <w:rsid w:val="008934F5"/>
    <w:rsid w:val="008A4311"/>
    <w:rsid w:val="008A4B6F"/>
    <w:rsid w:val="008B279B"/>
    <w:rsid w:val="008B4388"/>
    <w:rsid w:val="008B6009"/>
    <w:rsid w:val="008D020C"/>
    <w:rsid w:val="008E354F"/>
    <w:rsid w:val="009203A6"/>
    <w:rsid w:val="00922E47"/>
    <w:rsid w:val="00925E21"/>
    <w:rsid w:val="00933952"/>
    <w:rsid w:val="00964E5C"/>
    <w:rsid w:val="00973009"/>
    <w:rsid w:val="00984270"/>
    <w:rsid w:val="00997EA7"/>
    <w:rsid w:val="009A1ACC"/>
    <w:rsid w:val="009B339D"/>
    <w:rsid w:val="009E121B"/>
    <w:rsid w:val="009E143F"/>
    <w:rsid w:val="009E20A4"/>
    <w:rsid w:val="009E6EA9"/>
    <w:rsid w:val="009E7E00"/>
    <w:rsid w:val="009F55CE"/>
    <w:rsid w:val="009F5908"/>
    <w:rsid w:val="009F5FE2"/>
    <w:rsid w:val="00A03E25"/>
    <w:rsid w:val="00A0539F"/>
    <w:rsid w:val="00A152EE"/>
    <w:rsid w:val="00A1560D"/>
    <w:rsid w:val="00A25973"/>
    <w:rsid w:val="00A31269"/>
    <w:rsid w:val="00A32269"/>
    <w:rsid w:val="00A4098E"/>
    <w:rsid w:val="00A425E5"/>
    <w:rsid w:val="00A45D82"/>
    <w:rsid w:val="00A47E2F"/>
    <w:rsid w:val="00A50253"/>
    <w:rsid w:val="00A570BF"/>
    <w:rsid w:val="00A70179"/>
    <w:rsid w:val="00A71C64"/>
    <w:rsid w:val="00A74CCD"/>
    <w:rsid w:val="00A76D1B"/>
    <w:rsid w:val="00A9331B"/>
    <w:rsid w:val="00A93361"/>
    <w:rsid w:val="00AA5E4E"/>
    <w:rsid w:val="00AB23B4"/>
    <w:rsid w:val="00AC0FFB"/>
    <w:rsid w:val="00AC2CB7"/>
    <w:rsid w:val="00AC4352"/>
    <w:rsid w:val="00AD2551"/>
    <w:rsid w:val="00AD3542"/>
    <w:rsid w:val="00AD37E5"/>
    <w:rsid w:val="00AE5FF1"/>
    <w:rsid w:val="00AF2F79"/>
    <w:rsid w:val="00AF3B3E"/>
    <w:rsid w:val="00AF6DA0"/>
    <w:rsid w:val="00B03643"/>
    <w:rsid w:val="00B13AD3"/>
    <w:rsid w:val="00B1693A"/>
    <w:rsid w:val="00B20C0D"/>
    <w:rsid w:val="00B26B58"/>
    <w:rsid w:val="00B445D9"/>
    <w:rsid w:val="00B50A69"/>
    <w:rsid w:val="00B532C3"/>
    <w:rsid w:val="00B754AD"/>
    <w:rsid w:val="00B8335A"/>
    <w:rsid w:val="00B84143"/>
    <w:rsid w:val="00B860B5"/>
    <w:rsid w:val="00B94AFC"/>
    <w:rsid w:val="00B95F3B"/>
    <w:rsid w:val="00B96629"/>
    <w:rsid w:val="00BA0860"/>
    <w:rsid w:val="00BA5A6C"/>
    <w:rsid w:val="00BB24D0"/>
    <w:rsid w:val="00BB5497"/>
    <w:rsid w:val="00BC3BE5"/>
    <w:rsid w:val="00BD0BA3"/>
    <w:rsid w:val="00BD4745"/>
    <w:rsid w:val="00BE182E"/>
    <w:rsid w:val="00BE4405"/>
    <w:rsid w:val="00C06010"/>
    <w:rsid w:val="00C22340"/>
    <w:rsid w:val="00C229C3"/>
    <w:rsid w:val="00C22AB9"/>
    <w:rsid w:val="00C375F9"/>
    <w:rsid w:val="00C636C2"/>
    <w:rsid w:val="00C87A6B"/>
    <w:rsid w:val="00CB56CD"/>
    <w:rsid w:val="00CB6BC5"/>
    <w:rsid w:val="00CD04DF"/>
    <w:rsid w:val="00CD2ADF"/>
    <w:rsid w:val="00CD3BA9"/>
    <w:rsid w:val="00CD4158"/>
    <w:rsid w:val="00D03290"/>
    <w:rsid w:val="00D04F41"/>
    <w:rsid w:val="00D068D4"/>
    <w:rsid w:val="00D47451"/>
    <w:rsid w:val="00D51F57"/>
    <w:rsid w:val="00D61A27"/>
    <w:rsid w:val="00D7136A"/>
    <w:rsid w:val="00D72D36"/>
    <w:rsid w:val="00D82194"/>
    <w:rsid w:val="00DA25F6"/>
    <w:rsid w:val="00DA2A81"/>
    <w:rsid w:val="00DB4B4C"/>
    <w:rsid w:val="00DC0E0A"/>
    <w:rsid w:val="00DC7A41"/>
    <w:rsid w:val="00DD315C"/>
    <w:rsid w:val="00DE6CA5"/>
    <w:rsid w:val="00DE7389"/>
    <w:rsid w:val="00E11B1E"/>
    <w:rsid w:val="00E149F0"/>
    <w:rsid w:val="00E16015"/>
    <w:rsid w:val="00E24412"/>
    <w:rsid w:val="00E25A33"/>
    <w:rsid w:val="00E37984"/>
    <w:rsid w:val="00E37FD3"/>
    <w:rsid w:val="00E474DF"/>
    <w:rsid w:val="00E51B48"/>
    <w:rsid w:val="00E64B09"/>
    <w:rsid w:val="00E659DB"/>
    <w:rsid w:val="00E65BFD"/>
    <w:rsid w:val="00E75D86"/>
    <w:rsid w:val="00E86AE7"/>
    <w:rsid w:val="00EA43F8"/>
    <w:rsid w:val="00EB38E2"/>
    <w:rsid w:val="00EC18FC"/>
    <w:rsid w:val="00EC37B4"/>
    <w:rsid w:val="00ED0E5B"/>
    <w:rsid w:val="00ED1C3D"/>
    <w:rsid w:val="00EE12C0"/>
    <w:rsid w:val="00EE523C"/>
    <w:rsid w:val="00EE6509"/>
    <w:rsid w:val="00EE68E4"/>
    <w:rsid w:val="00EF7DF2"/>
    <w:rsid w:val="00F046B8"/>
    <w:rsid w:val="00F159FC"/>
    <w:rsid w:val="00F2009D"/>
    <w:rsid w:val="00F32FEB"/>
    <w:rsid w:val="00F514E4"/>
    <w:rsid w:val="00F53FA7"/>
    <w:rsid w:val="00F55E20"/>
    <w:rsid w:val="00F628C7"/>
    <w:rsid w:val="00F66E50"/>
    <w:rsid w:val="00F67C46"/>
    <w:rsid w:val="00F71F01"/>
    <w:rsid w:val="00F73897"/>
    <w:rsid w:val="00F77445"/>
    <w:rsid w:val="00F8213A"/>
    <w:rsid w:val="00F87883"/>
    <w:rsid w:val="00FA12CB"/>
    <w:rsid w:val="00FA4D8A"/>
    <w:rsid w:val="00FB5E27"/>
    <w:rsid w:val="00FC15A2"/>
    <w:rsid w:val="00FC2585"/>
    <w:rsid w:val="00FD0680"/>
    <w:rsid w:val="00FD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6A"/>
    <w:rPr>
      <w:rFonts w:eastAsia="Times New Roman"/>
      <w:sz w:val="24"/>
      <w:szCs w:val="24"/>
      <w:lang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34"/>
    <w:qFormat/>
    <w:rsid w:val="00A31269"/>
    <w:pPr>
      <w:ind w:left="720" w:hanging="720"/>
      <w:contextualSpacing/>
    </w:pPr>
    <w:rPr>
      <w:rFonts w:ascii="Arial" w:hAnsi="Arial"/>
      <w:sz w:val="22"/>
      <w:lang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9E121B"/>
    <w:rPr>
      <w:color w:val="800080" w:themeColor="followedHyperlink"/>
      <w:u w:val="single"/>
    </w:rPr>
  </w:style>
  <w:style w:type="paragraph" w:styleId="Revision">
    <w:name w:val="Revision"/>
    <w:hidden/>
    <w:uiPriority w:val="99"/>
    <w:semiHidden/>
    <w:rsid w:val="00084B66"/>
    <w:rPr>
      <w:rFonts w:eastAsia="Times New Roman"/>
      <w:sz w:val="24"/>
      <w:szCs w:val="24"/>
      <w:lang w:val="en-US" w:eastAsia="en-US"/>
    </w:rPr>
  </w:style>
  <w:style w:type="paragraph" w:styleId="NormalWeb">
    <w:name w:val="Normal (Web)"/>
    <w:basedOn w:val="Normal"/>
    <w:uiPriority w:val="99"/>
    <w:unhideWhenUsed/>
    <w:rsid w:val="007E275C"/>
    <w:pPr>
      <w:spacing w:before="100" w:beforeAutospacing="1" w:after="100" w:afterAutospacing="1"/>
    </w:pPr>
    <w:rPr>
      <w:lang w:eastAsia="en-AU"/>
    </w:rPr>
  </w:style>
  <w:style w:type="paragraph" w:styleId="FootnoteText">
    <w:name w:val="footnote text"/>
    <w:basedOn w:val="Normal"/>
    <w:link w:val="FootnoteTextChar"/>
    <w:uiPriority w:val="99"/>
    <w:unhideWhenUsed/>
    <w:rsid w:val="00ED1C3D"/>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rsid w:val="00ED1C3D"/>
    <w:rPr>
      <w:rFonts w:ascii="Calibri" w:eastAsiaTheme="minorHAnsi" w:hAnsi="Calibri" w:cs="Calibri"/>
      <w:lang w:eastAsia="en-US"/>
    </w:rPr>
  </w:style>
  <w:style w:type="character" w:styleId="FootnoteReference">
    <w:name w:val="footnote reference"/>
    <w:basedOn w:val="DefaultParagraphFont"/>
    <w:uiPriority w:val="99"/>
    <w:unhideWhenUsed/>
    <w:rsid w:val="00ED1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481116492">
      <w:bodyDiv w:val="1"/>
      <w:marLeft w:val="0"/>
      <w:marRight w:val="0"/>
      <w:marTop w:val="0"/>
      <w:marBottom w:val="0"/>
      <w:divBdr>
        <w:top w:val="none" w:sz="0" w:space="0" w:color="auto"/>
        <w:left w:val="none" w:sz="0" w:space="0" w:color="auto"/>
        <w:bottom w:val="none" w:sz="0" w:space="0" w:color="auto"/>
        <w:right w:val="none" w:sz="0" w:space="0" w:color="auto"/>
      </w:divBdr>
    </w:div>
    <w:div w:id="1748070792">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1837182259">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elements/dusc-meetings/do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10" ma:contentTypeDescription="Create a new document." ma:contentTypeScope="" ma:versionID="df663873d4b5de0b56bc9ef44fe92492">
  <xsd:schema xmlns:xsd="http://www.w3.org/2001/XMLSchema" xmlns:xs="http://www.w3.org/2001/XMLSchema" xmlns:p="http://schemas.microsoft.com/office/2006/metadata/properties" xmlns:ns3="826ad85a-3479-4e4f-9f4e-f321c89067be" xmlns:ns4="21ce80b3-1f63-49b7-8601-3a2dfef1c99a" targetNamespace="http://schemas.microsoft.com/office/2006/metadata/properties" ma:root="true" ma:fieldsID="0925af273652a8d688500e4eec682305" ns3:_="" ns4:_="">
    <xsd:import namespace="826ad85a-3479-4e4f-9f4e-f321c89067be"/>
    <xsd:import namespace="21ce80b3-1f63-49b7-8601-3a2dfef1c99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e80b3-1f63-49b7-8601-3a2dfef1c9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6ad85a-3479-4e4f-9f4e-f321c89067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0794-E53E-444B-A76C-725875AB8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21ce80b3-1f63-49b7-8601-3a2dfef1c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F3DFB-81AB-44A9-A2AD-7C92EA7C8A3C}">
  <ds:schemaRefs>
    <ds:schemaRef ds:uri="http://schemas.microsoft.com/sharepoint/v3/contenttype/forms"/>
  </ds:schemaRefs>
</ds:datastoreItem>
</file>

<file path=customXml/itemProps3.xml><?xml version="1.0" encoding="utf-8"?>
<ds:datastoreItem xmlns:ds="http://schemas.openxmlformats.org/officeDocument/2006/customXml" ds:itemID="{D3320DF4-14F1-4F2F-A09A-020D53A375FE}">
  <ds:schemaRefs>
    <ds:schemaRef ds:uri="http://schemas.microsoft.com/office/2006/metadata/properties"/>
    <ds:schemaRef ds:uri="http://schemas.microsoft.com/office/infopath/2007/PartnerControls"/>
    <ds:schemaRef ds:uri="826ad85a-3479-4e4f-9f4e-f321c89067be"/>
  </ds:schemaRefs>
</ds:datastoreItem>
</file>

<file path=customXml/itemProps4.xml><?xml version="1.0" encoding="utf-8"?>
<ds:datastoreItem xmlns:ds="http://schemas.openxmlformats.org/officeDocument/2006/customXml" ds:itemID="{7450BE58-614A-4570-82B5-5A52B7B8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2023-08-09T01:26:00Z</dcterms:created>
  <dcterms:modified xsi:type="dcterms:W3CDTF">2023-08-13T23:27:00Z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0x010100C4BA0F854552C1439E0B5A69FC45307D</vt:lpwstr>
  </property>
</Properties>
</file>