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0EE" w14:textId="7CDB471C" w:rsidR="00D7136A" w:rsidRDefault="00464DA0" w:rsidP="00052897">
      <w:pPr>
        <w:contextualSpacing/>
        <w:jc w:val="both"/>
        <w:rPr>
          <w:rFonts w:ascii="Arial" w:hAnsi="Arial" w:cs="Arial"/>
          <w:b/>
          <w:szCs w:val="20"/>
          <w:lang w:eastAsia="en-AU"/>
        </w:rPr>
      </w:pPr>
      <w:r>
        <w:rPr>
          <w:rFonts w:ascii="Arial" w:hAnsi="Arial" w:cs="Arial"/>
          <w:b/>
          <w:sz w:val="28"/>
          <w:lang w:eastAsia="en-AU"/>
        </w:rPr>
        <w:t xml:space="preserve">PBAC CONSIDERATION OF THE </w:t>
      </w:r>
      <w:r w:rsidR="00D7136A">
        <w:rPr>
          <w:rFonts w:ascii="Arial" w:hAnsi="Arial" w:cs="Arial"/>
          <w:b/>
          <w:sz w:val="28"/>
          <w:lang w:eastAsia="en-AU"/>
        </w:rPr>
        <w:t>REPORT</w:t>
      </w:r>
      <w:r w:rsidR="00267A9D">
        <w:rPr>
          <w:rFonts w:ascii="Arial" w:hAnsi="Arial" w:cs="Arial"/>
          <w:b/>
          <w:sz w:val="28"/>
          <w:lang w:eastAsia="en-AU"/>
        </w:rPr>
        <w:t xml:space="preserve"> OF THE DRUG </w:t>
      </w:r>
      <w:r w:rsidR="00D7136A" w:rsidRPr="00B94022">
        <w:rPr>
          <w:rFonts w:ascii="Arial" w:hAnsi="Arial" w:cs="Arial"/>
          <w:b/>
          <w:sz w:val="28"/>
          <w:lang w:eastAsia="en-AU"/>
        </w:rPr>
        <w:t>UTILISATION SUB-COMMITTEE</w:t>
      </w:r>
    </w:p>
    <w:p w14:paraId="7F124E9C" w14:textId="77777777" w:rsidR="00D7136A" w:rsidRPr="006951BF" w:rsidRDefault="00D7136A" w:rsidP="00052897">
      <w:pPr>
        <w:jc w:val="both"/>
        <w:rPr>
          <w:rFonts w:ascii="Arial" w:hAnsi="Arial" w:cs="Arial"/>
          <w:b/>
          <w:sz w:val="28"/>
          <w:szCs w:val="20"/>
          <w:lang w:eastAsia="en-AU"/>
        </w:rPr>
      </w:pPr>
    </w:p>
    <w:p w14:paraId="2BEF9007" w14:textId="6201DFC9" w:rsidR="005616CC" w:rsidRPr="009E20A4" w:rsidRDefault="00D7136A" w:rsidP="00052897">
      <w:pPr>
        <w:contextualSpacing/>
        <w:jc w:val="both"/>
        <w:rPr>
          <w:rFonts w:ascii="Arial" w:hAnsi="Arial" w:cs="Arial"/>
          <w:color w:val="A6A6A6"/>
          <w:sz w:val="22"/>
          <w:lang w:eastAsia="en-AU"/>
        </w:rPr>
      </w:pPr>
      <w:r w:rsidRPr="006951BF">
        <w:rPr>
          <w:rFonts w:ascii="Arial" w:hAnsi="Arial" w:cs="Arial"/>
          <w:sz w:val="22"/>
          <w:lang w:eastAsia="en-AU"/>
        </w:rPr>
        <w:t xml:space="preserve">The PBAC noted reports with associated stakeholder responses from the </w:t>
      </w:r>
      <w:r w:rsidR="00FD4A60">
        <w:rPr>
          <w:rFonts w:ascii="Arial" w:hAnsi="Arial" w:cs="Arial"/>
          <w:sz w:val="22"/>
          <w:lang w:eastAsia="en-AU"/>
        </w:rPr>
        <w:t>September</w:t>
      </w:r>
      <w:r w:rsidR="008621E7">
        <w:rPr>
          <w:rFonts w:ascii="Arial" w:hAnsi="Arial" w:cs="Arial"/>
          <w:sz w:val="22"/>
          <w:lang w:eastAsia="en-AU"/>
        </w:rPr>
        <w:t xml:space="preserve"> 2023</w:t>
      </w:r>
      <w:r w:rsidR="00DB4B4C">
        <w:rPr>
          <w:rFonts w:ascii="Arial" w:hAnsi="Arial" w:cs="Arial"/>
          <w:sz w:val="22"/>
          <w:lang w:eastAsia="en-AU"/>
        </w:rPr>
        <w:t xml:space="preserve"> </w:t>
      </w:r>
      <w:r w:rsidR="00A31269" w:rsidRPr="006951BF">
        <w:rPr>
          <w:rFonts w:ascii="Arial" w:hAnsi="Arial" w:cs="Arial"/>
          <w:sz w:val="22"/>
          <w:lang w:eastAsia="en-AU"/>
        </w:rPr>
        <w:t xml:space="preserve">Drug Utilisation Sub-Committee (DUSC) </w:t>
      </w:r>
      <w:r w:rsidRPr="006951BF">
        <w:rPr>
          <w:rFonts w:ascii="Arial" w:hAnsi="Arial" w:cs="Arial"/>
          <w:sz w:val="22"/>
          <w:lang w:eastAsia="en-AU"/>
        </w:rPr>
        <w:t xml:space="preserve">meeting, which </w:t>
      </w:r>
      <w:proofErr w:type="gramStart"/>
      <w:r w:rsidRPr="006951BF">
        <w:rPr>
          <w:rFonts w:ascii="Arial" w:hAnsi="Arial" w:cs="Arial"/>
          <w:sz w:val="22"/>
          <w:lang w:eastAsia="en-AU"/>
        </w:rPr>
        <w:t>were provided</w:t>
      </w:r>
      <w:proofErr w:type="gramEnd"/>
      <w:r w:rsidRPr="006951BF">
        <w:rPr>
          <w:rFonts w:ascii="Arial" w:hAnsi="Arial" w:cs="Arial"/>
          <w:sz w:val="22"/>
          <w:lang w:eastAsia="en-AU"/>
        </w:rPr>
        <w:t xml:space="preserve"> in Item</w:t>
      </w:r>
      <w:r w:rsidR="00A31269" w:rsidRPr="006951BF">
        <w:rPr>
          <w:rFonts w:ascii="Arial" w:hAnsi="Arial" w:cs="Arial"/>
          <w:sz w:val="22"/>
          <w:lang w:eastAsia="en-AU"/>
        </w:rPr>
        <w:t>s 10.0</w:t>
      </w:r>
      <w:r w:rsidR="00C9267A">
        <w:rPr>
          <w:rFonts w:ascii="Arial" w:hAnsi="Arial" w:cs="Arial"/>
          <w:sz w:val="22"/>
          <w:lang w:eastAsia="en-AU"/>
        </w:rPr>
        <w:t>3,</w:t>
      </w:r>
      <w:r w:rsidR="008621E7">
        <w:rPr>
          <w:rFonts w:ascii="Arial" w:hAnsi="Arial" w:cs="Arial"/>
          <w:sz w:val="22"/>
          <w:lang w:eastAsia="en-AU"/>
        </w:rPr>
        <w:t xml:space="preserve"> </w:t>
      </w:r>
      <w:r w:rsidR="006354AB">
        <w:rPr>
          <w:rFonts w:ascii="Arial" w:hAnsi="Arial" w:cs="Arial"/>
          <w:sz w:val="22"/>
          <w:lang w:eastAsia="en-AU"/>
        </w:rPr>
        <w:t>10.</w:t>
      </w:r>
      <w:r w:rsidR="008621E7">
        <w:rPr>
          <w:rFonts w:ascii="Arial" w:hAnsi="Arial" w:cs="Arial"/>
          <w:sz w:val="22"/>
          <w:lang w:eastAsia="en-AU"/>
        </w:rPr>
        <w:t>0</w:t>
      </w:r>
      <w:r w:rsidR="00C9267A">
        <w:rPr>
          <w:rFonts w:ascii="Arial" w:hAnsi="Arial" w:cs="Arial"/>
          <w:sz w:val="22"/>
          <w:lang w:eastAsia="en-AU"/>
        </w:rPr>
        <w:t>4, 10.05, and 10</w:t>
      </w:r>
      <w:r w:rsidR="00053A39">
        <w:rPr>
          <w:rFonts w:ascii="Arial" w:hAnsi="Arial" w:cs="Arial"/>
          <w:sz w:val="22"/>
          <w:lang w:eastAsia="en-AU"/>
        </w:rPr>
        <w:t>.06</w:t>
      </w:r>
      <w:r w:rsidR="00C229C3">
        <w:rPr>
          <w:rFonts w:ascii="Arial" w:hAnsi="Arial" w:cs="Arial"/>
          <w:sz w:val="22"/>
          <w:lang w:eastAsia="en-AU"/>
        </w:rPr>
        <w:t xml:space="preserve"> </w:t>
      </w:r>
      <w:r w:rsidRPr="006951BF">
        <w:rPr>
          <w:rFonts w:ascii="Arial" w:hAnsi="Arial" w:cs="Arial"/>
          <w:sz w:val="22"/>
          <w:lang w:eastAsia="en-AU"/>
        </w:rPr>
        <w:t xml:space="preserve">of the PBAC Agenda. </w:t>
      </w:r>
      <w:r w:rsidR="00A31269" w:rsidRPr="006951BF">
        <w:rPr>
          <w:rFonts w:ascii="Arial" w:hAnsi="Arial" w:cs="Arial"/>
          <w:sz w:val="22"/>
          <w:lang w:eastAsia="en-AU"/>
        </w:rPr>
        <w:t xml:space="preserve">DUSC minutes relating to these items </w:t>
      </w:r>
      <w:proofErr w:type="gramStart"/>
      <w:r w:rsidR="00A31269" w:rsidRPr="006951BF">
        <w:rPr>
          <w:rFonts w:ascii="Arial" w:hAnsi="Arial" w:cs="Arial"/>
          <w:sz w:val="22"/>
          <w:lang w:eastAsia="en-AU"/>
        </w:rPr>
        <w:t>were provided</w:t>
      </w:r>
      <w:proofErr w:type="gramEnd"/>
      <w:r w:rsidR="00A31269" w:rsidRPr="006951BF">
        <w:rPr>
          <w:rFonts w:ascii="Arial" w:hAnsi="Arial" w:cs="Arial"/>
          <w:sz w:val="22"/>
          <w:lang w:eastAsia="en-AU"/>
        </w:rPr>
        <w:t xml:space="preserve"> to the PBAC</w:t>
      </w:r>
      <w:r w:rsidR="00F8213A">
        <w:rPr>
          <w:rFonts w:ascii="Arial" w:hAnsi="Arial" w:cs="Arial"/>
          <w:sz w:val="22"/>
          <w:lang w:eastAsia="en-AU"/>
        </w:rPr>
        <w:t>. The outcomes of the DUSC consideration of these items are available in</w:t>
      </w:r>
      <w:r w:rsidR="00CB6BC5">
        <w:rPr>
          <w:rFonts w:ascii="Arial" w:hAnsi="Arial" w:cs="Arial"/>
          <w:sz w:val="22"/>
          <w:lang w:eastAsia="en-AU"/>
        </w:rPr>
        <w:t xml:space="preserve"> the</w:t>
      </w:r>
      <w:r w:rsidR="00BD0BA3">
        <w:rPr>
          <w:rFonts w:ascii="Arial" w:hAnsi="Arial" w:cs="Arial"/>
          <w:sz w:val="22"/>
          <w:lang w:eastAsia="en-AU"/>
        </w:rPr>
        <w:t xml:space="preserve"> </w:t>
      </w:r>
      <w:hyperlink r:id="rId8" w:history="1">
        <w:r w:rsidR="003F07CB">
          <w:rPr>
            <w:rStyle w:val="Hyperlink"/>
            <w:rFonts w:ascii="Arial" w:hAnsi="Arial" w:cs="Arial"/>
            <w:sz w:val="22"/>
            <w:lang w:eastAsia="en-AU"/>
          </w:rPr>
          <w:t>September</w:t>
        </w:r>
        <w:r w:rsidR="00AB23B4">
          <w:rPr>
            <w:rStyle w:val="Hyperlink"/>
            <w:rFonts w:ascii="Arial" w:hAnsi="Arial" w:cs="Arial"/>
            <w:sz w:val="22"/>
            <w:lang w:eastAsia="en-AU"/>
          </w:rPr>
          <w:t xml:space="preserve"> 2023 DUSC outcome statement</w:t>
        </w:r>
      </w:hyperlink>
      <w:r w:rsidR="00BD0BA3">
        <w:rPr>
          <w:rFonts w:ascii="Arial" w:hAnsi="Arial" w:cs="Arial"/>
          <w:sz w:val="22"/>
          <w:lang w:eastAsia="en-AU"/>
        </w:rPr>
        <w:t>.</w:t>
      </w:r>
    </w:p>
    <w:p w14:paraId="5DB2DFD8" w14:textId="77777777" w:rsidR="001E1951" w:rsidRPr="006951BF" w:rsidRDefault="001E1951" w:rsidP="00973009">
      <w:pPr>
        <w:contextualSpacing/>
        <w:jc w:val="both"/>
        <w:rPr>
          <w:rFonts w:ascii="Arial" w:hAnsi="Arial" w:cs="Arial"/>
          <w:b/>
          <w:sz w:val="22"/>
          <w:lang w:eastAsia="en-AU"/>
        </w:rPr>
      </w:pPr>
    </w:p>
    <w:p w14:paraId="58718D74" w14:textId="57B4AE42" w:rsidR="00ED66F3" w:rsidRPr="00DE22A0" w:rsidRDefault="00DE22A0" w:rsidP="00180E7D">
      <w:pPr>
        <w:spacing w:after="120"/>
        <w:jc w:val="both"/>
        <w:rPr>
          <w:rFonts w:ascii="Arial" w:hAnsi="Arial" w:cs="Arial"/>
          <w:b/>
          <w:bCs/>
          <w:iCs/>
          <w:sz w:val="22"/>
          <w:szCs w:val="22"/>
        </w:rPr>
      </w:pPr>
      <w:r w:rsidRPr="00DE22A0">
        <w:rPr>
          <w:rFonts w:ascii="Arial" w:hAnsi="Arial" w:cs="Arial"/>
          <w:b/>
          <w:bCs/>
          <w:iCs/>
          <w:sz w:val="22"/>
          <w:szCs w:val="22"/>
        </w:rPr>
        <w:t>APREMILAST FOR SEVERE</w:t>
      </w:r>
      <w:r>
        <w:rPr>
          <w:rFonts w:ascii="Arial" w:hAnsi="Arial" w:cs="Arial"/>
          <w:b/>
          <w:bCs/>
          <w:iCs/>
          <w:sz w:val="22"/>
          <w:szCs w:val="22"/>
        </w:rPr>
        <w:t xml:space="preserve"> CHRONIC</w:t>
      </w:r>
      <w:r w:rsidRPr="00DE22A0">
        <w:rPr>
          <w:rFonts w:ascii="Arial" w:hAnsi="Arial" w:cs="Arial"/>
          <w:b/>
          <w:bCs/>
          <w:iCs/>
          <w:sz w:val="22"/>
          <w:szCs w:val="22"/>
        </w:rPr>
        <w:t xml:space="preserve"> PLAQUE PSORIASIS</w:t>
      </w:r>
    </w:p>
    <w:p w14:paraId="0C70B32F" w14:textId="0DB4B8E7" w:rsidR="00DE22A0" w:rsidRDefault="00DE22A0" w:rsidP="00180E7D">
      <w:pPr>
        <w:spacing w:after="120"/>
        <w:jc w:val="both"/>
        <w:rPr>
          <w:rFonts w:ascii="Arial" w:hAnsi="Arial" w:cs="Arial"/>
          <w:i/>
          <w:sz w:val="22"/>
          <w:szCs w:val="22"/>
        </w:rPr>
      </w:pPr>
      <w:r>
        <w:rPr>
          <w:rFonts w:ascii="Arial" w:hAnsi="Arial" w:cs="Arial"/>
          <w:i/>
          <w:sz w:val="22"/>
          <w:szCs w:val="22"/>
        </w:rPr>
        <w:t xml:space="preserve">Outcome </w:t>
      </w:r>
    </w:p>
    <w:p w14:paraId="58B03433" w14:textId="53525826" w:rsidR="00DE22A0" w:rsidRPr="006C41DA" w:rsidRDefault="00DE22A0" w:rsidP="00DE22A0">
      <w:pPr>
        <w:spacing w:before="120" w:after="120"/>
        <w:jc w:val="both"/>
        <w:rPr>
          <w:rFonts w:ascii="Arial" w:hAnsi="Arial" w:cs="Arial"/>
          <w:sz w:val="22"/>
          <w:szCs w:val="22"/>
        </w:rPr>
      </w:pPr>
      <w:r w:rsidRPr="006C41DA">
        <w:rPr>
          <w:rFonts w:ascii="Arial" w:hAnsi="Arial" w:cs="Arial"/>
          <w:sz w:val="22"/>
          <w:szCs w:val="22"/>
          <w:lang w:val="en-GB"/>
        </w:rPr>
        <w:t xml:space="preserve">The PBAC noted the growth of the overall chronic plaque psoriasis market over time, particularly in biologic </w:t>
      </w:r>
      <w:r w:rsidR="000A37FB">
        <w:rPr>
          <w:rFonts w:ascii="Arial" w:hAnsi="Arial" w:cs="Arial"/>
          <w:sz w:val="22"/>
          <w:szCs w:val="22"/>
          <w:lang w:val="en-GB"/>
        </w:rPr>
        <w:t>medicines</w:t>
      </w:r>
      <w:r w:rsidRPr="006C41DA">
        <w:rPr>
          <w:rFonts w:ascii="Arial" w:hAnsi="Arial" w:cs="Arial"/>
          <w:sz w:val="22"/>
          <w:szCs w:val="22"/>
          <w:lang w:val="en-GB"/>
        </w:rPr>
        <w:t>. The PBAC noted actual utilisation of apremilast for severe chronic plaque psoriasis was different from estimated. The PBAC noted that apremilast had a steady incident and slowly growing prevalent population.</w:t>
      </w:r>
      <w:r w:rsidRPr="006C41DA">
        <w:rPr>
          <w:sz w:val="22"/>
          <w:szCs w:val="22"/>
        </w:rPr>
        <w:t xml:space="preserve"> </w:t>
      </w:r>
      <w:r w:rsidRPr="006C41DA">
        <w:rPr>
          <w:rFonts w:ascii="Arial" w:hAnsi="Arial" w:cs="Arial"/>
          <w:sz w:val="22"/>
          <w:szCs w:val="22"/>
        </w:rPr>
        <w:t xml:space="preserve">The PBAC noted in 2022, 4,908 patients </w:t>
      </w:r>
      <w:proofErr w:type="gramStart"/>
      <w:r w:rsidRPr="006C41DA">
        <w:rPr>
          <w:rFonts w:ascii="Arial" w:hAnsi="Arial" w:cs="Arial"/>
          <w:sz w:val="22"/>
          <w:szCs w:val="22"/>
        </w:rPr>
        <w:t>were supplied</w:t>
      </w:r>
      <w:proofErr w:type="gramEnd"/>
      <w:r w:rsidRPr="006C41DA">
        <w:rPr>
          <w:rFonts w:ascii="Arial" w:hAnsi="Arial" w:cs="Arial"/>
          <w:sz w:val="22"/>
          <w:szCs w:val="22"/>
        </w:rPr>
        <w:t xml:space="preserve"> 25,248 apremilast prescriptions. </w:t>
      </w:r>
    </w:p>
    <w:p w14:paraId="04367CB5" w14:textId="77777777" w:rsidR="00DE22A0" w:rsidRDefault="00DE22A0" w:rsidP="00180E7D">
      <w:pPr>
        <w:spacing w:after="120"/>
        <w:jc w:val="both"/>
        <w:rPr>
          <w:rFonts w:ascii="Arial" w:hAnsi="Arial" w:cs="Arial"/>
          <w:iCs/>
          <w:sz w:val="22"/>
          <w:szCs w:val="22"/>
        </w:rPr>
      </w:pPr>
    </w:p>
    <w:p w14:paraId="13710E73" w14:textId="2DA22C59" w:rsidR="00ED66F3" w:rsidRPr="0023409C" w:rsidRDefault="00ED66F3" w:rsidP="00ED66F3">
      <w:pPr>
        <w:spacing w:after="120"/>
        <w:jc w:val="both"/>
        <w:rPr>
          <w:rFonts w:ascii="Arial" w:hAnsi="Arial" w:cs="Arial"/>
          <w:b/>
          <w:caps/>
          <w:sz w:val="22"/>
          <w:szCs w:val="22"/>
          <w:lang w:eastAsia="en-AU"/>
        </w:rPr>
      </w:pPr>
      <w:r w:rsidRPr="0023409C">
        <w:rPr>
          <w:rFonts w:ascii="Arial" w:hAnsi="Arial" w:cs="Arial"/>
          <w:b/>
          <w:caps/>
          <w:sz w:val="22"/>
          <w:szCs w:val="22"/>
          <w:lang w:eastAsia="en-AU"/>
        </w:rPr>
        <w:t>ATTENTION DEFICIT HYPERACTIVITY DISORDER (ADHD) MEDICINES REVIEW</w:t>
      </w:r>
      <w:r>
        <w:rPr>
          <w:rFonts w:ascii="Arial" w:hAnsi="Arial" w:cs="Arial"/>
          <w:b/>
          <w:caps/>
          <w:sz w:val="22"/>
          <w:szCs w:val="22"/>
          <w:lang w:eastAsia="en-AU"/>
        </w:rPr>
        <w:t>:</w:t>
      </w:r>
      <w:r w:rsidRPr="0023409C">
        <w:rPr>
          <w:rFonts w:ascii="Arial" w:hAnsi="Arial" w:cs="Arial"/>
          <w:b/>
          <w:caps/>
          <w:sz w:val="22"/>
          <w:szCs w:val="22"/>
          <w:lang w:eastAsia="en-AU"/>
        </w:rPr>
        <w:t xml:space="preserve"> </w:t>
      </w:r>
      <w:r w:rsidR="00B60CCA" w:rsidRPr="00B60CCA">
        <w:rPr>
          <w:rFonts w:ascii="Arial" w:hAnsi="Arial" w:cs="Arial"/>
          <w:b/>
          <w:caps/>
          <w:sz w:val="22"/>
          <w:szCs w:val="22"/>
          <w:lang w:eastAsia="en-AU"/>
        </w:rPr>
        <w:t>LISDEXAMFETAMINE EXTENSION AND THE ADHD MARKET</w:t>
      </w:r>
    </w:p>
    <w:p w14:paraId="73441F07" w14:textId="77777777" w:rsidR="00ED66F3" w:rsidRDefault="00ED66F3" w:rsidP="00ED66F3">
      <w:pPr>
        <w:spacing w:after="120"/>
        <w:jc w:val="both"/>
        <w:rPr>
          <w:rFonts w:ascii="Arial" w:hAnsi="Arial" w:cs="Arial"/>
          <w:i/>
          <w:sz w:val="22"/>
          <w:szCs w:val="22"/>
        </w:rPr>
      </w:pPr>
      <w:r w:rsidRPr="00362AC3">
        <w:rPr>
          <w:rFonts w:ascii="Arial" w:hAnsi="Arial" w:cs="Arial"/>
          <w:i/>
          <w:sz w:val="22"/>
          <w:szCs w:val="22"/>
        </w:rPr>
        <w:t>Outcome</w:t>
      </w:r>
    </w:p>
    <w:p w14:paraId="6367C9B3" w14:textId="3013FD79" w:rsidR="000A37FB" w:rsidRDefault="000A37FB" w:rsidP="00ED66F3">
      <w:pPr>
        <w:spacing w:after="120"/>
        <w:jc w:val="both"/>
        <w:rPr>
          <w:rFonts w:ascii="Arial" w:hAnsi="Arial" w:cs="Arial"/>
          <w:sz w:val="22"/>
          <w:szCs w:val="22"/>
          <w:lang w:val="en-GB"/>
        </w:rPr>
      </w:pPr>
      <w:r w:rsidRPr="000A37FB">
        <w:rPr>
          <w:rFonts w:ascii="Arial" w:hAnsi="Arial" w:cs="Arial"/>
          <w:sz w:val="22"/>
          <w:szCs w:val="22"/>
          <w:lang w:val="en-GB"/>
        </w:rPr>
        <w:t xml:space="preserve">The PBAC noted the high demand for </w:t>
      </w:r>
      <w:r w:rsidR="00F04ECB">
        <w:rPr>
          <w:rFonts w:ascii="Arial" w:hAnsi="Arial" w:cs="Arial"/>
          <w:sz w:val="22"/>
          <w:szCs w:val="22"/>
          <w:lang w:val="en-GB"/>
        </w:rPr>
        <w:t xml:space="preserve">ADHD </w:t>
      </w:r>
      <w:r w:rsidRPr="000A37FB">
        <w:rPr>
          <w:rFonts w:ascii="Arial" w:hAnsi="Arial" w:cs="Arial"/>
          <w:sz w:val="22"/>
          <w:szCs w:val="22"/>
          <w:lang w:val="en-GB"/>
        </w:rPr>
        <w:t>treatment, in particular the utilisation of lisdexamfetamine in the adult population. The PBAC considered the regional variation in utilisation may partly reflect historical outliers of a higher level of prescribing to children in some states, and that these children are now supplied ADHD medicines as adults.</w:t>
      </w:r>
    </w:p>
    <w:p w14:paraId="152DC11B" w14:textId="0FF2F487" w:rsidR="000A37FB" w:rsidRPr="000A37FB" w:rsidRDefault="000A37FB" w:rsidP="00ED66F3">
      <w:pPr>
        <w:spacing w:after="120"/>
        <w:jc w:val="both"/>
        <w:rPr>
          <w:rFonts w:ascii="Arial" w:hAnsi="Arial" w:cs="Arial"/>
          <w:sz w:val="22"/>
          <w:szCs w:val="22"/>
          <w:lang w:val="en-GB"/>
        </w:rPr>
      </w:pPr>
      <w:r w:rsidRPr="000A37FB">
        <w:rPr>
          <w:rFonts w:ascii="Arial" w:hAnsi="Arial" w:cs="Arial"/>
          <w:sz w:val="22"/>
          <w:szCs w:val="22"/>
          <w:lang w:val="en-GB"/>
        </w:rPr>
        <w:t>The PBAC noted advice from clinicians that the prevalence of ADHD medicine use was approaching the prevalence of the condition in people under 18 years of age and that the adult prescribing rate was still below prevalence estimates for the adult population.</w:t>
      </w:r>
    </w:p>
    <w:p w14:paraId="503E640D" w14:textId="0B1EABE7" w:rsidR="002756E4" w:rsidRDefault="002756E4" w:rsidP="002756E4">
      <w:pPr>
        <w:spacing w:after="120"/>
        <w:jc w:val="both"/>
        <w:rPr>
          <w:rFonts w:ascii="Arial" w:hAnsi="Arial" w:cs="Arial"/>
          <w:iCs/>
          <w:sz w:val="22"/>
          <w:szCs w:val="22"/>
        </w:rPr>
      </w:pPr>
    </w:p>
    <w:p w14:paraId="2400F8EE" w14:textId="5F04E04A" w:rsidR="002756E4" w:rsidRPr="002756E4" w:rsidRDefault="002756E4" w:rsidP="002756E4">
      <w:pPr>
        <w:spacing w:after="120"/>
        <w:jc w:val="both"/>
        <w:rPr>
          <w:rFonts w:ascii="Arial" w:hAnsi="Arial" w:cs="Arial"/>
          <w:b/>
          <w:bCs/>
          <w:iCs/>
          <w:sz w:val="22"/>
          <w:szCs w:val="22"/>
        </w:rPr>
      </w:pPr>
      <w:r w:rsidRPr="002756E4">
        <w:rPr>
          <w:rFonts w:ascii="Arial" w:hAnsi="Arial" w:cs="Arial"/>
          <w:b/>
          <w:bCs/>
          <w:iCs/>
          <w:sz w:val="22"/>
          <w:szCs w:val="22"/>
        </w:rPr>
        <w:t>DUPILUMAB FOR SEVERE ATOPIC DERMATITIS</w:t>
      </w:r>
    </w:p>
    <w:p w14:paraId="545A7FD4" w14:textId="77777777" w:rsidR="002756E4" w:rsidRPr="002756E4" w:rsidRDefault="002756E4" w:rsidP="002756E4">
      <w:pPr>
        <w:spacing w:after="120"/>
        <w:jc w:val="both"/>
        <w:rPr>
          <w:rFonts w:ascii="Arial" w:hAnsi="Arial" w:cs="Arial"/>
          <w:i/>
          <w:sz w:val="22"/>
          <w:szCs w:val="22"/>
        </w:rPr>
      </w:pPr>
      <w:r w:rsidRPr="002756E4">
        <w:rPr>
          <w:rFonts w:ascii="Arial" w:hAnsi="Arial" w:cs="Arial"/>
          <w:i/>
          <w:sz w:val="22"/>
          <w:szCs w:val="22"/>
        </w:rPr>
        <w:t>Outcome</w:t>
      </w:r>
    </w:p>
    <w:p w14:paraId="7762D85E" w14:textId="5B51ABC4" w:rsidR="00DE22A0" w:rsidRDefault="002756E4" w:rsidP="002756E4">
      <w:pPr>
        <w:spacing w:after="120"/>
        <w:jc w:val="both"/>
        <w:rPr>
          <w:rFonts w:ascii="Arial" w:hAnsi="Arial" w:cs="Arial"/>
          <w:iCs/>
          <w:sz w:val="22"/>
          <w:szCs w:val="22"/>
        </w:rPr>
      </w:pPr>
      <w:r w:rsidRPr="002756E4">
        <w:rPr>
          <w:rFonts w:ascii="Arial" w:hAnsi="Arial" w:cs="Arial"/>
          <w:iCs/>
          <w:sz w:val="22"/>
          <w:szCs w:val="22"/>
        </w:rPr>
        <w:t xml:space="preserve">The PBAC </w:t>
      </w:r>
      <w:r>
        <w:rPr>
          <w:rFonts w:ascii="Arial" w:hAnsi="Arial" w:cs="Arial"/>
          <w:iCs/>
          <w:sz w:val="22"/>
          <w:szCs w:val="22"/>
        </w:rPr>
        <w:t>noted that</w:t>
      </w:r>
      <w:r w:rsidRPr="002756E4">
        <w:rPr>
          <w:rFonts w:ascii="Arial" w:hAnsi="Arial" w:cs="Arial"/>
          <w:iCs/>
          <w:sz w:val="22"/>
          <w:szCs w:val="22"/>
        </w:rPr>
        <w:t xml:space="preserve"> </w:t>
      </w:r>
      <w:r w:rsidR="00AF144F">
        <w:rPr>
          <w:rFonts w:ascii="Arial" w:hAnsi="Arial" w:cs="Arial"/>
          <w:iCs/>
          <w:sz w:val="22"/>
          <w:szCs w:val="22"/>
        </w:rPr>
        <w:t xml:space="preserve">in </w:t>
      </w:r>
      <w:r w:rsidRPr="002756E4">
        <w:rPr>
          <w:rFonts w:ascii="Arial" w:hAnsi="Arial" w:cs="Arial"/>
          <w:iCs/>
          <w:sz w:val="22"/>
          <w:szCs w:val="22"/>
        </w:rPr>
        <w:t xml:space="preserve">2022, 12,523 patients </w:t>
      </w:r>
      <w:proofErr w:type="gramStart"/>
      <w:r>
        <w:rPr>
          <w:rFonts w:ascii="Arial" w:hAnsi="Arial" w:cs="Arial"/>
          <w:iCs/>
          <w:sz w:val="22"/>
          <w:szCs w:val="22"/>
        </w:rPr>
        <w:t>were supplied</w:t>
      </w:r>
      <w:proofErr w:type="gramEnd"/>
      <w:r>
        <w:rPr>
          <w:rFonts w:ascii="Arial" w:hAnsi="Arial" w:cs="Arial"/>
          <w:iCs/>
          <w:sz w:val="22"/>
          <w:szCs w:val="22"/>
        </w:rPr>
        <w:t xml:space="preserve"> </w:t>
      </w:r>
      <w:r w:rsidRPr="002756E4">
        <w:rPr>
          <w:rFonts w:ascii="Arial" w:hAnsi="Arial" w:cs="Arial"/>
          <w:iCs/>
          <w:sz w:val="22"/>
          <w:szCs w:val="22"/>
        </w:rPr>
        <w:t xml:space="preserve">104,967 prescriptions </w:t>
      </w:r>
      <w:r>
        <w:rPr>
          <w:rFonts w:ascii="Arial" w:hAnsi="Arial" w:cs="Arial"/>
          <w:iCs/>
          <w:sz w:val="22"/>
          <w:szCs w:val="22"/>
        </w:rPr>
        <w:t>of dupilumab for severe atopic dermatitis</w:t>
      </w:r>
      <w:r w:rsidRPr="002756E4">
        <w:rPr>
          <w:rFonts w:ascii="Arial" w:hAnsi="Arial" w:cs="Arial"/>
          <w:iCs/>
          <w:sz w:val="22"/>
          <w:szCs w:val="22"/>
        </w:rPr>
        <w:t>.</w:t>
      </w:r>
      <w:r w:rsidR="00FF7990">
        <w:rPr>
          <w:rFonts w:ascii="Arial" w:hAnsi="Arial" w:cs="Arial"/>
          <w:iCs/>
          <w:sz w:val="22"/>
          <w:szCs w:val="22"/>
        </w:rPr>
        <w:t xml:space="preserve"> </w:t>
      </w:r>
      <w:r w:rsidR="00FF7990" w:rsidRPr="002756E4">
        <w:rPr>
          <w:rFonts w:ascii="Arial" w:hAnsi="Arial" w:cs="Arial"/>
          <w:iCs/>
          <w:sz w:val="22"/>
          <w:szCs w:val="22"/>
        </w:rPr>
        <w:t xml:space="preserve">The PBAC noted that dupilumab </w:t>
      </w:r>
      <w:proofErr w:type="gramStart"/>
      <w:r w:rsidR="00FF7990">
        <w:rPr>
          <w:rFonts w:ascii="Arial" w:hAnsi="Arial" w:cs="Arial"/>
          <w:iCs/>
          <w:sz w:val="22"/>
          <w:szCs w:val="22"/>
        </w:rPr>
        <w:t>was more commonly supplied</w:t>
      </w:r>
      <w:proofErr w:type="gramEnd"/>
      <w:r w:rsidR="00FF7990">
        <w:rPr>
          <w:rFonts w:ascii="Arial" w:hAnsi="Arial" w:cs="Arial"/>
          <w:iCs/>
          <w:sz w:val="22"/>
          <w:szCs w:val="22"/>
        </w:rPr>
        <w:t xml:space="preserve"> than</w:t>
      </w:r>
      <w:r w:rsidR="00FF7990" w:rsidRPr="002756E4">
        <w:rPr>
          <w:rFonts w:ascii="Arial" w:hAnsi="Arial" w:cs="Arial"/>
          <w:iCs/>
          <w:sz w:val="22"/>
          <w:szCs w:val="22"/>
        </w:rPr>
        <w:t xml:space="preserve"> upadacitinib</w:t>
      </w:r>
      <w:r w:rsidR="00FF7990">
        <w:rPr>
          <w:rFonts w:ascii="Arial" w:hAnsi="Arial" w:cs="Arial"/>
          <w:iCs/>
          <w:sz w:val="22"/>
          <w:szCs w:val="22"/>
        </w:rPr>
        <w:t>.</w:t>
      </w:r>
    </w:p>
    <w:p w14:paraId="54662CAF" w14:textId="77777777" w:rsidR="00F04ECB" w:rsidRDefault="00F04ECB" w:rsidP="00DE22A0">
      <w:pPr>
        <w:spacing w:after="120"/>
        <w:jc w:val="both"/>
        <w:rPr>
          <w:rFonts w:ascii="Arial" w:hAnsi="Arial" w:cs="Arial"/>
          <w:b/>
          <w:caps/>
          <w:sz w:val="22"/>
          <w:szCs w:val="22"/>
          <w:lang w:eastAsia="en-AU"/>
        </w:rPr>
      </w:pPr>
    </w:p>
    <w:p w14:paraId="2CABE619" w14:textId="2C730A7D" w:rsidR="00DE22A0" w:rsidRDefault="00DE22A0" w:rsidP="00DE22A0">
      <w:pPr>
        <w:spacing w:after="120"/>
        <w:jc w:val="both"/>
        <w:rPr>
          <w:rFonts w:ascii="Arial" w:hAnsi="Arial" w:cs="Arial"/>
          <w:b/>
          <w:caps/>
          <w:sz w:val="22"/>
          <w:szCs w:val="22"/>
          <w:lang w:eastAsia="en-AU"/>
        </w:rPr>
      </w:pPr>
      <w:r w:rsidRPr="006A0F20">
        <w:rPr>
          <w:rFonts w:ascii="Arial" w:hAnsi="Arial" w:cs="Arial"/>
          <w:b/>
          <w:caps/>
          <w:sz w:val="22"/>
          <w:szCs w:val="22"/>
          <w:lang w:eastAsia="en-AU"/>
        </w:rPr>
        <w:t xml:space="preserve">VENETOCLAX FOR FIRST-LINE TREATMENT OF CHRONIC LYMPHOCYTIC LEUKAEMIA </w:t>
      </w:r>
      <w:r>
        <w:rPr>
          <w:rFonts w:ascii="Arial" w:hAnsi="Arial" w:cs="Arial"/>
          <w:b/>
          <w:caps/>
          <w:sz w:val="22"/>
          <w:szCs w:val="22"/>
          <w:lang w:eastAsia="en-AU"/>
        </w:rPr>
        <w:t xml:space="preserve">(CLL) </w:t>
      </w:r>
      <w:r w:rsidRPr="006A0F20">
        <w:rPr>
          <w:rFonts w:ascii="Arial" w:hAnsi="Arial" w:cs="Arial"/>
          <w:b/>
          <w:caps/>
          <w:sz w:val="22"/>
          <w:szCs w:val="22"/>
          <w:lang w:eastAsia="en-AU"/>
        </w:rPr>
        <w:t xml:space="preserve">OR SMALL LYMPHOCYTIC LYMPHOMA </w:t>
      </w:r>
      <w:r>
        <w:rPr>
          <w:rFonts w:ascii="Arial" w:hAnsi="Arial" w:cs="Arial"/>
          <w:b/>
          <w:caps/>
          <w:sz w:val="22"/>
          <w:szCs w:val="22"/>
          <w:lang w:eastAsia="en-AU"/>
        </w:rPr>
        <w:t>(SLL)</w:t>
      </w:r>
    </w:p>
    <w:p w14:paraId="235B1E64" w14:textId="1C11323C" w:rsidR="00AF144F" w:rsidRDefault="00DE22A0" w:rsidP="00347C95">
      <w:pPr>
        <w:spacing w:after="120"/>
        <w:jc w:val="both"/>
        <w:rPr>
          <w:rFonts w:ascii="Arial" w:hAnsi="Arial" w:cs="Arial"/>
          <w:iCs/>
          <w:sz w:val="22"/>
          <w:szCs w:val="22"/>
        </w:rPr>
      </w:pPr>
      <w:r w:rsidRPr="00362AC3">
        <w:rPr>
          <w:rFonts w:ascii="Arial" w:hAnsi="Arial" w:cs="Arial"/>
          <w:i/>
          <w:sz w:val="22"/>
          <w:szCs w:val="22"/>
        </w:rPr>
        <w:t>Outcome</w:t>
      </w:r>
    </w:p>
    <w:p w14:paraId="181E9DFE" w14:textId="0979A78F" w:rsidR="00347C95" w:rsidRPr="00347C95" w:rsidRDefault="00AF144F" w:rsidP="00AF144F">
      <w:pPr>
        <w:spacing w:before="120" w:after="120"/>
        <w:jc w:val="both"/>
        <w:rPr>
          <w:rFonts w:ascii="Arial" w:hAnsi="Arial" w:cs="Arial"/>
          <w:iCs/>
          <w:sz w:val="22"/>
          <w:szCs w:val="22"/>
        </w:rPr>
      </w:pPr>
      <w:r>
        <w:rPr>
          <w:rFonts w:ascii="Arial" w:hAnsi="Arial" w:cs="Arial"/>
          <w:iCs/>
          <w:sz w:val="22"/>
          <w:szCs w:val="22"/>
        </w:rPr>
        <w:t xml:space="preserve">The PBAC </w:t>
      </w:r>
      <w:r w:rsidRPr="00AF144F">
        <w:rPr>
          <w:rFonts w:ascii="Arial" w:hAnsi="Arial" w:cs="Arial"/>
          <w:iCs/>
          <w:sz w:val="22"/>
          <w:szCs w:val="22"/>
        </w:rPr>
        <w:t>consider</w:t>
      </w:r>
      <w:r w:rsidR="00BF5B32">
        <w:rPr>
          <w:rFonts w:ascii="Arial" w:hAnsi="Arial" w:cs="Arial"/>
          <w:iCs/>
          <w:sz w:val="22"/>
          <w:szCs w:val="22"/>
        </w:rPr>
        <w:t>ed</w:t>
      </w:r>
      <w:r w:rsidRPr="00AF144F">
        <w:rPr>
          <w:rFonts w:ascii="Arial" w:hAnsi="Arial" w:cs="Arial"/>
          <w:iCs/>
          <w:sz w:val="22"/>
          <w:szCs w:val="22"/>
        </w:rPr>
        <w:t xml:space="preserve"> advice on the predicted versus actual </w:t>
      </w:r>
      <w:r w:rsidR="00BF5B32">
        <w:rPr>
          <w:rFonts w:ascii="Arial" w:hAnsi="Arial" w:cs="Arial"/>
          <w:iCs/>
          <w:sz w:val="22"/>
          <w:szCs w:val="22"/>
        </w:rPr>
        <w:t>utilisation</w:t>
      </w:r>
      <w:r w:rsidRPr="00AF144F">
        <w:rPr>
          <w:rFonts w:ascii="Arial" w:hAnsi="Arial" w:cs="Arial"/>
          <w:iCs/>
          <w:sz w:val="22"/>
          <w:szCs w:val="22"/>
        </w:rPr>
        <w:t xml:space="preserve"> of venetoclax for </w:t>
      </w:r>
      <w:r w:rsidR="00A3346B">
        <w:rPr>
          <w:rFonts w:ascii="Arial" w:hAnsi="Arial" w:cs="Arial"/>
          <w:iCs/>
          <w:sz w:val="22"/>
          <w:szCs w:val="22"/>
        </w:rPr>
        <w:t xml:space="preserve">the </w:t>
      </w:r>
      <w:r w:rsidRPr="00AF144F">
        <w:rPr>
          <w:rFonts w:ascii="Arial" w:hAnsi="Arial" w:cs="Arial"/>
          <w:iCs/>
          <w:sz w:val="22"/>
          <w:szCs w:val="22"/>
        </w:rPr>
        <w:t xml:space="preserve">first-line treatment of chronic lymphocytic leukaemia (CLL) or small lymphocytic </w:t>
      </w:r>
      <w:r w:rsidRPr="00AF144F">
        <w:rPr>
          <w:rFonts w:ascii="Arial" w:hAnsi="Arial" w:cs="Arial"/>
          <w:iCs/>
          <w:sz w:val="22"/>
          <w:szCs w:val="22"/>
        </w:rPr>
        <w:lastRenderedPageBreak/>
        <w:t>lymphoma (SLL).</w:t>
      </w:r>
      <w:r w:rsidRPr="00101D47">
        <w:rPr>
          <w:rFonts w:ascii="Calibri" w:hAnsi="Calibri"/>
          <w:lang w:eastAsia="en-AU"/>
        </w:rPr>
        <w:t xml:space="preserve"> </w:t>
      </w:r>
      <w:r>
        <w:rPr>
          <w:rFonts w:ascii="Arial" w:hAnsi="Arial" w:cs="Arial"/>
          <w:iCs/>
          <w:sz w:val="22"/>
          <w:szCs w:val="22"/>
        </w:rPr>
        <w:t xml:space="preserve">The PBAC noted that the </w:t>
      </w:r>
      <w:r w:rsidRPr="00AF144F">
        <w:rPr>
          <w:rFonts w:ascii="Arial" w:hAnsi="Arial" w:cs="Arial"/>
          <w:iCs/>
          <w:sz w:val="22"/>
          <w:szCs w:val="22"/>
        </w:rPr>
        <w:t xml:space="preserve">actual uptake of venetoclax in combination with obinutuzumab for first-line treatment of CLL/SLL was </w:t>
      </w:r>
      <w:r>
        <w:rPr>
          <w:rFonts w:ascii="Arial" w:hAnsi="Arial" w:cs="Arial"/>
          <w:iCs/>
          <w:sz w:val="22"/>
          <w:szCs w:val="22"/>
        </w:rPr>
        <w:t>different</w:t>
      </w:r>
      <w:r w:rsidRPr="00AF144F">
        <w:rPr>
          <w:rFonts w:ascii="Arial" w:hAnsi="Arial" w:cs="Arial"/>
          <w:iCs/>
          <w:sz w:val="22"/>
          <w:szCs w:val="22"/>
        </w:rPr>
        <w:t xml:space="preserve"> over the first two years of listing than predicted.</w:t>
      </w:r>
      <w:r>
        <w:rPr>
          <w:rFonts w:ascii="Arial" w:hAnsi="Arial" w:cs="Arial"/>
          <w:iCs/>
          <w:sz w:val="22"/>
          <w:szCs w:val="22"/>
        </w:rPr>
        <w:t xml:space="preserve"> </w:t>
      </w:r>
      <w:r w:rsidR="00347C95" w:rsidRPr="00347C95">
        <w:rPr>
          <w:rFonts w:ascii="Arial" w:hAnsi="Arial" w:cs="Arial"/>
          <w:iCs/>
          <w:sz w:val="22"/>
          <w:szCs w:val="22"/>
        </w:rPr>
        <w:t xml:space="preserve">The PBAC considered that there would have been </w:t>
      </w:r>
      <w:proofErr w:type="gramStart"/>
      <w:r w:rsidR="00347C95" w:rsidRPr="00347C95">
        <w:rPr>
          <w:rFonts w:ascii="Arial" w:hAnsi="Arial" w:cs="Arial"/>
          <w:iCs/>
          <w:sz w:val="22"/>
          <w:szCs w:val="22"/>
        </w:rPr>
        <w:t>some</w:t>
      </w:r>
      <w:proofErr w:type="gramEnd"/>
      <w:r w:rsidR="00347C95" w:rsidRPr="00347C95">
        <w:rPr>
          <w:rFonts w:ascii="Arial" w:hAnsi="Arial" w:cs="Arial"/>
          <w:iCs/>
          <w:sz w:val="22"/>
          <w:szCs w:val="22"/>
        </w:rPr>
        <w:t xml:space="preserve"> usage of ven</w:t>
      </w:r>
      <w:r w:rsidR="00347C95">
        <w:rPr>
          <w:rFonts w:ascii="Arial" w:hAnsi="Arial" w:cs="Arial"/>
          <w:iCs/>
          <w:sz w:val="22"/>
          <w:szCs w:val="22"/>
        </w:rPr>
        <w:t>e</w:t>
      </w:r>
      <w:r w:rsidR="00347C95" w:rsidRPr="00347C95">
        <w:rPr>
          <w:rFonts w:ascii="Arial" w:hAnsi="Arial" w:cs="Arial"/>
          <w:iCs/>
          <w:sz w:val="22"/>
          <w:szCs w:val="22"/>
        </w:rPr>
        <w:t>toclax for first-line therapy in those patients who would normally have been considered fit for chemo-immunotherapy, prior to the changes to the restrictions of PBS listed therapies for first- and second-</w:t>
      </w:r>
      <w:r>
        <w:rPr>
          <w:rFonts w:ascii="Arial" w:hAnsi="Arial" w:cs="Arial"/>
          <w:iCs/>
          <w:sz w:val="22"/>
          <w:szCs w:val="22"/>
        </w:rPr>
        <w:t xml:space="preserve"> </w:t>
      </w:r>
      <w:r w:rsidR="00347C95" w:rsidRPr="00347C95">
        <w:rPr>
          <w:rFonts w:ascii="Arial" w:hAnsi="Arial" w:cs="Arial"/>
          <w:iCs/>
          <w:sz w:val="22"/>
          <w:szCs w:val="22"/>
        </w:rPr>
        <w:t>line (relapsed/refractory) treatments for CLL/SLL that commenced on 1 September 2023.</w:t>
      </w:r>
    </w:p>
    <w:p w14:paraId="6FC27E38" w14:textId="04F7F5D3" w:rsidR="00ED66F3" w:rsidRPr="00180E7D" w:rsidRDefault="00347C95" w:rsidP="00347C95">
      <w:pPr>
        <w:spacing w:after="120"/>
        <w:jc w:val="both"/>
        <w:rPr>
          <w:rFonts w:ascii="Arial" w:hAnsi="Arial" w:cs="Arial"/>
          <w:iCs/>
          <w:sz w:val="22"/>
          <w:szCs w:val="22"/>
        </w:rPr>
      </w:pPr>
      <w:r w:rsidRPr="00347C95">
        <w:rPr>
          <w:rFonts w:ascii="Arial" w:hAnsi="Arial" w:cs="Arial"/>
          <w:iCs/>
          <w:sz w:val="22"/>
          <w:szCs w:val="22"/>
        </w:rPr>
        <w:t>The PBAC considered that another review of venetoclax usage in CLL/SLL in 24</w:t>
      </w:r>
      <w:r w:rsidR="00F978F8">
        <w:rPr>
          <w:rFonts w:ascii="Arial" w:hAnsi="Arial" w:cs="Arial"/>
          <w:iCs/>
          <w:sz w:val="22"/>
          <w:szCs w:val="22"/>
        </w:rPr>
        <w:t> </w:t>
      </w:r>
      <w:r w:rsidRPr="00347C95">
        <w:rPr>
          <w:rFonts w:ascii="Arial" w:hAnsi="Arial" w:cs="Arial"/>
          <w:iCs/>
          <w:sz w:val="22"/>
          <w:szCs w:val="22"/>
        </w:rPr>
        <w:t>months would be of value.</w:t>
      </w:r>
    </w:p>
    <w:sectPr w:rsidR="00ED66F3" w:rsidRPr="00180E7D" w:rsidSect="007A24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4539" w14:textId="77777777" w:rsidR="00171A7A" w:rsidRDefault="00171A7A">
      <w:r>
        <w:separator/>
      </w:r>
    </w:p>
  </w:endnote>
  <w:endnote w:type="continuationSeparator" w:id="0">
    <w:p w14:paraId="39DC17AD" w14:textId="77777777" w:rsidR="00171A7A" w:rsidRDefault="0017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27D9" w14:textId="77777777" w:rsidR="00193B15" w:rsidRDefault="0019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5BA" w14:textId="77777777" w:rsidR="001F312C" w:rsidRPr="004630FE" w:rsidRDefault="001F312C">
    <w:pPr>
      <w:pStyle w:val="Footer"/>
      <w:jc w:val="center"/>
      <w:rPr>
        <w:rFonts w:ascii="Arial" w:hAnsi="Arial" w:cs="Arial"/>
        <w:sz w:val="22"/>
      </w:rPr>
    </w:pPr>
  </w:p>
  <w:p w14:paraId="0A6D77EE" w14:textId="1328933C" w:rsidR="001F312C" w:rsidRPr="00EC37B4" w:rsidRDefault="001F312C" w:rsidP="00EC37B4">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CE56" w14:textId="77777777" w:rsidR="00193B15" w:rsidRDefault="0019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EFD9" w14:textId="77777777" w:rsidR="00171A7A" w:rsidRDefault="00171A7A">
      <w:r>
        <w:separator/>
      </w:r>
    </w:p>
  </w:footnote>
  <w:footnote w:type="continuationSeparator" w:id="0">
    <w:p w14:paraId="10B537B6" w14:textId="77777777" w:rsidR="00171A7A" w:rsidRDefault="0017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1D5B" w14:textId="77777777" w:rsidR="00193B15" w:rsidRDefault="0019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7D6" w14:textId="34539925" w:rsidR="001F312C" w:rsidRPr="00520B6E" w:rsidRDefault="00FD4A60" w:rsidP="004630FE">
    <w:pPr>
      <w:tabs>
        <w:tab w:val="center" w:pos="4153"/>
        <w:tab w:val="right" w:pos="8306"/>
      </w:tabs>
      <w:jc w:val="center"/>
      <w:rPr>
        <w:rFonts w:ascii="Arial" w:hAnsi="Arial" w:cs="Arial"/>
        <w:b/>
        <w:sz w:val="20"/>
      </w:rPr>
    </w:pPr>
    <w:r w:rsidRPr="00FD4A60">
      <w:rPr>
        <w:rFonts w:ascii="Arial" w:hAnsi="Arial" w:cs="Arial"/>
        <w:b/>
        <w:caps/>
        <w:sz w:val="20"/>
      </w:rPr>
      <w:t>november</w:t>
    </w:r>
    <w:r w:rsidR="008621E7">
      <w:rPr>
        <w:rFonts w:ascii="Arial" w:hAnsi="Arial" w:cs="Arial"/>
        <w:b/>
        <w:sz w:val="20"/>
      </w:rPr>
      <w:t xml:space="preserve"> 2023</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9A41" w14:textId="77777777" w:rsidR="00193B15" w:rsidRDefault="0019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78199203">
    <w:abstractNumId w:val="10"/>
  </w:num>
  <w:num w:numId="2" w16cid:durableId="1589389630">
    <w:abstractNumId w:val="5"/>
  </w:num>
  <w:num w:numId="3" w16cid:durableId="1547256440">
    <w:abstractNumId w:val="2"/>
  </w:num>
  <w:num w:numId="4" w16cid:durableId="405959758">
    <w:abstractNumId w:val="6"/>
  </w:num>
  <w:num w:numId="5" w16cid:durableId="95175730">
    <w:abstractNumId w:val="4"/>
  </w:num>
  <w:num w:numId="6" w16cid:durableId="1082995549">
    <w:abstractNumId w:val="8"/>
  </w:num>
  <w:num w:numId="7" w16cid:durableId="1388995512">
    <w:abstractNumId w:val="1"/>
  </w:num>
  <w:num w:numId="8" w16cid:durableId="2034452257">
    <w:abstractNumId w:val="3"/>
  </w:num>
  <w:num w:numId="9" w16cid:durableId="2011633779">
    <w:abstractNumId w:val="9"/>
  </w:num>
  <w:num w:numId="10" w16cid:durableId="1838376336">
    <w:abstractNumId w:val="7"/>
  </w:num>
  <w:num w:numId="11" w16cid:durableId="3012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6CBD"/>
    <w:rsid w:val="0002143A"/>
    <w:rsid w:val="00022BF9"/>
    <w:rsid w:val="00034F16"/>
    <w:rsid w:val="000413ED"/>
    <w:rsid w:val="000437B9"/>
    <w:rsid w:val="00046F5C"/>
    <w:rsid w:val="00050E03"/>
    <w:rsid w:val="00052897"/>
    <w:rsid w:val="00053A39"/>
    <w:rsid w:val="0006056A"/>
    <w:rsid w:val="00060A45"/>
    <w:rsid w:val="0007306F"/>
    <w:rsid w:val="00080336"/>
    <w:rsid w:val="00084B66"/>
    <w:rsid w:val="00092D31"/>
    <w:rsid w:val="00095F78"/>
    <w:rsid w:val="000A160F"/>
    <w:rsid w:val="000A2CDC"/>
    <w:rsid w:val="000A37FB"/>
    <w:rsid w:val="000B2DD0"/>
    <w:rsid w:val="000C6902"/>
    <w:rsid w:val="000E4B3A"/>
    <w:rsid w:val="00132A6A"/>
    <w:rsid w:val="0014056F"/>
    <w:rsid w:val="001416A4"/>
    <w:rsid w:val="00150970"/>
    <w:rsid w:val="00156D69"/>
    <w:rsid w:val="00171A7A"/>
    <w:rsid w:val="00176F11"/>
    <w:rsid w:val="00180E7D"/>
    <w:rsid w:val="00193B15"/>
    <w:rsid w:val="001B5725"/>
    <w:rsid w:val="001B5726"/>
    <w:rsid w:val="001B648D"/>
    <w:rsid w:val="001D0ACE"/>
    <w:rsid w:val="001D0B69"/>
    <w:rsid w:val="001D38C7"/>
    <w:rsid w:val="001D45AF"/>
    <w:rsid w:val="001E1951"/>
    <w:rsid w:val="001E7E86"/>
    <w:rsid w:val="001F0355"/>
    <w:rsid w:val="001F312C"/>
    <w:rsid w:val="00215DE5"/>
    <w:rsid w:val="0022150A"/>
    <w:rsid w:val="002374AC"/>
    <w:rsid w:val="00244B20"/>
    <w:rsid w:val="00250A1C"/>
    <w:rsid w:val="00251848"/>
    <w:rsid w:val="00265781"/>
    <w:rsid w:val="00267A9D"/>
    <w:rsid w:val="002756E4"/>
    <w:rsid w:val="0028590B"/>
    <w:rsid w:val="002A0EF1"/>
    <w:rsid w:val="002D4006"/>
    <w:rsid w:val="002D7178"/>
    <w:rsid w:val="002E7273"/>
    <w:rsid w:val="002F7591"/>
    <w:rsid w:val="002F775E"/>
    <w:rsid w:val="00301E55"/>
    <w:rsid w:val="00310423"/>
    <w:rsid w:val="0031133D"/>
    <w:rsid w:val="003172AB"/>
    <w:rsid w:val="003211BA"/>
    <w:rsid w:val="00326328"/>
    <w:rsid w:val="0034025C"/>
    <w:rsid w:val="00341334"/>
    <w:rsid w:val="00341E66"/>
    <w:rsid w:val="00347C95"/>
    <w:rsid w:val="003603AD"/>
    <w:rsid w:val="00362AC3"/>
    <w:rsid w:val="003637C8"/>
    <w:rsid w:val="00385940"/>
    <w:rsid w:val="00397836"/>
    <w:rsid w:val="003A0382"/>
    <w:rsid w:val="003B0BEA"/>
    <w:rsid w:val="003B695E"/>
    <w:rsid w:val="003B79EE"/>
    <w:rsid w:val="003C2B83"/>
    <w:rsid w:val="003E55CB"/>
    <w:rsid w:val="003F07CB"/>
    <w:rsid w:val="00400159"/>
    <w:rsid w:val="0040140B"/>
    <w:rsid w:val="004048D8"/>
    <w:rsid w:val="00407FAA"/>
    <w:rsid w:val="00446CF7"/>
    <w:rsid w:val="004630FE"/>
    <w:rsid w:val="00464B70"/>
    <w:rsid w:val="00464DA0"/>
    <w:rsid w:val="004669DB"/>
    <w:rsid w:val="004A1627"/>
    <w:rsid w:val="004C295B"/>
    <w:rsid w:val="004C4C12"/>
    <w:rsid w:val="004D4DEE"/>
    <w:rsid w:val="004E76AE"/>
    <w:rsid w:val="004F2C21"/>
    <w:rsid w:val="00507F23"/>
    <w:rsid w:val="00514593"/>
    <w:rsid w:val="005166A6"/>
    <w:rsid w:val="00520024"/>
    <w:rsid w:val="00533BC7"/>
    <w:rsid w:val="0054217F"/>
    <w:rsid w:val="00550F01"/>
    <w:rsid w:val="00553E58"/>
    <w:rsid w:val="005616CC"/>
    <w:rsid w:val="005639BA"/>
    <w:rsid w:val="005642B3"/>
    <w:rsid w:val="00565336"/>
    <w:rsid w:val="005732A3"/>
    <w:rsid w:val="00575B2C"/>
    <w:rsid w:val="00582F85"/>
    <w:rsid w:val="00593867"/>
    <w:rsid w:val="005A71CE"/>
    <w:rsid w:val="005C202C"/>
    <w:rsid w:val="005D081A"/>
    <w:rsid w:val="005D1506"/>
    <w:rsid w:val="005D774C"/>
    <w:rsid w:val="005F2273"/>
    <w:rsid w:val="005F5574"/>
    <w:rsid w:val="006102C6"/>
    <w:rsid w:val="00614F10"/>
    <w:rsid w:val="006354AB"/>
    <w:rsid w:val="00641F0C"/>
    <w:rsid w:val="00647788"/>
    <w:rsid w:val="00652D57"/>
    <w:rsid w:val="00664A75"/>
    <w:rsid w:val="00666863"/>
    <w:rsid w:val="00666881"/>
    <w:rsid w:val="00677683"/>
    <w:rsid w:val="00677983"/>
    <w:rsid w:val="00683251"/>
    <w:rsid w:val="006847AC"/>
    <w:rsid w:val="006951BF"/>
    <w:rsid w:val="006A0F20"/>
    <w:rsid w:val="006A2EB2"/>
    <w:rsid w:val="006A5F26"/>
    <w:rsid w:val="006C41DA"/>
    <w:rsid w:val="006D0A58"/>
    <w:rsid w:val="006D36DC"/>
    <w:rsid w:val="006D4C23"/>
    <w:rsid w:val="006D4F54"/>
    <w:rsid w:val="006D593A"/>
    <w:rsid w:val="006E57A3"/>
    <w:rsid w:val="006F6F34"/>
    <w:rsid w:val="0070348A"/>
    <w:rsid w:val="007178BA"/>
    <w:rsid w:val="0073297F"/>
    <w:rsid w:val="0074603E"/>
    <w:rsid w:val="0075366B"/>
    <w:rsid w:val="00793AF0"/>
    <w:rsid w:val="007A2421"/>
    <w:rsid w:val="007C1098"/>
    <w:rsid w:val="007C758A"/>
    <w:rsid w:val="007C75EE"/>
    <w:rsid w:val="007D7263"/>
    <w:rsid w:val="007E275C"/>
    <w:rsid w:val="007F4E20"/>
    <w:rsid w:val="00801B19"/>
    <w:rsid w:val="00816A6C"/>
    <w:rsid w:val="0082288D"/>
    <w:rsid w:val="0083210F"/>
    <w:rsid w:val="008361CD"/>
    <w:rsid w:val="008479A0"/>
    <w:rsid w:val="008545D1"/>
    <w:rsid w:val="008613B3"/>
    <w:rsid w:val="008621E7"/>
    <w:rsid w:val="00866D71"/>
    <w:rsid w:val="008842CE"/>
    <w:rsid w:val="008866E8"/>
    <w:rsid w:val="00890D53"/>
    <w:rsid w:val="0089331D"/>
    <w:rsid w:val="008934F5"/>
    <w:rsid w:val="008A4311"/>
    <w:rsid w:val="008A4B6F"/>
    <w:rsid w:val="008A651A"/>
    <w:rsid w:val="008B279B"/>
    <w:rsid w:val="008B4388"/>
    <w:rsid w:val="008B6009"/>
    <w:rsid w:val="008B69CF"/>
    <w:rsid w:val="008D020C"/>
    <w:rsid w:val="008E354F"/>
    <w:rsid w:val="009203A6"/>
    <w:rsid w:val="00922E47"/>
    <w:rsid w:val="00925E21"/>
    <w:rsid w:val="00933952"/>
    <w:rsid w:val="00964E5C"/>
    <w:rsid w:val="00973009"/>
    <w:rsid w:val="00984270"/>
    <w:rsid w:val="00997EA7"/>
    <w:rsid w:val="009A1ACC"/>
    <w:rsid w:val="009B339D"/>
    <w:rsid w:val="009E121B"/>
    <w:rsid w:val="009E143F"/>
    <w:rsid w:val="009E20A4"/>
    <w:rsid w:val="009E6EA9"/>
    <w:rsid w:val="009E7E00"/>
    <w:rsid w:val="009F55CE"/>
    <w:rsid w:val="009F5908"/>
    <w:rsid w:val="009F5FE2"/>
    <w:rsid w:val="00A03E25"/>
    <w:rsid w:val="00A0539F"/>
    <w:rsid w:val="00A152EE"/>
    <w:rsid w:val="00A1560D"/>
    <w:rsid w:val="00A25973"/>
    <w:rsid w:val="00A31269"/>
    <w:rsid w:val="00A32269"/>
    <w:rsid w:val="00A3346B"/>
    <w:rsid w:val="00A4098E"/>
    <w:rsid w:val="00A425E5"/>
    <w:rsid w:val="00A45D82"/>
    <w:rsid w:val="00A47E2F"/>
    <w:rsid w:val="00A50253"/>
    <w:rsid w:val="00A570BF"/>
    <w:rsid w:val="00A70179"/>
    <w:rsid w:val="00A71C64"/>
    <w:rsid w:val="00A74CCD"/>
    <w:rsid w:val="00A76D1B"/>
    <w:rsid w:val="00A9331B"/>
    <w:rsid w:val="00A93361"/>
    <w:rsid w:val="00AA5E4E"/>
    <w:rsid w:val="00AB23B4"/>
    <w:rsid w:val="00AC0FFB"/>
    <w:rsid w:val="00AC2CB7"/>
    <w:rsid w:val="00AC3B55"/>
    <w:rsid w:val="00AC4352"/>
    <w:rsid w:val="00AD2551"/>
    <w:rsid w:val="00AD3542"/>
    <w:rsid w:val="00AD37E5"/>
    <w:rsid w:val="00AE5FF1"/>
    <w:rsid w:val="00AF144F"/>
    <w:rsid w:val="00AF2F79"/>
    <w:rsid w:val="00AF3B3E"/>
    <w:rsid w:val="00AF6DA0"/>
    <w:rsid w:val="00B03643"/>
    <w:rsid w:val="00B13AD3"/>
    <w:rsid w:val="00B1491D"/>
    <w:rsid w:val="00B1693A"/>
    <w:rsid w:val="00B20C0D"/>
    <w:rsid w:val="00B26B58"/>
    <w:rsid w:val="00B35E96"/>
    <w:rsid w:val="00B36F4A"/>
    <w:rsid w:val="00B445D9"/>
    <w:rsid w:val="00B50A69"/>
    <w:rsid w:val="00B532C3"/>
    <w:rsid w:val="00B60CCA"/>
    <w:rsid w:val="00B62228"/>
    <w:rsid w:val="00B74C7C"/>
    <w:rsid w:val="00B754AD"/>
    <w:rsid w:val="00B8335A"/>
    <w:rsid w:val="00B84143"/>
    <w:rsid w:val="00B860B5"/>
    <w:rsid w:val="00B94AFC"/>
    <w:rsid w:val="00B95F3B"/>
    <w:rsid w:val="00B96629"/>
    <w:rsid w:val="00BA0860"/>
    <w:rsid w:val="00BA5A6C"/>
    <w:rsid w:val="00BB24D0"/>
    <w:rsid w:val="00BB5497"/>
    <w:rsid w:val="00BC3BE5"/>
    <w:rsid w:val="00BD0BA3"/>
    <w:rsid w:val="00BD4745"/>
    <w:rsid w:val="00BE182E"/>
    <w:rsid w:val="00BE4405"/>
    <w:rsid w:val="00BF5B32"/>
    <w:rsid w:val="00C06010"/>
    <w:rsid w:val="00C22340"/>
    <w:rsid w:val="00C229C3"/>
    <w:rsid w:val="00C22AB9"/>
    <w:rsid w:val="00C375F9"/>
    <w:rsid w:val="00C636C2"/>
    <w:rsid w:val="00C87A6B"/>
    <w:rsid w:val="00C9267A"/>
    <w:rsid w:val="00CB56CD"/>
    <w:rsid w:val="00CB6BC5"/>
    <w:rsid w:val="00CC0C6D"/>
    <w:rsid w:val="00CD04DF"/>
    <w:rsid w:val="00CD2ADF"/>
    <w:rsid w:val="00CD3BA9"/>
    <w:rsid w:val="00CD4158"/>
    <w:rsid w:val="00D03290"/>
    <w:rsid w:val="00D04F41"/>
    <w:rsid w:val="00D068D4"/>
    <w:rsid w:val="00D47451"/>
    <w:rsid w:val="00D51F57"/>
    <w:rsid w:val="00D60E82"/>
    <w:rsid w:val="00D61A27"/>
    <w:rsid w:val="00D7136A"/>
    <w:rsid w:val="00D72D36"/>
    <w:rsid w:val="00D82194"/>
    <w:rsid w:val="00DA25F6"/>
    <w:rsid w:val="00DA2A81"/>
    <w:rsid w:val="00DB4B4C"/>
    <w:rsid w:val="00DC0E0A"/>
    <w:rsid w:val="00DC7A41"/>
    <w:rsid w:val="00DD315C"/>
    <w:rsid w:val="00DE22A0"/>
    <w:rsid w:val="00DE6CA5"/>
    <w:rsid w:val="00DE7389"/>
    <w:rsid w:val="00E11B1E"/>
    <w:rsid w:val="00E149F0"/>
    <w:rsid w:val="00E16015"/>
    <w:rsid w:val="00E24412"/>
    <w:rsid w:val="00E25A33"/>
    <w:rsid w:val="00E37984"/>
    <w:rsid w:val="00E37FD3"/>
    <w:rsid w:val="00E474DF"/>
    <w:rsid w:val="00E51B48"/>
    <w:rsid w:val="00E60F54"/>
    <w:rsid w:val="00E64B09"/>
    <w:rsid w:val="00E659DB"/>
    <w:rsid w:val="00E65BFD"/>
    <w:rsid w:val="00E75D86"/>
    <w:rsid w:val="00E86AE7"/>
    <w:rsid w:val="00EA43F8"/>
    <w:rsid w:val="00EB38E2"/>
    <w:rsid w:val="00EC18FC"/>
    <w:rsid w:val="00EC37B4"/>
    <w:rsid w:val="00ED0E5B"/>
    <w:rsid w:val="00ED1C3D"/>
    <w:rsid w:val="00ED66F3"/>
    <w:rsid w:val="00EE12C0"/>
    <w:rsid w:val="00EE523C"/>
    <w:rsid w:val="00EE6509"/>
    <w:rsid w:val="00EE68E4"/>
    <w:rsid w:val="00EF7DF2"/>
    <w:rsid w:val="00F046B8"/>
    <w:rsid w:val="00F04ECB"/>
    <w:rsid w:val="00F159FC"/>
    <w:rsid w:val="00F2009D"/>
    <w:rsid w:val="00F32FEB"/>
    <w:rsid w:val="00F514E4"/>
    <w:rsid w:val="00F53FA7"/>
    <w:rsid w:val="00F55E20"/>
    <w:rsid w:val="00F628C7"/>
    <w:rsid w:val="00F66E50"/>
    <w:rsid w:val="00F67C46"/>
    <w:rsid w:val="00F71F01"/>
    <w:rsid w:val="00F73897"/>
    <w:rsid w:val="00F77445"/>
    <w:rsid w:val="00F8213A"/>
    <w:rsid w:val="00F85F30"/>
    <w:rsid w:val="00F87883"/>
    <w:rsid w:val="00F978F8"/>
    <w:rsid w:val="00FA12CB"/>
    <w:rsid w:val="00FA4D8A"/>
    <w:rsid w:val="00FB5E27"/>
    <w:rsid w:val="00FC15A2"/>
    <w:rsid w:val="00FC2585"/>
    <w:rsid w:val="00FD0680"/>
    <w:rsid w:val="00FD3A6D"/>
    <w:rsid w:val="00FD4A60"/>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2023-12-07T00:15:00Z</dcterms:created>
  <dcterms:modified xsi:type="dcterms:W3CDTF">2023-12-07T00:15:00Z</dcterms:modified>
</cp:coreProperties>
</file>