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20FD0836" w:rsidR="007567D2" w:rsidRPr="00E33C76" w:rsidRDefault="007567D2" w:rsidP="00A94408">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76"/>
      </w:tblGrid>
      <w:tr w:rsidR="00F374F7" w:rsidRPr="008059F4" w14:paraId="2F780D8A" w14:textId="77777777" w:rsidTr="00B272AA">
        <w:trPr>
          <w:cantSplit/>
          <w:trHeight w:val="300"/>
          <w:tblHeader/>
          <w:jc w:val="center"/>
        </w:trPr>
        <w:tc>
          <w:tcPr>
            <w:tcW w:w="3016" w:type="dxa"/>
            <w:shd w:val="clear" w:color="auto" w:fill="auto"/>
            <w:tcMar>
              <w:top w:w="28" w:type="dxa"/>
              <w:bottom w:w="28" w:type="dxa"/>
            </w:tcMar>
            <w:vAlign w:val="center"/>
          </w:tcPr>
          <w:p w14:paraId="58BB41E5" w14:textId="46F847AB" w:rsidR="00F374F7" w:rsidRPr="008059F4" w:rsidRDefault="00F374F7" w:rsidP="00A94408">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shd w:val="clear" w:color="auto" w:fill="auto"/>
            <w:tcMar>
              <w:top w:w="28" w:type="dxa"/>
              <w:bottom w:w="28" w:type="dxa"/>
            </w:tcMar>
            <w:vAlign w:val="center"/>
          </w:tcPr>
          <w:p w14:paraId="64FD3362" w14:textId="3DF64AED" w:rsidR="00F374F7" w:rsidRPr="008059F4" w:rsidRDefault="00F374F7" w:rsidP="00A94408">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shd w:val="clear" w:color="auto" w:fill="auto"/>
            <w:tcMar>
              <w:top w:w="28" w:type="dxa"/>
              <w:bottom w:w="28" w:type="dxa"/>
            </w:tcMar>
            <w:vAlign w:val="center"/>
          </w:tcPr>
          <w:p w14:paraId="60A9336E" w14:textId="77777777" w:rsidR="00F374F7" w:rsidRPr="008059F4" w:rsidRDefault="00F374F7" w:rsidP="00A94408">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60" w:type="dxa"/>
            <w:gridSpan w:val="2"/>
            <w:shd w:val="clear" w:color="auto" w:fill="auto"/>
            <w:vAlign w:val="center"/>
          </w:tcPr>
          <w:p w14:paraId="5626F454" w14:textId="255B5DC5" w:rsidR="00F374F7" w:rsidRPr="001033CF" w:rsidRDefault="00F374F7" w:rsidP="00A94408">
            <w:pPr>
              <w:pStyle w:val="Header"/>
              <w:keepLines/>
              <w:jc w:val="center"/>
              <w:rPr>
                <w:rFonts w:asciiTheme="minorHAnsi" w:hAnsiTheme="minorHAnsi" w:cstheme="minorBidi"/>
                <w:b/>
                <w:bCs/>
                <w:snapToGrid w:val="0"/>
                <w:sz w:val="18"/>
                <w:szCs w:val="18"/>
                <w:lang w:eastAsia="en-US"/>
              </w:rPr>
            </w:pPr>
            <w:r w:rsidRPr="20381F86">
              <w:rPr>
                <w:rFonts w:asciiTheme="minorHAnsi" w:hAnsiTheme="minorHAnsi" w:cstheme="minorBidi"/>
                <w:b/>
                <w:bCs/>
                <w:snapToGrid w:val="0"/>
                <w:sz w:val="18"/>
                <w:szCs w:val="18"/>
                <w:lang w:eastAsia="en-US"/>
              </w:rPr>
              <w:t>PBAC OUTCOME</w:t>
            </w:r>
            <w:bookmarkEnd w:id="0"/>
          </w:p>
        </w:tc>
      </w:tr>
      <w:tr w:rsidR="009D517E" w:rsidRPr="008059F4" w:rsidDel="008F66B5" w14:paraId="59456C9B" w14:textId="11C3513F"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A22FF7B" w14:textId="5F024A16" w:rsidR="009D517E" w:rsidRPr="000510F0" w:rsidRDefault="009D517E" w:rsidP="3F6F9D44">
            <w:pPr>
              <w:jc w:val="center"/>
              <w:rPr>
                <w:rFonts w:asciiTheme="minorHAnsi" w:hAnsiTheme="minorHAnsi" w:cstheme="minorBidi"/>
                <w:sz w:val="18"/>
                <w:szCs w:val="18"/>
              </w:rPr>
            </w:pPr>
            <w:r w:rsidRPr="3F6F9D44">
              <w:rPr>
                <w:rFonts w:asciiTheme="minorHAnsi" w:eastAsia="Calibri" w:hAnsiTheme="minorHAnsi" w:cstheme="minorBidi"/>
                <w:color w:val="000000" w:themeColor="text1"/>
                <w:sz w:val="18"/>
                <w:szCs w:val="18"/>
              </w:rPr>
              <w:t>AMIVANTAMAB</w:t>
            </w:r>
          </w:p>
          <w:p w14:paraId="3BAFFCFB" w14:textId="1CA2F649" w:rsidR="009D517E" w:rsidRPr="000510F0" w:rsidRDefault="009D517E" w:rsidP="009D517E">
            <w:pPr>
              <w:jc w:val="center"/>
              <w:rPr>
                <w:rFonts w:asciiTheme="minorHAnsi" w:eastAsia="Calibri" w:hAnsiTheme="minorHAnsi" w:cstheme="minorHAnsi"/>
                <w:color w:val="000000" w:themeColor="text1"/>
                <w:sz w:val="18"/>
                <w:szCs w:val="18"/>
              </w:rPr>
            </w:pP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350</w:t>
            </w:r>
            <w:r w:rsidR="00C06A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7</w:t>
            </w:r>
            <w:r w:rsidR="00D91F2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mL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Rybrevant</w:t>
            </w:r>
            <w:r w:rsidRPr="00895EAD">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br/>
            </w:r>
            <w:r w:rsidRPr="000510F0">
              <w:rPr>
                <w:rFonts w:asciiTheme="minorHAnsi" w:eastAsia="Calibri" w:hAnsiTheme="minorHAnsi" w:cstheme="minorHAnsi"/>
                <w:color w:val="000000" w:themeColor="text1"/>
                <w:sz w:val="18"/>
                <w:szCs w:val="18"/>
              </w:rPr>
              <w:br/>
              <w:t>LAZERTINIB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br/>
              <w:t>Tablet 80</w:t>
            </w:r>
            <w:r w:rsidR="00D91F2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mesylate monohydrate)</w:t>
            </w:r>
            <w:r w:rsidRPr="000510F0">
              <w:rPr>
                <w:rFonts w:asciiTheme="minorHAnsi" w:eastAsia="Calibri" w:hAnsiTheme="minorHAnsi" w:cstheme="minorHAnsi"/>
                <w:color w:val="000000" w:themeColor="text1"/>
                <w:sz w:val="18"/>
                <w:szCs w:val="18"/>
              </w:rPr>
              <w:br/>
              <w:t>Tablet 240</w:t>
            </w:r>
            <w:r w:rsidR="00D91F2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mesylate monohydrate)</w:t>
            </w:r>
            <w:r w:rsidRPr="000510F0">
              <w:rPr>
                <w:rFonts w:asciiTheme="minorHAnsi" w:eastAsia="Calibri" w:hAnsiTheme="minorHAnsi" w:cstheme="minorHAnsi"/>
                <w:color w:val="000000" w:themeColor="text1"/>
                <w:sz w:val="18"/>
                <w:szCs w:val="18"/>
              </w:rPr>
              <w:br/>
            </w:r>
          </w:p>
          <w:p w14:paraId="46EE0C86" w14:textId="4DA5C19D" w:rsidR="00106615" w:rsidRDefault="009D517E" w:rsidP="009D517E">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Lazcluze</w:t>
            </w:r>
            <w:r w:rsidRPr="00895EAD">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JANSSEN-CILAG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A346A1">
              <w:rPr>
                <w:rFonts w:asciiTheme="minorHAnsi" w:eastAsia="Calibri" w:hAnsiTheme="minorHAnsi" w:cstheme="minorHAnsi"/>
                <w:color w:val="000000" w:themeColor="text1"/>
                <w:sz w:val="18"/>
                <w:szCs w:val="18"/>
              </w:rPr>
              <w:t>Category 2</w:t>
            </w:r>
          </w:p>
          <w:p w14:paraId="74814FF5" w14:textId="77C475F4" w:rsidR="009D517E" w:rsidRPr="000510F0" w:rsidRDefault="009D517E" w:rsidP="009D517E">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56051AC" w14:textId="58848476" w:rsidR="009D517E" w:rsidRPr="000510F0" w:rsidRDefault="009D517E" w:rsidP="009D517E">
            <w:pPr>
              <w:jc w:val="center"/>
              <w:rPr>
                <w:rFonts w:asciiTheme="minorHAnsi" w:eastAsia="Arial"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Non-small cell lung cancer (NSCLC)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AD9C28" w14:textId="50564D42" w:rsidR="009D517E" w:rsidRPr="000510F0" w:rsidRDefault="009D517E" w:rsidP="009D517E">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Section 100 (Efficient Funding of Chemotherapy Program) Authority Required (Telephone/Online) listing for amivantamab and a General Schedule Authority Required (Telephone/Online) listing for lazertinib for the first line treatment of patients with epidermal growth factor receptor mutated locally advanced or metastatic (Stage IIIB-IV) NSCLC.</w:t>
            </w:r>
          </w:p>
        </w:tc>
        <w:tc>
          <w:tcPr>
            <w:tcW w:w="1584" w:type="dxa"/>
            <w:shd w:val="clear" w:color="auto" w:fill="auto"/>
            <w:vAlign w:val="center"/>
          </w:tcPr>
          <w:p w14:paraId="2316FD21" w14:textId="162EF223" w:rsidR="009D517E" w:rsidRPr="00F03408" w:rsidDel="008F66B5" w:rsidRDefault="00201CF2" w:rsidP="009D517E">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w:t>
            </w:r>
            <w:r w:rsidR="002575E2">
              <w:rPr>
                <w:rFonts w:asciiTheme="minorHAnsi" w:hAnsiTheme="minorHAnsi" w:cstheme="minorHAnsi"/>
                <w:color w:val="000000"/>
                <w:sz w:val="18"/>
                <w:szCs w:val="18"/>
              </w:rPr>
              <w:t>Recommended</w:t>
            </w:r>
          </w:p>
        </w:tc>
        <w:tc>
          <w:tcPr>
            <w:tcW w:w="4876" w:type="dxa"/>
            <w:shd w:val="clear" w:color="auto" w:fill="auto"/>
            <w:vAlign w:val="center"/>
          </w:tcPr>
          <w:p w14:paraId="357B8D99" w14:textId="6D4CF626" w:rsidR="00AC4B72" w:rsidRPr="00AC4B72" w:rsidRDefault="00AC4B72" w:rsidP="00AC4B72">
            <w:pPr>
              <w:ind w:left="11"/>
              <w:contextualSpacing/>
              <w:jc w:val="both"/>
              <w:rPr>
                <w:rFonts w:asciiTheme="minorHAnsi" w:eastAsiaTheme="minorHAnsi" w:hAnsiTheme="minorHAnsi" w:cstheme="minorHAnsi"/>
                <w:sz w:val="18"/>
                <w:szCs w:val="18"/>
              </w:rPr>
            </w:pPr>
            <w:r w:rsidRPr="00AC4B72">
              <w:rPr>
                <w:rFonts w:asciiTheme="minorHAnsi" w:eastAsiaTheme="minorHAnsi" w:hAnsiTheme="minorHAnsi" w:cstheme="minorHAnsi"/>
                <w:bCs/>
                <w:sz w:val="18"/>
                <w:szCs w:val="18"/>
              </w:rPr>
              <w:t xml:space="preserve">The PBAC did not recommend </w:t>
            </w:r>
            <w:r w:rsidRPr="00AC4B72">
              <w:rPr>
                <w:rFonts w:asciiTheme="minorHAnsi" w:eastAsiaTheme="minorHAnsi" w:hAnsiTheme="minorHAnsi" w:cstheme="minorHAnsi"/>
                <w:sz w:val="18"/>
                <w:szCs w:val="18"/>
              </w:rPr>
              <w:t xml:space="preserve">amivantamab plus lazertinib (A+L) </w:t>
            </w:r>
            <w:r w:rsidRPr="00AC4B72">
              <w:rPr>
                <w:rFonts w:asciiTheme="minorHAnsi" w:eastAsiaTheme="minorHAnsi" w:hAnsiTheme="minorHAnsi" w:cstheme="minorHAnsi"/>
                <w:bCs/>
                <w:sz w:val="18"/>
                <w:szCs w:val="18"/>
              </w:rPr>
              <w:t xml:space="preserve">for treatment of </w:t>
            </w:r>
            <w:r w:rsidRPr="00AC4B72">
              <w:rPr>
                <w:rFonts w:asciiTheme="minorHAnsi" w:eastAsiaTheme="minorHAnsi" w:hAnsiTheme="minorHAnsi" w:cstheme="minorHAnsi"/>
                <w:sz w:val="18"/>
                <w:szCs w:val="18"/>
              </w:rPr>
              <w:t>patients with epidermal growth factor receptor mutated (</w:t>
            </w:r>
            <w:r w:rsidRPr="00AC4B72">
              <w:rPr>
                <w:rFonts w:asciiTheme="minorHAnsi" w:eastAsiaTheme="minorHAnsi" w:hAnsiTheme="minorHAnsi" w:cstheme="minorHAnsi"/>
                <w:i/>
                <w:iCs/>
                <w:sz w:val="18"/>
                <w:szCs w:val="18"/>
              </w:rPr>
              <w:t>EGFR</w:t>
            </w:r>
            <w:r w:rsidRPr="00AC4B72">
              <w:rPr>
                <w:rFonts w:asciiTheme="minorHAnsi" w:eastAsiaTheme="minorHAnsi" w:hAnsiTheme="minorHAnsi" w:cstheme="minorHAnsi"/>
                <w:sz w:val="18"/>
                <w:szCs w:val="18"/>
              </w:rPr>
              <w:t xml:space="preserve">m) locally advanced or metastatic (Stage IIIB-IV) non-small cell lung cancer, in patients either diagnosed </w:t>
            </w:r>
            <w:r w:rsidRPr="00AC4B72">
              <w:rPr>
                <w:rFonts w:asciiTheme="minorHAnsi" w:eastAsiaTheme="minorHAnsi" w:hAnsiTheme="minorHAnsi" w:cstheme="minorHAnsi"/>
                <w:i/>
                <w:iCs/>
                <w:sz w:val="18"/>
                <w:szCs w:val="18"/>
              </w:rPr>
              <w:t>de novo</w:t>
            </w:r>
            <w:r w:rsidRPr="00AC4B72">
              <w:rPr>
                <w:rFonts w:asciiTheme="minorHAnsi" w:eastAsiaTheme="minorHAnsi" w:hAnsiTheme="minorHAnsi" w:cstheme="minorHAnsi"/>
                <w:sz w:val="18"/>
                <w:szCs w:val="18"/>
              </w:rPr>
              <w:t xml:space="preserve"> or following prior osimertinib therapy in the adjuvant setting.</w:t>
            </w:r>
            <w:r w:rsidRPr="00AC4B72">
              <w:rPr>
                <w:rFonts w:asciiTheme="minorHAnsi" w:eastAsiaTheme="minorHAnsi" w:hAnsiTheme="minorHAnsi" w:cstheme="minorHAnsi"/>
                <w:bCs/>
                <w:sz w:val="18"/>
                <w:szCs w:val="18"/>
              </w:rPr>
              <w:t xml:space="preserve"> </w:t>
            </w:r>
            <w:r w:rsidRPr="00AC4B72">
              <w:rPr>
                <w:rFonts w:asciiTheme="minorHAnsi" w:eastAsiaTheme="minorHAnsi" w:hAnsiTheme="minorHAnsi" w:cstheme="minorHAnsi"/>
                <w:sz w:val="18"/>
                <w:szCs w:val="18"/>
                <w:lang w:val="en-GB"/>
              </w:rPr>
              <w:t xml:space="preserve">The PBAC </w:t>
            </w:r>
            <w:r w:rsidRPr="00AC4B72">
              <w:rPr>
                <w:rFonts w:asciiTheme="minorHAnsi" w:eastAsiaTheme="minorHAnsi" w:hAnsiTheme="minorHAnsi" w:cstheme="minorHAnsi"/>
                <w:sz w:val="18"/>
                <w:szCs w:val="18"/>
              </w:rPr>
              <w:t>acknowledged the moderate improvement in progression free survival and small improvement in overall survival of A+L over osimertinib. However, it considered that the magnitude of the clinical benefit was uncertain due to the immaturity of the OS data, the violation of the proportional hazards assumption, and quality of life favouring treatment with osimertinib. The PBAC considered the claim of inferior but manageable safety was not supported, observing that A+L is associated with substantial toxicity.</w:t>
            </w:r>
            <w:r w:rsidRPr="00AC4B72">
              <w:rPr>
                <w:rFonts w:asciiTheme="minorHAnsi" w:eastAsiaTheme="minorHAnsi" w:hAnsiTheme="minorHAnsi" w:cstheme="minorHAnsi"/>
                <w:bCs/>
                <w:sz w:val="18"/>
                <w:szCs w:val="18"/>
              </w:rPr>
              <w:t xml:space="preserve"> The PBAC advised that the economic model would require revision to the inputs and considered that </w:t>
            </w:r>
            <w:r w:rsidR="003B1C8A" w:rsidRPr="00AC4B72">
              <w:rPr>
                <w:rFonts w:asciiTheme="minorHAnsi" w:eastAsiaTheme="minorHAnsi" w:hAnsiTheme="minorHAnsi" w:cstheme="minorHAnsi"/>
                <w:bCs/>
                <w:sz w:val="18"/>
                <w:szCs w:val="18"/>
              </w:rPr>
              <w:t xml:space="preserve">A+L </w:t>
            </w:r>
            <w:r w:rsidRPr="00AC4B72">
              <w:rPr>
                <w:rFonts w:asciiTheme="minorHAnsi" w:eastAsiaTheme="minorHAnsi" w:hAnsiTheme="minorHAnsi" w:cstheme="minorHAnsi"/>
                <w:bCs/>
                <w:sz w:val="18"/>
                <w:szCs w:val="18"/>
              </w:rPr>
              <w:t>was not cost-effective at the proposed price. The PBAC considered the submission’s uptake rate of A+L to be to be substantially overestimated given the safety profile of the treatment.</w:t>
            </w:r>
          </w:p>
          <w:p w14:paraId="7AE96A34" w14:textId="77777777" w:rsidR="00A06B95" w:rsidRDefault="00A06B95" w:rsidP="00A06B95">
            <w:pPr>
              <w:ind w:left="11"/>
              <w:contextualSpacing/>
              <w:jc w:val="both"/>
              <w:rPr>
                <w:rFonts w:asciiTheme="minorHAnsi" w:eastAsiaTheme="minorHAnsi" w:hAnsiTheme="minorHAnsi" w:cstheme="minorHAnsi"/>
                <w:sz w:val="18"/>
                <w:szCs w:val="18"/>
              </w:rPr>
            </w:pPr>
          </w:p>
          <w:p w14:paraId="679C558F" w14:textId="2AE834F7" w:rsidR="00A06B95" w:rsidRDefault="00A06B95" w:rsidP="00A06B95">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43F997E8" w14:textId="408CA1AB" w:rsidR="009D517E" w:rsidRPr="0041208E" w:rsidDel="008F66B5" w:rsidRDefault="00303E84" w:rsidP="00F83825">
            <w:pPr>
              <w:jc w:val="both"/>
              <w:rPr>
                <w:rFonts w:asciiTheme="minorHAnsi" w:eastAsiaTheme="minorHAnsi" w:hAnsiTheme="minorHAnsi" w:cstheme="minorBidi"/>
                <w:sz w:val="18"/>
                <w:szCs w:val="18"/>
                <w:lang w:val="en-GB"/>
              </w:rPr>
            </w:pPr>
            <w:r w:rsidRPr="00303E84">
              <w:rPr>
                <w:rFonts w:asciiTheme="minorHAnsi" w:eastAsiaTheme="minorHAnsi" w:hAnsiTheme="minorHAnsi" w:cstheme="minorBidi"/>
                <w:sz w:val="18"/>
                <w:szCs w:val="18"/>
                <w:lang w:val="en-GB"/>
              </w:rPr>
              <w:t xml:space="preserve">Janssen is disappointed that the PBAC did not recommend A+L for the first-line treatment of patients with </w:t>
            </w:r>
            <w:r w:rsidRPr="00303E84">
              <w:rPr>
                <w:rFonts w:asciiTheme="minorHAnsi" w:eastAsiaTheme="minorHAnsi" w:hAnsiTheme="minorHAnsi" w:cstheme="minorBidi"/>
                <w:i/>
                <w:iCs/>
                <w:sz w:val="18"/>
                <w:szCs w:val="18"/>
                <w:lang w:val="en-GB"/>
              </w:rPr>
              <w:t>EGFR</w:t>
            </w:r>
            <w:r w:rsidRPr="00303E84">
              <w:rPr>
                <w:rFonts w:asciiTheme="minorHAnsi" w:eastAsiaTheme="minorHAnsi" w:hAnsiTheme="minorHAnsi" w:cstheme="minorBidi"/>
                <w:sz w:val="18"/>
                <w:szCs w:val="18"/>
                <w:lang w:val="en-GB"/>
              </w:rPr>
              <w:t>m locally advanced/metastatic non-small cell lung cancer. Janssen considers that A+L provides a substantial improvement in PFS and OS over osimertinib and will work with the PBAC to make this treatment available for patients on the PBS.</w:t>
            </w:r>
          </w:p>
        </w:tc>
      </w:tr>
      <w:bookmarkEnd w:id="1"/>
      <w:tr w:rsidR="00761F21" w:rsidRPr="008059F4" w:rsidDel="008F66B5" w14:paraId="41369496" w14:textId="7EF7CEE9" w:rsidTr="00B272AA">
        <w:trPr>
          <w:cantSplit/>
          <w:trHeight w:val="2315"/>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10F52C3" w14:textId="6074126C" w:rsidR="0086488A" w:rsidRPr="000510F0" w:rsidRDefault="00761F21" w:rsidP="00761F2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BULEVIRTIDE</w:t>
            </w:r>
            <w:r>
              <w:br/>
            </w:r>
            <w:r w:rsidRPr="000510F0">
              <w:rPr>
                <w:rFonts w:asciiTheme="minorHAnsi" w:eastAsia="Calibri" w:hAnsiTheme="minorHAnsi" w:cstheme="minorHAnsi"/>
                <w:color w:val="000000" w:themeColor="text1"/>
                <w:sz w:val="18"/>
                <w:szCs w:val="18"/>
              </w:rPr>
              <w:t xml:space="preserve"> </w:t>
            </w:r>
            <w:r>
              <w:br/>
            </w:r>
            <w:r w:rsidRPr="000510F0">
              <w:rPr>
                <w:rFonts w:asciiTheme="minorHAnsi" w:eastAsia="Calibri" w:hAnsiTheme="minorHAnsi" w:cstheme="minorHAnsi"/>
                <w:color w:val="000000" w:themeColor="text1"/>
                <w:sz w:val="18"/>
                <w:szCs w:val="18"/>
              </w:rPr>
              <w:t>Powder for injection 2</w:t>
            </w:r>
            <w:r w:rsidR="00D91F2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br/>
            </w:r>
            <w:r w:rsidRPr="000510F0">
              <w:rPr>
                <w:rFonts w:asciiTheme="minorHAnsi" w:eastAsia="Calibri" w:hAnsiTheme="minorHAnsi" w:cstheme="minorHAnsi"/>
                <w:color w:val="000000" w:themeColor="text1"/>
                <w:sz w:val="18"/>
                <w:szCs w:val="18"/>
              </w:rPr>
              <w:t xml:space="preserve"> </w:t>
            </w:r>
            <w:r>
              <w:br/>
            </w:r>
            <w:r w:rsidRPr="000510F0">
              <w:rPr>
                <w:rFonts w:asciiTheme="minorHAnsi" w:eastAsia="Calibri" w:hAnsiTheme="minorHAnsi" w:cstheme="minorHAnsi"/>
                <w:color w:val="000000" w:themeColor="text1"/>
                <w:sz w:val="18"/>
                <w:szCs w:val="18"/>
              </w:rPr>
              <w:t>Hepcludex</w:t>
            </w:r>
            <w:r w:rsidRPr="00895EAD">
              <w:rPr>
                <w:rFonts w:asciiTheme="minorHAnsi" w:eastAsia="Calibri" w:hAnsiTheme="minorHAnsi" w:cstheme="minorHAnsi"/>
                <w:color w:val="000000" w:themeColor="text1"/>
                <w:sz w:val="18"/>
                <w:szCs w:val="18"/>
              </w:rPr>
              <w:t>®</w:t>
            </w:r>
            <w:r>
              <w:br/>
            </w:r>
            <w:r w:rsidRPr="000510F0">
              <w:rPr>
                <w:rFonts w:asciiTheme="minorHAnsi" w:eastAsia="Calibri" w:hAnsiTheme="minorHAnsi" w:cstheme="minorHAnsi"/>
                <w:color w:val="000000" w:themeColor="text1"/>
                <w:sz w:val="18"/>
                <w:szCs w:val="18"/>
              </w:rPr>
              <w:t xml:space="preserve"> </w:t>
            </w:r>
            <w:r>
              <w:br/>
            </w:r>
            <w:r w:rsidRPr="000510F0">
              <w:rPr>
                <w:rFonts w:asciiTheme="minorHAnsi" w:eastAsia="Calibri" w:hAnsiTheme="minorHAnsi" w:cstheme="minorHAnsi"/>
                <w:color w:val="000000" w:themeColor="text1"/>
                <w:sz w:val="18"/>
                <w:szCs w:val="18"/>
              </w:rPr>
              <w:t>GILEAD SCIENCES PTY LTD</w:t>
            </w:r>
            <w:r>
              <w:br/>
            </w:r>
            <w:r w:rsidRPr="000510F0">
              <w:rPr>
                <w:rFonts w:asciiTheme="minorHAnsi" w:eastAsia="Calibri" w:hAnsiTheme="minorHAnsi" w:cstheme="minorHAnsi"/>
                <w:color w:val="000000" w:themeColor="text1"/>
                <w:sz w:val="18"/>
                <w:szCs w:val="18"/>
              </w:rPr>
              <w:t xml:space="preserve"> </w:t>
            </w:r>
          </w:p>
          <w:p w14:paraId="53079767" w14:textId="77777777" w:rsidR="0086488A" w:rsidRPr="0086488A" w:rsidRDefault="0086488A" w:rsidP="0086488A">
            <w:pPr>
              <w:jc w:val="center"/>
              <w:rPr>
                <w:rFonts w:ascii="Calibri" w:hAnsi="Calibri" w:cs="Calibri"/>
                <w:color w:val="000000"/>
                <w:sz w:val="18"/>
                <w:szCs w:val="18"/>
              </w:rPr>
            </w:pPr>
            <w:r w:rsidRPr="0086488A">
              <w:rPr>
                <w:rFonts w:ascii="Calibri" w:hAnsi="Calibri" w:cs="Calibri"/>
                <w:color w:val="000000"/>
                <w:sz w:val="18"/>
                <w:szCs w:val="18"/>
              </w:rPr>
              <w:t>Standard re-entry</w:t>
            </w:r>
          </w:p>
          <w:p w14:paraId="01C26252" w14:textId="1E1F0D12"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00A95A7" w14:textId="095EC95B"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Chronic hepatitis 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2C3EE4" w14:textId="145F6B7F"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Resubmission to request a Section 100 (Highly Specialised Drugs Program) Authority Required (STREAMLINED) listing for the treatment of chronic hepatitis D.</w:t>
            </w:r>
          </w:p>
        </w:tc>
        <w:tc>
          <w:tcPr>
            <w:tcW w:w="1584" w:type="dxa"/>
            <w:shd w:val="clear" w:color="auto" w:fill="auto"/>
            <w:vAlign w:val="center"/>
          </w:tcPr>
          <w:p w14:paraId="6FB45133" w14:textId="2A59346F" w:rsidR="00761F21" w:rsidRPr="00F03408" w:rsidDel="008F66B5" w:rsidRDefault="00313177"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76" w:type="dxa"/>
            <w:shd w:val="clear" w:color="auto" w:fill="auto"/>
            <w:vAlign w:val="center"/>
          </w:tcPr>
          <w:p w14:paraId="7F86097C" w14:textId="19BD48FF" w:rsidR="0048786C" w:rsidRDefault="00250A5D" w:rsidP="0048786C">
            <w:pPr>
              <w:jc w:val="both"/>
              <w:rPr>
                <w:rFonts w:asciiTheme="minorHAnsi" w:hAnsiTheme="minorHAnsi" w:cstheme="minorHAnsi"/>
                <w:color w:val="000000" w:themeColor="text1"/>
                <w:sz w:val="18"/>
                <w:szCs w:val="18"/>
                <w:lang w:val="en-GB"/>
              </w:rPr>
            </w:pPr>
            <w:r w:rsidRPr="00250A5D">
              <w:rPr>
                <w:rFonts w:asciiTheme="minorHAnsi" w:hAnsiTheme="minorHAnsi" w:cstheme="minorHAnsi"/>
                <w:color w:val="000000" w:themeColor="text1"/>
                <w:sz w:val="18"/>
                <w:szCs w:val="18"/>
                <w:lang w:val="en-GB"/>
              </w:rPr>
              <w:t>The PBAC deferred making a recommendation for the listing of bulevirtide for treatment of chronic hepatitis delta virus (</w:t>
            </w:r>
            <w:r w:rsidR="00CD77A8">
              <w:rPr>
                <w:rFonts w:asciiTheme="minorHAnsi" w:hAnsiTheme="minorHAnsi" w:cstheme="minorHAnsi"/>
                <w:color w:val="000000" w:themeColor="text1"/>
                <w:sz w:val="18"/>
                <w:szCs w:val="18"/>
                <w:lang w:val="en-GB"/>
              </w:rPr>
              <w:t>h</w:t>
            </w:r>
            <w:r w:rsidRPr="00250A5D">
              <w:rPr>
                <w:rFonts w:asciiTheme="minorHAnsi" w:hAnsiTheme="minorHAnsi" w:cstheme="minorHAnsi"/>
                <w:color w:val="000000" w:themeColor="text1"/>
                <w:sz w:val="18"/>
                <w:szCs w:val="18"/>
                <w:lang w:val="en-GB"/>
              </w:rPr>
              <w:t>epatitis D). While the PBAC was of a mind to recommend bulevirtide, the PBAC noted that an integrated codependent submission for the MBS listing of ribonucleic acid polymerase chain reaction testing for chronic hepatitis D would be considered at the April 2025 MSAC meeting. The PBAC acknowledged that hepatitis D virus (HDV) is relatively rare in Australia, but there is a need for effective treatments. The PBAC reaffirmed its view that whilst the evidence indicates that bulevirtide is effective for some patients in terms of achieving a significant reduction in viral load and/or improvement in liver enzymes, the longer-term and patient-relevant benefits were highly uncertain. The PBAC noted that the resubmission included a small reduction in the proposed price for bulevirtide and revised some inputs in the economic analysis as requested, but a number of optimistic assumptions that were likely to have underestimated the incremental cost-effectiveness ratio remained. Overall, the PBAC considered that bulevirtide would be cost-effective with a further substantial price reduction, to address the remaining uncertainties in the economic model and bring the ICER into an acceptable range. The PBAC also considered the proposed utilisation of bulevirtide was uncertain but the estimates presented in the submission appeared to be reasonable.</w:t>
            </w:r>
          </w:p>
          <w:p w14:paraId="31170F6B" w14:textId="77777777" w:rsidR="0048786C" w:rsidRDefault="0048786C" w:rsidP="00A06B95">
            <w:pPr>
              <w:ind w:left="11"/>
              <w:contextualSpacing/>
              <w:jc w:val="both"/>
              <w:rPr>
                <w:rFonts w:asciiTheme="minorHAnsi" w:eastAsiaTheme="minorHAnsi" w:hAnsiTheme="minorHAnsi" w:cstheme="minorHAnsi"/>
                <w:sz w:val="18"/>
                <w:szCs w:val="18"/>
              </w:rPr>
            </w:pPr>
          </w:p>
          <w:p w14:paraId="5CB75722" w14:textId="77777777" w:rsidR="00A06B95" w:rsidRDefault="00A06B95" w:rsidP="00A06B95">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w:t>
            </w:r>
            <w:r w:rsidR="0048786C" w:rsidRPr="00B35842">
              <w:rPr>
                <w:rFonts w:asciiTheme="minorHAnsi" w:eastAsiaTheme="minorHAnsi" w:hAnsiTheme="minorHAnsi" w:cstheme="minorHAnsi"/>
                <w:sz w:val="18"/>
                <w:szCs w:val="18"/>
                <w:u w:val="single"/>
              </w:rPr>
              <w:t xml:space="preserve"> Comment</w:t>
            </w:r>
            <w:r w:rsidRPr="00B35842">
              <w:rPr>
                <w:rFonts w:asciiTheme="minorHAnsi" w:eastAsiaTheme="minorHAnsi" w:hAnsiTheme="minorHAnsi" w:cstheme="minorHAnsi"/>
                <w:sz w:val="18"/>
                <w:szCs w:val="18"/>
                <w:u w:val="single"/>
              </w:rPr>
              <w:t>:</w:t>
            </w:r>
          </w:p>
          <w:p w14:paraId="739BF5EE" w14:textId="28A06C42" w:rsidR="00761F21" w:rsidRPr="00F20697" w:rsidDel="008F66B5" w:rsidRDefault="00CD77A8" w:rsidP="005D13FE">
            <w:pPr>
              <w:jc w:val="both"/>
              <w:rPr>
                <w:rFonts w:asciiTheme="minorHAnsi" w:hAnsiTheme="minorHAnsi" w:cstheme="minorHAnsi"/>
                <w:color w:val="000000" w:themeColor="text1"/>
                <w:sz w:val="18"/>
                <w:szCs w:val="18"/>
                <w:u w:val="single"/>
              </w:rPr>
            </w:pPr>
            <w:r w:rsidRPr="00E6571B">
              <w:rPr>
                <w:rFonts w:asciiTheme="minorHAnsi" w:eastAsiaTheme="minorHAnsi" w:hAnsiTheme="minorHAnsi" w:cstheme="minorHAnsi"/>
                <w:sz w:val="18"/>
                <w:szCs w:val="18"/>
              </w:rPr>
              <w:t>The sponsor had no comment.</w:t>
            </w:r>
          </w:p>
        </w:tc>
      </w:tr>
      <w:tr w:rsidR="00D17211" w:rsidRPr="008059F4" w:rsidDel="008F66B5" w14:paraId="354C63DC" w14:textId="77777777" w:rsidTr="00B272AA">
        <w:trPr>
          <w:cantSplit/>
          <w:trHeight w:val="2315"/>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82D6E9" w14:textId="77777777" w:rsidR="00D17211" w:rsidRPr="00F3784C" w:rsidRDefault="00D17211" w:rsidP="00D17211">
            <w:pPr>
              <w:jc w:val="center"/>
              <w:rPr>
                <w:rFonts w:asciiTheme="minorHAnsi" w:eastAsia="Calibri" w:hAnsiTheme="minorHAnsi" w:cstheme="minorBidi"/>
                <w:color w:val="000000" w:themeColor="text1"/>
                <w:sz w:val="18"/>
                <w:szCs w:val="18"/>
              </w:rPr>
            </w:pPr>
            <w:r w:rsidRPr="00F3784C">
              <w:rPr>
                <w:rFonts w:asciiTheme="minorHAnsi" w:eastAsia="Calibri" w:hAnsiTheme="minorHAnsi" w:cstheme="minorBidi"/>
                <w:color w:val="000000" w:themeColor="text1"/>
                <w:sz w:val="18"/>
                <w:szCs w:val="18"/>
              </w:rPr>
              <w:lastRenderedPageBreak/>
              <w:t>CAPIVASERTIB</w:t>
            </w:r>
          </w:p>
          <w:p w14:paraId="3ED2E365" w14:textId="756E0775" w:rsidR="00752C51" w:rsidRDefault="006E3F3C" w:rsidP="006E3F3C">
            <w:pPr>
              <w:jc w:val="center"/>
              <w:rPr>
                <w:rFonts w:asciiTheme="minorHAnsi" w:eastAsia="Calibri" w:hAnsiTheme="minorHAnsi" w:cstheme="minorHAnsi"/>
                <w:color w:val="000000" w:themeColor="text1"/>
                <w:sz w:val="18"/>
                <w:szCs w:val="18"/>
              </w:rPr>
            </w:pPr>
            <w:r w:rsidRPr="006E3F3C">
              <w:rPr>
                <w:rFonts w:ascii="Calibri" w:hAnsi="Calibri" w:cs="Calibri"/>
                <w:color w:val="000000"/>
                <w:sz w:val="22"/>
                <w:szCs w:val="22"/>
              </w:rPr>
              <w:br/>
            </w:r>
            <w:r w:rsidRPr="006E3F3C">
              <w:rPr>
                <w:rFonts w:asciiTheme="minorHAnsi" w:eastAsia="Calibri" w:hAnsiTheme="minorHAnsi" w:cstheme="minorHAnsi"/>
                <w:color w:val="000000" w:themeColor="text1"/>
                <w:sz w:val="18"/>
                <w:szCs w:val="18"/>
              </w:rPr>
              <w:t>Tablet 160 mg</w:t>
            </w:r>
          </w:p>
          <w:p w14:paraId="70E8EC1D" w14:textId="7561AA65" w:rsidR="006E3F3C" w:rsidRPr="006E3F3C" w:rsidRDefault="006E3F3C" w:rsidP="006E3F3C">
            <w:pPr>
              <w:jc w:val="center"/>
              <w:rPr>
                <w:rFonts w:asciiTheme="minorHAnsi" w:eastAsia="Calibri" w:hAnsiTheme="minorHAnsi" w:cstheme="minorHAnsi"/>
                <w:color w:val="000000" w:themeColor="text1"/>
                <w:sz w:val="18"/>
                <w:szCs w:val="18"/>
              </w:rPr>
            </w:pPr>
            <w:r w:rsidRPr="006E3F3C">
              <w:rPr>
                <w:rFonts w:asciiTheme="minorHAnsi" w:eastAsia="Calibri" w:hAnsiTheme="minorHAnsi" w:cstheme="minorHAnsi"/>
                <w:color w:val="000000" w:themeColor="text1"/>
                <w:sz w:val="18"/>
                <w:szCs w:val="18"/>
              </w:rPr>
              <w:t>Tablet 200</w:t>
            </w:r>
            <w:r w:rsidR="00D91F21">
              <w:rPr>
                <w:rFonts w:asciiTheme="minorHAnsi" w:eastAsia="Calibri" w:hAnsiTheme="minorHAnsi" w:cstheme="minorHAnsi"/>
                <w:color w:val="000000" w:themeColor="text1"/>
                <w:sz w:val="18"/>
                <w:szCs w:val="18"/>
              </w:rPr>
              <w:t> </w:t>
            </w:r>
            <w:r w:rsidRPr="006E3F3C">
              <w:rPr>
                <w:rFonts w:asciiTheme="minorHAnsi" w:eastAsia="Calibri" w:hAnsiTheme="minorHAnsi" w:cstheme="minorHAnsi"/>
                <w:color w:val="000000" w:themeColor="text1"/>
                <w:sz w:val="18"/>
                <w:szCs w:val="18"/>
              </w:rPr>
              <w:t>mg</w:t>
            </w:r>
          </w:p>
          <w:p w14:paraId="1C385915" w14:textId="1E48454C" w:rsidR="00171AD7" w:rsidRPr="00171AD7" w:rsidRDefault="006E3F3C" w:rsidP="00171AD7">
            <w:pPr>
              <w:jc w:val="center"/>
              <w:rPr>
                <w:rFonts w:asciiTheme="minorHAnsi" w:eastAsia="Calibri" w:hAnsiTheme="minorHAnsi" w:cstheme="minorHAnsi"/>
                <w:color w:val="000000" w:themeColor="text1"/>
                <w:sz w:val="18"/>
                <w:szCs w:val="18"/>
              </w:rPr>
            </w:pPr>
            <w:r w:rsidRPr="006E3F3C">
              <w:rPr>
                <w:rFonts w:asciiTheme="minorHAnsi" w:eastAsia="Calibri" w:hAnsiTheme="minorHAnsi" w:cstheme="minorHAnsi"/>
                <w:color w:val="000000" w:themeColor="text1"/>
                <w:sz w:val="18"/>
                <w:szCs w:val="18"/>
              </w:rPr>
              <w:br/>
            </w:r>
            <w:r w:rsidR="00171AD7" w:rsidRPr="00171AD7">
              <w:rPr>
                <w:rFonts w:asciiTheme="minorHAnsi" w:eastAsia="Calibri" w:hAnsiTheme="minorHAnsi" w:cstheme="minorHAnsi"/>
                <w:color w:val="000000" w:themeColor="text1"/>
                <w:sz w:val="18"/>
                <w:szCs w:val="18"/>
              </w:rPr>
              <w:t>Truqap®</w:t>
            </w:r>
          </w:p>
          <w:p w14:paraId="2B0A9320" w14:textId="7BD83799" w:rsidR="003559AA" w:rsidRDefault="00171AD7" w:rsidP="003559AA">
            <w:pPr>
              <w:jc w:val="center"/>
              <w:rPr>
                <w:rFonts w:asciiTheme="minorHAnsi" w:eastAsia="Calibri" w:hAnsiTheme="minorHAnsi" w:cstheme="minorHAnsi"/>
                <w:color w:val="000000" w:themeColor="text1"/>
                <w:sz w:val="18"/>
                <w:szCs w:val="18"/>
              </w:rPr>
            </w:pPr>
            <w:r w:rsidRPr="00171AD7">
              <w:rPr>
                <w:rFonts w:asciiTheme="minorHAnsi" w:eastAsia="Calibri" w:hAnsiTheme="minorHAnsi" w:cstheme="minorHAnsi"/>
                <w:color w:val="000000" w:themeColor="text1"/>
                <w:sz w:val="18"/>
                <w:szCs w:val="18"/>
              </w:rPr>
              <w:br/>
            </w:r>
            <w:r w:rsidR="003559AA" w:rsidRPr="003559AA">
              <w:rPr>
                <w:rFonts w:asciiTheme="minorHAnsi" w:eastAsia="Calibri" w:hAnsiTheme="minorHAnsi" w:cstheme="minorHAnsi"/>
                <w:color w:val="000000" w:themeColor="text1"/>
                <w:sz w:val="18"/>
                <w:szCs w:val="18"/>
              </w:rPr>
              <w:t xml:space="preserve">ASTRAZENECA PTY LTD </w:t>
            </w:r>
          </w:p>
          <w:p w14:paraId="77BB6D95" w14:textId="7059B85E" w:rsidR="00D17211" w:rsidRDefault="00D56AE7" w:rsidP="00895EAD">
            <w:pPr>
              <w:jc w:val="center"/>
              <w:rPr>
                <w:rFonts w:asciiTheme="minorHAnsi" w:eastAsia="Calibri" w:hAnsiTheme="minorHAnsi" w:cstheme="minorHAnsi"/>
                <w:color w:val="000000" w:themeColor="text1"/>
                <w:sz w:val="18"/>
                <w:szCs w:val="18"/>
              </w:rPr>
            </w:pPr>
            <w:r w:rsidRPr="00D56AE7">
              <w:rPr>
                <w:rFonts w:asciiTheme="minorHAnsi" w:eastAsia="Calibri" w:hAnsiTheme="minorHAnsi" w:cstheme="minorHAnsi"/>
                <w:color w:val="000000" w:themeColor="text1"/>
                <w:sz w:val="18"/>
                <w:szCs w:val="18"/>
              </w:rPr>
              <w:br/>
            </w:r>
            <w:r w:rsidR="003270C2">
              <w:rPr>
                <w:rFonts w:asciiTheme="minorHAnsi" w:eastAsia="Calibri" w:hAnsiTheme="minorHAnsi" w:cstheme="minorHAnsi"/>
                <w:color w:val="000000" w:themeColor="text1"/>
                <w:sz w:val="18"/>
                <w:szCs w:val="18"/>
              </w:rPr>
              <w:t>Matters arising from the minutes</w:t>
            </w:r>
          </w:p>
          <w:p w14:paraId="06CA7BB6" w14:textId="6C67EB15" w:rsidR="00D17211" w:rsidRPr="000510F0" w:rsidRDefault="003270C2" w:rsidP="00761F21">
            <w:pPr>
              <w:jc w:val="center"/>
              <w:rPr>
                <w:rFonts w:asciiTheme="minorHAnsi" w:eastAsia="Calibri" w:hAnsiTheme="minorHAnsi" w:cstheme="minorHAnsi"/>
                <w:color w:val="000000" w:themeColor="text1"/>
                <w:sz w:val="18"/>
                <w:szCs w:val="18"/>
              </w:rPr>
            </w:pPr>
            <w:r w:rsidRPr="009A645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0F89FE7" w14:textId="0941221D" w:rsidR="00D17211" w:rsidRPr="000510F0" w:rsidRDefault="008508CC" w:rsidP="00761F21">
            <w:pPr>
              <w:jc w:val="center"/>
              <w:rPr>
                <w:rFonts w:asciiTheme="minorHAnsi" w:eastAsia="Calibri" w:hAnsiTheme="minorHAnsi" w:cstheme="minorHAnsi"/>
                <w:color w:val="000000" w:themeColor="text1"/>
                <w:sz w:val="18"/>
                <w:szCs w:val="18"/>
              </w:rPr>
            </w:pPr>
            <w:r w:rsidRPr="008508CC">
              <w:rPr>
                <w:rFonts w:asciiTheme="minorHAnsi" w:eastAsia="Calibri" w:hAnsiTheme="minorHAnsi" w:cstheme="minorHAnsi"/>
                <w:color w:val="000000" w:themeColor="text1"/>
                <w:sz w:val="18"/>
                <w:szCs w:val="18"/>
              </w:rPr>
              <w:t>Hormone receptor-positive (HR+) human epidermal growth factor receptor 2-negative (HER2-) locally advanced (unresectable) or metastatic breast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D1B2FE4" w14:textId="416E2EA6" w:rsidR="00D56AE7" w:rsidRPr="000510F0" w:rsidRDefault="00F357CE" w:rsidP="00761F21">
            <w:pPr>
              <w:jc w:val="center"/>
              <w:rPr>
                <w:rFonts w:asciiTheme="minorHAnsi" w:eastAsia="Calibri" w:hAnsiTheme="minorHAnsi" w:cstheme="minorHAnsi"/>
                <w:color w:val="000000" w:themeColor="text1"/>
                <w:sz w:val="18"/>
                <w:szCs w:val="18"/>
              </w:rPr>
            </w:pPr>
            <w:r w:rsidRPr="00F357CE">
              <w:rPr>
                <w:rFonts w:asciiTheme="minorHAnsi" w:eastAsia="Calibri" w:hAnsiTheme="minorHAnsi" w:cstheme="minorHAnsi"/>
                <w:color w:val="000000" w:themeColor="text1"/>
                <w:sz w:val="18"/>
                <w:szCs w:val="18"/>
              </w:rPr>
              <w:t>To request a General Schedule Authority Required (Telephone/Online) listing for the treatment of HR+/HER2- locally advanced unresectable or metastatic breast cancer with evidence of a serine/threonine protein kinase (AKT) pathway alteration, following recurrence or progression on or after endocrine therapy.</w:t>
            </w:r>
          </w:p>
        </w:tc>
        <w:tc>
          <w:tcPr>
            <w:tcW w:w="1584" w:type="dxa"/>
            <w:shd w:val="clear" w:color="auto" w:fill="auto"/>
            <w:vAlign w:val="center"/>
          </w:tcPr>
          <w:p w14:paraId="170928E7" w14:textId="5084CF4F" w:rsidR="00D17211" w:rsidRDefault="00E55DFE"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5572EF1F" w14:textId="11207E11" w:rsidR="00D17211" w:rsidRPr="005D13FE" w:rsidDel="008F66B5" w:rsidRDefault="002609CC" w:rsidP="005D13FE">
            <w:pPr>
              <w:jc w:val="both"/>
              <w:rPr>
                <w:rFonts w:asciiTheme="minorHAnsi" w:hAnsiTheme="minorHAnsi" w:cstheme="minorHAnsi"/>
                <w:color w:val="000000" w:themeColor="text1"/>
                <w:sz w:val="18"/>
                <w:szCs w:val="18"/>
              </w:rPr>
            </w:pPr>
            <w:r w:rsidRPr="002609CC">
              <w:rPr>
                <w:rFonts w:asciiTheme="minorHAnsi" w:hAnsiTheme="minorHAnsi" w:cstheme="minorHAnsi"/>
                <w:color w:val="000000" w:themeColor="text1"/>
                <w:sz w:val="18"/>
                <w:szCs w:val="18"/>
              </w:rPr>
              <w:t>The PBAC recommended capivasertib for treatment of HR+ HER2- locally advanced unresectable or metastatic breast cancer with evidence of a AKT pathway alteration, following recurrence or progression on or after endocrine therapy. The PBAC revised its previous decision to not recommend capivasertib following consideration of additional trial follow</w:t>
            </w:r>
            <w:r w:rsidR="00B77E12">
              <w:rPr>
                <w:rFonts w:asciiTheme="minorHAnsi" w:hAnsiTheme="minorHAnsi" w:cstheme="minorHAnsi"/>
                <w:color w:val="000000" w:themeColor="text1"/>
                <w:sz w:val="18"/>
                <w:szCs w:val="18"/>
              </w:rPr>
              <w:t> - </w:t>
            </w:r>
            <w:r w:rsidRPr="002609CC">
              <w:rPr>
                <w:rFonts w:asciiTheme="minorHAnsi" w:hAnsiTheme="minorHAnsi" w:cstheme="minorHAnsi"/>
                <w:color w:val="000000" w:themeColor="text1"/>
                <w:sz w:val="18"/>
                <w:szCs w:val="18"/>
              </w:rPr>
              <w:t>up data and proposal of a substantial reduction in the price for capivasertib which it considered would result in acceptable cost-effectiveness. The PBAC noted that capivasertib was submitted as an integrated codependent submission, and the MSAC did not recommend the proposed MBS item for AKT pathway testing at its November 2024 MSAC meeting. The PBAC supported the conclusions of MSAC</w:t>
            </w:r>
            <w:r w:rsidR="004D25D9">
              <w:rPr>
                <w:rFonts w:asciiTheme="minorHAnsi" w:hAnsiTheme="minorHAnsi" w:cstheme="minorHAnsi"/>
                <w:color w:val="000000" w:themeColor="text1"/>
                <w:sz w:val="18"/>
                <w:szCs w:val="18"/>
              </w:rPr>
              <w:t>,</w:t>
            </w:r>
            <w:r w:rsidRPr="002609CC">
              <w:rPr>
                <w:rFonts w:asciiTheme="minorHAnsi" w:hAnsiTheme="minorHAnsi" w:cstheme="minorHAnsi"/>
                <w:color w:val="000000" w:themeColor="text1"/>
                <w:sz w:val="18"/>
                <w:szCs w:val="18"/>
              </w:rPr>
              <w:t xml:space="preserve"> specifically that the claim of co-dependence had not been established. On that basis, the PBAC considered that AKT pathway testing was likely to be useful, but was not mandatory in identifying patients likely to benefit from capivasertib. The PBAC considered that the PBS restriction should recommend but not mandate AKT pathway testing, as patients may have access to AKT testing privately, or through clinical trials. </w:t>
            </w:r>
          </w:p>
        </w:tc>
      </w:tr>
      <w:tr w:rsidR="00761F21" w:rsidRPr="008059F4" w:rsidDel="008F66B5" w14:paraId="15392436" w14:textId="08784C3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BABACE6" w14:textId="77777777" w:rsidR="00761F21" w:rsidRPr="000510F0" w:rsidRDefault="00761F21" w:rsidP="54FFF34C">
            <w:pPr>
              <w:jc w:val="center"/>
              <w:rPr>
                <w:rFonts w:asciiTheme="minorHAnsi" w:eastAsia="Calibri" w:hAnsiTheme="minorHAnsi" w:cstheme="minorBidi"/>
                <w:color w:val="000000" w:themeColor="text1"/>
                <w:sz w:val="18"/>
                <w:szCs w:val="18"/>
              </w:rPr>
            </w:pPr>
            <w:r w:rsidRPr="32CAA2FF">
              <w:rPr>
                <w:rFonts w:asciiTheme="minorHAnsi" w:eastAsia="Calibri" w:hAnsiTheme="minorHAnsi" w:cstheme="minorBidi"/>
                <w:color w:val="000000" w:themeColor="text1"/>
                <w:sz w:val="18"/>
                <w:szCs w:val="18"/>
              </w:rPr>
              <w:lastRenderedPageBreak/>
              <w:t>CIPAGLUCOSIDASE</w:t>
            </w:r>
            <w:r w:rsidR="1DDE3FA1" w:rsidRPr="54FFF34C">
              <w:rPr>
                <w:rFonts w:asciiTheme="minorHAnsi" w:eastAsia="Calibri" w:hAnsiTheme="minorHAnsi" w:cstheme="minorBidi"/>
                <w:color w:val="000000" w:themeColor="text1"/>
                <w:sz w:val="18"/>
                <w:szCs w:val="18"/>
              </w:rPr>
              <w:t xml:space="preserve"> ALFA</w:t>
            </w:r>
          </w:p>
          <w:p w14:paraId="1B1A1D08" w14:textId="3598C85E" w:rsidR="006654BB" w:rsidRDefault="00761F21" w:rsidP="00761F21">
            <w:pPr>
              <w:jc w:val="center"/>
              <w:rPr>
                <w:rFonts w:asciiTheme="minorHAnsi" w:eastAsia="Calibri" w:hAnsiTheme="minorHAnsi" w:cstheme="minorHAnsi"/>
                <w:color w:val="000000" w:themeColor="text1"/>
                <w:sz w:val="18"/>
                <w:szCs w:val="18"/>
              </w:rPr>
            </w:pP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105</w:t>
            </w:r>
            <w:r w:rsidR="00DF710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mg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Pombiliti</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MIGLUSTAT</w:t>
            </w:r>
            <w:r w:rsidRPr="000510F0">
              <w:rPr>
                <w:rFonts w:asciiTheme="minorHAnsi" w:hAnsiTheme="minorHAnsi" w:cstheme="minorHAnsi"/>
                <w:sz w:val="18"/>
                <w:szCs w:val="18"/>
              </w:rPr>
              <w:br/>
            </w:r>
            <w:r w:rsidRPr="000510F0">
              <w:rPr>
                <w:rFonts w:asciiTheme="minorHAnsi" w:hAnsiTheme="minorHAnsi" w:cstheme="minorHAnsi"/>
                <w:sz w:val="18"/>
                <w:szCs w:val="18"/>
              </w:rPr>
              <w:br/>
              <w:t>Capsule 65 mg</w:t>
            </w:r>
            <w:r w:rsidRPr="000510F0">
              <w:rPr>
                <w:rFonts w:asciiTheme="minorHAnsi" w:hAnsiTheme="minorHAnsi" w:cstheme="minorHAnsi"/>
                <w:sz w:val="18"/>
                <w:szCs w:val="18"/>
              </w:rPr>
              <w:br/>
            </w:r>
            <w:r w:rsidRPr="000510F0">
              <w:rPr>
                <w:rFonts w:asciiTheme="minorHAnsi" w:hAnsiTheme="minorHAnsi" w:cstheme="minorHAnsi"/>
                <w:sz w:val="18"/>
                <w:szCs w:val="18"/>
              </w:rPr>
              <w:br/>
            </w:r>
            <w:bookmarkStart w:id="2" w:name="_Hlk184725995"/>
            <w:r w:rsidRPr="000510F0">
              <w:rPr>
                <w:rFonts w:asciiTheme="minorHAnsi" w:eastAsia="Calibri" w:hAnsiTheme="minorHAnsi" w:cstheme="minorHAnsi"/>
                <w:color w:val="000000" w:themeColor="text1"/>
                <w:sz w:val="18"/>
                <w:szCs w:val="18"/>
              </w:rPr>
              <w:t>Opfolda</w:t>
            </w:r>
            <w:r w:rsidRPr="00245393">
              <w:rPr>
                <w:rFonts w:asciiTheme="minorHAnsi" w:eastAsia="Calibri" w:hAnsiTheme="minorHAnsi" w:cstheme="minorHAnsi"/>
                <w:color w:val="000000" w:themeColor="text1"/>
                <w:sz w:val="18"/>
                <w:szCs w:val="18"/>
              </w:rPr>
              <w:t>®</w:t>
            </w:r>
            <w:bookmarkEnd w:id="2"/>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AMICUS THERAPEUTICS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6654BB">
              <w:rPr>
                <w:rFonts w:asciiTheme="minorHAnsi" w:eastAsia="Calibri" w:hAnsiTheme="minorHAnsi" w:cstheme="minorHAnsi"/>
                <w:color w:val="000000" w:themeColor="text1"/>
                <w:sz w:val="18"/>
                <w:szCs w:val="18"/>
              </w:rPr>
              <w:t>Category 2</w:t>
            </w:r>
          </w:p>
          <w:p w14:paraId="04431AA7" w14:textId="6CC9F71E"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DD7194D" w14:textId="57F6C877"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Late onset Pompe disease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15803C4" w14:textId="31755A38"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Section 100 (Highly Specialised Drugs Program) Authority Required (STREAMLINED) listing for the treatment of late onset Pompe disease.</w:t>
            </w:r>
          </w:p>
        </w:tc>
        <w:tc>
          <w:tcPr>
            <w:tcW w:w="1584" w:type="dxa"/>
            <w:shd w:val="clear" w:color="auto" w:fill="auto"/>
            <w:vAlign w:val="center"/>
          </w:tcPr>
          <w:p w14:paraId="6975FA0E" w14:textId="5E08EC04" w:rsidR="00761F21" w:rsidRPr="00F03408" w:rsidDel="008F66B5" w:rsidRDefault="00786627"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Bidi"/>
                <w:color w:val="000000"/>
                <w:sz w:val="18"/>
                <w:szCs w:val="18"/>
                <w:lang w:val="en-GB"/>
              </w:rPr>
              <w:t>Not Recommended</w:t>
            </w:r>
          </w:p>
        </w:tc>
        <w:tc>
          <w:tcPr>
            <w:tcW w:w="4876" w:type="dxa"/>
            <w:shd w:val="clear" w:color="auto" w:fill="auto"/>
            <w:vAlign w:val="center"/>
          </w:tcPr>
          <w:p w14:paraId="340B0FE1" w14:textId="7C13828C" w:rsidR="00A06B95" w:rsidRDefault="002C0857" w:rsidP="00A06B95">
            <w:pPr>
              <w:ind w:left="11"/>
              <w:contextualSpacing/>
              <w:jc w:val="both"/>
              <w:rPr>
                <w:rFonts w:asciiTheme="minorHAnsi" w:eastAsiaTheme="minorHAnsi" w:hAnsiTheme="minorHAnsi" w:cstheme="minorHAnsi"/>
                <w:sz w:val="18"/>
                <w:szCs w:val="18"/>
              </w:rPr>
            </w:pPr>
            <w:r w:rsidRPr="002C0857">
              <w:rPr>
                <w:rFonts w:asciiTheme="minorHAnsi" w:eastAsiaTheme="minorHAnsi" w:hAnsiTheme="minorHAnsi" w:cstheme="minorHAnsi"/>
                <w:sz w:val="18"/>
                <w:szCs w:val="18"/>
              </w:rPr>
              <w:t>The PBAC did not recommend the listing of cipaglucosidase and miglustat (CIPAMIG) for the treatment of adults with late-onset Pompe disease (LOPD). The PBAC considered the available evidence supported that CIPAMIG was at least as effective and safe compared to existing enzyme replacement therapies for Pompe disease, avalglucosidase alfa (AVAL) and alglucosidase alfa (ALGLU). The PBAC considered CIPAMIG was not adequately cost-effective to list on the PBS based on the submission’s cost-minimisation approach versus AVAL as the PBAC had previously considered it not adequately cost-effective for listing on the PBS. However, the PBAC acknowledged that the sponsor had taken this approach intentionally as the sponsor’s intention was to list CIPAMIG on the Life Saving Drugs Program (LSDP) and a drug must first be considered by the PBAC as clinically effective but rejected for PBS listing because it fails to meet the required cost-effectiveness criteria, before it can be considered for LSDP listing.</w:t>
            </w:r>
          </w:p>
          <w:p w14:paraId="7AB5BEC3" w14:textId="77777777" w:rsidR="002C0857" w:rsidRDefault="002C0857" w:rsidP="00A06B95">
            <w:pPr>
              <w:ind w:left="11"/>
              <w:contextualSpacing/>
              <w:jc w:val="both"/>
              <w:rPr>
                <w:rFonts w:asciiTheme="minorHAnsi" w:eastAsiaTheme="minorHAnsi" w:hAnsiTheme="minorHAnsi" w:cstheme="minorHAnsi"/>
                <w:sz w:val="18"/>
                <w:szCs w:val="18"/>
              </w:rPr>
            </w:pPr>
          </w:p>
          <w:p w14:paraId="276CF080" w14:textId="77777777" w:rsidR="00A06B95" w:rsidRDefault="00A06B95" w:rsidP="00A06B95">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6E06C825" w14:textId="43E3DD8E" w:rsidR="00761F21" w:rsidRPr="00E040AB" w:rsidDel="008F66B5" w:rsidRDefault="00CA4F70" w:rsidP="00761F21">
            <w:pPr>
              <w:jc w:val="both"/>
              <w:rPr>
                <w:rFonts w:asciiTheme="minorHAnsi" w:hAnsiTheme="minorHAnsi" w:cstheme="minorBidi"/>
                <w:color w:val="000000"/>
                <w:sz w:val="18"/>
                <w:szCs w:val="18"/>
                <w:lang w:val="en-GB"/>
              </w:rPr>
            </w:pPr>
            <w:r w:rsidRPr="00CA4F70">
              <w:rPr>
                <w:rFonts w:asciiTheme="minorHAnsi" w:hAnsiTheme="minorHAnsi" w:cstheme="minorBidi"/>
                <w:color w:val="000000"/>
                <w:sz w:val="18"/>
                <w:szCs w:val="18"/>
                <w:lang w:val="en-GB"/>
              </w:rPr>
              <w:t xml:space="preserve">Amicus acknowledges the PBAC </w:t>
            </w:r>
            <w:r w:rsidR="00314DFA">
              <w:rPr>
                <w:rFonts w:asciiTheme="minorHAnsi" w:hAnsiTheme="minorHAnsi" w:cstheme="minorBidi"/>
                <w:color w:val="000000"/>
                <w:sz w:val="18"/>
                <w:szCs w:val="18"/>
                <w:lang w:val="en-GB"/>
              </w:rPr>
              <w:t>minutes</w:t>
            </w:r>
            <w:r w:rsidRPr="00CA4F70">
              <w:rPr>
                <w:rFonts w:asciiTheme="minorHAnsi" w:hAnsiTheme="minorHAnsi" w:cstheme="minorBidi"/>
                <w:color w:val="000000"/>
                <w:sz w:val="18"/>
                <w:szCs w:val="18"/>
                <w:lang w:val="en-GB"/>
              </w:rPr>
              <w:t xml:space="preserve"> and welcomes the opportunity to work with the LSDP to broaden the treatment options in Pompe disease.</w:t>
            </w:r>
          </w:p>
        </w:tc>
      </w:tr>
      <w:tr w:rsidR="00761F21" w:rsidRPr="008059F4" w:rsidDel="008F66B5" w14:paraId="4FFCA2D9" w14:textId="6E3CFFE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E12D9C7" w14:textId="77777777" w:rsidR="00761F21" w:rsidRPr="000510F0" w:rsidRDefault="00761F21" w:rsidP="00761F21">
            <w:pPr>
              <w:jc w:val="center"/>
              <w:rPr>
                <w:rFonts w:asciiTheme="minorHAnsi" w:eastAsia="Calibri" w:hAnsiTheme="minorHAnsi" w:cstheme="minorBidi"/>
                <w:color w:val="000000" w:themeColor="text1"/>
                <w:sz w:val="18"/>
                <w:szCs w:val="18"/>
              </w:rPr>
            </w:pPr>
            <w:r w:rsidRPr="259F9060">
              <w:rPr>
                <w:rFonts w:asciiTheme="minorHAnsi" w:eastAsia="Calibri" w:hAnsiTheme="minorHAnsi" w:cstheme="minorBidi"/>
                <w:color w:val="000000" w:themeColor="text1"/>
                <w:sz w:val="18"/>
                <w:szCs w:val="18"/>
              </w:rPr>
              <w:lastRenderedPageBreak/>
              <w:t>DABRAFENIB</w:t>
            </w:r>
          </w:p>
          <w:p w14:paraId="7D567571" w14:textId="493F4D8F" w:rsidR="00191E84" w:rsidRDefault="00761F21" w:rsidP="00761F2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50</w:t>
            </w:r>
            <w:r w:rsidR="00DF710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mesilate)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75</w:t>
            </w:r>
            <w:r w:rsidR="00DF710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mesilate)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br/>
              <w:t>Tafinlar</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br/>
              <w:t>TRAMETINIB</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500</w:t>
            </w:r>
            <w:r w:rsidR="00DF710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2</w:t>
            </w:r>
            <w:r w:rsidR="00DF710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Mekinist</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NOVARTIS PHARMACEUTICALS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191E84">
              <w:rPr>
                <w:rFonts w:asciiTheme="minorHAnsi" w:eastAsia="Calibri" w:hAnsiTheme="minorHAnsi" w:cstheme="minorHAnsi"/>
                <w:color w:val="000000" w:themeColor="text1"/>
                <w:sz w:val="18"/>
                <w:szCs w:val="18"/>
              </w:rPr>
              <w:t>Category 2</w:t>
            </w:r>
          </w:p>
          <w:p w14:paraId="582A49A2" w14:textId="0C06D643"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08166A4" w14:textId="1FD9278C"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Non-small cell lung cancer (NSCLC)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F05350" w14:textId="68CED7C2"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Authority Required (STREAMLINED) listing of dabrafenib in combination with trametinib for the treatment of adult patients with BRAF V600E mutation positive advanced or metastatic NSCLC.</w:t>
            </w:r>
          </w:p>
        </w:tc>
        <w:tc>
          <w:tcPr>
            <w:tcW w:w="1584" w:type="dxa"/>
            <w:shd w:val="clear" w:color="auto" w:fill="auto"/>
            <w:vAlign w:val="center"/>
          </w:tcPr>
          <w:p w14:paraId="700BE01A" w14:textId="633A7B63" w:rsidR="00761F21" w:rsidRPr="00F03408" w:rsidDel="008F66B5" w:rsidRDefault="00CA1BC5"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2A145BA" w14:textId="5F9614FD" w:rsidR="00761F21" w:rsidRPr="00F03408" w:rsidDel="008F66B5" w:rsidRDefault="008B6935" w:rsidP="00761F21">
            <w:pPr>
              <w:jc w:val="both"/>
              <w:rPr>
                <w:rFonts w:asciiTheme="minorHAnsi" w:hAnsiTheme="minorHAnsi" w:cstheme="minorBidi"/>
                <w:color w:val="000000"/>
                <w:sz w:val="18"/>
                <w:szCs w:val="18"/>
              </w:rPr>
            </w:pPr>
            <w:r w:rsidRPr="008B6935">
              <w:rPr>
                <w:rFonts w:asciiTheme="minorHAnsi" w:hAnsiTheme="minorHAnsi" w:cstheme="minorBidi"/>
                <w:color w:val="000000"/>
                <w:sz w:val="18"/>
                <w:szCs w:val="18"/>
                <w:lang w:val="en-GB"/>
              </w:rPr>
              <w:t xml:space="preserve">The PBAC recommended the listing of </w:t>
            </w:r>
            <w:r w:rsidRPr="008B6935">
              <w:rPr>
                <w:rFonts w:asciiTheme="minorHAnsi" w:hAnsiTheme="minorHAnsi" w:cstheme="minorBidi"/>
                <w:color w:val="000000"/>
                <w:sz w:val="18"/>
                <w:szCs w:val="18"/>
              </w:rPr>
              <w:t xml:space="preserve">dabrafenib in combination with trametinib (D+T) for the treatment of adult patients with BRAF V600E mutation positive metastatic (Stage IV) NSCLC. </w:t>
            </w:r>
            <w:r w:rsidRPr="008B6935">
              <w:rPr>
                <w:rFonts w:asciiTheme="minorHAnsi" w:hAnsiTheme="minorHAnsi" w:cstheme="minorBidi"/>
                <w:color w:val="000000"/>
                <w:sz w:val="18"/>
                <w:szCs w:val="18"/>
                <w:lang w:val="en-GB"/>
              </w:rPr>
              <w:t xml:space="preserve">The PBAC considered that, despite the uncertainties associated with the indirect comparisons presented in the submission, on balance, it was likely D+T provided similar health outcomes to pembrolizumab in combination with chemotherapy in the proposed population. The PBAC considered that D+T would be acceptably cost effective if it were cost-minimised against pembrolizumab in combination with chemotherapy. The PBAC noted flow-on changes would be required to immunotherapy listings to allow them to be used after D+T, by amending one of the criteria to: Patient must not have previously been treated for this condition in the metastatic setting OR The condition must have progressed after treatment with only one of (i) tepotinib, (ii) selpercatinib, (iii) dabrafenib in combination with trametinib. </w:t>
            </w:r>
          </w:p>
        </w:tc>
      </w:tr>
      <w:tr w:rsidR="00761F21" w:rsidRPr="008059F4" w:rsidDel="008F66B5" w14:paraId="160A6F61" w14:textId="452A0DD4"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0D49CDD" w14:textId="44313F33" w:rsidR="0065159E" w:rsidRPr="000510F0" w:rsidRDefault="00761F21" w:rsidP="00761F2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 xml:space="preserve">DAPSONE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50</w:t>
            </w:r>
            <w:r w:rsidR="003F3A1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mg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Dapsomed</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MEDSURGE HEALTHCARE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p>
          <w:p w14:paraId="300C2F70" w14:textId="77777777" w:rsidR="0065159E" w:rsidRPr="00ED4B4F" w:rsidRDefault="0065159E" w:rsidP="0065159E">
            <w:pPr>
              <w:jc w:val="center"/>
              <w:rPr>
                <w:rFonts w:ascii="Calibri" w:hAnsi="Calibri" w:cs="Calibri"/>
                <w:color w:val="000000"/>
                <w:sz w:val="18"/>
                <w:szCs w:val="18"/>
              </w:rPr>
            </w:pPr>
            <w:r w:rsidRPr="00ED4B4F">
              <w:rPr>
                <w:rFonts w:ascii="Calibri" w:hAnsi="Calibri" w:cs="Calibri"/>
                <w:color w:val="000000"/>
                <w:sz w:val="18"/>
                <w:szCs w:val="18"/>
              </w:rPr>
              <w:t>Committee secretariat</w:t>
            </w:r>
          </w:p>
          <w:p w14:paraId="21908999" w14:textId="20E4D3DE"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BF07BA0" w14:textId="2014FFB2"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Dermatitis herpetiformis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Leprosy</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Actinomycotic mycetoma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6015281" w14:textId="60A21605"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Unrestricted Benefit listing of a new strength under the same conditions as the currently listed strengths of dapsone.</w:t>
            </w:r>
          </w:p>
        </w:tc>
        <w:tc>
          <w:tcPr>
            <w:tcW w:w="1584" w:type="dxa"/>
            <w:vAlign w:val="center"/>
          </w:tcPr>
          <w:p w14:paraId="2FEF30D2" w14:textId="547304F9" w:rsidR="00761F21" w:rsidRPr="00F03408" w:rsidDel="008F66B5" w:rsidRDefault="009529F9"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vAlign w:val="center"/>
          </w:tcPr>
          <w:p w14:paraId="0630B7DE" w14:textId="28C91ADB" w:rsidR="00761F21" w:rsidRPr="00F03408" w:rsidDel="008F66B5" w:rsidRDefault="5581966D" w:rsidP="00761F21">
            <w:pPr>
              <w:jc w:val="both"/>
              <w:rPr>
                <w:rFonts w:asciiTheme="minorHAnsi" w:hAnsiTheme="minorHAnsi" w:cstheme="minorBidi"/>
                <w:color w:val="000000"/>
                <w:sz w:val="18"/>
                <w:szCs w:val="18"/>
              </w:rPr>
            </w:pPr>
            <w:r w:rsidRPr="55367A82">
              <w:rPr>
                <w:rFonts w:asciiTheme="minorHAnsi" w:hAnsiTheme="minorHAnsi" w:cstheme="minorBidi"/>
                <w:color w:val="000000" w:themeColor="text1"/>
                <w:sz w:val="18"/>
                <w:szCs w:val="18"/>
              </w:rPr>
              <w:t>The PBAC recommended listing of a new 50</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mg strength of dapsone (Dapsomed®) under the same conditions as the currently listed strengths of dapsone and same dispensed price as the 25</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 xml:space="preserve">mg tablet. The PBAC noted that the TGA considered </w:t>
            </w:r>
            <w:r w:rsidR="00127B37" w:rsidRPr="55367A82">
              <w:rPr>
                <w:rFonts w:asciiTheme="minorHAnsi" w:hAnsiTheme="minorHAnsi" w:cstheme="minorBidi"/>
                <w:color w:val="000000" w:themeColor="text1"/>
                <w:sz w:val="18"/>
                <w:szCs w:val="18"/>
              </w:rPr>
              <w:t>D</w:t>
            </w:r>
            <w:r w:rsidR="00127B37">
              <w:rPr>
                <w:rFonts w:asciiTheme="minorHAnsi" w:hAnsiTheme="minorHAnsi" w:cstheme="minorBidi"/>
                <w:color w:val="000000" w:themeColor="text1"/>
                <w:sz w:val="18"/>
                <w:szCs w:val="18"/>
              </w:rPr>
              <w:t>apso</w:t>
            </w:r>
            <w:r w:rsidR="00327308">
              <w:rPr>
                <w:rFonts w:asciiTheme="minorHAnsi" w:hAnsiTheme="minorHAnsi" w:cstheme="minorBidi"/>
                <w:color w:val="000000" w:themeColor="text1"/>
                <w:sz w:val="18"/>
                <w:szCs w:val="18"/>
              </w:rPr>
              <w:t>med</w:t>
            </w:r>
            <w:r w:rsidRPr="55367A82">
              <w:rPr>
                <w:rFonts w:asciiTheme="minorHAnsi" w:hAnsiTheme="minorHAnsi" w:cstheme="minorBidi"/>
                <w:color w:val="000000" w:themeColor="text1"/>
                <w:sz w:val="18"/>
                <w:szCs w:val="18"/>
              </w:rPr>
              <w:t xml:space="preserve"> to be bioequivalent to D</w:t>
            </w:r>
            <w:r w:rsidR="00622344">
              <w:rPr>
                <w:rFonts w:asciiTheme="minorHAnsi" w:hAnsiTheme="minorHAnsi" w:cstheme="minorBidi"/>
                <w:color w:val="000000" w:themeColor="text1"/>
                <w:sz w:val="18"/>
                <w:szCs w:val="18"/>
              </w:rPr>
              <w:t>apsone</w:t>
            </w:r>
            <w:r w:rsidRPr="55367A82">
              <w:rPr>
                <w:rFonts w:asciiTheme="minorHAnsi" w:hAnsiTheme="minorHAnsi" w:cstheme="minorBidi"/>
                <w:color w:val="000000" w:themeColor="text1"/>
                <w:sz w:val="18"/>
                <w:szCs w:val="18"/>
              </w:rPr>
              <w:t>. The PBAC advised the equi-effective doses to be 1</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 xml:space="preserve">tablet of </w:t>
            </w:r>
            <w:r w:rsidR="00F04731" w:rsidRPr="55367A82">
              <w:rPr>
                <w:rFonts w:asciiTheme="minorHAnsi" w:hAnsiTheme="minorHAnsi" w:cstheme="minorBidi"/>
                <w:color w:val="000000" w:themeColor="text1"/>
                <w:sz w:val="18"/>
                <w:szCs w:val="18"/>
              </w:rPr>
              <w:t>D</w:t>
            </w:r>
            <w:r w:rsidR="00F04731">
              <w:rPr>
                <w:rFonts w:asciiTheme="minorHAnsi" w:hAnsiTheme="minorHAnsi" w:cstheme="minorBidi"/>
                <w:color w:val="000000" w:themeColor="text1"/>
                <w:sz w:val="18"/>
                <w:szCs w:val="18"/>
              </w:rPr>
              <w:t>apsomed</w:t>
            </w:r>
            <w:r w:rsidRPr="55367A82">
              <w:rPr>
                <w:rFonts w:asciiTheme="minorHAnsi" w:hAnsiTheme="minorHAnsi" w:cstheme="minorBidi"/>
                <w:color w:val="000000" w:themeColor="text1"/>
                <w:sz w:val="18"/>
                <w:szCs w:val="18"/>
              </w:rPr>
              <w:t xml:space="preserve"> 50</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mg = 2</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tablets of D</w:t>
            </w:r>
            <w:r w:rsidR="00F87E36">
              <w:rPr>
                <w:rFonts w:asciiTheme="minorHAnsi" w:hAnsiTheme="minorHAnsi" w:cstheme="minorBidi"/>
                <w:color w:val="000000" w:themeColor="text1"/>
                <w:sz w:val="18"/>
                <w:szCs w:val="18"/>
              </w:rPr>
              <w:t>apsone</w:t>
            </w:r>
            <w:r w:rsidRPr="55367A82">
              <w:rPr>
                <w:rFonts w:asciiTheme="minorHAnsi" w:hAnsiTheme="minorHAnsi" w:cstheme="minorBidi"/>
                <w:color w:val="000000" w:themeColor="text1"/>
                <w:sz w:val="18"/>
                <w:szCs w:val="18"/>
              </w:rPr>
              <w:t xml:space="preserve"> 25</w:t>
            </w:r>
            <w:r w:rsidR="003F3A1B">
              <w:rPr>
                <w:rFonts w:asciiTheme="minorHAnsi" w:hAnsiTheme="minorHAnsi" w:cstheme="minorBidi"/>
                <w:color w:val="000000" w:themeColor="text1"/>
                <w:sz w:val="18"/>
                <w:szCs w:val="18"/>
              </w:rPr>
              <w:t> </w:t>
            </w:r>
            <w:r w:rsidRPr="55367A82">
              <w:rPr>
                <w:rFonts w:asciiTheme="minorHAnsi" w:hAnsiTheme="minorHAnsi" w:cstheme="minorBidi"/>
                <w:color w:val="000000" w:themeColor="text1"/>
                <w:sz w:val="18"/>
                <w:szCs w:val="18"/>
              </w:rPr>
              <w:t>g.</w:t>
            </w:r>
          </w:p>
        </w:tc>
      </w:tr>
      <w:tr w:rsidR="00761F21" w:rsidRPr="008059F4" w:rsidDel="008F66B5" w14:paraId="7750751C" w14:textId="047CD90A" w:rsidTr="00B272AA">
        <w:trPr>
          <w:trHeight w:val="2173"/>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0624E6A" w14:textId="2C38741B" w:rsidR="003C5564" w:rsidRPr="000510F0" w:rsidRDefault="00761F21" w:rsidP="00761F21">
            <w:pPr>
              <w:jc w:val="center"/>
              <w:rPr>
                <w:rFonts w:asciiTheme="minorHAnsi" w:eastAsia="Calibri" w:hAnsiTheme="minorHAnsi" w:cstheme="minorBidi"/>
                <w:color w:val="000000" w:themeColor="text1"/>
                <w:sz w:val="18"/>
                <w:szCs w:val="18"/>
              </w:rPr>
            </w:pPr>
            <w:r w:rsidRPr="259F9060">
              <w:rPr>
                <w:rFonts w:asciiTheme="minorHAnsi" w:eastAsia="Calibri" w:hAnsiTheme="minorHAnsi" w:cstheme="minorBidi"/>
                <w:color w:val="000000" w:themeColor="text1"/>
                <w:sz w:val="18"/>
                <w:szCs w:val="18"/>
              </w:rPr>
              <w:lastRenderedPageBreak/>
              <w:t>DARATUMUMAB</w:t>
            </w:r>
            <w:r>
              <w:br/>
            </w:r>
            <w:r w:rsidRPr="259F9060">
              <w:rPr>
                <w:rFonts w:asciiTheme="minorHAnsi" w:eastAsia="Calibri" w:hAnsiTheme="minorHAnsi" w:cstheme="minorBidi"/>
                <w:color w:val="000000" w:themeColor="text1"/>
                <w:sz w:val="18"/>
                <w:szCs w:val="18"/>
              </w:rPr>
              <w:t xml:space="preserve"> </w:t>
            </w:r>
            <w:r>
              <w:br/>
            </w:r>
            <w:r w:rsidRPr="259F9060">
              <w:rPr>
                <w:rFonts w:asciiTheme="minorHAnsi" w:eastAsia="Calibri" w:hAnsiTheme="minorHAnsi" w:cstheme="minorBidi"/>
                <w:color w:val="000000" w:themeColor="text1"/>
                <w:sz w:val="18"/>
                <w:szCs w:val="18"/>
              </w:rPr>
              <w:t>Solution for I.V. infusion 100</w:t>
            </w:r>
            <w:r w:rsidR="003F3A1B">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mg in 5</w:t>
            </w:r>
            <w:r w:rsidR="00FC5443">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mL vial</w:t>
            </w:r>
            <w:r>
              <w:br/>
            </w:r>
            <w:r w:rsidRPr="259F9060">
              <w:rPr>
                <w:rFonts w:asciiTheme="minorHAnsi" w:eastAsia="Calibri" w:hAnsiTheme="minorHAnsi" w:cstheme="minorBidi"/>
                <w:color w:val="000000" w:themeColor="text1"/>
                <w:sz w:val="18"/>
                <w:szCs w:val="18"/>
              </w:rPr>
              <w:t>Solution for I.V. infusion 400</w:t>
            </w:r>
            <w:r w:rsidR="00FC5443">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mg in 20</w:t>
            </w:r>
            <w:r w:rsidR="00FC5443">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mL vial</w:t>
            </w:r>
            <w:r>
              <w:br/>
            </w:r>
            <w:r w:rsidRPr="259F9060">
              <w:rPr>
                <w:rFonts w:asciiTheme="minorHAnsi" w:eastAsia="Calibri" w:hAnsiTheme="minorHAnsi" w:cstheme="minorBidi"/>
                <w:color w:val="000000" w:themeColor="text1"/>
                <w:sz w:val="18"/>
                <w:szCs w:val="18"/>
              </w:rPr>
              <w:t>Solution for S.C. injection 1,800</w:t>
            </w:r>
            <w:r w:rsidR="00FC5443">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mg in 15</w:t>
            </w:r>
            <w:r w:rsidR="00FC5443">
              <w:rPr>
                <w:rFonts w:asciiTheme="minorHAnsi" w:eastAsia="Calibri" w:hAnsiTheme="minorHAnsi" w:cstheme="minorBidi"/>
                <w:color w:val="000000" w:themeColor="text1"/>
                <w:sz w:val="18"/>
                <w:szCs w:val="18"/>
              </w:rPr>
              <w:t> </w:t>
            </w:r>
            <w:r w:rsidRPr="259F9060">
              <w:rPr>
                <w:rFonts w:asciiTheme="minorHAnsi" w:eastAsia="Calibri" w:hAnsiTheme="minorHAnsi" w:cstheme="minorBidi"/>
                <w:color w:val="000000" w:themeColor="text1"/>
                <w:sz w:val="18"/>
                <w:szCs w:val="18"/>
              </w:rPr>
              <w:t>mL</w:t>
            </w:r>
            <w:r>
              <w:br/>
            </w:r>
            <w:r w:rsidRPr="259F9060">
              <w:rPr>
                <w:rFonts w:asciiTheme="minorHAnsi" w:eastAsia="Calibri" w:hAnsiTheme="minorHAnsi" w:cstheme="minorBidi"/>
                <w:color w:val="000000" w:themeColor="text1"/>
                <w:sz w:val="18"/>
                <w:szCs w:val="18"/>
              </w:rPr>
              <w:t>vial</w:t>
            </w:r>
            <w:r>
              <w:br/>
            </w:r>
            <w:r w:rsidRPr="259F9060">
              <w:rPr>
                <w:rFonts w:asciiTheme="minorHAnsi" w:eastAsia="Calibri" w:hAnsiTheme="minorHAnsi" w:cstheme="minorBidi"/>
                <w:color w:val="000000" w:themeColor="text1"/>
                <w:sz w:val="18"/>
                <w:szCs w:val="18"/>
              </w:rPr>
              <w:t xml:space="preserve"> </w:t>
            </w:r>
            <w:r>
              <w:br/>
            </w:r>
            <w:r w:rsidRPr="259F9060">
              <w:rPr>
                <w:rFonts w:asciiTheme="minorHAnsi" w:eastAsia="Calibri" w:hAnsiTheme="minorHAnsi" w:cstheme="minorBidi"/>
                <w:color w:val="000000" w:themeColor="text1"/>
                <w:sz w:val="18"/>
                <w:szCs w:val="18"/>
              </w:rPr>
              <w:t>Darzalex</w:t>
            </w:r>
            <w:r w:rsidRPr="00245393">
              <w:rPr>
                <w:rFonts w:asciiTheme="minorHAnsi" w:eastAsia="Calibri" w:hAnsiTheme="minorHAnsi" w:cstheme="minorBidi"/>
                <w:color w:val="000000" w:themeColor="text1"/>
                <w:sz w:val="18"/>
                <w:szCs w:val="18"/>
              </w:rPr>
              <w:t>®</w:t>
            </w:r>
            <w:r>
              <w:br/>
            </w:r>
            <w:r w:rsidRPr="259F9060">
              <w:rPr>
                <w:rFonts w:asciiTheme="minorHAnsi" w:eastAsia="Calibri" w:hAnsiTheme="minorHAnsi" w:cstheme="minorBidi"/>
                <w:color w:val="000000" w:themeColor="text1"/>
                <w:sz w:val="18"/>
                <w:szCs w:val="18"/>
              </w:rPr>
              <w:t xml:space="preserve"> </w:t>
            </w:r>
            <w:r>
              <w:br/>
            </w:r>
            <w:r w:rsidRPr="259F9060">
              <w:rPr>
                <w:rFonts w:asciiTheme="minorHAnsi" w:eastAsia="Calibri" w:hAnsiTheme="minorHAnsi" w:cstheme="minorBidi"/>
                <w:color w:val="000000" w:themeColor="text1"/>
                <w:sz w:val="18"/>
                <w:szCs w:val="18"/>
              </w:rPr>
              <w:t>JANSSEN-CILAG PTY LTD</w:t>
            </w:r>
            <w:r>
              <w:br/>
            </w:r>
          </w:p>
          <w:p w14:paraId="737DA832" w14:textId="77777777" w:rsidR="003C5564" w:rsidRPr="003C5564" w:rsidRDefault="003C5564" w:rsidP="003C5564">
            <w:pPr>
              <w:jc w:val="center"/>
              <w:rPr>
                <w:rFonts w:ascii="Calibri" w:hAnsi="Calibri" w:cs="Calibri"/>
                <w:color w:val="000000"/>
                <w:sz w:val="18"/>
                <w:szCs w:val="18"/>
              </w:rPr>
            </w:pPr>
            <w:r w:rsidRPr="003C5564">
              <w:rPr>
                <w:rFonts w:ascii="Calibri" w:hAnsi="Calibri" w:cs="Calibri"/>
                <w:color w:val="000000"/>
                <w:sz w:val="18"/>
                <w:szCs w:val="18"/>
              </w:rPr>
              <w:t>Standard re-entry</w:t>
            </w:r>
          </w:p>
          <w:p w14:paraId="66738803" w14:textId="44DAEDF3"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D951847" w14:textId="6A86D496"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Multiple myeloma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14732B8" w14:textId="51965E66"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059B89" w14:textId="1BB1EDAF" w:rsidR="00761F21" w:rsidRPr="00F03408" w:rsidDel="008F66B5" w:rsidRDefault="006211AA"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4A504878" w14:textId="77777777" w:rsidR="00D646AF" w:rsidRPr="00D646AF" w:rsidRDefault="00D646AF" w:rsidP="00D646AF">
            <w:pPr>
              <w:jc w:val="both"/>
              <w:rPr>
                <w:rFonts w:asciiTheme="minorHAnsi" w:hAnsiTheme="minorHAnsi" w:cstheme="minorHAnsi"/>
                <w:color w:val="000000"/>
                <w:sz w:val="18"/>
                <w:szCs w:val="18"/>
              </w:rPr>
            </w:pPr>
            <w:r w:rsidRPr="00D646AF">
              <w:rPr>
                <w:rFonts w:asciiTheme="minorHAnsi" w:hAnsiTheme="minorHAnsi" w:cstheme="minorHAnsi"/>
                <w:color w:val="000000"/>
                <w:sz w:val="18"/>
                <w:szCs w:val="18"/>
              </w:rPr>
              <w:t xml:space="preserve">The PBAC recommended daratumumab for use in combination with lenalidomide and dexamethasone (DLd) for the treatment of transplant ineligible, newly diagnosed multiple myeloma (TI NDMM). The PBAC welcomed input from individuals and organisations who described the benefits of first line treatment with DLd and highlighted the ongoing need for new and effective therapies for the treatment of multiple myeloma. The PBAC considered that the input from individuals, health care professionals and organisations provided valuable insights about the experience of individuals diagnosed with multiple myeloma, and the desire for improved treatment outcomes. </w:t>
            </w:r>
          </w:p>
          <w:p w14:paraId="7FEA046D" w14:textId="77777777" w:rsidR="003405F6" w:rsidRPr="003405F6" w:rsidRDefault="003405F6" w:rsidP="00D646AF">
            <w:pPr>
              <w:jc w:val="both"/>
              <w:rPr>
                <w:rFonts w:asciiTheme="minorHAnsi" w:hAnsiTheme="minorHAnsi" w:cstheme="minorHAnsi"/>
                <w:color w:val="000000"/>
                <w:sz w:val="18"/>
                <w:szCs w:val="18"/>
              </w:rPr>
            </w:pPr>
          </w:p>
          <w:p w14:paraId="04F8F99E" w14:textId="77777777" w:rsidR="00D646AF" w:rsidRPr="00D646AF" w:rsidRDefault="00D646AF" w:rsidP="00D646AF">
            <w:pPr>
              <w:jc w:val="both"/>
              <w:rPr>
                <w:rFonts w:asciiTheme="minorHAnsi" w:hAnsiTheme="minorHAnsi" w:cstheme="minorHAnsi"/>
                <w:color w:val="000000"/>
                <w:sz w:val="18"/>
                <w:szCs w:val="18"/>
              </w:rPr>
            </w:pPr>
            <w:r w:rsidRPr="00D646AF">
              <w:rPr>
                <w:rFonts w:asciiTheme="minorHAnsi" w:hAnsiTheme="minorHAnsi" w:cstheme="minorHAnsi"/>
                <w:color w:val="000000"/>
                <w:sz w:val="18"/>
                <w:szCs w:val="18"/>
              </w:rPr>
              <w:t xml:space="preserve">The clinical evidence presented in the submission indicated that DLd improved progression free survival in patients when compared to lenalidomide plus dexamethasone (Ld) and bortezomib plus lenalidomide and dexamethasone (BLd). The PBAC was satisfied that for some patients DLd would be more effective than Ld and BLd. However, the clinical evidence presented in the submission did not allow confidence about the extent to which this benefit would be realised against BLd. The submission did not include comparison of overall survival between patients who had received DLd versus those who had received BLd. While the submission included evidence from clinical studies that DLd improved overall survival when compared to Ld, the PBAC did not consider the claim that BLd and Ld delivered similar outcomes was supported by the evidence presented. </w:t>
            </w:r>
          </w:p>
          <w:p w14:paraId="6F32D6B2" w14:textId="77777777" w:rsidR="003405F6" w:rsidRPr="003405F6" w:rsidRDefault="003405F6" w:rsidP="00D646AF">
            <w:pPr>
              <w:jc w:val="both"/>
              <w:rPr>
                <w:rFonts w:asciiTheme="minorHAnsi" w:hAnsiTheme="minorHAnsi" w:cstheme="minorHAnsi"/>
                <w:color w:val="000000"/>
                <w:sz w:val="18"/>
                <w:szCs w:val="18"/>
              </w:rPr>
            </w:pPr>
          </w:p>
          <w:p w14:paraId="5E8CC397" w14:textId="77777777" w:rsidR="00D646AF" w:rsidRPr="00D646AF" w:rsidRDefault="00D646AF" w:rsidP="00D646AF">
            <w:pPr>
              <w:jc w:val="both"/>
              <w:rPr>
                <w:rFonts w:asciiTheme="minorHAnsi" w:hAnsiTheme="minorHAnsi" w:cstheme="minorHAnsi"/>
                <w:color w:val="000000"/>
                <w:sz w:val="18"/>
                <w:szCs w:val="18"/>
              </w:rPr>
            </w:pPr>
            <w:r w:rsidRPr="00D646AF">
              <w:rPr>
                <w:rFonts w:asciiTheme="minorHAnsi" w:hAnsiTheme="minorHAnsi" w:cstheme="minorHAnsi"/>
                <w:color w:val="000000"/>
                <w:sz w:val="18"/>
                <w:szCs w:val="18"/>
              </w:rPr>
              <w:t xml:space="preserve">Because of these uncertainties, the PBAC considered that the benefits estimated in the economic model in support of the proposed price were overly optimistic. Further the PBAC considered that the economic model underestimated certain costs. The PBAC’s recommendation was based on, among other matters, its assessment that the cost-effectiveness of DLd would be acceptable with a price reduction. The PBAC considered that the revised estimated financial impact of listing DLd was overestimated and considered that a risk sharing arrangement (RSA) that included the use of daratumumab both in the first line (newly diagnosed) and second line settings would be required. </w:t>
            </w:r>
            <w:r w:rsidRPr="00D646AF">
              <w:rPr>
                <w:rFonts w:asciiTheme="minorHAnsi" w:hAnsiTheme="minorHAnsi" w:cstheme="minorHAnsi"/>
                <w:color w:val="000000"/>
                <w:sz w:val="18"/>
                <w:szCs w:val="18"/>
              </w:rPr>
              <w:lastRenderedPageBreak/>
              <w:t xml:space="preserve">The PBAC noted that the RSA should account for the expected reduced use of second line daratumumab as a result of the first line listing. </w:t>
            </w:r>
          </w:p>
          <w:p w14:paraId="235CFD28" w14:textId="77777777" w:rsidR="003405F6" w:rsidRPr="003405F6" w:rsidRDefault="003405F6" w:rsidP="00D646AF">
            <w:pPr>
              <w:jc w:val="both"/>
              <w:rPr>
                <w:rFonts w:asciiTheme="minorHAnsi" w:hAnsiTheme="minorHAnsi" w:cstheme="minorHAnsi"/>
                <w:color w:val="000000"/>
                <w:sz w:val="18"/>
                <w:szCs w:val="18"/>
              </w:rPr>
            </w:pPr>
          </w:p>
          <w:p w14:paraId="5938639A" w14:textId="77777777" w:rsidR="00D646AF" w:rsidRPr="00D646AF" w:rsidRDefault="00D646AF" w:rsidP="00D646AF">
            <w:pPr>
              <w:jc w:val="both"/>
              <w:rPr>
                <w:rFonts w:asciiTheme="minorHAnsi" w:hAnsiTheme="minorHAnsi" w:cstheme="minorHAnsi"/>
                <w:color w:val="000000"/>
                <w:sz w:val="18"/>
                <w:szCs w:val="18"/>
              </w:rPr>
            </w:pPr>
            <w:r w:rsidRPr="00D646AF">
              <w:rPr>
                <w:rFonts w:asciiTheme="minorHAnsi" w:hAnsiTheme="minorHAnsi" w:cstheme="minorHAnsi"/>
                <w:color w:val="000000"/>
                <w:sz w:val="18"/>
                <w:szCs w:val="18"/>
              </w:rPr>
              <w:t xml:space="preserve">The PBAC also recommended flow-ons to daratumumab 2nd line listings for relapsed and/or refractory multiple myeloma to ensure that patients only receive daratumumab once per lifetime. </w:t>
            </w:r>
          </w:p>
          <w:p w14:paraId="623CC7B3" w14:textId="77777777" w:rsidR="003405F6" w:rsidRPr="003405F6" w:rsidRDefault="003405F6" w:rsidP="00D646AF">
            <w:pPr>
              <w:jc w:val="both"/>
              <w:rPr>
                <w:rFonts w:asciiTheme="minorHAnsi" w:hAnsiTheme="minorHAnsi" w:cstheme="minorHAnsi"/>
                <w:color w:val="000000"/>
                <w:sz w:val="18"/>
                <w:szCs w:val="18"/>
              </w:rPr>
            </w:pPr>
          </w:p>
          <w:p w14:paraId="652C80A7" w14:textId="6351EC6D" w:rsidR="00761F21" w:rsidRPr="004F2E33" w:rsidDel="008F66B5" w:rsidRDefault="00D646AF" w:rsidP="00761F21">
            <w:pPr>
              <w:jc w:val="both"/>
              <w:rPr>
                <w:rFonts w:asciiTheme="minorHAnsi" w:hAnsiTheme="minorHAnsi" w:cstheme="minorHAnsi"/>
                <w:color w:val="000000"/>
                <w:sz w:val="18"/>
                <w:szCs w:val="18"/>
              </w:rPr>
            </w:pPr>
            <w:r w:rsidRPr="00D646AF">
              <w:rPr>
                <w:rFonts w:asciiTheme="minorHAnsi" w:hAnsiTheme="minorHAnsi" w:cstheme="minorHAnsi"/>
                <w:color w:val="000000"/>
                <w:sz w:val="18"/>
                <w:szCs w:val="18"/>
              </w:rPr>
              <w:t>The PBAC noted the large number of treatments listed on the PBS for the treatment of multiple myeloma. The PBAC recommended that the Department undertake a utilisation analysis to understand the treatment pathways and duration of treatment for PBS-listed therapies for multiple myeloma.</w:t>
            </w:r>
          </w:p>
        </w:tc>
      </w:tr>
      <w:tr w:rsidR="00761F21" w:rsidRPr="008059F4" w:rsidDel="008F66B5" w14:paraId="7A902290" w14:textId="7B442279"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B3568D7" w14:textId="35A24215" w:rsidR="00312BDD" w:rsidRDefault="00761F21" w:rsidP="00761F21">
            <w:pPr>
              <w:jc w:val="center"/>
              <w:rPr>
                <w:rFonts w:asciiTheme="minorHAnsi" w:eastAsia="Calibri" w:hAnsiTheme="minorHAnsi" w:cstheme="minorHAnsi"/>
                <w:color w:val="000000" w:themeColor="text1"/>
                <w:sz w:val="18"/>
                <w:szCs w:val="18"/>
              </w:rPr>
            </w:pPr>
            <w:bookmarkStart w:id="3" w:name="_Hlk143070613"/>
            <w:r w:rsidRPr="000510F0">
              <w:rPr>
                <w:rFonts w:asciiTheme="minorHAnsi" w:eastAsia="Calibri" w:hAnsiTheme="minorHAnsi" w:cstheme="minorHAnsi"/>
                <w:color w:val="000000" w:themeColor="text1"/>
                <w:sz w:val="18"/>
                <w:szCs w:val="18"/>
              </w:rPr>
              <w:lastRenderedPageBreak/>
              <w:t>DENOSUMAB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120</w:t>
            </w:r>
            <w:r w:rsidR="0059551E">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59551E">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use pre-filled syringe</w:t>
            </w:r>
            <w:r w:rsidR="00553848">
              <w:rPr>
                <w:rFonts w:asciiTheme="minorHAnsi" w:eastAsia="Calibri" w:hAnsiTheme="minorHAnsi" w:cstheme="minorHAnsi"/>
                <w:color w:val="000000" w:themeColor="text1"/>
                <w:sz w:val="18"/>
                <w:szCs w:val="18"/>
              </w:rPr>
              <w:t xml:space="preserve"> (PFS)</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Xgeva</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AMGEN AUSTRALIA PTY LIMITED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F924E5">
              <w:rPr>
                <w:rFonts w:asciiTheme="minorHAnsi" w:eastAsia="Calibri" w:hAnsiTheme="minorHAnsi" w:cstheme="minorHAnsi"/>
                <w:color w:val="000000" w:themeColor="text1"/>
                <w:sz w:val="18"/>
                <w:szCs w:val="18"/>
              </w:rPr>
              <w:t>Category</w:t>
            </w:r>
            <w:r w:rsidR="00312BDD">
              <w:rPr>
                <w:rFonts w:asciiTheme="minorHAnsi" w:eastAsia="Calibri" w:hAnsiTheme="minorHAnsi" w:cstheme="minorHAnsi"/>
                <w:color w:val="000000" w:themeColor="text1"/>
                <w:sz w:val="18"/>
                <w:szCs w:val="18"/>
              </w:rPr>
              <w:t xml:space="preserve"> 4</w:t>
            </w:r>
          </w:p>
          <w:p w14:paraId="31C16E75" w14:textId="0392A0F4"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FB638D2" w14:textId="58C929C1"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Giant cell tumour of bone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Bone metastases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34018D" w14:textId="3853BDAF"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General Schedule Authority Required (STREAMLINED) listings of a new form for the treatment of giant cell tumour of bone and bone metastases.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85984A" w14:textId="1C00019D" w:rsidR="00761F21" w:rsidRPr="00F03408" w:rsidDel="008F66B5" w:rsidRDefault="009529F9"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15305741" w14:textId="3ECA6D11" w:rsidR="00761F21" w:rsidRPr="00F03408" w:rsidDel="008F66B5" w:rsidRDefault="7DABE52D" w:rsidP="00761F21">
            <w:pPr>
              <w:jc w:val="both"/>
              <w:rPr>
                <w:rFonts w:asciiTheme="minorHAnsi" w:hAnsiTheme="minorHAnsi" w:cstheme="minorBidi"/>
                <w:color w:val="000000"/>
                <w:sz w:val="18"/>
                <w:szCs w:val="18"/>
              </w:rPr>
            </w:pPr>
            <w:r w:rsidRPr="4A9F1032">
              <w:rPr>
                <w:rFonts w:asciiTheme="minorHAnsi" w:eastAsia="Calibri" w:hAnsiTheme="minorHAnsi" w:cstheme="minorBidi"/>
                <w:color w:val="000000" w:themeColor="text1"/>
                <w:sz w:val="18"/>
                <w:szCs w:val="18"/>
              </w:rPr>
              <w:t>The PBAC recommended listing of a new pre-filled syringe form of denosumab (120</w:t>
            </w:r>
            <w:r w:rsidR="0059551E">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mg/1.0</w:t>
            </w:r>
            <w:r w:rsidR="0059551E">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mL injection, 1</w:t>
            </w:r>
            <w:r w:rsidR="0059551E">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 xml:space="preserve">mL </w:t>
            </w:r>
            <w:r w:rsidR="005A706F">
              <w:rPr>
                <w:rFonts w:asciiTheme="minorHAnsi" w:eastAsia="Calibri" w:hAnsiTheme="minorHAnsi" w:cstheme="minorBidi"/>
                <w:color w:val="000000" w:themeColor="text1"/>
                <w:sz w:val="18"/>
                <w:szCs w:val="18"/>
              </w:rPr>
              <w:t>PFS</w:t>
            </w:r>
            <w:r w:rsidRPr="4A9F1032">
              <w:rPr>
                <w:rFonts w:asciiTheme="minorHAnsi" w:eastAsia="Calibri" w:hAnsiTheme="minorHAnsi" w:cstheme="minorBidi"/>
                <w:color w:val="000000" w:themeColor="text1"/>
                <w:sz w:val="18"/>
                <w:szCs w:val="18"/>
              </w:rPr>
              <w:t>) for the treatment of giant cell tumour of bone and bone metastases under the same circumstances as the currently listed vial form of denosumab (120</w:t>
            </w:r>
            <w:r w:rsidR="0059551E">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mg/1.7</w:t>
            </w:r>
            <w:r w:rsidR="0059551E">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mL injection, 1.7</w:t>
            </w:r>
            <w:r w:rsidR="003834EB">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mL vial). The PBAC considered the equi-effective doses to be denosumab 120</w:t>
            </w:r>
            <w:r w:rsidR="003834EB">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mg PFS = denosumab 120</w:t>
            </w:r>
            <w:r w:rsidR="003834EB">
              <w:rPr>
                <w:rFonts w:asciiTheme="minorHAnsi" w:eastAsia="Calibri" w:hAnsiTheme="minorHAnsi" w:cstheme="minorBidi"/>
                <w:color w:val="000000" w:themeColor="text1"/>
                <w:sz w:val="18"/>
                <w:szCs w:val="18"/>
              </w:rPr>
              <w:t> </w:t>
            </w:r>
            <w:r w:rsidRPr="4A9F1032">
              <w:rPr>
                <w:rFonts w:asciiTheme="minorHAnsi" w:eastAsia="Calibri" w:hAnsiTheme="minorHAnsi" w:cstheme="minorBidi"/>
                <w:color w:val="000000" w:themeColor="text1"/>
                <w:sz w:val="18"/>
                <w:szCs w:val="18"/>
              </w:rPr>
              <w:t>mg vial.</w:t>
            </w:r>
          </w:p>
        </w:tc>
      </w:tr>
      <w:bookmarkEnd w:id="3"/>
      <w:tr w:rsidR="00761F21" w:rsidRPr="008059F4" w:rsidDel="008F66B5" w14:paraId="13CCBBCF" w14:textId="431696E9"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F216E9" w14:textId="5A4415D1" w:rsidR="00BB09ED" w:rsidRDefault="00761F21" w:rsidP="00BB09ED">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DUPILUMAB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200</w:t>
            </w:r>
            <w:r w:rsidR="003834E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1.14</w:t>
            </w:r>
            <w:r w:rsidR="003834E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pen</w:t>
            </w:r>
            <w:r w:rsidR="00FC6576">
              <w:rPr>
                <w:rFonts w:asciiTheme="minorHAnsi" w:eastAsia="Calibri" w:hAnsiTheme="minorHAnsi" w:cstheme="minorHAnsi"/>
                <w:color w:val="000000" w:themeColor="text1"/>
                <w:sz w:val="18"/>
                <w:szCs w:val="18"/>
              </w:rPr>
              <w:t xml:space="preserve"> (P</w:t>
            </w:r>
            <w:r w:rsidR="00774311">
              <w:rPr>
                <w:rFonts w:asciiTheme="minorHAnsi" w:eastAsia="Calibri" w:hAnsiTheme="minorHAnsi" w:cstheme="minorHAnsi"/>
                <w:color w:val="000000" w:themeColor="text1"/>
                <w:sz w:val="18"/>
                <w:szCs w:val="18"/>
              </w:rPr>
              <w:t>FP)</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300</w:t>
            </w:r>
            <w:r w:rsidR="003834E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2</w:t>
            </w:r>
            <w:r w:rsidR="003834E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mL single dose </w:t>
            </w:r>
            <w:r w:rsidR="00774311">
              <w:rPr>
                <w:rFonts w:asciiTheme="minorHAnsi" w:eastAsia="Calibri" w:hAnsiTheme="minorHAnsi" w:cstheme="minorHAnsi"/>
                <w:color w:val="000000" w:themeColor="text1"/>
                <w:sz w:val="18"/>
                <w:szCs w:val="18"/>
              </w:rPr>
              <w:t>PFP</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Dupixent</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SANOFI-AVENTIS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BB09ED">
              <w:rPr>
                <w:rFonts w:asciiTheme="minorHAnsi" w:eastAsia="Calibri" w:hAnsiTheme="minorHAnsi" w:cstheme="minorHAnsi"/>
                <w:color w:val="000000" w:themeColor="text1"/>
                <w:sz w:val="18"/>
                <w:szCs w:val="18"/>
              </w:rPr>
              <w:t>Category 4</w:t>
            </w:r>
          </w:p>
          <w:p w14:paraId="297761B5" w14:textId="7365C9AD"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4E38D47" w14:textId="558B531E"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Severe atopic dermatitis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Uncontrolled severe asthma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FB243E2" w14:textId="5D008521"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E91DC60" w14:textId="1FF8947A" w:rsidR="00761F21" w:rsidRPr="00F03408" w:rsidDel="008F66B5" w:rsidRDefault="009529F9"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1CC02EB6" w14:textId="65DA126A" w:rsidR="00761F21" w:rsidRPr="00E040AB" w:rsidDel="008F66B5" w:rsidRDefault="6D2DB8B7" w:rsidP="00761F21">
            <w:pPr>
              <w:jc w:val="both"/>
              <w:rPr>
                <w:rFonts w:asciiTheme="minorHAnsi" w:hAnsiTheme="minorHAnsi" w:cstheme="minorBidi"/>
                <w:color w:val="000000"/>
                <w:sz w:val="18"/>
                <w:szCs w:val="18"/>
                <w:lang w:val="en-GB"/>
              </w:rPr>
            </w:pPr>
            <w:r w:rsidRPr="001E7D86">
              <w:rPr>
                <w:rFonts w:asciiTheme="minorHAnsi" w:eastAsia="Calibri" w:hAnsiTheme="minorHAnsi" w:cstheme="minorBidi"/>
                <w:color w:val="000000" w:themeColor="text1"/>
                <w:sz w:val="18"/>
                <w:szCs w:val="18"/>
                <w:lang w:val="en-GB"/>
              </w:rPr>
              <w:t>The PBAC recommended listing of two new forms of dupilumab, 200</w:t>
            </w:r>
            <w:r w:rsidR="003834EB">
              <w:rPr>
                <w:rFonts w:asciiTheme="minorHAnsi" w:eastAsia="Calibri" w:hAnsiTheme="minorHAnsi" w:cstheme="minorBidi"/>
                <w:color w:val="000000" w:themeColor="text1"/>
                <w:sz w:val="18"/>
                <w:szCs w:val="18"/>
                <w:lang w:val="en-GB"/>
              </w:rPr>
              <w:t> </w:t>
            </w:r>
            <w:r w:rsidRPr="001E7D86">
              <w:rPr>
                <w:rFonts w:asciiTheme="minorHAnsi" w:eastAsia="Calibri" w:hAnsiTheme="minorHAnsi" w:cstheme="minorBidi"/>
                <w:color w:val="000000" w:themeColor="text1"/>
                <w:sz w:val="18"/>
                <w:szCs w:val="18"/>
                <w:lang w:val="en-GB"/>
              </w:rPr>
              <w:t>mg in 1.14</w:t>
            </w:r>
            <w:r w:rsidR="007478AF">
              <w:rPr>
                <w:rFonts w:asciiTheme="minorHAnsi" w:eastAsia="Calibri" w:hAnsiTheme="minorHAnsi" w:cstheme="minorBidi"/>
                <w:color w:val="000000" w:themeColor="text1"/>
                <w:sz w:val="18"/>
                <w:szCs w:val="18"/>
                <w:lang w:val="en-GB"/>
              </w:rPr>
              <w:t> </w:t>
            </w:r>
            <w:r w:rsidRPr="001E7D86">
              <w:rPr>
                <w:rFonts w:asciiTheme="minorHAnsi" w:eastAsia="Calibri" w:hAnsiTheme="minorHAnsi" w:cstheme="minorBidi"/>
                <w:color w:val="000000" w:themeColor="text1"/>
                <w:sz w:val="18"/>
                <w:szCs w:val="18"/>
                <w:lang w:val="en-GB"/>
              </w:rPr>
              <w:t>mL and 300</w:t>
            </w:r>
            <w:r w:rsidR="007478AF">
              <w:rPr>
                <w:rFonts w:asciiTheme="minorHAnsi" w:eastAsia="Calibri" w:hAnsiTheme="minorHAnsi" w:cstheme="minorBidi"/>
                <w:color w:val="000000" w:themeColor="text1"/>
                <w:sz w:val="18"/>
                <w:szCs w:val="18"/>
                <w:lang w:val="en-GB"/>
              </w:rPr>
              <w:t> </w:t>
            </w:r>
            <w:r w:rsidRPr="001E7D86">
              <w:rPr>
                <w:rFonts w:asciiTheme="minorHAnsi" w:eastAsia="Calibri" w:hAnsiTheme="minorHAnsi" w:cstheme="minorBidi"/>
                <w:color w:val="000000" w:themeColor="text1"/>
                <w:sz w:val="18"/>
                <w:szCs w:val="18"/>
                <w:lang w:val="en-GB"/>
              </w:rPr>
              <w:t>mg in 2</w:t>
            </w:r>
            <w:r w:rsidR="007478AF">
              <w:rPr>
                <w:rFonts w:asciiTheme="minorHAnsi" w:eastAsia="Calibri" w:hAnsiTheme="minorHAnsi" w:cstheme="minorBidi"/>
                <w:color w:val="000000" w:themeColor="text1"/>
                <w:sz w:val="18"/>
                <w:szCs w:val="18"/>
                <w:lang w:val="en-GB"/>
              </w:rPr>
              <w:t> </w:t>
            </w:r>
            <w:r w:rsidRPr="001E7D86">
              <w:rPr>
                <w:rFonts w:asciiTheme="minorHAnsi" w:eastAsia="Calibri" w:hAnsiTheme="minorHAnsi" w:cstheme="minorBidi"/>
                <w:color w:val="000000" w:themeColor="text1"/>
                <w:sz w:val="18"/>
                <w:szCs w:val="18"/>
                <w:lang w:val="en-GB"/>
              </w:rPr>
              <w:t>mL single dose PFP for the treatment of severe atopic dermatitis in patients aged less than 12 years on a cost minimisation basis to dupilumab pre-filled syringe (PFS). The PBAC further recommended the listing of dupilumab PFP for the treatment of uncontrolled severe asthma in patients aged 6 to 11 years. The PBAC’s recommendation for listing was based on, among other matters, its assessment that dupilumab PFP would be cost-effective if it were cost-minimised to the lowest cost alternative treatment for uncontrolled severe asthma.</w:t>
            </w:r>
          </w:p>
        </w:tc>
      </w:tr>
      <w:tr w:rsidR="00761F21" w:rsidRPr="008059F4" w:rsidDel="008F66B5" w14:paraId="0AE2830A" w14:textId="7E5B3719"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74FABE" w14:textId="570047B3" w:rsidR="009D1227" w:rsidRDefault="00761F21" w:rsidP="00761F2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EFGARTIGIMOD ALFA</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of I.V. infusion 400</w:t>
            </w:r>
            <w:r w:rsidR="007478A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20</w:t>
            </w:r>
            <w:r w:rsidR="007478A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Vyvgart</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ARGENX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B94DCA">
              <w:rPr>
                <w:rFonts w:asciiTheme="minorHAnsi" w:eastAsia="Calibri" w:hAnsiTheme="minorHAnsi" w:cstheme="minorHAnsi"/>
                <w:color w:val="000000" w:themeColor="text1"/>
                <w:sz w:val="18"/>
                <w:szCs w:val="18"/>
              </w:rPr>
              <w:t>Category 1</w:t>
            </w:r>
          </w:p>
          <w:p w14:paraId="72D55D02" w14:textId="0DF3D668"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4A6D788" w14:textId="3C582966"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A204C5" w14:textId="1D38F0F8"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Section 100 (Highly Specialised Drugs Program) Authority Required (Written) listing for the treatment of adult patients with gMG who are anti-acetylcholine receptor antibody positive.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CD8363" w14:textId="5CCE191B" w:rsidR="00761F21" w:rsidRPr="00F03408" w:rsidDel="008F66B5" w:rsidRDefault="00AE5EFC"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2C9182C8" w14:textId="53343B19" w:rsidR="002F6315" w:rsidRPr="002F6315" w:rsidRDefault="002F6315" w:rsidP="002F6315">
            <w:pPr>
              <w:jc w:val="both"/>
              <w:rPr>
                <w:rFonts w:asciiTheme="minorHAnsi" w:hAnsiTheme="minorHAnsi" w:cstheme="minorHAnsi"/>
                <w:color w:val="000000"/>
                <w:sz w:val="18"/>
                <w:szCs w:val="18"/>
              </w:rPr>
            </w:pPr>
            <w:r w:rsidRPr="002F6315">
              <w:rPr>
                <w:rFonts w:asciiTheme="minorHAnsi" w:hAnsiTheme="minorHAnsi" w:cstheme="minorHAnsi"/>
                <w:color w:val="000000"/>
                <w:sz w:val="18"/>
                <w:szCs w:val="18"/>
              </w:rPr>
              <w:t xml:space="preserve">The PBAC recommended the listing of efgartigimod for the treatment of gMG. 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w:t>
            </w:r>
          </w:p>
          <w:p w14:paraId="6CEACDC3" w14:textId="77777777" w:rsidR="00FA112C" w:rsidRPr="002F6315" w:rsidRDefault="00FA112C" w:rsidP="002F6315">
            <w:pPr>
              <w:jc w:val="both"/>
              <w:rPr>
                <w:rFonts w:asciiTheme="minorHAnsi" w:hAnsiTheme="minorHAnsi" w:cstheme="minorHAnsi"/>
                <w:color w:val="000000"/>
                <w:sz w:val="18"/>
                <w:szCs w:val="18"/>
              </w:rPr>
            </w:pPr>
          </w:p>
          <w:p w14:paraId="6552FA10" w14:textId="77777777" w:rsidR="002F6315" w:rsidRPr="002F6315" w:rsidRDefault="002F6315" w:rsidP="002F6315">
            <w:pPr>
              <w:jc w:val="both"/>
              <w:rPr>
                <w:rFonts w:asciiTheme="minorHAnsi" w:hAnsiTheme="minorHAnsi" w:cstheme="minorHAnsi"/>
                <w:color w:val="000000"/>
                <w:sz w:val="18"/>
                <w:szCs w:val="18"/>
              </w:rPr>
            </w:pPr>
            <w:r w:rsidRPr="002F6315">
              <w:rPr>
                <w:rFonts w:asciiTheme="minorHAnsi" w:hAnsiTheme="minorHAnsi" w:cstheme="minorHAnsi"/>
                <w:color w:val="000000"/>
                <w:sz w:val="18"/>
                <w:szCs w:val="18"/>
              </w:rPr>
              <w:t>The clinical evidence presented in the submission had several limitations that created uncertainty as to whether efgartigimod</w:t>
            </w:r>
            <w:r w:rsidRPr="002F6315" w:rsidDel="00BE0C94">
              <w:rPr>
                <w:rFonts w:asciiTheme="minorHAnsi" w:hAnsiTheme="minorHAnsi" w:cstheme="minorHAnsi"/>
                <w:color w:val="000000"/>
                <w:sz w:val="18"/>
                <w:szCs w:val="18"/>
              </w:rPr>
              <w:t xml:space="preserve"> </w:t>
            </w:r>
            <w:r w:rsidRPr="002F6315">
              <w:rPr>
                <w:rFonts w:asciiTheme="minorHAnsi" w:hAnsiTheme="minorHAnsi" w:cstheme="minorHAnsi"/>
                <w:color w:val="000000"/>
                <w:sz w:val="18"/>
                <w:szCs w:val="18"/>
              </w:rPr>
              <w:t>would improve patient outcomes compared with intravenous immunoglobulin or plasma exchange. Overall, the PBAC considered there was insufficient evidence to suggest efgartigimod</w:t>
            </w:r>
            <w:r w:rsidRPr="002F6315" w:rsidDel="00BE0C94">
              <w:rPr>
                <w:rFonts w:asciiTheme="minorHAnsi" w:hAnsiTheme="minorHAnsi" w:cstheme="minorHAnsi"/>
                <w:color w:val="000000"/>
                <w:sz w:val="18"/>
                <w:szCs w:val="18"/>
              </w:rPr>
              <w:t xml:space="preserve"> </w:t>
            </w:r>
            <w:r w:rsidRPr="002F6315">
              <w:rPr>
                <w:rFonts w:asciiTheme="minorHAnsi" w:hAnsiTheme="minorHAnsi" w:cstheme="minorHAnsi"/>
                <w:color w:val="000000"/>
                <w:sz w:val="18"/>
                <w:szCs w:val="18"/>
              </w:rPr>
              <w:t>would be more effective or safer than these treatments. Further, the PBAC considered that there was insufficient evidence to suggest that efgartigimod</w:t>
            </w:r>
            <w:r w:rsidRPr="002F6315" w:rsidDel="00BE0C94">
              <w:rPr>
                <w:rFonts w:asciiTheme="minorHAnsi" w:hAnsiTheme="minorHAnsi" w:cstheme="minorHAnsi"/>
                <w:color w:val="000000"/>
                <w:sz w:val="18"/>
                <w:szCs w:val="18"/>
              </w:rPr>
              <w:t xml:space="preserve"> </w:t>
            </w:r>
            <w:r w:rsidRPr="002F6315">
              <w:rPr>
                <w:rFonts w:asciiTheme="minorHAnsi" w:hAnsiTheme="minorHAnsi" w:cstheme="minorHAnsi"/>
                <w:color w:val="000000"/>
                <w:sz w:val="18"/>
                <w:szCs w:val="18"/>
              </w:rPr>
              <w:t>was superior in terms of efficacy or safety compared with the other three therapies for gMG that were considered at the March 2025 meeting (zilucoplan, ravulizumab and rozanolixizumab). Overall, the PBAC advised that the four therapies should be considered to have similar efficacy and safety compared with each other and with intravenous immunoglobulin. The recommendation to list efgartigimod</w:t>
            </w:r>
            <w:r w:rsidRPr="002F6315" w:rsidDel="00BE0C94">
              <w:rPr>
                <w:rFonts w:asciiTheme="minorHAnsi" w:hAnsiTheme="minorHAnsi" w:cstheme="minorHAnsi"/>
                <w:color w:val="000000"/>
                <w:sz w:val="18"/>
                <w:szCs w:val="18"/>
              </w:rPr>
              <w:t xml:space="preserve"> </w:t>
            </w:r>
            <w:r w:rsidRPr="002F6315">
              <w:rPr>
                <w:rFonts w:asciiTheme="minorHAnsi" w:hAnsiTheme="minorHAnsi" w:cstheme="minorHAnsi"/>
                <w:color w:val="000000"/>
                <w:sz w:val="18"/>
                <w:szCs w:val="18"/>
              </w:rPr>
              <w:t xml:space="preserve">on the PBS was made on the basis of a cost-comparison versus intravenous immunoglobulin, supported by a cost-per-responder analysis versus placebo. </w:t>
            </w:r>
          </w:p>
          <w:p w14:paraId="6DFE452C" w14:textId="77777777" w:rsidR="00FA112C" w:rsidRPr="002F6315" w:rsidRDefault="00FA112C" w:rsidP="002F6315">
            <w:pPr>
              <w:jc w:val="both"/>
              <w:rPr>
                <w:rFonts w:asciiTheme="minorHAnsi" w:hAnsiTheme="minorHAnsi" w:cstheme="minorHAnsi"/>
                <w:color w:val="000000"/>
                <w:sz w:val="18"/>
                <w:szCs w:val="18"/>
              </w:rPr>
            </w:pPr>
          </w:p>
          <w:p w14:paraId="2636442F" w14:textId="45B5C31F" w:rsidR="00761F21" w:rsidRPr="00F03408" w:rsidDel="008F66B5" w:rsidRDefault="002F6315" w:rsidP="00761F21">
            <w:pPr>
              <w:jc w:val="both"/>
              <w:rPr>
                <w:rFonts w:asciiTheme="minorHAnsi" w:hAnsiTheme="minorHAnsi" w:cstheme="minorHAnsi"/>
                <w:color w:val="000000"/>
                <w:sz w:val="18"/>
                <w:szCs w:val="18"/>
              </w:rPr>
            </w:pPr>
            <w:r w:rsidRPr="002F6315">
              <w:rPr>
                <w:rFonts w:asciiTheme="minorHAnsi" w:hAnsiTheme="minorHAnsi" w:cstheme="minorHAnsi"/>
                <w:color w:val="000000"/>
                <w:sz w:val="18"/>
                <w:szCs w:val="18"/>
              </w:rPr>
              <w:t>The PBAC considered that the new gMG therapies should substitute for intravenous immunoglobulin and plasma exchange rather than be added on to or used in combination with these modalities. The PBAC advised that the prescribing criteria for intravenous immunoglobulin should be revised to ensure use remains appropriate in the context of the availability of the new therapies.</w:t>
            </w:r>
          </w:p>
        </w:tc>
      </w:tr>
      <w:tr w:rsidR="00761F21" w:rsidRPr="008059F4" w:rsidDel="008F66B5" w14:paraId="4A465492" w14:textId="28FC3684"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A61E5F4" w14:textId="5CBBEF00" w:rsidR="009D1227" w:rsidRDefault="00761F21" w:rsidP="009D1227">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EFLORNITHINE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192</w:t>
            </w:r>
            <w:r w:rsidR="008014DE">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hydrochloride)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Ifinwil</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NORGINE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9D1227">
              <w:rPr>
                <w:rFonts w:asciiTheme="minorHAnsi" w:eastAsia="Calibri" w:hAnsiTheme="minorHAnsi" w:cstheme="minorHAnsi"/>
                <w:color w:val="000000" w:themeColor="text1"/>
                <w:sz w:val="18"/>
                <w:szCs w:val="18"/>
              </w:rPr>
              <w:t>Category 1</w:t>
            </w:r>
          </w:p>
          <w:p w14:paraId="66A16B70" w14:textId="08BF9E08"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8BA57C" w14:textId="6F203E21"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Neuroblastoma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0125B7" w14:textId="344BC4E4"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Authority Required (Written) listing for the treatment of high-risk neuroblastoma</w:t>
            </w:r>
            <w:r w:rsidR="00D86464">
              <w:rPr>
                <w:rFonts w:asciiTheme="minorHAnsi" w:eastAsia="Calibri" w:hAnsiTheme="minorHAnsi" w:cstheme="minorHAnsi"/>
                <w:color w:val="000000" w:themeColor="text1"/>
                <w:sz w:val="18"/>
                <w:szCs w:val="18"/>
              </w:rPr>
              <w:t xml:space="preserve"> </w:t>
            </w:r>
            <w:r w:rsidR="00D86464" w:rsidRPr="00374DD9">
              <w:rPr>
                <w:rFonts w:asciiTheme="minorHAnsi" w:eastAsia="Calibri" w:hAnsiTheme="minorHAnsi" w:cstheme="minorHAnsi"/>
                <w:color w:val="000000" w:themeColor="text1"/>
                <w:sz w:val="18"/>
                <w:szCs w:val="18"/>
              </w:rPr>
              <w:t>(HRNB)</w:t>
            </w:r>
            <w:r w:rsidRPr="000510F0">
              <w:rPr>
                <w:rFonts w:asciiTheme="minorHAnsi" w:eastAsia="Calibri" w:hAnsiTheme="minorHAnsi" w:cstheme="minorHAnsi"/>
                <w:color w:val="000000" w:themeColor="text1"/>
                <w:sz w:val="18"/>
                <w:szCs w:val="18"/>
              </w:rPr>
              <w: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E66B42F" w14:textId="7CE179E5" w:rsidR="00761F21" w:rsidRPr="00F03408" w:rsidDel="008F66B5" w:rsidRDefault="00551BDC"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451B7AE4" w14:textId="7AAAC1A5" w:rsidR="00761F21" w:rsidRPr="00F03408" w:rsidDel="008F66B5" w:rsidRDefault="00374DD9" w:rsidP="00761F21">
            <w:pPr>
              <w:jc w:val="both"/>
              <w:rPr>
                <w:rFonts w:asciiTheme="minorHAnsi" w:hAnsiTheme="minorHAnsi" w:cstheme="minorHAnsi"/>
                <w:color w:val="000000"/>
                <w:sz w:val="18"/>
                <w:szCs w:val="18"/>
              </w:rPr>
            </w:pPr>
            <w:r w:rsidRPr="00374DD9">
              <w:rPr>
                <w:rFonts w:asciiTheme="minorHAnsi" w:hAnsiTheme="minorHAnsi" w:cstheme="minorHAnsi"/>
                <w:color w:val="000000"/>
                <w:sz w:val="18"/>
                <w:szCs w:val="18"/>
              </w:rPr>
              <w:t>The PBAC recommended the</w:t>
            </w:r>
            <w:r w:rsidR="00C6747B">
              <w:rPr>
                <w:rFonts w:asciiTheme="minorHAnsi" w:hAnsiTheme="minorHAnsi" w:cstheme="minorHAnsi"/>
                <w:color w:val="000000"/>
                <w:sz w:val="18"/>
                <w:szCs w:val="18"/>
              </w:rPr>
              <w:t xml:space="preserve"> </w:t>
            </w:r>
            <w:r w:rsidR="00C6747B" w:rsidRPr="00C6747B">
              <w:rPr>
                <w:rFonts w:asciiTheme="minorHAnsi" w:hAnsiTheme="minorHAnsi" w:cstheme="minorHAnsi"/>
                <w:color w:val="000000"/>
                <w:sz w:val="18"/>
                <w:szCs w:val="18"/>
              </w:rPr>
              <w:t xml:space="preserve">Section 100 (Highly Specialised Drugs Program) </w:t>
            </w:r>
            <w:r w:rsidRPr="00374DD9">
              <w:rPr>
                <w:rFonts w:asciiTheme="minorHAnsi" w:hAnsiTheme="minorHAnsi" w:cstheme="minorHAnsi"/>
                <w:color w:val="000000"/>
                <w:sz w:val="18"/>
                <w:szCs w:val="18"/>
              </w:rPr>
              <w:t xml:space="preserve">listing of eflornithine for post-maintenance treatment to prevent relapse in patients with HRNB who are in remission after receiving multiagent, multimodality therapy. The </w:t>
            </w:r>
            <w:r w:rsidRPr="00374DD9">
              <w:rPr>
                <w:rFonts w:asciiTheme="minorHAnsi" w:hAnsiTheme="minorHAnsi" w:cstheme="minorHAnsi"/>
                <w:bCs/>
                <w:color w:val="000000"/>
                <w:sz w:val="18"/>
                <w:szCs w:val="18"/>
              </w:rPr>
              <w:t xml:space="preserve">PBAC welcomed the input from individuals and organisations and noted they strongly supported the listing. </w:t>
            </w:r>
            <w:r w:rsidRPr="00374DD9">
              <w:rPr>
                <w:rFonts w:asciiTheme="minorHAnsi" w:hAnsiTheme="minorHAnsi" w:cstheme="minorHAnsi"/>
                <w:color w:val="000000"/>
                <w:sz w:val="18"/>
                <w:szCs w:val="18"/>
              </w:rPr>
              <w:t xml:space="preserve">The PBAC acknowledged the high clinical need for a post-maintenance treatment to prevent relapse of this condition. The PBAC considered that eflornithine provides a clinical benefit for patients compared to standard of care, and while the magnitude of benefit was uncertain, the PBAC acknowledged the difficulty of obtaining high quality clinical evidence in this patient group. The PBAC considered that the </w:t>
            </w:r>
            <w:r w:rsidR="00206636" w:rsidRPr="008A2AA5">
              <w:rPr>
                <w:rFonts w:asciiTheme="minorHAnsi" w:hAnsiTheme="minorHAnsi" w:cstheme="minorHAnsi"/>
                <w:color w:val="000000"/>
                <w:sz w:val="18"/>
                <w:szCs w:val="18"/>
              </w:rPr>
              <w:t>incremental cost</w:t>
            </w:r>
            <w:r w:rsidR="00206636">
              <w:rPr>
                <w:rFonts w:asciiTheme="minorHAnsi" w:hAnsiTheme="minorHAnsi" w:cstheme="minorHAnsi"/>
                <w:color w:val="000000"/>
                <w:sz w:val="18"/>
                <w:szCs w:val="18"/>
              </w:rPr>
              <w:t>-</w:t>
            </w:r>
            <w:r w:rsidR="00206636" w:rsidRPr="008A2AA5">
              <w:rPr>
                <w:rFonts w:asciiTheme="minorHAnsi" w:hAnsiTheme="minorHAnsi" w:cstheme="minorHAnsi"/>
                <w:color w:val="000000"/>
                <w:sz w:val="18"/>
                <w:szCs w:val="18"/>
              </w:rPr>
              <w:t>effectiveness ratio</w:t>
            </w:r>
            <w:r w:rsidR="008A2AA5" w:rsidRPr="008A2AA5">
              <w:rPr>
                <w:rFonts w:asciiTheme="minorHAnsi" w:hAnsiTheme="minorHAnsi" w:cstheme="minorHAnsi"/>
                <w:color w:val="000000"/>
                <w:sz w:val="18"/>
                <w:szCs w:val="18"/>
              </w:rPr>
              <w:t xml:space="preserve"> </w:t>
            </w:r>
            <w:r w:rsidR="008A2AA5">
              <w:rPr>
                <w:rFonts w:asciiTheme="minorHAnsi" w:hAnsiTheme="minorHAnsi" w:cstheme="minorHAnsi"/>
                <w:color w:val="000000"/>
                <w:sz w:val="18"/>
                <w:szCs w:val="18"/>
              </w:rPr>
              <w:t>(</w:t>
            </w:r>
            <w:r w:rsidRPr="00374DD9">
              <w:rPr>
                <w:rFonts w:asciiTheme="minorHAnsi" w:hAnsiTheme="minorHAnsi" w:cstheme="minorHAnsi"/>
                <w:color w:val="000000"/>
                <w:sz w:val="18"/>
                <w:szCs w:val="18"/>
              </w:rPr>
              <w:t>ICER</w:t>
            </w:r>
            <w:r w:rsidR="008A2AA5">
              <w:rPr>
                <w:rFonts w:asciiTheme="minorHAnsi" w:hAnsiTheme="minorHAnsi" w:cstheme="minorHAnsi"/>
                <w:color w:val="000000"/>
                <w:sz w:val="18"/>
                <w:szCs w:val="18"/>
              </w:rPr>
              <w:t>)</w:t>
            </w:r>
            <w:r w:rsidRPr="00374DD9">
              <w:rPr>
                <w:rFonts w:asciiTheme="minorHAnsi" w:hAnsiTheme="minorHAnsi" w:cstheme="minorHAnsi"/>
                <w:color w:val="000000"/>
                <w:sz w:val="18"/>
                <w:szCs w:val="18"/>
              </w:rPr>
              <w:t xml:space="preserve"> was high and uncertain, partly because the sponsor’s assumptions about the duration of benefit (extrapolation and time horizon) were optimistic. The PBAC considered that a more conservative time horizon would be required along with a price reduction to achieve an acceptable ICER. </w:t>
            </w:r>
            <w:r w:rsidRPr="00374DD9">
              <w:rPr>
                <w:rFonts w:asciiTheme="minorHAnsi" w:hAnsiTheme="minorHAnsi" w:cstheme="minorHAnsi"/>
                <w:color w:val="000000"/>
                <w:sz w:val="18"/>
                <w:szCs w:val="18"/>
                <w:lang w:val="en-GB"/>
              </w:rPr>
              <w:t xml:space="preserve">The PBAC considered the estimated number of incident neuroblastoma patients was overestimated and should be reduced to </w:t>
            </w:r>
            <w:r w:rsidR="00FA112C">
              <w:rPr>
                <w:rFonts w:asciiTheme="minorHAnsi" w:hAnsiTheme="minorHAnsi" w:cstheme="minorHAnsi"/>
                <w:color w:val="000000"/>
                <w:sz w:val="18"/>
                <w:szCs w:val="18"/>
                <w:lang w:val="en-GB"/>
              </w:rPr>
              <w:t>&lt; 500</w:t>
            </w:r>
            <w:r w:rsidRPr="00374DD9">
              <w:rPr>
                <w:rFonts w:asciiTheme="minorHAnsi" w:hAnsiTheme="minorHAnsi" w:cstheme="minorHAnsi"/>
                <w:color w:val="000000"/>
                <w:sz w:val="18"/>
                <w:szCs w:val="18"/>
                <w:lang w:val="en-GB"/>
              </w:rPr>
              <w:t xml:space="preserve"> patients </w:t>
            </w:r>
            <w:r w:rsidR="00206636">
              <w:rPr>
                <w:rFonts w:asciiTheme="minorHAnsi" w:hAnsiTheme="minorHAnsi" w:cstheme="minorHAnsi"/>
                <w:color w:val="000000"/>
                <w:sz w:val="18"/>
                <w:szCs w:val="18"/>
                <w:lang w:val="en-GB"/>
              </w:rPr>
              <w:t>per</w:t>
            </w:r>
            <w:r w:rsidRPr="00374DD9">
              <w:rPr>
                <w:rFonts w:asciiTheme="minorHAnsi" w:hAnsiTheme="minorHAnsi" w:cstheme="minorHAnsi"/>
                <w:color w:val="000000"/>
                <w:sz w:val="18"/>
                <w:szCs w:val="18"/>
                <w:lang w:val="en-GB"/>
              </w:rPr>
              <w:t xml:space="preserve"> year.</w:t>
            </w:r>
          </w:p>
        </w:tc>
      </w:tr>
      <w:tr w:rsidR="00761F21" w:rsidRPr="008059F4" w:rsidDel="008F66B5" w14:paraId="4B53762F" w14:textId="71C5A6EF"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B6A87A" w14:textId="3B6233FD" w:rsidR="00110471" w:rsidRDefault="00761F21" w:rsidP="0011047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ELACESTRANT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86</w:t>
            </w:r>
            <w:r w:rsidR="0037362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mg (as dihydrochloride)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345</w:t>
            </w:r>
            <w:r w:rsidR="0037362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(as dihydrochloride)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Orserdu</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 MENARINI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110471">
              <w:rPr>
                <w:rFonts w:asciiTheme="minorHAnsi" w:eastAsia="Calibri" w:hAnsiTheme="minorHAnsi" w:cstheme="minorHAnsi"/>
                <w:color w:val="000000" w:themeColor="text1"/>
                <w:sz w:val="18"/>
                <w:szCs w:val="18"/>
              </w:rPr>
              <w:t>Category 1</w:t>
            </w:r>
          </w:p>
          <w:p w14:paraId="7C3C9A50" w14:textId="3F6A11A8"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D7E4BE2" w14:textId="45643661"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Estrogen receptor-positive (ER+) human epidermal growth factor receptor 2-negative (HER2-) locally advanced or metastatic breast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AC5724A" w14:textId="30870221" w:rsidR="00761F21" w:rsidRPr="000510F0" w:rsidRDefault="00761F21" w:rsidP="00761F21">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c>
          <w:tcPr>
            <w:tcW w:w="1584" w:type="dxa"/>
            <w:shd w:val="clear" w:color="auto" w:fill="auto"/>
            <w:vAlign w:val="center"/>
          </w:tcPr>
          <w:p w14:paraId="167AD0DD" w14:textId="02DAE0AF" w:rsidR="00761F21" w:rsidRPr="00F03408" w:rsidDel="008F66B5" w:rsidRDefault="00382161" w:rsidP="00761F21">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76" w:type="dxa"/>
            <w:shd w:val="clear" w:color="auto" w:fill="auto"/>
            <w:vAlign w:val="center"/>
          </w:tcPr>
          <w:p w14:paraId="26F70117" w14:textId="2C9AA81C" w:rsidR="00343AF7" w:rsidRPr="00343AF7" w:rsidRDefault="00343AF7" w:rsidP="00343AF7">
            <w:pPr>
              <w:ind w:left="11"/>
              <w:contextualSpacing/>
              <w:jc w:val="both"/>
              <w:rPr>
                <w:rFonts w:asciiTheme="minorHAnsi" w:eastAsiaTheme="minorHAnsi" w:hAnsiTheme="minorHAnsi" w:cstheme="minorHAnsi"/>
                <w:sz w:val="18"/>
                <w:szCs w:val="18"/>
              </w:rPr>
            </w:pPr>
            <w:r w:rsidRPr="00343AF7">
              <w:rPr>
                <w:rFonts w:asciiTheme="minorHAnsi" w:eastAsiaTheme="minorHAnsi" w:hAnsiTheme="minorHAnsi" w:cstheme="minorHAnsi"/>
                <w:sz w:val="18"/>
                <w:szCs w:val="18"/>
              </w:rPr>
              <w:t>The PBAC did not recommend the listing of elacestrant for the treatment of patients with ER+ HER2</w:t>
            </w:r>
            <w:r w:rsidRPr="00343AF7">
              <w:rPr>
                <w:rFonts w:asciiTheme="minorHAnsi" w:eastAsiaTheme="minorHAnsi" w:hAnsiTheme="minorHAnsi" w:cstheme="minorHAnsi"/>
                <w:sz w:val="18"/>
                <w:szCs w:val="18"/>
              </w:rPr>
              <w:noBreakHyphen/>
              <w:t xml:space="preserve"> locally advanced or metastatic breast cancer in patients whose tumours have evidence of activating </w:t>
            </w:r>
            <w:r w:rsidRPr="00343AF7">
              <w:rPr>
                <w:rFonts w:asciiTheme="minorHAnsi" w:eastAsiaTheme="minorHAnsi" w:hAnsiTheme="minorHAnsi" w:cstheme="minorHAnsi"/>
                <w:i/>
                <w:iCs/>
                <w:sz w:val="18"/>
                <w:szCs w:val="18"/>
              </w:rPr>
              <w:t>ESR1</w:t>
            </w:r>
            <w:r w:rsidRPr="00343AF7">
              <w:rPr>
                <w:rFonts w:asciiTheme="minorHAnsi" w:eastAsiaTheme="minorHAnsi" w:hAnsiTheme="minorHAnsi" w:cstheme="minorHAnsi"/>
                <w:sz w:val="18"/>
                <w:szCs w:val="18"/>
              </w:rPr>
              <w:t xml:space="preserve"> variants. The PBAC considered that in the heavily pre-treated population included in the clinical trial for elacestrant, the control arm of fulvestrant was inappropriate for many patients, and was not representative of standard of care. The PBAC considered the outcomes from the pivotal trial are likely to overestimate the clinical benefit for elacestrant due to the inappropriate comparison. The PBAC considered that in some patients elacestrant may be useful as an oral alternative to intramuscular fulvestrant due to its different mode of administration. However the PBAC considered that, due to the patient population included in the trial, no clear PFS or OS benefit compared with fulvestrant was supported by the evidence and therefore at the proposed substantially higher cost, elacestrant was not considered cost</w:t>
            </w:r>
            <w:r w:rsidRPr="00343AF7">
              <w:rPr>
                <w:rFonts w:asciiTheme="minorHAnsi" w:eastAsiaTheme="minorHAnsi" w:hAnsiTheme="minorHAnsi" w:cstheme="minorHAnsi"/>
                <w:sz w:val="18"/>
                <w:szCs w:val="18"/>
              </w:rPr>
              <w:noBreakHyphen/>
              <w:t xml:space="preserve">effective. </w:t>
            </w:r>
          </w:p>
          <w:p w14:paraId="08904731" w14:textId="77777777" w:rsidR="00FA112C" w:rsidRDefault="00FA112C" w:rsidP="00FA112C">
            <w:pPr>
              <w:ind w:left="11"/>
              <w:contextualSpacing/>
              <w:jc w:val="both"/>
              <w:rPr>
                <w:rFonts w:asciiTheme="minorHAnsi" w:eastAsiaTheme="minorHAnsi" w:hAnsiTheme="minorHAnsi" w:cstheme="minorHAnsi"/>
                <w:sz w:val="18"/>
                <w:szCs w:val="18"/>
              </w:rPr>
            </w:pPr>
          </w:p>
          <w:p w14:paraId="2207CB90" w14:textId="77777777" w:rsidR="00FA112C" w:rsidRDefault="00FA112C" w:rsidP="00FA112C">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00AB6BCE" w14:textId="29CBE1B6" w:rsidR="00761F21" w:rsidRPr="00F03408" w:rsidDel="008F66B5" w:rsidRDefault="00B34524" w:rsidP="00761F21">
            <w:pPr>
              <w:jc w:val="both"/>
              <w:rPr>
                <w:rFonts w:asciiTheme="minorHAnsi" w:hAnsiTheme="minorHAnsi" w:cstheme="minorBidi"/>
                <w:color w:val="000000"/>
                <w:sz w:val="18"/>
                <w:szCs w:val="18"/>
              </w:rPr>
            </w:pPr>
            <w:r w:rsidRPr="00E6571B">
              <w:rPr>
                <w:rFonts w:asciiTheme="minorHAnsi" w:eastAsiaTheme="minorHAnsi" w:hAnsiTheme="minorHAnsi" w:cstheme="minorHAnsi"/>
                <w:sz w:val="18"/>
                <w:szCs w:val="18"/>
              </w:rPr>
              <w:t>The sponsor had no comment.</w:t>
            </w:r>
          </w:p>
        </w:tc>
      </w:tr>
      <w:tr w:rsidR="008725E5" w:rsidRPr="008059F4" w:rsidDel="008F66B5" w14:paraId="07A41AC1" w14:textId="52951D4A"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7A20C1A" w14:textId="302E31DE" w:rsidR="00110471" w:rsidRDefault="008725E5" w:rsidP="00110471">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ELAFIBRANOR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80</w:t>
            </w:r>
            <w:r w:rsidR="0037362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Iqirvo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IPSEN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110471">
              <w:rPr>
                <w:rFonts w:asciiTheme="minorHAnsi" w:eastAsia="Calibri" w:hAnsiTheme="minorHAnsi" w:cstheme="minorHAnsi"/>
                <w:color w:val="000000" w:themeColor="text1"/>
                <w:sz w:val="18"/>
                <w:szCs w:val="18"/>
              </w:rPr>
              <w:t>Category 1</w:t>
            </w:r>
          </w:p>
          <w:p w14:paraId="0716C0B4" w14:textId="4EB73429"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B6FB75B" w14:textId="27BEA373"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Primary Biliary Cholangitis (PBC)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AEDC554" w14:textId="57913DB4"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Authority Required (STREAMLINED) listing for the treatment of PBC.</w:t>
            </w:r>
          </w:p>
        </w:tc>
        <w:tc>
          <w:tcPr>
            <w:tcW w:w="1584" w:type="dxa"/>
            <w:shd w:val="clear" w:color="auto" w:fill="auto"/>
            <w:vAlign w:val="center"/>
          </w:tcPr>
          <w:p w14:paraId="2962443F" w14:textId="30AC03C1" w:rsidR="008725E5" w:rsidRPr="00F03408" w:rsidDel="008F66B5" w:rsidRDefault="00CF0055"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F1F9A4E" w14:textId="17FFC759" w:rsidR="0084108B" w:rsidRPr="0084108B" w:rsidRDefault="0084108B" w:rsidP="0084108B">
            <w:pPr>
              <w:jc w:val="both"/>
              <w:rPr>
                <w:rFonts w:asciiTheme="minorHAnsi" w:hAnsiTheme="minorHAnsi" w:cstheme="minorBidi"/>
                <w:color w:val="000000"/>
                <w:sz w:val="18"/>
                <w:szCs w:val="18"/>
              </w:rPr>
            </w:pPr>
            <w:r w:rsidRPr="0084108B">
              <w:rPr>
                <w:rFonts w:asciiTheme="minorHAnsi" w:hAnsiTheme="minorHAnsi" w:cstheme="minorBidi"/>
                <w:color w:val="000000"/>
                <w:sz w:val="18"/>
                <w:szCs w:val="18"/>
              </w:rPr>
              <w:t>The PBAC recommended elafibranor for the treatment of PBC. The PBAC considered that elafibranor was non-inferior in terms of effectiveness and safety compared to obeticholic acid (OCA) and therefore considered that a cost-minimisation approach versus OCA to be appropriate and that the equi-effective doses are: elafibranor 80 mg once daily is equivalent to obeticholic acid 5 or 10 mg once daily. The PBAC considered that a price premium for elafibranor would be reasonable given the potential reduction in PBC-relatedpruritus compared to OCA. The PBAC considered that elafibranor should join the risk sharing arrangement for OCA.</w:t>
            </w:r>
          </w:p>
          <w:p w14:paraId="53FF4F09" w14:textId="77777777" w:rsidR="005C1B15" w:rsidRPr="0084108B" w:rsidRDefault="005C1B15" w:rsidP="0084108B">
            <w:pPr>
              <w:jc w:val="both"/>
              <w:rPr>
                <w:rFonts w:asciiTheme="minorHAnsi" w:hAnsiTheme="minorHAnsi" w:cstheme="minorBidi"/>
                <w:color w:val="000000"/>
                <w:sz w:val="18"/>
                <w:szCs w:val="18"/>
              </w:rPr>
            </w:pPr>
          </w:p>
          <w:p w14:paraId="39E0FF04" w14:textId="1A6F525E" w:rsidR="008725E5" w:rsidRPr="00F03408" w:rsidDel="008F66B5" w:rsidRDefault="0084108B" w:rsidP="008725E5">
            <w:pPr>
              <w:jc w:val="both"/>
              <w:rPr>
                <w:rFonts w:asciiTheme="minorHAnsi" w:hAnsiTheme="minorHAnsi" w:cstheme="minorBidi"/>
                <w:color w:val="000000"/>
                <w:sz w:val="18"/>
                <w:szCs w:val="18"/>
              </w:rPr>
            </w:pPr>
            <w:r w:rsidRPr="0084108B">
              <w:rPr>
                <w:rFonts w:asciiTheme="minorHAnsi" w:hAnsiTheme="minorHAnsi" w:cstheme="minorBidi"/>
                <w:color w:val="000000"/>
                <w:sz w:val="18"/>
                <w:szCs w:val="18"/>
              </w:rPr>
              <w:t>The PBAC indicated that flow-on changes to the OCA restriction would be required. Specifically, removing reference to ‘cholelithiasis’ in the Administrative Advice and removal of unnecessary wording in the clinical criteria, including ‘with agreement reached that the patient should be treated with this pharmaceutical benefit on this occasion’ and ‘following this authority application’. Further, a new criterion should be added to the OCA restriction excluding concomitant use with elafibranor and, if used as monotherapy, the restriction should reference contraindications, in addition to intolerances to ursodeoxycholic acid.</w:t>
            </w:r>
          </w:p>
        </w:tc>
      </w:tr>
      <w:tr w:rsidR="008725E5" w:rsidRPr="008059F4" w:rsidDel="008F66B5" w14:paraId="5854B770" w14:textId="687CBB6D"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E25EC93" w14:textId="4CB27B07" w:rsidR="00A725D0" w:rsidRDefault="008725E5" w:rsidP="008725E5">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ELEXACAFTOR WITH TEZACAFTOR AND WITH IVACAFTOR, AND IVACAFTOR</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Pack containing 56</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 elexacaftor 100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with tezacaftor 50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with ivacaftor 75</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28</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 ivacaftor 150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Pack containing 56</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 elexacaftor 50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with tezacaftor 25</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with ivacaftor 37.5</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28</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 ivacaftor 75</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Pack containing 28</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sachets elexacaftor 100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with tezacaftor 50</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with ivacaftor 75</w:t>
            </w:r>
            <w:r w:rsidR="00C905D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28</w:t>
            </w:r>
            <w:r w:rsidR="00DE104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sachets ivacaftor 75</w:t>
            </w:r>
            <w:r w:rsidR="00DE104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Pack containing 28</w:t>
            </w:r>
            <w:r w:rsidR="00DE104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sachets elexacaftor 80</w:t>
            </w:r>
            <w:r w:rsidR="00DE104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with tezacaftor 40</w:t>
            </w:r>
            <w:r w:rsidR="00987CFA">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with ivacaftor 60</w:t>
            </w:r>
            <w:r w:rsidR="00987CFA">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28</w:t>
            </w:r>
            <w:r w:rsidR="00987CFA">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sachets ivacaftor 59.5</w:t>
            </w:r>
            <w:r w:rsidR="00987CFA">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Trikafta</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VERTEX PHARMACEUTICALS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A725D0">
              <w:rPr>
                <w:rFonts w:asciiTheme="minorHAnsi" w:eastAsia="Calibri" w:hAnsiTheme="minorHAnsi" w:cstheme="minorHAnsi"/>
                <w:color w:val="000000" w:themeColor="text1"/>
                <w:sz w:val="18"/>
                <w:szCs w:val="18"/>
              </w:rPr>
              <w:t>Category 2</w:t>
            </w:r>
          </w:p>
          <w:p w14:paraId="3BD6E399" w14:textId="71F925A4"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FB3A19B" w14:textId="63A00AAF"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Cystic fibrosis (CF)</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BDB904" w14:textId="424EC8CE"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 xml:space="preserve">To request a Section 100 (Highly Specialised Drugs Program) Authority Required (Written) listing for the treatment of CF patients aged 2 years or older who have at least one mutation in the CF transmembrane conductance regulator </w:t>
            </w:r>
            <w:r w:rsidR="003177C4">
              <w:rPr>
                <w:rFonts w:asciiTheme="minorHAnsi" w:eastAsia="Calibri" w:hAnsiTheme="minorHAnsi" w:cstheme="minorHAnsi"/>
                <w:color w:val="000000" w:themeColor="text1"/>
                <w:sz w:val="18"/>
                <w:szCs w:val="18"/>
              </w:rPr>
              <w:t>(</w:t>
            </w:r>
            <w:r w:rsidR="003177C4" w:rsidRPr="00B012B5">
              <w:rPr>
                <w:rFonts w:asciiTheme="minorHAnsi" w:eastAsia="Calibri" w:hAnsiTheme="minorHAnsi" w:cstheme="minorHAnsi"/>
                <w:i/>
                <w:color w:val="000000" w:themeColor="text1"/>
                <w:sz w:val="18"/>
                <w:szCs w:val="18"/>
              </w:rPr>
              <w:t>CFTR</w:t>
            </w:r>
            <w:r w:rsidR="003177C4">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gene responsive to Trikafta</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based on clinical and/or in vitro assay data.</w:t>
            </w:r>
          </w:p>
        </w:tc>
        <w:tc>
          <w:tcPr>
            <w:tcW w:w="1584" w:type="dxa"/>
            <w:shd w:val="clear" w:color="auto" w:fill="auto"/>
            <w:vAlign w:val="center"/>
          </w:tcPr>
          <w:p w14:paraId="46FDA260" w14:textId="566682F4" w:rsidR="008725E5" w:rsidRPr="00F03408" w:rsidDel="008F66B5" w:rsidRDefault="008E50B3"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0B4B06E8" w14:textId="4981249C" w:rsidR="008725E5" w:rsidRPr="00F03408" w:rsidDel="008F66B5" w:rsidRDefault="00660186" w:rsidP="008725E5">
            <w:pPr>
              <w:jc w:val="both"/>
              <w:rPr>
                <w:rFonts w:asciiTheme="minorHAnsi" w:hAnsiTheme="minorHAnsi" w:cstheme="minorHAnsi"/>
                <w:color w:val="000000"/>
                <w:sz w:val="18"/>
                <w:szCs w:val="18"/>
              </w:rPr>
            </w:pPr>
            <w:r w:rsidRPr="00660186">
              <w:rPr>
                <w:rFonts w:asciiTheme="minorHAnsi" w:hAnsiTheme="minorHAnsi" w:cstheme="minorHAnsi"/>
                <w:color w:val="000000"/>
                <w:sz w:val="18"/>
                <w:szCs w:val="18"/>
              </w:rPr>
              <w:t xml:space="preserve">The PBAC recommended that the listing of elexacaftor/tezacaftor/ivacaftor (ELX/TEZ/IVA) for the treatment of CF be extended to include patients who have at least one mutation in the </w:t>
            </w:r>
            <w:r w:rsidRPr="00B461B0">
              <w:rPr>
                <w:rFonts w:asciiTheme="minorHAnsi" w:hAnsiTheme="minorHAnsi" w:cstheme="minorHAnsi"/>
                <w:i/>
                <w:color w:val="000000"/>
                <w:sz w:val="18"/>
                <w:szCs w:val="18"/>
              </w:rPr>
              <w:t>CFTR</w:t>
            </w:r>
            <w:r w:rsidRPr="00660186">
              <w:rPr>
                <w:rFonts w:asciiTheme="minorHAnsi" w:hAnsiTheme="minorHAnsi" w:cstheme="minorHAnsi"/>
                <w:color w:val="000000"/>
                <w:sz w:val="18"/>
                <w:szCs w:val="18"/>
              </w:rPr>
              <w:t xml:space="preserve"> gene that is responsive to ELX/TEZ/IVA based on clinical and/or </w:t>
            </w:r>
            <w:r w:rsidRPr="00660186">
              <w:rPr>
                <w:rFonts w:asciiTheme="minorHAnsi" w:hAnsiTheme="minorHAnsi" w:cstheme="minorHAnsi"/>
                <w:i/>
                <w:iCs/>
                <w:color w:val="000000"/>
                <w:sz w:val="18"/>
                <w:szCs w:val="18"/>
              </w:rPr>
              <w:t>in vitro</w:t>
            </w:r>
            <w:r w:rsidRPr="00660186">
              <w:rPr>
                <w:rFonts w:asciiTheme="minorHAnsi" w:hAnsiTheme="minorHAnsi" w:cstheme="minorHAnsi"/>
                <w:color w:val="000000"/>
                <w:sz w:val="18"/>
                <w:szCs w:val="18"/>
              </w:rPr>
              <w:t xml:space="preserve"> assay data. </w:t>
            </w:r>
            <w:r w:rsidRPr="00660186">
              <w:rPr>
                <w:rFonts w:asciiTheme="minorHAnsi" w:hAnsiTheme="minorHAnsi" w:cstheme="minorHAnsi"/>
                <w:bCs/>
                <w:color w:val="000000"/>
                <w:sz w:val="18"/>
                <w:szCs w:val="18"/>
              </w:rPr>
              <w:t>The PBAC welcomed the input from individuals and organisations and noted they strongly supported the proposed extension of the listing</w:t>
            </w:r>
            <w:r w:rsidRPr="00660186">
              <w:rPr>
                <w:rFonts w:asciiTheme="minorHAnsi" w:hAnsiTheme="minorHAnsi" w:cstheme="minorHAnsi"/>
                <w:color w:val="000000"/>
                <w:sz w:val="18"/>
                <w:szCs w:val="18"/>
              </w:rPr>
              <w:t xml:space="preserve">. The PBAC noted the clinical benefit was uncertain but it was reasonable for ELX/TEZ/IVA to be available for this population, some of whom do not currently have access to </w:t>
            </w:r>
            <w:r w:rsidRPr="00B461B0">
              <w:rPr>
                <w:rFonts w:asciiTheme="minorHAnsi" w:hAnsiTheme="minorHAnsi" w:cstheme="minorHAnsi"/>
                <w:i/>
                <w:color w:val="000000"/>
                <w:sz w:val="18"/>
                <w:szCs w:val="18"/>
              </w:rPr>
              <w:t>CFTR</w:t>
            </w:r>
            <w:r w:rsidRPr="00660186">
              <w:rPr>
                <w:rFonts w:asciiTheme="minorHAnsi" w:hAnsiTheme="minorHAnsi" w:cstheme="minorHAnsi"/>
                <w:color w:val="000000"/>
                <w:sz w:val="18"/>
                <w:szCs w:val="18"/>
              </w:rPr>
              <w:t xml:space="preserve"> modulators. The PBAC considered ELX/TEZ/IVA was likely to be cost-effective for this population at the current PBS price, noting that this population should be included in the current risk sharing arrangement for </w:t>
            </w:r>
            <w:r w:rsidRPr="00B461B0">
              <w:rPr>
                <w:rFonts w:asciiTheme="minorHAnsi" w:hAnsiTheme="minorHAnsi" w:cstheme="minorHAnsi"/>
                <w:i/>
                <w:color w:val="000000"/>
                <w:sz w:val="18"/>
                <w:szCs w:val="18"/>
              </w:rPr>
              <w:t>CFTR</w:t>
            </w:r>
            <w:r w:rsidRPr="00660186">
              <w:rPr>
                <w:rFonts w:asciiTheme="minorHAnsi" w:hAnsiTheme="minorHAnsi" w:cstheme="minorHAnsi"/>
                <w:color w:val="000000"/>
                <w:sz w:val="18"/>
                <w:szCs w:val="18"/>
              </w:rPr>
              <w:t xml:space="preserve"> modulators with no increase in expenditure caps.</w:t>
            </w:r>
          </w:p>
        </w:tc>
      </w:tr>
      <w:tr w:rsidR="008725E5" w:rsidRPr="008059F4" w:rsidDel="008F66B5" w14:paraId="73275407" w14:textId="1786EBF0" w:rsidTr="00B272AA">
        <w:trPr>
          <w:cantSplit/>
          <w:trHeight w:val="646"/>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1DC8EA" w14:textId="670BF4A2" w:rsidR="007A5F96" w:rsidRPr="003C5564" w:rsidRDefault="008725E5" w:rsidP="007A5F96">
            <w:pPr>
              <w:jc w:val="center"/>
              <w:rPr>
                <w:rFonts w:ascii="Calibri" w:hAnsi="Calibri" w:cs="Calibri"/>
                <w:color w:val="000000"/>
                <w:sz w:val="18"/>
                <w:szCs w:val="18"/>
              </w:rPr>
            </w:pPr>
            <w:bookmarkStart w:id="4" w:name="_Hlk187827727"/>
            <w:r w:rsidRPr="000510F0">
              <w:rPr>
                <w:rFonts w:asciiTheme="minorHAnsi" w:eastAsia="Calibri" w:hAnsiTheme="minorHAnsi" w:cstheme="minorHAnsi"/>
                <w:color w:val="000000" w:themeColor="text1"/>
                <w:sz w:val="18"/>
                <w:szCs w:val="18"/>
              </w:rPr>
              <w:lastRenderedPageBreak/>
              <w:t>ELRANATAMAB</w:t>
            </w:r>
            <w:bookmarkEnd w:id="4"/>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44</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1.1</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(40</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 per</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 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76</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1.9</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(40</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per 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Elrexfio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PFIZER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7A5F96" w:rsidRPr="003C5564">
              <w:rPr>
                <w:rFonts w:ascii="Calibri" w:hAnsi="Calibri" w:cs="Calibri"/>
                <w:color w:val="000000"/>
                <w:sz w:val="18"/>
                <w:szCs w:val="18"/>
              </w:rPr>
              <w:t>Standard re-entry</w:t>
            </w:r>
          </w:p>
          <w:p w14:paraId="045E50CA" w14:textId="0CB17E78"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EC05E95" w14:textId="6996BCAD"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Relapsed or refractory multiple myeloma (RRMM)</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0BC25D" w14:textId="56D12558"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Resubmission to request a Section 100 (Efficient Funding of Chemotherapy Program) Authority Required (Telephone/Online) listing for the treatment of RRMM in patients who have received at least three prior lines of therapy.</w:t>
            </w:r>
          </w:p>
        </w:tc>
        <w:tc>
          <w:tcPr>
            <w:tcW w:w="1584" w:type="dxa"/>
            <w:shd w:val="clear" w:color="auto" w:fill="auto"/>
            <w:vAlign w:val="center"/>
          </w:tcPr>
          <w:p w14:paraId="26829FC0" w14:textId="02C3F7F8" w:rsidR="008725E5" w:rsidRPr="00F03408" w:rsidDel="008F66B5" w:rsidRDefault="009D1E86"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052883FD" w14:textId="3B766A5D" w:rsidR="00BA6F67" w:rsidRPr="00BA6F67" w:rsidRDefault="00BA6F67" w:rsidP="00BA6F67">
            <w:pPr>
              <w:jc w:val="both"/>
              <w:rPr>
                <w:rFonts w:asciiTheme="minorHAnsi" w:hAnsiTheme="minorHAnsi" w:cstheme="minorBidi"/>
                <w:sz w:val="18"/>
                <w:szCs w:val="18"/>
              </w:rPr>
            </w:pPr>
            <w:r w:rsidRPr="00BA6F67">
              <w:rPr>
                <w:rFonts w:asciiTheme="minorHAnsi" w:hAnsiTheme="minorHAnsi" w:cstheme="minorBidi"/>
                <w:sz w:val="18"/>
                <w:szCs w:val="18"/>
              </w:rPr>
              <w:t>The PBAC</w:t>
            </w:r>
            <w:r w:rsidRPr="00BA6F67">
              <w:rPr>
                <w:rFonts w:asciiTheme="minorHAnsi" w:hAnsiTheme="minorHAnsi" w:cstheme="minorBidi"/>
                <w:b/>
                <w:bCs/>
                <w:sz w:val="18"/>
                <w:szCs w:val="18"/>
              </w:rPr>
              <w:t xml:space="preserve"> </w:t>
            </w:r>
            <w:r w:rsidRPr="00BA6F67">
              <w:rPr>
                <w:rFonts w:asciiTheme="minorHAnsi" w:hAnsiTheme="minorHAnsi" w:cstheme="minorBidi"/>
                <w:sz w:val="18"/>
                <w:szCs w:val="18"/>
              </w:rPr>
              <w:t>recommended elranatamab for the treatment of patients with RRMM who have received at least three prior lines of therapy. The PBAC welcomed input from individuals and organisations and noted that they highlighted the need for new, effective, and well tolerated therapies for patients with RRMM. The PBAC also noted the input supported use of elranatamab in the fourth line of therapy and advised that elranatamab could provide an alternative to CAR-T therapies. The clinical evidence presented in the submission had several limitations that created uncertainty about the extent to which elranatamab improved overall survival compared to standard of care. The PBAC considered that elranatamab was superior in terms of efficacy compared to standard of care, represented by carfilzomib plus dexamethasone, pomalidomide plus dexamethasone and selinexor plus dexamethasone, but inferior in terms of safety. The PBAC considered that the revised economic model was reliable for decision making and noted that elranatamab would be cost</w:t>
            </w:r>
            <w:r w:rsidR="00D4614C">
              <w:rPr>
                <w:rFonts w:asciiTheme="minorHAnsi" w:hAnsiTheme="minorHAnsi" w:cstheme="minorBidi"/>
                <w:sz w:val="18"/>
                <w:szCs w:val="18"/>
              </w:rPr>
              <w:t>-</w:t>
            </w:r>
            <w:r w:rsidRPr="00BA6F67">
              <w:rPr>
                <w:rFonts w:asciiTheme="minorHAnsi" w:hAnsiTheme="minorHAnsi" w:cstheme="minorBidi"/>
                <w:sz w:val="18"/>
                <w:szCs w:val="18"/>
              </w:rPr>
              <w:t>effective with a price reduction. The PBAC considered that the estimated utilisation of elranatamab was uncertain and considered that a risk-sharing arrangement would be required.</w:t>
            </w:r>
          </w:p>
          <w:p w14:paraId="7E5C3701" w14:textId="77777777" w:rsidR="00BA6F67" w:rsidRPr="00BA6F67" w:rsidRDefault="00BA6F67" w:rsidP="00BA6F67">
            <w:pPr>
              <w:jc w:val="both"/>
              <w:rPr>
                <w:rFonts w:asciiTheme="minorHAnsi" w:hAnsiTheme="minorHAnsi" w:cstheme="minorBidi"/>
                <w:sz w:val="18"/>
                <w:szCs w:val="18"/>
              </w:rPr>
            </w:pPr>
          </w:p>
          <w:p w14:paraId="7C375E3D" w14:textId="13A5EEEE" w:rsidR="008725E5" w:rsidRPr="00F03408" w:rsidDel="008F66B5" w:rsidRDefault="00BA6F67" w:rsidP="008725E5">
            <w:pPr>
              <w:jc w:val="both"/>
              <w:rPr>
                <w:rFonts w:asciiTheme="minorHAnsi" w:hAnsiTheme="minorHAnsi" w:cstheme="minorBidi"/>
                <w:sz w:val="18"/>
                <w:szCs w:val="18"/>
              </w:rPr>
            </w:pPr>
            <w:r w:rsidRPr="00BA6F67">
              <w:rPr>
                <w:rFonts w:asciiTheme="minorHAnsi" w:hAnsiTheme="minorHAnsi" w:cstheme="minorBidi"/>
                <w:sz w:val="18"/>
                <w:szCs w:val="18"/>
                <w:lang w:val="en-GB"/>
              </w:rPr>
              <w:t xml:space="preserve">The PBAC noted the large number of treatments listed on the PBS for the treatment of multiple myeloma. The PBAC recommended that the Department undertake a utilisation analysis to understand the treatment pathways and duration of treatment for PBS-listed therapies for multiple myeloma. </w:t>
            </w:r>
          </w:p>
        </w:tc>
      </w:tr>
      <w:tr w:rsidR="008725E5" w:rsidRPr="008059F4" w:rsidDel="008F66B5" w14:paraId="52D48790" w14:textId="14461D5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4F8B34A" w14:textId="42CAD8E3" w:rsidR="000C11B0" w:rsidRDefault="008725E5" w:rsidP="008725E5">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ESTETROL WITH DROSPIRENONE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Pack containing 24</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 estetrol 14.2</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with drospirenone 3</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and 4</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 inert</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tablets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Nextstellis</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MAYNE PHARMA INTERNATIONAL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0C11B0">
              <w:rPr>
                <w:rFonts w:asciiTheme="minorHAnsi" w:eastAsia="Calibri" w:hAnsiTheme="minorHAnsi" w:cstheme="minorHAnsi"/>
                <w:color w:val="000000" w:themeColor="text1"/>
                <w:sz w:val="18"/>
                <w:szCs w:val="18"/>
              </w:rPr>
              <w:t>Category 2</w:t>
            </w:r>
          </w:p>
          <w:p w14:paraId="3B1FA4D2" w14:textId="6D58065B"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DEF4CA5" w14:textId="7E9527D5"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Contraception</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24633B" w14:textId="3B261B87"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unrestricted listing.</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4BFC3B" w14:textId="63359889" w:rsidR="008725E5" w:rsidRPr="00F03408" w:rsidDel="008F66B5" w:rsidRDefault="00EC40EB"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621821C6" w14:textId="66C19D24" w:rsidR="008725E5" w:rsidRPr="00F03408" w:rsidDel="008F66B5" w:rsidRDefault="00782D28" w:rsidP="008725E5">
            <w:pPr>
              <w:jc w:val="both"/>
              <w:rPr>
                <w:rFonts w:asciiTheme="minorHAnsi" w:hAnsiTheme="minorHAnsi" w:cstheme="minorHAnsi"/>
                <w:sz w:val="18"/>
                <w:szCs w:val="18"/>
              </w:rPr>
            </w:pPr>
            <w:r w:rsidRPr="00782D28">
              <w:rPr>
                <w:rFonts w:asciiTheme="minorHAnsi" w:hAnsiTheme="minorHAnsi" w:cstheme="minorHAnsi"/>
                <w:sz w:val="18"/>
                <w:szCs w:val="18"/>
                <w:lang w:val="en-GB"/>
              </w:rPr>
              <w:t>The PBAC recommended listing estetrol with drospirenone (E4/DRSP) (Nextstellis</w:t>
            </w:r>
            <w:r w:rsidR="00857BC1">
              <w:rPr>
                <w:rFonts w:asciiTheme="minorHAnsi" w:hAnsiTheme="minorHAnsi" w:cstheme="minorHAnsi"/>
                <w:sz w:val="18"/>
                <w:szCs w:val="18"/>
                <w:lang w:val="en-GB"/>
              </w:rPr>
              <w:t>®</w:t>
            </w:r>
            <w:r w:rsidRPr="00782D28">
              <w:rPr>
                <w:rFonts w:asciiTheme="minorHAnsi" w:hAnsiTheme="minorHAnsi" w:cstheme="minorHAnsi"/>
                <w:sz w:val="18"/>
                <w:szCs w:val="18"/>
                <w:lang w:val="en-GB"/>
              </w:rPr>
              <w:t xml:space="preserve">) on the PBS as an Unrestricted Benefit. The PBAC recalled comments from the oral contraceptives stakeholder meeting convened in October 2024 stating that it was important to have a range of hormonal contraceptive options available on the PBS as choice of therapy can be highly individualised. The PBAC also noted consumer comments that stated it was important that more affordable contraceptive options are available for women. The PBAC did not consider the evidence supported the claim that E4/DRSP is superior to PBS-listed contraceptives in terms of longer-term safety risks such as venous thromboembolism and the risk of myocardial infarction and stroke. The PBAC considered that E4/DRSP provides an additional combined oral contraceptive (COC) option for individuals, and has non-inferior contraceptive efficacy compared to other COCs listed. The PBAC advised the equi-effective doses are 28-day cycle of E4/DRSP </w:t>
            </w:r>
            <w:r w:rsidRPr="00782D28">
              <w:rPr>
                <w:rFonts w:asciiTheme="minorHAnsi" w:hAnsiTheme="minorHAnsi" w:cstheme="minorHAnsi"/>
                <w:sz w:val="18"/>
                <w:szCs w:val="18"/>
              </w:rPr>
              <w:t>≡ 28-day cycle of ethinylestradiol 20 microgram/drospirenone 3 mg / 28-day cycle of ethinylestradiol 30 microgram/drospirenone 3 mg.</w:t>
            </w:r>
          </w:p>
        </w:tc>
      </w:tr>
      <w:tr w:rsidR="008725E5" w:rsidRPr="008059F4" w:rsidDel="008F66B5" w14:paraId="211AD65F" w14:textId="353CA9BC"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A3798EB" w14:textId="4CF3C74E" w:rsidR="00CC7ADD" w:rsidRDefault="008725E5" w:rsidP="00CC7ADD">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FARICIMAB</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intravitreal injection 21</w:t>
            </w:r>
            <w:r w:rsidR="006E60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0.175</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(120</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B84B8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Vabysmo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ROCHE PRODUCTS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CC7ADD">
              <w:rPr>
                <w:rFonts w:asciiTheme="minorHAnsi" w:eastAsia="Calibri" w:hAnsiTheme="minorHAnsi" w:cstheme="minorHAnsi"/>
                <w:color w:val="000000" w:themeColor="text1"/>
                <w:sz w:val="18"/>
                <w:szCs w:val="18"/>
              </w:rPr>
              <w:t>Category 4</w:t>
            </w:r>
          </w:p>
          <w:p w14:paraId="3243B570" w14:textId="51F2495C"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212F18C" w14:textId="15BD7585"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Macular oedema secondary to retinal vein occlusion (RVO)</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073EECE" w14:textId="20522BC9"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sz w:val="18"/>
                <w:szCs w:val="18"/>
              </w:rPr>
              <w:t xml:space="preserve">To request a General Schedule Authority Required (Written) listing for the initial treatment and an Authority Required (STREAMLINED) listing for the continuing treatment of </w:t>
            </w:r>
            <w:r w:rsidRPr="000510F0">
              <w:rPr>
                <w:rFonts w:asciiTheme="minorHAnsi" w:hAnsiTheme="minorHAnsi" w:cstheme="minorHAnsi"/>
                <w:sz w:val="18"/>
                <w:szCs w:val="18"/>
              </w:rPr>
              <w:t xml:space="preserve">a new form for </w:t>
            </w:r>
            <w:r w:rsidRPr="000510F0">
              <w:rPr>
                <w:rFonts w:asciiTheme="minorHAnsi" w:eastAsia="Calibri" w:hAnsiTheme="minorHAnsi" w:cstheme="minorHAnsi"/>
                <w:sz w:val="18"/>
                <w:szCs w:val="18"/>
              </w:rPr>
              <w:t>macular oedema secondary to RVO</w:t>
            </w:r>
            <w:r w:rsidRPr="000510F0">
              <w:rPr>
                <w:rFonts w:asciiTheme="minorHAnsi" w:hAnsiTheme="minorHAnsi" w:cstheme="minorHAnsi"/>
                <w:sz w:val="18"/>
                <w:szCs w:val="18"/>
              </w:rPr>
              <w:t>.</w:t>
            </w:r>
          </w:p>
        </w:tc>
        <w:tc>
          <w:tcPr>
            <w:tcW w:w="1584" w:type="dxa"/>
            <w:shd w:val="clear" w:color="auto" w:fill="auto"/>
            <w:vAlign w:val="center"/>
          </w:tcPr>
          <w:p w14:paraId="2BD28AB2" w14:textId="65B901A8" w:rsidR="008725E5" w:rsidRPr="00F03408" w:rsidDel="008F66B5" w:rsidRDefault="0026709A"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883913A" w14:textId="08C0567D" w:rsidR="006E60E1" w:rsidRDefault="006E60E1" w:rsidP="006E60E1">
            <w:pPr>
              <w:jc w:val="both"/>
              <w:rPr>
                <w:rFonts w:asciiTheme="minorHAnsi" w:hAnsiTheme="minorHAnsi" w:cstheme="minorBidi"/>
                <w:sz w:val="18"/>
                <w:szCs w:val="18"/>
              </w:rPr>
            </w:pPr>
            <w:r w:rsidRPr="006E60E1">
              <w:rPr>
                <w:rFonts w:asciiTheme="minorHAnsi" w:hAnsiTheme="minorHAnsi" w:cstheme="minorBidi"/>
                <w:sz w:val="18"/>
                <w:szCs w:val="18"/>
              </w:rPr>
              <w:t>The PBAC recommended the General Schedule Authority Required (Written/online PBS authorities system) listing for the initial treatment and an Authority Required (STREAMLINED) listing for the continuing treatment of faricimab 21</w:t>
            </w:r>
            <w:r w:rsidR="00857BC1">
              <w:rPr>
                <w:rFonts w:asciiTheme="minorHAnsi" w:hAnsiTheme="minorHAnsi" w:cstheme="minorBidi"/>
                <w:sz w:val="18"/>
                <w:szCs w:val="18"/>
              </w:rPr>
              <w:t> </w:t>
            </w:r>
            <w:r w:rsidRPr="006E60E1">
              <w:rPr>
                <w:rFonts w:asciiTheme="minorHAnsi" w:hAnsiTheme="minorHAnsi" w:cstheme="minorBidi"/>
                <w:sz w:val="18"/>
                <w:szCs w:val="18"/>
              </w:rPr>
              <w:t>mg in 0.175</w:t>
            </w:r>
            <w:r>
              <w:rPr>
                <w:rFonts w:asciiTheme="minorHAnsi" w:hAnsiTheme="minorHAnsi" w:cstheme="minorBidi"/>
                <w:sz w:val="18"/>
                <w:szCs w:val="18"/>
              </w:rPr>
              <w:t> </w:t>
            </w:r>
            <w:r w:rsidRPr="006E60E1">
              <w:rPr>
                <w:rFonts w:asciiTheme="minorHAnsi" w:hAnsiTheme="minorHAnsi" w:cstheme="minorBidi"/>
                <w:sz w:val="18"/>
                <w:szCs w:val="18"/>
              </w:rPr>
              <w:t xml:space="preserve">mL pre-filled syringe (PFS) for the treatment of macular oedema secondary to RVO. The PBAC’s recommendation for listing was based on, among other matters, its assessment that the cost-effectiveness of faricimab PFS would be acceptable if it were cost-minimised to the lowest cost PBS-listed anti-vascular endothelial growth factor) treatment for the same indication. </w:t>
            </w:r>
          </w:p>
          <w:p w14:paraId="416F745B" w14:textId="77777777" w:rsidR="006E60E1" w:rsidRPr="006E60E1" w:rsidRDefault="006E60E1" w:rsidP="006E60E1">
            <w:pPr>
              <w:jc w:val="both"/>
              <w:rPr>
                <w:rFonts w:asciiTheme="minorHAnsi" w:hAnsiTheme="minorHAnsi" w:cstheme="minorBidi"/>
                <w:sz w:val="18"/>
                <w:szCs w:val="18"/>
              </w:rPr>
            </w:pPr>
          </w:p>
          <w:p w14:paraId="471F916D" w14:textId="6AFDA7E2" w:rsidR="008725E5" w:rsidRPr="00F03408" w:rsidDel="008F66B5" w:rsidRDefault="006E60E1" w:rsidP="008725E5">
            <w:pPr>
              <w:jc w:val="both"/>
              <w:rPr>
                <w:rFonts w:asciiTheme="minorHAnsi" w:hAnsiTheme="minorHAnsi" w:cstheme="minorBidi"/>
                <w:sz w:val="18"/>
                <w:szCs w:val="18"/>
              </w:rPr>
            </w:pPr>
            <w:r w:rsidRPr="006E60E1">
              <w:rPr>
                <w:rFonts w:asciiTheme="minorHAnsi" w:hAnsiTheme="minorHAnsi" w:cstheme="minorBidi"/>
                <w:sz w:val="18"/>
                <w:szCs w:val="18"/>
              </w:rPr>
              <w:t>The PBAC advised that faricimab 28.8</w:t>
            </w:r>
            <w:r w:rsidR="00B84B85">
              <w:rPr>
                <w:rFonts w:asciiTheme="minorHAnsi" w:hAnsiTheme="minorHAnsi" w:cstheme="minorBidi"/>
                <w:sz w:val="18"/>
                <w:szCs w:val="18"/>
              </w:rPr>
              <w:t> </w:t>
            </w:r>
            <w:r w:rsidRPr="006E60E1">
              <w:rPr>
                <w:rFonts w:asciiTheme="minorHAnsi" w:hAnsiTheme="minorHAnsi" w:cstheme="minorBidi"/>
                <w:sz w:val="18"/>
                <w:szCs w:val="18"/>
              </w:rPr>
              <w:t>mg in 0.24</w:t>
            </w:r>
            <w:r w:rsidR="007B477A">
              <w:rPr>
                <w:rFonts w:asciiTheme="minorHAnsi" w:hAnsiTheme="minorHAnsi" w:cstheme="minorBidi"/>
                <w:sz w:val="18"/>
                <w:szCs w:val="18"/>
              </w:rPr>
              <w:t> </w:t>
            </w:r>
            <w:r w:rsidRPr="006E60E1">
              <w:rPr>
                <w:rFonts w:asciiTheme="minorHAnsi" w:hAnsiTheme="minorHAnsi" w:cstheme="minorBidi"/>
                <w:sz w:val="18"/>
                <w:szCs w:val="18"/>
              </w:rPr>
              <w:t>mL vial and faricimab 24.0</w:t>
            </w:r>
            <w:r w:rsidR="007B477A">
              <w:rPr>
                <w:rFonts w:asciiTheme="minorHAnsi" w:hAnsiTheme="minorHAnsi" w:cstheme="minorBidi"/>
                <w:sz w:val="18"/>
                <w:szCs w:val="18"/>
              </w:rPr>
              <w:t> </w:t>
            </w:r>
            <w:r w:rsidRPr="006E60E1">
              <w:rPr>
                <w:rFonts w:asciiTheme="minorHAnsi" w:hAnsiTheme="minorHAnsi" w:cstheme="minorBidi"/>
                <w:sz w:val="18"/>
                <w:szCs w:val="18"/>
              </w:rPr>
              <w:t>mg in 0.2</w:t>
            </w:r>
            <w:r w:rsidR="007B477A">
              <w:rPr>
                <w:rFonts w:asciiTheme="minorHAnsi" w:hAnsiTheme="minorHAnsi" w:cstheme="minorBidi"/>
                <w:sz w:val="18"/>
                <w:szCs w:val="18"/>
              </w:rPr>
              <w:t> </w:t>
            </w:r>
            <w:r w:rsidRPr="006E60E1">
              <w:rPr>
                <w:rFonts w:asciiTheme="minorHAnsi" w:hAnsiTheme="minorHAnsi" w:cstheme="minorBidi"/>
                <w:sz w:val="18"/>
                <w:szCs w:val="18"/>
              </w:rPr>
              <w:t>mL PFS should be considered equivalent for the purposes of substitution (i.e., ‘a’ flagged in the Schedule). The PBAC considered that listing the new form of faricimab would not result in additional cost to the Government.</w:t>
            </w:r>
          </w:p>
        </w:tc>
      </w:tr>
      <w:tr w:rsidR="008725E5" w:rsidRPr="008059F4" w:rsidDel="008F66B5" w14:paraId="741E255E" w14:textId="45025390" w:rsidTr="00B272AA">
        <w:trPr>
          <w:trHeight w:val="680"/>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0F941F" w14:textId="788391B8" w:rsidR="005D5A3A" w:rsidRDefault="008725E5" w:rsidP="005D5A3A">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FEZOLINETANT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45</w:t>
            </w:r>
            <w:r w:rsidR="007B477A">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Veoza</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ASTELLAS PHARMA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5D5A3A">
              <w:rPr>
                <w:rFonts w:asciiTheme="minorHAnsi" w:eastAsia="Calibri" w:hAnsiTheme="minorHAnsi" w:cstheme="minorHAnsi"/>
                <w:color w:val="000000" w:themeColor="text1"/>
                <w:sz w:val="18"/>
                <w:szCs w:val="18"/>
              </w:rPr>
              <w:t>Category 1</w:t>
            </w:r>
          </w:p>
          <w:p w14:paraId="6347F61B" w14:textId="27B23A43" w:rsidR="008725E5" w:rsidRPr="000510F0" w:rsidRDefault="008725E5" w:rsidP="008725E5">
            <w:pPr>
              <w:jc w:val="center"/>
              <w:rPr>
                <w:rFonts w:asciiTheme="minorHAnsi" w:eastAsia="Arial"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CC1C477" w14:textId="77786023"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Moderate to severe menopause-related vasomotor symptoms (VMS)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D0D3E7" w14:textId="600D19E5"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 General Schedule Authority Required (STREAMLINED) listing for the treatment of moderate to severe menopause-related VMS.</w:t>
            </w:r>
          </w:p>
        </w:tc>
        <w:tc>
          <w:tcPr>
            <w:tcW w:w="1584" w:type="dxa"/>
            <w:shd w:val="clear" w:color="auto" w:fill="auto"/>
            <w:vAlign w:val="center"/>
          </w:tcPr>
          <w:p w14:paraId="0244BE95" w14:textId="26822090" w:rsidR="008725E5" w:rsidRPr="00F03408" w:rsidDel="008F66B5" w:rsidRDefault="00006E1B"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w:t>
            </w:r>
            <w:r w:rsidR="007C33A0">
              <w:rPr>
                <w:rFonts w:asciiTheme="minorHAnsi" w:hAnsiTheme="minorHAnsi" w:cstheme="minorHAnsi"/>
                <w:color w:val="000000"/>
                <w:sz w:val="18"/>
                <w:szCs w:val="18"/>
              </w:rPr>
              <w:t>ot Recommended</w:t>
            </w:r>
          </w:p>
        </w:tc>
        <w:tc>
          <w:tcPr>
            <w:tcW w:w="4876" w:type="dxa"/>
            <w:shd w:val="clear" w:color="auto" w:fill="auto"/>
            <w:vAlign w:val="center"/>
          </w:tcPr>
          <w:p w14:paraId="41F63584" w14:textId="6504AFFD" w:rsidR="006366F8" w:rsidRPr="006366F8" w:rsidRDefault="006366F8" w:rsidP="00A86F07">
            <w:pPr>
              <w:keepLines/>
              <w:ind w:left="11"/>
              <w:contextualSpacing/>
              <w:jc w:val="both"/>
              <w:rPr>
                <w:rFonts w:asciiTheme="minorHAnsi" w:eastAsiaTheme="minorHAnsi" w:hAnsiTheme="minorHAnsi" w:cstheme="minorHAnsi"/>
                <w:sz w:val="18"/>
                <w:szCs w:val="18"/>
              </w:rPr>
            </w:pPr>
            <w:r w:rsidRPr="006366F8">
              <w:rPr>
                <w:rFonts w:asciiTheme="minorHAnsi" w:eastAsiaTheme="minorHAnsi" w:hAnsiTheme="minorHAnsi" w:cstheme="minorHAnsi"/>
                <w:sz w:val="18"/>
                <w:szCs w:val="18"/>
              </w:rPr>
              <w:t>The PBAC did not recommend fezolinetant for the treatment of moderate to severe menopause-related VMS</w:t>
            </w:r>
            <w:r w:rsidR="00C15028">
              <w:t xml:space="preserve"> </w:t>
            </w:r>
            <w:r w:rsidR="00C15028" w:rsidRPr="00C15028">
              <w:rPr>
                <w:rFonts w:asciiTheme="minorHAnsi" w:eastAsiaTheme="minorHAnsi" w:hAnsiTheme="minorHAnsi" w:cstheme="minorHAnsi"/>
                <w:sz w:val="18"/>
                <w:szCs w:val="18"/>
              </w:rPr>
              <w:t>for patients unsuitable for menopausal hormone therapy (MHT)</w:t>
            </w:r>
            <w:r w:rsidRPr="006366F8">
              <w:rPr>
                <w:rFonts w:asciiTheme="minorHAnsi" w:eastAsiaTheme="minorHAnsi" w:hAnsiTheme="minorHAnsi" w:cstheme="minorHAnsi"/>
                <w:sz w:val="18"/>
                <w:szCs w:val="18"/>
              </w:rPr>
              <w:t xml:space="preserve">. The PBAC considered that there is a clinical need for non-hormonal treatments for VMS associated with menopause, and potentially perimenopause, in a small proportion of patients contraindicated to MHT. The PBAC considered that the clinical place for fezolinetant was not well-defined in the submission and the proposed population eligible for fezolinetant was broader than is clinically appropriate, including patients who could be treated with MHT. The PBAC noted that MHT, which is less costly than fezolinetant, is the most effective and current mainstay treatment for VMS and other symptoms associated with menopause. The PBAC noted the increasing safety concern of drug induced liver disease with the use of fezolinetant since TGA approval in May 2024. The PBAC noted that the testing, care and risks for these had not been adequately considered in the submission. The PBAC also noted a number of viable (off-label) non-hormonal treatments for patients contraindicated to MHT, that reduce menopause-related VMS, are available and in clinical use, but were not considered by the submission. </w:t>
            </w:r>
          </w:p>
          <w:p w14:paraId="665E65AA" w14:textId="77777777" w:rsidR="003D7BFD" w:rsidRDefault="003D7BFD" w:rsidP="003D7BFD">
            <w:pPr>
              <w:ind w:left="11"/>
              <w:contextualSpacing/>
              <w:jc w:val="both"/>
              <w:rPr>
                <w:rFonts w:asciiTheme="minorHAnsi" w:eastAsiaTheme="minorHAnsi" w:hAnsiTheme="minorHAnsi" w:cstheme="minorHAnsi"/>
                <w:sz w:val="18"/>
                <w:szCs w:val="18"/>
              </w:rPr>
            </w:pPr>
          </w:p>
          <w:p w14:paraId="4E6F0F16" w14:textId="2944B43C" w:rsidR="003D7BFD" w:rsidRDefault="003D7BFD" w:rsidP="003D7BFD">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69D714E1" w14:textId="77777777" w:rsidR="00A566CF" w:rsidRDefault="00A566CF" w:rsidP="00A86F07">
            <w:pPr>
              <w:jc w:val="both"/>
              <w:rPr>
                <w:rFonts w:asciiTheme="minorHAnsi" w:hAnsiTheme="minorHAnsi" w:cstheme="minorHAnsi"/>
                <w:sz w:val="18"/>
                <w:szCs w:val="18"/>
                <w:lang w:val="en-GB"/>
              </w:rPr>
            </w:pPr>
            <w:r w:rsidRPr="00A566CF">
              <w:rPr>
                <w:rFonts w:asciiTheme="minorHAnsi" w:hAnsiTheme="minorHAnsi" w:cstheme="minorHAnsi"/>
                <w:sz w:val="18"/>
                <w:szCs w:val="18"/>
                <w:lang w:val="en-GB"/>
              </w:rPr>
              <w:t>Astellas is surprised and disappointed that the PBAC did not recommend fezolinetant for treating moderate to severe menopause-related vasomotor symptoms (VMS) in patients unsuitable for menopausal hormone therapy (MHT), thus leaving an unmet clinical need in this population who cannot be treated with MHT.</w:t>
            </w:r>
          </w:p>
          <w:p w14:paraId="2A5AEA03" w14:textId="77777777" w:rsidR="00A86F07" w:rsidRDefault="00A86F07" w:rsidP="00A86F07">
            <w:pPr>
              <w:jc w:val="both"/>
              <w:rPr>
                <w:rFonts w:asciiTheme="minorHAnsi" w:hAnsiTheme="minorHAnsi" w:cstheme="minorHAnsi"/>
                <w:sz w:val="18"/>
                <w:szCs w:val="18"/>
                <w:lang w:val="en-GB"/>
              </w:rPr>
            </w:pPr>
          </w:p>
          <w:p w14:paraId="5BC4B0E9" w14:textId="4F82E4F4" w:rsidR="00A86F07" w:rsidRDefault="00A86F07" w:rsidP="00A86F07">
            <w:pPr>
              <w:jc w:val="both"/>
              <w:rPr>
                <w:rFonts w:asciiTheme="minorHAnsi" w:hAnsiTheme="minorHAnsi" w:cstheme="minorHAnsi"/>
                <w:sz w:val="18"/>
                <w:szCs w:val="18"/>
                <w:lang w:val="en-GB"/>
              </w:rPr>
            </w:pPr>
            <w:r w:rsidRPr="00A86F07">
              <w:rPr>
                <w:rFonts w:asciiTheme="minorHAnsi" w:hAnsiTheme="minorHAnsi" w:cstheme="minorHAnsi"/>
                <w:sz w:val="18"/>
                <w:szCs w:val="18"/>
                <w:lang w:val="en-GB"/>
              </w:rPr>
              <w:t>Astellas acknowledges that MHT is the current mainstay treatment for VMS and other menopause-related symptoms, but it cannot be the mainstay for women unsuitable for MHT. Astellas will be evaluating the applicability of evaluating off-label non-hormonal treatments for the treatment moderate to severe menopause-related VMS for patients unsuitable for menopausal hormone therapy (MHT).</w:t>
            </w:r>
          </w:p>
          <w:p w14:paraId="7550E5C4" w14:textId="77777777" w:rsidR="00A566CF" w:rsidRDefault="00A566CF" w:rsidP="00A86F07">
            <w:pPr>
              <w:jc w:val="both"/>
              <w:rPr>
                <w:rFonts w:asciiTheme="minorHAnsi" w:hAnsiTheme="minorHAnsi" w:cstheme="minorHAnsi"/>
                <w:sz w:val="18"/>
                <w:szCs w:val="18"/>
                <w:lang w:val="en-GB"/>
              </w:rPr>
            </w:pPr>
          </w:p>
          <w:p w14:paraId="22500D62" w14:textId="2343A656" w:rsidR="008725E5" w:rsidRPr="00F03408" w:rsidDel="008F66B5" w:rsidRDefault="00A566CF" w:rsidP="00A86F07">
            <w:pPr>
              <w:jc w:val="both"/>
              <w:rPr>
                <w:rFonts w:asciiTheme="minorHAnsi" w:hAnsiTheme="minorHAnsi" w:cstheme="minorHAnsi"/>
                <w:sz w:val="18"/>
                <w:szCs w:val="18"/>
              </w:rPr>
            </w:pPr>
            <w:r w:rsidRPr="00A566CF">
              <w:rPr>
                <w:rFonts w:asciiTheme="minorHAnsi" w:hAnsiTheme="minorHAnsi" w:cstheme="minorHAnsi"/>
                <w:sz w:val="18"/>
                <w:szCs w:val="18"/>
                <w:lang w:val="en-GB"/>
              </w:rPr>
              <w:lastRenderedPageBreak/>
              <w:t>Astellas will be resubmitting and looks forward to enabling fezolinetant to urgently be available on the PBS for all suitable Australian women.</w:t>
            </w:r>
          </w:p>
        </w:tc>
      </w:tr>
      <w:tr w:rsidR="008725E5" w:rsidRPr="008059F4" w:rsidDel="008F66B5" w14:paraId="67CC7194" w14:textId="0BCDA0ED"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A469F30" w14:textId="6EEC5E9F" w:rsidR="005D5A3A" w:rsidRDefault="008725E5" w:rsidP="005D5A3A">
            <w:pPr>
              <w:jc w:val="center"/>
              <w:rPr>
                <w:rFonts w:asciiTheme="minorHAnsi" w:eastAsia="Calibri" w:hAnsiTheme="minorHAnsi" w:cstheme="minorHAnsi"/>
                <w:color w:val="000000" w:themeColor="text1"/>
                <w:sz w:val="18"/>
                <w:szCs w:val="18"/>
              </w:rPr>
            </w:pPr>
            <w:bookmarkStart w:id="5" w:name="_Hlk153369578"/>
            <w:r w:rsidRPr="000510F0">
              <w:rPr>
                <w:rFonts w:asciiTheme="minorHAnsi" w:eastAsia="Calibri" w:hAnsiTheme="minorHAnsi" w:cstheme="minorHAnsi"/>
                <w:color w:val="000000" w:themeColor="text1"/>
                <w:sz w:val="18"/>
                <w:szCs w:val="18"/>
              </w:rPr>
              <w:lastRenderedPageBreak/>
              <w:t>FUTIBATINIB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4</w:t>
            </w:r>
            <w:r w:rsidR="00EE24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Lytgobi</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TAIHO PHARMA OCEANIA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5D5A3A">
              <w:rPr>
                <w:rFonts w:asciiTheme="minorHAnsi" w:eastAsia="Calibri" w:hAnsiTheme="minorHAnsi" w:cstheme="minorHAnsi"/>
                <w:color w:val="000000" w:themeColor="text1"/>
                <w:sz w:val="18"/>
                <w:szCs w:val="18"/>
              </w:rPr>
              <w:t>Category 1</w:t>
            </w:r>
          </w:p>
          <w:p w14:paraId="6EDAE4E6" w14:textId="6255E341"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4D72747" w14:textId="3BDC9BB6"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Bile duct cancer (cholangiocarcinoma)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05A936" w14:textId="681A5AFF"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 xml:space="preserve">To request a General Schedule Authority Required (STREAMLINED) listing for the treatment of patients with locally advanced or metastatic cholangiocarcinoma who have previously progressed on systemic therapy and have a fibroblast growth factor receptor 2 </w:t>
            </w:r>
            <w:r w:rsidR="00D4541B" w:rsidRPr="00BC2F35">
              <w:rPr>
                <w:rFonts w:asciiTheme="minorHAnsi" w:hAnsiTheme="minorHAnsi" w:cstheme="minorHAnsi"/>
                <w:color w:val="000000"/>
                <w:sz w:val="18"/>
                <w:szCs w:val="18"/>
              </w:rPr>
              <w:t>(</w:t>
            </w:r>
            <w:r w:rsidR="00D4541B" w:rsidRPr="00BC2F35">
              <w:rPr>
                <w:rFonts w:asciiTheme="minorHAnsi" w:hAnsiTheme="minorHAnsi" w:cstheme="minorHAnsi"/>
                <w:i/>
                <w:iCs/>
                <w:color w:val="000000"/>
                <w:sz w:val="18"/>
                <w:szCs w:val="18"/>
              </w:rPr>
              <w:t>FGFR2</w:t>
            </w:r>
            <w:r w:rsidR="00D4541B" w:rsidRPr="00BC2F35">
              <w:rPr>
                <w:rFonts w:asciiTheme="minorHAnsi" w:hAnsiTheme="minorHAnsi" w:cstheme="minorHAnsi"/>
                <w:color w:val="000000"/>
                <w:sz w:val="18"/>
                <w:szCs w:val="18"/>
              </w:rPr>
              <w:t>)</w:t>
            </w:r>
            <w:r w:rsidRPr="000510F0">
              <w:rPr>
                <w:rFonts w:asciiTheme="minorHAnsi" w:eastAsia="Calibri" w:hAnsiTheme="minorHAnsi" w:cstheme="minorHAnsi"/>
                <w:color w:val="000000" w:themeColor="text1"/>
                <w:sz w:val="18"/>
                <w:szCs w:val="18"/>
              </w:rPr>
              <w:t xml:space="preserve"> fusion or rearrangement.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C907C2" w14:textId="27961ED2" w:rsidR="008725E5" w:rsidRPr="00F03408" w:rsidDel="008F66B5" w:rsidRDefault="00C64A43"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w:t>
            </w:r>
            <w:r w:rsidR="003F2454">
              <w:rPr>
                <w:rFonts w:asciiTheme="minorHAnsi" w:hAnsiTheme="minorHAnsi" w:cstheme="minorHAnsi"/>
                <w:color w:val="000000"/>
                <w:sz w:val="18"/>
                <w:szCs w:val="18"/>
              </w:rPr>
              <w:t>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35DD8426" w14:textId="6BCDEAC0" w:rsidR="00BC2F35" w:rsidRPr="00BC2F35" w:rsidRDefault="00BC2F35" w:rsidP="002410B4">
            <w:pPr>
              <w:pStyle w:val="ListParagraph"/>
              <w:ind w:left="31"/>
              <w:jc w:val="both"/>
              <w:rPr>
                <w:rFonts w:asciiTheme="minorHAnsi" w:hAnsiTheme="minorHAnsi" w:cstheme="minorHAnsi"/>
                <w:i/>
                <w:iCs/>
                <w:color w:val="000000"/>
                <w:sz w:val="18"/>
                <w:szCs w:val="18"/>
              </w:rPr>
            </w:pPr>
            <w:bookmarkStart w:id="6" w:name="_Hlk111543254"/>
            <w:r w:rsidRPr="00BC2F35">
              <w:rPr>
                <w:rFonts w:asciiTheme="minorHAnsi" w:hAnsiTheme="minorHAnsi" w:cstheme="minorHAnsi"/>
                <w:color w:val="000000"/>
                <w:sz w:val="18"/>
                <w:szCs w:val="18"/>
              </w:rPr>
              <w:t xml:space="preserve">The PBAC did not recommend the listing of futibatinib for the treatment of patients with locally advanced or metastatic cholangiocarcinoma who have previously progressed on systemic therapy and have a </w:t>
            </w:r>
            <w:r w:rsidRPr="00BC2F35">
              <w:rPr>
                <w:rFonts w:asciiTheme="minorHAnsi" w:hAnsiTheme="minorHAnsi" w:cstheme="minorHAnsi"/>
                <w:i/>
                <w:iCs/>
                <w:color w:val="000000"/>
                <w:sz w:val="18"/>
                <w:szCs w:val="18"/>
              </w:rPr>
              <w:t>FGFR2</w:t>
            </w:r>
            <w:r w:rsidRPr="00BC2F35">
              <w:rPr>
                <w:rFonts w:asciiTheme="minorHAnsi" w:hAnsiTheme="minorHAnsi" w:cstheme="minorHAnsi"/>
                <w:color w:val="000000"/>
                <w:sz w:val="18"/>
                <w:szCs w:val="18"/>
              </w:rPr>
              <w:t xml:space="preserve"> fusion or rearrangement. The PBAC considered that there was a high clinical need for treatments for patients with locally advanced or metastatic cholangiocarcinoma, who have a poor prognosis. The PBAC noted that based on the available clinical evidence the magnitude of clinical benefit was highly uncertain. The PBAC considered the economic model would need to be amended to include a more conservative and realistic estimate of clinical benefit to increase the reliability of the incremental cost-effectiveness ratio (ICER). The PBAC considered futibatinib would be cost-effective with an ICER in the range of $55,000 to </w:t>
            </w:r>
            <w:r w:rsidR="0081596C">
              <w:rPr>
                <w:rFonts w:asciiTheme="minorHAnsi" w:hAnsiTheme="minorHAnsi" w:cstheme="minorHAnsi"/>
                <w:color w:val="000000"/>
                <w:sz w:val="18"/>
                <w:szCs w:val="18"/>
              </w:rPr>
              <w:t xml:space="preserve">&lt; </w:t>
            </w:r>
            <w:r w:rsidRPr="00BC2F35">
              <w:rPr>
                <w:rFonts w:asciiTheme="minorHAnsi" w:hAnsiTheme="minorHAnsi" w:cstheme="minorHAnsi"/>
                <w:color w:val="000000"/>
                <w:sz w:val="18"/>
                <w:szCs w:val="18"/>
              </w:rPr>
              <w:t>$75,000 per QALY. The PBAC noted the estimated number of patients</w:t>
            </w:r>
            <w:r w:rsidR="0081596C">
              <w:rPr>
                <w:rFonts w:asciiTheme="minorHAnsi" w:hAnsiTheme="minorHAnsi" w:cstheme="minorHAnsi"/>
                <w:color w:val="000000"/>
                <w:sz w:val="18"/>
                <w:szCs w:val="18"/>
              </w:rPr>
              <w:t xml:space="preserve"> </w:t>
            </w:r>
            <w:r w:rsidRPr="00BC2F35">
              <w:rPr>
                <w:rFonts w:asciiTheme="minorHAnsi" w:hAnsiTheme="minorHAnsi" w:cstheme="minorHAnsi"/>
                <w:color w:val="000000"/>
                <w:sz w:val="18"/>
                <w:szCs w:val="18"/>
              </w:rPr>
              <w:t xml:space="preserve">that would be treated with futibatinib was uncertain and would need revision to more accurately reflect the prevalence of </w:t>
            </w:r>
            <w:r w:rsidR="00E51087" w:rsidRPr="00BC2F35">
              <w:rPr>
                <w:rFonts w:asciiTheme="minorHAnsi" w:hAnsiTheme="minorHAnsi" w:cstheme="minorHAnsi"/>
                <w:color w:val="000000"/>
                <w:sz w:val="18"/>
                <w:szCs w:val="18"/>
              </w:rPr>
              <w:t>cholangiocarcinoma</w:t>
            </w:r>
            <w:r w:rsidRPr="00BC2F35">
              <w:rPr>
                <w:rFonts w:asciiTheme="minorHAnsi" w:hAnsiTheme="minorHAnsi" w:cstheme="minorHAnsi"/>
                <w:color w:val="000000"/>
                <w:sz w:val="18"/>
                <w:szCs w:val="18"/>
              </w:rPr>
              <w:t xml:space="preserve"> and the number of patients with a </w:t>
            </w:r>
            <w:r w:rsidRPr="00BC2F35">
              <w:rPr>
                <w:rFonts w:asciiTheme="minorHAnsi" w:hAnsiTheme="minorHAnsi" w:cstheme="minorHAnsi"/>
                <w:i/>
                <w:iCs/>
                <w:color w:val="000000"/>
                <w:sz w:val="18"/>
                <w:szCs w:val="18"/>
              </w:rPr>
              <w:t>FGFR2</w:t>
            </w:r>
            <w:r w:rsidRPr="00BC2F35">
              <w:rPr>
                <w:rFonts w:asciiTheme="minorHAnsi" w:hAnsiTheme="minorHAnsi" w:cstheme="minorHAnsi"/>
                <w:color w:val="000000"/>
                <w:sz w:val="18"/>
                <w:szCs w:val="18"/>
              </w:rPr>
              <w:t xml:space="preserve"> fusion or rearrangement. The PBAC considered the outstanding issues could be addressed in an early re-entry submission. The PBAC noted that if MSAC is not of a mind to recommend the proposed testing component, an integrated resubmission would be required, which would not be suitable for the early re-entry pathway.</w:t>
            </w:r>
            <w:bookmarkEnd w:id="6"/>
          </w:p>
          <w:p w14:paraId="386864B0" w14:textId="77777777" w:rsidR="000B47CF" w:rsidRDefault="000B47CF" w:rsidP="000B47CF">
            <w:pPr>
              <w:ind w:left="11"/>
              <w:contextualSpacing/>
              <w:jc w:val="both"/>
              <w:rPr>
                <w:rFonts w:asciiTheme="minorHAnsi" w:eastAsiaTheme="minorHAnsi" w:hAnsiTheme="minorHAnsi" w:cstheme="minorHAnsi"/>
                <w:sz w:val="18"/>
                <w:szCs w:val="18"/>
              </w:rPr>
            </w:pPr>
          </w:p>
          <w:p w14:paraId="17EB8FBA" w14:textId="77777777" w:rsidR="000B47CF" w:rsidRDefault="000B47CF" w:rsidP="000B47CF">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763B9B94" w14:textId="33B30181" w:rsidR="008725E5" w:rsidRPr="00C76BB2" w:rsidDel="008F66B5" w:rsidRDefault="004C24B2" w:rsidP="00BF25B1">
            <w:pPr>
              <w:jc w:val="both"/>
              <w:rPr>
                <w:rFonts w:asciiTheme="minorHAnsi" w:hAnsiTheme="minorHAnsi" w:cstheme="minorHAnsi"/>
                <w:color w:val="000000"/>
                <w:sz w:val="18"/>
                <w:szCs w:val="18"/>
              </w:rPr>
            </w:pPr>
            <w:r w:rsidRPr="004C24B2">
              <w:rPr>
                <w:rFonts w:asciiTheme="minorHAnsi" w:hAnsiTheme="minorHAnsi" w:cstheme="minorHAnsi"/>
                <w:color w:val="000000"/>
                <w:sz w:val="18"/>
                <w:szCs w:val="18"/>
              </w:rPr>
              <w:t>The Sponsor is pleased that the PBAC has acknowledged the high clinical need for treatments in the proposed patient population and is committed to working with the PBAC and the Department to facilitate sustainable patient access to futibatinib as soon as possible.</w:t>
            </w:r>
          </w:p>
        </w:tc>
      </w:tr>
      <w:bookmarkEnd w:id="5"/>
      <w:tr w:rsidR="008725E5" w:rsidRPr="008059F4" w:rsidDel="008F66B5" w14:paraId="1D94DBFA" w14:textId="5EE2D80F"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BD3165" w14:textId="0CFB5601" w:rsidR="00E70C4F" w:rsidRDefault="008725E5" w:rsidP="00E70C4F">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GEMCITABINE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1</w:t>
            </w:r>
            <w:r w:rsidR="00EE24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g (as hydrochloride) in 25</w:t>
            </w:r>
            <w:r w:rsidR="00EE24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2</w:t>
            </w:r>
            <w:r w:rsidR="00EE24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g (as hydrochloride) in 50</w:t>
            </w:r>
            <w:r w:rsidR="00EE24E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Gemcitabine Sandoz</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SANDOZ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E70C4F">
              <w:rPr>
                <w:rFonts w:asciiTheme="minorHAnsi" w:eastAsia="Calibri" w:hAnsiTheme="minorHAnsi" w:cstheme="minorHAnsi"/>
                <w:color w:val="000000" w:themeColor="text1"/>
                <w:sz w:val="18"/>
                <w:szCs w:val="18"/>
              </w:rPr>
              <w:t>Category 4</w:t>
            </w:r>
          </w:p>
          <w:p w14:paraId="112CE29A" w14:textId="531CE939"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8BED34E" w14:textId="04B9799E"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 xml:space="preserve">Various cancers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2CF8D8" w14:textId="5A7B5353"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Section 100 (Efficient Funding of Chemotherapy Program) Unrestricted Benefit listings of new forms of gemcitabine.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5AE174E" w14:textId="4840208E" w:rsidR="008725E5" w:rsidRPr="00F03408" w:rsidDel="008F66B5" w:rsidRDefault="001D604E" w:rsidP="008725E5">
            <w:pPr>
              <w:pStyle w:val="ListParagraph"/>
              <w:keepLines/>
              <w:ind w:left="0"/>
              <w:jc w:val="center"/>
              <w:rPr>
                <w:rFonts w:asciiTheme="minorHAnsi" w:hAnsiTheme="minorHAnsi" w:cstheme="minorHAnsi"/>
                <w:sz w:val="18"/>
                <w:szCs w:val="18"/>
              </w:rPr>
            </w:pPr>
            <w:r>
              <w:rPr>
                <w:rFonts w:asciiTheme="minorHAnsi" w:hAnsiTheme="minorHAnsi" w:cstheme="minorHAnsi"/>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62C0E818" w14:textId="551A3700" w:rsidR="008725E5" w:rsidRPr="00F03408" w:rsidDel="008F66B5" w:rsidRDefault="7CEAA494" w:rsidP="008725E5">
            <w:pPr>
              <w:jc w:val="both"/>
              <w:rPr>
                <w:rFonts w:asciiTheme="minorHAnsi" w:hAnsiTheme="minorHAnsi" w:cstheme="minorBidi"/>
                <w:sz w:val="18"/>
                <w:szCs w:val="18"/>
              </w:rPr>
            </w:pPr>
            <w:r w:rsidRPr="762D8BC6">
              <w:rPr>
                <w:rFonts w:asciiTheme="minorHAnsi" w:hAnsiTheme="minorHAnsi" w:cstheme="minorBidi"/>
                <w:sz w:val="18"/>
                <w:szCs w:val="18"/>
              </w:rPr>
              <w:t>The PBAC recommended Section 100 (Efficient Funding of Chemotherapy Program) Unrestricted Benefit listings of two new forms of gemcitabine (1</w:t>
            </w:r>
            <w:r w:rsidR="00EE24E1">
              <w:rPr>
                <w:rFonts w:asciiTheme="minorHAnsi" w:hAnsiTheme="minorHAnsi" w:cstheme="minorBidi"/>
                <w:sz w:val="18"/>
                <w:szCs w:val="18"/>
              </w:rPr>
              <w:t> </w:t>
            </w:r>
            <w:r w:rsidRPr="762D8BC6">
              <w:rPr>
                <w:rFonts w:asciiTheme="minorHAnsi" w:hAnsiTheme="minorHAnsi" w:cstheme="minorBidi"/>
                <w:sz w:val="18"/>
                <w:szCs w:val="18"/>
              </w:rPr>
              <w:t>g/25</w:t>
            </w:r>
            <w:r w:rsidR="00EE24E1">
              <w:rPr>
                <w:rFonts w:asciiTheme="minorHAnsi" w:hAnsiTheme="minorHAnsi" w:cstheme="minorBidi"/>
                <w:sz w:val="18"/>
                <w:szCs w:val="18"/>
              </w:rPr>
              <w:t> </w:t>
            </w:r>
            <w:r w:rsidRPr="762D8BC6">
              <w:rPr>
                <w:rFonts w:asciiTheme="minorHAnsi" w:hAnsiTheme="minorHAnsi" w:cstheme="minorBidi"/>
                <w:sz w:val="18"/>
                <w:szCs w:val="18"/>
              </w:rPr>
              <w:t>mL injection and 2</w:t>
            </w:r>
            <w:r w:rsidR="00EE24E1">
              <w:rPr>
                <w:rFonts w:asciiTheme="minorHAnsi" w:hAnsiTheme="minorHAnsi" w:cstheme="minorBidi"/>
                <w:sz w:val="18"/>
                <w:szCs w:val="18"/>
              </w:rPr>
              <w:t> </w:t>
            </w:r>
            <w:r w:rsidRPr="762D8BC6">
              <w:rPr>
                <w:rFonts w:asciiTheme="minorHAnsi" w:hAnsiTheme="minorHAnsi" w:cstheme="minorBidi"/>
                <w:sz w:val="18"/>
                <w:szCs w:val="18"/>
              </w:rPr>
              <w:t>g/50</w:t>
            </w:r>
            <w:r w:rsidR="00EE24E1">
              <w:rPr>
                <w:rFonts w:asciiTheme="minorHAnsi" w:hAnsiTheme="minorHAnsi" w:cstheme="minorBidi"/>
                <w:sz w:val="18"/>
                <w:szCs w:val="18"/>
              </w:rPr>
              <w:t> </w:t>
            </w:r>
            <w:r w:rsidRPr="762D8BC6">
              <w:rPr>
                <w:rFonts w:asciiTheme="minorHAnsi" w:hAnsiTheme="minorHAnsi" w:cstheme="minorBidi"/>
                <w:sz w:val="18"/>
                <w:szCs w:val="18"/>
              </w:rPr>
              <w:t>mL injection), hereafter referred to as Gemcitabine Sandoz, under the same conditions and on a cost-minimisation basis to the existing gemcitabine listing (1</w:t>
            </w:r>
            <w:r w:rsidR="009327D1">
              <w:rPr>
                <w:rFonts w:asciiTheme="minorHAnsi" w:hAnsiTheme="minorHAnsi" w:cstheme="minorBidi"/>
                <w:sz w:val="18"/>
                <w:szCs w:val="18"/>
              </w:rPr>
              <w:t> </w:t>
            </w:r>
            <w:r w:rsidRPr="762D8BC6">
              <w:rPr>
                <w:rFonts w:asciiTheme="minorHAnsi" w:hAnsiTheme="minorHAnsi" w:cstheme="minorBidi"/>
                <w:sz w:val="18"/>
                <w:szCs w:val="18"/>
              </w:rPr>
              <w:t>g/26.3</w:t>
            </w:r>
            <w:r w:rsidR="009327D1">
              <w:rPr>
                <w:rFonts w:asciiTheme="minorHAnsi" w:hAnsiTheme="minorHAnsi" w:cstheme="minorBidi"/>
                <w:sz w:val="18"/>
                <w:szCs w:val="18"/>
              </w:rPr>
              <w:t> </w:t>
            </w:r>
            <w:r w:rsidRPr="762D8BC6">
              <w:rPr>
                <w:rFonts w:asciiTheme="minorHAnsi" w:hAnsiTheme="minorHAnsi" w:cstheme="minorBidi"/>
                <w:sz w:val="18"/>
                <w:szCs w:val="18"/>
              </w:rPr>
              <w:t>mL injection and 2</w:t>
            </w:r>
            <w:r w:rsidR="009327D1">
              <w:rPr>
                <w:rFonts w:asciiTheme="minorHAnsi" w:hAnsiTheme="minorHAnsi" w:cstheme="minorBidi"/>
                <w:sz w:val="18"/>
                <w:szCs w:val="18"/>
              </w:rPr>
              <w:t> </w:t>
            </w:r>
            <w:r w:rsidRPr="762D8BC6">
              <w:rPr>
                <w:rFonts w:asciiTheme="minorHAnsi" w:hAnsiTheme="minorHAnsi" w:cstheme="minorBidi"/>
                <w:sz w:val="18"/>
                <w:szCs w:val="18"/>
              </w:rPr>
              <w:t>g/52.6</w:t>
            </w:r>
            <w:r w:rsidR="009327D1">
              <w:rPr>
                <w:rFonts w:asciiTheme="minorHAnsi" w:hAnsiTheme="minorHAnsi" w:cstheme="minorBidi"/>
                <w:sz w:val="18"/>
                <w:szCs w:val="18"/>
              </w:rPr>
              <w:t> </w:t>
            </w:r>
            <w:r w:rsidRPr="762D8BC6">
              <w:rPr>
                <w:rFonts w:asciiTheme="minorHAnsi" w:hAnsiTheme="minorHAnsi" w:cstheme="minorBidi"/>
                <w:sz w:val="18"/>
                <w:szCs w:val="18"/>
              </w:rPr>
              <w:t>mL injection), hereafter referred to as DBL Gemcitabine. The PBAC advised the equi-effective doses to be 1</w:t>
            </w:r>
            <w:r w:rsidR="009327D1">
              <w:rPr>
                <w:rFonts w:asciiTheme="minorHAnsi" w:hAnsiTheme="minorHAnsi" w:cstheme="minorBidi"/>
                <w:sz w:val="18"/>
                <w:szCs w:val="18"/>
              </w:rPr>
              <w:t> </w:t>
            </w:r>
            <w:r w:rsidRPr="762D8BC6">
              <w:rPr>
                <w:rFonts w:asciiTheme="minorHAnsi" w:hAnsiTheme="minorHAnsi" w:cstheme="minorBidi"/>
                <w:sz w:val="18"/>
                <w:szCs w:val="18"/>
              </w:rPr>
              <w:t>mg Gemcitabine Sandoz is equal to 1</w:t>
            </w:r>
            <w:r w:rsidR="009327D1">
              <w:rPr>
                <w:rFonts w:asciiTheme="minorHAnsi" w:hAnsiTheme="minorHAnsi" w:cstheme="minorBidi"/>
                <w:sz w:val="18"/>
                <w:szCs w:val="18"/>
              </w:rPr>
              <w:t> </w:t>
            </w:r>
            <w:r w:rsidRPr="762D8BC6">
              <w:rPr>
                <w:rFonts w:asciiTheme="minorHAnsi" w:hAnsiTheme="minorHAnsi" w:cstheme="minorBidi"/>
                <w:sz w:val="18"/>
                <w:szCs w:val="18"/>
              </w:rPr>
              <w:t>mg DBL Gemcitabine.</w:t>
            </w:r>
          </w:p>
        </w:tc>
      </w:tr>
      <w:tr w:rsidR="008725E5" w:rsidRPr="008059F4" w:rsidDel="008F66B5" w14:paraId="630CF50E" w14:textId="1FF3004C"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8EFA71" w14:textId="442C9EE3" w:rsidR="00CA642E" w:rsidRDefault="008725E5" w:rsidP="008725E5">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 xml:space="preserve">INFLIXIMAB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120</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120</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Remsima</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SC</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CELLTRION HEALTHCARE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7744B2">
              <w:rPr>
                <w:rFonts w:asciiTheme="minorHAnsi" w:eastAsia="Calibri" w:hAnsiTheme="minorHAnsi" w:cstheme="minorHAnsi"/>
                <w:color w:val="000000" w:themeColor="text1"/>
                <w:sz w:val="18"/>
                <w:szCs w:val="18"/>
              </w:rPr>
              <w:t>Category 3</w:t>
            </w:r>
          </w:p>
          <w:p w14:paraId="61B9BE2E" w14:textId="7DC8DB38"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FC4B365" w14:textId="3BD74978"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Severe active rheumatoid arthritis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Ankylosing spondylitis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Severe psoriatic arthritis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Severe chronic plaque psoriasis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Severe Crohn disease,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Complex refractory fistulising Crohn Disease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Moderate to severe ulcerative colitis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92FBBA" w14:textId="46F57636"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an amendment to the restriction level from Authority Required (Telephone/Online) to Authority Required (STREAMLINED) for the continuing treatment of the currently listed indications of Remsima</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SC.</w:t>
            </w:r>
          </w:p>
        </w:tc>
        <w:tc>
          <w:tcPr>
            <w:tcW w:w="1584" w:type="dxa"/>
            <w:shd w:val="clear" w:color="auto" w:fill="auto"/>
            <w:vAlign w:val="center"/>
          </w:tcPr>
          <w:p w14:paraId="71509397" w14:textId="1B512B00" w:rsidR="008725E5" w:rsidRPr="00F03408" w:rsidDel="008F66B5" w:rsidRDefault="006622CF"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749DB217" w14:textId="2A72B09E" w:rsidR="00F64D24" w:rsidRPr="00E66387" w:rsidRDefault="00F64D24" w:rsidP="00F64D24">
            <w:pPr>
              <w:jc w:val="both"/>
              <w:rPr>
                <w:rFonts w:asciiTheme="minorHAnsi" w:hAnsiTheme="minorHAnsi" w:cstheme="minorHAnsi"/>
                <w:sz w:val="18"/>
                <w:szCs w:val="18"/>
              </w:rPr>
            </w:pPr>
            <w:r w:rsidRPr="00E66387">
              <w:rPr>
                <w:rFonts w:asciiTheme="minorHAnsi" w:hAnsiTheme="minorHAnsi" w:cstheme="minorHAnsi"/>
                <w:sz w:val="18"/>
                <w:szCs w:val="18"/>
              </w:rPr>
              <w:t>The PBAC recommended changing the authority level of subcutaneous infliximab 120</w:t>
            </w:r>
            <w:r w:rsidR="009327D1" w:rsidRPr="00E66387">
              <w:rPr>
                <w:rFonts w:asciiTheme="minorHAnsi" w:hAnsiTheme="minorHAnsi" w:cstheme="minorHAnsi"/>
                <w:sz w:val="18"/>
                <w:szCs w:val="18"/>
              </w:rPr>
              <w:t> </w:t>
            </w:r>
            <w:r w:rsidRPr="00E66387">
              <w:rPr>
                <w:rFonts w:asciiTheme="minorHAnsi" w:hAnsiTheme="minorHAnsi" w:cstheme="minorHAnsi"/>
                <w:sz w:val="18"/>
                <w:szCs w:val="18"/>
              </w:rPr>
              <w:t>mg in 1</w:t>
            </w:r>
            <w:r w:rsidR="009327D1" w:rsidRPr="00E66387">
              <w:rPr>
                <w:rFonts w:asciiTheme="minorHAnsi" w:hAnsiTheme="minorHAnsi" w:cstheme="minorHAnsi"/>
                <w:sz w:val="18"/>
                <w:szCs w:val="18"/>
              </w:rPr>
              <w:t> </w:t>
            </w:r>
            <w:r w:rsidRPr="00E66387">
              <w:rPr>
                <w:rFonts w:asciiTheme="minorHAnsi" w:hAnsiTheme="minorHAnsi" w:cstheme="minorHAnsi"/>
                <w:sz w:val="18"/>
                <w:szCs w:val="18"/>
              </w:rPr>
              <w:t>mL subcutaneous injection (Remsima® SC) from Authority Required (Written or Telephone/Online) to Authority Required (STREAMLINED) for the continuing treatment listings of all the requested indications. The PBAC considered that there was no clinical reason to have Remsima SC listed at a higher authority level than the equivalent IV listings for the same indication and treatment phase, noting that Remsima is not the reference brand of infliximab.</w:t>
            </w:r>
          </w:p>
          <w:p w14:paraId="4D36C34D" w14:textId="77777777" w:rsidR="000B47CF" w:rsidRPr="00E66387" w:rsidRDefault="000B47CF" w:rsidP="00F64D24">
            <w:pPr>
              <w:jc w:val="both"/>
              <w:rPr>
                <w:rFonts w:asciiTheme="minorHAnsi" w:hAnsiTheme="minorHAnsi" w:cstheme="minorHAnsi"/>
                <w:sz w:val="18"/>
                <w:szCs w:val="18"/>
              </w:rPr>
            </w:pPr>
          </w:p>
          <w:p w14:paraId="3B3B0A75" w14:textId="60C6076D" w:rsidR="008725E5" w:rsidRPr="00E66387" w:rsidDel="008F66B5" w:rsidRDefault="00F64D24" w:rsidP="008725E5">
            <w:pPr>
              <w:jc w:val="both"/>
              <w:rPr>
                <w:rFonts w:asciiTheme="minorHAnsi" w:hAnsiTheme="minorHAnsi" w:cstheme="minorHAnsi"/>
                <w:sz w:val="18"/>
                <w:szCs w:val="18"/>
              </w:rPr>
            </w:pPr>
            <w:r w:rsidRPr="00E66387">
              <w:rPr>
                <w:rFonts w:asciiTheme="minorHAnsi" w:hAnsiTheme="minorHAnsi" w:cstheme="minorHAnsi"/>
                <w:sz w:val="18"/>
                <w:szCs w:val="18"/>
              </w:rPr>
              <w:t>The PBAC also recommended the removal of reference to continuing treatment from the balance of supply restrictions and to retain its authority level. The PBAC noted that changing the restriction level of a continuing treatment restriction to Authority Required (STREAMLINED) permits prescribers to write subsequent prescriptions to complete a treatment course without requiring prior authority approval. The PBAC therefore did not consider it appropriate to have an Authority Required (STREAMLINED) balance of supply restriction as it would create inconsistencies with the current administration of balance of supply restrictions, which are all Authority Required.</w:t>
            </w:r>
          </w:p>
        </w:tc>
      </w:tr>
      <w:tr w:rsidR="008725E5" w:rsidRPr="008059F4" w:rsidDel="008F66B5" w14:paraId="13225EF2" w14:textId="399D688C"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A50F9C" w14:textId="04D65E82" w:rsidR="00CA642E" w:rsidRDefault="008725E5" w:rsidP="00CA642E">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INFLIXIMAB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100</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mg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Ixifi</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PFIZER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CA642E">
              <w:rPr>
                <w:rFonts w:asciiTheme="minorHAnsi" w:eastAsia="Calibri" w:hAnsiTheme="minorHAnsi" w:cstheme="minorHAnsi"/>
                <w:color w:val="000000" w:themeColor="text1"/>
                <w:sz w:val="18"/>
                <w:szCs w:val="18"/>
              </w:rPr>
              <w:t>Category 3</w:t>
            </w:r>
          </w:p>
          <w:p w14:paraId="52B2EFEF" w14:textId="025499E2"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8DE0F92" w14:textId="5546128F"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Severe active rheumatoid arthritis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Ankylosing spondylitis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Severe psoriatic arthritis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Severe chronic plaque psoriasis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Severe Crohn disease,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Complex refractory fistulising Crohn Disease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Moderate to severe ulcerative colitis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7762D0" w14:textId="7C42E5DE" w:rsidR="008725E5" w:rsidRPr="000510F0" w:rsidRDefault="008725E5" w:rsidP="008725E5">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To request Section 100 (Highly Specialised Drugs Program) Authority Required listings of a new infliximab biosimilar under the same conditions as other biosimilar brands of infliximab.</w:t>
            </w:r>
          </w:p>
        </w:tc>
        <w:tc>
          <w:tcPr>
            <w:tcW w:w="1584" w:type="dxa"/>
            <w:shd w:val="clear" w:color="auto" w:fill="auto"/>
            <w:vAlign w:val="center"/>
          </w:tcPr>
          <w:p w14:paraId="0F53DED0" w14:textId="0A28E733" w:rsidR="008725E5" w:rsidRPr="00F03408" w:rsidDel="008F66B5" w:rsidRDefault="006622CF" w:rsidP="008725E5">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F9786FD" w14:textId="27E0287B" w:rsidR="008725E5" w:rsidRPr="00F03408" w:rsidDel="008F66B5" w:rsidRDefault="25DC6844" w:rsidP="008725E5">
            <w:pPr>
              <w:jc w:val="both"/>
              <w:rPr>
                <w:rFonts w:asciiTheme="minorHAnsi" w:hAnsiTheme="minorHAnsi" w:cstheme="minorBidi"/>
                <w:color w:val="000000"/>
                <w:sz w:val="18"/>
                <w:szCs w:val="18"/>
              </w:rPr>
            </w:pPr>
            <w:r w:rsidRPr="3636F0CC">
              <w:rPr>
                <w:rFonts w:asciiTheme="minorHAnsi" w:hAnsiTheme="minorHAnsi" w:cstheme="minorBidi"/>
                <w:color w:val="000000" w:themeColor="text1"/>
                <w:sz w:val="18"/>
                <w:szCs w:val="18"/>
              </w:rPr>
              <w:t>The PBAC recommended Section 100 (Highly Specialised Drugs Program) Authority Required listings of a new infliximab biosimilar (Ixifi®) on a cost-minimisation basis and under the same circumstances as the existing PBS-listed biosimilar brands of infliximab 100</w:t>
            </w:r>
            <w:r w:rsidR="009327D1">
              <w:rPr>
                <w:rFonts w:asciiTheme="minorHAnsi" w:hAnsiTheme="minorHAnsi" w:cstheme="minorBidi"/>
                <w:color w:val="000000" w:themeColor="text1"/>
                <w:sz w:val="18"/>
                <w:szCs w:val="18"/>
              </w:rPr>
              <w:t> </w:t>
            </w:r>
            <w:r w:rsidRPr="3636F0CC">
              <w:rPr>
                <w:rFonts w:asciiTheme="minorHAnsi" w:hAnsiTheme="minorHAnsi" w:cstheme="minorBidi"/>
                <w:color w:val="000000" w:themeColor="text1"/>
                <w:sz w:val="18"/>
                <w:szCs w:val="18"/>
              </w:rPr>
              <w:t>mg powder for injection (Inflectra® and Renflexis®), for the same indications. The PBAC noted that the submission requested for the Ixifi listings to be consistent with the biosimilar uptake driver policy, that is, to have an Authority Required (STREAMLINED) requirement for the subsequent continuing treatment listings and the inclusion of an administrative note across all Ixifi listings encouraging use of the biosimilar brand for treatment naïve patients. The PBAC considered that the application of biosimilar uptake drivers to Ixifi would be clinically appropriate and would not impact cost-effectiveness.</w:t>
            </w:r>
          </w:p>
        </w:tc>
      </w:tr>
      <w:tr w:rsidR="004C0683" w:rsidRPr="008059F4" w:rsidDel="008F66B5" w14:paraId="45A0C826" w14:textId="092D4EE0"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32EB9F3" w14:textId="1D191CBB" w:rsidR="006A4976"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IVACAFTOR</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Sachet containing granules 13.4</w:t>
            </w:r>
            <w:r w:rsidR="009327D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mg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Kalydeco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VERTEX PHARMACEUTICALS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D50974">
              <w:rPr>
                <w:rFonts w:asciiTheme="minorHAnsi" w:eastAsia="Calibri" w:hAnsiTheme="minorHAnsi" w:cstheme="minorHAnsi"/>
                <w:color w:val="000000" w:themeColor="text1"/>
                <w:sz w:val="18"/>
                <w:szCs w:val="18"/>
              </w:rPr>
              <w:t>Cate</w:t>
            </w:r>
            <w:r w:rsidR="006A4976">
              <w:rPr>
                <w:rFonts w:asciiTheme="minorHAnsi" w:eastAsia="Calibri" w:hAnsiTheme="minorHAnsi" w:cstheme="minorHAnsi"/>
                <w:color w:val="000000" w:themeColor="text1"/>
                <w:sz w:val="18"/>
                <w:szCs w:val="18"/>
              </w:rPr>
              <w:t>gory 2</w:t>
            </w:r>
          </w:p>
          <w:p w14:paraId="753BDDE9" w14:textId="51548993"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BA03794" w14:textId="4389BE69"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Cystic fibrosis (CF)</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B78D57" w14:textId="6D9BDE94"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 xml:space="preserve">To request a Section 100 (Highly Specialised Drugs Program) Authority Required (Written) listing for the treatment of CF patients aged 1 to 4 months who have a gating mutation or at least one mutation in the CF transmembrane conductance regulator </w:t>
            </w:r>
            <w:r w:rsidR="00831E01">
              <w:rPr>
                <w:rFonts w:asciiTheme="minorHAnsi" w:eastAsia="Calibri" w:hAnsiTheme="minorHAnsi" w:cstheme="minorHAnsi"/>
                <w:color w:val="000000" w:themeColor="text1"/>
                <w:sz w:val="18"/>
                <w:szCs w:val="18"/>
              </w:rPr>
              <w:t>(</w:t>
            </w:r>
            <w:r w:rsidR="00831E01" w:rsidRPr="00EF070A">
              <w:rPr>
                <w:rFonts w:asciiTheme="minorHAnsi" w:eastAsia="Calibri" w:hAnsiTheme="minorHAnsi" w:cstheme="minorHAnsi"/>
                <w:i/>
                <w:color w:val="000000" w:themeColor="text1"/>
                <w:sz w:val="18"/>
                <w:szCs w:val="18"/>
              </w:rPr>
              <w:t>CFTR</w:t>
            </w:r>
            <w:r w:rsidR="00831E01">
              <w:rPr>
                <w:rFonts w:asciiTheme="minorHAnsi" w:eastAsia="Calibri" w:hAnsiTheme="minorHAnsi" w:cstheme="minorHAnsi"/>
                <w:color w:val="000000" w:themeColor="text1"/>
                <w:sz w:val="18"/>
                <w:szCs w:val="18"/>
              </w:rPr>
              <w:t>)</w:t>
            </w:r>
            <w:r w:rsidRPr="004C0683">
              <w:rPr>
                <w:rFonts w:asciiTheme="minorHAnsi" w:eastAsia="Calibri" w:hAnsiTheme="minorHAnsi" w:cstheme="minorHAnsi"/>
                <w:color w:val="000000" w:themeColor="text1"/>
                <w:sz w:val="18"/>
                <w:szCs w:val="18"/>
              </w:rPr>
              <w:t xml:space="preserve"> gene.</w:t>
            </w:r>
          </w:p>
        </w:tc>
        <w:tc>
          <w:tcPr>
            <w:tcW w:w="1584" w:type="dxa"/>
            <w:shd w:val="clear" w:color="auto" w:fill="auto"/>
            <w:vAlign w:val="center"/>
          </w:tcPr>
          <w:p w14:paraId="20C817C1" w14:textId="5E6D0796" w:rsidR="004C0683" w:rsidRPr="00F03408" w:rsidDel="008F66B5" w:rsidRDefault="00EB1A28"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3743F87E" w14:textId="4E8C0C29" w:rsidR="004C0683" w:rsidRPr="00F03408" w:rsidDel="008F66B5" w:rsidRDefault="777ABB63" w:rsidP="00EF070A">
            <w:pPr>
              <w:spacing w:before="240" w:after="240"/>
              <w:jc w:val="both"/>
              <w:rPr>
                <w:rFonts w:asciiTheme="minorHAnsi" w:hAnsiTheme="minorHAnsi" w:cstheme="minorBidi"/>
                <w:color w:val="000000"/>
                <w:sz w:val="18"/>
                <w:szCs w:val="18"/>
              </w:rPr>
            </w:pPr>
            <w:r w:rsidRPr="001E7D86">
              <w:rPr>
                <w:rFonts w:ascii="Calibri" w:eastAsia="Calibri" w:hAnsi="Calibri" w:cs="Calibri"/>
                <w:sz w:val="18"/>
                <w:szCs w:val="18"/>
              </w:rPr>
              <w:t>The PBAC recommended the listing of ivacaftor granules 13.4</w:t>
            </w:r>
            <w:r w:rsidR="009327D1">
              <w:rPr>
                <w:rFonts w:ascii="Calibri" w:eastAsia="Calibri" w:hAnsi="Calibri" w:cs="Calibri"/>
                <w:sz w:val="18"/>
                <w:szCs w:val="18"/>
              </w:rPr>
              <w:t> </w:t>
            </w:r>
            <w:r w:rsidRPr="001E7D86">
              <w:rPr>
                <w:rFonts w:ascii="Calibri" w:eastAsia="Calibri" w:hAnsi="Calibri" w:cs="Calibri"/>
                <w:sz w:val="18"/>
                <w:szCs w:val="18"/>
              </w:rPr>
              <w:t>mg for the treatment of CF in patients aged 1</w:t>
            </w:r>
            <w:r w:rsidR="00103E13">
              <w:rPr>
                <w:rFonts w:ascii="Calibri" w:eastAsia="Calibri" w:hAnsi="Calibri" w:cs="Calibri"/>
                <w:sz w:val="18"/>
                <w:szCs w:val="18"/>
              </w:rPr>
              <w:t> </w:t>
            </w:r>
            <w:r w:rsidRPr="001E7D86">
              <w:rPr>
                <w:rFonts w:ascii="Calibri" w:eastAsia="Calibri" w:hAnsi="Calibri" w:cs="Calibri"/>
                <w:sz w:val="18"/>
                <w:szCs w:val="18"/>
              </w:rPr>
              <w:t>month to less than 4</w:t>
            </w:r>
            <w:r w:rsidR="009327D1">
              <w:rPr>
                <w:rFonts w:ascii="Calibri" w:eastAsia="Calibri" w:hAnsi="Calibri" w:cs="Calibri"/>
                <w:sz w:val="18"/>
                <w:szCs w:val="18"/>
              </w:rPr>
              <w:t> </w:t>
            </w:r>
            <w:r w:rsidRPr="001E7D86">
              <w:rPr>
                <w:rFonts w:ascii="Calibri" w:eastAsia="Calibri" w:hAnsi="Calibri" w:cs="Calibri"/>
                <w:sz w:val="18"/>
                <w:szCs w:val="18"/>
              </w:rPr>
              <w:t xml:space="preserve">months who have at least one mutation in the </w:t>
            </w:r>
            <w:r w:rsidRPr="00EF070A">
              <w:rPr>
                <w:rFonts w:ascii="Calibri" w:eastAsia="Calibri" w:hAnsi="Calibri" w:cs="Calibri"/>
                <w:i/>
                <w:sz w:val="18"/>
                <w:szCs w:val="18"/>
              </w:rPr>
              <w:t>CFTR</w:t>
            </w:r>
            <w:r w:rsidRPr="001E7D86">
              <w:rPr>
                <w:rFonts w:ascii="Calibri" w:eastAsia="Calibri" w:hAnsi="Calibri" w:cs="Calibri"/>
                <w:sz w:val="18"/>
                <w:szCs w:val="18"/>
              </w:rPr>
              <w:t xml:space="preserve"> gene that is responsive to ivacaftor based on clinical and/ or </w:t>
            </w:r>
            <w:r w:rsidRPr="001E7D86">
              <w:rPr>
                <w:rFonts w:ascii="Calibri" w:eastAsia="Calibri" w:hAnsi="Calibri" w:cs="Calibri"/>
                <w:i/>
                <w:iCs/>
                <w:sz w:val="18"/>
                <w:szCs w:val="18"/>
              </w:rPr>
              <w:t>in vitro</w:t>
            </w:r>
            <w:r w:rsidRPr="001E7D86">
              <w:rPr>
                <w:rFonts w:ascii="Calibri" w:eastAsia="Calibri" w:hAnsi="Calibri" w:cs="Calibri"/>
                <w:sz w:val="18"/>
                <w:szCs w:val="18"/>
              </w:rPr>
              <w:t xml:space="preserve"> assay data. The PBAC welcomed the input from individuals and organisations and noted they strongly supported the proposed extension of the listing. The PBAC noted that, overall, the evidence supporting the clinical claim in the submission was very limited but acknowledged the difficulties in obtaining clinical data in this population. The PBAC considered ivacaftor was likely to be cost-effective for this population at the current PBS price. The PBAC advised this population could be included in the current risk sharing arrangement for </w:t>
            </w:r>
            <w:r w:rsidRPr="00EF070A">
              <w:rPr>
                <w:rFonts w:ascii="Calibri" w:eastAsia="Calibri" w:hAnsi="Calibri" w:cs="Calibri"/>
                <w:i/>
                <w:sz w:val="18"/>
                <w:szCs w:val="18"/>
              </w:rPr>
              <w:t>CFTR</w:t>
            </w:r>
            <w:r w:rsidRPr="001E7D86">
              <w:rPr>
                <w:rFonts w:ascii="Calibri" w:eastAsia="Calibri" w:hAnsi="Calibri" w:cs="Calibri"/>
                <w:sz w:val="18"/>
                <w:szCs w:val="18"/>
              </w:rPr>
              <w:t xml:space="preserve"> modulators with no increase in expenditure caps.</w:t>
            </w:r>
          </w:p>
        </w:tc>
      </w:tr>
      <w:tr w:rsidR="004C0683" w:rsidRPr="008059F4" w:rsidDel="008F66B5" w14:paraId="22F54673" w14:textId="68264969"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0235F06" w14:textId="69E8EAEE"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LUMASIRAN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94.5</w:t>
            </w:r>
            <w:r w:rsidR="00103E1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0.5</w:t>
            </w:r>
            <w:r w:rsidR="00103E1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Oxlumo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MEDISON PHARMA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06EE2365" w14:textId="38012F9D"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99E0385" w14:textId="20402E8C"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Primary hyperoxaluria type 1</w:t>
            </w:r>
            <w:r w:rsidR="00093FE9">
              <w:rPr>
                <w:rFonts w:asciiTheme="minorHAnsi" w:eastAsia="Calibri" w:hAnsiTheme="minorHAnsi" w:cstheme="minorHAnsi"/>
                <w:color w:val="000000" w:themeColor="text1"/>
                <w:sz w:val="18"/>
                <w:szCs w:val="18"/>
              </w:rPr>
              <w:t xml:space="preserve"> (PH1)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B8F7ACD" w14:textId="44880417"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 xml:space="preserve">To request a General Schedule Authority Required (STREAMLINED) listing </w:t>
            </w:r>
            <w:r w:rsidR="0084416C">
              <w:rPr>
                <w:rFonts w:asciiTheme="minorHAnsi" w:eastAsia="Calibri" w:hAnsiTheme="minorHAnsi" w:cstheme="minorHAnsi"/>
                <w:color w:val="000000" w:themeColor="text1"/>
                <w:sz w:val="18"/>
                <w:szCs w:val="18"/>
              </w:rPr>
              <w:t>PH1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6CAB98" w14:textId="6ADF1176" w:rsidR="004C0683" w:rsidRPr="00F03408" w:rsidDel="008F66B5" w:rsidRDefault="00BF606F"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06FFEB5F" w14:textId="3F9F2C64" w:rsidR="004C0683" w:rsidRPr="00F03408" w:rsidDel="008F66B5" w:rsidRDefault="00EB4FDF" w:rsidP="004C0683">
            <w:pPr>
              <w:jc w:val="both"/>
              <w:rPr>
                <w:rFonts w:asciiTheme="minorHAnsi" w:hAnsiTheme="minorHAnsi" w:cstheme="minorHAnsi"/>
                <w:color w:val="000000"/>
                <w:sz w:val="18"/>
                <w:szCs w:val="18"/>
              </w:rPr>
            </w:pPr>
            <w:r w:rsidRPr="00EB4FDF">
              <w:rPr>
                <w:rFonts w:asciiTheme="minorHAnsi" w:hAnsiTheme="minorHAnsi" w:cstheme="minorHAnsi"/>
                <w:color w:val="000000"/>
                <w:sz w:val="18"/>
                <w:szCs w:val="18"/>
              </w:rPr>
              <w:t>The PBAC recommended the listing of lumasiran for the treatment of PH1. In making this recommendation, the PBAC accepted there is a high unmet clinical need for treatment options for patients with PH1, and that lumasiran is effective in reducing urinary oxalate and plasma oxalate and may also lead to a reduction in the utilisation of dialysis and liver-kidney transplantation. The PBAC considered that the incremental cost-effectiveness ratio was high and that the economic model was not sufficiently reliable for decision making due to uncertainty related to the translation of trial evidence to final health outcomes and the use of optimistic assumptions, utilities, and structural relationships. The PBAC considered that in the context of this rare and life-limiting disease, lumasiran would be considered acceptably cost-effective with a price reduction that resulted in an acceptable cost per patient per year. The PBAC noted that the estimated utilisation of lumasiran had been corrected for errors in the Pre-PBAC Response. The PBAC considered that the remaining uncertainties regarding the cost-effectiveness, cost per patient per year and utilisation could be managed by a risk sharing arrangement.</w:t>
            </w:r>
          </w:p>
        </w:tc>
      </w:tr>
      <w:tr w:rsidR="004C0683" w:rsidRPr="008059F4" w:rsidDel="008F66B5" w14:paraId="4F8DF70B" w14:textId="24A45BCD"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B0DD809" w14:textId="66AC3332" w:rsidR="009C0FF4"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MIDOSTAURIN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25</w:t>
            </w:r>
            <w:r w:rsidR="00C40F2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Rydapt</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NOVARTIS PHARMACEUTICALS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9C0FF4">
              <w:rPr>
                <w:rFonts w:asciiTheme="minorHAnsi" w:eastAsia="Calibri" w:hAnsiTheme="minorHAnsi" w:cstheme="minorHAnsi"/>
                <w:color w:val="000000" w:themeColor="text1"/>
                <w:sz w:val="18"/>
                <w:szCs w:val="18"/>
              </w:rPr>
              <w:t>Category 2</w:t>
            </w:r>
          </w:p>
          <w:p w14:paraId="375EFF63" w14:textId="791523DD"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9DF5AA7" w14:textId="45D54F13"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Advanced systemic mastocytosis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C9EAC66" w14:textId="03E92947"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(Highly Specialised Drugs Program) Authority Required (Written) listing for the treatment of adult patients with advanced systemic mastocytosis.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68A1004" w14:textId="0866FBDF" w:rsidR="004C0683" w:rsidRPr="00F03408" w:rsidDel="008F66B5" w:rsidRDefault="00D03045"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5E8BBD1E" w14:textId="77777777" w:rsidR="00F60FD9" w:rsidRDefault="004F02D7" w:rsidP="004C0683">
            <w:pPr>
              <w:jc w:val="both"/>
              <w:rPr>
                <w:rFonts w:asciiTheme="minorHAnsi" w:hAnsiTheme="minorHAnsi" w:cstheme="minorHAnsi"/>
                <w:color w:val="000000"/>
                <w:sz w:val="18"/>
                <w:szCs w:val="18"/>
                <w:lang w:val="en-GB"/>
              </w:rPr>
            </w:pPr>
            <w:r w:rsidRPr="004F02D7">
              <w:rPr>
                <w:rFonts w:asciiTheme="minorHAnsi" w:hAnsiTheme="minorHAnsi" w:cstheme="minorHAnsi"/>
                <w:color w:val="000000"/>
                <w:sz w:val="18"/>
                <w:szCs w:val="18"/>
                <w:lang w:val="en-GB"/>
              </w:rPr>
              <w:t>The PBAC recommended the listing of midostaurin for treatment of adult patients with advanced systemic mastocytosis (</w:t>
            </w:r>
            <w:r w:rsidRPr="004F02D7">
              <w:rPr>
                <w:rFonts w:asciiTheme="minorHAnsi" w:hAnsiTheme="minorHAnsi" w:cstheme="minorHAnsi"/>
                <w:color w:val="000000"/>
                <w:sz w:val="18"/>
                <w:szCs w:val="18"/>
              </w:rPr>
              <w:t>aggressive systemic mastocytosis, systemic mastocytosis with an associated haematological neoplasm, or mast cell leukaemia).</w:t>
            </w:r>
            <w:r w:rsidRPr="004F02D7">
              <w:rPr>
                <w:rFonts w:asciiTheme="minorHAnsi" w:hAnsiTheme="minorHAnsi" w:cstheme="minorHAnsi"/>
                <w:color w:val="000000"/>
                <w:sz w:val="18"/>
                <w:szCs w:val="18"/>
                <w:lang w:val="en-GB"/>
              </w:rPr>
              <w:t xml:space="preserve"> The PBAC welcomed input from consumers and acknowledged advanced systemic mastocytosis is rare and that people living with it have high unmet needs and that there is a need for new treatment options. </w:t>
            </w:r>
          </w:p>
          <w:p w14:paraId="71D40722" w14:textId="77777777" w:rsidR="00F60FD9" w:rsidRDefault="00F60FD9" w:rsidP="004C0683">
            <w:pPr>
              <w:jc w:val="both"/>
              <w:rPr>
                <w:rFonts w:asciiTheme="minorHAnsi" w:hAnsiTheme="minorHAnsi" w:cstheme="minorHAnsi"/>
                <w:color w:val="000000"/>
                <w:sz w:val="18"/>
                <w:szCs w:val="18"/>
                <w:lang w:val="en-GB"/>
              </w:rPr>
            </w:pPr>
          </w:p>
          <w:p w14:paraId="544FB948" w14:textId="77777777" w:rsidR="00016960" w:rsidRDefault="004F02D7" w:rsidP="004C0683">
            <w:pPr>
              <w:jc w:val="both"/>
              <w:rPr>
                <w:rFonts w:asciiTheme="minorHAnsi" w:hAnsiTheme="minorHAnsi" w:cstheme="minorHAnsi"/>
                <w:color w:val="000000"/>
                <w:sz w:val="18"/>
                <w:szCs w:val="18"/>
                <w:lang w:val="en-GB"/>
              </w:rPr>
            </w:pPr>
            <w:r w:rsidRPr="004F02D7">
              <w:rPr>
                <w:rFonts w:asciiTheme="minorHAnsi" w:hAnsiTheme="minorHAnsi" w:cstheme="minorHAnsi"/>
                <w:color w:val="000000"/>
                <w:sz w:val="18"/>
                <w:szCs w:val="18"/>
                <w:lang w:val="en-GB"/>
              </w:rPr>
              <w:t xml:space="preserve">The clinical evidence presented in the submission had several limitations that created uncertainty about the extent to which midostaurin improved quality of life and overall survival compared to the current standard of care. However, the PBAC also recognised the difficulty obtaining clinical data for this rare disease. The PBAC </w:t>
            </w:r>
            <w:r w:rsidR="00F60FD9">
              <w:rPr>
                <w:rFonts w:asciiTheme="minorHAnsi" w:hAnsiTheme="minorHAnsi" w:cstheme="minorHAnsi"/>
                <w:color w:val="000000"/>
                <w:sz w:val="18"/>
                <w:szCs w:val="18"/>
                <w:lang w:val="en-GB"/>
              </w:rPr>
              <w:t>was</w:t>
            </w:r>
            <w:r w:rsidRPr="004F02D7">
              <w:rPr>
                <w:rFonts w:asciiTheme="minorHAnsi" w:hAnsiTheme="minorHAnsi" w:cstheme="minorHAnsi"/>
                <w:color w:val="000000"/>
                <w:sz w:val="18"/>
                <w:szCs w:val="18"/>
                <w:lang w:val="en-GB"/>
              </w:rPr>
              <w:t xml:space="preserve"> satisfied that midostaurin provides, for some patients, a significant improvement in efficacy over supportive care (i.e., standard of care). The PBAC noted that limitations in the evidence meant that safety comparisons were difficult but considered it likely that midostaurin was similar in safety to current standard of care. </w:t>
            </w:r>
          </w:p>
          <w:p w14:paraId="0C648694" w14:textId="77777777" w:rsidR="00016960" w:rsidRDefault="00016960" w:rsidP="004C0683">
            <w:pPr>
              <w:jc w:val="both"/>
              <w:rPr>
                <w:rFonts w:asciiTheme="minorHAnsi" w:hAnsiTheme="minorHAnsi" w:cstheme="minorHAnsi"/>
                <w:color w:val="000000"/>
                <w:sz w:val="18"/>
                <w:szCs w:val="18"/>
                <w:lang w:val="en-GB"/>
              </w:rPr>
            </w:pPr>
          </w:p>
          <w:p w14:paraId="59954BE8" w14:textId="1183E7E9" w:rsidR="004C0683" w:rsidRPr="00F03408" w:rsidDel="008F66B5" w:rsidRDefault="004F02D7" w:rsidP="004C0683">
            <w:pPr>
              <w:jc w:val="both"/>
              <w:rPr>
                <w:rFonts w:asciiTheme="minorHAnsi" w:hAnsiTheme="minorHAnsi" w:cstheme="minorHAnsi"/>
                <w:color w:val="000000"/>
                <w:sz w:val="18"/>
                <w:szCs w:val="18"/>
              </w:rPr>
            </w:pPr>
            <w:r w:rsidRPr="004F02D7">
              <w:rPr>
                <w:rFonts w:asciiTheme="minorHAnsi" w:hAnsiTheme="minorHAnsi" w:cstheme="minorHAnsi"/>
                <w:color w:val="000000"/>
                <w:sz w:val="18"/>
                <w:szCs w:val="18"/>
                <w:lang w:val="en-GB"/>
              </w:rPr>
              <w:t>The PBAC considered that estimates of the benefits of midostaurin in the economic model were overly optimistic</w:t>
            </w:r>
            <w:r w:rsidR="0081006B">
              <w:rPr>
                <w:rFonts w:asciiTheme="minorHAnsi" w:hAnsiTheme="minorHAnsi" w:cstheme="minorHAnsi"/>
                <w:color w:val="000000"/>
                <w:sz w:val="18"/>
                <w:szCs w:val="18"/>
                <w:lang w:val="en-GB"/>
              </w:rPr>
              <w:t>,</w:t>
            </w:r>
            <w:r w:rsidRPr="004F02D7">
              <w:rPr>
                <w:rFonts w:asciiTheme="minorHAnsi" w:hAnsiTheme="minorHAnsi" w:cstheme="minorHAnsi"/>
                <w:color w:val="000000"/>
                <w:sz w:val="18"/>
                <w:szCs w:val="18"/>
                <w:lang w:val="en-GB"/>
              </w:rPr>
              <w:t xml:space="preserve"> particularly estimates of overall survival and quality of life. The clinical evidence presented in the submission did not allow confidence that several of the benefits claimed in support of the proposed price would be realised. The PBAC’s recommendation for listing was based on, among other matters, its assessment that the cost-effectiveness of midostaurin would be acceptable with a price reduction using an economic model respecified by the ESC to include more realistic estimates (modified to remove condensing progression free health states). </w:t>
            </w:r>
          </w:p>
        </w:tc>
      </w:tr>
      <w:tr w:rsidR="004C0683" w:rsidRPr="008059F4" w:rsidDel="008F66B5" w14:paraId="45978DAE" w14:textId="5FC522A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CE40CDD" w14:textId="46BFE878" w:rsidR="004C0683" w:rsidRPr="003C5564" w:rsidRDefault="004C0683" w:rsidP="004C0683">
            <w:pPr>
              <w:jc w:val="center"/>
              <w:rPr>
                <w:rFonts w:ascii="Calibri" w:hAnsi="Calibri" w:cs="Calibri"/>
                <w:color w:val="000000"/>
                <w:sz w:val="18"/>
                <w:szCs w:val="18"/>
              </w:rPr>
            </w:pPr>
            <w:bookmarkStart w:id="7" w:name="_Hlk141955464"/>
            <w:r w:rsidRPr="000510F0">
              <w:rPr>
                <w:rFonts w:asciiTheme="minorHAnsi" w:eastAsia="Calibri" w:hAnsiTheme="minorHAnsi" w:cstheme="minorHAnsi"/>
                <w:color w:val="000000" w:themeColor="text1"/>
                <w:sz w:val="18"/>
                <w:szCs w:val="18"/>
              </w:rPr>
              <w:lastRenderedPageBreak/>
              <w:t>MOGAMULIZUMAB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20</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5</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Poteligeo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KYOWA KIRIN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3C5564">
              <w:rPr>
                <w:rFonts w:ascii="Calibri" w:hAnsi="Calibri" w:cs="Calibri"/>
                <w:color w:val="000000"/>
                <w:sz w:val="18"/>
                <w:szCs w:val="18"/>
              </w:rPr>
              <w:t>Standard re-entry</w:t>
            </w:r>
          </w:p>
          <w:p w14:paraId="7BD2048B" w14:textId="43CE4D9B"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B3CA6BB" w14:textId="375BC305"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Cutaneous T-cell lymphoma (CTCL)</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964D85E" w14:textId="285F3CBB"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55114D" w14:textId="31A0DFD0" w:rsidR="004C0683" w:rsidRPr="00F03408" w:rsidDel="008F66B5" w:rsidRDefault="003A7CBB"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71360C30" w14:textId="77777777" w:rsidR="002213D8" w:rsidRDefault="006E6B1D" w:rsidP="006E6B1D">
            <w:pPr>
              <w:jc w:val="both"/>
              <w:rPr>
                <w:rFonts w:asciiTheme="minorHAnsi" w:hAnsiTheme="minorHAnsi" w:cstheme="minorHAnsi"/>
                <w:color w:val="000000"/>
                <w:sz w:val="18"/>
                <w:szCs w:val="18"/>
              </w:rPr>
            </w:pPr>
            <w:r w:rsidRPr="006E6B1D">
              <w:rPr>
                <w:rFonts w:asciiTheme="minorHAnsi" w:hAnsiTheme="minorHAnsi" w:cstheme="minorHAnsi"/>
                <w:color w:val="000000"/>
                <w:sz w:val="18"/>
                <w:szCs w:val="18"/>
              </w:rPr>
              <w:t xml:space="preserve">The PBAC recommended the Authority Required listing of mogamulizumab for the treatment of patients with CTCL that has returned after, or not responded to, initial treatment (relapsed or refractory CTCL). The PBAC welcomed input from individuals who described the impact of relapsed or refractory CTCL on their quality of life, and from health care professionals who highlighted that durable remissions are not attained with one line of treatment. The PBAC noted the input from clinicians in the sponsor hearing regarding the limitations of treatment options currently available. The PBAC acknowledged that mogamulizumab has a unique mechanism of action and agreed with clinician advice that this agent would be particularly useful in patients with blood compartment involvement. The PBAC noted that all input highlighted the need for new treatment options. Overall, the PBAC agreed with the input provided that there was a high clinical need for alternate therapy options for patients with this rare condition. </w:t>
            </w:r>
          </w:p>
          <w:p w14:paraId="2E5A6658" w14:textId="77777777" w:rsidR="002213D8" w:rsidRDefault="002213D8" w:rsidP="006E6B1D">
            <w:pPr>
              <w:jc w:val="both"/>
              <w:rPr>
                <w:rFonts w:asciiTheme="minorHAnsi" w:hAnsiTheme="minorHAnsi" w:cstheme="minorHAnsi"/>
                <w:color w:val="000000"/>
                <w:sz w:val="18"/>
                <w:szCs w:val="18"/>
              </w:rPr>
            </w:pPr>
          </w:p>
          <w:p w14:paraId="36324E18" w14:textId="417E88FF" w:rsidR="006E6B1D" w:rsidRPr="006E6B1D" w:rsidRDefault="006E6B1D" w:rsidP="006E6B1D">
            <w:pPr>
              <w:jc w:val="both"/>
              <w:rPr>
                <w:rFonts w:asciiTheme="minorHAnsi" w:hAnsiTheme="minorHAnsi" w:cstheme="minorHAnsi"/>
                <w:color w:val="000000"/>
                <w:sz w:val="18"/>
                <w:szCs w:val="18"/>
              </w:rPr>
            </w:pPr>
            <w:r w:rsidRPr="006E6B1D">
              <w:rPr>
                <w:rFonts w:asciiTheme="minorHAnsi" w:hAnsiTheme="minorHAnsi" w:cstheme="minorHAnsi"/>
                <w:color w:val="000000"/>
                <w:sz w:val="18"/>
                <w:szCs w:val="18"/>
              </w:rPr>
              <w:t>The clinical evidence presented in the submission had several limitations that created uncertainty about whether patients who received mogamulizumab would have better outcomes or quality of life than patients who received the main alternative treatment, vorinostat. It did not allow confidence that benefits over vorinostat claimed in the submission would be realised. The PBAC considered instead that mogamulizumab was more likely to have similar effectiveness and safety to vorinostat. The PBAC’s recommendation for listing was based on, among other matters, its assessment that the cost-effectiveness of mogamulizumab would be acceptable if it had a cost per patient that was no more than the cost of vorinostat. The PBAC advised that the following equi-effective dosing over a 28-day cycle were appropriate for the cost-minimisation approach taken:</w:t>
            </w:r>
          </w:p>
          <w:p w14:paraId="42EACB2E" w14:textId="115FD3DF" w:rsidR="006E6B1D" w:rsidRPr="006E6B1D" w:rsidRDefault="006E6B1D" w:rsidP="00E234E0">
            <w:pPr>
              <w:ind w:left="318" w:hanging="318"/>
              <w:jc w:val="both"/>
              <w:rPr>
                <w:rFonts w:asciiTheme="minorHAnsi" w:hAnsiTheme="minorHAnsi" w:cstheme="minorHAnsi"/>
                <w:color w:val="000000"/>
                <w:sz w:val="18"/>
                <w:szCs w:val="18"/>
              </w:rPr>
            </w:pPr>
            <w:r w:rsidRPr="006E6B1D">
              <w:rPr>
                <w:rFonts w:asciiTheme="minorHAnsi" w:hAnsiTheme="minorHAnsi" w:cstheme="minorHAnsi"/>
                <w:color w:val="000000"/>
                <w:sz w:val="18"/>
                <w:szCs w:val="18"/>
              </w:rPr>
              <w:t>•</w:t>
            </w:r>
            <w:r w:rsidRPr="006E6B1D">
              <w:rPr>
                <w:rFonts w:asciiTheme="minorHAnsi" w:hAnsiTheme="minorHAnsi" w:cstheme="minorHAnsi"/>
                <w:color w:val="000000"/>
                <w:sz w:val="18"/>
                <w:szCs w:val="18"/>
              </w:rPr>
              <w:tab/>
              <w:t>400</w:t>
            </w:r>
            <w:r w:rsidR="00E37035">
              <w:rPr>
                <w:rFonts w:asciiTheme="minorHAnsi" w:hAnsiTheme="minorHAnsi" w:cstheme="minorHAnsi"/>
                <w:color w:val="000000"/>
                <w:sz w:val="18"/>
                <w:szCs w:val="18"/>
              </w:rPr>
              <w:t> </w:t>
            </w:r>
            <w:r w:rsidRPr="006E6B1D">
              <w:rPr>
                <w:rFonts w:asciiTheme="minorHAnsi" w:hAnsiTheme="minorHAnsi" w:cstheme="minorHAnsi"/>
                <w:color w:val="000000"/>
                <w:sz w:val="18"/>
                <w:szCs w:val="18"/>
              </w:rPr>
              <w:t>mg vorinostat administered orally daily, adjusted for dose intensity (88.96%)</w:t>
            </w:r>
          </w:p>
          <w:p w14:paraId="1585B5AE" w14:textId="244FD97F" w:rsidR="004C0683" w:rsidRPr="00F03408" w:rsidDel="008F66B5" w:rsidRDefault="006E6B1D" w:rsidP="00E234E0">
            <w:pPr>
              <w:ind w:left="318" w:hanging="318"/>
              <w:jc w:val="both"/>
              <w:rPr>
                <w:rFonts w:asciiTheme="minorHAnsi" w:hAnsiTheme="minorHAnsi" w:cstheme="minorHAnsi"/>
                <w:color w:val="000000"/>
                <w:sz w:val="18"/>
                <w:szCs w:val="18"/>
              </w:rPr>
            </w:pPr>
            <w:r w:rsidRPr="006E6B1D">
              <w:rPr>
                <w:rFonts w:asciiTheme="minorHAnsi" w:hAnsiTheme="minorHAnsi" w:cstheme="minorHAnsi"/>
                <w:color w:val="000000"/>
                <w:sz w:val="18"/>
                <w:szCs w:val="18"/>
              </w:rPr>
              <w:t>•</w:t>
            </w:r>
            <w:r w:rsidRPr="006E6B1D">
              <w:rPr>
                <w:rFonts w:asciiTheme="minorHAnsi" w:hAnsiTheme="minorHAnsi" w:cstheme="minorHAnsi"/>
                <w:color w:val="000000"/>
                <w:sz w:val="18"/>
                <w:szCs w:val="18"/>
              </w:rPr>
              <w:tab/>
              <w:t>80</w:t>
            </w:r>
            <w:r w:rsidR="00E37035">
              <w:rPr>
                <w:rFonts w:asciiTheme="minorHAnsi" w:hAnsiTheme="minorHAnsi" w:cstheme="minorHAnsi"/>
                <w:color w:val="000000"/>
                <w:sz w:val="18"/>
                <w:szCs w:val="18"/>
              </w:rPr>
              <w:t> </w:t>
            </w:r>
            <w:r w:rsidRPr="006E6B1D">
              <w:rPr>
                <w:rFonts w:asciiTheme="minorHAnsi" w:hAnsiTheme="minorHAnsi" w:cstheme="minorHAnsi"/>
                <w:color w:val="000000"/>
                <w:sz w:val="18"/>
                <w:szCs w:val="18"/>
              </w:rPr>
              <w:t>mg of mogamulizumab administered IV on days 1 and 15 only, adjusted for dose intensity (94.41%).</w:t>
            </w:r>
          </w:p>
        </w:tc>
      </w:tr>
      <w:bookmarkEnd w:id="7"/>
      <w:tr w:rsidR="004C0683" w:rsidRPr="008059F4" w:rsidDel="008F66B5" w14:paraId="5295E92B" w14:textId="4DE5A546"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E2EF40D" w14:textId="7004F31A"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NATALIZUMAB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300</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15</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Tyruko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SANDOZ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3</w:t>
            </w:r>
          </w:p>
          <w:p w14:paraId="1F383DB2" w14:textId="6A558DA2"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DF0F225" w14:textId="4AC33B11"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Relapsing-remitting multiple sclerosis (RRMS)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7DD8020" w14:textId="12E6F489"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(Highly Specialised Drugs Program) Authority Required (STREAMLINED) listing of a natalizumab biosimilar for the treatment of RRMS under the same conditions as its reference biologic.</w:t>
            </w:r>
          </w:p>
        </w:tc>
        <w:tc>
          <w:tcPr>
            <w:tcW w:w="1584" w:type="dxa"/>
            <w:vAlign w:val="center"/>
          </w:tcPr>
          <w:p w14:paraId="1EEBFBA6" w14:textId="770DF89E" w:rsidR="004C0683" w:rsidRPr="00F03408" w:rsidDel="008F66B5" w:rsidRDefault="0013455E"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vAlign w:val="center"/>
          </w:tcPr>
          <w:p w14:paraId="5E21D284" w14:textId="378F3EEC" w:rsidR="004C0683" w:rsidRPr="009E3EC5" w:rsidDel="008F66B5" w:rsidRDefault="3BE12563" w:rsidP="004C0683">
            <w:pPr>
              <w:jc w:val="both"/>
              <w:rPr>
                <w:rFonts w:asciiTheme="minorHAnsi" w:hAnsiTheme="minorHAnsi" w:cstheme="minorBidi"/>
                <w:color w:val="000000"/>
                <w:sz w:val="18"/>
                <w:szCs w:val="18"/>
              </w:rPr>
            </w:pPr>
            <w:r w:rsidRPr="38298770">
              <w:rPr>
                <w:rFonts w:asciiTheme="minorHAnsi" w:hAnsiTheme="minorHAnsi" w:cstheme="minorBidi"/>
                <w:color w:val="000000" w:themeColor="text1"/>
                <w:sz w:val="18"/>
                <w:szCs w:val="18"/>
              </w:rPr>
              <w:t>The PBAC recommended the Section 100 (Highly Specialised Drug) Authority Required (STREAMLINED) listing of a new biosimilar brand of natalizumab 300</w:t>
            </w:r>
            <w:r w:rsidR="00E37035">
              <w:rPr>
                <w:rFonts w:asciiTheme="minorHAnsi" w:hAnsiTheme="minorHAnsi" w:cstheme="minorBidi"/>
                <w:color w:val="000000" w:themeColor="text1"/>
                <w:sz w:val="18"/>
                <w:szCs w:val="18"/>
              </w:rPr>
              <w:t> </w:t>
            </w:r>
            <w:r w:rsidRPr="38298770">
              <w:rPr>
                <w:rFonts w:asciiTheme="minorHAnsi" w:hAnsiTheme="minorHAnsi" w:cstheme="minorBidi"/>
                <w:color w:val="000000" w:themeColor="text1"/>
                <w:sz w:val="18"/>
                <w:szCs w:val="18"/>
              </w:rPr>
              <w:t>mg in 15</w:t>
            </w:r>
            <w:r w:rsidR="00E37035">
              <w:rPr>
                <w:rFonts w:asciiTheme="minorHAnsi" w:hAnsiTheme="minorHAnsi" w:cstheme="minorBidi"/>
                <w:color w:val="000000" w:themeColor="text1"/>
                <w:sz w:val="18"/>
                <w:szCs w:val="18"/>
              </w:rPr>
              <w:t> </w:t>
            </w:r>
            <w:r w:rsidRPr="38298770">
              <w:rPr>
                <w:rFonts w:asciiTheme="minorHAnsi" w:hAnsiTheme="minorHAnsi" w:cstheme="minorBidi"/>
                <w:color w:val="000000" w:themeColor="text1"/>
                <w:sz w:val="18"/>
                <w:szCs w:val="18"/>
              </w:rPr>
              <w:t>mL vial for intravenous infusion (Tyruko®) on a cost-minimisation basis and under the same circumstances as the PBS-listed reference biologic, Tysabri®, for the treatment of clinically definite RRMS. The PBAC considered that the inclusion of the ‘Biosimilar prescribing policy’ administrative note, encouraging use of the biosimilar brand (i.e., Tyruko) for treatment naïve patients, is clinically appropriate.</w:t>
            </w:r>
          </w:p>
        </w:tc>
      </w:tr>
      <w:tr w:rsidR="00CB68D2" w:rsidRPr="008059F4" w:rsidDel="008F66B5" w14:paraId="7F777846"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7E1E718F" w14:textId="79E6BE9F" w:rsidR="009E12F6" w:rsidRDefault="009E12F6" w:rsidP="009E12F6">
            <w:pPr>
              <w:jc w:val="center"/>
              <w:rPr>
                <w:rFonts w:ascii="Calibri" w:eastAsia="Calibri" w:hAnsi="Calibri" w:cs="Calibri"/>
                <w:color w:val="000000" w:themeColor="text1"/>
                <w:sz w:val="18"/>
                <w:szCs w:val="18"/>
              </w:rPr>
            </w:pPr>
            <w:r w:rsidRPr="00E234E0">
              <w:rPr>
                <w:rFonts w:ascii="Calibri" w:eastAsia="Calibri" w:hAnsi="Calibri" w:cs="Calibri"/>
                <w:color w:val="000000" w:themeColor="text1"/>
                <w:sz w:val="18"/>
                <w:szCs w:val="18"/>
              </w:rPr>
              <w:t>NIRSEVIMAB</w:t>
            </w:r>
            <w:r w:rsidRPr="00E234E0">
              <w:rPr>
                <w:rFonts w:ascii="Calibri" w:hAnsi="Calibri" w:cs="Calibri"/>
                <w:sz w:val="18"/>
                <w:szCs w:val="18"/>
              </w:rPr>
              <w:br/>
            </w:r>
            <w:r w:rsidRPr="00E234E0">
              <w:rPr>
                <w:rFonts w:ascii="Calibri" w:eastAsia="Calibri" w:hAnsi="Calibri" w:cs="Calibri"/>
                <w:color w:val="000000" w:themeColor="text1"/>
                <w:sz w:val="18"/>
                <w:szCs w:val="18"/>
              </w:rPr>
              <w:t xml:space="preserve"> </w:t>
            </w:r>
            <w:r w:rsidRPr="00E234E0">
              <w:rPr>
                <w:rFonts w:ascii="Calibri" w:hAnsi="Calibri" w:cs="Calibri"/>
                <w:sz w:val="18"/>
                <w:szCs w:val="18"/>
              </w:rPr>
              <w:br/>
            </w:r>
            <w:r w:rsidRPr="00E234E0">
              <w:rPr>
                <w:rFonts w:ascii="Calibri" w:eastAsia="Calibri" w:hAnsi="Calibri" w:cs="Calibri"/>
                <w:color w:val="000000" w:themeColor="text1"/>
                <w:sz w:val="18"/>
                <w:szCs w:val="18"/>
              </w:rPr>
              <w:t>Solution for injection 50 mg in 0.5 mL pre-filled syringe</w:t>
            </w:r>
            <w:r w:rsidRPr="00E234E0">
              <w:rPr>
                <w:rFonts w:ascii="Calibri" w:hAnsi="Calibri" w:cs="Calibri"/>
                <w:sz w:val="18"/>
                <w:szCs w:val="18"/>
              </w:rPr>
              <w:br/>
            </w:r>
            <w:r w:rsidRPr="00E234E0">
              <w:rPr>
                <w:rFonts w:ascii="Calibri" w:eastAsia="Calibri" w:hAnsi="Calibri" w:cs="Calibri"/>
                <w:color w:val="000000" w:themeColor="text1"/>
                <w:sz w:val="18"/>
                <w:szCs w:val="18"/>
              </w:rPr>
              <w:t>Solution for injection 100 mg in 1 mL pre-filled syringe</w:t>
            </w:r>
            <w:r w:rsidRPr="00E234E0">
              <w:rPr>
                <w:rFonts w:ascii="Calibri" w:hAnsi="Calibri" w:cs="Calibri"/>
                <w:sz w:val="18"/>
                <w:szCs w:val="18"/>
              </w:rPr>
              <w:br/>
            </w:r>
            <w:r w:rsidRPr="00E234E0">
              <w:rPr>
                <w:rFonts w:ascii="Calibri" w:eastAsia="Calibri" w:hAnsi="Calibri" w:cs="Calibri"/>
                <w:color w:val="000000" w:themeColor="text1"/>
                <w:sz w:val="18"/>
                <w:szCs w:val="18"/>
              </w:rPr>
              <w:t xml:space="preserve"> </w:t>
            </w:r>
            <w:r w:rsidRPr="00E234E0">
              <w:rPr>
                <w:rFonts w:ascii="Calibri" w:hAnsi="Calibri" w:cs="Calibri"/>
                <w:sz w:val="18"/>
                <w:szCs w:val="18"/>
              </w:rPr>
              <w:br/>
            </w:r>
            <w:r w:rsidRPr="00E234E0">
              <w:rPr>
                <w:rFonts w:ascii="Calibri" w:eastAsia="Calibri" w:hAnsi="Calibri" w:cs="Calibri"/>
                <w:color w:val="000000" w:themeColor="text1"/>
                <w:sz w:val="18"/>
                <w:szCs w:val="18"/>
              </w:rPr>
              <w:t>Beyfortus®</w:t>
            </w:r>
            <w:r w:rsidRPr="00E234E0">
              <w:rPr>
                <w:rFonts w:ascii="Calibri" w:hAnsi="Calibri" w:cs="Calibri"/>
                <w:sz w:val="18"/>
                <w:szCs w:val="18"/>
              </w:rPr>
              <w:br/>
            </w:r>
            <w:r w:rsidRPr="00E234E0">
              <w:rPr>
                <w:rFonts w:ascii="Calibri" w:eastAsia="Calibri" w:hAnsi="Calibri" w:cs="Calibri"/>
                <w:color w:val="000000" w:themeColor="text1"/>
                <w:sz w:val="18"/>
                <w:szCs w:val="18"/>
              </w:rPr>
              <w:t xml:space="preserve"> </w:t>
            </w:r>
            <w:r w:rsidRPr="00E234E0">
              <w:rPr>
                <w:rFonts w:ascii="Calibri" w:hAnsi="Calibri" w:cs="Calibri"/>
                <w:sz w:val="18"/>
                <w:szCs w:val="18"/>
              </w:rPr>
              <w:br/>
            </w:r>
            <w:r w:rsidRPr="00E234E0">
              <w:rPr>
                <w:rFonts w:ascii="Calibri" w:eastAsia="Calibri" w:hAnsi="Calibri" w:cs="Calibri"/>
                <w:color w:val="000000" w:themeColor="text1"/>
                <w:sz w:val="18"/>
                <w:szCs w:val="18"/>
              </w:rPr>
              <w:t>SANOFI-AVENTIS AUSTRALIA PTY LTD</w:t>
            </w:r>
            <w:r w:rsidRPr="00E234E0">
              <w:rPr>
                <w:rFonts w:ascii="Calibri" w:hAnsi="Calibri" w:cs="Calibri"/>
                <w:sz w:val="18"/>
                <w:szCs w:val="18"/>
              </w:rPr>
              <w:br/>
            </w:r>
          </w:p>
          <w:p w14:paraId="71ECAF68" w14:textId="71CF3B03" w:rsidR="009E12F6" w:rsidRPr="00E234E0" w:rsidRDefault="0076005C" w:rsidP="009E12F6">
            <w:pPr>
              <w:jc w:val="center"/>
              <w:rPr>
                <w:rFonts w:ascii="Calibri" w:eastAsia="Calibri" w:hAnsi="Calibri" w:cs="Calibri"/>
                <w:color w:val="000000" w:themeColor="text1"/>
                <w:sz w:val="18"/>
                <w:szCs w:val="18"/>
              </w:rPr>
            </w:pPr>
            <w:r>
              <w:rPr>
                <w:rFonts w:ascii="Calibri" w:hAnsi="Calibri" w:cs="Calibri"/>
                <w:sz w:val="18"/>
                <w:szCs w:val="18"/>
              </w:rPr>
              <w:t>Standard re-entry</w:t>
            </w:r>
            <w:r w:rsidR="009E12F6" w:rsidRPr="00E234E0">
              <w:rPr>
                <w:rFonts w:ascii="Calibri" w:hAnsi="Calibri" w:cs="Calibri"/>
                <w:sz w:val="18"/>
                <w:szCs w:val="18"/>
              </w:rPr>
              <w:br/>
            </w:r>
            <w:r w:rsidR="009E12F6" w:rsidRPr="00E234E0">
              <w:rPr>
                <w:rFonts w:ascii="Calibri" w:eastAsia="Calibri" w:hAnsi="Calibri" w:cs="Calibri"/>
                <w:color w:val="000000" w:themeColor="text1"/>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21235" w14:textId="7A8D6100" w:rsidR="009E12F6" w:rsidRPr="00E234E0" w:rsidRDefault="009E12F6" w:rsidP="009E12F6">
            <w:pPr>
              <w:jc w:val="center"/>
              <w:rPr>
                <w:rFonts w:ascii="Calibri" w:eastAsia="Calibri" w:hAnsi="Calibri" w:cs="Calibri"/>
                <w:color w:val="000000" w:themeColor="text1"/>
                <w:sz w:val="18"/>
                <w:szCs w:val="18"/>
              </w:rPr>
            </w:pPr>
            <w:r w:rsidRPr="00E234E0">
              <w:rPr>
                <w:rFonts w:ascii="Calibri" w:eastAsia="Calibri" w:hAnsi="Calibri" w:cs="Calibri"/>
                <w:color w:val="000000" w:themeColor="text1"/>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7051449B" w14:textId="1CCF4047" w:rsidR="009E12F6" w:rsidRPr="00E234E0" w:rsidRDefault="009E12F6" w:rsidP="009E12F6">
            <w:pPr>
              <w:jc w:val="center"/>
              <w:rPr>
                <w:rFonts w:ascii="Calibri" w:eastAsia="Calibri" w:hAnsi="Calibri" w:cs="Calibri"/>
                <w:color w:val="000000" w:themeColor="text1"/>
                <w:sz w:val="18"/>
                <w:szCs w:val="18"/>
              </w:rPr>
            </w:pPr>
            <w:r w:rsidRPr="00E234E0">
              <w:rPr>
                <w:rFonts w:ascii="Calibri" w:eastAsia="Calibri" w:hAnsi="Calibri" w:cs="Calibri"/>
                <w:color w:val="000000" w:themeColor="text1"/>
                <w:sz w:val="18"/>
                <w:szCs w:val="18"/>
              </w:rPr>
              <w:t>Resubmission to request a National Immunisation Program listing for the prevention of RSV lower respiratory tract disease in neonates and infants born during or entering their first RSV season; and children up to 24 months of age who remain vulnerable to severe RSV disease through their second RSV season.</w:t>
            </w:r>
          </w:p>
        </w:tc>
        <w:tc>
          <w:tcPr>
            <w:tcW w:w="1584" w:type="dxa"/>
            <w:shd w:val="clear" w:color="auto" w:fill="D9D9D9" w:themeFill="background1" w:themeFillShade="D9"/>
            <w:vAlign w:val="center"/>
          </w:tcPr>
          <w:p w14:paraId="78C1E7D7" w14:textId="0AF08539" w:rsidR="009E12F6" w:rsidRDefault="009E12F6" w:rsidP="009E12F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76" w:type="dxa"/>
            <w:shd w:val="clear" w:color="auto" w:fill="D9D9D9" w:themeFill="background1" w:themeFillShade="D9"/>
            <w:vAlign w:val="center"/>
          </w:tcPr>
          <w:p w14:paraId="41E814EC" w14:textId="4AC97B95" w:rsidR="009E12F6" w:rsidRPr="38298770" w:rsidRDefault="009E12F6" w:rsidP="009E12F6">
            <w:pPr>
              <w:jc w:val="both"/>
              <w:rPr>
                <w:rFonts w:asciiTheme="minorHAnsi" w:hAnsiTheme="minorHAnsi" w:cstheme="minorBidi"/>
                <w:color w:val="000000" w:themeColor="text1"/>
                <w:sz w:val="18"/>
                <w:szCs w:val="18"/>
              </w:rPr>
            </w:pPr>
            <w:r>
              <w:rPr>
                <w:rFonts w:asciiTheme="minorHAnsi" w:hAnsiTheme="minorHAnsi" w:cstheme="minorBidi"/>
                <w:color w:val="000000" w:themeColor="text1"/>
                <w:sz w:val="18"/>
                <w:szCs w:val="18"/>
              </w:rPr>
              <w:t xml:space="preserve">To be considered at a future PBAC meeting. </w:t>
            </w:r>
          </w:p>
        </w:tc>
      </w:tr>
      <w:tr w:rsidR="004C0683" w:rsidRPr="008059F4" w:rsidDel="008F66B5" w14:paraId="489FAC6F" w14:textId="2A32FC6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437C50" w14:textId="1A1722A5"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ODEVIXIBAT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200</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400</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600</w:t>
            </w:r>
            <w:r w:rsidR="00E37035">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1200</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Bylvay</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IPSEN PTY LTD</w:t>
            </w:r>
          </w:p>
          <w:p w14:paraId="4CE1DB4F" w14:textId="77777777" w:rsidR="007F36F2" w:rsidRPr="000510F0" w:rsidRDefault="007F36F2" w:rsidP="004C0683">
            <w:pPr>
              <w:jc w:val="center"/>
              <w:rPr>
                <w:rFonts w:asciiTheme="minorHAnsi" w:eastAsia="Calibri" w:hAnsiTheme="minorHAnsi" w:cstheme="minorHAnsi"/>
                <w:color w:val="000000" w:themeColor="text1"/>
                <w:sz w:val="18"/>
                <w:szCs w:val="18"/>
              </w:rPr>
            </w:pPr>
          </w:p>
          <w:p w14:paraId="36C45B4F" w14:textId="77777777" w:rsidR="004C0683" w:rsidRPr="00614D83" w:rsidRDefault="004C0683" w:rsidP="004C0683">
            <w:pPr>
              <w:jc w:val="center"/>
              <w:rPr>
                <w:rFonts w:ascii="Calibri" w:hAnsi="Calibri" w:cs="Calibri"/>
                <w:color w:val="000000"/>
                <w:sz w:val="18"/>
                <w:szCs w:val="18"/>
              </w:rPr>
            </w:pPr>
            <w:r w:rsidRPr="00614D83">
              <w:rPr>
                <w:rFonts w:ascii="Calibri" w:hAnsi="Calibri" w:cs="Calibri"/>
                <w:color w:val="000000"/>
                <w:sz w:val="18"/>
                <w:szCs w:val="18"/>
              </w:rPr>
              <w:t>Facilitated resolution</w:t>
            </w:r>
          </w:p>
          <w:p w14:paraId="78B9C198" w14:textId="7899CE0E"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A52EF10" w14:textId="2B43FABC"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Progressive familial intrahepatic cholestasis (PFIC)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BC36C3B" w14:textId="3AA6CCBA"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(Highly Specialised Drugs Program) Authority Required (STREAMLINED) listing for the treatment of PFIC.</w:t>
            </w:r>
          </w:p>
        </w:tc>
        <w:tc>
          <w:tcPr>
            <w:tcW w:w="1584" w:type="dxa"/>
            <w:shd w:val="clear" w:color="auto" w:fill="auto"/>
            <w:vAlign w:val="center"/>
          </w:tcPr>
          <w:p w14:paraId="7475BFF7" w14:textId="05F286FB" w:rsidR="004C0683" w:rsidRPr="00F03408" w:rsidDel="008F66B5" w:rsidRDefault="007B4F7F"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76" w:type="dxa"/>
            <w:shd w:val="clear" w:color="auto" w:fill="auto"/>
            <w:vAlign w:val="center"/>
          </w:tcPr>
          <w:p w14:paraId="6698E060" w14:textId="1EAD0E5A" w:rsidR="00961C4C" w:rsidRPr="00961C4C" w:rsidRDefault="00961C4C" w:rsidP="00961C4C">
            <w:pPr>
              <w:jc w:val="both"/>
              <w:rPr>
                <w:rFonts w:asciiTheme="minorHAnsi" w:hAnsiTheme="minorHAnsi" w:cstheme="minorBidi"/>
                <w:color w:val="000000"/>
                <w:sz w:val="18"/>
                <w:szCs w:val="18"/>
              </w:rPr>
            </w:pPr>
            <w:r w:rsidRPr="00961C4C">
              <w:rPr>
                <w:rFonts w:asciiTheme="minorHAnsi" w:hAnsiTheme="minorHAnsi" w:cstheme="minorBidi"/>
                <w:color w:val="000000"/>
                <w:sz w:val="18"/>
                <w:szCs w:val="18"/>
              </w:rPr>
              <w:t xml:space="preserve">The PBAC deferred making a recommendation for odevixibat for the treatment of PFIC. The PBAC requested draft restrictions which considered revisions to the following aspects: prescriber type for adults, instrument used for assessing pruritus, and criteria for ceasing treatment if no response, for retreatment and for dose escalation. The PBAC requested a reduced price for odevixibat as it considered odevixibat was not cost-effective at the price proposed in the resubmission. The PBAC requested revised financial caps for the </w:t>
            </w:r>
            <w:r w:rsidR="00E374E7">
              <w:rPr>
                <w:rFonts w:asciiTheme="minorHAnsi" w:hAnsiTheme="minorHAnsi" w:cstheme="minorBidi"/>
                <w:color w:val="000000"/>
                <w:sz w:val="18"/>
                <w:szCs w:val="18"/>
              </w:rPr>
              <w:t>risk sharing arrangement</w:t>
            </w:r>
            <w:r w:rsidRPr="00961C4C">
              <w:rPr>
                <w:rFonts w:asciiTheme="minorHAnsi" w:hAnsiTheme="minorHAnsi" w:cstheme="minorBidi"/>
                <w:color w:val="000000"/>
                <w:sz w:val="18"/>
                <w:szCs w:val="18"/>
              </w:rPr>
              <w:t xml:space="preserve"> as the financial estimates which informed the caps in the resubmission were overestimated and hence did not adequately manage the risk of dose escalation which would not be cost-effective, as well as continued use in non-responders. </w:t>
            </w:r>
            <w:r w:rsidRPr="00961C4C">
              <w:rPr>
                <w:rFonts w:asciiTheme="minorHAnsi" w:hAnsiTheme="minorHAnsi" w:cstheme="minorBidi"/>
                <w:color w:val="000000"/>
                <w:sz w:val="18"/>
                <w:szCs w:val="18"/>
                <w:lang w:val="en-GB"/>
              </w:rPr>
              <w:t>The PBAC, noting the high clinical need, stated that they would continue to work with the Sponsor to address the remaining issues.</w:t>
            </w:r>
          </w:p>
          <w:p w14:paraId="60A02EE1" w14:textId="77777777" w:rsidR="00A26928" w:rsidRDefault="00A26928" w:rsidP="00A26928">
            <w:pPr>
              <w:ind w:left="11"/>
              <w:contextualSpacing/>
              <w:jc w:val="both"/>
              <w:rPr>
                <w:rFonts w:asciiTheme="minorHAnsi" w:eastAsiaTheme="minorHAnsi" w:hAnsiTheme="minorHAnsi" w:cstheme="minorHAnsi"/>
                <w:sz w:val="18"/>
                <w:szCs w:val="18"/>
              </w:rPr>
            </w:pPr>
          </w:p>
          <w:p w14:paraId="7C335F67" w14:textId="77777777" w:rsidR="00A26928" w:rsidRDefault="00A26928" w:rsidP="00A26928">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64526954" w14:textId="5AFC88D8" w:rsidR="004C0683" w:rsidRPr="00F03408" w:rsidDel="008F66B5" w:rsidRDefault="0060145D" w:rsidP="004C0683">
            <w:pPr>
              <w:jc w:val="both"/>
              <w:rPr>
                <w:rFonts w:asciiTheme="minorHAnsi" w:hAnsiTheme="minorHAnsi" w:cstheme="minorBidi"/>
                <w:color w:val="000000"/>
                <w:sz w:val="18"/>
                <w:szCs w:val="18"/>
              </w:rPr>
            </w:pPr>
            <w:r w:rsidRPr="0060145D">
              <w:rPr>
                <w:rFonts w:asciiTheme="minorHAnsi" w:hAnsiTheme="minorHAnsi" w:cstheme="minorBidi"/>
                <w:color w:val="000000"/>
                <w:sz w:val="18"/>
                <w:szCs w:val="18"/>
              </w:rPr>
              <w:t>Ipsen looks forward to working with the PBAC and Department of Health and Aged Care on next steps to help address the needs of patients with PFIC as soon as possible.</w:t>
            </w:r>
          </w:p>
        </w:tc>
      </w:tr>
      <w:tr w:rsidR="004C0683" w:rsidRPr="008059F4" w:rsidDel="008F66B5" w14:paraId="43F0D609" w14:textId="5D922E28"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37890EF" w14:textId="79F54689"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 xml:space="preserve">OMALIZUMAB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75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150</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mL single dose pre-filled syringe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Omlyclo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CELLTRION HEALTHCARE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3</w:t>
            </w:r>
          </w:p>
          <w:p w14:paraId="38E8A33A" w14:textId="335CEB61"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D2E4F61" w14:textId="6AEFC34E"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Uncontrolled severe asthma</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Uncontrolled severe allergic asthma</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Severe chronic spontaneous urticaria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D807BB" w14:textId="102650DA"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c>
          <w:tcPr>
            <w:tcW w:w="1584" w:type="dxa"/>
            <w:shd w:val="clear" w:color="auto" w:fill="auto"/>
            <w:vAlign w:val="center"/>
          </w:tcPr>
          <w:p w14:paraId="41EBECF1" w14:textId="080EFE2C" w:rsidR="004C0683" w:rsidRPr="00F03408" w:rsidDel="008F66B5" w:rsidRDefault="00DD3E4D"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2EDB2CB" w14:textId="774A0D00" w:rsidR="004C0683" w:rsidRPr="00F03408" w:rsidDel="008F66B5" w:rsidRDefault="340ACC72" w:rsidP="001E7D86">
            <w:pPr>
              <w:spacing w:before="240" w:after="240"/>
              <w:jc w:val="both"/>
              <w:rPr>
                <w:rFonts w:ascii="Calibri" w:eastAsia="Calibri" w:hAnsi="Calibri" w:cs="Calibri"/>
                <w:sz w:val="18"/>
                <w:szCs w:val="18"/>
              </w:rPr>
            </w:pPr>
            <w:r w:rsidRPr="0CA28577">
              <w:rPr>
                <w:rFonts w:ascii="Calibri" w:eastAsia="Calibri" w:hAnsi="Calibri" w:cs="Calibri"/>
                <w:sz w:val="18"/>
                <w:szCs w:val="18"/>
              </w:rPr>
              <w:t>The PBAC recommended Section 100 (Highly Specialised Drugs Program) Authority Required listings of a new biosimilar brand of omalizumab (Omlyclo®) in the forms of 75</w:t>
            </w:r>
            <w:r w:rsidR="00882E43">
              <w:rPr>
                <w:rFonts w:ascii="Calibri" w:eastAsia="Calibri" w:hAnsi="Calibri" w:cs="Calibri"/>
                <w:sz w:val="18"/>
                <w:szCs w:val="18"/>
              </w:rPr>
              <w:t> </w:t>
            </w:r>
            <w:r w:rsidRPr="0CA28577">
              <w:rPr>
                <w:rFonts w:ascii="Calibri" w:eastAsia="Calibri" w:hAnsi="Calibri" w:cs="Calibri"/>
                <w:sz w:val="18"/>
                <w:szCs w:val="18"/>
              </w:rPr>
              <w:t>mg in 0.5</w:t>
            </w:r>
            <w:r w:rsidR="00882E43">
              <w:rPr>
                <w:rFonts w:ascii="Calibri" w:eastAsia="Calibri" w:hAnsi="Calibri" w:cs="Calibri"/>
                <w:sz w:val="18"/>
                <w:szCs w:val="18"/>
              </w:rPr>
              <w:t> </w:t>
            </w:r>
            <w:r w:rsidRPr="0CA28577">
              <w:rPr>
                <w:rFonts w:ascii="Calibri" w:eastAsia="Calibri" w:hAnsi="Calibri" w:cs="Calibri"/>
                <w:sz w:val="18"/>
                <w:szCs w:val="18"/>
              </w:rPr>
              <w:t>mL and 150</w:t>
            </w:r>
            <w:r w:rsidR="00882E43">
              <w:rPr>
                <w:rFonts w:ascii="Calibri" w:eastAsia="Calibri" w:hAnsi="Calibri" w:cs="Calibri"/>
                <w:sz w:val="18"/>
                <w:szCs w:val="18"/>
              </w:rPr>
              <w:t> </w:t>
            </w:r>
            <w:r w:rsidRPr="0CA28577">
              <w:rPr>
                <w:rFonts w:ascii="Calibri" w:eastAsia="Calibri" w:hAnsi="Calibri" w:cs="Calibri"/>
                <w:sz w:val="18"/>
                <w:szCs w:val="18"/>
              </w:rPr>
              <w:t>mg in 1</w:t>
            </w:r>
            <w:r w:rsidR="00882E43">
              <w:rPr>
                <w:rFonts w:ascii="Calibri" w:eastAsia="Calibri" w:hAnsi="Calibri" w:cs="Calibri"/>
                <w:sz w:val="18"/>
                <w:szCs w:val="18"/>
              </w:rPr>
              <w:t> </w:t>
            </w:r>
            <w:r w:rsidRPr="0CA28577">
              <w:rPr>
                <w:rFonts w:ascii="Calibri" w:eastAsia="Calibri" w:hAnsi="Calibri" w:cs="Calibri"/>
                <w:sz w:val="18"/>
                <w:szCs w:val="18"/>
              </w:rPr>
              <w:t>mL pre-filled syringe (PFS) on a cost-minimisation basis and under the same circumstances as the PBS-listed reference biologic, Xolair®, for the treatment of uncontrolled severe asthma, uncontrolled severe allergic asthma, and severe chronic spontaneous urticaria. The PBAC noted the submission requested that biosimilar uptake drivers be applied to Omlyclo, that is, to have an Authority Required (STREAMLINED) requirement for the subsequent continuing treatment listings and the inclusion of an administrative note across all Omlyclo listings encouraging use of the biosimilar brand for treatment naïve patients. The PBAC considered that the application of biosimilar uptake drivers to Omlyclo would be clinically appropriate and would not impact cost-effectiveness.</w:t>
            </w:r>
          </w:p>
        </w:tc>
      </w:tr>
      <w:tr w:rsidR="004C0683" w:rsidRPr="008059F4" w:rsidDel="008F66B5" w14:paraId="41B47CB4" w14:textId="462C667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1AC6AE" w14:textId="0110BEC2"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OMALIZUMAB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75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150</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300</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2</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75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0.5</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 mL single dose pre-filled pen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150</w:t>
            </w:r>
            <w:r w:rsidR="00882E43">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w:t>
            </w:r>
            <w:r w:rsidR="000A30CC">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300</w:t>
            </w:r>
            <w:r w:rsidR="000A30CC">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2</w:t>
            </w:r>
            <w:r w:rsidR="000A30CC">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dose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Xolair</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NOVARTIS PHARMACEUTICALS AUSTRALIA PTY LIMITED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4</w:t>
            </w:r>
          </w:p>
          <w:p w14:paraId="7DF55830" w14:textId="7644D5A7"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D779DF2" w14:textId="42F67E76"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Uncontrolled severe asthma</w:t>
            </w:r>
            <w:r w:rsidR="00274171" w:rsidRPr="00274171">
              <w:rPr>
                <w:rFonts w:asciiTheme="minorHAnsi" w:eastAsia="Calibri" w:hAnsiTheme="minorHAnsi" w:cstheme="minorHAnsi"/>
                <w:color w:val="000000" w:themeColor="text1"/>
                <w:sz w:val="18"/>
                <w:szCs w:val="18"/>
              </w:rPr>
              <w:t>(USA)</w:t>
            </w:r>
            <w:r w:rsidR="00274171">
              <w:rPr>
                <w:rFonts w:asciiTheme="minorHAnsi" w:eastAsia="Calibri" w:hAnsiTheme="minorHAnsi" w:cstheme="minorHAnsi"/>
                <w:color w:val="000000" w:themeColor="text1"/>
                <w:sz w:val="18"/>
                <w:szCs w:val="18"/>
              </w:rPr>
              <w:t xml:space="preserve"> </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Uncontrolled severe allergic asthma</w:t>
            </w:r>
            <w:r w:rsidR="0091742D">
              <w:rPr>
                <w:rFonts w:asciiTheme="minorHAnsi" w:eastAsia="Calibri" w:hAnsiTheme="minorHAnsi" w:cstheme="minorHAnsi"/>
                <w:color w:val="000000" w:themeColor="text1"/>
                <w:sz w:val="18"/>
                <w:szCs w:val="18"/>
              </w:rPr>
              <w:t xml:space="preserve"> </w:t>
            </w:r>
            <w:r w:rsidR="0091742D" w:rsidRPr="0091742D">
              <w:rPr>
                <w:rFonts w:asciiTheme="minorHAnsi" w:eastAsia="Calibri" w:hAnsiTheme="minorHAnsi" w:cstheme="minorHAnsi"/>
                <w:color w:val="000000" w:themeColor="text1"/>
                <w:sz w:val="18"/>
                <w:szCs w:val="18"/>
              </w:rPr>
              <w:t>(USAA)</w:t>
            </w:r>
            <w:r w:rsidR="0091742D">
              <w:rPr>
                <w:rFonts w:asciiTheme="minorHAnsi" w:eastAsia="Calibri" w:hAnsiTheme="minorHAnsi" w:cstheme="minorHAnsi"/>
                <w:color w:val="000000" w:themeColor="text1"/>
                <w:sz w:val="18"/>
                <w:szCs w:val="18"/>
              </w:rPr>
              <w:t xml:space="preserve"> </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Severe chronic spontaneous urticaria</w:t>
            </w:r>
            <w:r w:rsidR="007247A1">
              <w:rPr>
                <w:rFonts w:asciiTheme="minorHAnsi" w:eastAsia="Calibri" w:hAnsiTheme="minorHAnsi" w:cstheme="minorHAnsi"/>
                <w:color w:val="000000" w:themeColor="text1"/>
                <w:sz w:val="18"/>
                <w:szCs w:val="18"/>
              </w:rPr>
              <w:t xml:space="preserve"> </w:t>
            </w:r>
            <w:r w:rsidR="007247A1" w:rsidRPr="007247A1">
              <w:rPr>
                <w:rFonts w:asciiTheme="minorHAnsi" w:eastAsia="Calibri" w:hAnsiTheme="minorHAnsi" w:cstheme="minorHAnsi"/>
                <w:color w:val="000000" w:themeColor="text1"/>
                <w:sz w:val="18"/>
                <w:szCs w:val="18"/>
              </w:rPr>
              <w:t>(CSU)</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3A8F93" w14:textId="5BB9E2E9"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Section 100 (Highly Specialised Drugs Program) Authority Required listings of a new strength and new forms of omalizumab for the treatment of uncontrolled severe asthma, uncontrolled severe allergic asthma, and severe chronic spontaneous urticaria.</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001D80" w14:textId="131DCC19" w:rsidR="004C0683" w:rsidRPr="00F03408" w:rsidDel="008F66B5" w:rsidRDefault="00DD3E4D"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0E48E1C6" w14:textId="39C8F3C7" w:rsidR="004C0683" w:rsidRPr="00F03408" w:rsidDel="008F66B5" w:rsidRDefault="76C327C6" w:rsidP="762D8BC6">
            <w:pPr>
              <w:jc w:val="both"/>
              <w:rPr>
                <w:rFonts w:asciiTheme="minorHAnsi" w:hAnsiTheme="minorHAnsi" w:cstheme="minorBidi"/>
                <w:color w:val="000000" w:themeColor="text1"/>
                <w:sz w:val="18"/>
                <w:szCs w:val="18"/>
              </w:rPr>
            </w:pPr>
            <w:r w:rsidRPr="762D8BC6">
              <w:rPr>
                <w:rFonts w:asciiTheme="minorHAnsi" w:hAnsiTheme="minorHAnsi" w:cstheme="minorBidi"/>
                <w:color w:val="000000" w:themeColor="text1"/>
                <w:sz w:val="18"/>
                <w:szCs w:val="18"/>
              </w:rPr>
              <w:t>The PBAC recommended listing a new 300</w:t>
            </w:r>
            <w:r w:rsidR="000A30CC">
              <w:rPr>
                <w:rFonts w:asciiTheme="minorHAnsi" w:hAnsiTheme="minorHAnsi" w:cstheme="minorBidi"/>
                <w:color w:val="000000" w:themeColor="text1"/>
                <w:sz w:val="18"/>
                <w:szCs w:val="18"/>
              </w:rPr>
              <w:t> </w:t>
            </w:r>
            <w:r w:rsidRPr="762D8BC6">
              <w:rPr>
                <w:rFonts w:asciiTheme="minorHAnsi" w:hAnsiTheme="minorHAnsi" w:cstheme="minorBidi"/>
                <w:color w:val="000000" w:themeColor="text1"/>
                <w:sz w:val="18"/>
                <w:szCs w:val="18"/>
              </w:rPr>
              <w:t>mg/2</w:t>
            </w:r>
            <w:r w:rsidR="000A30CC">
              <w:rPr>
                <w:rFonts w:asciiTheme="minorHAnsi" w:hAnsiTheme="minorHAnsi" w:cstheme="minorBidi"/>
                <w:color w:val="000000" w:themeColor="text1"/>
                <w:sz w:val="18"/>
                <w:szCs w:val="18"/>
              </w:rPr>
              <w:t> </w:t>
            </w:r>
            <w:r w:rsidRPr="762D8BC6">
              <w:rPr>
                <w:rFonts w:asciiTheme="minorHAnsi" w:hAnsiTheme="minorHAnsi" w:cstheme="minorBidi"/>
                <w:color w:val="000000" w:themeColor="text1"/>
                <w:sz w:val="18"/>
                <w:szCs w:val="18"/>
              </w:rPr>
              <w:t>mL strength and a new pre-filled pen (PFP) form of omalizumab (Xolair®) under the same conditions as the current PBS listings of the pre-filled syringe (PFS) form for the treatment of USA and CSU as a Section 100 (Highly Specialised Drugs Program) Authority Required listing. The PBAC considered it appropriate for the new PFS form with a new safety device in the 75 mg/0.5 mL and 150 mg/mL strengths to be listed under the same PBS item codes as the existing PFS form for the treatment of USA, CSU, and USAA.</w:t>
            </w:r>
          </w:p>
          <w:p w14:paraId="23ACB32A" w14:textId="77777777" w:rsidR="00960AF9" w:rsidRPr="00F03408" w:rsidDel="008F66B5" w:rsidRDefault="00960AF9" w:rsidP="762D8BC6">
            <w:pPr>
              <w:jc w:val="both"/>
              <w:rPr>
                <w:rFonts w:asciiTheme="minorHAnsi" w:hAnsiTheme="minorHAnsi" w:cstheme="minorBidi"/>
                <w:color w:val="000000" w:themeColor="text1"/>
                <w:sz w:val="18"/>
                <w:szCs w:val="18"/>
              </w:rPr>
            </w:pPr>
          </w:p>
          <w:p w14:paraId="7E593C56" w14:textId="3598C55F" w:rsidR="004C0683" w:rsidDel="008F66B5" w:rsidRDefault="76C327C6" w:rsidP="762D8BC6">
            <w:pPr>
              <w:jc w:val="both"/>
              <w:rPr>
                <w:rFonts w:asciiTheme="minorHAnsi" w:hAnsiTheme="minorHAnsi" w:cstheme="minorBidi"/>
                <w:color w:val="000000" w:themeColor="text1"/>
                <w:sz w:val="18"/>
                <w:szCs w:val="18"/>
              </w:rPr>
            </w:pPr>
            <w:r w:rsidRPr="762D8BC6">
              <w:rPr>
                <w:rFonts w:asciiTheme="minorHAnsi" w:hAnsiTheme="minorHAnsi" w:cstheme="minorBidi"/>
                <w:color w:val="000000" w:themeColor="text1"/>
                <w:sz w:val="18"/>
                <w:szCs w:val="18"/>
              </w:rPr>
              <w:t>The PBAC advised that the PFS and PFP forms of omalizumab should be considered equivalent for the purposes of substitution (i.e., ‘a’ flagged in the Schedule) for the treatment of USA and CSU. The PBAC noted that the 300 mg/2 mL PFS and all strengths of PFP are not intended for use in patients under 12 years of age and therefore advised that a caution stating “the 300</w:t>
            </w:r>
            <w:r w:rsidR="009A53F8">
              <w:rPr>
                <w:rFonts w:asciiTheme="minorHAnsi" w:hAnsiTheme="minorHAnsi" w:cstheme="minorBidi"/>
                <w:color w:val="000000" w:themeColor="text1"/>
                <w:sz w:val="18"/>
                <w:szCs w:val="18"/>
              </w:rPr>
              <w:t> </w:t>
            </w:r>
            <w:r w:rsidRPr="762D8BC6">
              <w:rPr>
                <w:rFonts w:asciiTheme="minorHAnsi" w:hAnsiTheme="minorHAnsi" w:cstheme="minorBidi"/>
                <w:color w:val="000000" w:themeColor="text1"/>
                <w:sz w:val="18"/>
                <w:szCs w:val="18"/>
              </w:rPr>
              <w:t>mg/2</w:t>
            </w:r>
            <w:r w:rsidR="009A53F8">
              <w:rPr>
                <w:rFonts w:asciiTheme="minorHAnsi" w:hAnsiTheme="minorHAnsi" w:cstheme="minorBidi"/>
                <w:color w:val="000000" w:themeColor="text1"/>
                <w:sz w:val="18"/>
                <w:szCs w:val="18"/>
              </w:rPr>
              <w:t> </w:t>
            </w:r>
            <w:r w:rsidRPr="762D8BC6">
              <w:rPr>
                <w:rFonts w:asciiTheme="minorHAnsi" w:hAnsiTheme="minorHAnsi" w:cstheme="minorBidi"/>
                <w:color w:val="000000" w:themeColor="text1"/>
                <w:sz w:val="18"/>
                <w:szCs w:val="18"/>
              </w:rPr>
              <w:t>mL pre-filled syringe and all dose strengths of the pen device are not intended for use in children under 12 years of age” should be included in the restriction for USAA.</w:t>
            </w:r>
          </w:p>
          <w:p w14:paraId="7D8C2961" w14:textId="77777777" w:rsidR="004C3B71" w:rsidRPr="00F03408" w:rsidDel="008F66B5" w:rsidRDefault="004C3B71" w:rsidP="762D8BC6">
            <w:pPr>
              <w:jc w:val="both"/>
            </w:pPr>
          </w:p>
          <w:p w14:paraId="36785728" w14:textId="5D9FCAE9" w:rsidR="004C0683" w:rsidRPr="00F03408" w:rsidDel="008F66B5" w:rsidRDefault="76C327C6" w:rsidP="004C0683">
            <w:pPr>
              <w:jc w:val="both"/>
            </w:pPr>
            <w:r w:rsidRPr="762D8BC6">
              <w:rPr>
                <w:rFonts w:asciiTheme="minorHAnsi" w:hAnsiTheme="minorHAnsi" w:cstheme="minorBidi"/>
                <w:color w:val="000000" w:themeColor="text1"/>
                <w:sz w:val="18"/>
                <w:szCs w:val="18"/>
              </w:rPr>
              <w:t>The PBAC considered that the new forms are expected to substitute for the currently PBS-listed PFS form of omalizumab, resulting in no net financial implications to the PBS/RPBS.</w:t>
            </w:r>
          </w:p>
        </w:tc>
      </w:tr>
      <w:tr w:rsidR="004C0683" w:rsidRPr="008059F4" w:rsidDel="008F66B5" w14:paraId="76945031" w14:textId="50AC5688"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15A3399" w14:textId="1EAE5C58"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OMAVELOXOLONE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Capsule 50</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Skyclarys</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BIOGEN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15BE5E6A" w14:textId="1C7A273C"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68E6C7" w14:textId="75FB8E91"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Friedreich’s ataxia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5CFAE47" w14:textId="687633DE"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General Schedule Authority Required (Telephone/Online) listing for the treatment of Friedreich’s ataxia in adults and adolescents aged 16 years and older.</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B8755EE" w14:textId="13DF50B2" w:rsidR="004C0683" w:rsidRPr="00F03408" w:rsidDel="008F66B5" w:rsidRDefault="00241AD9"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w:t>
            </w:r>
            <w:r w:rsidR="0092372F">
              <w:rPr>
                <w:rFonts w:asciiTheme="minorHAnsi" w:hAnsiTheme="minorHAnsi" w:cstheme="minorHAnsi"/>
                <w:color w:val="000000"/>
                <w:sz w:val="18"/>
                <w:szCs w:val="18"/>
              </w:rPr>
              <w:t>ended</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14:paraId="61438AED" w14:textId="213E9E01" w:rsidR="00834EC7" w:rsidRPr="00834EC7" w:rsidRDefault="00834EC7" w:rsidP="00834EC7">
            <w:pPr>
              <w:ind w:left="11"/>
              <w:contextualSpacing/>
              <w:jc w:val="both"/>
              <w:rPr>
                <w:rFonts w:asciiTheme="minorHAnsi" w:eastAsiaTheme="minorHAnsi" w:hAnsiTheme="minorHAnsi" w:cstheme="minorHAnsi"/>
                <w:sz w:val="18"/>
                <w:szCs w:val="18"/>
              </w:rPr>
            </w:pPr>
            <w:r w:rsidRPr="00834EC7">
              <w:rPr>
                <w:rFonts w:asciiTheme="minorHAnsi" w:eastAsiaTheme="minorHAnsi" w:hAnsiTheme="minorHAnsi" w:cstheme="minorHAnsi"/>
                <w:sz w:val="18"/>
                <w:szCs w:val="18"/>
              </w:rPr>
              <w:t>The PBAC did not recommend omaveloxolone for treatment of Friedreich’s ataxia in adults and adolescents aged 16 years and older. The PBAC noted the high clinical need for treatments for this condition but considered that the data presented did not convincingly support the claims that omaveloxolone was superior in terms of effectiveness compared to best supportive care. Further, the PBAC advised that omaveloxolone was not cost-effective with a very high incremental cost-effectiveness ratio. The PBAC noted that this was based on the proposed published price, and although the submission indicated the effective price would be lower, it was not provided by the sponsor. The PBAC considered that financial impact estimate of listing omaveloxolone on the PBS was very high (approximately $900 million to &lt; $1 billion over 6 years), although this was also based on the proposed published price.</w:t>
            </w:r>
          </w:p>
          <w:p w14:paraId="0770E704" w14:textId="77777777" w:rsidR="00960AF9" w:rsidRDefault="00960AF9" w:rsidP="00960AF9">
            <w:pPr>
              <w:ind w:left="11"/>
              <w:contextualSpacing/>
              <w:jc w:val="both"/>
              <w:rPr>
                <w:rFonts w:asciiTheme="minorHAnsi" w:eastAsiaTheme="minorHAnsi" w:hAnsiTheme="minorHAnsi" w:cstheme="minorHAnsi"/>
                <w:sz w:val="18"/>
                <w:szCs w:val="18"/>
              </w:rPr>
            </w:pPr>
          </w:p>
          <w:p w14:paraId="115B40D9" w14:textId="77777777" w:rsidR="00960AF9" w:rsidRDefault="00960AF9" w:rsidP="00960AF9">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25D460A3" w14:textId="77777777" w:rsidR="00AB3387" w:rsidRPr="00AB3387" w:rsidRDefault="00AB3387" w:rsidP="00AB3387">
            <w:pPr>
              <w:jc w:val="both"/>
              <w:rPr>
                <w:rFonts w:asciiTheme="minorHAnsi" w:hAnsiTheme="minorHAnsi" w:cstheme="minorHAnsi"/>
                <w:sz w:val="18"/>
                <w:szCs w:val="18"/>
              </w:rPr>
            </w:pPr>
            <w:r w:rsidRPr="00AB3387">
              <w:rPr>
                <w:rFonts w:asciiTheme="minorHAnsi" w:hAnsiTheme="minorHAnsi" w:cstheme="minorHAnsi"/>
                <w:sz w:val="18"/>
                <w:szCs w:val="18"/>
              </w:rPr>
              <w:t>Biogen welcomes the PBAC’s acknowledgement of the high unmet clinical need for people living with Friedreich's ataxia. Biogen believes that the MOXIe trial demonstrated that omaveloxolone provides a clinical benefit to people with Friedreich’s ataxia by slowing the progression of the disease.</w:t>
            </w:r>
          </w:p>
          <w:p w14:paraId="5F8C069C" w14:textId="77777777" w:rsidR="00AB3387" w:rsidRPr="00AB3387" w:rsidRDefault="00AB3387" w:rsidP="00AB3387">
            <w:pPr>
              <w:jc w:val="both"/>
              <w:rPr>
                <w:rFonts w:asciiTheme="minorHAnsi" w:hAnsiTheme="minorHAnsi" w:cstheme="minorHAnsi"/>
                <w:sz w:val="18"/>
                <w:szCs w:val="18"/>
              </w:rPr>
            </w:pPr>
          </w:p>
          <w:p w14:paraId="19E66DC2" w14:textId="77777777" w:rsidR="00AB3387" w:rsidRPr="00AB3387" w:rsidRDefault="00AB3387" w:rsidP="00AB3387">
            <w:pPr>
              <w:jc w:val="both"/>
              <w:rPr>
                <w:rFonts w:asciiTheme="minorHAnsi" w:hAnsiTheme="minorHAnsi" w:cstheme="minorHAnsi"/>
                <w:sz w:val="18"/>
                <w:szCs w:val="18"/>
              </w:rPr>
            </w:pPr>
            <w:r w:rsidRPr="00AB3387">
              <w:rPr>
                <w:rFonts w:asciiTheme="minorHAnsi" w:hAnsiTheme="minorHAnsi" w:cstheme="minorHAnsi"/>
                <w:sz w:val="18"/>
                <w:szCs w:val="18"/>
              </w:rPr>
              <w:t>Biogen will continue to work collaboratively with the PBAC to deliver access to omaveloxolone for people with this rare condition in a timely manner.</w:t>
            </w:r>
          </w:p>
          <w:p w14:paraId="380D7236" w14:textId="77777777" w:rsidR="00AB3387" w:rsidRPr="00AB3387" w:rsidRDefault="00AB3387" w:rsidP="00AB3387">
            <w:pPr>
              <w:jc w:val="both"/>
              <w:rPr>
                <w:rFonts w:asciiTheme="minorHAnsi" w:hAnsiTheme="minorHAnsi" w:cstheme="minorHAnsi"/>
                <w:sz w:val="18"/>
                <w:szCs w:val="18"/>
              </w:rPr>
            </w:pPr>
          </w:p>
          <w:p w14:paraId="41F8885E" w14:textId="76E34713" w:rsidR="004C0683" w:rsidRPr="00F03408" w:rsidDel="008F66B5" w:rsidRDefault="00AB3387" w:rsidP="00AB3387">
            <w:pPr>
              <w:jc w:val="both"/>
              <w:rPr>
                <w:rFonts w:asciiTheme="minorHAnsi" w:hAnsiTheme="minorHAnsi" w:cstheme="minorHAnsi"/>
                <w:sz w:val="18"/>
                <w:szCs w:val="18"/>
              </w:rPr>
            </w:pPr>
            <w:r w:rsidRPr="00AB3387">
              <w:rPr>
                <w:rFonts w:asciiTheme="minorHAnsi" w:hAnsiTheme="minorHAnsi" w:cstheme="minorHAnsi"/>
                <w:sz w:val="18"/>
                <w:szCs w:val="18"/>
              </w:rPr>
              <w:t>Biogen would like to take this opportunity to thank the Friedreich's ataxia community and healthcare professionals who supported the submission.</w:t>
            </w:r>
          </w:p>
        </w:tc>
      </w:tr>
      <w:tr w:rsidR="004C0683" w:rsidRPr="008059F4" w:rsidDel="008F66B5" w14:paraId="07695403" w14:textId="735C28BB"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BC6C8D2" w14:textId="444DE8F1" w:rsidR="004C0683"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PALOPEGTERIPARATIDE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168</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 in 0.56</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294</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 in 0.98</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injection 420</w:t>
            </w:r>
            <w:r w:rsidR="009A53F8">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micrograms in 1.4</w:t>
            </w:r>
            <w:r w:rsidR="00324BA0">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pre-filled pen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Yorvipath</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SPECIALISED THERAPEUTICS PHARMA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376F530F" w14:textId="3412DA36"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C010855" w14:textId="29451886"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Chronic hypoparathyroidism</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A6A721" w14:textId="27C297C3"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General Schedule Authority Required (Telephone/Online) listing for the treatment of chronic hypoparathyroidism.</w:t>
            </w:r>
          </w:p>
        </w:tc>
        <w:tc>
          <w:tcPr>
            <w:tcW w:w="1584" w:type="dxa"/>
            <w:shd w:val="clear" w:color="auto" w:fill="auto"/>
            <w:vAlign w:val="center"/>
          </w:tcPr>
          <w:p w14:paraId="09038FC0" w14:textId="2618CB53" w:rsidR="004C0683" w:rsidRPr="00F03408" w:rsidDel="008F66B5" w:rsidRDefault="005A6CA2"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76" w:type="dxa"/>
            <w:shd w:val="clear" w:color="auto" w:fill="auto"/>
            <w:vAlign w:val="center"/>
          </w:tcPr>
          <w:p w14:paraId="39DAE341" w14:textId="376AEAFC" w:rsidR="00551C79" w:rsidRPr="00551C79" w:rsidRDefault="00551C79" w:rsidP="00551C79">
            <w:pPr>
              <w:ind w:left="11"/>
              <w:contextualSpacing/>
              <w:jc w:val="both"/>
              <w:rPr>
                <w:rFonts w:asciiTheme="minorHAnsi" w:eastAsiaTheme="minorHAnsi" w:hAnsiTheme="minorHAnsi" w:cstheme="minorHAnsi"/>
                <w:sz w:val="18"/>
                <w:szCs w:val="18"/>
                <w:lang w:val="en-GB"/>
              </w:rPr>
            </w:pPr>
            <w:r w:rsidRPr="00551C79">
              <w:rPr>
                <w:rFonts w:asciiTheme="minorHAnsi" w:eastAsiaTheme="minorHAnsi" w:hAnsiTheme="minorHAnsi" w:cstheme="minorHAnsi"/>
                <w:sz w:val="18"/>
                <w:szCs w:val="18"/>
                <w:lang w:val="en-GB"/>
              </w:rPr>
              <w:t xml:space="preserve">The PBAC did not recommend palopegteriparatide for the treatment of patients with chronic hypoparathyroidism who are inadequately controlled on conventional therapy (i.e. active vitamin D and calcium supplements). The PBAC considered that palopegteriparatide was superior compared to the nominated comparator of conventional therapy in terms of efficacy and likely non-inferior in terms of safety. However, the PBAC considered that the economic model presented in the submission was highly uncertain and may not be suitable for decision making, given its reliance on chronic </w:t>
            </w:r>
            <w:r w:rsidRPr="00551C79">
              <w:rPr>
                <w:rFonts w:asciiTheme="minorHAnsi" w:eastAsiaTheme="minorHAnsi" w:hAnsiTheme="minorHAnsi" w:cstheme="minorHAnsi"/>
                <w:sz w:val="18"/>
                <w:szCs w:val="18"/>
              </w:rPr>
              <w:t>kidney disease (</w:t>
            </w:r>
            <w:r w:rsidRPr="00551C79">
              <w:rPr>
                <w:rFonts w:asciiTheme="minorHAnsi" w:eastAsiaTheme="minorHAnsi" w:hAnsiTheme="minorHAnsi" w:cstheme="minorHAnsi"/>
                <w:sz w:val="18"/>
                <w:szCs w:val="18"/>
                <w:lang w:val="en-GB"/>
              </w:rPr>
              <w:t>CKD) outcomes and, at the price proposed in the submission, that palopegteriparatide was not cost-effective. The PBAC considered that the estimated utilisation was likely overestimated and considered that a risk sharing arrangement would be required to mitigate the risk of usage in the first line setting.</w:t>
            </w:r>
          </w:p>
          <w:p w14:paraId="6F23C1E1" w14:textId="77777777" w:rsidR="00020827" w:rsidRDefault="00020827" w:rsidP="00020827">
            <w:pPr>
              <w:ind w:left="11"/>
              <w:contextualSpacing/>
              <w:jc w:val="both"/>
              <w:rPr>
                <w:rFonts w:asciiTheme="minorHAnsi" w:eastAsiaTheme="minorHAnsi" w:hAnsiTheme="minorHAnsi" w:cstheme="minorHAnsi"/>
                <w:sz w:val="18"/>
                <w:szCs w:val="18"/>
              </w:rPr>
            </w:pPr>
          </w:p>
          <w:p w14:paraId="49D1B4A5" w14:textId="77777777" w:rsidR="00020827" w:rsidRDefault="00020827" w:rsidP="00020827">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68AE7271" w14:textId="087D2907" w:rsidR="004C0683" w:rsidRPr="00F03408" w:rsidDel="008F66B5" w:rsidRDefault="001F265C" w:rsidP="004C0683">
            <w:pPr>
              <w:jc w:val="both"/>
              <w:rPr>
                <w:rFonts w:asciiTheme="minorHAnsi" w:hAnsiTheme="minorHAnsi" w:cstheme="minorBidi"/>
                <w:color w:val="000000"/>
                <w:sz w:val="18"/>
                <w:szCs w:val="18"/>
              </w:rPr>
            </w:pPr>
            <w:r w:rsidRPr="00E6571B">
              <w:rPr>
                <w:rFonts w:asciiTheme="minorHAnsi" w:eastAsiaTheme="minorHAnsi" w:hAnsiTheme="minorHAnsi" w:cstheme="minorHAnsi"/>
                <w:sz w:val="18"/>
                <w:szCs w:val="18"/>
              </w:rPr>
              <w:t>The sponsor had no comment.</w:t>
            </w:r>
          </w:p>
        </w:tc>
      </w:tr>
      <w:tr w:rsidR="004C0683" w:rsidRPr="008059F4" w:rsidDel="008F66B5" w14:paraId="592A9517"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3561AF5" w14:textId="7EF9E5E0" w:rsidR="00C411BF" w:rsidRDefault="004C0683" w:rsidP="004C0683">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PEMBROLIZUMAB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100</w:t>
            </w:r>
            <w:r w:rsidR="00324BA0">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4</w:t>
            </w:r>
            <w:r w:rsidR="00324BA0">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 xml:space="preserve"> 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Keytruda</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MERCK SHARP &amp; DOHME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C411BF">
              <w:rPr>
                <w:rFonts w:asciiTheme="minorHAnsi" w:eastAsia="Calibri" w:hAnsiTheme="minorHAnsi" w:cstheme="minorHAnsi"/>
                <w:color w:val="000000" w:themeColor="text1"/>
                <w:sz w:val="18"/>
                <w:szCs w:val="18"/>
              </w:rPr>
              <w:t>Category 2</w:t>
            </w:r>
          </w:p>
          <w:p w14:paraId="2278B038" w14:textId="06BFB381"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B0D0EB7" w14:textId="409032B4"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Cervical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EFA4911" w14:textId="57A43F39"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(Efficient Funding of Chemotherapy Program) Authority Required (STREAMLINED) listing for the treatment of high risk, locally advanced cervical cancer.</w:t>
            </w:r>
          </w:p>
        </w:tc>
        <w:tc>
          <w:tcPr>
            <w:tcW w:w="1584" w:type="dxa"/>
            <w:shd w:val="clear" w:color="auto" w:fill="auto"/>
            <w:vAlign w:val="center"/>
          </w:tcPr>
          <w:p w14:paraId="32D1C8B3" w14:textId="5CD2E214" w:rsidR="004C0683" w:rsidRPr="00F03408" w:rsidDel="008F66B5" w:rsidRDefault="00727566"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350D455B" w14:textId="12903922" w:rsidR="004C0683" w:rsidRPr="00F03408" w:rsidDel="008F66B5" w:rsidRDefault="00E62CAF" w:rsidP="004C0683">
            <w:pPr>
              <w:jc w:val="both"/>
              <w:rPr>
                <w:rFonts w:asciiTheme="minorHAnsi" w:hAnsiTheme="minorHAnsi" w:cstheme="minorBidi"/>
                <w:color w:val="000000"/>
                <w:sz w:val="18"/>
                <w:szCs w:val="18"/>
              </w:rPr>
            </w:pPr>
            <w:r w:rsidRPr="00E62CAF">
              <w:rPr>
                <w:rFonts w:asciiTheme="minorHAnsi" w:hAnsiTheme="minorHAnsi" w:cstheme="minorBidi"/>
                <w:color w:val="000000"/>
                <w:sz w:val="18"/>
                <w:szCs w:val="18"/>
              </w:rPr>
              <w:t>The PBAC recommended pembrolizumab for the treatment of high-risk, locally advanced cervical cancer (LACC). The PBAC welcomed input from organisations advocating on behalf of patients with cervical cancer. The PBAC considered that pembrolizumab commenced in combination with chemoradiotherapy (CCRT) improved progression-free survival and overall survival compared to CCRT alone. The PBAC noted the magnitude of the benefit over CCRT was likely overestimated in the clinical trial given the underutilisation of subsequent pembrolizumab in patients who progressed following treatment with CCRT alone. The PBAC considered that revisions to the economic model were required and that pembrolizumab would be cost-effective with a price reduction. The PBAC considered that pembrolizumab should join the existing risk sharing arrangement (RSA) for pembrolizumab for advanced carcinoma of the cervix (persistent, recurrent or metastatic disease) on the basis that the cost-effectiveness of pembrolizumab for LACC will depend on the realisation of cost savings from reduced use of pembrolizumab in the advanced/metastatic setting.</w:t>
            </w:r>
          </w:p>
        </w:tc>
      </w:tr>
      <w:tr w:rsidR="004C0683" w:rsidRPr="008059F4" w:rsidDel="008F66B5" w14:paraId="3C6187AE"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914F71" w14:textId="6E698A10" w:rsidR="00406928" w:rsidRPr="00A9568E" w:rsidRDefault="004C0683" w:rsidP="00406928">
            <w:pPr>
              <w:jc w:val="center"/>
              <w:rPr>
                <w:rFonts w:ascii="Calibri" w:hAnsi="Calibri" w:cs="Calibri"/>
                <w:color w:val="000000"/>
                <w:sz w:val="18"/>
                <w:szCs w:val="18"/>
              </w:rPr>
            </w:pPr>
            <w:r w:rsidRPr="000510F0">
              <w:rPr>
                <w:rFonts w:asciiTheme="minorHAnsi" w:eastAsia="Calibri" w:hAnsiTheme="minorHAnsi" w:cstheme="minorHAnsi"/>
                <w:color w:val="000000" w:themeColor="text1"/>
                <w:sz w:val="18"/>
                <w:szCs w:val="18"/>
              </w:rPr>
              <w:lastRenderedPageBreak/>
              <w:t>PERTUZUMAB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I.V. infusion 420</w:t>
            </w:r>
            <w:r w:rsidR="00E34B17">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14</w:t>
            </w:r>
            <w:r w:rsidR="00E34B17">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Perjeta</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ROCHE PRODUCTS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406928" w:rsidRPr="00A9568E">
              <w:rPr>
                <w:rFonts w:ascii="Calibri" w:hAnsi="Calibri" w:cs="Calibri"/>
                <w:color w:val="000000"/>
                <w:sz w:val="18"/>
                <w:szCs w:val="18"/>
              </w:rPr>
              <w:t>Standard re-entry</w:t>
            </w:r>
          </w:p>
          <w:p w14:paraId="30285A4F" w14:textId="12A184E2"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71D5534" w14:textId="33F8035C"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Human epidermal growth factor receptor 2-positive (HER2+) locally advanced, inflammatory or early stage breast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B5A70D3" w14:textId="087AE0F8"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(Efficient Funding of Chemotherapy) Authority Required (Telephone/Online) listing, in combination with trastuzumab and chemotherapy, for the neoadjuvant treatment of HER2+ locally advanced, inflammatory or early stage breast cancer.</w:t>
            </w:r>
          </w:p>
        </w:tc>
        <w:tc>
          <w:tcPr>
            <w:tcW w:w="1584" w:type="dxa"/>
            <w:shd w:val="clear" w:color="auto" w:fill="auto"/>
            <w:vAlign w:val="center"/>
          </w:tcPr>
          <w:p w14:paraId="37A72CB0" w14:textId="0CE60224" w:rsidR="004C0683" w:rsidRPr="00F03408" w:rsidDel="008F66B5" w:rsidRDefault="00DE7605"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Recommended </w:t>
            </w:r>
          </w:p>
        </w:tc>
        <w:tc>
          <w:tcPr>
            <w:tcW w:w="4876" w:type="dxa"/>
            <w:shd w:val="clear" w:color="auto" w:fill="auto"/>
            <w:vAlign w:val="center"/>
          </w:tcPr>
          <w:p w14:paraId="236A3435" w14:textId="55391B9F" w:rsidR="004C0683" w:rsidRPr="00F03408" w:rsidDel="008F66B5" w:rsidRDefault="00076BC0" w:rsidP="004C0683">
            <w:pPr>
              <w:jc w:val="both"/>
              <w:rPr>
                <w:rFonts w:asciiTheme="minorHAnsi" w:hAnsiTheme="minorHAnsi" w:cstheme="minorBidi"/>
                <w:color w:val="000000"/>
                <w:sz w:val="18"/>
                <w:szCs w:val="18"/>
              </w:rPr>
            </w:pPr>
            <w:r w:rsidRPr="00076BC0">
              <w:rPr>
                <w:rFonts w:asciiTheme="minorHAnsi" w:hAnsiTheme="minorHAnsi" w:cstheme="minorBidi"/>
                <w:color w:val="000000"/>
                <w:sz w:val="18"/>
                <w:szCs w:val="18"/>
              </w:rPr>
              <w:t>The PBAC recommended the listing of pertuzumab for the neoadjuvant treatment of HER2+ high risk early breast cancer, on the basis that it should be available only under special arrangements under Section 100. The PBAC considered that the resubmission appropriately addressed its previous concerns regarding the clinical place for pertuzumab, and the incremental benefit from adding pertuzumab in the neoadjuvant setting was adequately supported by the evidence, which demonstrated that increasing the proportion of patients with pathological complete response is associated with improved disease free survival and OS. The PBAC considered that adjuvant treatment with pertuzumab would also be appropriate for a proportion of patients, consistent with international guidelines and the Australian Product Information for pertuzumab. The PBAC considered that the cost-effectiveness for pertuzumab would be acceptable with a price reduction and risk sharing arrangements that ensured that the cost of treatment in the adjuvant setting was contained to the patient population where there is evidence of treatment benefit.</w:t>
            </w:r>
          </w:p>
        </w:tc>
      </w:tr>
      <w:tr w:rsidR="004C0683" w:rsidRPr="008059F4" w:rsidDel="008F66B5" w14:paraId="2F07FA81"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04DA39A" w14:textId="4A12F894" w:rsidR="009C6203" w:rsidRPr="00A9568E" w:rsidRDefault="004C0683" w:rsidP="009C6203">
            <w:pPr>
              <w:jc w:val="center"/>
              <w:rPr>
                <w:rFonts w:ascii="Calibri" w:hAnsi="Calibri" w:cs="Calibri"/>
                <w:color w:val="000000"/>
                <w:sz w:val="18"/>
                <w:szCs w:val="18"/>
              </w:rPr>
            </w:pPr>
            <w:r w:rsidRPr="000510F0">
              <w:rPr>
                <w:rFonts w:asciiTheme="minorHAnsi" w:eastAsia="Calibri" w:hAnsiTheme="minorHAnsi" w:cstheme="minorHAnsi"/>
                <w:color w:val="000000" w:themeColor="text1"/>
                <w:sz w:val="18"/>
                <w:szCs w:val="18"/>
              </w:rPr>
              <w:lastRenderedPageBreak/>
              <w:t>POLATUZUMAB VEDOTIN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30</w:t>
            </w:r>
            <w:r w:rsidR="00074D5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140</w:t>
            </w:r>
            <w:r w:rsidR="00074D5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Polivy</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ROCHE PRODUCTS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009C6203" w:rsidRPr="00A9568E">
              <w:rPr>
                <w:rFonts w:ascii="Calibri" w:hAnsi="Calibri" w:cs="Calibri"/>
                <w:color w:val="000000"/>
                <w:sz w:val="18"/>
                <w:szCs w:val="18"/>
              </w:rPr>
              <w:t>Standard re-entry</w:t>
            </w:r>
          </w:p>
          <w:p w14:paraId="63091967" w14:textId="1D8A25B0" w:rsidR="004C0683" w:rsidRPr="000510F0" w:rsidRDefault="004C0683" w:rsidP="004C0683">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F206AD8" w14:textId="64B3C704"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Diffuse large B-cell lymphoma (DLBCL)</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9AFC5EC" w14:textId="36BF5FA3" w:rsidR="004C0683" w:rsidRPr="004C0683" w:rsidRDefault="004C0683" w:rsidP="004C0683">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(Efficient Funding of Chemotherapy Program) Authority Required (Telephone/Online) listing, in combination with rituximab, cyclophosphamide, doxorubicin and prednisone, for the treatment of previously untreated DLBCL.</w:t>
            </w:r>
          </w:p>
        </w:tc>
        <w:tc>
          <w:tcPr>
            <w:tcW w:w="1584" w:type="dxa"/>
            <w:shd w:val="clear" w:color="auto" w:fill="auto"/>
            <w:vAlign w:val="center"/>
          </w:tcPr>
          <w:p w14:paraId="7748C679" w14:textId="3349FC64" w:rsidR="004C0683" w:rsidRPr="00F03408" w:rsidDel="008F66B5" w:rsidRDefault="002F7427" w:rsidP="004C0683">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3C1555DD" w14:textId="77777777" w:rsidR="0007257C" w:rsidRDefault="002F7427" w:rsidP="004C0683">
            <w:pPr>
              <w:jc w:val="both"/>
              <w:rPr>
                <w:rFonts w:asciiTheme="minorHAnsi" w:hAnsiTheme="minorHAnsi" w:cstheme="minorBidi"/>
                <w:color w:val="000000"/>
                <w:sz w:val="18"/>
                <w:szCs w:val="18"/>
              </w:rPr>
            </w:pPr>
            <w:r w:rsidRPr="002F7427">
              <w:rPr>
                <w:rFonts w:asciiTheme="minorHAnsi" w:hAnsiTheme="minorHAnsi" w:cstheme="minorBidi"/>
                <w:color w:val="000000"/>
                <w:sz w:val="18"/>
                <w:szCs w:val="18"/>
              </w:rPr>
              <w:t xml:space="preserve">The PBAC recommended listing of polatuzumab vedotin in combination with rituximab plus cyclophosphamide, doxorubicin and prednisone (Pola+R-CHP) for the treatment of DLBCL in previously untreated patients with an international prognostic index (IPI) score of 3-5. The PBAC noted and welcomed the input from individuals and organisations and acknowledged (Pola+R-CHP) is recommended for the first-line treatment of DLBCL in a number of international guidelines. The PBAC was satisfied that Pola+R-CHP provides, for some patients, a modest improvement in progression-free survival over rituximab in combination with cyclophosphamide, doxorubicin, vincristine, and prednisolone (R-CHOP). However, the PBAC noted that the clinical evidence presented in the submission showed no significant difference in overall survival. </w:t>
            </w:r>
          </w:p>
          <w:p w14:paraId="264064D9" w14:textId="77777777" w:rsidR="0007257C" w:rsidRDefault="0007257C" w:rsidP="004C0683">
            <w:pPr>
              <w:jc w:val="both"/>
              <w:rPr>
                <w:rFonts w:asciiTheme="minorHAnsi" w:hAnsiTheme="minorHAnsi" w:cstheme="minorBidi"/>
                <w:color w:val="000000"/>
                <w:sz w:val="18"/>
                <w:szCs w:val="18"/>
              </w:rPr>
            </w:pPr>
          </w:p>
          <w:p w14:paraId="3DF304B2" w14:textId="198BE0EB" w:rsidR="004C0683" w:rsidRPr="00F03408" w:rsidDel="008F66B5" w:rsidRDefault="002F7427" w:rsidP="004C0683">
            <w:pPr>
              <w:jc w:val="both"/>
              <w:rPr>
                <w:rFonts w:asciiTheme="minorHAnsi" w:hAnsiTheme="minorHAnsi" w:cstheme="minorBidi"/>
                <w:color w:val="000000"/>
                <w:sz w:val="18"/>
                <w:szCs w:val="18"/>
              </w:rPr>
            </w:pPr>
            <w:r w:rsidRPr="002F7427">
              <w:rPr>
                <w:rFonts w:asciiTheme="minorHAnsi" w:hAnsiTheme="minorHAnsi" w:cstheme="minorBidi"/>
                <w:color w:val="000000"/>
                <w:sz w:val="18"/>
                <w:szCs w:val="18"/>
              </w:rPr>
              <w:t>The economic model included in the submission however included claims of overall survival benefits in support of the proposed price. These estimated benefits were overly optimistic and not supported by the clinical evidence included in the submission. The PBAC’s recommendation was based on, among other matters, its assessment that the cost-effectiveness of polatuzumab vedotin would be acceptable using an economic model respecified by its Economic Sub-Committee to include more realistic estimates. The PBAC considered a risk-sharing arrangement, based on amended financial estimates, appropriate to mitigate the risk of use of polatuzumab vedotin in the broader DLBCL population.</w:t>
            </w:r>
          </w:p>
        </w:tc>
      </w:tr>
      <w:tr w:rsidR="00B87449" w:rsidRPr="008059F4" w:rsidDel="008F66B5" w14:paraId="7EB7C150"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03C393A" w14:textId="5A7CFF25" w:rsidR="00B87449" w:rsidRPr="000510F0"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RAVULIZUMAB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300</w:t>
            </w:r>
            <w:r w:rsidR="00231FC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3</w:t>
            </w:r>
            <w:r w:rsidR="00231FC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1,100</w:t>
            </w:r>
            <w:r w:rsidR="00231FC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11</w:t>
            </w:r>
            <w:r w:rsidR="00231FCB">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Ultomiris</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ALEXION PHARMACEUTICALS AUSTRALIASIA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p>
          <w:p w14:paraId="7D490F14" w14:textId="77777777" w:rsidR="00B87449" w:rsidRPr="00A9568E" w:rsidRDefault="00B87449" w:rsidP="00B87449">
            <w:pPr>
              <w:jc w:val="center"/>
              <w:rPr>
                <w:rFonts w:ascii="Calibri" w:hAnsi="Calibri" w:cs="Calibri"/>
                <w:color w:val="000000"/>
                <w:sz w:val="18"/>
                <w:szCs w:val="18"/>
              </w:rPr>
            </w:pPr>
            <w:r w:rsidRPr="00A9568E">
              <w:rPr>
                <w:rFonts w:ascii="Calibri" w:hAnsi="Calibri" w:cs="Calibri"/>
                <w:color w:val="000000"/>
                <w:sz w:val="18"/>
                <w:szCs w:val="18"/>
              </w:rPr>
              <w:t>Standard re-entry</w:t>
            </w:r>
          </w:p>
          <w:p w14:paraId="73F9C80F" w14:textId="4BB47FE5"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07CE494" w14:textId="24FB9E9B"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59E8CA" w14:textId="0046E1E5"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(Highly Specialised Drugs Program) Authority Required (Written) listing for the treatment of adult patients with gMG who are anti-acetylcholine receptor antibody positive.</w:t>
            </w:r>
          </w:p>
        </w:tc>
        <w:tc>
          <w:tcPr>
            <w:tcW w:w="1584" w:type="dxa"/>
            <w:shd w:val="clear" w:color="auto" w:fill="auto"/>
            <w:vAlign w:val="center"/>
          </w:tcPr>
          <w:p w14:paraId="2E448438" w14:textId="2CBCCF38"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2BA8BF73" w14:textId="6A148784" w:rsidR="006F6FFA" w:rsidRPr="006F6FFA" w:rsidRDefault="006F6FFA" w:rsidP="006F6FFA">
            <w:pPr>
              <w:jc w:val="both"/>
              <w:rPr>
                <w:rFonts w:asciiTheme="minorHAnsi" w:hAnsiTheme="minorHAnsi" w:cstheme="minorBidi"/>
                <w:color w:val="000000"/>
                <w:sz w:val="18"/>
                <w:szCs w:val="18"/>
              </w:rPr>
            </w:pPr>
            <w:r w:rsidRPr="006F6FFA">
              <w:rPr>
                <w:rFonts w:asciiTheme="minorHAnsi" w:hAnsiTheme="minorHAnsi" w:cstheme="minorBidi"/>
                <w:color w:val="000000"/>
                <w:sz w:val="18"/>
                <w:szCs w:val="18"/>
              </w:rPr>
              <w:t>The PBAC recommended the listing of ravulizumab for the treatment of gMG.</w:t>
            </w:r>
            <w:r w:rsidRPr="006F6FFA" w:rsidDel="001C5578">
              <w:rPr>
                <w:rFonts w:asciiTheme="minorHAnsi" w:hAnsiTheme="minorHAnsi" w:cstheme="minorBidi"/>
                <w:color w:val="000000"/>
                <w:sz w:val="18"/>
                <w:szCs w:val="18"/>
              </w:rPr>
              <w:t xml:space="preserve"> </w:t>
            </w:r>
            <w:r w:rsidRPr="006F6FFA">
              <w:rPr>
                <w:rFonts w:asciiTheme="minorHAnsi" w:hAnsiTheme="minorHAnsi" w:cstheme="minorBidi"/>
                <w:color w:val="000000"/>
                <w:sz w:val="18"/>
                <w:szCs w:val="18"/>
              </w:rPr>
              <w:t xml:space="preserve">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w:t>
            </w:r>
          </w:p>
          <w:p w14:paraId="03C5721A" w14:textId="77777777" w:rsidR="006F6FFA" w:rsidRPr="006F6FFA" w:rsidRDefault="006F6FFA" w:rsidP="006F6FFA">
            <w:pPr>
              <w:jc w:val="both"/>
              <w:rPr>
                <w:rFonts w:asciiTheme="minorHAnsi" w:hAnsiTheme="minorHAnsi" w:cstheme="minorBidi"/>
                <w:color w:val="000000"/>
                <w:sz w:val="18"/>
                <w:szCs w:val="18"/>
              </w:rPr>
            </w:pPr>
          </w:p>
          <w:p w14:paraId="48B70252" w14:textId="77777777" w:rsidR="006F6FFA" w:rsidRPr="006F6FFA" w:rsidRDefault="006F6FFA" w:rsidP="006F6FFA">
            <w:pPr>
              <w:jc w:val="both"/>
              <w:rPr>
                <w:rFonts w:asciiTheme="minorHAnsi" w:hAnsiTheme="minorHAnsi" w:cstheme="minorBidi"/>
                <w:color w:val="000000"/>
                <w:sz w:val="18"/>
                <w:szCs w:val="18"/>
              </w:rPr>
            </w:pPr>
            <w:r w:rsidRPr="006F6FFA">
              <w:rPr>
                <w:rFonts w:asciiTheme="minorHAnsi" w:hAnsiTheme="minorHAnsi" w:cstheme="minorBidi"/>
                <w:color w:val="000000"/>
                <w:sz w:val="18"/>
                <w:szCs w:val="18"/>
              </w:rPr>
              <w:t xml:space="preserve">The clinical evidence presented in the submission had several limitations that created uncertainty as to whether ravulizumab would improve patient outcomes compared with intravenous immunoglobulin or plasma exchange. Overall, the PBAC considered there was insufficient evidence to suggest ravulizumab would be more effective or safer than these treatments. Further, the PBAC considered that there was no evidence to suggest that ravulizumab was superior in terms of efficacy or safety compared with the other three therapies for gMG that were considered at the March 2025 meeting (zilucoplan, efgartigimod and rozanolixizumab). Overall, the PBAC advised that the four therapies should be considered to have similar efficacy and safety compared with each other and with intravenous immunoglobulin. The recommendation to list ravulizumab on the PBS was made on the basis of a cost-comparison versus intravenous immunoglobulin, supported by a cost-per-responder analysis versus placebo. </w:t>
            </w:r>
          </w:p>
          <w:p w14:paraId="2FE0EA71" w14:textId="77777777" w:rsidR="006F6FFA" w:rsidRPr="006F6FFA" w:rsidRDefault="006F6FFA" w:rsidP="006F6FFA">
            <w:pPr>
              <w:jc w:val="both"/>
              <w:rPr>
                <w:rFonts w:asciiTheme="minorHAnsi" w:hAnsiTheme="minorHAnsi" w:cstheme="minorBidi"/>
                <w:color w:val="000000"/>
                <w:sz w:val="18"/>
                <w:szCs w:val="18"/>
              </w:rPr>
            </w:pPr>
          </w:p>
          <w:p w14:paraId="15913555" w14:textId="09DD0D0E" w:rsidR="00B87449" w:rsidRPr="00F03408" w:rsidDel="008F66B5" w:rsidRDefault="006F6FFA" w:rsidP="00B87449">
            <w:pPr>
              <w:jc w:val="both"/>
              <w:rPr>
                <w:rFonts w:asciiTheme="minorHAnsi" w:hAnsiTheme="minorHAnsi" w:cstheme="minorBidi"/>
                <w:color w:val="000000"/>
                <w:sz w:val="18"/>
                <w:szCs w:val="18"/>
              </w:rPr>
            </w:pPr>
            <w:r w:rsidRPr="006F6FFA">
              <w:rPr>
                <w:rFonts w:asciiTheme="minorHAnsi" w:hAnsiTheme="minorHAnsi" w:cstheme="minorBidi"/>
                <w:color w:val="000000"/>
                <w:sz w:val="18"/>
                <w:szCs w:val="18"/>
              </w:rPr>
              <w:t>The PBAC considered that the new gMG therapies should substitute for intravenous immunoglobulin and plasma exchange rather than be added on to or used in combination with these modalities. The PBAC advised that the prescribing criteria for intravenous immunoglobulin should be revised to ensure use remains appropriate in the context of the availability of the new therapies.</w:t>
            </w:r>
          </w:p>
        </w:tc>
      </w:tr>
      <w:tr w:rsidR="00B87449" w:rsidRPr="008059F4" w:rsidDel="008F66B5" w14:paraId="53631EA4"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2D9FDFC" w14:textId="438FC848"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ROZANOLIXIZUMAB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subcutaneous infusion 280</w:t>
            </w:r>
            <w:r w:rsidR="0064660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2</w:t>
            </w:r>
            <w:r w:rsidR="0064660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(140</w:t>
            </w:r>
            <w:r w:rsidR="0064660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64660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64660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Rystiggo</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UCB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581B1B2F" w14:textId="4FF16D0F"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2EEC320" w14:textId="62513AE0"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CC06F6D" w14:textId="21737E8C"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(Highly Specialised Drugs Program) Authority Required (Written) listing for the treatment of adult patients with gMG who are anti-acetylcholine receptor antibody positive.</w:t>
            </w:r>
          </w:p>
        </w:tc>
        <w:tc>
          <w:tcPr>
            <w:tcW w:w="1584" w:type="dxa"/>
            <w:shd w:val="clear" w:color="auto" w:fill="auto"/>
            <w:vAlign w:val="center"/>
          </w:tcPr>
          <w:p w14:paraId="3D7F8968" w14:textId="3CC79D47"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734A1B1A" w14:textId="29C41BAD" w:rsidR="00074E67" w:rsidRPr="00074E67" w:rsidRDefault="00074E67" w:rsidP="00074E67">
            <w:pPr>
              <w:jc w:val="both"/>
              <w:rPr>
                <w:rFonts w:asciiTheme="minorHAnsi" w:hAnsiTheme="minorHAnsi" w:cstheme="minorBidi"/>
                <w:color w:val="000000"/>
                <w:sz w:val="18"/>
                <w:szCs w:val="18"/>
              </w:rPr>
            </w:pPr>
            <w:r w:rsidRPr="00074E67">
              <w:rPr>
                <w:rFonts w:asciiTheme="minorHAnsi" w:hAnsiTheme="minorHAnsi" w:cstheme="minorBidi"/>
                <w:color w:val="000000"/>
                <w:sz w:val="18"/>
                <w:szCs w:val="18"/>
              </w:rPr>
              <w:t xml:space="preserve">The PBAC recommended the listing of rozanolixizumab for the treatment of gMG. 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w:t>
            </w:r>
          </w:p>
          <w:p w14:paraId="2BA98D55" w14:textId="77777777" w:rsidR="00C65F2D" w:rsidRPr="00074E67" w:rsidRDefault="00C65F2D" w:rsidP="00074E67">
            <w:pPr>
              <w:jc w:val="both"/>
              <w:rPr>
                <w:rFonts w:asciiTheme="minorHAnsi" w:hAnsiTheme="minorHAnsi" w:cstheme="minorBidi"/>
                <w:color w:val="000000"/>
                <w:sz w:val="18"/>
                <w:szCs w:val="18"/>
              </w:rPr>
            </w:pPr>
          </w:p>
          <w:p w14:paraId="7CFEA91B" w14:textId="77777777" w:rsidR="00074E67" w:rsidRPr="00074E67" w:rsidRDefault="00074E67" w:rsidP="00074E67">
            <w:pPr>
              <w:jc w:val="both"/>
              <w:rPr>
                <w:rFonts w:asciiTheme="minorHAnsi" w:hAnsiTheme="minorHAnsi" w:cstheme="minorBidi"/>
                <w:color w:val="000000"/>
                <w:sz w:val="18"/>
                <w:szCs w:val="18"/>
              </w:rPr>
            </w:pPr>
            <w:r w:rsidRPr="00074E67">
              <w:rPr>
                <w:rFonts w:asciiTheme="minorHAnsi" w:hAnsiTheme="minorHAnsi" w:cstheme="minorBidi"/>
                <w:color w:val="000000"/>
                <w:sz w:val="18"/>
                <w:szCs w:val="18"/>
              </w:rPr>
              <w:t xml:space="preserve">Overall, the PBAC considered there was insufficient evidence to suggest rozanolixizumab would be more effective or safer than intravenous immunoglobulin or plasma exchange. Further, the PBAC considered that there was no evidence to suggest that rozanolixizumab was superior in terms of efficacy or safety compared with the other three therapies for gMG that were considered at the March 2025 meeting (zilucoplan, efgartigimod and ravulizumab). Overall, the PBAC advised that the four therapies should be considered to have similar efficacy and safety compared with each other and with intravenous immunoglobulin. The recommendation to list rozanolixizumab on the PBS was made on the basis of a cost-comparison versus intravenous immunoglobulin, supported by a cost-per-responder analysis versus placebo. </w:t>
            </w:r>
          </w:p>
          <w:p w14:paraId="4F0F1325" w14:textId="77777777" w:rsidR="00C65F2D" w:rsidRPr="00074E67" w:rsidRDefault="00C65F2D" w:rsidP="00074E67">
            <w:pPr>
              <w:jc w:val="both"/>
              <w:rPr>
                <w:rFonts w:asciiTheme="minorHAnsi" w:hAnsiTheme="minorHAnsi" w:cstheme="minorBidi"/>
                <w:color w:val="000000"/>
                <w:sz w:val="18"/>
                <w:szCs w:val="18"/>
              </w:rPr>
            </w:pPr>
          </w:p>
          <w:p w14:paraId="60C72855" w14:textId="7EB9D795" w:rsidR="00B87449" w:rsidRPr="00F03408" w:rsidDel="008F66B5" w:rsidRDefault="00074E67" w:rsidP="00B87449">
            <w:pPr>
              <w:jc w:val="both"/>
              <w:rPr>
                <w:rFonts w:asciiTheme="minorHAnsi" w:hAnsiTheme="minorHAnsi" w:cstheme="minorBidi"/>
                <w:color w:val="000000"/>
                <w:sz w:val="18"/>
                <w:szCs w:val="18"/>
              </w:rPr>
            </w:pPr>
            <w:r w:rsidRPr="00074E67">
              <w:rPr>
                <w:rFonts w:asciiTheme="minorHAnsi" w:hAnsiTheme="minorHAnsi" w:cstheme="minorBidi"/>
                <w:color w:val="000000"/>
                <w:sz w:val="18"/>
                <w:szCs w:val="18"/>
              </w:rPr>
              <w:t>The PBAC considered that the new gMG therapies should substitute for intravenous immunoglobulin and plasma exchange rather than be added on to or used in combination with these modalities. The PBAC advised that the prescribing criteria for intravenous immunoglobulin should be revised to ensure use remains appropriate in the context of the availability of the new therapies.</w:t>
            </w:r>
          </w:p>
        </w:tc>
      </w:tr>
      <w:tr w:rsidR="00B87449" w:rsidRPr="008059F4" w:rsidDel="008F66B5" w14:paraId="38A7E9A0"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9F78BA" w14:textId="60256032" w:rsidR="00B87449" w:rsidRPr="000510F0"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RUXOLITINIB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5</w:t>
            </w:r>
            <w:r w:rsidR="00BC416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10</w:t>
            </w:r>
            <w:r w:rsidR="00252CD6">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15</w:t>
            </w:r>
            <w:r w:rsidR="00252CD6">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Tablet 20</w:t>
            </w:r>
            <w:r w:rsidR="00252CD6">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Jakavi</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NOVARTIS PHARMACEUTICALS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p>
          <w:p w14:paraId="601722A6" w14:textId="77777777" w:rsidR="00B87449" w:rsidRPr="004877B0" w:rsidRDefault="00B87449" w:rsidP="00B87449">
            <w:pPr>
              <w:jc w:val="center"/>
              <w:rPr>
                <w:rFonts w:ascii="Calibri" w:hAnsi="Calibri" w:cs="Calibri"/>
                <w:color w:val="000000"/>
                <w:sz w:val="18"/>
                <w:szCs w:val="18"/>
              </w:rPr>
            </w:pPr>
            <w:r w:rsidRPr="004877B0">
              <w:rPr>
                <w:rFonts w:ascii="Calibri" w:hAnsi="Calibri" w:cs="Calibri"/>
                <w:color w:val="000000"/>
                <w:sz w:val="18"/>
                <w:szCs w:val="18"/>
              </w:rPr>
              <w:t>Standard re-entry</w:t>
            </w:r>
          </w:p>
          <w:p w14:paraId="31436AA5" w14:textId="79C87185"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25EFEB5" w14:textId="30073AD6"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Polycythemia vera (PV)</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15E132A" w14:textId="774809A0"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General Schedule Authority Required (STREAMLINED) listing for the treatment of adult patients with PV who are resistant to or intolerant of hydroxycarbamide (hydroxyurea).</w:t>
            </w:r>
          </w:p>
        </w:tc>
        <w:tc>
          <w:tcPr>
            <w:tcW w:w="1584" w:type="dxa"/>
            <w:shd w:val="clear" w:color="auto" w:fill="auto"/>
            <w:vAlign w:val="center"/>
          </w:tcPr>
          <w:p w14:paraId="6111E895" w14:textId="114ED184"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75ED5000" w14:textId="77777777" w:rsidR="00EA5245" w:rsidRDefault="00A15928" w:rsidP="00B87449">
            <w:pPr>
              <w:jc w:val="both"/>
              <w:rPr>
                <w:rFonts w:asciiTheme="minorHAnsi" w:hAnsiTheme="minorHAnsi" w:cstheme="minorBidi"/>
                <w:color w:val="000000"/>
                <w:sz w:val="18"/>
                <w:szCs w:val="18"/>
              </w:rPr>
            </w:pPr>
            <w:r w:rsidRPr="00A15928">
              <w:rPr>
                <w:rFonts w:asciiTheme="minorHAnsi" w:hAnsiTheme="minorHAnsi" w:cstheme="minorBidi"/>
                <w:color w:val="000000"/>
                <w:sz w:val="18"/>
                <w:szCs w:val="18"/>
              </w:rPr>
              <w:t xml:space="preserve">The PBAC recommended the listing of listing for ruxolitinib for the treatment of adult patients with PV who are resistant to or intolerant of hydroxycarbamide (hydroxyurea). The PBAC welcomed the input from individuals, health care professionals and organisations that highlighted the impact of PV on patients’ quality of life and noted the issues associated with current treatment options. The PBAC noted the resubmission provided updated data which reported significant improvements in major event-free survival, reductions in venesections and improvements in duration of response that were clinically relevant. As such, the PBAC is satisfied that ruxolitinib provides, for some patients, a significant improvement in efficacy over best available therapy. </w:t>
            </w:r>
          </w:p>
          <w:p w14:paraId="54EA1266" w14:textId="77777777" w:rsidR="00EA5245" w:rsidRDefault="00EA5245" w:rsidP="00B87449">
            <w:pPr>
              <w:jc w:val="both"/>
              <w:rPr>
                <w:rFonts w:asciiTheme="minorHAnsi" w:hAnsiTheme="minorHAnsi" w:cstheme="minorBidi"/>
                <w:color w:val="000000"/>
                <w:sz w:val="18"/>
                <w:szCs w:val="18"/>
              </w:rPr>
            </w:pPr>
          </w:p>
          <w:p w14:paraId="07148110" w14:textId="2C22FA53" w:rsidR="00B87449" w:rsidRPr="00F03408" w:rsidDel="008F66B5" w:rsidRDefault="00A15928" w:rsidP="00B87449">
            <w:pPr>
              <w:jc w:val="both"/>
              <w:rPr>
                <w:rFonts w:asciiTheme="minorHAnsi" w:hAnsiTheme="minorHAnsi" w:cstheme="minorBidi"/>
                <w:color w:val="000000"/>
                <w:sz w:val="18"/>
                <w:szCs w:val="18"/>
              </w:rPr>
            </w:pPr>
            <w:r w:rsidRPr="00A15928">
              <w:rPr>
                <w:rFonts w:asciiTheme="minorHAnsi" w:hAnsiTheme="minorHAnsi" w:cstheme="minorBidi"/>
                <w:color w:val="000000"/>
                <w:sz w:val="18"/>
                <w:szCs w:val="18"/>
              </w:rPr>
              <w:t>The PBAC noted that while no statistically significant differences in progression-free survival or overall survival were reported in the clinical trial evidence, differences in these outcomes were assumed in the economic model and maintained throughout the 20 year time horizon. Despite revisions to the economic model inputs in the pre-PBAC response the PBAC considered the resulting incremental cost</w:t>
            </w:r>
            <w:r w:rsidR="00AF159F" w:rsidRPr="007E25D0">
              <w:rPr>
                <w:rFonts w:asciiTheme="minorHAnsi" w:hAnsiTheme="minorHAnsi" w:cstheme="minorBidi"/>
                <w:color w:val="000000"/>
                <w:sz w:val="18"/>
                <w:szCs w:val="18"/>
              </w:rPr>
              <w:noBreakHyphen/>
            </w:r>
            <w:r w:rsidRPr="00A15928">
              <w:rPr>
                <w:rFonts w:asciiTheme="minorHAnsi" w:hAnsiTheme="minorHAnsi" w:cstheme="minorBidi"/>
                <w:color w:val="000000"/>
                <w:sz w:val="18"/>
                <w:szCs w:val="18"/>
              </w:rPr>
              <w:t>effectiveness ratio remained uncertain. The PBAC noted a cost-per-overall response was determined and advised that, together with the economic model, it adequately supported the cost-effectiveness of ruxolitinib at the price proposed in the pre-PBAC response.</w:t>
            </w:r>
          </w:p>
        </w:tc>
      </w:tr>
      <w:tr w:rsidR="00B87449" w:rsidRPr="008059F4" w:rsidDel="008F66B5" w14:paraId="71CFCD2E"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3E758E" w14:textId="2C320A9B"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SACITUZUMAB GOVITECAN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injection 180</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Trodelvy</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GILEAD SCIENCES PTY LIMITED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3</w:t>
            </w:r>
          </w:p>
          <w:p w14:paraId="5525B23D" w14:textId="76307757"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233BE08" w14:textId="00121FB3"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Breast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60DF3A7" w14:textId="674F0218"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definition for human epidermal growth factor receptor 2 (HER2) status be added to the clinical criteria for the initial treatment of unresectable locally advanced or metastatic triple-negative breast cancer.</w:t>
            </w:r>
          </w:p>
        </w:tc>
        <w:tc>
          <w:tcPr>
            <w:tcW w:w="1584" w:type="dxa"/>
            <w:shd w:val="clear" w:color="auto" w:fill="auto"/>
            <w:vAlign w:val="center"/>
          </w:tcPr>
          <w:p w14:paraId="504910BA" w14:textId="72DF48EF"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76" w:type="dxa"/>
            <w:shd w:val="clear" w:color="auto" w:fill="auto"/>
            <w:vAlign w:val="center"/>
          </w:tcPr>
          <w:p w14:paraId="08C361CC" w14:textId="1B84C258" w:rsidR="00C65F2D" w:rsidRDefault="008A273F" w:rsidP="00C65F2D">
            <w:pPr>
              <w:ind w:left="11"/>
              <w:contextualSpacing/>
              <w:jc w:val="both"/>
              <w:rPr>
                <w:rFonts w:asciiTheme="minorHAnsi" w:eastAsiaTheme="minorHAnsi" w:hAnsiTheme="minorHAnsi" w:cstheme="minorHAnsi"/>
                <w:sz w:val="18"/>
                <w:szCs w:val="18"/>
              </w:rPr>
            </w:pPr>
            <w:r w:rsidRPr="008A273F">
              <w:rPr>
                <w:rFonts w:asciiTheme="minorHAnsi" w:eastAsiaTheme="minorHAnsi" w:hAnsiTheme="minorHAnsi" w:cstheme="minorHAnsi"/>
                <w:sz w:val="18"/>
                <w:szCs w:val="18"/>
                <w:lang w:val="en-GB"/>
              </w:rPr>
              <w:t>The PBAC did not</w:t>
            </w:r>
            <w:r w:rsidRPr="008A273F">
              <w:rPr>
                <w:rFonts w:asciiTheme="minorHAnsi" w:eastAsiaTheme="minorHAnsi" w:hAnsiTheme="minorHAnsi" w:cstheme="minorHAnsi"/>
                <w:b/>
                <w:bCs/>
                <w:sz w:val="18"/>
                <w:szCs w:val="18"/>
                <w:lang w:val="en-GB"/>
              </w:rPr>
              <w:t xml:space="preserve"> </w:t>
            </w:r>
            <w:r w:rsidRPr="008A273F">
              <w:rPr>
                <w:rFonts w:asciiTheme="minorHAnsi" w:eastAsiaTheme="minorHAnsi" w:hAnsiTheme="minorHAnsi" w:cstheme="minorHAnsi"/>
                <w:sz w:val="18"/>
                <w:szCs w:val="18"/>
                <w:lang w:val="en-GB"/>
              </w:rPr>
              <w:t>recommend</w:t>
            </w:r>
            <w:r w:rsidRPr="008A273F">
              <w:rPr>
                <w:rFonts w:asciiTheme="minorHAnsi" w:eastAsiaTheme="minorHAnsi" w:hAnsiTheme="minorHAnsi" w:cstheme="minorHAnsi"/>
                <w:b/>
                <w:bCs/>
                <w:sz w:val="18"/>
                <w:szCs w:val="18"/>
                <w:lang w:val="en-GB"/>
              </w:rPr>
              <w:t xml:space="preserve"> </w:t>
            </w:r>
            <w:r w:rsidRPr="008A273F">
              <w:rPr>
                <w:rFonts w:asciiTheme="minorHAnsi" w:eastAsiaTheme="minorHAnsi" w:hAnsiTheme="minorHAnsi" w:cstheme="minorHAnsi"/>
                <w:sz w:val="18"/>
                <w:szCs w:val="18"/>
              </w:rPr>
              <w:t xml:space="preserve">an amendment to the listing of sacituzumab govitecan for the treatment of patients with unresectable locally advanced or metastatic triple negative breast cancer to include a definition for </w:t>
            </w:r>
            <w:r>
              <w:rPr>
                <w:rFonts w:asciiTheme="minorHAnsi" w:eastAsiaTheme="minorHAnsi" w:hAnsiTheme="minorHAnsi" w:cstheme="minorHAnsi"/>
                <w:sz w:val="18"/>
                <w:szCs w:val="18"/>
              </w:rPr>
              <w:t>HER</w:t>
            </w:r>
            <w:r w:rsidRPr="008A273F">
              <w:rPr>
                <w:rFonts w:asciiTheme="minorHAnsi" w:eastAsiaTheme="minorHAnsi" w:hAnsiTheme="minorHAnsi" w:cstheme="minorHAnsi"/>
                <w:sz w:val="18"/>
                <w:szCs w:val="18"/>
              </w:rPr>
              <w:t>2 status in the clinical criteria of the initial treatment phase restriction. The PBAC considered that “triple negative breast cancer” is a well understood term by clinicians in oncology. The PBAC considered that the restriction wording effectively enables prescribers to exercise clinical discretion to determine patient eligibility and prescribe the most appropriate treatment for their patients.</w:t>
            </w:r>
          </w:p>
          <w:p w14:paraId="237C041D" w14:textId="77777777" w:rsidR="008A273F" w:rsidRDefault="008A273F" w:rsidP="00C65F2D">
            <w:pPr>
              <w:ind w:left="11"/>
              <w:contextualSpacing/>
              <w:jc w:val="both"/>
              <w:rPr>
                <w:rFonts w:asciiTheme="minorHAnsi" w:eastAsiaTheme="minorHAnsi" w:hAnsiTheme="minorHAnsi" w:cstheme="minorHAnsi"/>
                <w:sz w:val="18"/>
                <w:szCs w:val="18"/>
              </w:rPr>
            </w:pPr>
          </w:p>
          <w:p w14:paraId="4A8B8415" w14:textId="77777777" w:rsidR="00C65F2D" w:rsidRDefault="00C65F2D" w:rsidP="00C65F2D">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1E139F37" w14:textId="73AF0F8E" w:rsidR="00B87449" w:rsidRPr="0067717D" w:rsidDel="008F66B5" w:rsidRDefault="0067717D" w:rsidP="0067717D">
            <w:pPr>
              <w:ind w:left="11"/>
              <w:contextualSpacing/>
              <w:jc w:val="both"/>
              <w:rPr>
                <w:rFonts w:asciiTheme="minorHAnsi" w:eastAsiaTheme="minorHAnsi" w:hAnsiTheme="minorHAnsi" w:cstheme="minorHAnsi"/>
                <w:sz w:val="18"/>
                <w:szCs w:val="18"/>
                <w:u w:val="single"/>
              </w:rPr>
            </w:pPr>
            <w:r w:rsidRPr="00E6571B">
              <w:rPr>
                <w:rFonts w:asciiTheme="minorHAnsi" w:eastAsiaTheme="minorHAnsi" w:hAnsiTheme="minorHAnsi" w:cstheme="minorHAnsi"/>
                <w:sz w:val="18"/>
                <w:szCs w:val="18"/>
              </w:rPr>
              <w:t>The sponsor had no comment.</w:t>
            </w:r>
          </w:p>
        </w:tc>
      </w:tr>
      <w:tr w:rsidR="00B87449" w:rsidRPr="008059F4" w:rsidDel="008F66B5" w14:paraId="0F2D4F9A"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4935890" w14:textId="69CF4422"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SOTATERCEPT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subcutaneous injection 45</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(50</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subcutaneous injection 60</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(50</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Winrevair</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MERCK SHARP &amp; DOHME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7FFFE0F2" w14:textId="23B94F13"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665B221" w14:textId="536CFA62"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Pulmonary arterial hypertension (PAH)</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66F6C89" w14:textId="07C75682"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(Highly Specialised Drugs Program) Authority Required (Telephone/Online) listing as add on therapy for the treatment of Group 1 PAH.</w:t>
            </w:r>
          </w:p>
        </w:tc>
        <w:tc>
          <w:tcPr>
            <w:tcW w:w="1584" w:type="dxa"/>
            <w:shd w:val="clear" w:color="auto" w:fill="auto"/>
            <w:vAlign w:val="center"/>
          </w:tcPr>
          <w:p w14:paraId="0BA3A7BA" w14:textId="7CD4787E"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76" w:type="dxa"/>
            <w:shd w:val="clear" w:color="auto" w:fill="auto"/>
            <w:vAlign w:val="center"/>
          </w:tcPr>
          <w:p w14:paraId="13A29989" w14:textId="1F5B0FCB" w:rsidR="000B588A" w:rsidRPr="000B588A" w:rsidRDefault="000B588A" w:rsidP="000B588A">
            <w:pPr>
              <w:ind w:left="11"/>
              <w:contextualSpacing/>
              <w:jc w:val="both"/>
              <w:rPr>
                <w:rFonts w:asciiTheme="minorHAnsi" w:eastAsiaTheme="minorHAnsi" w:hAnsiTheme="minorHAnsi" w:cstheme="minorHAnsi"/>
                <w:sz w:val="18"/>
                <w:szCs w:val="18"/>
              </w:rPr>
            </w:pPr>
            <w:r w:rsidRPr="000B588A">
              <w:rPr>
                <w:rFonts w:asciiTheme="minorHAnsi" w:eastAsiaTheme="minorHAnsi" w:hAnsiTheme="minorHAnsi" w:cstheme="minorHAnsi"/>
                <w:sz w:val="18"/>
                <w:szCs w:val="18"/>
              </w:rPr>
              <w:t xml:space="preserve">The PBAC did not recommend sotatercept as add-on therapy for the treatment of patients with Group 1 PAH. The PBAC recognised the unmet clinical need in this population and that treatment guidelines in PAH have continued to evolve. While the PBAC considered that the clinical claim of superior effectiveness of sotatercept vs placebo is supported for WHO FC II patients when added to existing dual or triple background therapy, there was minimal evidence supporting sotatercept added to monotherapy in this population. The PBAC noted that the relevant comparator is dual therapy with ERA + PDE5i, not placebo as nominated by the submission. The PBAC considered that the clinical claim of superior effectiveness of sotatercept vs selexipag is potentially supported, but the magnitude of any benefit is uncertain. The PBAC noted the submission’s acknowledgement of this uncertainty in its proposal of an overall weighted price of sotatercept, with the sotatercept price at parity to selexipag in WHO FC III patients. The PBAC advised that the economic model would require revision to the inputs and considered that the incremental cost-effectiveness ratio was very high at the proposed price. The PBAC considered the submission’s financial estimates to be uncertain and overestimated. </w:t>
            </w:r>
          </w:p>
          <w:p w14:paraId="52FBE76C" w14:textId="77777777" w:rsidR="000B588A" w:rsidRDefault="000B588A" w:rsidP="000B588A">
            <w:pPr>
              <w:ind w:left="11"/>
              <w:contextualSpacing/>
              <w:jc w:val="both"/>
              <w:rPr>
                <w:rFonts w:asciiTheme="minorHAnsi" w:eastAsiaTheme="minorHAnsi" w:hAnsiTheme="minorHAnsi" w:cstheme="minorHAnsi"/>
                <w:sz w:val="18"/>
                <w:szCs w:val="18"/>
              </w:rPr>
            </w:pPr>
          </w:p>
          <w:p w14:paraId="1953A0DD" w14:textId="79E4A0DB" w:rsidR="0005008F" w:rsidRDefault="000B588A" w:rsidP="000B588A">
            <w:pPr>
              <w:ind w:left="11"/>
              <w:contextualSpacing/>
              <w:jc w:val="both"/>
              <w:rPr>
                <w:rFonts w:asciiTheme="minorHAnsi" w:eastAsiaTheme="minorHAnsi" w:hAnsiTheme="minorHAnsi" w:cstheme="minorHAnsi"/>
                <w:sz w:val="18"/>
                <w:szCs w:val="18"/>
              </w:rPr>
            </w:pPr>
            <w:r w:rsidRPr="000B588A">
              <w:rPr>
                <w:rFonts w:asciiTheme="minorHAnsi" w:eastAsiaTheme="minorHAnsi" w:hAnsiTheme="minorHAnsi" w:cstheme="minorHAnsi"/>
                <w:sz w:val="18"/>
                <w:szCs w:val="18"/>
              </w:rPr>
              <w:t>The PBAC noted that the requested listing (for sotatercept treatment in combination with standard therapy in patients with WHO FC II or III) raised several disconnections in terms of currently available PAH medicines on the PBS and international guidelines for the treatment of PAH, which in turn informs the potential clinical place of sotatercept on the PBS. The PBAC requested that the Department undertake a review of the restrictions for currently listed PAH medicines with regard to the consistency with international PAH treatment guidelines.</w:t>
            </w:r>
          </w:p>
          <w:p w14:paraId="05BEBFEE" w14:textId="77777777" w:rsidR="000B588A" w:rsidRDefault="000B588A" w:rsidP="000B588A">
            <w:pPr>
              <w:ind w:left="11"/>
              <w:contextualSpacing/>
              <w:jc w:val="both"/>
              <w:rPr>
                <w:rFonts w:asciiTheme="minorHAnsi" w:eastAsiaTheme="minorHAnsi" w:hAnsiTheme="minorHAnsi" w:cstheme="minorHAnsi"/>
                <w:sz w:val="18"/>
                <w:szCs w:val="18"/>
              </w:rPr>
            </w:pPr>
          </w:p>
          <w:p w14:paraId="384EF80F" w14:textId="77777777" w:rsidR="0005008F" w:rsidRDefault="0005008F" w:rsidP="0005008F">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206649E3" w14:textId="391F8CD0" w:rsidR="00B87449" w:rsidRPr="00F03408" w:rsidDel="008F66B5" w:rsidRDefault="00436DBE" w:rsidP="00B87449">
            <w:pPr>
              <w:jc w:val="both"/>
              <w:rPr>
                <w:rFonts w:asciiTheme="minorHAnsi" w:hAnsiTheme="minorHAnsi" w:cstheme="minorBidi"/>
                <w:color w:val="000000"/>
                <w:sz w:val="18"/>
                <w:szCs w:val="18"/>
              </w:rPr>
            </w:pPr>
            <w:r w:rsidRPr="00436DBE">
              <w:rPr>
                <w:rFonts w:asciiTheme="minorHAnsi" w:hAnsiTheme="minorHAnsi" w:cstheme="minorBidi"/>
                <w:color w:val="000000"/>
                <w:sz w:val="18"/>
                <w:szCs w:val="18"/>
              </w:rPr>
              <w:t>MSD is committed to working with the PBAC to bring this new treatment to Australian PAH patients as soon as possible.</w:t>
            </w:r>
          </w:p>
        </w:tc>
      </w:tr>
      <w:tr w:rsidR="00CB68D2" w:rsidRPr="008059F4" w:rsidDel="008F66B5" w14:paraId="0792CF75"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4A894DA2" w14:textId="73ED8400" w:rsidR="00B87449" w:rsidRPr="007E25D0" w:rsidRDefault="00B87449" w:rsidP="00B87449">
            <w:pPr>
              <w:jc w:val="center"/>
              <w:rPr>
                <w:rFonts w:asciiTheme="minorHAnsi" w:eastAsia="Calibri" w:hAnsiTheme="minorHAnsi" w:cstheme="minorHAnsi"/>
                <w:color w:val="000000" w:themeColor="text1"/>
                <w:sz w:val="18"/>
                <w:szCs w:val="18"/>
              </w:rPr>
            </w:pPr>
            <w:r w:rsidRPr="007E25D0">
              <w:rPr>
                <w:rFonts w:asciiTheme="minorHAnsi" w:eastAsia="Calibri" w:hAnsiTheme="minorHAnsi" w:cstheme="minorHAnsi"/>
                <w:color w:val="000000" w:themeColor="text1"/>
                <w:sz w:val="18"/>
                <w:szCs w:val="18"/>
              </w:rPr>
              <w:lastRenderedPageBreak/>
              <w:t>TARLATAMAB</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 xml:space="preserve"> </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Powder for injection 10 mg</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 xml:space="preserve"> </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Imdelltra®</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 xml:space="preserve"> </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AMGEN AUSTRALIA PTY LTD</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 xml:space="preserve"> </w:t>
            </w:r>
            <w:r w:rsidRPr="007E25D0">
              <w:rPr>
                <w:rFonts w:asciiTheme="minorHAnsi" w:hAnsiTheme="minorHAnsi" w:cstheme="minorHAnsi"/>
                <w:sz w:val="18"/>
                <w:szCs w:val="18"/>
              </w:rPr>
              <w:br/>
            </w:r>
            <w:r w:rsidRPr="007E25D0">
              <w:rPr>
                <w:rFonts w:asciiTheme="minorHAnsi" w:eastAsia="Calibri" w:hAnsiTheme="minorHAnsi" w:cstheme="minorHAnsi"/>
                <w:color w:val="000000" w:themeColor="text1"/>
                <w:sz w:val="18"/>
                <w:szCs w:val="18"/>
              </w:rPr>
              <w:t>Category 1</w:t>
            </w:r>
          </w:p>
          <w:p w14:paraId="0755B7B0" w14:textId="10740D41" w:rsidR="00B87449" w:rsidRPr="007E25D0" w:rsidRDefault="00B87449" w:rsidP="00B87449">
            <w:pPr>
              <w:jc w:val="center"/>
              <w:rPr>
                <w:rFonts w:asciiTheme="minorHAnsi" w:hAnsiTheme="minorHAnsi" w:cstheme="minorHAnsi"/>
                <w:sz w:val="18"/>
                <w:szCs w:val="18"/>
              </w:rPr>
            </w:pPr>
            <w:r w:rsidRPr="007E25D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482B9" w14:textId="2CE96459" w:rsidR="00B87449" w:rsidRPr="007E25D0" w:rsidRDefault="00B87449" w:rsidP="00B87449">
            <w:pPr>
              <w:jc w:val="center"/>
              <w:rPr>
                <w:rFonts w:asciiTheme="minorHAnsi" w:hAnsiTheme="minorHAnsi" w:cstheme="minorHAnsi"/>
                <w:sz w:val="18"/>
                <w:szCs w:val="18"/>
              </w:rPr>
            </w:pPr>
            <w:r w:rsidRPr="007E25D0">
              <w:rPr>
                <w:rFonts w:asciiTheme="minorHAnsi" w:eastAsia="Calibri" w:hAnsiTheme="minorHAnsi" w:cstheme="minorHAnsi"/>
                <w:color w:val="000000" w:themeColor="text1"/>
                <w:sz w:val="18"/>
                <w:szCs w:val="18"/>
              </w:rPr>
              <w:t>Small cell lung cancer</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6C7DE5A" w14:textId="03408F61" w:rsidR="00B87449" w:rsidRPr="007E25D0" w:rsidRDefault="00B87449" w:rsidP="00B87449">
            <w:pPr>
              <w:jc w:val="center"/>
              <w:rPr>
                <w:rFonts w:asciiTheme="minorHAnsi" w:hAnsiTheme="minorHAnsi" w:cstheme="minorHAnsi"/>
                <w:sz w:val="18"/>
                <w:szCs w:val="18"/>
              </w:rPr>
            </w:pPr>
            <w:r w:rsidRPr="007E25D0">
              <w:rPr>
                <w:rFonts w:asciiTheme="minorHAnsi" w:eastAsia="Calibri" w:hAnsiTheme="minorHAnsi" w:cstheme="minorHAnsi"/>
                <w:color w:val="000000" w:themeColor="text1"/>
                <w:sz w:val="18"/>
                <w:szCs w:val="18"/>
              </w:rPr>
              <w:t>To request a Section 100 (Efficient Funding of Chemotherapy Program) Authority Required (STREAMLINED) listing for the third-line plus treatment of extensive-stage small cell lung cancer.</w:t>
            </w:r>
          </w:p>
        </w:tc>
        <w:tc>
          <w:tcPr>
            <w:tcW w:w="1584" w:type="dxa"/>
            <w:shd w:val="clear" w:color="auto" w:fill="D9D9D9" w:themeFill="background1" w:themeFillShade="D9"/>
            <w:vAlign w:val="center"/>
          </w:tcPr>
          <w:p w14:paraId="4CAA194E" w14:textId="596911F2" w:rsidR="00B87449" w:rsidRPr="007E25D0" w:rsidDel="008F66B5" w:rsidRDefault="00864991" w:rsidP="00B87449">
            <w:pPr>
              <w:pStyle w:val="ListParagraph"/>
              <w:keepLines/>
              <w:ind w:left="0"/>
              <w:jc w:val="center"/>
              <w:rPr>
                <w:rFonts w:asciiTheme="minorHAnsi" w:hAnsiTheme="minorHAnsi" w:cstheme="minorHAnsi"/>
                <w:color w:val="000000"/>
                <w:sz w:val="18"/>
                <w:szCs w:val="18"/>
              </w:rPr>
            </w:pPr>
            <w:r w:rsidRPr="00F03408">
              <w:rPr>
                <w:rFonts w:asciiTheme="minorHAnsi" w:hAnsiTheme="minorHAnsi" w:cstheme="minorHAnsi"/>
                <w:color w:val="000000"/>
                <w:sz w:val="18"/>
                <w:szCs w:val="18"/>
              </w:rPr>
              <w:t>Not Applicable</w:t>
            </w:r>
          </w:p>
        </w:tc>
        <w:tc>
          <w:tcPr>
            <w:tcW w:w="4876" w:type="dxa"/>
            <w:shd w:val="clear" w:color="auto" w:fill="D9D9D9" w:themeFill="background1" w:themeFillShade="D9"/>
            <w:vAlign w:val="center"/>
          </w:tcPr>
          <w:p w14:paraId="3499B3C8" w14:textId="284FFFC5" w:rsidR="00B87449" w:rsidRPr="007E25D0" w:rsidDel="008F66B5" w:rsidRDefault="00864991" w:rsidP="00B87449">
            <w:pPr>
              <w:jc w:val="both"/>
              <w:rPr>
                <w:rFonts w:asciiTheme="minorHAnsi" w:hAnsiTheme="minorHAnsi" w:cstheme="minorBidi"/>
                <w:color w:val="000000"/>
                <w:sz w:val="18"/>
                <w:szCs w:val="18"/>
              </w:rPr>
            </w:pPr>
            <w:r>
              <w:rPr>
                <w:rFonts w:asciiTheme="minorHAnsi" w:eastAsia="Arial" w:hAnsiTheme="minorHAnsi" w:cstheme="minorHAnsi"/>
                <w:color w:val="000000" w:themeColor="text1"/>
                <w:sz w:val="18"/>
                <w:szCs w:val="18"/>
              </w:rPr>
              <w:t>T</w:t>
            </w:r>
            <w:r w:rsidRPr="00F03408">
              <w:rPr>
                <w:rFonts w:asciiTheme="minorHAnsi" w:eastAsia="Arial" w:hAnsiTheme="minorHAnsi" w:cstheme="minorHAnsi"/>
                <w:color w:val="000000" w:themeColor="text1"/>
                <w:sz w:val="18"/>
                <w:szCs w:val="18"/>
              </w:rPr>
              <w:t xml:space="preserve">o be considered at a future </w:t>
            </w:r>
            <w:r>
              <w:rPr>
                <w:rFonts w:asciiTheme="minorHAnsi" w:eastAsia="Arial" w:hAnsiTheme="minorHAnsi" w:cstheme="minorHAnsi"/>
                <w:color w:val="000000" w:themeColor="text1"/>
                <w:sz w:val="18"/>
                <w:szCs w:val="18"/>
              </w:rPr>
              <w:t>PBAC</w:t>
            </w:r>
            <w:r w:rsidRPr="00F03408">
              <w:rPr>
                <w:rFonts w:asciiTheme="minorHAnsi" w:eastAsia="Arial" w:hAnsiTheme="minorHAnsi" w:cstheme="minorHAnsi"/>
                <w:color w:val="000000" w:themeColor="text1"/>
                <w:sz w:val="18"/>
                <w:szCs w:val="18"/>
              </w:rPr>
              <w:t xml:space="preserve"> meeting</w:t>
            </w:r>
            <w:r>
              <w:rPr>
                <w:rFonts w:asciiTheme="minorHAnsi" w:eastAsia="Arial" w:hAnsiTheme="minorHAnsi" w:cstheme="minorHAnsi"/>
                <w:color w:val="000000" w:themeColor="text1"/>
                <w:sz w:val="18"/>
                <w:szCs w:val="18"/>
              </w:rPr>
              <w:t>.</w:t>
            </w:r>
          </w:p>
        </w:tc>
      </w:tr>
      <w:tr w:rsidR="00B87449" w:rsidRPr="008059F4" w:rsidDel="008F66B5" w14:paraId="6AC59386"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65ABC00" w14:textId="34577356"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t>TEPROTUMUMAB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500</w:t>
            </w:r>
            <w:r w:rsidR="00CB420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Tepezza</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AMGEN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4F966227" w14:textId="31EB0266"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7404350" w14:textId="658644AE"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Thyroid eye disease (TED)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7634966" w14:textId="56A64BDA"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(Highly Specialised Drugs Program) Authority Required (STREAMLINED) listing for the treatment of active, moderate-to-severe TED.</w:t>
            </w:r>
          </w:p>
        </w:tc>
        <w:tc>
          <w:tcPr>
            <w:tcW w:w="1584" w:type="dxa"/>
            <w:shd w:val="clear" w:color="auto" w:fill="auto"/>
            <w:vAlign w:val="center"/>
          </w:tcPr>
          <w:p w14:paraId="1703B921" w14:textId="6226C2B2"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76" w:type="dxa"/>
            <w:shd w:val="clear" w:color="auto" w:fill="auto"/>
            <w:vAlign w:val="center"/>
          </w:tcPr>
          <w:p w14:paraId="274CB46B" w14:textId="5F988079" w:rsidR="003A4216" w:rsidRPr="003A4216" w:rsidRDefault="003A4216" w:rsidP="003A4216">
            <w:pPr>
              <w:ind w:left="11"/>
              <w:contextualSpacing/>
              <w:jc w:val="both"/>
              <w:rPr>
                <w:rFonts w:asciiTheme="minorHAnsi" w:eastAsiaTheme="minorHAnsi" w:hAnsiTheme="minorHAnsi" w:cstheme="minorHAnsi"/>
                <w:sz w:val="18"/>
                <w:szCs w:val="18"/>
              </w:rPr>
            </w:pPr>
            <w:r w:rsidRPr="003A4216">
              <w:rPr>
                <w:rFonts w:asciiTheme="minorHAnsi" w:eastAsiaTheme="minorHAnsi" w:hAnsiTheme="minorHAnsi" w:cstheme="minorHAnsi"/>
                <w:sz w:val="18"/>
                <w:szCs w:val="18"/>
              </w:rPr>
              <w:t xml:space="preserve">The PBAC did not recommend teprotumumab for the treatment of active, moderate-to-severe TED. The PBAC considered there was a high clinical need in the requested patient population, and the evidence presented demonstrated that teprotumumab was more effective in reducing proptosis and diplopia compared to the current standard of care, which may lead to a reduced utilisation of eye surgery. However, the PBAC considered that due to the limited data available, the complexity of the economic model led to a high degree of uncertainty. The PBAC considered that revision to model inputs and a price reduction would be required to address residual uncertainty and achieve a cost-effective listing, together with a risk sharing arrangement. </w:t>
            </w:r>
          </w:p>
          <w:p w14:paraId="53613EF0" w14:textId="77777777" w:rsidR="00C65F2D" w:rsidRDefault="00C65F2D" w:rsidP="00C65F2D">
            <w:pPr>
              <w:ind w:left="11"/>
              <w:contextualSpacing/>
              <w:jc w:val="both"/>
              <w:rPr>
                <w:rFonts w:asciiTheme="minorHAnsi" w:eastAsiaTheme="minorHAnsi" w:hAnsiTheme="minorHAnsi" w:cstheme="minorHAnsi"/>
                <w:sz w:val="18"/>
                <w:szCs w:val="18"/>
              </w:rPr>
            </w:pPr>
          </w:p>
          <w:p w14:paraId="54B85FDE" w14:textId="77777777" w:rsidR="00C65F2D" w:rsidRDefault="00C65F2D" w:rsidP="00C65F2D">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04E1F01F" w14:textId="5A513FF3" w:rsidR="00B87449" w:rsidRPr="00F03408" w:rsidDel="008F66B5" w:rsidRDefault="00177965" w:rsidP="00B87449">
            <w:pPr>
              <w:jc w:val="both"/>
              <w:rPr>
                <w:rFonts w:asciiTheme="minorHAnsi" w:hAnsiTheme="minorHAnsi" w:cstheme="minorBidi"/>
                <w:color w:val="000000"/>
                <w:sz w:val="18"/>
                <w:szCs w:val="18"/>
              </w:rPr>
            </w:pPr>
            <w:r w:rsidRPr="00177965">
              <w:rPr>
                <w:rFonts w:asciiTheme="minorHAnsi" w:hAnsiTheme="minorHAnsi" w:cstheme="minorBidi"/>
                <w:color w:val="000000"/>
                <w:sz w:val="18"/>
                <w:szCs w:val="18"/>
              </w:rPr>
              <w:t xml:space="preserve">Amgen is committed to working with the PBAC and Department of Health </w:t>
            </w:r>
            <w:r w:rsidR="007E16CE">
              <w:rPr>
                <w:rFonts w:asciiTheme="minorHAnsi" w:hAnsiTheme="minorHAnsi" w:cstheme="minorBidi"/>
                <w:color w:val="000000"/>
                <w:sz w:val="18"/>
                <w:szCs w:val="18"/>
              </w:rPr>
              <w:t xml:space="preserve">and Aged Care </w:t>
            </w:r>
            <w:r w:rsidRPr="00177965">
              <w:rPr>
                <w:rFonts w:asciiTheme="minorHAnsi" w:hAnsiTheme="minorHAnsi" w:cstheme="minorBidi"/>
                <w:color w:val="000000"/>
                <w:sz w:val="18"/>
                <w:szCs w:val="18"/>
              </w:rPr>
              <w:t>to enable timely access to teprotumumab for patients with active, moderate-to-severe thyroid eye disease.</w:t>
            </w:r>
          </w:p>
        </w:tc>
      </w:tr>
      <w:tr w:rsidR="00B87449" w:rsidRPr="008059F4" w:rsidDel="008F66B5" w14:paraId="17349F6F"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A88C83F" w14:textId="36E61AE5"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TORIPALIMAB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240</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in</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6</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(40</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561E1F">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Zytorvi</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DR REDDY'S LABORATORIES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2</w:t>
            </w:r>
          </w:p>
          <w:p w14:paraId="2D3A49FE" w14:textId="2E338BD9"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03561ED" w14:textId="023C3CCE"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Nasopharyngeal carcinoma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AFA93F9" w14:textId="6D0DCD4E"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(Efficient Funding of Chemotherapy Program) Authority Required (STREAMLINED) listing for the treatment of recurrent or metastatic nasopharyngeal carcinoma.</w:t>
            </w:r>
          </w:p>
        </w:tc>
        <w:tc>
          <w:tcPr>
            <w:tcW w:w="1584" w:type="dxa"/>
            <w:shd w:val="clear" w:color="auto" w:fill="auto"/>
            <w:vAlign w:val="center"/>
          </w:tcPr>
          <w:p w14:paraId="4A0B66E3" w14:textId="05EC3D66"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73CB023" w14:textId="77777777" w:rsidR="00B47A25" w:rsidRDefault="001B653E" w:rsidP="00B87449">
            <w:pPr>
              <w:jc w:val="both"/>
              <w:rPr>
                <w:rFonts w:asciiTheme="minorHAnsi" w:hAnsiTheme="minorHAnsi" w:cstheme="minorBidi"/>
                <w:color w:val="000000"/>
                <w:sz w:val="18"/>
                <w:szCs w:val="18"/>
              </w:rPr>
            </w:pPr>
            <w:r w:rsidRPr="001B653E">
              <w:rPr>
                <w:rFonts w:asciiTheme="minorHAnsi" w:hAnsiTheme="minorHAnsi" w:cstheme="minorBidi"/>
                <w:color w:val="000000"/>
                <w:sz w:val="18"/>
                <w:szCs w:val="18"/>
              </w:rPr>
              <w:t xml:space="preserve">The PBAC recommended the Authority Required listing of toripalimab for the treatment of recurrent or metastatic nasopharyngeal carcinoma The PBAC welcomed input from organisations advocating on behalf of patients with nasopharyngeal carcinoma. The PBAC acknowledged that patients with nasopharyngeal carcinoma have a poor prognosis and face significant financial burden. The PBAC recognised there was a high clinical need for additional treatment options for patients with this condition. The PBAC considered it reasonable for toripalimab to be available for patients being treated for recurrent or metastatic nasopharyngeal carcinoma, regardless of whether patients have received prior treatment. </w:t>
            </w:r>
          </w:p>
          <w:p w14:paraId="76496CE9" w14:textId="77777777" w:rsidR="00B47A25" w:rsidRDefault="00B47A25" w:rsidP="00B87449">
            <w:pPr>
              <w:jc w:val="both"/>
              <w:rPr>
                <w:rFonts w:asciiTheme="minorHAnsi" w:hAnsiTheme="minorHAnsi" w:cstheme="minorBidi"/>
                <w:color w:val="000000"/>
                <w:sz w:val="18"/>
                <w:szCs w:val="18"/>
              </w:rPr>
            </w:pPr>
          </w:p>
          <w:p w14:paraId="3FB90FC1" w14:textId="77777777" w:rsidR="00B47A25" w:rsidRDefault="001B653E" w:rsidP="00B87449">
            <w:pPr>
              <w:jc w:val="both"/>
              <w:rPr>
                <w:rFonts w:asciiTheme="minorHAnsi" w:hAnsiTheme="minorHAnsi" w:cstheme="minorBidi"/>
                <w:color w:val="000000"/>
                <w:sz w:val="18"/>
                <w:szCs w:val="18"/>
              </w:rPr>
            </w:pPr>
            <w:r w:rsidRPr="001B653E">
              <w:rPr>
                <w:rFonts w:asciiTheme="minorHAnsi" w:hAnsiTheme="minorHAnsi" w:cstheme="minorBidi"/>
                <w:color w:val="000000"/>
                <w:sz w:val="18"/>
                <w:szCs w:val="18"/>
              </w:rPr>
              <w:t xml:space="preserve">The clinical evidence presented demonstrated that toripalimab improved progression-free and overall survival in patients who participated in the trials when added to existing treatment with cisplatin and gemcitabine. However, the evidence did not allow confidence about the extent to which this benefit would be realised in Australia. In particular, the clinical trials included a very small number of patients with the keratinising squamous cell variant of nasopharyngeal carcinoma, which is more common in Australia, and is associated with poorer prognosis. Further, the clinical evidence did not support the claim in the submission that the safety of toripalimab was no worse than standard of care chemotherapy. The PBAC noted that patients in the toripalimab arm of the JUPITER-02 trial experienced over twice as many immune related adverse events and a higher number of treatment emergent adverse events that led to treatment discontinuation compared to the placebo arm. </w:t>
            </w:r>
          </w:p>
          <w:p w14:paraId="07EA2412" w14:textId="77777777" w:rsidR="00B47A25" w:rsidRDefault="00B47A25" w:rsidP="00B87449">
            <w:pPr>
              <w:jc w:val="both"/>
              <w:rPr>
                <w:rFonts w:asciiTheme="minorHAnsi" w:hAnsiTheme="minorHAnsi" w:cstheme="minorBidi"/>
                <w:color w:val="000000"/>
                <w:sz w:val="18"/>
                <w:szCs w:val="18"/>
              </w:rPr>
            </w:pPr>
          </w:p>
          <w:p w14:paraId="3276EB7B" w14:textId="399E45D7" w:rsidR="00B87449" w:rsidRPr="00F03408" w:rsidDel="008F66B5" w:rsidRDefault="001B653E" w:rsidP="00B87449">
            <w:pPr>
              <w:jc w:val="both"/>
              <w:rPr>
                <w:rFonts w:asciiTheme="minorHAnsi" w:hAnsiTheme="minorHAnsi" w:cstheme="minorBidi"/>
                <w:color w:val="000000"/>
                <w:sz w:val="18"/>
                <w:szCs w:val="18"/>
              </w:rPr>
            </w:pPr>
            <w:r w:rsidRPr="001B653E">
              <w:rPr>
                <w:rFonts w:asciiTheme="minorHAnsi" w:hAnsiTheme="minorHAnsi" w:cstheme="minorBidi"/>
                <w:color w:val="000000"/>
                <w:sz w:val="18"/>
                <w:szCs w:val="18"/>
              </w:rPr>
              <w:t>Because of these uncertainties, the PBAC considered that the benefits estimated in the economic model, in support of the proposed price, were overly optimistic</w:t>
            </w:r>
            <w:r w:rsidR="00CC5E22">
              <w:rPr>
                <w:rFonts w:asciiTheme="minorHAnsi" w:hAnsiTheme="minorHAnsi" w:cstheme="minorBidi"/>
                <w:color w:val="000000"/>
                <w:sz w:val="18"/>
                <w:szCs w:val="18"/>
              </w:rPr>
              <w:t xml:space="preserve">, </w:t>
            </w:r>
            <w:r w:rsidRPr="001B653E">
              <w:rPr>
                <w:rFonts w:asciiTheme="minorHAnsi" w:hAnsiTheme="minorHAnsi" w:cstheme="minorBidi"/>
                <w:color w:val="000000"/>
                <w:sz w:val="18"/>
                <w:szCs w:val="18"/>
              </w:rPr>
              <w:t>particularly the duration of benefit. The PBAC’s recommendation was based on, among other matters, its assessment that the cost-effectiveness of toripalimab would be acceptable with a price reduction using an economic model respecified by its Economic-Sub-Committee to include more realistic estimates.</w:t>
            </w:r>
          </w:p>
        </w:tc>
      </w:tr>
      <w:tr w:rsidR="00B87449" w:rsidRPr="008059F4" w:rsidDel="008F66B5" w14:paraId="43A2BCDF"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795064" w14:textId="5AABED64"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 xml:space="preserve">USTEKINUMAB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45</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in</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0.5</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use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Injection 90</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1476A2">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in</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1</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single use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concentrate for I.V. infusion 130</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in</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26</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(5</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3565C4">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Epyztek</w:t>
            </w:r>
            <w:r w:rsidRPr="00245393">
              <w:rPr>
                <w:rFonts w:asciiTheme="minorHAnsi" w:eastAsia="Calibri" w:hAnsiTheme="minorHAnsi" w:cstheme="minorHAnsi"/>
                <w:color w:val="000000" w:themeColor="text1"/>
                <w:sz w:val="18"/>
                <w:szCs w:val="18"/>
              </w:rPr>
              <w:t>®</w:t>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SAMSUNG BIOEPIS AU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3</w:t>
            </w:r>
          </w:p>
          <w:p w14:paraId="1F63ABF3" w14:textId="2E0DE292"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DC84E23" w14:textId="0B221D52" w:rsidR="00532350" w:rsidRPr="004C0683" w:rsidRDefault="00B87449" w:rsidP="00532350">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Severe chronic plaque psoriasis (CPP)</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Severe psoriatic arthritis (PsA)</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Severe Crohn disease (CD)</w:t>
            </w:r>
            <w:r w:rsidRPr="004C0683">
              <w:rPr>
                <w:rFonts w:asciiTheme="minorHAnsi" w:hAnsiTheme="minorHAnsi" w:cstheme="minorHAnsi"/>
                <w:sz w:val="18"/>
                <w:szCs w:val="18"/>
              </w:rPr>
              <w:br/>
            </w:r>
            <w:r w:rsidRPr="004C0683">
              <w:rPr>
                <w:rFonts w:asciiTheme="minorHAnsi" w:eastAsia="Calibri" w:hAnsiTheme="minorHAnsi" w:cstheme="minorHAnsi"/>
                <w:color w:val="000000" w:themeColor="text1"/>
                <w:sz w:val="18"/>
                <w:szCs w:val="18"/>
              </w:rPr>
              <w:t>Complex refractory fistulising CD (fCD)</w:t>
            </w:r>
            <w:r w:rsidR="00532350">
              <w:rPr>
                <w:rFonts w:asciiTheme="minorHAnsi" w:eastAsia="Calibri" w:hAnsiTheme="minorHAnsi" w:cstheme="minorHAnsi"/>
                <w:color w:val="000000" w:themeColor="text1"/>
                <w:sz w:val="18"/>
                <w:szCs w:val="18"/>
              </w:rPr>
              <w:br/>
            </w:r>
            <w:r w:rsidR="00532350" w:rsidRPr="00532350">
              <w:rPr>
                <w:rFonts w:asciiTheme="minorHAnsi" w:hAnsiTheme="minorHAnsi" w:cstheme="minorHAnsi"/>
                <w:sz w:val="18"/>
                <w:szCs w:val="18"/>
                <w:lang w:val="en-GB"/>
              </w:rPr>
              <w:t>Moderate to severe ulcerative colitis (MSUC)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86A6BC9" w14:textId="6A713C35" w:rsidR="00B87449" w:rsidRPr="00532350" w:rsidRDefault="00B87449" w:rsidP="00532350">
            <w:pPr>
              <w:jc w:val="center"/>
              <w:rPr>
                <w:rFonts w:asciiTheme="minorHAnsi" w:eastAsia="Calibri" w:hAnsiTheme="minorHAnsi" w:cstheme="minorHAnsi"/>
                <w:color w:val="000000" w:themeColor="text1"/>
                <w:sz w:val="18"/>
                <w:szCs w:val="18"/>
              </w:rPr>
            </w:pPr>
            <w:r w:rsidRPr="004C0683">
              <w:rPr>
                <w:rFonts w:asciiTheme="minorHAnsi" w:eastAsia="Calibri" w:hAnsiTheme="minorHAnsi" w:cstheme="minorHAnsi"/>
                <w:color w:val="000000" w:themeColor="text1"/>
                <w:sz w:val="18"/>
                <w:szCs w:val="18"/>
              </w:rPr>
              <w:t>To request General Schedule and Section 100 (Highly Specialised Drugs Program) listings of an ustekinumab biosimilar for the treatment of CPP, PsA, CD, fCD</w:t>
            </w:r>
            <w:r w:rsidR="00532350">
              <w:rPr>
                <w:rFonts w:asciiTheme="minorHAnsi" w:eastAsia="Calibri" w:hAnsiTheme="minorHAnsi" w:cstheme="minorHAnsi"/>
                <w:color w:val="000000" w:themeColor="text1"/>
                <w:sz w:val="18"/>
                <w:szCs w:val="18"/>
              </w:rPr>
              <w:t xml:space="preserve"> and MSUC</w:t>
            </w:r>
            <w:r w:rsidRPr="004C0683">
              <w:rPr>
                <w:rFonts w:asciiTheme="minorHAnsi" w:eastAsia="Calibri" w:hAnsiTheme="minorHAnsi" w:cstheme="minorHAnsi"/>
                <w:color w:val="000000" w:themeColor="text1"/>
                <w:sz w:val="18"/>
                <w:szCs w:val="18"/>
              </w:rPr>
              <w:t>.</w:t>
            </w:r>
          </w:p>
        </w:tc>
        <w:tc>
          <w:tcPr>
            <w:tcW w:w="1584" w:type="dxa"/>
            <w:shd w:val="clear" w:color="auto" w:fill="auto"/>
            <w:vAlign w:val="center"/>
          </w:tcPr>
          <w:p w14:paraId="45B5B40B" w14:textId="72251F09"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66C8E269" w14:textId="527391A2" w:rsidR="00B87449" w:rsidRPr="00F03408" w:rsidDel="008F66B5" w:rsidRDefault="004A1D8E" w:rsidP="00B87449">
            <w:pPr>
              <w:jc w:val="both"/>
              <w:rPr>
                <w:rFonts w:asciiTheme="minorHAnsi" w:hAnsiTheme="minorHAnsi" w:cstheme="minorBidi"/>
                <w:color w:val="000000"/>
                <w:sz w:val="18"/>
                <w:szCs w:val="18"/>
              </w:rPr>
            </w:pPr>
            <w:r w:rsidRPr="004A1D8E">
              <w:rPr>
                <w:rFonts w:asciiTheme="minorHAnsi" w:hAnsiTheme="minorHAnsi" w:cstheme="minorBidi"/>
                <w:color w:val="000000"/>
                <w:sz w:val="18"/>
                <w:szCs w:val="18"/>
              </w:rPr>
              <w:t>The PBAC recommended General Schedule and Section 100 (Highly Specialised Drugs Program) listings of a new biosimilar brand of ustekinumab (Epyztek®) in the forms of injection 45</w:t>
            </w:r>
            <w:r w:rsidR="003565C4">
              <w:rPr>
                <w:rFonts w:asciiTheme="minorHAnsi" w:hAnsiTheme="minorHAnsi" w:cstheme="minorBidi"/>
                <w:color w:val="000000"/>
                <w:sz w:val="18"/>
                <w:szCs w:val="18"/>
              </w:rPr>
              <w:t> </w:t>
            </w:r>
            <w:r w:rsidRPr="004A1D8E">
              <w:rPr>
                <w:rFonts w:asciiTheme="minorHAnsi" w:hAnsiTheme="minorHAnsi" w:cstheme="minorBidi"/>
                <w:color w:val="000000"/>
                <w:sz w:val="18"/>
                <w:szCs w:val="18"/>
              </w:rPr>
              <w:t>mg</w:t>
            </w:r>
            <w:r w:rsidR="003565C4">
              <w:rPr>
                <w:rFonts w:asciiTheme="minorHAnsi" w:hAnsiTheme="minorHAnsi" w:cstheme="minorBidi"/>
                <w:color w:val="000000"/>
                <w:sz w:val="18"/>
                <w:szCs w:val="18"/>
              </w:rPr>
              <w:t> </w:t>
            </w:r>
            <w:r w:rsidRPr="004A1D8E">
              <w:rPr>
                <w:rFonts w:asciiTheme="minorHAnsi" w:hAnsiTheme="minorHAnsi" w:cstheme="minorBidi"/>
                <w:color w:val="000000"/>
                <w:sz w:val="18"/>
                <w:szCs w:val="18"/>
              </w:rPr>
              <w:t>in</w:t>
            </w:r>
            <w:r w:rsidR="003565C4">
              <w:rPr>
                <w:rFonts w:asciiTheme="minorHAnsi" w:hAnsiTheme="minorHAnsi" w:cstheme="minorBidi"/>
                <w:color w:val="000000"/>
                <w:sz w:val="18"/>
                <w:szCs w:val="18"/>
              </w:rPr>
              <w:t> </w:t>
            </w:r>
            <w:r w:rsidRPr="004A1D8E">
              <w:rPr>
                <w:rFonts w:asciiTheme="minorHAnsi" w:hAnsiTheme="minorHAnsi" w:cstheme="minorBidi"/>
                <w:color w:val="000000"/>
                <w:sz w:val="18"/>
                <w:szCs w:val="18"/>
              </w:rPr>
              <w:t>0.5</w:t>
            </w:r>
            <w:r w:rsidR="003565C4">
              <w:rPr>
                <w:rFonts w:asciiTheme="minorHAnsi" w:hAnsiTheme="minorHAnsi" w:cstheme="minorBidi"/>
                <w:color w:val="000000"/>
                <w:sz w:val="18"/>
                <w:szCs w:val="18"/>
              </w:rPr>
              <w:t> </w:t>
            </w:r>
            <w:r w:rsidRPr="004A1D8E">
              <w:rPr>
                <w:rFonts w:asciiTheme="minorHAnsi" w:hAnsiTheme="minorHAnsi" w:cstheme="minorBidi"/>
                <w:color w:val="000000"/>
                <w:sz w:val="18"/>
                <w:szCs w:val="18"/>
              </w:rPr>
              <w:t>mL</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in</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0.5</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mg pre-filled syringe (PFS), injection 90</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mg</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in</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1</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mL PFS, and solution for I.V. infusion 130</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mg</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in</w:t>
            </w:r>
            <w:r w:rsidR="001C1C01">
              <w:rPr>
                <w:rFonts w:asciiTheme="minorHAnsi" w:hAnsiTheme="minorHAnsi" w:cstheme="minorBidi"/>
                <w:color w:val="000000"/>
                <w:sz w:val="18"/>
                <w:szCs w:val="18"/>
              </w:rPr>
              <w:t> </w:t>
            </w:r>
            <w:r w:rsidRPr="004A1D8E">
              <w:rPr>
                <w:rFonts w:asciiTheme="minorHAnsi" w:hAnsiTheme="minorHAnsi" w:cstheme="minorBidi"/>
                <w:color w:val="000000"/>
                <w:sz w:val="18"/>
                <w:szCs w:val="18"/>
              </w:rPr>
              <w:t>26</w:t>
            </w:r>
            <w:r w:rsidR="00CA6101">
              <w:rPr>
                <w:rFonts w:asciiTheme="minorHAnsi" w:hAnsiTheme="minorHAnsi" w:cstheme="minorBidi"/>
                <w:color w:val="000000"/>
                <w:sz w:val="18"/>
                <w:szCs w:val="18"/>
              </w:rPr>
              <w:t> </w:t>
            </w:r>
            <w:r w:rsidRPr="004A1D8E">
              <w:rPr>
                <w:rFonts w:asciiTheme="minorHAnsi" w:hAnsiTheme="minorHAnsi" w:cstheme="minorBidi"/>
                <w:color w:val="000000"/>
                <w:sz w:val="18"/>
                <w:szCs w:val="18"/>
              </w:rPr>
              <w:t>mL on a cost-minimisation basis and under the same circumstances as the PBS-listed reference biologic, Stelara®, for the same indications. The PBAC noted the biosimilar uptake driver policy, that is, an Authority Required (STREAMLINED) requirement for the subsequent continuing treatment listings and the inclusion of an administrative note across all Epyztek listings encouraging use of the biosimilar brand for treatment naïve patients. The PBAC considered that the application of biosimilar uptake drivers to Epyztek would be clinically appropriate and would not impact cost-effectiveness.</w:t>
            </w:r>
          </w:p>
        </w:tc>
      </w:tr>
      <w:tr w:rsidR="00B87449" w:rsidRPr="008059F4" w:rsidDel="008F66B5" w14:paraId="5823D957"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BF9B2A5" w14:textId="0A4B7AE1" w:rsidR="00B87449" w:rsidRPr="000510F0"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ZILUCOPLAN</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16.6</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in 0.416</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(as tetrasodium)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23</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0.574</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(as tetrasodium)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Solution for injection 32.4</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in 0.810</w:t>
            </w:r>
            <w:r w:rsidR="00CA6101">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 (as tetrasodium) pre-filled syringe</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Zilbrysq</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UCB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p>
          <w:p w14:paraId="1076F649" w14:textId="77777777" w:rsidR="00B87449" w:rsidRPr="00F129A2" w:rsidRDefault="00B87449" w:rsidP="00B87449">
            <w:pPr>
              <w:jc w:val="center"/>
              <w:rPr>
                <w:rFonts w:ascii="Calibri" w:hAnsi="Calibri" w:cs="Calibri"/>
                <w:color w:val="000000"/>
                <w:sz w:val="18"/>
                <w:szCs w:val="18"/>
              </w:rPr>
            </w:pPr>
            <w:r w:rsidRPr="00F129A2">
              <w:rPr>
                <w:rFonts w:ascii="Calibri" w:hAnsi="Calibri" w:cs="Calibri"/>
                <w:color w:val="000000"/>
                <w:sz w:val="18"/>
                <w:szCs w:val="18"/>
              </w:rPr>
              <w:t>Standard re-entry</w:t>
            </w:r>
          </w:p>
          <w:p w14:paraId="6590126B" w14:textId="40736023"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31F8FDA" w14:textId="3F6D2D98"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CDE7722" w14:textId="3B30FF1D"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Resubmission to request a Section 100 (Highly Specialised Drugs Program) Authority Required (Written) listing for initial treatment and a General Schedule Authority Required (Written) listing for continuing treatment of gMG.</w:t>
            </w:r>
          </w:p>
        </w:tc>
        <w:tc>
          <w:tcPr>
            <w:tcW w:w="1584" w:type="dxa"/>
            <w:shd w:val="clear" w:color="auto" w:fill="auto"/>
            <w:vAlign w:val="center"/>
          </w:tcPr>
          <w:p w14:paraId="0D8D447F" w14:textId="0DD0B728"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76" w:type="dxa"/>
            <w:shd w:val="clear" w:color="auto" w:fill="auto"/>
            <w:vAlign w:val="center"/>
          </w:tcPr>
          <w:p w14:paraId="1FE5587F" w14:textId="43D2A081" w:rsidR="00CB0B17" w:rsidRPr="00CB0B17" w:rsidRDefault="00CB0B17" w:rsidP="00CB0B17">
            <w:pPr>
              <w:jc w:val="both"/>
              <w:rPr>
                <w:rFonts w:asciiTheme="minorHAnsi" w:hAnsiTheme="minorHAnsi" w:cstheme="minorBidi"/>
                <w:color w:val="000000"/>
                <w:sz w:val="18"/>
                <w:szCs w:val="18"/>
              </w:rPr>
            </w:pPr>
            <w:r w:rsidRPr="00CB0B17">
              <w:rPr>
                <w:rFonts w:asciiTheme="minorHAnsi" w:hAnsiTheme="minorHAnsi" w:cstheme="minorBidi"/>
                <w:color w:val="000000"/>
                <w:sz w:val="18"/>
                <w:szCs w:val="18"/>
              </w:rPr>
              <w:t xml:space="preserve">The PBAC recommended the listing of zilucoplan for the treatment of gMG. 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w:t>
            </w:r>
          </w:p>
          <w:p w14:paraId="3C80D3FB" w14:textId="77777777" w:rsidR="00CB0B17" w:rsidRPr="00CB0B17" w:rsidRDefault="00CB0B17" w:rsidP="00CB0B17">
            <w:pPr>
              <w:jc w:val="both"/>
              <w:rPr>
                <w:rFonts w:asciiTheme="minorHAnsi" w:hAnsiTheme="minorHAnsi" w:cstheme="minorBidi"/>
                <w:color w:val="000000"/>
                <w:sz w:val="18"/>
                <w:szCs w:val="18"/>
              </w:rPr>
            </w:pPr>
          </w:p>
          <w:p w14:paraId="355127D7" w14:textId="77777777" w:rsidR="00CB0B17" w:rsidRPr="00CB0B17" w:rsidRDefault="00CB0B17" w:rsidP="00CB0B17">
            <w:pPr>
              <w:jc w:val="both"/>
              <w:rPr>
                <w:rFonts w:asciiTheme="minorHAnsi" w:hAnsiTheme="minorHAnsi" w:cstheme="minorBidi"/>
                <w:color w:val="000000"/>
                <w:sz w:val="18"/>
                <w:szCs w:val="18"/>
              </w:rPr>
            </w:pPr>
            <w:r w:rsidRPr="00CB0B17">
              <w:rPr>
                <w:rFonts w:asciiTheme="minorHAnsi" w:hAnsiTheme="minorHAnsi" w:cstheme="minorBidi"/>
                <w:color w:val="000000"/>
                <w:sz w:val="18"/>
                <w:szCs w:val="18"/>
              </w:rPr>
              <w:t xml:space="preserve">Overall, the PBAC considered there was insufficient evidence to suggest zilucoplan would be more effective or safer than intravenous immunoglobulin or plasma exchange. Further, the PBAC considered that there was no evidence to suggest that zilucoplan was superior in terms of efficacy or safety compared with the other three therapies for gMG that were considered at the March 2025 meeting (ravulizumab, efgartigimod and rozanolixizumab). Overall, the PBAC advised that the four therapies should be considered to have similar efficacy and safety compared with each other and with intravenous immunoglobulin. The recommendation to list zilucoplan on the PBS was made on the basis of a cost-comparison versus intravenous immunoglobulin, supported by a cost-per-responder analysis versus placebo. </w:t>
            </w:r>
          </w:p>
          <w:p w14:paraId="05722CEA" w14:textId="77777777" w:rsidR="00CB0B17" w:rsidRPr="00CB0B17" w:rsidRDefault="00CB0B17" w:rsidP="00CB0B17">
            <w:pPr>
              <w:jc w:val="both"/>
              <w:rPr>
                <w:rFonts w:asciiTheme="minorHAnsi" w:hAnsiTheme="minorHAnsi" w:cstheme="minorBidi"/>
                <w:color w:val="000000"/>
                <w:sz w:val="18"/>
                <w:szCs w:val="18"/>
              </w:rPr>
            </w:pPr>
          </w:p>
          <w:p w14:paraId="7F897A40" w14:textId="77209437" w:rsidR="00B87449" w:rsidRPr="00F03408" w:rsidDel="008F66B5" w:rsidRDefault="00CB0B17" w:rsidP="00B87449">
            <w:pPr>
              <w:jc w:val="both"/>
              <w:rPr>
                <w:rFonts w:asciiTheme="minorHAnsi" w:hAnsiTheme="minorHAnsi" w:cstheme="minorBidi"/>
                <w:color w:val="000000"/>
                <w:sz w:val="18"/>
                <w:szCs w:val="18"/>
              </w:rPr>
            </w:pPr>
            <w:r w:rsidRPr="00CB0B17">
              <w:rPr>
                <w:rFonts w:asciiTheme="minorHAnsi" w:hAnsiTheme="minorHAnsi" w:cstheme="minorBidi"/>
                <w:color w:val="000000"/>
                <w:sz w:val="18"/>
                <w:szCs w:val="18"/>
              </w:rPr>
              <w:t>The PBAC considered that the new gMG therapies should substitute for intravenous immunoglobulin and plasma exchange rather than be added on to or used in combination with these modalities. The PBAC advised that the prescribing criteria for intravenous immunoglobulin should be revised to ensure use remains appropriate in the context of the availability of the new therapies.</w:t>
            </w:r>
          </w:p>
        </w:tc>
      </w:tr>
      <w:tr w:rsidR="00B87449" w:rsidRPr="008059F4" w:rsidDel="008F66B5" w14:paraId="42446127" w14:textId="77777777" w:rsidTr="00B272AA">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CD3335" w14:textId="3464EA6D" w:rsidR="00B87449" w:rsidRDefault="00B87449" w:rsidP="00B87449">
            <w:pPr>
              <w:jc w:val="center"/>
              <w:rPr>
                <w:rFonts w:asciiTheme="minorHAnsi" w:eastAsia="Calibri" w:hAnsiTheme="minorHAnsi" w:cstheme="minorHAnsi"/>
                <w:color w:val="000000" w:themeColor="text1"/>
                <w:sz w:val="18"/>
                <w:szCs w:val="18"/>
              </w:rPr>
            </w:pPr>
            <w:r w:rsidRPr="000510F0">
              <w:rPr>
                <w:rFonts w:asciiTheme="minorHAnsi" w:eastAsia="Calibri" w:hAnsiTheme="minorHAnsi" w:cstheme="minorHAnsi"/>
                <w:color w:val="000000" w:themeColor="text1"/>
                <w:sz w:val="18"/>
                <w:szCs w:val="18"/>
              </w:rPr>
              <w:lastRenderedPageBreak/>
              <w:t>ZOLBETUXIMAB</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Powder for I.V. infusion 100</w:t>
            </w:r>
            <w:r w:rsidR="009A50FD">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 (20</w:t>
            </w:r>
            <w:r w:rsidR="009A50FD">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mg</w:t>
            </w:r>
            <w:r w:rsidR="009A50FD">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per</w:t>
            </w:r>
            <w:r w:rsidR="009A50FD">
              <w:rPr>
                <w:rFonts w:asciiTheme="minorHAnsi" w:eastAsia="Calibri" w:hAnsiTheme="minorHAnsi" w:cstheme="minorHAnsi"/>
                <w:color w:val="000000" w:themeColor="text1"/>
                <w:sz w:val="18"/>
                <w:szCs w:val="18"/>
              </w:rPr>
              <w:t> </w:t>
            </w:r>
            <w:r w:rsidRPr="000510F0">
              <w:rPr>
                <w:rFonts w:asciiTheme="minorHAnsi" w:eastAsia="Calibri" w:hAnsiTheme="minorHAnsi" w:cstheme="minorHAnsi"/>
                <w:color w:val="000000" w:themeColor="text1"/>
                <w:sz w:val="18"/>
                <w:szCs w:val="18"/>
              </w:rPr>
              <w:t>mL)</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Vyloy</w:t>
            </w:r>
            <w:r w:rsidRPr="00245393">
              <w:rPr>
                <w:rFonts w:asciiTheme="minorHAnsi" w:eastAsia="Calibri" w:hAnsiTheme="minorHAnsi" w:cstheme="minorHAnsi"/>
                <w:color w:val="000000" w:themeColor="text1"/>
                <w:sz w:val="18"/>
                <w:szCs w:val="18"/>
              </w:rPr>
              <w:t>®</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ASTELLAS PHARMA AUSTRALIA PTY LTD</w:t>
            </w:r>
            <w:r w:rsidRPr="000510F0">
              <w:rPr>
                <w:rFonts w:asciiTheme="minorHAnsi" w:hAnsiTheme="minorHAnsi" w:cstheme="minorHAnsi"/>
                <w:sz w:val="18"/>
                <w:szCs w:val="18"/>
              </w:rPr>
              <w:br/>
            </w:r>
            <w:r w:rsidRPr="000510F0">
              <w:rPr>
                <w:rFonts w:asciiTheme="minorHAnsi" w:eastAsia="Calibri" w:hAnsiTheme="minorHAnsi" w:cstheme="minorHAnsi"/>
                <w:color w:val="000000" w:themeColor="text1"/>
                <w:sz w:val="18"/>
                <w:szCs w:val="18"/>
              </w:rPr>
              <w:t xml:space="preserve"> </w:t>
            </w:r>
            <w:r w:rsidRPr="000510F0">
              <w:rPr>
                <w:rFonts w:asciiTheme="minorHAnsi" w:hAnsiTheme="minorHAnsi" w:cstheme="minorHAnsi"/>
                <w:sz w:val="18"/>
                <w:szCs w:val="18"/>
              </w:rPr>
              <w:br/>
            </w:r>
            <w:r>
              <w:rPr>
                <w:rFonts w:asciiTheme="minorHAnsi" w:eastAsia="Calibri" w:hAnsiTheme="minorHAnsi" w:cstheme="minorHAnsi"/>
                <w:color w:val="000000" w:themeColor="text1"/>
                <w:sz w:val="18"/>
                <w:szCs w:val="18"/>
              </w:rPr>
              <w:t>Category 1</w:t>
            </w:r>
          </w:p>
          <w:p w14:paraId="567253C5" w14:textId="40324F52" w:rsidR="00B87449" w:rsidRPr="000510F0" w:rsidRDefault="00B87449" w:rsidP="00B87449">
            <w:pPr>
              <w:jc w:val="center"/>
              <w:rPr>
                <w:rFonts w:asciiTheme="minorHAnsi" w:hAnsiTheme="minorHAnsi" w:cstheme="minorHAnsi"/>
                <w:sz w:val="18"/>
                <w:szCs w:val="18"/>
              </w:rPr>
            </w:pPr>
            <w:r w:rsidRPr="000510F0">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B049430" w14:textId="628A8C2D"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Gastric or gastroesophageal junction (G/GOJ)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9B5FDA7" w14:textId="7A6C92FD" w:rsidR="00B87449" w:rsidRPr="004C0683" w:rsidRDefault="00B87449" w:rsidP="00B87449">
            <w:pPr>
              <w:jc w:val="center"/>
              <w:rPr>
                <w:rFonts w:asciiTheme="minorHAnsi" w:hAnsiTheme="minorHAnsi" w:cstheme="minorHAnsi"/>
                <w:sz w:val="18"/>
                <w:szCs w:val="18"/>
              </w:rPr>
            </w:pPr>
            <w:r w:rsidRPr="004C0683">
              <w:rPr>
                <w:rFonts w:asciiTheme="minorHAnsi" w:eastAsia="Calibri" w:hAnsiTheme="minorHAnsi" w:cstheme="minorHAnsi"/>
                <w:color w:val="000000" w:themeColor="text1"/>
                <w:sz w:val="18"/>
                <w:szCs w:val="18"/>
              </w:rPr>
              <w:t>To request a Section 100 (Efficient Funding of Chemotherapy) Authority Required (STREAMLINED) listing for the first-line treatment of locally advanced unresectable or metastatic epidermal growth factor receptor 2-negative G/GOJ adenocarcinoma.</w:t>
            </w:r>
          </w:p>
        </w:tc>
        <w:tc>
          <w:tcPr>
            <w:tcW w:w="1584" w:type="dxa"/>
            <w:shd w:val="clear" w:color="auto" w:fill="auto"/>
            <w:vAlign w:val="center"/>
          </w:tcPr>
          <w:p w14:paraId="55D0F890" w14:textId="324BBD55" w:rsidR="00B87449" w:rsidRPr="00F03408" w:rsidDel="008F66B5" w:rsidRDefault="00B87449" w:rsidP="00B8744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76" w:type="dxa"/>
            <w:shd w:val="clear" w:color="auto" w:fill="auto"/>
            <w:vAlign w:val="center"/>
          </w:tcPr>
          <w:p w14:paraId="41BE503B" w14:textId="4CFFDC89" w:rsidR="00C65F2D" w:rsidRDefault="00442E85" w:rsidP="00C65F2D">
            <w:pPr>
              <w:ind w:left="11"/>
              <w:contextualSpacing/>
              <w:jc w:val="both"/>
              <w:rPr>
                <w:rFonts w:asciiTheme="minorHAnsi" w:eastAsiaTheme="minorHAnsi" w:hAnsiTheme="minorHAnsi" w:cstheme="minorHAnsi"/>
                <w:sz w:val="18"/>
                <w:szCs w:val="18"/>
              </w:rPr>
            </w:pPr>
            <w:r w:rsidRPr="00442E85">
              <w:rPr>
                <w:rFonts w:asciiTheme="minorHAnsi" w:eastAsiaTheme="minorHAnsi" w:hAnsiTheme="minorHAnsi" w:cstheme="minorHAnsi"/>
                <w:sz w:val="18"/>
                <w:szCs w:val="18"/>
              </w:rPr>
              <w:t>The PBAC deferred making a recommendation for the listing of zolbetuximab with fluoropyrimidine- and platinum-containing chemotherapy, for the targeted first-line treatment of patients with locally advanced unresectable or metastatic human epidermal growth factor receptor 2 (HER2)-negative G/GOJ adenocarcinoma whose tumours are CLDN18.2- positive (CLDN18.2+). The PBAC was of a mind to recommend zolbetuximab pending MSAC consideration of immunohistochemistry (IHC) testing for Claudin 18.2 (CLDN18.2) expression and presentation of revised restriction criteria and cost-minimisation approach (CMA). The PBAC considered that there is a moderate clinical need for new treatments for advanced G/GOJ as there are few effective treatment options for this population and the associated prognosis is poor. The PBAC considered that while no evidence was presented in the submission to support treatment effect modification of CLDN18.2 expression, it would be reasonable to accept the claim for codependence due to the strong biological rationale. The PBAC considered that the efficacy of zolbetuximab was non-inferior compared to nivolumab, but due to the additional gastrointestinal toxicity safety was inferior, which would limit uptake, and this should be reflected in the CMA.</w:t>
            </w:r>
          </w:p>
          <w:p w14:paraId="35F7AD71" w14:textId="77777777" w:rsidR="00442E85" w:rsidRDefault="00442E85" w:rsidP="00C65F2D">
            <w:pPr>
              <w:ind w:left="11"/>
              <w:contextualSpacing/>
              <w:jc w:val="both"/>
              <w:rPr>
                <w:rFonts w:asciiTheme="minorHAnsi" w:eastAsiaTheme="minorHAnsi" w:hAnsiTheme="minorHAnsi" w:cstheme="minorHAnsi"/>
                <w:sz w:val="18"/>
                <w:szCs w:val="18"/>
              </w:rPr>
            </w:pPr>
          </w:p>
          <w:p w14:paraId="3D18CA57" w14:textId="77777777" w:rsidR="00C65F2D" w:rsidRDefault="00C65F2D" w:rsidP="00C65F2D">
            <w:pPr>
              <w:ind w:left="11"/>
              <w:contextualSpacing/>
              <w:jc w:val="both"/>
              <w:rPr>
                <w:rFonts w:asciiTheme="minorHAnsi" w:eastAsiaTheme="minorHAnsi" w:hAnsiTheme="minorHAnsi" w:cstheme="minorHAnsi"/>
                <w:sz w:val="18"/>
                <w:szCs w:val="18"/>
                <w:u w:val="single"/>
              </w:rPr>
            </w:pPr>
            <w:r w:rsidRPr="00B35842">
              <w:rPr>
                <w:rFonts w:asciiTheme="minorHAnsi" w:eastAsiaTheme="minorHAnsi" w:hAnsiTheme="minorHAnsi" w:cstheme="minorHAnsi"/>
                <w:sz w:val="18"/>
                <w:szCs w:val="18"/>
                <w:u w:val="single"/>
              </w:rPr>
              <w:t>Sponsor’s Comment:</w:t>
            </w:r>
          </w:p>
          <w:p w14:paraId="4CDC80C2" w14:textId="6EF5AFB4" w:rsidR="00B87449" w:rsidRPr="00F03408" w:rsidDel="008F66B5" w:rsidRDefault="00311D7D" w:rsidP="00B87449">
            <w:pPr>
              <w:jc w:val="both"/>
              <w:rPr>
                <w:rFonts w:asciiTheme="minorHAnsi" w:hAnsiTheme="minorHAnsi" w:cstheme="minorBidi"/>
                <w:color w:val="000000"/>
                <w:sz w:val="18"/>
                <w:szCs w:val="18"/>
              </w:rPr>
            </w:pPr>
            <w:r w:rsidRPr="00311D7D">
              <w:rPr>
                <w:rFonts w:asciiTheme="minorHAnsi" w:hAnsiTheme="minorHAnsi" w:cstheme="minorBidi"/>
                <w:color w:val="000000"/>
                <w:sz w:val="18"/>
                <w:szCs w:val="18"/>
              </w:rPr>
              <w:t xml:space="preserve">Astellas Pharma Australia welcomes the </w:t>
            </w:r>
            <w:r w:rsidR="00B27BEE" w:rsidRPr="00B27BEE">
              <w:rPr>
                <w:rFonts w:asciiTheme="minorHAnsi" w:hAnsiTheme="minorHAnsi" w:cstheme="minorBidi"/>
                <w:color w:val="000000"/>
                <w:sz w:val="18"/>
                <w:szCs w:val="18"/>
              </w:rPr>
              <w:t>deferral</w:t>
            </w:r>
            <w:r w:rsidRPr="00311D7D">
              <w:rPr>
                <w:rFonts w:asciiTheme="minorHAnsi" w:hAnsiTheme="minorHAnsi" w:cstheme="minorBidi"/>
                <w:color w:val="000000"/>
                <w:sz w:val="18"/>
                <w:szCs w:val="18"/>
              </w:rPr>
              <w:t xml:space="preserve"> for </w:t>
            </w:r>
            <w:r w:rsidR="00292A15" w:rsidRPr="00311D7D">
              <w:rPr>
                <w:rFonts w:asciiTheme="minorHAnsi" w:hAnsiTheme="minorHAnsi" w:cstheme="minorBidi"/>
                <w:color w:val="000000"/>
                <w:sz w:val="18"/>
                <w:szCs w:val="18"/>
              </w:rPr>
              <w:t>zolbetuximab</w:t>
            </w:r>
            <w:r w:rsidRPr="00311D7D">
              <w:rPr>
                <w:rFonts w:asciiTheme="minorHAnsi" w:hAnsiTheme="minorHAnsi" w:cstheme="minorBidi"/>
                <w:color w:val="000000"/>
                <w:sz w:val="18"/>
                <w:szCs w:val="18"/>
              </w:rPr>
              <w:t xml:space="preserve"> and looks forward to its inclusion on the PBS. Despite recent medical advancements, gastric and GOJ adenocarcinoma remains a significant clinical problem because a majority of patients continue to present with incurable locally advanced or metastatic disease on diagnosis.</w:t>
            </w:r>
          </w:p>
        </w:tc>
      </w:tr>
    </w:tbl>
    <w:p w14:paraId="235972BA" w14:textId="77777777" w:rsidR="00D63B5A" w:rsidRDefault="00D63B5A"/>
    <w:p w14:paraId="41672DE0" w14:textId="107FD537" w:rsidR="00F44F4A" w:rsidRPr="00F44F4A" w:rsidRDefault="00F44F4A" w:rsidP="00F44F4A">
      <w:r>
        <w:br w:type="page"/>
      </w:r>
    </w:p>
    <w:tbl>
      <w:tblPr>
        <w:tblW w:w="5000" w:type="pct"/>
        <w:tblLook w:val="04A0" w:firstRow="1" w:lastRow="0" w:firstColumn="1" w:lastColumn="0" w:noHBand="0" w:noVBand="1"/>
      </w:tblPr>
      <w:tblGrid>
        <w:gridCol w:w="3823"/>
        <w:gridCol w:w="3825"/>
        <w:gridCol w:w="3684"/>
        <w:gridCol w:w="4056"/>
      </w:tblGrid>
      <w:tr w:rsidR="00F44F4A" w:rsidRPr="00180C4A" w14:paraId="4475A4B2" w14:textId="77777777">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7BC20"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76D8D19E"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76EE8ADD"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385232DA"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PBAC OUTCOME</w:t>
            </w:r>
          </w:p>
        </w:tc>
      </w:tr>
      <w:tr w:rsidR="00F44F4A" w:rsidRPr="00180C4A" w14:paraId="531DF523" w14:textId="77777777" w:rsidTr="0067717D">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03C0FC9" w14:textId="0FAA1692" w:rsidR="00F44F4A" w:rsidRPr="00180C4A" w:rsidRDefault="00F44F4A" w:rsidP="00F44F4A">
            <w:pPr>
              <w:jc w:val="center"/>
              <w:rPr>
                <w:rFonts w:asciiTheme="minorHAnsi" w:hAnsiTheme="minorHAnsi" w:cstheme="minorHAnsi"/>
                <w:sz w:val="18"/>
                <w:szCs w:val="18"/>
              </w:rPr>
            </w:pPr>
            <w:r w:rsidRPr="000510F0">
              <w:rPr>
                <w:rFonts w:asciiTheme="minorHAnsi" w:hAnsiTheme="minorHAnsi" w:cstheme="minorHAnsi"/>
                <w:color w:val="000000"/>
                <w:sz w:val="18"/>
                <w:szCs w:val="18"/>
              </w:rPr>
              <w:t>ALIROCUMAB</w:t>
            </w:r>
            <w:r w:rsidRPr="000510F0">
              <w:rPr>
                <w:rFonts w:asciiTheme="minorHAnsi" w:hAnsiTheme="minorHAnsi" w:cstheme="minorHAnsi"/>
                <w:color w:val="000000"/>
                <w:sz w:val="18"/>
                <w:szCs w:val="18"/>
              </w:rPr>
              <w:br/>
            </w:r>
            <w:r w:rsidRPr="000510F0">
              <w:rPr>
                <w:rFonts w:asciiTheme="minorHAnsi" w:hAnsiTheme="minorHAnsi" w:cstheme="minorHAnsi"/>
                <w:color w:val="000000"/>
                <w:sz w:val="18"/>
                <w:szCs w:val="18"/>
              </w:rPr>
              <w:br/>
              <w:t>Injection 300</w:t>
            </w:r>
            <w:r w:rsidR="009A50F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9A50FD">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9A50FD">
              <w:rPr>
                <w:rFonts w:asciiTheme="minorHAnsi" w:hAnsiTheme="minorHAnsi" w:cstheme="minorHAnsi"/>
                <w:color w:val="000000"/>
                <w:sz w:val="18"/>
                <w:szCs w:val="18"/>
              </w:rPr>
              <w:t> </w:t>
            </w:r>
            <w:r w:rsidRPr="000510F0">
              <w:rPr>
                <w:rFonts w:asciiTheme="minorHAnsi" w:hAnsiTheme="minorHAnsi" w:cstheme="minorHAnsi"/>
                <w:color w:val="000000"/>
                <w:sz w:val="18"/>
                <w:szCs w:val="18"/>
              </w:rPr>
              <w:t>2</w:t>
            </w:r>
            <w:r w:rsidR="009A50F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 single dose autoinjector</w:t>
            </w:r>
            <w:r w:rsidRPr="000510F0">
              <w:rPr>
                <w:rFonts w:asciiTheme="minorHAnsi" w:hAnsiTheme="minorHAnsi" w:cstheme="minorHAnsi"/>
                <w:color w:val="000000"/>
                <w:sz w:val="18"/>
                <w:szCs w:val="18"/>
              </w:rPr>
              <w:br/>
            </w:r>
            <w:r w:rsidRPr="000510F0">
              <w:rPr>
                <w:rFonts w:asciiTheme="minorHAnsi" w:hAnsiTheme="minorHAnsi" w:cstheme="minorHAnsi"/>
                <w:color w:val="000000"/>
                <w:sz w:val="18"/>
                <w:szCs w:val="18"/>
              </w:rPr>
              <w:br/>
              <w:t>Praluent</w:t>
            </w:r>
            <w:r w:rsidRPr="00245393">
              <w:rPr>
                <w:rFonts w:asciiTheme="minorHAnsi" w:hAnsiTheme="minorHAnsi" w:cstheme="minorHAnsi"/>
                <w:color w:val="000000"/>
                <w:sz w:val="18"/>
                <w:szCs w:val="18"/>
              </w:rPr>
              <w:t>®</w:t>
            </w:r>
            <w:r w:rsidRPr="000510F0">
              <w:rPr>
                <w:rFonts w:asciiTheme="minorHAnsi" w:hAnsiTheme="minorHAnsi" w:cstheme="minorHAnsi"/>
                <w:color w:val="000000"/>
                <w:sz w:val="18"/>
                <w:szCs w:val="18"/>
              </w:rPr>
              <w:t xml:space="preserve"> </w:t>
            </w:r>
            <w:r w:rsidRPr="000510F0">
              <w:rPr>
                <w:rFonts w:asciiTheme="minorHAnsi" w:hAnsiTheme="minorHAnsi" w:cstheme="minorHAnsi"/>
                <w:color w:val="000000"/>
                <w:sz w:val="18"/>
                <w:szCs w:val="18"/>
              </w:rPr>
              <w:br/>
            </w:r>
            <w:r w:rsidRPr="000510F0">
              <w:rPr>
                <w:rFonts w:asciiTheme="minorHAnsi" w:hAnsiTheme="minorHAnsi" w:cstheme="minorHAnsi"/>
                <w:color w:val="000000"/>
                <w:sz w:val="18"/>
                <w:szCs w:val="18"/>
              </w:rPr>
              <w:br/>
              <w:t>SANOFI-AVENTIS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B368B07" w14:textId="1A50CD17" w:rsidR="00F44F4A" w:rsidRPr="00180C4A" w:rsidRDefault="00F44F4A" w:rsidP="00F44F4A">
            <w:pPr>
              <w:widowControl w:val="0"/>
              <w:jc w:val="center"/>
              <w:rPr>
                <w:rFonts w:asciiTheme="minorHAnsi" w:hAnsiTheme="minorHAnsi" w:cstheme="minorHAnsi"/>
                <w:bCs/>
                <w:sz w:val="18"/>
                <w:szCs w:val="18"/>
              </w:rPr>
            </w:pPr>
            <w:r w:rsidRPr="004C0683">
              <w:rPr>
                <w:rFonts w:asciiTheme="minorHAnsi" w:hAnsiTheme="minorHAnsi" w:cstheme="minorHAnsi"/>
                <w:color w:val="000000"/>
                <w:sz w:val="18"/>
                <w:szCs w:val="18"/>
              </w:rPr>
              <w:t>Familial heterozygous hypercholesterolaemia</w:t>
            </w:r>
            <w:r w:rsidRPr="004C0683">
              <w:rPr>
                <w:rFonts w:asciiTheme="minorHAnsi" w:hAnsiTheme="minorHAnsi" w:cstheme="minorHAnsi"/>
                <w:color w:val="000000"/>
                <w:sz w:val="18"/>
                <w:szCs w:val="18"/>
              </w:rPr>
              <w:br/>
              <w:t>Non-familial hypercholesterolaemia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068072DF" w14:textId="28D8B4DD" w:rsidR="00F44F4A" w:rsidRPr="00180C4A" w:rsidRDefault="00F44F4A" w:rsidP="00F44F4A">
            <w:pPr>
              <w:widowControl w:val="0"/>
              <w:jc w:val="center"/>
              <w:rPr>
                <w:rFonts w:asciiTheme="minorHAnsi" w:hAnsiTheme="minorHAnsi" w:cstheme="minorHAnsi"/>
                <w:sz w:val="18"/>
                <w:szCs w:val="18"/>
              </w:rPr>
            </w:pPr>
            <w:r w:rsidRPr="004C0683">
              <w:rPr>
                <w:rFonts w:asciiTheme="minorHAnsi" w:hAnsiTheme="minorHAnsi" w:cstheme="minorHAnsi"/>
                <w:color w:val="000000"/>
                <w:sz w:val="18"/>
                <w:szCs w:val="18"/>
              </w:rPr>
              <w:t xml:space="preserve">To request the PBAC review its March 2023 recommendation that has not yet been accepted by the applicant. </w:t>
            </w:r>
          </w:p>
        </w:tc>
        <w:tc>
          <w:tcPr>
            <w:tcW w:w="1318" w:type="pct"/>
            <w:tcBorders>
              <w:top w:val="single" w:sz="4" w:space="0" w:color="auto"/>
              <w:left w:val="nil"/>
              <w:bottom w:val="single" w:sz="4" w:space="0" w:color="auto"/>
              <w:right w:val="single" w:sz="4" w:space="0" w:color="auto"/>
            </w:tcBorders>
            <w:shd w:val="clear" w:color="auto" w:fill="auto"/>
            <w:vAlign w:val="center"/>
          </w:tcPr>
          <w:p w14:paraId="08C39B00" w14:textId="316B40F2" w:rsidR="00F44F4A" w:rsidRPr="00180C4A" w:rsidRDefault="00282720" w:rsidP="00F44F4A">
            <w:pPr>
              <w:widowControl w:val="0"/>
              <w:jc w:val="center"/>
              <w:rPr>
                <w:rFonts w:asciiTheme="minorHAnsi" w:hAnsiTheme="minorHAnsi" w:cstheme="minorHAnsi"/>
                <w:bCs/>
                <w:snapToGrid w:val="0"/>
                <w:sz w:val="18"/>
                <w:szCs w:val="18"/>
              </w:rPr>
            </w:pPr>
            <w:r>
              <w:rPr>
                <w:rFonts w:asciiTheme="minorHAnsi" w:hAnsiTheme="minorHAnsi" w:cstheme="minorHAnsi"/>
                <w:bCs/>
                <w:snapToGrid w:val="0"/>
                <w:sz w:val="18"/>
                <w:szCs w:val="18"/>
              </w:rPr>
              <w:t>T</w:t>
            </w:r>
            <w:r w:rsidR="006D2F2E" w:rsidRPr="006D2F2E">
              <w:rPr>
                <w:rFonts w:asciiTheme="minorHAnsi" w:hAnsiTheme="minorHAnsi" w:cstheme="minorHAnsi"/>
                <w:bCs/>
                <w:snapToGrid w:val="0"/>
                <w:sz w:val="18"/>
                <w:szCs w:val="18"/>
              </w:rPr>
              <w:t>he PBAC rescinded the March 2023 recommendation for this drug.</w:t>
            </w:r>
          </w:p>
        </w:tc>
      </w:tr>
      <w:tr w:rsidR="00F44F4A" w:rsidRPr="00180C4A" w14:paraId="2BC7529B" w14:textId="77777777" w:rsidTr="0067717D">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C9F3D08" w14:textId="77777777"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BEVACIZUMAB</w:t>
            </w:r>
            <w:r w:rsidRPr="000510F0">
              <w:rPr>
                <w:rFonts w:asciiTheme="minorHAnsi" w:hAnsiTheme="minorHAnsi" w:cstheme="minorHAnsi"/>
                <w:color w:val="000000"/>
                <w:sz w:val="18"/>
                <w:szCs w:val="18"/>
              </w:rPr>
              <w:br/>
            </w:r>
          </w:p>
          <w:p w14:paraId="23F51EF8" w14:textId="1769553C"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Solution for I.V. infusion 100</w:t>
            </w:r>
            <w:r w:rsidR="009E399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9E399D">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9E399D">
              <w:rPr>
                <w:rFonts w:asciiTheme="minorHAnsi" w:hAnsiTheme="minorHAnsi" w:cstheme="minorHAnsi"/>
                <w:color w:val="000000"/>
                <w:sz w:val="18"/>
                <w:szCs w:val="18"/>
              </w:rPr>
              <w:t> </w:t>
            </w:r>
            <w:r w:rsidRPr="000510F0">
              <w:rPr>
                <w:rFonts w:asciiTheme="minorHAnsi" w:hAnsiTheme="minorHAnsi" w:cstheme="minorHAnsi"/>
                <w:color w:val="000000"/>
                <w:sz w:val="18"/>
                <w:szCs w:val="18"/>
              </w:rPr>
              <w:t xml:space="preserve"> 4</w:t>
            </w:r>
            <w:r w:rsidR="009E399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w:t>
            </w:r>
          </w:p>
          <w:p w14:paraId="0DB1D961" w14:textId="6BF2A01C"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Solution for I.V. infusion 400</w:t>
            </w:r>
            <w:r w:rsidR="009E399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C5065D">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C5065D">
              <w:rPr>
                <w:rFonts w:asciiTheme="minorHAnsi" w:hAnsiTheme="minorHAnsi" w:cstheme="minorHAnsi"/>
                <w:color w:val="000000"/>
                <w:sz w:val="18"/>
                <w:szCs w:val="18"/>
              </w:rPr>
              <w:t> </w:t>
            </w:r>
            <w:r w:rsidRPr="000510F0">
              <w:rPr>
                <w:rFonts w:asciiTheme="minorHAnsi" w:hAnsiTheme="minorHAnsi" w:cstheme="minorHAnsi"/>
                <w:color w:val="000000"/>
                <w:sz w:val="18"/>
                <w:szCs w:val="18"/>
              </w:rPr>
              <w:t>16</w:t>
            </w:r>
            <w:r w:rsidR="00C5065D">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w:t>
            </w:r>
            <w:r w:rsidRPr="000510F0">
              <w:rPr>
                <w:rFonts w:asciiTheme="minorHAnsi" w:hAnsiTheme="minorHAnsi" w:cstheme="minorHAnsi"/>
                <w:color w:val="000000"/>
                <w:sz w:val="18"/>
                <w:szCs w:val="18"/>
              </w:rPr>
              <w:br/>
            </w:r>
          </w:p>
          <w:p w14:paraId="7AED0413" w14:textId="46E344A2"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Zirabev</w:t>
            </w:r>
            <w:r w:rsidRPr="00245393">
              <w:rPr>
                <w:rFonts w:asciiTheme="minorHAnsi" w:hAnsiTheme="minorHAnsi" w:cstheme="minorHAnsi"/>
                <w:color w:val="000000"/>
                <w:sz w:val="18"/>
                <w:szCs w:val="18"/>
              </w:rPr>
              <w:t>®</w:t>
            </w:r>
            <w:r w:rsidRPr="000510F0">
              <w:rPr>
                <w:rFonts w:asciiTheme="minorHAnsi" w:hAnsiTheme="minorHAnsi" w:cstheme="minorHAnsi"/>
                <w:color w:val="000000"/>
                <w:sz w:val="18"/>
                <w:szCs w:val="18"/>
                <w:vertAlign w:val="superscript"/>
              </w:rPr>
              <w:br/>
            </w:r>
          </w:p>
          <w:p w14:paraId="3F522B03" w14:textId="7BA0A873" w:rsidR="00F44F4A" w:rsidRPr="00180C4A" w:rsidRDefault="00F44F4A" w:rsidP="00571295">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PFIZER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E48F020" w14:textId="48398758" w:rsidR="00F44F4A" w:rsidRPr="00180C4A" w:rsidRDefault="00F44F4A" w:rsidP="00F44F4A">
            <w:pPr>
              <w:widowControl w:val="0"/>
              <w:jc w:val="center"/>
              <w:rPr>
                <w:rFonts w:asciiTheme="minorHAnsi" w:hAnsiTheme="minorHAnsi" w:cstheme="minorHAnsi"/>
                <w:bCs/>
                <w:sz w:val="18"/>
                <w:szCs w:val="18"/>
              </w:rPr>
            </w:pPr>
            <w:r w:rsidRPr="004C0683">
              <w:rPr>
                <w:rFonts w:asciiTheme="minorHAnsi" w:hAnsiTheme="minorHAnsi" w:cstheme="minorHAnsi"/>
                <w:color w:val="000000"/>
                <w:sz w:val="18"/>
                <w:szCs w:val="18"/>
              </w:rPr>
              <w:t>Various cancers</w:t>
            </w:r>
          </w:p>
        </w:tc>
        <w:tc>
          <w:tcPr>
            <w:tcW w:w="1197" w:type="pct"/>
            <w:tcBorders>
              <w:top w:val="single" w:sz="4" w:space="0" w:color="auto"/>
              <w:left w:val="nil"/>
              <w:bottom w:val="single" w:sz="4" w:space="0" w:color="auto"/>
              <w:right w:val="single" w:sz="4" w:space="0" w:color="auto"/>
            </w:tcBorders>
            <w:shd w:val="clear" w:color="auto" w:fill="auto"/>
            <w:vAlign w:val="center"/>
          </w:tcPr>
          <w:p w14:paraId="5F30D3E4" w14:textId="620A28D0" w:rsidR="00F44F4A" w:rsidRPr="00180C4A" w:rsidRDefault="00F44F4A" w:rsidP="00F44F4A">
            <w:pPr>
              <w:widowControl w:val="0"/>
              <w:jc w:val="center"/>
              <w:rPr>
                <w:rFonts w:asciiTheme="minorHAnsi" w:hAnsiTheme="minorHAnsi" w:cstheme="minorHAnsi"/>
                <w:sz w:val="18"/>
                <w:szCs w:val="18"/>
              </w:rPr>
            </w:pPr>
            <w:r w:rsidRPr="004C0683">
              <w:rPr>
                <w:rFonts w:asciiTheme="minorHAnsi" w:hAnsiTheme="minorHAnsi" w:cstheme="minorHAnsi"/>
                <w:color w:val="000000"/>
                <w:sz w:val="18"/>
                <w:szCs w:val="18"/>
              </w:rPr>
              <w:t>To request the PBAC review its July 2020 recommendation that has not yet been accepted by the applicant.</w:t>
            </w:r>
          </w:p>
        </w:tc>
        <w:tc>
          <w:tcPr>
            <w:tcW w:w="1318" w:type="pct"/>
            <w:tcBorders>
              <w:top w:val="single" w:sz="4" w:space="0" w:color="auto"/>
              <w:left w:val="nil"/>
              <w:bottom w:val="single" w:sz="4" w:space="0" w:color="auto"/>
              <w:right w:val="single" w:sz="4" w:space="0" w:color="auto"/>
            </w:tcBorders>
            <w:shd w:val="clear" w:color="auto" w:fill="auto"/>
            <w:vAlign w:val="center"/>
          </w:tcPr>
          <w:p w14:paraId="6F3DAA9E" w14:textId="05485530" w:rsidR="00F44F4A" w:rsidRPr="00180C4A" w:rsidRDefault="00282720" w:rsidP="00F44F4A">
            <w:pPr>
              <w:widowControl w:val="0"/>
              <w:jc w:val="center"/>
              <w:rPr>
                <w:rFonts w:asciiTheme="minorHAnsi" w:hAnsiTheme="minorHAnsi" w:cstheme="minorHAnsi"/>
                <w:bCs/>
                <w:snapToGrid w:val="0"/>
                <w:sz w:val="18"/>
                <w:szCs w:val="18"/>
              </w:rPr>
            </w:pPr>
            <w:r>
              <w:rPr>
                <w:rFonts w:asciiTheme="minorHAnsi" w:hAnsiTheme="minorHAnsi" w:cstheme="minorHAnsi"/>
                <w:bCs/>
                <w:snapToGrid w:val="0"/>
                <w:sz w:val="18"/>
                <w:szCs w:val="18"/>
              </w:rPr>
              <w:t>T</w:t>
            </w:r>
            <w:r w:rsidR="00287329" w:rsidRPr="00287329">
              <w:rPr>
                <w:rFonts w:asciiTheme="minorHAnsi" w:hAnsiTheme="minorHAnsi" w:cstheme="minorHAnsi"/>
                <w:bCs/>
                <w:snapToGrid w:val="0"/>
                <w:sz w:val="18"/>
                <w:szCs w:val="18"/>
              </w:rPr>
              <w:t>he PBAC rescinded the July 2020 recommendation for this drug.</w:t>
            </w:r>
          </w:p>
        </w:tc>
      </w:tr>
      <w:tr w:rsidR="00F44F4A" w:rsidRPr="00180C4A" w14:paraId="5D0839C8" w14:textId="77777777" w:rsidTr="0067717D">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ACC9857" w14:textId="77777777"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IXEKIZUMAB</w:t>
            </w:r>
          </w:p>
          <w:p w14:paraId="55FD2735" w14:textId="77777777" w:rsidR="00F44F4A" w:rsidRPr="000510F0" w:rsidRDefault="00F44F4A" w:rsidP="00F44F4A">
            <w:pPr>
              <w:jc w:val="center"/>
              <w:rPr>
                <w:rFonts w:asciiTheme="minorHAnsi" w:hAnsiTheme="minorHAnsi" w:cstheme="minorHAnsi"/>
                <w:color w:val="000000"/>
                <w:sz w:val="18"/>
                <w:szCs w:val="18"/>
              </w:rPr>
            </w:pPr>
          </w:p>
          <w:p w14:paraId="6BD601C8" w14:textId="0D40F382"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Injection 80</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1</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 single dose pre-filled pen</w:t>
            </w:r>
            <w:r w:rsidRPr="000510F0">
              <w:rPr>
                <w:rFonts w:asciiTheme="minorHAnsi" w:hAnsiTheme="minorHAnsi" w:cstheme="minorHAnsi"/>
                <w:color w:val="000000"/>
                <w:sz w:val="18"/>
                <w:szCs w:val="18"/>
              </w:rPr>
              <w:br/>
            </w:r>
          </w:p>
          <w:p w14:paraId="0C0F3438" w14:textId="2578F976"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Taltz</w:t>
            </w:r>
            <w:r w:rsidRPr="00245393">
              <w:rPr>
                <w:rFonts w:asciiTheme="minorHAnsi" w:hAnsiTheme="minorHAnsi" w:cstheme="minorHAnsi"/>
                <w:color w:val="000000"/>
                <w:sz w:val="18"/>
                <w:szCs w:val="18"/>
              </w:rPr>
              <w:t>®</w:t>
            </w:r>
            <w:r w:rsidRPr="000510F0">
              <w:rPr>
                <w:rFonts w:asciiTheme="minorHAnsi" w:hAnsiTheme="minorHAnsi" w:cstheme="minorHAnsi"/>
                <w:color w:val="000000"/>
                <w:sz w:val="18"/>
                <w:szCs w:val="18"/>
                <w:vertAlign w:val="superscript"/>
              </w:rPr>
              <w:br/>
            </w:r>
          </w:p>
          <w:p w14:paraId="18B8CAAB" w14:textId="61FCD88B" w:rsidR="00F44F4A" w:rsidRPr="00180C4A" w:rsidRDefault="00F44F4A" w:rsidP="00571295">
            <w:pPr>
              <w:jc w:val="center"/>
              <w:rPr>
                <w:rFonts w:asciiTheme="minorHAnsi" w:hAnsiTheme="minorHAnsi" w:cstheme="minorHAnsi"/>
                <w:sz w:val="18"/>
                <w:szCs w:val="18"/>
              </w:rPr>
            </w:pPr>
            <w:r w:rsidRPr="000510F0">
              <w:rPr>
                <w:rFonts w:asciiTheme="minorHAnsi" w:hAnsiTheme="minorHAnsi" w:cstheme="minorHAnsi"/>
                <w:color w:val="000000"/>
                <w:sz w:val="18"/>
                <w:szCs w:val="18"/>
              </w:rPr>
              <w:t>ELI LILLY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443CB1B" w14:textId="3595F1A3" w:rsidR="00F44F4A" w:rsidRPr="00180C4A" w:rsidRDefault="00F44F4A" w:rsidP="00F44F4A">
            <w:pPr>
              <w:widowControl w:val="0"/>
              <w:jc w:val="center"/>
              <w:rPr>
                <w:rFonts w:asciiTheme="minorHAnsi" w:hAnsiTheme="minorHAnsi" w:cstheme="minorHAnsi"/>
                <w:bCs/>
                <w:sz w:val="18"/>
                <w:szCs w:val="18"/>
                <w:lang w:eastAsia="en-US"/>
              </w:rPr>
            </w:pPr>
            <w:r w:rsidRPr="004C0683">
              <w:rPr>
                <w:rFonts w:asciiTheme="minorHAnsi" w:hAnsiTheme="minorHAnsi" w:cstheme="minorHAnsi"/>
                <w:color w:val="000000"/>
                <w:sz w:val="18"/>
                <w:szCs w:val="18"/>
              </w:rPr>
              <w:t>Non-radiographic axial spondyloarthritis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7D37B23" w14:textId="5463CF08" w:rsidR="00F44F4A" w:rsidRPr="00180C4A" w:rsidRDefault="00F44F4A" w:rsidP="00F44F4A">
            <w:pPr>
              <w:widowControl w:val="0"/>
              <w:jc w:val="center"/>
              <w:rPr>
                <w:rFonts w:asciiTheme="minorHAnsi" w:hAnsiTheme="minorHAnsi" w:cstheme="minorHAnsi"/>
                <w:sz w:val="18"/>
                <w:szCs w:val="18"/>
                <w:lang w:eastAsia="en-US"/>
              </w:rPr>
            </w:pPr>
            <w:r w:rsidRPr="004C0683">
              <w:rPr>
                <w:rFonts w:asciiTheme="minorHAnsi" w:hAnsiTheme="minorHAnsi" w:cstheme="minorHAnsi"/>
                <w:color w:val="000000"/>
                <w:sz w:val="18"/>
                <w:szCs w:val="18"/>
              </w:rPr>
              <w:t>To request the PBAC review its November 2021 recommendation that has not yet been accepted by the applicant.</w:t>
            </w:r>
          </w:p>
        </w:tc>
        <w:tc>
          <w:tcPr>
            <w:tcW w:w="1318" w:type="pct"/>
            <w:tcBorders>
              <w:top w:val="single" w:sz="4" w:space="0" w:color="auto"/>
              <w:left w:val="nil"/>
              <w:bottom w:val="single" w:sz="4" w:space="0" w:color="auto"/>
              <w:right w:val="single" w:sz="4" w:space="0" w:color="auto"/>
            </w:tcBorders>
            <w:shd w:val="clear" w:color="auto" w:fill="auto"/>
            <w:vAlign w:val="center"/>
          </w:tcPr>
          <w:p w14:paraId="4727CD9F" w14:textId="5A29F212" w:rsidR="00F44F4A" w:rsidRPr="003F0301" w:rsidRDefault="00282720" w:rsidP="00F44F4A">
            <w:pPr>
              <w:widowControl w:val="0"/>
              <w:jc w:val="center"/>
              <w:rPr>
                <w:rFonts w:asciiTheme="minorHAnsi" w:hAnsiTheme="minorHAnsi" w:cstheme="minorHAnsi"/>
                <w:sz w:val="18"/>
                <w:szCs w:val="18"/>
              </w:rPr>
            </w:pPr>
            <w:r>
              <w:rPr>
                <w:rFonts w:asciiTheme="minorHAnsi" w:hAnsiTheme="minorHAnsi" w:cstheme="minorHAnsi"/>
                <w:sz w:val="18"/>
                <w:szCs w:val="18"/>
              </w:rPr>
              <w:t>T</w:t>
            </w:r>
            <w:r w:rsidRPr="003A02FD">
              <w:rPr>
                <w:rFonts w:asciiTheme="minorHAnsi" w:hAnsiTheme="minorHAnsi" w:cstheme="minorHAnsi"/>
                <w:sz w:val="18"/>
                <w:szCs w:val="18"/>
              </w:rPr>
              <w:t xml:space="preserve">he </w:t>
            </w:r>
            <w:r w:rsidR="003A02FD" w:rsidRPr="003A02FD">
              <w:rPr>
                <w:rFonts w:asciiTheme="minorHAnsi" w:hAnsiTheme="minorHAnsi" w:cstheme="minorHAnsi"/>
                <w:sz w:val="18"/>
                <w:szCs w:val="18"/>
              </w:rPr>
              <w:t xml:space="preserve">PBAC rescinded the </w:t>
            </w:r>
            <w:r w:rsidR="0004459D" w:rsidRPr="004C0683">
              <w:rPr>
                <w:rFonts w:asciiTheme="minorHAnsi" w:hAnsiTheme="minorHAnsi" w:cstheme="minorHAnsi"/>
                <w:color w:val="000000"/>
                <w:sz w:val="18"/>
                <w:szCs w:val="18"/>
              </w:rPr>
              <w:t xml:space="preserve">November 2021 </w:t>
            </w:r>
            <w:r w:rsidR="003A02FD" w:rsidRPr="003A02FD">
              <w:rPr>
                <w:rFonts w:asciiTheme="minorHAnsi" w:hAnsiTheme="minorHAnsi" w:cstheme="minorHAnsi"/>
                <w:sz w:val="18"/>
                <w:szCs w:val="18"/>
              </w:rPr>
              <w:t>recommendation for this drug.</w:t>
            </w:r>
          </w:p>
        </w:tc>
      </w:tr>
      <w:tr w:rsidR="00F44F4A" w:rsidRPr="00180C4A" w14:paraId="372FB1A0" w14:textId="77777777" w:rsidTr="0067717D">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40A576D" w14:textId="77777777"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SECUKINUMAB</w:t>
            </w:r>
          </w:p>
          <w:p w14:paraId="6BC8AB30" w14:textId="77777777" w:rsidR="00F44F4A" w:rsidRPr="000510F0" w:rsidRDefault="00F44F4A" w:rsidP="00F44F4A">
            <w:pPr>
              <w:jc w:val="center"/>
              <w:rPr>
                <w:rFonts w:asciiTheme="minorHAnsi" w:hAnsiTheme="minorHAnsi" w:cstheme="minorHAnsi"/>
                <w:color w:val="000000"/>
                <w:sz w:val="18"/>
                <w:szCs w:val="18"/>
              </w:rPr>
            </w:pPr>
          </w:p>
          <w:p w14:paraId="0C5C524B" w14:textId="58DC1B37"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Injection 75</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0.5</w:t>
            </w:r>
            <w:r w:rsidR="004E1D36">
              <w:rPr>
                <w:rFonts w:asciiTheme="minorHAnsi" w:hAnsiTheme="minorHAnsi" w:cstheme="minorHAnsi"/>
                <w:color w:val="000000"/>
                <w:sz w:val="18"/>
                <w:szCs w:val="18"/>
              </w:rPr>
              <w:t> </w:t>
            </w:r>
            <w:r w:rsidRPr="000510F0">
              <w:rPr>
                <w:rFonts w:asciiTheme="minorHAnsi" w:hAnsiTheme="minorHAnsi" w:cstheme="minorHAnsi"/>
                <w:color w:val="000000"/>
                <w:sz w:val="18"/>
                <w:szCs w:val="18"/>
              </w:rPr>
              <w:t xml:space="preserve"> mL pre-filled syringe</w:t>
            </w:r>
          </w:p>
          <w:p w14:paraId="4CCDB27B" w14:textId="5B497E67"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Injection 150</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1</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 pre-filled pen</w:t>
            </w:r>
          </w:p>
          <w:p w14:paraId="0A44EB1C" w14:textId="0B12FCD4"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Injection 300</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C2580C">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2</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pre-filled syringe</w:t>
            </w:r>
          </w:p>
          <w:p w14:paraId="10FC3D28" w14:textId="1032759B"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Injection 300</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mg</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in</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2</w:t>
            </w:r>
            <w:r w:rsidR="00B1220A">
              <w:rPr>
                <w:rFonts w:asciiTheme="minorHAnsi" w:hAnsiTheme="minorHAnsi" w:cstheme="minorHAnsi"/>
                <w:color w:val="000000"/>
                <w:sz w:val="18"/>
                <w:szCs w:val="18"/>
              </w:rPr>
              <w:t> </w:t>
            </w:r>
            <w:r w:rsidRPr="000510F0">
              <w:rPr>
                <w:rFonts w:asciiTheme="minorHAnsi" w:hAnsiTheme="minorHAnsi" w:cstheme="minorHAnsi"/>
                <w:color w:val="000000"/>
                <w:sz w:val="18"/>
                <w:szCs w:val="18"/>
              </w:rPr>
              <w:t>mL pre-filled pen</w:t>
            </w:r>
            <w:r w:rsidRPr="000510F0">
              <w:rPr>
                <w:rFonts w:asciiTheme="minorHAnsi" w:hAnsiTheme="minorHAnsi" w:cstheme="minorHAnsi"/>
                <w:color w:val="000000"/>
                <w:sz w:val="18"/>
                <w:szCs w:val="18"/>
              </w:rPr>
              <w:br/>
            </w:r>
          </w:p>
          <w:p w14:paraId="37C2F2E9" w14:textId="7D433CD3" w:rsidR="00F44F4A" w:rsidRPr="000510F0" w:rsidRDefault="00F44F4A" w:rsidP="00F44F4A">
            <w:pPr>
              <w:jc w:val="center"/>
              <w:rPr>
                <w:rFonts w:asciiTheme="minorHAnsi" w:hAnsiTheme="minorHAnsi" w:cstheme="minorHAnsi"/>
                <w:color w:val="000000"/>
                <w:sz w:val="18"/>
                <w:szCs w:val="18"/>
              </w:rPr>
            </w:pPr>
            <w:r w:rsidRPr="000510F0">
              <w:rPr>
                <w:rFonts w:asciiTheme="minorHAnsi" w:hAnsiTheme="minorHAnsi" w:cstheme="minorHAnsi"/>
                <w:color w:val="000000"/>
                <w:sz w:val="18"/>
                <w:szCs w:val="18"/>
              </w:rPr>
              <w:t>Cosentyx</w:t>
            </w:r>
            <w:r w:rsidRPr="00245393">
              <w:rPr>
                <w:rFonts w:asciiTheme="minorHAnsi" w:hAnsiTheme="minorHAnsi" w:cstheme="minorHAnsi"/>
                <w:color w:val="000000"/>
                <w:sz w:val="18"/>
                <w:szCs w:val="18"/>
              </w:rPr>
              <w:t>®</w:t>
            </w:r>
            <w:r w:rsidRPr="000510F0">
              <w:rPr>
                <w:rFonts w:asciiTheme="minorHAnsi" w:hAnsiTheme="minorHAnsi" w:cstheme="minorHAnsi"/>
                <w:color w:val="000000"/>
                <w:sz w:val="18"/>
                <w:szCs w:val="18"/>
                <w:vertAlign w:val="superscript"/>
              </w:rPr>
              <w:br/>
            </w:r>
          </w:p>
          <w:p w14:paraId="1F9D9283" w14:textId="4E3BD1DD" w:rsidR="00F44F4A" w:rsidRPr="00180C4A" w:rsidRDefault="00F44F4A" w:rsidP="00571295">
            <w:pPr>
              <w:jc w:val="center"/>
              <w:rPr>
                <w:rFonts w:asciiTheme="minorHAnsi" w:hAnsiTheme="minorHAnsi" w:cstheme="minorHAnsi"/>
                <w:sz w:val="18"/>
                <w:szCs w:val="18"/>
              </w:rPr>
            </w:pPr>
            <w:r w:rsidRPr="000510F0">
              <w:rPr>
                <w:rFonts w:asciiTheme="minorHAnsi" w:hAnsiTheme="minorHAnsi" w:cstheme="minorHAnsi"/>
                <w:color w:val="000000"/>
                <w:sz w:val="18"/>
                <w:szCs w:val="18"/>
              </w:rPr>
              <w:t>NOVARTIS PHARMACEUTICALS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B0A71CB" w14:textId="5ED30352" w:rsidR="00F44F4A" w:rsidRPr="00180C4A" w:rsidRDefault="00F44F4A" w:rsidP="00F44F4A">
            <w:pPr>
              <w:widowControl w:val="0"/>
              <w:jc w:val="center"/>
              <w:rPr>
                <w:rFonts w:asciiTheme="minorHAnsi" w:hAnsiTheme="minorHAnsi" w:cstheme="minorHAnsi"/>
                <w:color w:val="000000"/>
                <w:sz w:val="18"/>
                <w:szCs w:val="18"/>
              </w:rPr>
            </w:pPr>
            <w:r w:rsidRPr="004C0683">
              <w:rPr>
                <w:rFonts w:asciiTheme="minorHAnsi" w:hAnsiTheme="minorHAnsi" w:cstheme="minorHAnsi"/>
                <w:color w:val="000000"/>
                <w:sz w:val="18"/>
                <w:szCs w:val="18"/>
              </w:rPr>
              <w:t>Paediatric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5ABC8084" w14:textId="6033480A" w:rsidR="00F44F4A" w:rsidRPr="00180C4A" w:rsidRDefault="00F44F4A" w:rsidP="00F44F4A">
            <w:pPr>
              <w:widowControl w:val="0"/>
              <w:jc w:val="center"/>
              <w:rPr>
                <w:rFonts w:asciiTheme="minorHAnsi" w:hAnsiTheme="minorHAnsi" w:cstheme="minorHAnsi"/>
                <w:sz w:val="18"/>
                <w:szCs w:val="18"/>
              </w:rPr>
            </w:pPr>
            <w:r w:rsidRPr="004C0683">
              <w:rPr>
                <w:rFonts w:asciiTheme="minorHAnsi" w:hAnsiTheme="minorHAnsi" w:cstheme="minorHAnsi"/>
                <w:color w:val="000000"/>
                <w:sz w:val="18"/>
                <w:szCs w:val="18"/>
              </w:rPr>
              <w:t>To request the PBAC review its November 2021 recommendation that has not yet been accepted by the applicant.</w:t>
            </w:r>
          </w:p>
        </w:tc>
        <w:tc>
          <w:tcPr>
            <w:tcW w:w="1318" w:type="pct"/>
            <w:tcBorders>
              <w:top w:val="single" w:sz="4" w:space="0" w:color="auto"/>
              <w:left w:val="nil"/>
              <w:bottom w:val="single" w:sz="4" w:space="0" w:color="auto"/>
              <w:right w:val="single" w:sz="4" w:space="0" w:color="auto"/>
            </w:tcBorders>
            <w:shd w:val="clear" w:color="auto" w:fill="auto"/>
            <w:vAlign w:val="center"/>
          </w:tcPr>
          <w:p w14:paraId="0C9B26E4" w14:textId="10784986" w:rsidR="00F44F4A" w:rsidRPr="003F0301" w:rsidRDefault="00282720" w:rsidP="00F44F4A">
            <w:pPr>
              <w:widowControl w:val="0"/>
              <w:jc w:val="center"/>
              <w:rPr>
                <w:rFonts w:asciiTheme="minorHAnsi" w:hAnsiTheme="minorHAnsi" w:cstheme="minorHAnsi"/>
                <w:sz w:val="18"/>
                <w:szCs w:val="18"/>
              </w:rPr>
            </w:pPr>
            <w:r>
              <w:rPr>
                <w:rFonts w:asciiTheme="minorHAnsi" w:hAnsiTheme="minorHAnsi" w:cstheme="minorHAnsi"/>
                <w:sz w:val="18"/>
                <w:szCs w:val="18"/>
              </w:rPr>
              <w:t>The</w:t>
            </w:r>
            <w:r w:rsidR="002E7754" w:rsidRPr="002E7754">
              <w:rPr>
                <w:rFonts w:asciiTheme="minorHAnsi" w:hAnsiTheme="minorHAnsi" w:cstheme="minorHAnsi"/>
                <w:sz w:val="18"/>
                <w:szCs w:val="18"/>
              </w:rPr>
              <w:t xml:space="preserve"> PBAC rescinded the </w:t>
            </w:r>
            <w:r w:rsidR="0004459D" w:rsidRPr="004C0683">
              <w:rPr>
                <w:rFonts w:asciiTheme="minorHAnsi" w:hAnsiTheme="minorHAnsi" w:cstheme="minorHAnsi"/>
                <w:color w:val="000000"/>
                <w:sz w:val="18"/>
                <w:szCs w:val="18"/>
              </w:rPr>
              <w:t xml:space="preserve">November 2021 </w:t>
            </w:r>
            <w:r w:rsidR="00937ACA" w:rsidRPr="003A02FD">
              <w:rPr>
                <w:rFonts w:asciiTheme="minorHAnsi" w:hAnsiTheme="minorHAnsi" w:cstheme="minorHAnsi"/>
                <w:sz w:val="18"/>
                <w:szCs w:val="18"/>
              </w:rPr>
              <w:t>recommendation for this drug.</w:t>
            </w:r>
          </w:p>
        </w:tc>
      </w:tr>
    </w:tbl>
    <w:p w14:paraId="201778FA" w14:textId="77777777" w:rsidR="00F44F4A" w:rsidRPr="00015520" w:rsidRDefault="00F44F4A" w:rsidP="00F44F4A">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706227" w:rsidRPr="0004054A" w14:paraId="0F618CDC" w14:textId="77777777">
        <w:trPr>
          <w:cantSplit/>
          <w:trHeight w:val="58"/>
          <w:tblHeader/>
        </w:trPr>
        <w:tc>
          <w:tcPr>
            <w:tcW w:w="873" w:type="pct"/>
            <w:shd w:val="clear" w:color="auto" w:fill="auto"/>
            <w:vAlign w:val="center"/>
          </w:tcPr>
          <w:p w14:paraId="13D028B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lastRenderedPageBreak/>
              <w:t>DRUG NAME, FORM(S), STRENGTH(S), SPONSOR, TYPE OF SUBMISSION</w:t>
            </w:r>
          </w:p>
        </w:tc>
        <w:tc>
          <w:tcPr>
            <w:tcW w:w="552" w:type="pct"/>
            <w:shd w:val="clear" w:color="auto" w:fill="auto"/>
            <w:vAlign w:val="center"/>
          </w:tcPr>
          <w:p w14:paraId="33B5F720"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922" w:type="pct"/>
            <w:shd w:val="clear" w:color="auto" w:fill="auto"/>
            <w:vAlign w:val="center"/>
          </w:tcPr>
          <w:p w14:paraId="66D664E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2653" w:type="pct"/>
            <w:shd w:val="clear" w:color="auto" w:fill="auto"/>
            <w:vAlign w:val="center"/>
          </w:tcPr>
          <w:p w14:paraId="49E91F46" w14:textId="77777777" w:rsidR="00706227" w:rsidRPr="0004054A" w:rsidRDefault="00706227">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710C71" w:rsidRPr="005406D0" w:rsidDel="00F00A70" w14:paraId="0867AAA2" w14:textId="77777777" w:rsidTr="0067717D">
        <w:trPr>
          <w:cantSplit/>
          <w:trHeight w:val="2948"/>
        </w:trPr>
        <w:tc>
          <w:tcPr>
            <w:tcW w:w="873" w:type="pct"/>
            <w:shd w:val="clear" w:color="auto" w:fill="auto"/>
            <w:vAlign w:val="center"/>
          </w:tcPr>
          <w:p w14:paraId="471EAC8E" w14:textId="77777777" w:rsidR="00710C71" w:rsidRPr="00131290"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Review of PBS items for nurse practitioner and endorsed midwife prescribing</w:t>
            </w:r>
          </w:p>
          <w:p w14:paraId="7ECE9794" w14:textId="77777777" w:rsidR="00710C71" w:rsidRPr="00131290" w:rsidRDefault="00710C71" w:rsidP="00710C71">
            <w:pPr>
              <w:jc w:val="center"/>
              <w:rPr>
                <w:rFonts w:asciiTheme="minorHAnsi" w:hAnsiTheme="minorHAnsi" w:cstheme="minorHAnsi"/>
                <w:color w:val="000000"/>
                <w:sz w:val="18"/>
                <w:szCs w:val="18"/>
              </w:rPr>
            </w:pPr>
          </w:p>
          <w:p w14:paraId="5699FA5B" w14:textId="77777777" w:rsidR="00710C71" w:rsidRPr="00131290"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Various forms and strengths</w:t>
            </w:r>
          </w:p>
          <w:p w14:paraId="6C265CFB" w14:textId="77777777" w:rsidR="00710C71" w:rsidRPr="00131290" w:rsidRDefault="00710C71" w:rsidP="00710C71">
            <w:pPr>
              <w:jc w:val="center"/>
              <w:rPr>
                <w:rFonts w:asciiTheme="minorHAnsi" w:hAnsiTheme="minorHAnsi" w:cstheme="minorHAnsi"/>
                <w:color w:val="000000"/>
                <w:sz w:val="18"/>
                <w:szCs w:val="18"/>
              </w:rPr>
            </w:pPr>
          </w:p>
          <w:p w14:paraId="16CA06EB" w14:textId="77777777" w:rsidR="00710C71" w:rsidRPr="00131290"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 xml:space="preserve">Various brands </w:t>
            </w:r>
          </w:p>
          <w:p w14:paraId="5F78110D" w14:textId="77777777" w:rsidR="00710C71" w:rsidRPr="00131290" w:rsidRDefault="00710C71" w:rsidP="00710C71">
            <w:pPr>
              <w:jc w:val="center"/>
              <w:rPr>
                <w:rFonts w:asciiTheme="minorHAnsi" w:hAnsiTheme="minorHAnsi" w:cstheme="minorHAnsi"/>
                <w:color w:val="000000"/>
                <w:sz w:val="18"/>
                <w:szCs w:val="18"/>
              </w:rPr>
            </w:pPr>
          </w:p>
          <w:p w14:paraId="1C331BF5" w14:textId="77777777" w:rsidR="00710C71" w:rsidRPr="00131290"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 xml:space="preserve">Various sponsors </w:t>
            </w:r>
          </w:p>
          <w:p w14:paraId="6FC43F9F" w14:textId="77777777" w:rsidR="00710C71" w:rsidRPr="00131290" w:rsidRDefault="00710C71" w:rsidP="00710C71">
            <w:pPr>
              <w:jc w:val="center"/>
              <w:rPr>
                <w:rFonts w:asciiTheme="minorHAnsi" w:hAnsiTheme="minorHAnsi" w:cstheme="minorHAnsi"/>
                <w:color w:val="000000"/>
                <w:sz w:val="18"/>
                <w:szCs w:val="18"/>
              </w:rPr>
            </w:pPr>
          </w:p>
          <w:p w14:paraId="2C6591E4" w14:textId="2D1841C6" w:rsidR="00710C71" w:rsidRPr="0004054A"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(Other matters)</w:t>
            </w:r>
          </w:p>
        </w:tc>
        <w:tc>
          <w:tcPr>
            <w:tcW w:w="552" w:type="pct"/>
            <w:shd w:val="clear" w:color="auto" w:fill="auto"/>
            <w:vAlign w:val="center"/>
          </w:tcPr>
          <w:p w14:paraId="4F9A939F" w14:textId="77777777" w:rsidR="00710C71" w:rsidRPr="0004054A" w:rsidRDefault="00710C71" w:rsidP="00710C71">
            <w:pPr>
              <w:jc w:val="center"/>
              <w:rPr>
                <w:rFonts w:asciiTheme="minorHAnsi" w:hAnsiTheme="minorHAnsi" w:cstheme="minorHAnsi"/>
                <w:sz w:val="18"/>
                <w:szCs w:val="18"/>
              </w:rPr>
            </w:pPr>
            <w:r w:rsidRPr="00165D5F">
              <w:rPr>
                <w:rFonts w:asciiTheme="minorHAnsi" w:hAnsiTheme="minorHAnsi" w:cstheme="minorHAnsi"/>
                <w:color w:val="000000"/>
                <w:sz w:val="18"/>
                <w:szCs w:val="18"/>
              </w:rPr>
              <w:t>Various</w:t>
            </w:r>
          </w:p>
        </w:tc>
        <w:tc>
          <w:tcPr>
            <w:tcW w:w="922" w:type="pct"/>
            <w:shd w:val="clear" w:color="auto" w:fill="auto"/>
            <w:vAlign w:val="center"/>
          </w:tcPr>
          <w:p w14:paraId="781E12A6" w14:textId="40FD97BF" w:rsidR="00710C71" w:rsidRPr="0004054A" w:rsidRDefault="00710C71" w:rsidP="00710C71">
            <w:pPr>
              <w:jc w:val="center"/>
              <w:rPr>
                <w:rFonts w:asciiTheme="minorHAnsi" w:hAnsiTheme="minorHAnsi" w:cstheme="minorHAnsi"/>
                <w:color w:val="000000"/>
                <w:sz w:val="18"/>
                <w:szCs w:val="18"/>
              </w:rPr>
            </w:pPr>
            <w:r w:rsidRPr="00131290">
              <w:rPr>
                <w:rFonts w:asciiTheme="minorHAnsi" w:hAnsiTheme="minorHAnsi" w:cstheme="minorHAnsi"/>
                <w:color w:val="000000"/>
                <w:sz w:val="18"/>
                <w:szCs w:val="18"/>
              </w:rPr>
              <w:t>To request the PBAC consider a tranche of PBS-listed medicines which do not include nurse practitioners and endorsed midwives as authorised prescribers but may be suitable for prescribing by these health professionals.</w:t>
            </w:r>
          </w:p>
        </w:tc>
        <w:tc>
          <w:tcPr>
            <w:tcW w:w="2653" w:type="pct"/>
            <w:shd w:val="clear" w:color="auto" w:fill="auto"/>
            <w:vAlign w:val="center"/>
          </w:tcPr>
          <w:p w14:paraId="143A91D5" w14:textId="77777777" w:rsidR="00710C71" w:rsidRDefault="00710C71" w:rsidP="00710C71">
            <w:pPr>
              <w:jc w:val="both"/>
              <w:rPr>
                <w:rFonts w:asciiTheme="minorHAnsi" w:hAnsiTheme="minorHAnsi" w:cstheme="minorBidi"/>
                <w:color w:val="000000"/>
                <w:sz w:val="18"/>
                <w:szCs w:val="18"/>
              </w:rPr>
            </w:pPr>
            <w:r w:rsidRPr="00CC7FEA">
              <w:rPr>
                <w:rFonts w:asciiTheme="minorHAnsi" w:hAnsiTheme="minorHAnsi" w:cstheme="minorBidi"/>
                <w:color w:val="000000"/>
                <w:sz w:val="18"/>
                <w:szCs w:val="18"/>
              </w:rPr>
              <w:t>The PBAC considered and provided advice on PBS listings identified by stakeholders, that may be suitable for prescribing by nurse practitioners and endorsed midwives. The PBAC recommended a number of PBS listings be amended to include nurse practitioners as authorised prescribers, in some instances under a shared care and/or as continuing therapy only.</w:t>
            </w:r>
          </w:p>
          <w:p w14:paraId="25F945A3" w14:textId="7A3B9A30" w:rsidR="00710C71" w:rsidRPr="00CC7FEA" w:rsidRDefault="00710C71" w:rsidP="00710C71">
            <w:pPr>
              <w:jc w:val="both"/>
              <w:rPr>
                <w:rFonts w:asciiTheme="minorHAnsi" w:hAnsiTheme="minorHAnsi" w:cstheme="minorBidi"/>
                <w:color w:val="000000"/>
                <w:sz w:val="18"/>
                <w:szCs w:val="18"/>
              </w:rPr>
            </w:pPr>
          </w:p>
          <w:p w14:paraId="34BE6CFB" w14:textId="66F14CF6" w:rsidR="00710C71" w:rsidRPr="005406D0" w:rsidDel="00F00A70" w:rsidRDefault="00710C71" w:rsidP="00710C71">
            <w:pPr>
              <w:pStyle w:val="3Bodytext"/>
              <w:spacing w:after="0"/>
              <w:ind w:left="0" w:firstLine="0"/>
            </w:pPr>
            <w:r w:rsidRPr="00CC7FEA">
              <w:rPr>
                <w:color w:val="000000"/>
                <w:sz w:val="18"/>
                <w:szCs w:val="18"/>
              </w:rPr>
              <w:t>For endorsed midwives, the PBAC recommended amending all PBS listings for combined oral contraceptives to include endorsed midwives as authorised prescribers.</w:t>
            </w:r>
          </w:p>
        </w:tc>
      </w:tr>
      <w:tr w:rsidR="00EC20F4" w:rsidRPr="005406D0" w:rsidDel="00F00A70" w14:paraId="1D5529F0" w14:textId="77777777" w:rsidTr="0067717D">
        <w:trPr>
          <w:cantSplit/>
          <w:trHeight w:val="2948"/>
        </w:trPr>
        <w:tc>
          <w:tcPr>
            <w:tcW w:w="873" w:type="pct"/>
            <w:shd w:val="clear" w:color="auto" w:fill="auto"/>
            <w:vAlign w:val="center"/>
          </w:tcPr>
          <w:p w14:paraId="66BFCC60" w14:textId="77777777" w:rsidR="00EC20F4" w:rsidRDefault="00EC20F4" w:rsidP="00710C71">
            <w:pPr>
              <w:jc w:val="center"/>
              <w:rPr>
                <w:rFonts w:asciiTheme="minorHAnsi" w:hAnsiTheme="minorHAnsi" w:cstheme="minorHAnsi"/>
                <w:color w:val="000000"/>
                <w:sz w:val="18"/>
                <w:szCs w:val="18"/>
              </w:rPr>
            </w:pPr>
            <w:r w:rsidRPr="00EC20F4">
              <w:rPr>
                <w:rFonts w:asciiTheme="minorHAnsi" w:hAnsiTheme="minorHAnsi" w:cstheme="minorHAnsi"/>
                <w:color w:val="000000"/>
                <w:sz w:val="18"/>
                <w:szCs w:val="18"/>
              </w:rPr>
              <w:t>MIGALASTAT</w:t>
            </w:r>
          </w:p>
          <w:p w14:paraId="6FD7D6C9" w14:textId="77777777" w:rsidR="00CF2112" w:rsidRDefault="00CF2112" w:rsidP="00710C71">
            <w:pPr>
              <w:jc w:val="center"/>
              <w:rPr>
                <w:rFonts w:asciiTheme="minorHAnsi" w:hAnsiTheme="minorHAnsi" w:cstheme="minorHAnsi"/>
                <w:color w:val="000000"/>
                <w:sz w:val="18"/>
                <w:szCs w:val="18"/>
              </w:rPr>
            </w:pPr>
          </w:p>
          <w:p w14:paraId="4C5CD17A" w14:textId="77777777" w:rsidR="00B461A4" w:rsidRPr="00B461A4" w:rsidRDefault="00B461A4" w:rsidP="00B461A4">
            <w:pPr>
              <w:jc w:val="center"/>
              <w:rPr>
                <w:rFonts w:asciiTheme="minorHAnsi" w:hAnsiTheme="minorHAnsi" w:cstheme="minorHAnsi"/>
                <w:color w:val="000000"/>
                <w:sz w:val="18"/>
                <w:szCs w:val="18"/>
              </w:rPr>
            </w:pPr>
            <w:r w:rsidRPr="00B461A4">
              <w:rPr>
                <w:rFonts w:asciiTheme="minorHAnsi" w:hAnsiTheme="minorHAnsi" w:cstheme="minorHAnsi"/>
                <w:color w:val="000000"/>
                <w:sz w:val="18"/>
                <w:szCs w:val="18"/>
              </w:rPr>
              <w:t>Capsule 123 mg</w:t>
            </w:r>
          </w:p>
          <w:p w14:paraId="403AD810" w14:textId="77777777" w:rsidR="00B461A4" w:rsidRDefault="00B461A4" w:rsidP="00710C71">
            <w:pPr>
              <w:jc w:val="center"/>
              <w:rPr>
                <w:rFonts w:asciiTheme="minorHAnsi" w:hAnsiTheme="minorHAnsi" w:cstheme="minorHAnsi"/>
                <w:color w:val="000000"/>
                <w:sz w:val="18"/>
                <w:szCs w:val="18"/>
              </w:rPr>
            </w:pPr>
          </w:p>
          <w:p w14:paraId="29876864" w14:textId="77777777" w:rsidR="00CF2112" w:rsidRDefault="00EC20F4" w:rsidP="00710C71">
            <w:pPr>
              <w:jc w:val="center"/>
              <w:rPr>
                <w:rFonts w:asciiTheme="minorHAnsi" w:hAnsiTheme="minorHAnsi" w:cstheme="minorHAnsi"/>
                <w:color w:val="000000"/>
                <w:sz w:val="18"/>
                <w:szCs w:val="18"/>
              </w:rPr>
            </w:pPr>
            <w:r w:rsidRPr="00EC20F4">
              <w:rPr>
                <w:rFonts w:asciiTheme="minorHAnsi" w:hAnsiTheme="minorHAnsi" w:cstheme="minorHAnsi"/>
                <w:color w:val="000000"/>
                <w:sz w:val="18"/>
                <w:szCs w:val="18"/>
              </w:rPr>
              <w:t>Galafold®</w:t>
            </w:r>
          </w:p>
          <w:p w14:paraId="6E0D8F0F" w14:textId="77777777" w:rsidR="00CF2112" w:rsidRDefault="00CF2112" w:rsidP="00710C71">
            <w:pPr>
              <w:jc w:val="center"/>
              <w:rPr>
                <w:rFonts w:asciiTheme="minorHAnsi" w:hAnsiTheme="minorHAnsi" w:cstheme="minorHAnsi"/>
                <w:color w:val="000000"/>
                <w:sz w:val="18"/>
                <w:szCs w:val="18"/>
              </w:rPr>
            </w:pPr>
          </w:p>
          <w:p w14:paraId="1CCC4B89" w14:textId="77777777" w:rsidR="00EC20F4" w:rsidRDefault="00EC20F4" w:rsidP="00710C71">
            <w:pPr>
              <w:jc w:val="center"/>
              <w:rPr>
                <w:rFonts w:asciiTheme="minorHAnsi" w:hAnsiTheme="minorHAnsi" w:cstheme="minorHAnsi"/>
                <w:color w:val="000000"/>
                <w:sz w:val="18"/>
                <w:szCs w:val="18"/>
              </w:rPr>
            </w:pPr>
            <w:r w:rsidRPr="00EC20F4">
              <w:rPr>
                <w:rFonts w:asciiTheme="minorHAnsi" w:hAnsiTheme="minorHAnsi" w:cstheme="minorHAnsi"/>
                <w:color w:val="000000"/>
                <w:sz w:val="18"/>
                <w:szCs w:val="18"/>
              </w:rPr>
              <w:t>AMICUS THERAPEUTICS PTY LTD</w:t>
            </w:r>
          </w:p>
          <w:p w14:paraId="32AE6E20" w14:textId="77777777" w:rsidR="00C553E2" w:rsidRDefault="00C553E2" w:rsidP="00710C71">
            <w:pPr>
              <w:jc w:val="center"/>
              <w:rPr>
                <w:rFonts w:asciiTheme="minorHAnsi" w:hAnsiTheme="minorHAnsi" w:cstheme="minorHAnsi"/>
                <w:color w:val="000000"/>
                <w:sz w:val="18"/>
                <w:szCs w:val="18"/>
              </w:rPr>
            </w:pPr>
          </w:p>
          <w:p w14:paraId="1BEEE27C" w14:textId="38FD5420" w:rsidR="00C553E2" w:rsidRDefault="00BD2120"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4A971D07" w14:textId="03C18CFF" w:rsidR="000603A0" w:rsidRPr="00131290" w:rsidRDefault="000603A0" w:rsidP="00710C71">
            <w:pPr>
              <w:jc w:val="center"/>
              <w:rPr>
                <w:rFonts w:asciiTheme="minorHAnsi" w:hAnsiTheme="minorHAnsi" w:cstheme="minorHAnsi"/>
                <w:color w:val="000000"/>
                <w:sz w:val="18"/>
                <w:szCs w:val="18"/>
              </w:rPr>
            </w:pPr>
            <w:r w:rsidRPr="000510F0">
              <w:rPr>
                <w:rFonts w:asciiTheme="minorHAnsi" w:eastAsia="Calibri" w:hAnsiTheme="minorHAnsi" w:cstheme="minorHAnsi"/>
                <w:color w:val="000000" w:themeColor="text1"/>
                <w:sz w:val="18"/>
                <w:szCs w:val="18"/>
              </w:rPr>
              <w:t>(Change to existing listing)</w:t>
            </w:r>
          </w:p>
        </w:tc>
        <w:tc>
          <w:tcPr>
            <w:tcW w:w="552" w:type="pct"/>
            <w:shd w:val="clear" w:color="auto" w:fill="auto"/>
            <w:vAlign w:val="center"/>
          </w:tcPr>
          <w:p w14:paraId="22416FE9" w14:textId="2D85A710" w:rsidR="00EC20F4" w:rsidRPr="00165D5F" w:rsidRDefault="00CF2112"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Fabry disease</w:t>
            </w:r>
          </w:p>
        </w:tc>
        <w:tc>
          <w:tcPr>
            <w:tcW w:w="922" w:type="pct"/>
            <w:shd w:val="clear" w:color="auto" w:fill="auto"/>
            <w:vAlign w:val="center"/>
          </w:tcPr>
          <w:p w14:paraId="436EF35E" w14:textId="51E5BDE2" w:rsidR="00EC20F4" w:rsidRPr="00131290" w:rsidRDefault="00C553E2" w:rsidP="00C553E2">
            <w:pPr>
              <w:jc w:val="center"/>
              <w:rPr>
                <w:rFonts w:asciiTheme="minorHAnsi" w:hAnsiTheme="minorHAnsi" w:cstheme="minorHAnsi"/>
                <w:color w:val="000000"/>
                <w:sz w:val="18"/>
                <w:szCs w:val="18"/>
              </w:rPr>
            </w:pPr>
            <w:r w:rsidRPr="00C553E2">
              <w:rPr>
                <w:rFonts w:asciiTheme="minorHAnsi" w:hAnsiTheme="minorHAnsi" w:cstheme="minorHAnsi"/>
                <w:color w:val="000000"/>
                <w:sz w:val="18"/>
                <w:szCs w:val="18"/>
              </w:rPr>
              <w:t xml:space="preserve">Request to increase the number of repeats specified in the PBS listing for migalastat. </w:t>
            </w:r>
          </w:p>
        </w:tc>
        <w:tc>
          <w:tcPr>
            <w:tcW w:w="2653" w:type="pct"/>
            <w:shd w:val="clear" w:color="auto" w:fill="auto"/>
            <w:vAlign w:val="center"/>
          </w:tcPr>
          <w:p w14:paraId="127B400F" w14:textId="24AAEE32" w:rsidR="00EC20F4" w:rsidRPr="007F759F" w:rsidRDefault="00301F15" w:rsidP="00710C71">
            <w:pPr>
              <w:jc w:val="both"/>
              <w:rPr>
                <w:rFonts w:asciiTheme="minorHAnsi" w:hAnsiTheme="minorHAnsi" w:cstheme="minorBidi"/>
                <w:color w:val="000000"/>
                <w:sz w:val="18"/>
                <w:szCs w:val="18"/>
                <w:lang w:val="en-GB"/>
              </w:rPr>
            </w:pPr>
            <w:r w:rsidRPr="00301F15">
              <w:rPr>
                <w:rFonts w:asciiTheme="minorHAnsi" w:hAnsiTheme="minorHAnsi" w:cstheme="minorBidi"/>
                <w:color w:val="000000"/>
                <w:sz w:val="18"/>
                <w:szCs w:val="18"/>
              </w:rPr>
              <w:t>The PBAC recommended amending the existing PBS listing of migalastat for initial, continuing and grandfather (LSDP transition arrangements)</w:t>
            </w:r>
            <w:r w:rsidRPr="00301F15">
              <w:rPr>
                <w:rFonts w:asciiTheme="minorHAnsi" w:hAnsiTheme="minorHAnsi" w:cstheme="minorBidi"/>
                <w:color w:val="000000"/>
                <w:sz w:val="18"/>
                <w:szCs w:val="18"/>
                <w:lang w:val="en-GB"/>
              </w:rPr>
              <w:t>. The PBAC noted this request followed correspondence from clinicians stating the existing PBS maximum repeats provided only 5.5 months’ of therapy per prescription. The PBAC noted the change to the maximum repeats would facilitate 6 monthly patient review. The PBAC considered that the change was unlikely to affect overall utilisation or result in a financial impact to Government.</w:t>
            </w:r>
          </w:p>
        </w:tc>
      </w:tr>
    </w:tbl>
    <w:p w14:paraId="7B31C057" w14:textId="77777777" w:rsidR="00EF58E5" w:rsidRDefault="00EF58E5">
      <w:pPr>
        <w:rPr>
          <w:rFonts w:asciiTheme="minorHAnsi" w:hAnsiTheme="minorHAnsi" w:cstheme="minorHAnsi"/>
          <w:bCs/>
          <w:sz w:val="18"/>
          <w:szCs w:val="18"/>
          <w:lang w:val="en-US"/>
        </w:rPr>
      </w:pPr>
    </w:p>
    <w:p w14:paraId="19582773" w14:textId="3244244F" w:rsidR="00EF58E5" w:rsidRDefault="00EF58E5">
      <w:pPr>
        <w:rPr>
          <w:rFonts w:asciiTheme="minorHAnsi" w:hAnsiTheme="minorHAnsi" w:cstheme="minorHAnsi"/>
          <w:bCs/>
          <w:sz w:val="18"/>
          <w:szCs w:val="18"/>
          <w:lang w:val="en-US"/>
        </w:rPr>
      </w:pPr>
      <w:r>
        <w:rPr>
          <w:rFonts w:asciiTheme="minorHAnsi" w:hAnsiTheme="minorHAnsi" w:cstheme="minorHAnsi"/>
          <w:bCs/>
          <w:sz w:val="18"/>
          <w:szCs w:val="18"/>
          <w:lang w:val="en-US"/>
        </w:rPr>
        <w:br w:type="page"/>
      </w:r>
    </w:p>
    <w:p w14:paraId="6B64D1DE" w14:textId="2D89D897" w:rsidR="007F48F6" w:rsidRPr="00292120" w:rsidDel="008F66B5" w:rsidRDefault="007F48F6" w:rsidP="00A94408">
      <w:pPr>
        <w:rPr>
          <w:rFonts w:ascii="Arial" w:hAnsi="Arial" w:cs="Arial"/>
          <w:b/>
          <w:bCs/>
          <w:lang w:val="en-US"/>
        </w:rPr>
      </w:pPr>
      <w:r w:rsidRPr="20381F86">
        <w:rPr>
          <w:rFonts w:ascii="Arial" w:hAnsi="Arial" w:cs="Arial"/>
          <w:b/>
          <w:bCs/>
          <w:lang w:val="en-US"/>
        </w:rPr>
        <w:lastRenderedPageBreak/>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241896B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bag, or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1095F09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p>
          <w:p w14:paraId="4E274BBE" w14:textId="6A427E0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6CCBCCA7" w:rsidR="008D62B4" w:rsidRPr="00292120" w:rsidDel="008F66B5" w:rsidRDefault="008D62B4" w:rsidP="00A94408">
      <w:pPr>
        <w:rPr>
          <w:rFonts w:ascii="Arial" w:hAnsi="Arial" w:cs="Arial"/>
          <w:b/>
          <w:bCs/>
          <w:lang w:val="en-US"/>
        </w:rPr>
      </w:pPr>
      <w:r w:rsidRPr="20381F86">
        <w:rPr>
          <w:rFonts w:ascii="Arial" w:hAnsi="Arial" w:cs="Arial"/>
          <w:b/>
          <w:bCs/>
          <w:lang w:val="en-US"/>
        </w:rPr>
        <w:br w:type="page"/>
      </w:r>
    </w:p>
    <w:p w14:paraId="6CE3C41E" w14:textId="2E62A626"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and also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292120" w:rsidDel="008F66B5" w:rsidRDefault="790B7E0C" w:rsidP="00A94408">
            <w:pPr>
              <w:autoSpaceDE w:val="0"/>
              <w:autoSpaceDN w:val="0"/>
              <w:rPr>
                <w:rFonts w:ascii="Arial" w:hAnsi="Arial" w:cs="Arial"/>
                <w:b/>
                <w:bCs/>
                <w:highlight w:val="green"/>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7639E23" w:rsidR="00AD3477" w:rsidRPr="00292120" w:rsidDel="008F66B5" w:rsidRDefault="00AD3477" w:rsidP="00A94408">
      <w:pPr>
        <w:tabs>
          <w:tab w:val="left" w:pos="5210"/>
        </w:tabs>
        <w:rPr>
          <w:rFonts w:ascii="Arial" w:hAnsi="Arial" w:cs="Arial"/>
          <w:lang w:val="en-US"/>
        </w:rPr>
      </w:pPr>
    </w:p>
    <w:p w14:paraId="6C9BA0D5" w14:textId="77777777" w:rsidR="00461045" w:rsidRPr="00292120" w:rsidRDefault="00461045" w:rsidP="00A94408">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2126" w14:textId="77777777" w:rsidR="008B372B" w:rsidRDefault="008B372B">
      <w:r>
        <w:separator/>
      </w:r>
    </w:p>
  </w:endnote>
  <w:endnote w:type="continuationSeparator" w:id="0">
    <w:p w14:paraId="16F72029" w14:textId="77777777" w:rsidR="008B372B" w:rsidRDefault="008B372B">
      <w:r>
        <w:continuationSeparator/>
      </w:r>
    </w:p>
  </w:endnote>
  <w:endnote w:type="continuationNotice" w:id="1">
    <w:p w14:paraId="1A046B28" w14:textId="77777777" w:rsidR="008B372B" w:rsidRDefault="008B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70EE" w14:textId="77777777" w:rsidR="007D685C" w:rsidRDefault="007D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7DEA" w14:textId="77777777" w:rsidR="008B372B" w:rsidRDefault="008B372B">
      <w:r>
        <w:separator/>
      </w:r>
    </w:p>
  </w:footnote>
  <w:footnote w:type="continuationSeparator" w:id="0">
    <w:p w14:paraId="541C1C15" w14:textId="77777777" w:rsidR="008B372B" w:rsidRDefault="008B372B">
      <w:r>
        <w:continuationSeparator/>
      </w:r>
    </w:p>
  </w:footnote>
  <w:footnote w:type="continuationNotice" w:id="1">
    <w:p w14:paraId="7D6CB8F0" w14:textId="77777777" w:rsidR="008B372B" w:rsidRDefault="008B3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26D7" w14:textId="77777777" w:rsidR="007D685C" w:rsidRDefault="007D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25353700" w:rsidR="00E902E8" w:rsidRDefault="00E902E8" w:rsidP="00571206">
    <w:pPr>
      <w:pStyle w:val="Header"/>
      <w:jc w:val="center"/>
      <w:rPr>
        <w:rFonts w:ascii="Arial" w:hAnsi="Arial" w:cs="Arial"/>
        <w:b/>
      </w:rPr>
    </w:pP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7EF474CC" w:rsidR="00E902E8" w:rsidRDefault="00A14551" w:rsidP="00571206">
    <w:pPr>
      <w:pStyle w:val="Header"/>
      <w:jc w:val="center"/>
      <w:rPr>
        <w:rFonts w:ascii="Arial" w:hAnsi="Arial" w:cs="Arial"/>
        <w:b/>
      </w:rPr>
    </w:pPr>
    <w:r>
      <w:rPr>
        <w:rFonts w:ascii="Arial" w:hAnsi="Arial" w:cs="Arial"/>
        <w:b/>
      </w:rPr>
      <w:t>March</w:t>
    </w:r>
    <w:r w:rsidR="00A56E78">
      <w:rPr>
        <w:rFonts w:ascii="Arial" w:hAnsi="Arial" w:cs="Arial"/>
        <w:b/>
      </w:rPr>
      <w:t xml:space="preserve">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3DD5" w14:textId="77777777" w:rsidR="007D685C" w:rsidRDefault="007D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4"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6"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7"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3"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0"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37"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9"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0"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4"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3"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4"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8"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49"/>
  </w:num>
  <w:num w:numId="4" w16cid:durableId="1955818708">
    <w:abstractNumId w:val="11"/>
  </w:num>
  <w:num w:numId="5" w16cid:durableId="1762793081">
    <w:abstractNumId w:val="16"/>
  </w:num>
  <w:num w:numId="6" w16cid:durableId="1063870176">
    <w:abstractNumId w:val="7"/>
  </w:num>
  <w:num w:numId="7" w16cid:durableId="17202420">
    <w:abstractNumId w:val="19"/>
  </w:num>
  <w:num w:numId="8" w16cid:durableId="1042025453">
    <w:abstractNumId w:val="42"/>
  </w:num>
  <w:num w:numId="9" w16cid:durableId="6538040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28"/>
  </w:num>
  <w:num w:numId="11" w16cid:durableId="1146433718">
    <w:abstractNumId w:val="13"/>
  </w:num>
  <w:num w:numId="12" w16cid:durableId="403258695">
    <w:abstractNumId w:val="55"/>
  </w:num>
  <w:num w:numId="13" w16cid:durableId="1862627038">
    <w:abstractNumId w:val="60"/>
  </w:num>
  <w:num w:numId="14" w16cid:durableId="1933540907">
    <w:abstractNumId w:val="17"/>
  </w:num>
  <w:num w:numId="15" w16cid:durableId="410933758">
    <w:abstractNumId w:val="25"/>
  </w:num>
  <w:num w:numId="16" w16cid:durableId="1277060000">
    <w:abstractNumId w:val="33"/>
  </w:num>
  <w:num w:numId="17" w16cid:durableId="932201648">
    <w:abstractNumId w:val="58"/>
  </w:num>
  <w:num w:numId="18" w16cid:durableId="871497882">
    <w:abstractNumId w:val="10"/>
  </w:num>
  <w:num w:numId="19" w16cid:durableId="2057124610">
    <w:abstractNumId w:val="48"/>
  </w:num>
  <w:num w:numId="20" w16cid:durableId="174879048">
    <w:abstractNumId w:val="24"/>
  </w:num>
  <w:num w:numId="21" w16cid:durableId="258415052">
    <w:abstractNumId w:val="47"/>
  </w:num>
  <w:num w:numId="22" w16cid:durableId="1753772491">
    <w:abstractNumId w:val="50"/>
  </w:num>
  <w:num w:numId="23" w16cid:durableId="701518877">
    <w:abstractNumId w:val="45"/>
  </w:num>
  <w:num w:numId="24" w16cid:durableId="1493136778">
    <w:abstractNumId w:val="31"/>
  </w:num>
  <w:num w:numId="25" w16cid:durableId="527648721">
    <w:abstractNumId w:val="9"/>
  </w:num>
  <w:num w:numId="26" w16cid:durableId="753933244">
    <w:abstractNumId w:val="40"/>
  </w:num>
  <w:num w:numId="27" w16cid:durableId="1139153049">
    <w:abstractNumId w:val="34"/>
  </w:num>
  <w:num w:numId="28" w16cid:durableId="699205066">
    <w:abstractNumId w:val="20"/>
  </w:num>
  <w:num w:numId="29" w16cid:durableId="1951667345">
    <w:abstractNumId w:val="8"/>
  </w:num>
  <w:num w:numId="30" w16cid:durableId="860750086">
    <w:abstractNumId w:val="44"/>
  </w:num>
  <w:num w:numId="31" w16cid:durableId="2092240650">
    <w:abstractNumId w:val="1"/>
  </w:num>
  <w:num w:numId="32" w16cid:durableId="20669193">
    <w:abstractNumId w:val="6"/>
  </w:num>
  <w:num w:numId="33" w16cid:durableId="602032988">
    <w:abstractNumId w:val="32"/>
  </w:num>
  <w:num w:numId="34" w16cid:durableId="795491393">
    <w:abstractNumId w:val="18"/>
  </w:num>
  <w:num w:numId="35" w16cid:durableId="1371421239">
    <w:abstractNumId w:val="54"/>
  </w:num>
  <w:num w:numId="36" w16cid:durableId="495536337">
    <w:abstractNumId w:val="59"/>
  </w:num>
  <w:num w:numId="37" w16cid:durableId="508719203">
    <w:abstractNumId w:val="14"/>
  </w:num>
  <w:num w:numId="38" w16cid:durableId="258568966">
    <w:abstractNumId w:val="27"/>
  </w:num>
  <w:num w:numId="39" w16cid:durableId="1399867477">
    <w:abstractNumId w:val="41"/>
  </w:num>
  <w:num w:numId="40" w16cid:durableId="1150096549">
    <w:abstractNumId w:val="51"/>
  </w:num>
  <w:num w:numId="41" w16cid:durableId="1847667302">
    <w:abstractNumId w:val="30"/>
  </w:num>
  <w:num w:numId="42" w16cid:durableId="1178958632">
    <w:abstractNumId w:val="56"/>
  </w:num>
  <w:num w:numId="43" w16cid:durableId="764303977">
    <w:abstractNumId w:val="35"/>
  </w:num>
  <w:num w:numId="44" w16cid:durableId="645934640">
    <w:abstractNumId w:val="5"/>
  </w:num>
  <w:num w:numId="45" w16cid:durableId="1871991393">
    <w:abstractNumId w:val="4"/>
  </w:num>
  <w:num w:numId="46" w16cid:durableId="1059479469">
    <w:abstractNumId w:val="23"/>
  </w:num>
  <w:num w:numId="47" w16cid:durableId="2069498770">
    <w:abstractNumId w:val="12"/>
  </w:num>
  <w:num w:numId="48" w16cid:durableId="722487997">
    <w:abstractNumId w:val="2"/>
  </w:num>
  <w:num w:numId="49" w16cid:durableId="1622765155">
    <w:abstractNumId w:val="46"/>
  </w:num>
  <w:num w:numId="50" w16cid:durableId="1981885625">
    <w:abstractNumId w:val="61"/>
  </w:num>
  <w:num w:numId="51" w16cid:durableId="1588225749">
    <w:abstractNumId w:val="37"/>
  </w:num>
  <w:num w:numId="52" w16cid:durableId="1233615601">
    <w:abstractNumId w:val="52"/>
  </w:num>
  <w:num w:numId="53" w16cid:durableId="1957903164">
    <w:abstractNumId w:val="15"/>
  </w:num>
  <w:num w:numId="54" w16cid:durableId="113528507">
    <w:abstractNumId w:val="53"/>
  </w:num>
  <w:num w:numId="55" w16cid:durableId="609044352">
    <w:abstractNumId w:val="43"/>
  </w:num>
  <w:num w:numId="56" w16cid:durableId="1704600303">
    <w:abstractNumId w:val="22"/>
  </w:num>
  <w:num w:numId="57" w16cid:durableId="1602568203">
    <w:abstractNumId w:val="36"/>
  </w:num>
  <w:num w:numId="58" w16cid:durableId="1486430306">
    <w:abstractNumId w:val="0"/>
  </w:num>
  <w:num w:numId="59" w16cid:durableId="234127176">
    <w:abstractNumId w:val="29"/>
  </w:num>
  <w:num w:numId="60" w16cid:durableId="2103794336">
    <w:abstractNumId w:val="57"/>
  </w:num>
  <w:num w:numId="61" w16cid:durableId="1903590950">
    <w:abstractNumId w:val="26"/>
  </w:num>
  <w:num w:numId="62" w16cid:durableId="1809662724">
    <w:abstractNumId w:val="3"/>
  </w:num>
  <w:num w:numId="63" w16cid:durableId="1377510151">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27"/>
    <w:rsid w:val="00000C2B"/>
    <w:rsid w:val="00001364"/>
    <w:rsid w:val="0000162D"/>
    <w:rsid w:val="000017CE"/>
    <w:rsid w:val="0000217D"/>
    <w:rsid w:val="00002288"/>
    <w:rsid w:val="00002868"/>
    <w:rsid w:val="00002E16"/>
    <w:rsid w:val="00002E7D"/>
    <w:rsid w:val="0000304C"/>
    <w:rsid w:val="000034C3"/>
    <w:rsid w:val="00003584"/>
    <w:rsid w:val="00004628"/>
    <w:rsid w:val="0000462B"/>
    <w:rsid w:val="00004D33"/>
    <w:rsid w:val="00004D75"/>
    <w:rsid w:val="00004F9D"/>
    <w:rsid w:val="000053F8"/>
    <w:rsid w:val="0000554D"/>
    <w:rsid w:val="00005B5B"/>
    <w:rsid w:val="00005DD2"/>
    <w:rsid w:val="00005EC6"/>
    <w:rsid w:val="00005F17"/>
    <w:rsid w:val="00005FA7"/>
    <w:rsid w:val="000063DB"/>
    <w:rsid w:val="000065C9"/>
    <w:rsid w:val="000068DD"/>
    <w:rsid w:val="00006BB1"/>
    <w:rsid w:val="00006E1B"/>
    <w:rsid w:val="0000733C"/>
    <w:rsid w:val="000074BD"/>
    <w:rsid w:val="00007932"/>
    <w:rsid w:val="00007D69"/>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8E9"/>
    <w:rsid w:val="000129ED"/>
    <w:rsid w:val="00012DEC"/>
    <w:rsid w:val="00013238"/>
    <w:rsid w:val="00013284"/>
    <w:rsid w:val="0001362E"/>
    <w:rsid w:val="000136A0"/>
    <w:rsid w:val="00013785"/>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764"/>
    <w:rsid w:val="00020827"/>
    <w:rsid w:val="000209C6"/>
    <w:rsid w:val="00020D50"/>
    <w:rsid w:val="00020EB1"/>
    <w:rsid w:val="000210EB"/>
    <w:rsid w:val="0002174C"/>
    <w:rsid w:val="00021B23"/>
    <w:rsid w:val="000220E8"/>
    <w:rsid w:val="00022361"/>
    <w:rsid w:val="000223D3"/>
    <w:rsid w:val="00022435"/>
    <w:rsid w:val="00022686"/>
    <w:rsid w:val="000228B1"/>
    <w:rsid w:val="00022BDB"/>
    <w:rsid w:val="00022BF5"/>
    <w:rsid w:val="0002300F"/>
    <w:rsid w:val="0002305C"/>
    <w:rsid w:val="000231EA"/>
    <w:rsid w:val="00023228"/>
    <w:rsid w:val="000235A6"/>
    <w:rsid w:val="00023817"/>
    <w:rsid w:val="0002401C"/>
    <w:rsid w:val="00024248"/>
    <w:rsid w:val="000245BC"/>
    <w:rsid w:val="0002470A"/>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320"/>
    <w:rsid w:val="00030887"/>
    <w:rsid w:val="00030A03"/>
    <w:rsid w:val="00030A49"/>
    <w:rsid w:val="000311AC"/>
    <w:rsid w:val="00031946"/>
    <w:rsid w:val="00031FAB"/>
    <w:rsid w:val="00032078"/>
    <w:rsid w:val="00032180"/>
    <w:rsid w:val="00032226"/>
    <w:rsid w:val="0003225B"/>
    <w:rsid w:val="000322EC"/>
    <w:rsid w:val="000324DA"/>
    <w:rsid w:val="00032AB9"/>
    <w:rsid w:val="00032CE5"/>
    <w:rsid w:val="00033A72"/>
    <w:rsid w:val="00033AE2"/>
    <w:rsid w:val="00033D0B"/>
    <w:rsid w:val="00033D40"/>
    <w:rsid w:val="00034086"/>
    <w:rsid w:val="00034121"/>
    <w:rsid w:val="00034321"/>
    <w:rsid w:val="00034AE8"/>
    <w:rsid w:val="00034CCA"/>
    <w:rsid w:val="000350A9"/>
    <w:rsid w:val="00035472"/>
    <w:rsid w:val="0003551E"/>
    <w:rsid w:val="00035622"/>
    <w:rsid w:val="00035C4A"/>
    <w:rsid w:val="00035CFA"/>
    <w:rsid w:val="00036501"/>
    <w:rsid w:val="00036531"/>
    <w:rsid w:val="000365B0"/>
    <w:rsid w:val="00036CF7"/>
    <w:rsid w:val="00037175"/>
    <w:rsid w:val="00037F52"/>
    <w:rsid w:val="0004019D"/>
    <w:rsid w:val="0004054A"/>
    <w:rsid w:val="000407E0"/>
    <w:rsid w:val="00040C0F"/>
    <w:rsid w:val="000412FE"/>
    <w:rsid w:val="00041467"/>
    <w:rsid w:val="0004160D"/>
    <w:rsid w:val="00041F3D"/>
    <w:rsid w:val="0004257E"/>
    <w:rsid w:val="00042593"/>
    <w:rsid w:val="00042704"/>
    <w:rsid w:val="000428E8"/>
    <w:rsid w:val="00042970"/>
    <w:rsid w:val="000433CA"/>
    <w:rsid w:val="00043755"/>
    <w:rsid w:val="00043C1D"/>
    <w:rsid w:val="00044146"/>
    <w:rsid w:val="0004459D"/>
    <w:rsid w:val="0004479C"/>
    <w:rsid w:val="00044BB4"/>
    <w:rsid w:val="00045450"/>
    <w:rsid w:val="00045AE5"/>
    <w:rsid w:val="00045BFA"/>
    <w:rsid w:val="00046725"/>
    <w:rsid w:val="000468C0"/>
    <w:rsid w:val="00046DA2"/>
    <w:rsid w:val="000470CA"/>
    <w:rsid w:val="000478B3"/>
    <w:rsid w:val="00047C23"/>
    <w:rsid w:val="0005008F"/>
    <w:rsid w:val="00050762"/>
    <w:rsid w:val="000507B9"/>
    <w:rsid w:val="00050DA9"/>
    <w:rsid w:val="000510F0"/>
    <w:rsid w:val="0005132F"/>
    <w:rsid w:val="0005150B"/>
    <w:rsid w:val="00051AF5"/>
    <w:rsid w:val="00051F8F"/>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39E"/>
    <w:rsid w:val="0006295A"/>
    <w:rsid w:val="00062AF3"/>
    <w:rsid w:val="00062DBE"/>
    <w:rsid w:val="00062EE7"/>
    <w:rsid w:val="00062F87"/>
    <w:rsid w:val="00062FEE"/>
    <w:rsid w:val="0006305A"/>
    <w:rsid w:val="00063210"/>
    <w:rsid w:val="0006339E"/>
    <w:rsid w:val="000634F5"/>
    <w:rsid w:val="0006357B"/>
    <w:rsid w:val="00063B11"/>
    <w:rsid w:val="00063D17"/>
    <w:rsid w:val="000643D0"/>
    <w:rsid w:val="000648E2"/>
    <w:rsid w:val="000650C3"/>
    <w:rsid w:val="00065195"/>
    <w:rsid w:val="00065584"/>
    <w:rsid w:val="00065C22"/>
    <w:rsid w:val="000666A9"/>
    <w:rsid w:val="00066CF6"/>
    <w:rsid w:val="0006717D"/>
    <w:rsid w:val="000672D3"/>
    <w:rsid w:val="0006744F"/>
    <w:rsid w:val="00067A06"/>
    <w:rsid w:val="00067E91"/>
    <w:rsid w:val="00070204"/>
    <w:rsid w:val="00070550"/>
    <w:rsid w:val="00070612"/>
    <w:rsid w:val="0007061C"/>
    <w:rsid w:val="00070D59"/>
    <w:rsid w:val="00071230"/>
    <w:rsid w:val="000714CE"/>
    <w:rsid w:val="00071D67"/>
    <w:rsid w:val="0007221C"/>
    <w:rsid w:val="0007257C"/>
    <w:rsid w:val="00072584"/>
    <w:rsid w:val="000726C3"/>
    <w:rsid w:val="000728AC"/>
    <w:rsid w:val="00072E3B"/>
    <w:rsid w:val="00072F02"/>
    <w:rsid w:val="00072F85"/>
    <w:rsid w:val="0007309C"/>
    <w:rsid w:val="00073432"/>
    <w:rsid w:val="00074126"/>
    <w:rsid w:val="00074D5B"/>
    <w:rsid w:val="00074E67"/>
    <w:rsid w:val="0007567B"/>
    <w:rsid w:val="00075B7E"/>
    <w:rsid w:val="00076287"/>
    <w:rsid w:val="00076297"/>
    <w:rsid w:val="00076AED"/>
    <w:rsid w:val="00076BC0"/>
    <w:rsid w:val="00077533"/>
    <w:rsid w:val="00077555"/>
    <w:rsid w:val="00077A40"/>
    <w:rsid w:val="00077F45"/>
    <w:rsid w:val="00080510"/>
    <w:rsid w:val="000809F7"/>
    <w:rsid w:val="00081153"/>
    <w:rsid w:val="00081DCD"/>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15A"/>
    <w:rsid w:val="00084264"/>
    <w:rsid w:val="000842BB"/>
    <w:rsid w:val="00084B20"/>
    <w:rsid w:val="00084CED"/>
    <w:rsid w:val="00084D37"/>
    <w:rsid w:val="00084E9F"/>
    <w:rsid w:val="000855C9"/>
    <w:rsid w:val="0008574F"/>
    <w:rsid w:val="00085A38"/>
    <w:rsid w:val="00085F9C"/>
    <w:rsid w:val="00086013"/>
    <w:rsid w:val="0008619D"/>
    <w:rsid w:val="0008687E"/>
    <w:rsid w:val="000868A3"/>
    <w:rsid w:val="00086D66"/>
    <w:rsid w:val="000872FA"/>
    <w:rsid w:val="0008737D"/>
    <w:rsid w:val="000879A5"/>
    <w:rsid w:val="00090385"/>
    <w:rsid w:val="000908F9"/>
    <w:rsid w:val="00090D21"/>
    <w:rsid w:val="00090E77"/>
    <w:rsid w:val="00090F42"/>
    <w:rsid w:val="00091262"/>
    <w:rsid w:val="00091269"/>
    <w:rsid w:val="000921BC"/>
    <w:rsid w:val="00092523"/>
    <w:rsid w:val="0009260A"/>
    <w:rsid w:val="00093960"/>
    <w:rsid w:val="00093FE9"/>
    <w:rsid w:val="0009470A"/>
    <w:rsid w:val="00095C30"/>
    <w:rsid w:val="000968AD"/>
    <w:rsid w:val="00096AAC"/>
    <w:rsid w:val="00096B9F"/>
    <w:rsid w:val="00096E39"/>
    <w:rsid w:val="0009704F"/>
    <w:rsid w:val="000972AC"/>
    <w:rsid w:val="00097C0E"/>
    <w:rsid w:val="00097D99"/>
    <w:rsid w:val="00097ED4"/>
    <w:rsid w:val="000A0004"/>
    <w:rsid w:val="000A0466"/>
    <w:rsid w:val="000A06D9"/>
    <w:rsid w:val="000A084E"/>
    <w:rsid w:val="000A1188"/>
    <w:rsid w:val="000A1E1C"/>
    <w:rsid w:val="000A1F85"/>
    <w:rsid w:val="000A2697"/>
    <w:rsid w:val="000A26EE"/>
    <w:rsid w:val="000A29FA"/>
    <w:rsid w:val="000A2A86"/>
    <w:rsid w:val="000A2C2D"/>
    <w:rsid w:val="000A2DE4"/>
    <w:rsid w:val="000A2DFF"/>
    <w:rsid w:val="000A2FEC"/>
    <w:rsid w:val="000A30CC"/>
    <w:rsid w:val="000A3BB7"/>
    <w:rsid w:val="000A418B"/>
    <w:rsid w:val="000A46FC"/>
    <w:rsid w:val="000A4955"/>
    <w:rsid w:val="000A4C9A"/>
    <w:rsid w:val="000A570D"/>
    <w:rsid w:val="000A59CC"/>
    <w:rsid w:val="000A5D40"/>
    <w:rsid w:val="000A6103"/>
    <w:rsid w:val="000A64C7"/>
    <w:rsid w:val="000A6654"/>
    <w:rsid w:val="000A6C92"/>
    <w:rsid w:val="000A7C8A"/>
    <w:rsid w:val="000A7F23"/>
    <w:rsid w:val="000B060D"/>
    <w:rsid w:val="000B0C47"/>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47CF"/>
    <w:rsid w:val="000B4A8E"/>
    <w:rsid w:val="000B5120"/>
    <w:rsid w:val="000B588A"/>
    <w:rsid w:val="000B5B24"/>
    <w:rsid w:val="000B5B51"/>
    <w:rsid w:val="000B5D32"/>
    <w:rsid w:val="000B624B"/>
    <w:rsid w:val="000B6487"/>
    <w:rsid w:val="000B6824"/>
    <w:rsid w:val="000B6DBE"/>
    <w:rsid w:val="000B7528"/>
    <w:rsid w:val="000B771A"/>
    <w:rsid w:val="000B7A91"/>
    <w:rsid w:val="000B7F45"/>
    <w:rsid w:val="000C0114"/>
    <w:rsid w:val="000C0211"/>
    <w:rsid w:val="000C040A"/>
    <w:rsid w:val="000C0497"/>
    <w:rsid w:val="000C0C31"/>
    <w:rsid w:val="000C0E21"/>
    <w:rsid w:val="000C11B0"/>
    <w:rsid w:val="000C147A"/>
    <w:rsid w:val="000C158C"/>
    <w:rsid w:val="000C15DB"/>
    <w:rsid w:val="000C1963"/>
    <w:rsid w:val="000C1A94"/>
    <w:rsid w:val="000C1BA1"/>
    <w:rsid w:val="000C1DF3"/>
    <w:rsid w:val="000C219D"/>
    <w:rsid w:val="000C22B0"/>
    <w:rsid w:val="000C2786"/>
    <w:rsid w:val="000C294C"/>
    <w:rsid w:val="000C2E72"/>
    <w:rsid w:val="000C2FFA"/>
    <w:rsid w:val="000C3369"/>
    <w:rsid w:val="000C339F"/>
    <w:rsid w:val="000C3428"/>
    <w:rsid w:val="000C34BA"/>
    <w:rsid w:val="000C3841"/>
    <w:rsid w:val="000C3CAA"/>
    <w:rsid w:val="000C3F2C"/>
    <w:rsid w:val="000C3FC1"/>
    <w:rsid w:val="000C45E3"/>
    <w:rsid w:val="000C4805"/>
    <w:rsid w:val="000C494F"/>
    <w:rsid w:val="000C4B6C"/>
    <w:rsid w:val="000C5084"/>
    <w:rsid w:val="000C545B"/>
    <w:rsid w:val="000C56B4"/>
    <w:rsid w:val="000C586F"/>
    <w:rsid w:val="000C5A78"/>
    <w:rsid w:val="000C5B48"/>
    <w:rsid w:val="000C661A"/>
    <w:rsid w:val="000C77A9"/>
    <w:rsid w:val="000D0D8B"/>
    <w:rsid w:val="000D1292"/>
    <w:rsid w:val="000D14F1"/>
    <w:rsid w:val="000D1785"/>
    <w:rsid w:val="000D17E0"/>
    <w:rsid w:val="000D1C61"/>
    <w:rsid w:val="000D20F2"/>
    <w:rsid w:val="000D2AFE"/>
    <w:rsid w:val="000D2BC3"/>
    <w:rsid w:val="000D2D84"/>
    <w:rsid w:val="000D3190"/>
    <w:rsid w:val="000D3239"/>
    <w:rsid w:val="000D3BC0"/>
    <w:rsid w:val="000D3DA7"/>
    <w:rsid w:val="000D3ECA"/>
    <w:rsid w:val="000D418F"/>
    <w:rsid w:val="000D4551"/>
    <w:rsid w:val="000D53FC"/>
    <w:rsid w:val="000D5763"/>
    <w:rsid w:val="000D5D71"/>
    <w:rsid w:val="000D5EFB"/>
    <w:rsid w:val="000D6416"/>
    <w:rsid w:val="000D66F5"/>
    <w:rsid w:val="000D700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CD"/>
    <w:rsid w:val="000E2CD7"/>
    <w:rsid w:val="000E2EA3"/>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F0"/>
    <w:rsid w:val="000F0297"/>
    <w:rsid w:val="000F069C"/>
    <w:rsid w:val="000F0A1A"/>
    <w:rsid w:val="000F0B27"/>
    <w:rsid w:val="000F0D4C"/>
    <w:rsid w:val="000F0D73"/>
    <w:rsid w:val="000F0DFC"/>
    <w:rsid w:val="000F0E95"/>
    <w:rsid w:val="000F14EE"/>
    <w:rsid w:val="000F18F2"/>
    <w:rsid w:val="000F1D4F"/>
    <w:rsid w:val="000F26BE"/>
    <w:rsid w:val="000F2E82"/>
    <w:rsid w:val="000F305F"/>
    <w:rsid w:val="000F3A4F"/>
    <w:rsid w:val="000F3D50"/>
    <w:rsid w:val="000F4952"/>
    <w:rsid w:val="000F56C3"/>
    <w:rsid w:val="000F5D35"/>
    <w:rsid w:val="000F5DDE"/>
    <w:rsid w:val="000F67B1"/>
    <w:rsid w:val="000F69EF"/>
    <w:rsid w:val="000F6F0D"/>
    <w:rsid w:val="000F71CE"/>
    <w:rsid w:val="000F7390"/>
    <w:rsid w:val="000F7D67"/>
    <w:rsid w:val="001000EA"/>
    <w:rsid w:val="00100A53"/>
    <w:rsid w:val="00100B0B"/>
    <w:rsid w:val="001025E7"/>
    <w:rsid w:val="0010275F"/>
    <w:rsid w:val="001029B4"/>
    <w:rsid w:val="0010316E"/>
    <w:rsid w:val="001033CF"/>
    <w:rsid w:val="001038BB"/>
    <w:rsid w:val="00103D55"/>
    <w:rsid w:val="00103E13"/>
    <w:rsid w:val="00103F76"/>
    <w:rsid w:val="00104326"/>
    <w:rsid w:val="001049E3"/>
    <w:rsid w:val="00104A50"/>
    <w:rsid w:val="00104C50"/>
    <w:rsid w:val="00105880"/>
    <w:rsid w:val="001059F0"/>
    <w:rsid w:val="001060A3"/>
    <w:rsid w:val="00106615"/>
    <w:rsid w:val="001067CF"/>
    <w:rsid w:val="00107038"/>
    <w:rsid w:val="00107219"/>
    <w:rsid w:val="00107405"/>
    <w:rsid w:val="001074AC"/>
    <w:rsid w:val="00107D47"/>
    <w:rsid w:val="001101E1"/>
    <w:rsid w:val="00110379"/>
    <w:rsid w:val="001103CF"/>
    <w:rsid w:val="00110471"/>
    <w:rsid w:val="001108E0"/>
    <w:rsid w:val="00111F4C"/>
    <w:rsid w:val="00112358"/>
    <w:rsid w:val="0011254F"/>
    <w:rsid w:val="00112561"/>
    <w:rsid w:val="001129E8"/>
    <w:rsid w:val="00112BA9"/>
    <w:rsid w:val="0011385A"/>
    <w:rsid w:val="00113C3D"/>
    <w:rsid w:val="00113C76"/>
    <w:rsid w:val="00114588"/>
    <w:rsid w:val="001149B9"/>
    <w:rsid w:val="00114A58"/>
    <w:rsid w:val="00114D12"/>
    <w:rsid w:val="00115179"/>
    <w:rsid w:val="00115257"/>
    <w:rsid w:val="00115629"/>
    <w:rsid w:val="001158B6"/>
    <w:rsid w:val="00115B67"/>
    <w:rsid w:val="00115C32"/>
    <w:rsid w:val="0011605A"/>
    <w:rsid w:val="00116222"/>
    <w:rsid w:val="001165DD"/>
    <w:rsid w:val="001171CB"/>
    <w:rsid w:val="00117210"/>
    <w:rsid w:val="0011744C"/>
    <w:rsid w:val="001178A1"/>
    <w:rsid w:val="00117AF4"/>
    <w:rsid w:val="00120070"/>
    <w:rsid w:val="0012010D"/>
    <w:rsid w:val="00120A89"/>
    <w:rsid w:val="00120F0F"/>
    <w:rsid w:val="00120FAC"/>
    <w:rsid w:val="00121311"/>
    <w:rsid w:val="00121A8E"/>
    <w:rsid w:val="00121BF6"/>
    <w:rsid w:val="00122A1C"/>
    <w:rsid w:val="00123810"/>
    <w:rsid w:val="00123872"/>
    <w:rsid w:val="001242F1"/>
    <w:rsid w:val="00124585"/>
    <w:rsid w:val="00124CFC"/>
    <w:rsid w:val="00124D80"/>
    <w:rsid w:val="00125074"/>
    <w:rsid w:val="00125CB8"/>
    <w:rsid w:val="001261A9"/>
    <w:rsid w:val="001267DB"/>
    <w:rsid w:val="001275A6"/>
    <w:rsid w:val="001276FB"/>
    <w:rsid w:val="00127B37"/>
    <w:rsid w:val="00130019"/>
    <w:rsid w:val="001302D0"/>
    <w:rsid w:val="00130C57"/>
    <w:rsid w:val="00130D30"/>
    <w:rsid w:val="00131290"/>
    <w:rsid w:val="0013141F"/>
    <w:rsid w:val="001317A0"/>
    <w:rsid w:val="001317E4"/>
    <w:rsid w:val="00131CB1"/>
    <w:rsid w:val="00131D1A"/>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7A1"/>
    <w:rsid w:val="0013587F"/>
    <w:rsid w:val="00135E47"/>
    <w:rsid w:val="001360BD"/>
    <w:rsid w:val="001362A6"/>
    <w:rsid w:val="0013630E"/>
    <w:rsid w:val="00136B3F"/>
    <w:rsid w:val="00136D64"/>
    <w:rsid w:val="00136DF8"/>
    <w:rsid w:val="0013745F"/>
    <w:rsid w:val="00137472"/>
    <w:rsid w:val="001374F4"/>
    <w:rsid w:val="001377FA"/>
    <w:rsid w:val="00137894"/>
    <w:rsid w:val="00137CB8"/>
    <w:rsid w:val="00140035"/>
    <w:rsid w:val="00140465"/>
    <w:rsid w:val="00140E09"/>
    <w:rsid w:val="0014101A"/>
    <w:rsid w:val="0014142D"/>
    <w:rsid w:val="0014148A"/>
    <w:rsid w:val="00141FEB"/>
    <w:rsid w:val="00142347"/>
    <w:rsid w:val="00142693"/>
    <w:rsid w:val="001426D3"/>
    <w:rsid w:val="00142EED"/>
    <w:rsid w:val="00143382"/>
    <w:rsid w:val="00143743"/>
    <w:rsid w:val="001437D5"/>
    <w:rsid w:val="0014392F"/>
    <w:rsid w:val="00143E66"/>
    <w:rsid w:val="00143EB0"/>
    <w:rsid w:val="00143FEE"/>
    <w:rsid w:val="0014495D"/>
    <w:rsid w:val="00144CCA"/>
    <w:rsid w:val="00145D66"/>
    <w:rsid w:val="00146059"/>
    <w:rsid w:val="00146A19"/>
    <w:rsid w:val="00146F0E"/>
    <w:rsid w:val="00146FF4"/>
    <w:rsid w:val="001476A2"/>
    <w:rsid w:val="0014776D"/>
    <w:rsid w:val="00147845"/>
    <w:rsid w:val="00147FC1"/>
    <w:rsid w:val="001500C8"/>
    <w:rsid w:val="001502B0"/>
    <w:rsid w:val="00150357"/>
    <w:rsid w:val="00150381"/>
    <w:rsid w:val="0015080E"/>
    <w:rsid w:val="0015100D"/>
    <w:rsid w:val="001511D3"/>
    <w:rsid w:val="0015153E"/>
    <w:rsid w:val="00151705"/>
    <w:rsid w:val="00151C88"/>
    <w:rsid w:val="00151D35"/>
    <w:rsid w:val="00152387"/>
    <w:rsid w:val="00152A0C"/>
    <w:rsid w:val="00153424"/>
    <w:rsid w:val="0015377C"/>
    <w:rsid w:val="0015395A"/>
    <w:rsid w:val="00153ABE"/>
    <w:rsid w:val="00153C15"/>
    <w:rsid w:val="00153EE1"/>
    <w:rsid w:val="0015402E"/>
    <w:rsid w:val="00154487"/>
    <w:rsid w:val="00154524"/>
    <w:rsid w:val="001546E8"/>
    <w:rsid w:val="00154828"/>
    <w:rsid w:val="0015484C"/>
    <w:rsid w:val="00155698"/>
    <w:rsid w:val="00155809"/>
    <w:rsid w:val="00155BC9"/>
    <w:rsid w:val="00155C11"/>
    <w:rsid w:val="001568EE"/>
    <w:rsid w:val="00157509"/>
    <w:rsid w:val="00157D22"/>
    <w:rsid w:val="00157F62"/>
    <w:rsid w:val="001600EB"/>
    <w:rsid w:val="00160327"/>
    <w:rsid w:val="00160423"/>
    <w:rsid w:val="00160AB7"/>
    <w:rsid w:val="0016107D"/>
    <w:rsid w:val="00161177"/>
    <w:rsid w:val="00161841"/>
    <w:rsid w:val="00161C25"/>
    <w:rsid w:val="00161CC6"/>
    <w:rsid w:val="00161CD7"/>
    <w:rsid w:val="001628AD"/>
    <w:rsid w:val="0016312E"/>
    <w:rsid w:val="00163182"/>
    <w:rsid w:val="0016341E"/>
    <w:rsid w:val="001634CE"/>
    <w:rsid w:val="00163694"/>
    <w:rsid w:val="00163826"/>
    <w:rsid w:val="0016414D"/>
    <w:rsid w:val="00164303"/>
    <w:rsid w:val="00164617"/>
    <w:rsid w:val="00164D3D"/>
    <w:rsid w:val="00164EA4"/>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86C"/>
    <w:rsid w:val="00171AD7"/>
    <w:rsid w:val="00171B2D"/>
    <w:rsid w:val="00171BE6"/>
    <w:rsid w:val="00171C57"/>
    <w:rsid w:val="00171DC1"/>
    <w:rsid w:val="00171E1D"/>
    <w:rsid w:val="00171EF7"/>
    <w:rsid w:val="00172EAB"/>
    <w:rsid w:val="00172EDD"/>
    <w:rsid w:val="00173940"/>
    <w:rsid w:val="00173B32"/>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4BD"/>
    <w:rsid w:val="00177845"/>
    <w:rsid w:val="00177965"/>
    <w:rsid w:val="00177D01"/>
    <w:rsid w:val="00180261"/>
    <w:rsid w:val="0018063A"/>
    <w:rsid w:val="001806A2"/>
    <w:rsid w:val="001807A5"/>
    <w:rsid w:val="00180A1D"/>
    <w:rsid w:val="001810C8"/>
    <w:rsid w:val="001812AE"/>
    <w:rsid w:val="001820AF"/>
    <w:rsid w:val="0018238C"/>
    <w:rsid w:val="001828A4"/>
    <w:rsid w:val="00182B3C"/>
    <w:rsid w:val="00182E45"/>
    <w:rsid w:val="00183DEE"/>
    <w:rsid w:val="0018419E"/>
    <w:rsid w:val="001849E7"/>
    <w:rsid w:val="00184DA1"/>
    <w:rsid w:val="00184E8A"/>
    <w:rsid w:val="0018519A"/>
    <w:rsid w:val="00185571"/>
    <w:rsid w:val="00185989"/>
    <w:rsid w:val="00186C46"/>
    <w:rsid w:val="00186EE5"/>
    <w:rsid w:val="0019025F"/>
    <w:rsid w:val="00190272"/>
    <w:rsid w:val="00190B36"/>
    <w:rsid w:val="00190B9C"/>
    <w:rsid w:val="00190D52"/>
    <w:rsid w:val="00190E20"/>
    <w:rsid w:val="0019138B"/>
    <w:rsid w:val="001919D3"/>
    <w:rsid w:val="00191E1A"/>
    <w:rsid w:val="00191E84"/>
    <w:rsid w:val="00192157"/>
    <w:rsid w:val="001925E9"/>
    <w:rsid w:val="00192900"/>
    <w:rsid w:val="00192D91"/>
    <w:rsid w:val="00192F48"/>
    <w:rsid w:val="0019395E"/>
    <w:rsid w:val="00193C35"/>
    <w:rsid w:val="0019441C"/>
    <w:rsid w:val="001950D9"/>
    <w:rsid w:val="00195379"/>
    <w:rsid w:val="00195430"/>
    <w:rsid w:val="00195A6E"/>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307D"/>
    <w:rsid w:val="001A3986"/>
    <w:rsid w:val="001A3E19"/>
    <w:rsid w:val="001A4242"/>
    <w:rsid w:val="001A4389"/>
    <w:rsid w:val="001A48FD"/>
    <w:rsid w:val="001A63A3"/>
    <w:rsid w:val="001A6A97"/>
    <w:rsid w:val="001A6DEF"/>
    <w:rsid w:val="001A7A6A"/>
    <w:rsid w:val="001A7A87"/>
    <w:rsid w:val="001A7FE7"/>
    <w:rsid w:val="001B049D"/>
    <w:rsid w:val="001B04E4"/>
    <w:rsid w:val="001B0553"/>
    <w:rsid w:val="001B0636"/>
    <w:rsid w:val="001B07B0"/>
    <w:rsid w:val="001B0E41"/>
    <w:rsid w:val="001B1577"/>
    <w:rsid w:val="001B15BA"/>
    <w:rsid w:val="001B16C3"/>
    <w:rsid w:val="001B1838"/>
    <w:rsid w:val="001B1C15"/>
    <w:rsid w:val="001B1C67"/>
    <w:rsid w:val="001B1D5D"/>
    <w:rsid w:val="001B2234"/>
    <w:rsid w:val="001B22B4"/>
    <w:rsid w:val="001B2C7D"/>
    <w:rsid w:val="001B322D"/>
    <w:rsid w:val="001B33F0"/>
    <w:rsid w:val="001B344B"/>
    <w:rsid w:val="001B3984"/>
    <w:rsid w:val="001B3C3B"/>
    <w:rsid w:val="001B3E1C"/>
    <w:rsid w:val="001B3FE9"/>
    <w:rsid w:val="001B46AE"/>
    <w:rsid w:val="001B5009"/>
    <w:rsid w:val="001B54F0"/>
    <w:rsid w:val="001B5950"/>
    <w:rsid w:val="001B5DCE"/>
    <w:rsid w:val="001B61CA"/>
    <w:rsid w:val="001B653E"/>
    <w:rsid w:val="001B6AAD"/>
    <w:rsid w:val="001B71B5"/>
    <w:rsid w:val="001B76C4"/>
    <w:rsid w:val="001B77E9"/>
    <w:rsid w:val="001B77FC"/>
    <w:rsid w:val="001B78E2"/>
    <w:rsid w:val="001B7BF2"/>
    <w:rsid w:val="001B7EED"/>
    <w:rsid w:val="001C00A8"/>
    <w:rsid w:val="001C0289"/>
    <w:rsid w:val="001C11E4"/>
    <w:rsid w:val="001C181C"/>
    <w:rsid w:val="001C1C01"/>
    <w:rsid w:val="001C1E19"/>
    <w:rsid w:val="001C246E"/>
    <w:rsid w:val="001C27AF"/>
    <w:rsid w:val="001C3033"/>
    <w:rsid w:val="001C30BA"/>
    <w:rsid w:val="001C3403"/>
    <w:rsid w:val="001C342C"/>
    <w:rsid w:val="001C3A40"/>
    <w:rsid w:val="001C3AAA"/>
    <w:rsid w:val="001C3D80"/>
    <w:rsid w:val="001C4100"/>
    <w:rsid w:val="001C41DA"/>
    <w:rsid w:val="001C43B3"/>
    <w:rsid w:val="001C457D"/>
    <w:rsid w:val="001C4834"/>
    <w:rsid w:val="001C4C95"/>
    <w:rsid w:val="001C4FF2"/>
    <w:rsid w:val="001C56EB"/>
    <w:rsid w:val="001C5905"/>
    <w:rsid w:val="001C5BA6"/>
    <w:rsid w:val="001C5EAD"/>
    <w:rsid w:val="001C5F74"/>
    <w:rsid w:val="001C5FC4"/>
    <w:rsid w:val="001C68B6"/>
    <w:rsid w:val="001C7079"/>
    <w:rsid w:val="001C7181"/>
    <w:rsid w:val="001D0229"/>
    <w:rsid w:val="001D028A"/>
    <w:rsid w:val="001D0868"/>
    <w:rsid w:val="001D1636"/>
    <w:rsid w:val="001D181F"/>
    <w:rsid w:val="001D1A42"/>
    <w:rsid w:val="001D2755"/>
    <w:rsid w:val="001D2F4D"/>
    <w:rsid w:val="001D30A0"/>
    <w:rsid w:val="001D3816"/>
    <w:rsid w:val="001D39E8"/>
    <w:rsid w:val="001D3B1F"/>
    <w:rsid w:val="001D3ECA"/>
    <w:rsid w:val="001D4075"/>
    <w:rsid w:val="001D4E5E"/>
    <w:rsid w:val="001D548F"/>
    <w:rsid w:val="001D5714"/>
    <w:rsid w:val="001D600F"/>
    <w:rsid w:val="001D604E"/>
    <w:rsid w:val="001D6843"/>
    <w:rsid w:val="001D7299"/>
    <w:rsid w:val="001D7641"/>
    <w:rsid w:val="001D79BC"/>
    <w:rsid w:val="001E0221"/>
    <w:rsid w:val="001E0711"/>
    <w:rsid w:val="001E092F"/>
    <w:rsid w:val="001E0947"/>
    <w:rsid w:val="001E095D"/>
    <w:rsid w:val="001E152C"/>
    <w:rsid w:val="001E17F9"/>
    <w:rsid w:val="001E1ABD"/>
    <w:rsid w:val="001E24EA"/>
    <w:rsid w:val="001E25FF"/>
    <w:rsid w:val="001E267D"/>
    <w:rsid w:val="001E2A5D"/>
    <w:rsid w:val="001E2CF5"/>
    <w:rsid w:val="001E35D6"/>
    <w:rsid w:val="001E389C"/>
    <w:rsid w:val="001E3B0A"/>
    <w:rsid w:val="001E3ED8"/>
    <w:rsid w:val="001E411C"/>
    <w:rsid w:val="001E4950"/>
    <w:rsid w:val="001E5979"/>
    <w:rsid w:val="001E5C38"/>
    <w:rsid w:val="001E6EC5"/>
    <w:rsid w:val="001E70C9"/>
    <w:rsid w:val="001E776D"/>
    <w:rsid w:val="001E777A"/>
    <w:rsid w:val="001E77D9"/>
    <w:rsid w:val="001E79E9"/>
    <w:rsid w:val="001E7D4E"/>
    <w:rsid w:val="001E7D86"/>
    <w:rsid w:val="001F0D67"/>
    <w:rsid w:val="001F1A00"/>
    <w:rsid w:val="001F1A90"/>
    <w:rsid w:val="001F1B8A"/>
    <w:rsid w:val="001F1C06"/>
    <w:rsid w:val="001F2058"/>
    <w:rsid w:val="001F23BC"/>
    <w:rsid w:val="001F265C"/>
    <w:rsid w:val="001F29C8"/>
    <w:rsid w:val="001F2E04"/>
    <w:rsid w:val="001F2FC5"/>
    <w:rsid w:val="001F3167"/>
    <w:rsid w:val="001F3474"/>
    <w:rsid w:val="001F391D"/>
    <w:rsid w:val="001F49C4"/>
    <w:rsid w:val="001F524C"/>
    <w:rsid w:val="001F5561"/>
    <w:rsid w:val="001F5939"/>
    <w:rsid w:val="001F5B96"/>
    <w:rsid w:val="001F659C"/>
    <w:rsid w:val="001F67F2"/>
    <w:rsid w:val="001F6895"/>
    <w:rsid w:val="001F6A3C"/>
    <w:rsid w:val="001F6DCB"/>
    <w:rsid w:val="001F7055"/>
    <w:rsid w:val="001F716B"/>
    <w:rsid w:val="001F7437"/>
    <w:rsid w:val="001F7B95"/>
    <w:rsid w:val="001F7E44"/>
    <w:rsid w:val="001F7FE1"/>
    <w:rsid w:val="0020062A"/>
    <w:rsid w:val="00200673"/>
    <w:rsid w:val="002010D3"/>
    <w:rsid w:val="00201311"/>
    <w:rsid w:val="002017E3"/>
    <w:rsid w:val="00201885"/>
    <w:rsid w:val="00201CF2"/>
    <w:rsid w:val="002024B2"/>
    <w:rsid w:val="002028FF"/>
    <w:rsid w:val="0020322B"/>
    <w:rsid w:val="002032C8"/>
    <w:rsid w:val="00203A75"/>
    <w:rsid w:val="00203BD7"/>
    <w:rsid w:val="0020409B"/>
    <w:rsid w:val="00204875"/>
    <w:rsid w:val="00204F68"/>
    <w:rsid w:val="00205337"/>
    <w:rsid w:val="00205C7C"/>
    <w:rsid w:val="002060A5"/>
    <w:rsid w:val="0020622C"/>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22A5"/>
    <w:rsid w:val="00212939"/>
    <w:rsid w:val="002129AB"/>
    <w:rsid w:val="00212B8B"/>
    <w:rsid w:val="00212BEC"/>
    <w:rsid w:val="00213388"/>
    <w:rsid w:val="002133B8"/>
    <w:rsid w:val="0021371C"/>
    <w:rsid w:val="002139E7"/>
    <w:rsid w:val="00213C4D"/>
    <w:rsid w:val="00213C5E"/>
    <w:rsid w:val="00213F04"/>
    <w:rsid w:val="002144A1"/>
    <w:rsid w:val="002147A6"/>
    <w:rsid w:val="00214D4B"/>
    <w:rsid w:val="00214DAE"/>
    <w:rsid w:val="00215739"/>
    <w:rsid w:val="002157B5"/>
    <w:rsid w:val="0021638C"/>
    <w:rsid w:val="00216869"/>
    <w:rsid w:val="0021720D"/>
    <w:rsid w:val="002175EB"/>
    <w:rsid w:val="00217D17"/>
    <w:rsid w:val="00217F0B"/>
    <w:rsid w:val="0022016A"/>
    <w:rsid w:val="00220CFF"/>
    <w:rsid w:val="00220F03"/>
    <w:rsid w:val="00221057"/>
    <w:rsid w:val="002212CB"/>
    <w:rsid w:val="002213D8"/>
    <w:rsid w:val="00221B4C"/>
    <w:rsid w:val="00222077"/>
    <w:rsid w:val="002226A9"/>
    <w:rsid w:val="0022277E"/>
    <w:rsid w:val="00223034"/>
    <w:rsid w:val="0022322D"/>
    <w:rsid w:val="002234F2"/>
    <w:rsid w:val="00223614"/>
    <w:rsid w:val="002238E6"/>
    <w:rsid w:val="00223A10"/>
    <w:rsid w:val="00225534"/>
    <w:rsid w:val="00225CB8"/>
    <w:rsid w:val="00226E88"/>
    <w:rsid w:val="00226F8B"/>
    <w:rsid w:val="0022715D"/>
    <w:rsid w:val="0023053A"/>
    <w:rsid w:val="00230AF7"/>
    <w:rsid w:val="00230B76"/>
    <w:rsid w:val="00230BA9"/>
    <w:rsid w:val="00231068"/>
    <w:rsid w:val="00231F8F"/>
    <w:rsid w:val="00231FCB"/>
    <w:rsid w:val="0023358A"/>
    <w:rsid w:val="0023444B"/>
    <w:rsid w:val="00234DBA"/>
    <w:rsid w:val="00234FCD"/>
    <w:rsid w:val="00234FD9"/>
    <w:rsid w:val="0023596F"/>
    <w:rsid w:val="00235BAB"/>
    <w:rsid w:val="00236374"/>
    <w:rsid w:val="00236F49"/>
    <w:rsid w:val="00237E07"/>
    <w:rsid w:val="00237F8D"/>
    <w:rsid w:val="002400A1"/>
    <w:rsid w:val="00240222"/>
    <w:rsid w:val="00240568"/>
    <w:rsid w:val="002410B4"/>
    <w:rsid w:val="002410D8"/>
    <w:rsid w:val="002411C9"/>
    <w:rsid w:val="002418BB"/>
    <w:rsid w:val="00241AD9"/>
    <w:rsid w:val="0024218B"/>
    <w:rsid w:val="002425FE"/>
    <w:rsid w:val="00242CD9"/>
    <w:rsid w:val="0024349D"/>
    <w:rsid w:val="00243967"/>
    <w:rsid w:val="00244034"/>
    <w:rsid w:val="002440F8"/>
    <w:rsid w:val="002441C4"/>
    <w:rsid w:val="0024424C"/>
    <w:rsid w:val="002444C2"/>
    <w:rsid w:val="00244BE9"/>
    <w:rsid w:val="0024523D"/>
    <w:rsid w:val="0024530D"/>
    <w:rsid w:val="00245393"/>
    <w:rsid w:val="0024566E"/>
    <w:rsid w:val="00245729"/>
    <w:rsid w:val="00245A74"/>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294"/>
    <w:rsid w:val="002518F5"/>
    <w:rsid w:val="00251AD5"/>
    <w:rsid w:val="00251E7D"/>
    <w:rsid w:val="002523E5"/>
    <w:rsid w:val="00252CD6"/>
    <w:rsid w:val="00253058"/>
    <w:rsid w:val="00253764"/>
    <w:rsid w:val="0025420C"/>
    <w:rsid w:val="002548E8"/>
    <w:rsid w:val="002550D8"/>
    <w:rsid w:val="00255896"/>
    <w:rsid w:val="00256078"/>
    <w:rsid w:val="0025615D"/>
    <w:rsid w:val="002564FB"/>
    <w:rsid w:val="00256907"/>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62F"/>
    <w:rsid w:val="00262814"/>
    <w:rsid w:val="002629E0"/>
    <w:rsid w:val="00262A95"/>
    <w:rsid w:val="00262E2E"/>
    <w:rsid w:val="00263457"/>
    <w:rsid w:val="00263727"/>
    <w:rsid w:val="00263EF4"/>
    <w:rsid w:val="00264650"/>
    <w:rsid w:val="00264A64"/>
    <w:rsid w:val="00265312"/>
    <w:rsid w:val="00265C87"/>
    <w:rsid w:val="00265D31"/>
    <w:rsid w:val="00265E8F"/>
    <w:rsid w:val="00265FE9"/>
    <w:rsid w:val="00266CB9"/>
    <w:rsid w:val="00266D5F"/>
    <w:rsid w:val="00266F46"/>
    <w:rsid w:val="0026709A"/>
    <w:rsid w:val="0026773E"/>
    <w:rsid w:val="00267F1F"/>
    <w:rsid w:val="0027062D"/>
    <w:rsid w:val="00270AEE"/>
    <w:rsid w:val="00270E18"/>
    <w:rsid w:val="00271BEB"/>
    <w:rsid w:val="0027218C"/>
    <w:rsid w:val="002723FD"/>
    <w:rsid w:val="002728FE"/>
    <w:rsid w:val="00272E01"/>
    <w:rsid w:val="00272F1D"/>
    <w:rsid w:val="00273015"/>
    <w:rsid w:val="0027301B"/>
    <w:rsid w:val="00273042"/>
    <w:rsid w:val="00274171"/>
    <w:rsid w:val="0027463A"/>
    <w:rsid w:val="00274815"/>
    <w:rsid w:val="0027487A"/>
    <w:rsid w:val="00274D0D"/>
    <w:rsid w:val="00274D8B"/>
    <w:rsid w:val="00275318"/>
    <w:rsid w:val="00275FB7"/>
    <w:rsid w:val="00276041"/>
    <w:rsid w:val="002766B0"/>
    <w:rsid w:val="00277572"/>
    <w:rsid w:val="00277812"/>
    <w:rsid w:val="00277AA7"/>
    <w:rsid w:val="002802A1"/>
    <w:rsid w:val="002803B8"/>
    <w:rsid w:val="002805C4"/>
    <w:rsid w:val="002808CA"/>
    <w:rsid w:val="00280926"/>
    <w:rsid w:val="00281269"/>
    <w:rsid w:val="002812F7"/>
    <w:rsid w:val="00281303"/>
    <w:rsid w:val="00281922"/>
    <w:rsid w:val="00281B0A"/>
    <w:rsid w:val="00281FE4"/>
    <w:rsid w:val="0028257E"/>
    <w:rsid w:val="00282720"/>
    <w:rsid w:val="00282CDE"/>
    <w:rsid w:val="00282D03"/>
    <w:rsid w:val="00283073"/>
    <w:rsid w:val="0028348A"/>
    <w:rsid w:val="00283C7F"/>
    <w:rsid w:val="00283E5C"/>
    <w:rsid w:val="00284142"/>
    <w:rsid w:val="0028456B"/>
    <w:rsid w:val="00284579"/>
    <w:rsid w:val="00285478"/>
    <w:rsid w:val="00285792"/>
    <w:rsid w:val="0028663C"/>
    <w:rsid w:val="00287329"/>
    <w:rsid w:val="00287C89"/>
    <w:rsid w:val="00287EC6"/>
    <w:rsid w:val="002905B5"/>
    <w:rsid w:val="002911D8"/>
    <w:rsid w:val="00292120"/>
    <w:rsid w:val="0029294F"/>
    <w:rsid w:val="00292A15"/>
    <w:rsid w:val="00293203"/>
    <w:rsid w:val="0029322C"/>
    <w:rsid w:val="0029329A"/>
    <w:rsid w:val="00293A15"/>
    <w:rsid w:val="00293D58"/>
    <w:rsid w:val="00294048"/>
    <w:rsid w:val="00295693"/>
    <w:rsid w:val="00295727"/>
    <w:rsid w:val="00295B54"/>
    <w:rsid w:val="002960C3"/>
    <w:rsid w:val="00296781"/>
    <w:rsid w:val="002969C0"/>
    <w:rsid w:val="0029707F"/>
    <w:rsid w:val="002972D4"/>
    <w:rsid w:val="002978B6"/>
    <w:rsid w:val="002979D2"/>
    <w:rsid w:val="002979E1"/>
    <w:rsid w:val="00297AEF"/>
    <w:rsid w:val="00297F02"/>
    <w:rsid w:val="002A039A"/>
    <w:rsid w:val="002A0622"/>
    <w:rsid w:val="002A06E1"/>
    <w:rsid w:val="002A0D05"/>
    <w:rsid w:val="002A1520"/>
    <w:rsid w:val="002A21E8"/>
    <w:rsid w:val="002A2863"/>
    <w:rsid w:val="002A29B6"/>
    <w:rsid w:val="002A2DC2"/>
    <w:rsid w:val="002A3220"/>
    <w:rsid w:val="002A3596"/>
    <w:rsid w:val="002A37BE"/>
    <w:rsid w:val="002A39E5"/>
    <w:rsid w:val="002A39FC"/>
    <w:rsid w:val="002A3AA9"/>
    <w:rsid w:val="002A570E"/>
    <w:rsid w:val="002A58F4"/>
    <w:rsid w:val="002A5AA2"/>
    <w:rsid w:val="002A5C85"/>
    <w:rsid w:val="002A5C87"/>
    <w:rsid w:val="002A5D50"/>
    <w:rsid w:val="002A5DE5"/>
    <w:rsid w:val="002A6503"/>
    <w:rsid w:val="002A659A"/>
    <w:rsid w:val="002A7542"/>
    <w:rsid w:val="002A7BE8"/>
    <w:rsid w:val="002A7EE2"/>
    <w:rsid w:val="002B0474"/>
    <w:rsid w:val="002B04C5"/>
    <w:rsid w:val="002B0534"/>
    <w:rsid w:val="002B0687"/>
    <w:rsid w:val="002B09C6"/>
    <w:rsid w:val="002B0C43"/>
    <w:rsid w:val="002B0F52"/>
    <w:rsid w:val="002B1071"/>
    <w:rsid w:val="002B129B"/>
    <w:rsid w:val="002B1ABF"/>
    <w:rsid w:val="002B1B49"/>
    <w:rsid w:val="002B1C33"/>
    <w:rsid w:val="002B29E2"/>
    <w:rsid w:val="002B2C11"/>
    <w:rsid w:val="002B3708"/>
    <w:rsid w:val="002B396D"/>
    <w:rsid w:val="002B3DA7"/>
    <w:rsid w:val="002B42DE"/>
    <w:rsid w:val="002B47FB"/>
    <w:rsid w:val="002B4D46"/>
    <w:rsid w:val="002B4FB2"/>
    <w:rsid w:val="002B519A"/>
    <w:rsid w:val="002B5625"/>
    <w:rsid w:val="002B5F00"/>
    <w:rsid w:val="002B5F9C"/>
    <w:rsid w:val="002B6147"/>
    <w:rsid w:val="002B6282"/>
    <w:rsid w:val="002B63E7"/>
    <w:rsid w:val="002B6BB5"/>
    <w:rsid w:val="002B7BFD"/>
    <w:rsid w:val="002B7E81"/>
    <w:rsid w:val="002B7F35"/>
    <w:rsid w:val="002B7F98"/>
    <w:rsid w:val="002C0170"/>
    <w:rsid w:val="002C0278"/>
    <w:rsid w:val="002C0857"/>
    <w:rsid w:val="002C0B1F"/>
    <w:rsid w:val="002C0E18"/>
    <w:rsid w:val="002C180D"/>
    <w:rsid w:val="002C1F7B"/>
    <w:rsid w:val="002C2427"/>
    <w:rsid w:val="002C2773"/>
    <w:rsid w:val="002C2A4F"/>
    <w:rsid w:val="002C2A5F"/>
    <w:rsid w:val="002C2DB9"/>
    <w:rsid w:val="002C2E50"/>
    <w:rsid w:val="002C3502"/>
    <w:rsid w:val="002C35B9"/>
    <w:rsid w:val="002C397B"/>
    <w:rsid w:val="002C3B01"/>
    <w:rsid w:val="002C3BA0"/>
    <w:rsid w:val="002C436C"/>
    <w:rsid w:val="002C47C4"/>
    <w:rsid w:val="002C5357"/>
    <w:rsid w:val="002C5B67"/>
    <w:rsid w:val="002C5CD2"/>
    <w:rsid w:val="002C65DE"/>
    <w:rsid w:val="002C666E"/>
    <w:rsid w:val="002C6BD4"/>
    <w:rsid w:val="002C6D72"/>
    <w:rsid w:val="002C6E41"/>
    <w:rsid w:val="002C7181"/>
    <w:rsid w:val="002C748E"/>
    <w:rsid w:val="002C7BFF"/>
    <w:rsid w:val="002C7D3C"/>
    <w:rsid w:val="002D01E4"/>
    <w:rsid w:val="002D04DB"/>
    <w:rsid w:val="002D0DDF"/>
    <w:rsid w:val="002D17A5"/>
    <w:rsid w:val="002D1AC7"/>
    <w:rsid w:val="002D1D54"/>
    <w:rsid w:val="002D2926"/>
    <w:rsid w:val="002D347E"/>
    <w:rsid w:val="002D37D6"/>
    <w:rsid w:val="002D3C72"/>
    <w:rsid w:val="002D3D17"/>
    <w:rsid w:val="002D3DB2"/>
    <w:rsid w:val="002D42A0"/>
    <w:rsid w:val="002D43E8"/>
    <w:rsid w:val="002D440D"/>
    <w:rsid w:val="002D4C8C"/>
    <w:rsid w:val="002D4EF6"/>
    <w:rsid w:val="002D52D4"/>
    <w:rsid w:val="002D5367"/>
    <w:rsid w:val="002D545A"/>
    <w:rsid w:val="002D550B"/>
    <w:rsid w:val="002D59E5"/>
    <w:rsid w:val="002D5BC8"/>
    <w:rsid w:val="002D5C23"/>
    <w:rsid w:val="002D5C3B"/>
    <w:rsid w:val="002D5CBC"/>
    <w:rsid w:val="002D5DC3"/>
    <w:rsid w:val="002D6635"/>
    <w:rsid w:val="002D6B4D"/>
    <w:rsid w:val="002D759A"/>
    <w:rsid w:val="002D774E"/>
    <w:rsid w:val="002D79CA"/>
    <w:rsid w:val="002E0FD6"/>
    <w:rsid w:val="002E1388"/>
    <w:rsid w:val="002E13B3"/>
    <w:rsid w:val="002E16E6"/>
    <w:rsid w:val="002E17C5"/>
    <w:rsid w:val="002E1AD3"/>
    <w:rsid w:val="002E1B83"/>
    <w:rsid w:val="002E1C1F"/>
    <w:rsid w:val="002E1EA3"/>
    <w:rsid w:val="002E2688"/>
    <w:rsid w:val="002E28A0"/>
    <w:rsid w:val="002E2DBC"/>
    <w:rsid w:val="002E3036"/>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BF6"/>
    <w:rsid w:val="002E6D48"/>
    <w:rsid w:val="002E7003"/>
    <w:rsid w:val="002E736D"/>
    <w:rsid w:val="002E7754"/>
    <w:rsid w:val="002E78AC"/>
    <w:rsid w:val="002F0875"/>
    <w:rsid w:val="002F0884"/>
    <w:rsid w:val="002F1A5B"/>
    <w:rsid w:val="002F1B87"/>
    <w:rsid w:val="002F1C7E"/>
    <w:rsid w:val="002F2228"/>
    <w:rsid w:val="002F2C95"/>
    <w:rsid w:val="002F3470"/>
    <w:rsid w:val="002F3532"/>
    <w:rsid w:val="002F3A0F"/>
    <w:rsid w:val="002F4C7E"/>
    <w:rsid w:val="002F4CA2"/>
    <w:rsid w:val="002F51B3"/>
    <w:rsid w:val="002F527B"/>
    <w:rsid w:val="002F5306"/>
    <w:rsid w:val="002F5570"/>
    <w:rsid w:val="002F55A4"/>
    <w:rsid w:val="002F5792"/>
    <w:rsid w:val="002F5C9A"/>
    <w:rsid w:val="002F6157"/>
    <w:rsid w:val="002F6254"/>
    <w:rsid w:val="002F6315"/>
    <w:rsid w:val="002F6432"/>
    <w:rsid w:val="002F64A0"/>
    <w:rsid w:val="002F69EB"/>
    <w:rsid w:val="002F6A64"/>
    <w:rsid w:val="002F6D11"/>
    <w:rsid w:val="002F6D57"/>
    <w:rsid w:val="002F6FC4"/>
    <w:rsid w:val="002F7255"/>
    <w:rsid w:val="002F7427"/>
    <w:rsid w:val="002F7D6F"/>
    <w:rsid w:val="002F7DAA"/>
    <w:rsid w:val="00300450"/>
    <w:rsid w:val="003005AA"/>
    <w:rsid w:val="0030078C"/>
    <w:rsid w:val="00300E4E"/>
    <w:rsid w:val="00300EA5"/>
    <w:rsid w:val="00301004"/>
    <w:rsid w:val="0030148D"/>
    <w:rsid w:val="0030194F"/>
    <w:rsid w:val="00301F15"/>
    <w:rsid w:val="003020B4"/>
    <w:rsid w:val="003022B8"/>
    <w:rsid w:val="003023C4"/>
    <w:rsid w:val="003023EB"/>
    <w:rsid w:val="003026B9"/>
    <w:rsid w:val="00302883"/>
    <w:rsid w:val="00302C73"/>
    <w:rsid w:val="003035B2"/>
    <w:rsid w:val="00303697"/>
    <w:rsid w:val="00303733"/>
    <w:rsid w:val="003037A9"/>
    <w:rsid w:val="00303A2F"/>
    <w:rsid w:val="00303C94"/>
    <w:rsid w:val="00303E84"/>
    <w:rsid w:val="00304BF7"/>
    <w:rsid w:val="00304CF9"/>
    <w:rsid w:val="00304F0A"/>
    <w:rsid w:val="00304FE8"/>
    <w:rsid w:val="0030527B"/>
    <w:rsid w:val="00305FA4"/>
    <w:rsid w:val="00306076"/>
    <w:rsid w:val="003060BB"/>
    <w:rsid w:val="0030617A"/>
    <w:rsid w:val="00306989"/>
    <w:rsid w:val="00307214"/>
    <w:rsid w:val="0030755C"/>
    <w:rsid w:val="00310015"/>
    <w:rsid w:val="0031005D"/>
    <w:rsid w:val="00310992"/>
    <w:rsid w:val="00311387"/>
    <w:rsid w:val="00311883"/>
    <w:rsid w:val="003119DF"/>
    <w:rsid w:val="003119F0"/>
    <w:rsid w:val="00311D7D"/>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4DFA"/>
    <w:rsid w:val="003153EA"/>
    <w:rsid w:val="00315536"/>
    <w:rsid w:val="00315A29"/>
    <w:rsid w:val="003160B4"/>
    <w:rsid w:val="0031641C"/>
    <w:rsid w:val="00316745"/>
    <w:rsid w:val="00316CCF"/>
    <w:rsid w:val="00316D1E"/>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3247"/>
    <w:rsid w:val="003232F1"/>
    <w:rsid w:val="003233CF"/>
    <w:rsid w:val="0032378E"/>
    <w:rsid w:val="00323C12"/>
    <w:rsid w:val="00323C80"/>
    <w:rsid w:val="00323CB9"/>
    <w:rsid w:val="00323D04"/>
    <w:rsid w:val="003243CB"/>
    <w:rsid w:val="003245FB"/>
    <w:rsid w:val="0032477D"/>
    <w:rsid w:val="00324BA0"/>
    <w:rsid w:val="003250E2"/>
    <w:rsid w:val="0032569E"/>
    <w:rsid w:val="00325BC7"/>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49A"/>
    <w:rsid w:val="00331B79"/>
    <w:rsid w:val="00331DCA"/>
    <w:rsid w:val="00332129"/>
    <w:rsid w:val="00332736"/>
    <w:rsid w:val="0033322F"/>
    <w:rsid w:val="003332EC"/>
    <w:rsid w:val="0033399A"/>
    <w:rsid w:val="003347EC"/>
    <w:rsid w:val="00334912"/>
    <w:rsid w:val="00335779"/>
    <w:rsid w:val="0033637A"/>
    <w:rsid w:val="00336CE8"/>
    <w:rsid w:val="00336FF2"/>
    <w:rsid w:val="0033709A"/>
    <w:rsid w:val="00337375"/>
    <w:rsid w:val="003376B5"/>
    <w:rsid w:val="003376DF"/>
    <w:rsid w:val="003402DF"/>
    <w:rsid w:val="003405F6"/>
    <w:rsid w:val="00340A89"/>
    <w:rsid w:val="00340D16"/>
    <w:rsid w:val="00340D94"/>
    <w:rsid w:val="00340EB5"/>
    <w:rsid w:val="00341361"/>
    <w:rsid w:val="003415C8"/>
    <w:rsid w:val="00341AD8"/>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72E"/>
    <w:rsid w:val="00346BB9"/>
    <w:rsid w:val="00346CED"/>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3E6"/>
    <w:rsid w:val="00353798"/>
    <w:rsid w:val="0035396F"/>
    <w:rsid w:val="003541D1"/>
    <w:rsid w:val="003541DB"/>
    <w:rsid w:val="00354278"/>
    <w:rsid w:val="003548D7"/>
    <w:rsid w:val="003548F0"/>
    <w:rsid w:val="00354D94"/>
    <w:rsid w:val="003550C7"/>
    <w:rsid w:val="003559AA"/>
    <w:rsid w:val="00355E80"/>
    <w:rsid w:val="00355FEC"/>
    <w:rsid w:val="003564E7"/>
    <w:rsid w:val="003565C4"/>
    <w:rsid w:val="003566E9"/>
    <w:rsid w:val="00356F11"/>
    <w:rsid w:val="00357214"/>
    <w:rsid w:val="003577EB"/>
    <w:rsid w:val="00357869"/>
    <w:rsid w:val="0035791D"/>
    <w:rsid w:val="003607A0"/>
    <w:rsid w:val="00360CBD"/>
    <w:rsid w:val="00360D4F"/>
    <w:rsid w:val="00360D68"/>
    <w:rsid w:val="00361072"/>
    <w:rsid w:val="003613A9"/>
    <w:rsid w:val="00361851"/>
    <w:rsid w:val="00361D52"/>
    <w:rsid w:val="00362461"/>
    <w:rsid w:val="003628AA"/>
    <w:rsid w:val="00362D37"/>
    <w:rsid w:val="003632EB"/>
    <w:rsid w:val="00363DA3"/>
    <w:rsid w:val="00363F13"/>
    <w:rsid w:val="0036400A"/>
    <w:rsid w:val="00364B18"/>
    <w:rsid w:val="00364D63"/>
    <w:rsid w:val="00365105"/>
    <w:rsid w:val="0036579C"/>
    <w:rsid w:val="003657E7"/>
    <w:rsid w:val="00365E78"/>
    <w:rsid w:val="00366857"/>
    <w:rsid w:val="00370449"/>
    <w:rsid w:val="003708DD"/>
    <w:rsid w:val="003709D4"/>
    <w:rsid w:val="00370DAC"/>
    <w:rsid w:val="00370EE0"/>
    <w:rsid w:val="003713B0"/>
    <w:rsid w:val="003714A5"/>
    <w:rsid w:val="0037177B"/>
    <w:rsid w:val="003717F5"/>
    <w:rsid w:val="00371B3D"/>
    <w:rsid w:val="00372850"/>
    <w:rsid w:val="00372888"/>
    <w:rsid w:val="003728FE"/>
    <w:rsid w:val="00372E17"/>
    <w:rsid w:val="00372F44"/>
    <w:rsid w:val="0037362F"/>
    <w:rsid w:val="0037380C"/>
    <w:rsid w:val="00374783"/>
    <w:rsid w:val="00374ACD"/>
    <w:rsid w:val="00374DD9"/>
    <w:rsid w:val="003750B5"/>
    <w:rsid w:val="00375135"/>
    <w:rsid w:val="00375165"/>
    <w:rsid w:val="00375520"/>
    <w:rsid w:val="00375687"/>
    <w:rsid w:val="003763FF"/>
    <w:rsid w:val="00377224"/>
    <w:rsid w:val="00377360"/>
    <w:rsid w:val="0037737B"/>
    <w:rsid w:val="003774E1"/>
    <w:rsid w:val="003777B8"/>
    <w:rsid w:val="00377A8B"/>
    <w:rsid w:val="00377BAD"/>
    <w:rsid w:val="003809D0"/>
    <w:rsid w:val="0038138B"/>
    <w:rsid w:val="0038185B"/>
    <w:rsid w:val="0038196D"/>
    <w:rsid w:val="00381DCB"/>
    <w:rsid w:val="00381F87"/>
    <w:rsid w:val="00382161"/>
    <w:rsid w:val="003821D7"/>
    <w:rsid w:val="00382EFE"/>
    <w:rsid w:val="003834EB"/>
    <w:rsid w:val="00383A59"/>
    <w:rsid w:val="00383FF3"/>
    <w:rsid w:val="00384485"/>
    <w:rsid w:val="00384800"/>
    <w:rsid w:val="00384833"/>
    <w:rsid w:val="00384B1C"/>
    <w:rsid w:val="00384B1D"/>
    <w:rsid w:val="00384CD4"/>
    <w:rsid w:val="00384EA5"/>
    <w:rsid w:val="0038505C"/>
    <w:rsid w:val="003853A1"/>
    <w:rsid w:val="0038574F"/>
    <w:rsid w:val="00385BBE"/>
    <w:rsid w:val="00385D5C"/>
    <w:rsid w:val="00386843"/>
    <w:rsid w:val="00386C4E"/>
    <w:rsid w:val="00386E5D"/>
    <w:rsid w:val="00387E97"/>
    <w:rsid w:val="003902AD"/>
    <w:rsid w:val="003902C1"/>
    <w:rsid w:val="00390619"/>
    <w:rsid w:val="00390919"/>
    <w:rsid w:val="00390A7C"/>
    <w:rsid w:val="00390A91"/>
    <w:rsid w:val="00390AFB"/>
    <w:rsid w:val="0039142B"/>
    <w:rsid w:val="00391A35"/>
    <w:rsid w:val="00391E07"/>
    <w:rsid w:val="00392721"/>
    <w:rsid w:val="00392A6F"/>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A02FD"/>
    <w:rsid w:val="003A03EF"/>
    <w:rsid w:val="003A05C7"/>
    <w:rsid w:val="003A0717"/>
    <w:rsid w:val="003A074E"/>
    <w:rsid w:val="003A1531"/>
    <w:rsid w:val="003A1CFF"/>
    <w:rsid w:val="003A2BB7"/>
    <w:rsid w:val="003A312D"/>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A14"/>
    <w:rsid w:val="003A6A20"/>
    <w:rsid w:val="003A6FDD"/>
    <w:rsid w:val="003A72E4"/>
    <w:rsid w:val="003A7535"/>
    <w:rsid w:val="003A7616"/>
    <w:rsid w:val="003A799B"/>
    <w:rsid w:val="003A7CBB"/>
    <w:rsid w:val="003A7D18"/>
    <w:rsid w:val="003B00C2"/>
    <w:rsid w:val="003B07D1"/>
    <w:rsid w:val="003B0A3B"/>
    <w:rsid w:val="003B0DFF"/>
    <w:rsid w:val="003B12DB"/>
    <w:rsid w:val="003B166A"/>
    <w:rsid w:val="003B1AF6"/>
    <w:rsid w:val="003B1B1B"/>
    <w:rsid w:val="003B1B75"/>
    <w:rsid w:val="003B1C8A"/>
    <w:rsid w:val="003B2E0C"/>
    <w:rsid w:val="003B2EEF"/>
    <w:rsid w:val="003B2FBC"/>
    <w:rsid w:val="003B32CC"/>
    <w:rsid w:val="003B35CB"/>
    <w:rsid w:val="003B497D"/>
    <w:rsid w:val="003B4BD8"/>
    <w:rsid w:val="003B4DA2"/>
    <w:rsid w:val="003B4DDF"/>
    <w:rsid w:val="003B4E68"/>
    <w:rsid w:val="003B4EE8"/>
    <w:rsid w:val="003B50C0"/>
    <w:rsid w:val="003B545C"/>
    <w:rsid w:val="003B57B7"/>
    <w:rsid w:val="003B5E19"/>
    <w:rsid w:val="003B64D8"/>
    <w:rsid w:val="003B6D36"/>
    <w:rsid w:val="003B76F4"/>
    <w:rsid w:val="003B78AC"/>
    <w:rsid w:val="003B7FDD"/>
    <w:rsid w:val="003C0428"/>
    <w:rsid w:val="003C08BD"/>
    <w:rsid w:val="003C1A62"/>
    <w:rsid w:val="003C1E2C"/>
    <w:rsid w:val="003C27F3"/>
    <w:rsid w:val="003C2F43"/>
    <w:rsid w:val="003C32FC"/>
    <w:rsid w:val="003C3793"/>
    <w:rsid w:val="003C3ABE"/>
    <w:rsid w:val="003C3FD4"/>
    <w:rsid w:val="003C457C"/>
    <w:rsid w:val="003C49A9"/>
    <w:rsid w:val="003C4EBE"/>
    <w:rsid w:val="003C5564"/>
    <w:rsid w:val="003C558C"/>
    <w:rsid w:val="003C5807"/>
    <w:rsid w:val="003C5A3A"/>
    <w:rsid w:val="003C5CC4"/>
    <w:rsid w:val="003C6367"/>
    <w:rsid w:val="003C66C3"/>
    <w:rsid w:val="003C6F87"/>
    <w:rsid w:val="003C7429"/>
    <w:rsid w:val="003C75BD"/>
    <w:rsid w:val="003C7E0E"/>
    <w:rsid w:val="003D07CE"/>
    <w:rsid w:val="003D0802"/>
    <w:rsid w:val="003D098A"/>
    <w:rsid w:val="003D0B7A"/>
    <w:rsid w:val="003D1303"/>
    <w:rsid w:val="003D1634"/>
    <w:rsid w:val="003D17E4"/>
    <w:rsid w:val="003D1982"/>
    <w:rsid w:val="003D1A6C"/>
    <w:rsid w:val="003D1AE5"/>
    <w:rsid w:val="003D1AEC"/>
    <w:rsid w:val="003D1BA0"/>
    <w:rsid w:val="003D23D5"/>
    <w:rsid w:val="003D2533"/>
    <w:rsid w:val="003D295D"/>
    <w:rsid w:val="003D2F1C"/>
    <w:rsid w:val="003D2FE6"/>
    <w:rsid w:val="003D384C"/>
    <w:rsid w:val="003D3C58"/>
    <w:rsid w:val="003D3CD1"/>
    <w:rsid w:val="003D4417"/>
    <w:rsid w:val="003D489A"/>
    <w:rsid w:val="003D4AED"/>
    <w:rsid w:val="003D4EA6"/>
    <w:rsid w:val="003D4FB9"/>
    <w:rsid w:val="003D5944"/>
    <w:rsid w:val="003D5C91"/>
    <w:rsid w:val="003D5D05"/>
    <w:rsid w:val="003D5ECA"/>
    <w:rsid w:val="003D5FB6"/>
    <w:rsid w:val="003D63D1"/>
    <w:rsid w:val="003D66AA"/>
    <w:rsid w:val="003D6CBF"/>
    <w:rsid w:val="003D6F2B"/>
    <w:rsid w:val="003D72CC"/>
    <w:rsid w:val="003D7618"/>
    <w:rsid w:val="003D7BFD"/>
    <w:rsid w:val="003D7D05"/>
    <w:rsid w:val="003D7FA5"/>
    <w:rsid w:val="003E03C3"/>
    <w:rsid w:val="003E064B"/>
    <w:rsid w:val="003E067B"/>
    <w:rsid w:val="003E0E09"/>
    <w:rsid w:val="003E11A4"/>
    <w:rsid w:val="003E1613"/>
    <w:rsid w:val="003E1AD1"/>
    <w:rsid w:val="003E2244"/>
    <w:rsid w:val="003E230A"/>
    <w:rsid w:val="003E236D"/>
    <w:rsid w:val="003E2512"/>
    <w:rsid w:val="003E2CFE"/>
    <w:rsid w:val="003E2E8C"/>
    <w:rsid w:val="003E3009"/>
    <w:rsid w:val="003E308A"/>
    <w:rsid w:val="003E367A"/>
    <w:rsid w:val="003E37A4"/>
    <w:rsid w:val="003E3E23"/>
    <w:rsid w:val="003E4075"/>
    <w:rsid w:val="003E4136"/>
    <w:rsid w:val="003E4338"/>
    <w:rsid w:val="003E4E45"/>
    <w:rsid w:val="003E5E1C"/>
    <w:rsid w:val="003E61CB"/>
    <w:rsid w:val="003E652F"/>
    <w:rsid w:val="003E6E90"/>
    <w:rsid w:val="003E731F"/>
    <w:rsid w:val="003E7AFC"/>
    <w:rsid w:val="003E7C04"/>
    <w:rsid w:val="003E7C95"/>
    <w:rsid w:val="003E7FDA"/>
    <w:rsid w:val="003F01F7"/>
    <w:rsid w:val="003F0570"/>
    <w:rsid w:val="003F0D15"/>
    <w:rsid w:val="003F1283"/>
    <w:rsid w:val="003F13F6"/>
    <w:rsid w:val="003F148F"/>
    <w:rsid w:val="003F174E"/>
    <w:rsid w:val="003F1A53"/>
    <w:rsid w:val="003F1F13"/>
    <w:rsid w:val="003F2454"/>
    <w:rsid w:val="003F29E1"/>
    <w:rsid w:val="003F2DAF"/>
    <w:rsid w:val="003F2ED2"/>
    <w:rsid w:val="003F3772"/>
    <w:rsid w:val="003F3A1B"/>
    <w:rsid w:val="003F3ED2"/>
    <w:rsid w:val="003F40B6"/>
    <w:rsid w:val="003F4627"/>
    <w:rsid w:val="003F4850"/>
    <w:rsid w:val="003F4ABA"/>
    <w:rsid w:val="003F53B6"/>
    <w:rsid w:val="003F54D5"/>
    <w:rsid w:val="003F6169"/>
    <w:rsid w:val="003F6645"/>
    <w:rsid w:val="003F72D7"/>
    <w:rsid w:val="003F747C"/>
    <w:rsid w:val="003F77A6"/>
    <w:rsid w:val="003F77DA"/>
    <w:rsid w:val="003F7B2D"/>
    <w:rsid w:val="003F7C7A"/>
    <w:rsid w:val="003F7F3F"/>
    <w:rsid w:val="0040065E"/>
    <w:rsid w:val="00400BA3"/>
    <w:rsid w:val="00400C08"/>
    <w:rsid w:val="00400C8E"/>
    <w:rsid w:val="00400D40"/>
    <w:rsid w:val="0040144A"/>
    <w:rsid w:val="004014C9"/>
    <w:rsid w:val="00401B46"/>
    <w:rsid w:val="00401D0F"/>
    <w:rsid w:val="00401DDB"/>
    <w:rsid w:val="00402889"/>
    <w:rsid w:val="004028FD"/>
    <w:rsid w:val="00402B5F"/>
    <w:rsid w:val="00402C3D"/>
    <w:rsid w:val="00403087"/>
    <w:rsid w:val="00403A5F"/>
    <w:rsid w:val="00403D81"/>
    <w:rsid w:val="00403EDA"/>
    <w:rsid w:val="00403F44"/>
    <w:rsid w:val="0040409C"/>
    <w:rsid w:val="00404A45"/>
    <w:rsid w:val="00405576"/>
    <w:rsid w:val="004058B8"/>
    <w:rsid w:val="00405B3F"/>
    <w:rsid w:val="00406113"/>
    <w:rsid w:val="004063C4"/>
    <w:rsid w:val="0040647F"/>
    <w:rsid w:val="00406928"/>
    <w:rsid w:val="004072FC"/>
    <w:rsid w:val="004074CB"/>
    <w:rsid w:val="004078F5"/>
    <w:rsid w:val="00407D7D"/>
    <w:rsid w:val="00407EDD"/>
    <w:rsid w:val="0041014C"/>
    <w:rsid w:val="00410247"/>
    <w:rsid w:val="00410B00"/>
    <w:rsid w:val="00410B21"/>
    <w:rsid w:val="00410B24"/>
    <w:rsid w:val="00410E12"/>
    <w:rsid w:val="00410E3B"/>
    <w:rsid w:val="004115C8"/>
    <w:rsid w:val="004118DA"/>
    <w:rsid w:val="0041208E"/>
    <w:rsid w:val="00413975"/>
    <w:rsid w:val="00413B36"/>
    <w:rsid w:val="00413BE9"/>
    <w:rsid w:val="00413E03"/>
    <w:rsid w:val="004143DB"/>
    <w:rsid w:val="00414E73"/>
    <w:rsid w:val="00415330"/>
    <w:rsid w:val="00415367"/>
    <w:rsid w:val="004161C2"/>
    <w:rsid w:val="004170A6"/>
    <w:rsid w:val="004174CB"/>
    <w:rsid w:val="004176BC"/>
    <w:rsid w:val="004176EB"/>
    <w:rsid w:val="004177A1"/>
    <w:rsid w:val="00417CB0"/>
    <w:rsid w:val="00417E9D"/>
    <w:rsid w:val="00417F47"/>
    <w:rsid w:val="00417FB8"/>
    <w:rsid w:val="00420584"/>
    <w:rsid w:val="004207B4"/>
    <w:rsid w:val="00420A61"/>
    <w:rsid w:val="00421048"/>
    <w:rsid w:val="00421449"/>
    <w:rsid w:val="0042164F"/>
    <w:rsid w:val="00421E8E"/>
    <w:rsid w:val="0042203D"/>
    <w:rsid w:val="00422084"/>
    <w:rsid w:val="004220E5"/>
    <w:rsid w:val="00422A93"/>
    <w:rsid w:val="00422BB1"/>
    <w:rsid w:val="00422C9F"/>
    <w:rsid w:val="00422E7D"/>
    <w:rsid w:val="0042314F"/>
    <w:rsid w:val="0042315B"/>
    <w:rsid w:val="00423EA1"/>
    <w:rsid w:val="004247A9"/>
    <w:rsid w:val="00424D21"/>
    <w:rsid w:val="00424F1F"/>
    <w:rsid w:val="00424F3C"/>
    <w:rsid w:val="00425333"/>
    <w:rsid w:val="00425C24"/>
    <w:rsid w:val="0042646A"/>
    <w:rsid w:val="00426BBC"/>
    <w:rsid w:val="00427238"/>
    <w:rsid w:val="004273BF"/>
    <w:rsid w:val="0042760E"/>
    <w:rsid w:val="0042767A"/>
    <w:rsid w:val="00427E91"/>
    <w:rsid w:val="004311FF"/>
    <w:rsid w:val="00431211"/>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2C0"/>
    <w:rsid w:val="00436425"/>
    <w:rsid w:val="004364E6"/>
    <w:rsid w:val="00436B27"/>
    <w:rsid w:val="00436DBE"/>
    <w:rsid w:val="00437069"/>
    <w:rsid w:val="0043712E"/>
    <w:rsid w:val="00437E12"/>
    <w:rsid w:val="004400BC"/>
    <w:rsid w:val="00440B54"/>
    <w:rsid w:val="00440B81"/>
    <w:rsid w:val="00440F39"/>
    <w:rsid w:val="004412E8"/>
    <w:rsid w:val="00441947"/>
    <w:rsid w:val="0044296C"/>
    <w:rsid w:val="00442E85"/>
    <w:rsid w:val="00443331"/>
    <w:rsid w:val="00443561"/>
    <w:rsid w:val="00443591"/>
    <w:rsid w:val="00444859"/>
    <w:rsid w:val="00444A0A"/>
    <w:rsid w:val="00444BA5"/>
    <w:rsid w:val="00444C04"/>
    <w:rsid w:val="0044501E"/>
    <w:rsid w:val="0044580B"/>
    <w:rsid w:val="00445B35"/>
    <w:rsid w:val="00445DFA"/>
    <w:rsid w:val="004462BD"/>
    <w:rsid w:val="004462FA"/>
    <w:rsid w:val="0044692E"/>
    <w:rsid w:val="0044732A"/>
    <w:rsid w:val="0044747E"/>
    <w:rsid w:val="00447CBD"/>
    <w:rsid w:val="00450BC1"/>
    <w:rsid w:val="00450BE7"/>
    <w:rsid w:val="00451103"/>
    <w:rsid w:val="0045165E"/>
    <w:rsid w:val="004519C6"/>
    <w:rsid w:val="00451E6D"/>
    <w:rsid w:val="00451F2C"/>
    <w:rsid w:val="0045203F"/>
    <w:rsid w:val="004520DB"/>
    <w:rsid w:val="004521E8"/>
    <w:rsid w:val="00452550"/>
    <w:rsid w:val="004525A5"/>
    <w:rsid w:val="004526B0"/>
    <w:rsid w:val="00453228"/>
    <w:rsid w:val="004534FB"/>
    <w:rsid w:val="00453DB2"/>
    <w:rsid w:val="00453E81"/>
    <w:rsid w:val="00453F45"/>
    <w:rsid w:val="0045442E"/>
    <w:rsid w:val="00454471"/>
    <w:rsid w:val="00454829"/>
    <w:rsid w:val="00454D4D"/>
    <w:rsid w:val="00454F1D"/>
    <w:rsid w:val="00455817"/>
    <w:rsid w:val="00455982"/>
    <w:rsid w:val="00455AE4"/>
    <w:rsid w:val="004569E8"/>
    <w:rsid w:val="00456BD9"/>
    <w:rsid w:val="00457034"/>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886"/>
    <w:rsid w:val="004638A7"/>
    <w:rsid w:val="00463AF8"/>
    <w:rsid w:val="004644E4"/>
    <w:rsid w:val="00464E03"/>
    <w:rsid w:val="00464F36"/>
    <w:rsid w:val="00464F3A"/>
    <w:rsid w:val="0046507A"/>
    <w:rsid w:val="0046528B"/>
    <w:rsid w:val="0046568B"/>
    <w:rsid w:val="0046569B"/>
    <w:rsid w:val="00466121"/>
    <w:rsid w:val="00466912"/>
    <w:rsid w:val="00466CD1"/>
    <w:rsid w:val="004670C3"/>
    <w:rsid w:val="00467686"/>
    <w:rsid w:val="00467792"/>
    <w:rsid w:val="004679AB"/>
    <w:rsid w:val="004705A6"/>
    <w:rsid w:val="00470B06"/>
    <w:rsid w:val="00471665"/>
    <w:rsid w:val="0047195F"/>
    <w:rsid w:val="00471A9E"/>
    <w:rsid w:val="00471B86"/>
    <w:rsid w:val="00472227"/>
    <w:rsid w:val="00472E0B"/>
    <w:rsid w:val="00472E9C"/>
    <w:rsid w:val="0047312A"/>
    <w:rsid w:val="004732E6"/>
    <w:rsid w:val="00473E2B"/>
    <w:rsid w:val="00473FF9"/>
    <w:rsid w:val="00474927"/>
    <w:rsid w:val="00474E6B"/>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1705"/>
    <w:rsid w:val="00481966"/>
    <w:rsid w:val="00482044"/>
    <w:rsid w:val="00482254"/>
    <w:rsid w:val="004823C6"/>
    <w:rsid w:val="0048252E"/>
    <w:rsid w:val="00482F51"/>
    <w:rsid w:val="00483166"/>
    <w:rsid w:val="0048333B"/>
    <w:rsid w:val="0048365C"/>
    <w:rsid w:val="004837B4"/>
    <w:rsid w:val="00483AAB"/>
    <w:rsid w:val="00483E46"/>
    <w:rsid w:val="00484915"/>
    <w:rsid w:val="00484EEF"/>
    <w:rsid w:val="004853D8"/>
    <w:rsid w:val="0048589F"/>
    <w:rsid w:val="00486552"/>
    <w:rsid w:val="00486844"/>
    <w:rsid w:val="00486AEA"/>
    <w:rsid w:val="00486B59"/>
    <w:rsid w:val="00486DA8"/>
    <w:rsid w:val="00486EEE"/>
    <w:rsid w:val="0048735B"/>
    <w:rsid w:val="004875E6"/>
    <w:rsid w:val="004877B0"/>
    <w:rsid w:val="0048786C"/>
    <w:rsid w:val="00487AD4"/>
    <w:rsid w:val="00487BF3"/>
    <w:rsid w:val="00490275"/>
    <w:rsid w:val="004904BA"/>
    <w:rsid w:val="00490628"/>
    <w:rsid w:val="0049071D"/>
    <w:rsid w:val="0049103F"/>
    <w:rsid w:val="00491532"/>
    <w:rsid w:val="00491F80"/>
    <w:rsid w:val="0049239D"/>
    <w:rsid w:val="004925C9"/>
    <w:rsid w:val="004929E0"/>
    <w:rsid w:val="00492B52"/>
    <w:rsid w:val="00493577"/>
    <w:rsid w:val="00493767"/>
    <w:rsid w:val="00493EB8"/>
    <w:rsid w:val="0049405F"/>
    <w:rsid w:val="004941F1"/>
    <w:rsid w:val="004942A0"/>
    <w:rsid w:val="00494307"/>
    <w:rsid w:val="00494B3B"/>
    <w:rsid w:val="00495178"/>
    <w:rsid w:val="004954A4"/>
    <w:rsid w:val="00495665"/>
    <w:rsid w:val="0049596B"/>
    <w:rsid w:val="0049608C"/>
    <w:rsid w:val="004963FE"/>
    <w:rsid w:val="00496996"/>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E67"/>
    <w:rsid w:val="004A326C"/>
    <w:rsid w:val="004A3371"/>
    <w:rsid w:val="004A3391"/>
    <w:rsid w:val="004A398C"/>
    <w:rsid w:val="004A3AC0"/>
    <w:rsid w:val="004A3C39"/>
    <w:rsid w:val="004A3FAE"/>
    <w:rsid w:val="004A4291"/>
    <w:rsid w:val="004A4728"/>
    <w:rsid w:val="004A4AC3"/>
    <w:rsid w:val="004A4D02"/>
    <w:rsid w:val="004A4F2D"/>
    <w:rsid w:val="004A5AFA"/>
    <w:rsid w:val="004A5B38"/>
    <w:rsid w:val="004B0AF1"/>
    <w:rsid w:val="004B1545"/>
    <w:rsid w:val="004B1768"/>
    <w:rsid w:val="004B17CE"/>
    <w:rsid w:val="004B18CE"/>
    <w:rsid w:val="004B1903"/>
    <w:rsid w:val="004B1A9C"/>
    <w:rsid w:val="004B1B15"/>
    <w:rsid w:val="004B1C6F"/>
    <w:rsid w:val="004B1CB3"/>
    <w:rsid w:val="004B1F96"/>
    <w:rsid w:val="004B21DA"/>
    <w:rsid w:val="004B2241"/>
    <w:rsid w:val="004B25FA"/>
    <w:rsid w:val="004B27D6"/>
    <w:rsid w:val="004B2EBB"/>
    <w:rsid w:val="004B3507"/>
    <w:rsid w:val="004B36DF"/>
    <w:rsid w:val="004B36F4"/>
    <w:rsid w:val="004B3C81"/>
    <w:rsid w:val="004B3CA4"/>
    <w:rsid w:val="004B47F4"/>
    <w:rsid w:val="004B4E4F"/>
    <w:rsid w:val="004B50CC"/>
    <w:rsid w:val="004B5825"/>
    <w:rsid w:val="004B5D8E"/>
    <w:rsid w:val="004B61C8"/>
    <w:rsid w:val="004B622F"/>
    <w:rsid w:val="004B6415"/>
    <w:rsid w:val="004B64FA"/>
    <w:rsid w:val="004B6C14"/>
    <w:rsid w:val="004B758A"/>
    <w:rsid w:val="004B7F9F"/>
    <w:rsid w:val="004C03EA"/>
    <w:rsid w:val="004C0683"/>
    <w:rsid w:val="004C06CE"/>
    <w:rsid w:val="004C099B"/>
    <w:rsid w:val="004C0BAC"/>
    <w:rsid w:val="004C0DB4"/>
    <w:rsid w:val="004C10A2"/>
    <w:rsid w:val="004C13F1"/>
    <w:rsid w:val="004C16F5"/>
    <w:rsid w:val="004C1A4B"/>
    <w:rsid w:val="004C20D0"/>
    <w:rsid w:val="004C24B2"/>
    <w:rsid w:val="004C2E64"/>
    <w:rsid w:val="004C33E8"/>
    <w:rsid w:val="004C34AD"/>
    <w:rsid w:val="004C366F"/>
    <w:rsid w:val="004C3B71"/>
    <w:rsid w:val="004C3DE2"/>
    <w:rsid w:val="004C44DD"/>
    <w:rsid w:val="004C4A96"/>
    <w:rsid w:val="004C4BB6"/>
    <w:rsid w:val="004C4E5F"/>
    <w:rsid w:val="004C51A0"/>
    <w:rsid w:val="004C5875"/>
    <w:rsid w:val="004C5F28"/>
    <w:rsid w:val="004C5FCF"/>
    <w:rsid w:val="004C664B"/>
    <w:rsid w:val="004C66F8"/>
    <w:rsid w:val="004C6736"/>
    <w:rsid w:val="004C68C6"/>
    <w:rsid w:val="004C6997"/>
    <w:rsid w:val="004C6CDB"/>
    <w:rsid w:val="004C723F"/>
    <w:rsid w:val="004C72C2"/>
    <w:rsid w:val="004C750E"/>
    <w:rsid w:val="004C7872"/>
    <w:rsid w:val="004C7933"/>
    <w:rsid w:val="004C7C36"/>
    <w:rsid w:val="004C7D16"/>
    <w:rsid w:val="004D0132"/>
    <w:rsid w:val="004D051C"/>
    <w:rsid w:val="004D080F"/>
    <w:rsid w:val="004D0D87"/>
    <w:rsid w:val="004D138E"/>
    <w:rsid w:val="004D185E"/>
    <w:rsid w:val="004D1EEB"/>
    <w:rsid w:val="004D2556"/>
    <w:rsid w:val="004D25D9"/>
    <w:rsid w:val="004D29F9"/>
    <w:rsid w:val="004D32FF"/>
    <w:rsid w:val="004D367C"/>
    <w:rsid w:val="004D3701"/>
    <w:rsid w:val="004D3753"/>
    <w:rsid w:val="004D4B61"/>
    <w:rsid w:val="004D4CE4"/>
    <w:rsid w:val="004D59A5"/>
    <w:rsid w:val="004D5B84"/>
    <w:rsid w:val="004D606D"/>
    <w:rsid w:val="004D636D"/>
    <w:rsid w:val="004D67CB"/>
    <w:rsid w:val="004D6B20"/>
    <w:rsid w:val="004D6C2F"/>
    <w:rsid w:val="004D71FE"/>
    <w:rsid w:val="004D72CE"/>
    <w:rsid w:val="004D73EF"/>
    <w:rsid w:val="004D7745"/>
    <w:rsid w:val="004D7964"/>
    <w:rsid w:val="004D7A80"/>
    <w:rsid w:val="004D7CA3"/>
    <w:rsid w:val="004E0388"/>
    <w:rsid w:val="004E04C7"/>
    <w:rsid w:val="004E0894"/>
    <w:rsid w:val="004E0C77"/>
    <w:rsid w:val="004E135A"/>
    <w:rsid w:val="004E1AA0"/>
    <w:rsid w:val="004E1C50"/>
    <w:rsid w:val="004E1D36"/>
    <w:rsid w:val="004E20EE"/>
    <w:rsid w:val="004E23BB"/>
    <w:rsid w:val="004E251F"/>
    <w:rsid w:val="004E2B23"/>
    <w:rsid w:val="004E2E72"/>
    <w:rsid w:val="004E2FB9"/>
    <w:rsid w:val="004E3390"/>
    <w:rsid w:val="004E37C8"/>
    <w:rsid w:val="004E416F"/>
    <w:rsid w:val="004E424D"/>
    <w:rsid w:val="004E4439"/>
    <w:rsid w:val="004E4DBF"/>
    <w:rsid w:val="004E5BF9"/>
    <w:rsid w:val="004E5F45"/>
    <w:rsid w:val="004E64DC"/>
    <w:rsid w:val="004E674C"/>
    <w:rsid w:val="004E6F86"/>
    <w:rsid w:val="004E706A"/>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31BD"/>
    <w:rsid w:val="004F378C"/>
    <w:rsid w:val="004F3B34"/>
    <w:rsid w:val="004F3DAC"/>
    <w:rsid w:val="004F3E23"/>
    <w:rsid w:val="004F4722"/>
    <w:rsid w:val="004F4767"/>
    <w:rsid w:val="004F498A"/>
    <w:rsid w:val="004F4D86"/>
    <w:rsid w:val="004F505C"/>
    <w:rsid w:val="004F51B2"/>
    <w:rsid w:val="004F52AA"/>
    <w:rsid w:val="004F59C4"/>
    <w:rsid w:val="004F5D65"/>
    <w:rsid w:val="004F6A63"/>
    <w:rsid w:val="004F705A"/>
    <w:rsid w:val="004F70F8"/>
    <w:rsid w:val="004F7230"/>
    <w:rsid w:val="004F7468"/>
    <w:rsid w:val="004F7D65"/>
    <w:rsid w:val="004F7D7B"/>
    <w:rsid w:val="00500199"/>
    <w:rsid w:val="00501519"/>
    <w:rsid w:val="00501659"/>
    <w:rsid w:val="00501733"/>
    <w:rsid w:val="00501B75"/>
    <w:rsid w:val="00501C39"/>
    <w:rsid w:val="00502203"/>
    <w:rsid w:val="00502549"/>
    <w:rsid w:val="005026D4"/>
    <w:rsid w:val="005027B8"/>
    <w:rsid w:val="00503286"/>
    <w:rsid w:val="00503C6D"/>
    <w:rsid w:val="00503F42"/>
    <w:rsid w:val="0050449C"/>
    <w:rsid w:val="00504D6F"/>
    <w:rsid w:val="00505378"/>
    <w:rsid w:val="00505A66"/>
    <w:rsid w:val="00505C57"/>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101E5"/>
    <w:rsid w:val="00511D75"/>
    <w:rsid w:val="00511FF2"/>
    <w:rsid w:val="005121CE"/>
    <w:rsid w:val="00512232"/>
    <w:rsid w:val="00512CD5"/>
    <w:rsid w:val="005135C0"/>
    <w:rsid w:val="00513B7E"/>
    <w:rsid w:val="005140F7"/>
    <w:rsid w:val="00514326"/>
    <w:rsid w:val="00514597"/>
    <w:rsid w:val="00514F8E"/>
    <w:rsid w:val="005150AB"/>
    <w:rsid w:val="0051520F"/>
    <w:rsid w:val="0051557F"/>
    <w:rsid w:val="005159F9"/>
    <w:rsid w:val="00516164"/>
    <w:rsid w:val="005164CC"/>
    <w:rsid w:val="0051666B"/>
    <w:rsid w:val="00516C90"/>
    <w:rsid w:val="0051769B"/>
    <w:rsid w:val="00517D26"/>
    <w:rsid w:val="0052052F"/>
    <w:rsid w:val="00520571"/>
    <w:rsid w:val="00520FBB"/>
    <w:rsid w:val="005212B6"/>
    <w:rsid w:val="00522C8A"/>
    <w:rsid w:val="00523AF8"/>
    <w:rsid w:val="00523F57"/>
    <w:rsid w:val="00523F8F"/>
    <w:rsid w:val="005242BC"/>
    <w:rsid w:val="005248F8"/>
    <w:rsid w:val="00524E1E"/>
    <w:rsid w:val="00524E25"/>
    <w:rsid w:val="0052565F"/>
    <w:rsid w:val="00525D71"/>
    <w:rsid w:val="00525D92"/>
    <w:rsid w:val="0052654A"/>
    <w:rsid w:val="00526E9C"/>
    <w:rsid w:val="005278F8"/>
    <w:rsid w:val="00527D11"/>
    <w:rsid w:val="005300ED"/>
    <w:rsid w:val="00530374"/>
    <w:rsid w:val="005306B9"/>
    <w:rsid w:val="005314D8"/>
    <w:rsid w:val="00531656"/>
    <w:rsid w:val="00531706"/>
    <w:rsid w:val="00531F66"/>
    <w:rsid w:val="00532121"/>
    <w:rsid w:val="00532350"/>
    <w:rsid w:val="00532429"/>
    <w:rsid w:val="00532850"/>
    <w:rsid w:val="005328A9"/>
    <w:rsid w:val="00532A55"/>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71A"/>
    <w:rsid w:val="005419E2"/>
    <w:rsid w:val="00541B9A"/>
    <w:rsid w:val="005420CF"/>
    <w:rsid w:val="005420D6"/>
    <w:rsid w:val="005423CF"/>
    <w:rsid w:val="00542B75"/>
    <w:rsid w:val="00542C2A"/>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C8E"/>
    <w:rsid w:val="00546CB9"/>
    <w:rsid w:val="00546E83"/>
    <w:rsid w:val="00546ED1"/>
    <w:rsid w:val="005471C3"/>
    <w:rsid w:val="00547725"/>
    <w:rsid w:val="00547886"/>
    <w:rsid w:val="0054795A"/>
    <w:rsid w:val="00550292"/>
    <w:rsid w:val="0055066D"/>
    <w:rsid w:val="005506E5"/>
    <w:rsid w:val="00550B6D"/>
    <w:rsid w:val="00551309"/>
    <w:rsid w:val="00551BDC"/>
    <w:rsid w:val="00551C79"/>
    <w:rsid w:val="00551D80"/>
    <w:rsid w:val="00552426"/>
    <w:rsid w:val="00552604"/>
    <w:rsid w:val="00552DCE"/>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C08"/>
    <w:rsid w:val="0055622C"/>
    <w:rsid w:val="005564BE"/>
    <w:rsid w:val="00556541"/>
    <w:rsid w:val="00556A43"/>
    <w:rsid w:val="00556A63"/>
    <w:rsid w:val="0055727C"/>
    <w:rsid w:val="00557836"/>
    <w:rsid w:val="00557AA4"/>
    <w:rsid w:val="00557FCE"/>
    <w:rsid w:val="0056087F"/>
    <w:rsid w:val="00560D8A"/>
    <w:rsid w:val="0056121A"/>
    <w:rsid w:val="005617BD"/>
    <w:rsid w:val="00561B79"/>
    <w:rsid w:val="00561E1F"/>
    <w:rsid w:val="00562195"/>
    <w:rsid w:val="0056261D"/>
    <w:rsid w:val="005627E1"/>
    <w:rsid w:val="005627E6"/>
    <w:rsid w:val="005627F2"/>
    <w:rsid w:val="00562918"/>
    <w:rsid w:val="00562C78"/>
    <w:rsid w:val="00563269"/>
    <w:rsid w:val="00564169"/>
    <w:rsid w:val="00564369"/>
    <w:rsid w:val="00564643"/>
    <w:rsid w:val="00564772"/>
    <w:rsid w:val="005654CF"/>
    <w:rsid w:val="00566518"/>
    <w:rsid w:val="005669DA"/>
    <w:rsid w:val="00566B0A"/>
    <w:rsid w:val="0056700C"/>
    <w:rsid w:val="00567613"/>
    <w:rsid w:val="00567D48"/>
    <w:rsid w:val="005702D2"/>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F6B"/>
    <w:rsid w:val="00573604"/>
    <w:rsid w:val="00573B3D"/>
    <w:rsid w:val="00573DE2"/>
    <w:rsid w:val="00573F29"/>
    <w:rsid w:val="00574693"/>
    <w:rsid w:val="00574949"/>
    <w:rsid w:val="00574AD1"/>
    <w:rsid w:val="0057501B"/>
    <w:rsid w:val="00575F52"/>
    <w:rsid w:val="00575F8F"/>
    <w:rsid w:val="00575F94"/>
    <w:rsid w:val="005762C9"/>
    <w:rsid w:val="0057666F"/>
    <w:rsid w:val="005767F1"/>
    <w:rsid w:val="00576A92"/>
    <w:rsid w:val="00577417"/>
    <w:rsid w:val="005779BD"/>
    <w:rsid w:val="00577E60"/>
    <w:rsid w:val="00577F36"/>
    <w:rsid w:val="00580009"/>
    <w:rsid w:val="00580850"/>
    <w:rsid w:val="00580912"/>
    <w:rsid w:val="00580D6B"/>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313D"/>
    <w:rsid w:val="005843DF"/>
    <w:rsid w:val="00584640"/>
    <w:rsid w:val="005846E8"/>
    <w:rsid w:val="0058513F"/>
    <w:rsid w:val="00585620"/>
    <w:rsid w:val="005860BC"/>
    <w:rsid w:val="005862AF"/>
    <w:rsid w:val="00586CD8"/>
    <w:rsid w:val="00587129"/>
    <w:rsid w:val="0058724D"/>
    <w:rsid w:val="0058725A"/>
    <w:rsid w:val="005872C8"/>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4948"/>
    <w:rsid w:val="00594ACF"/>
    <w:rsid w:val="005950B2"/>
    <w:rsid w:val="00595154"/>
    <w:rsid w:val="00595296"/>
    <w:rsid w:val="0059551E"/>
    <w:rsid w:val="00595917"/>
    <w:rsid w:val="00595C91"/>
    <w:rsid w:val="0059665C"/>
    <w:rsid w:val="005969F6"/>
    <w:rsid w:val="00596FAA"/>
    <w:rsid w:val="00596FEB"/>
    <w:rsid w:val="005976CA"/>
    <w:rsid w:val="00597A00"/>
    <w:rsid w:val="00597AB3"/>
    <w:rsid w:val="00597DBB"/>
    <w:rsid w:val="005A050E"/>
    <w:rsid w:val="005A0A21"/>
    <w:rsid w:val="005A0A74"/>
    <w:rsid w:val="005A118A"/>
    <w:rsid w:val="005A1897"/>
    <w:rsid w:val="005A252B"/>
    <w:rsid w:val="005A2738"/>
    <w:rsid w:val="005A2898"/>
    <w:rsid w:val="005A3B97"/>
    <w:rsid w:val="005A4017"/>
    <w:rsid w:val="005A45EC"/>
    <w:rsid w:val="005A4A89"/>
    <w:rsid w:val="005A55F6"/>
    <w:rsid w:val="005A57CE"/>
    <w:rsid w:val="005A57D4"/>
    <w:rsid w:val="005A5C31"/>
    <w:rsid w:val="005A5DB4"/>
    <w:rsid w:val="005A600A"/>
    <w:rsid w:val="005A6CA2"/>
    <w:rsid w:val="005A706F"/>
    <w:rsid w:val="005A74D9"/>
    <w:rsid w:val="005A7E88"/>
    <w:rsid w:val="005A7F92"/>
    <w:rsid w:val="005B01F4"/>
    <w:rsid w:val="005B05BE"/>
    <w:rsid w:val="005B0692"/>
    <w:rsid w:val="005B07C7"/>
    <w:rsid w:val="005B104E"/>
    <w:rsid w:val="005B14C2"/>
    <w:rsid w:val="005B1B4F"/>
    <w:rsid w:val="005B1E76"/>
    <w:rsid w:val="005B20C4"/>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B88"/>
    <w:rsid w:val="005B4C25"/>
    <w:rsid w:val="005B4E45"/>
    <w:rsid w:val="005B52D8"/>
    <w:rsid w:val="005B57E9"/>
    <w:rsid w:val="005B583D"/>
    <w:rsid w:val="005B5DAD"/>
    <w:rsid w:val="005B6035"/>
    <w:rsid w:val="005B659A"/>
    <w:rsid w:val="005B65CA"/>
    <w:rsid w:val="005B79C6"/>
    <w:rsid w:val="005C04C0"/>
    <w:rsid w:val="005C07DF"/>
    <w:rsid w:val="005C0912"/>
    <w:rsid w:val="005C1160"/>
    <w:rsid w:val="005C1821"/>
    <w:rsid w:val="005C1912"/>
    <w:rsid w:val="005C1B15"/>
    <w:rsid w:val="005C1B46"/>
    <w:rsid w:val="005C1DE2"/>
    <w:rsid w:val="005C1F7E"/>
    <w:rsid w:val="005C2057"/>
    <w:rsid w:val="005C20A0"/>
    <w:rsid w:val="005C2DD0"/>
    <w:rsid w:val="005C2EF2"/>
    <w:rsid w:val="005C311F"/>
    <w:rsid w:val="005C31EC"/>
    <w:rsid w:val="005C3234"/>
    <w:rsid w:val="005C34D5"/>
    <w:rsid w:val="005C3AE2"/>
    <w:rsid w:val="005C3DA9"/>
    <w:rsid w:val="005C4F09"/>
    <w:rsid w:val="005C511C"/>
    <w:rsid w:val="005C523E"/>
    <w:rsid w:val="005C5258"/>
    <w:rsid w:val="005C57F7"/>
    <w:rsid w:val="005C63C2"/>
    <w:rsid w:val="005C64B4"/>
    <w:rsid w:val="005C6589"/>
    <w:rsid w:val="005C671A"/>
    <w:rsid w:val="005C694E"/>
    <w:rsid w:val="005C7159"/>
    <w:rsid w:val="005C76FD"/>
    <w:rsid w:val="005C7A6D"/>
    <w:rsid w:val="005C7DC3"/>
    <w:rsid w:val="005D027B"/>
    <w:rsid w:val="005D09FF"/>
    <w:rsid w:val="005D0C0B"/>
    <w:rsid w:val="005D0DAF"/>
    <w:rsid w:val="005D0E2B"/>
    <w:rsid w:val="005D13FE"/>
    <w:rsid w:val="005D14A4"/>
    <w:rsid w:val="005D1A50"/>
    <w:rsid w:val="005D1D83"/>
    <w:rsid w:val="005D2B25"/>
    <w:rsid w:val="005D2D12"/>
    <w:rsid w:val="005D2E2B"/>
    <w:rsid w:val="005D3633"/>
    <w:rsid w:val="005D3D10"/>
    <w:rsid w:val="005D4BA6"/>
    <w:rsid w:val="005D5A3A"/>
    <w:rsid w:val="005D63D9"/>
    <w:rsid w:val="005D65C7"/>
    <w:rsid w:val="005D6947"/>
    <w:rsid w:val="005D6BA6"/>
    <w:rsid w:val="005D6E2B"/>
    <w:rsid w:val="005D71BB"/>
    <w:rsid w:val="005D7565"/>
    <w:rsid w:val="005D7D0E"/>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83"/>
    <w:rsid w:val="005E2961"/>
    <w:rsid w:val="005E2FF7"/>
    <w:rsid w:val="005E30A9"/>
    <w:rsid w:val="005E34F0"/>
    <w:rsid w:val="005E35A9"/>
    <w:rsid w:val="005E3769"/>
    <w:rsid w:val="005E3B68"/>
    <w:rsid w:val="005E4148"/>
    <w:rsid w:val="005E4455"/>
    <w:rsid w:val="005E4538"/>
    <w:rsid w:val="005E4674"/>
    <w:rsid w:val="005E4AF5"/>
    <w:rsid w:val="005E4F30"/>
    <w:rsid w:val="005E511D"/>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117A"/>
    <w:rsid w:val="005F156A"/>
    <w:rsid w:val="005F1AE6"/>
    <w:rsid w:val="005F1BE8"/>
    <w:rsid w:val="005F1C1F"/>
    <w:rsid w:val="005F20C7"/>
    <w:rsid w:val="005F267F"/>
    <w:rsid w:val="005F29BA"/>
    <w:rsid w:val="005F2ABB"/>
    <w:rsid w:val="005F3375"/>
    <w:rsid w:val="005F354A"/>
    <w:rsid w:val="005F3FBF"/>
    <w:rsid w:val="005F405A"/>
    <w:rsid w:val="005F4391"/>
    <w:rsid w:val="005F570C"/>
    <w:rsid w:val="005F5922"/>
    <w:rsid w:val="005F5BD0"/>
    <w:rsid w:val="005F725D"/>
    <w:rsid w:val="005F74BD"/>
    <w:rsid w:val="005F7D2F"/>
    <w:rsid w:val="006003A9"/>
    <w:rsid w:val="006003EE"/>
    <w:rsid w:val="00600E8E"/>
    <w:rsid w:val="0060145D"/>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C62"/>
    <w:rsid w:val="00604D61"/>
    <w:rsid w:val="00604EA9"/>
    <w:rsid w:val="00605279"/>
    <w:rsid w:val="0060529E"/>
    <w:rsid w:val="00605384"/>
    <w:rsid w:val="00605829"/>
    <w:rsid w:val="006059CE"/>
    <w:rsid w:val="00605BA8"/>
    <w:rsid w:val="0060601A"/>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075"/>
    <w:rsid w:val="006122E2"/>
    <w:rsid w:val="006125AA"/>
    <w:rsid w:val="00612638"/>
    <w:rsid w:val="0061367E"/>
    <w:rsid w:val="00613821"/>
    <w:rsid w:val="00613E9D"/>
    <w:rsid w:val="0061423C"/>
    <w:rsid w:val="0061427C"/>
    <w:rsid w:val="0061444C"/>
    <w:rsid w:val="006147F4"/>
    <w:rsid w:val="00614D83"/>
    <w:rsid w:val="00615053"/>
    <w:rsid w:val="006150FD"/>
    <w:rsid w:val="00615136"/>
    <w:rsid w:val="00615427"/>
    <w:rsid w:val="006154F0"/>
    <w:rsid w:val="006155C4"/>
    <w:rsid w:val="00615DED"/>
    <w:rsid w:val="00615FAB"/>
    <w:rsid w:val="00616105"/>
    <w:rsid w:val="006161F8"/>
    <w:rsid w:val="006169BB"/>
    <w:rsid w:val="00616B50"/>
    <w:rsid w:val="00616F11"/>
    <w:rsid w:val="006177F0"/>
    <w:rsid w:val="0062005F"/>
    <w:rsid w:val="00620165"/>
    <w:rsid w:val="006201DC"/>
    <w:rsid w:val="0062039B"/>
    <w:rsid w:val="00620985"/>
    <w:rsid w:val="00620BD5"/>
    <w:rsid w:val="006211AA"/>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D3D"/>
    <w:rsid w:val="00625DB6"/>
    <w:rsid w:val="00626280"/>
    <w:rsid w:val="00626CAC"/>
    <w:rsid w:val="006276ED"/>
    <w:rsid w:val="00627AD4"/>
    <w:rsid w:val="00630F33"/>
    <w:rsid w:val="006312A4"/>
    <w:rsid w:val="006312F8"/>
    <w:rsid w:val="006313C9"/>
    <w:rsid w:val="006317D2"/>
    <w:rsid w:val="00631C0F"/>
    <w:rsid w:val="0063210D"/>
    <w:rsid w:val="0063261C"/>
    <w:rsid w:val="006326BD"/>
    <w:rsid w:val="00632B09"/>
    <w:rsid w:val="006337EA"/>
    <w:rsid w:val="00634871"/>
    <w:rsid w:val="006348ED"/>
    <w:rsid w:val="00634DF1"/>
    <w:rsid w:val="006355E6"/>
    <w:rsid w:val="0063593A"/>
    <w:rsid w:val="00635EFB"/>
    <w:rsid w:val="006366F8"/>
    <w:rsid w:val="00636A18"/>
    <w:rsid w:val="00636A48"/>
    <w:rsid w:val="00636C14"/>
    <w:rsid w:val="00636C52"/>
    <w:rsid w:val="0063771E"/>
    <w:rsid w:val="006401D2"/>
    <w:rsid w:val="0064038A"/>
    <w:rsid w:val="006406A6"/>
    <w:rsid w:val="006409F7"/>
    <w:rsid w:val="00640A5A"/>
    <w:rsid w:val="00640BE3"/>
    <w:rsid w:val="00640C80"/>
    <w:rsid w:val="00640E6C"/>
    <w:rsid w:val="00641820"/>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7B3"/>
    <w:rsid w:val="00644A9F"/>
    <w:rsid w:val="00646037"/>
    <w:rsid w:val="0064660F"/>
    <w:rsid w:val="00646BA0"/>
    <w:rsid w:val="00646E09"/>
    <w:rsid w:val="00646F54"/>
    <w:rsid w:val="006476B0"/>
    <w:rsid w:val="00647DF9"/>
    <w:rsid w:val="0065002D"/>
    <w:rsid w:val="0065014C"/>
    <w:rsid w:val="00650254"/>
    <w:rsid w:val="006502BB"/>
    <w:rsid w:val="0065159E"/>
    <w:rsid w:val="006515EF"/>
    <w:rsid w:val="00651FCE"/>
    <w:rsid w:val="0065219E"/>
    <w:rsid w:val="00652202"/>
    <w:rsid w:val="0065227F"/>
    <w:rsid w:val="0065234B"/>
    <w:rsid w:val="006530E2"/>
    <w:rsid w:val="006535DE"/>
    <w:rsid w:val="006538F2"/>
    <w:rsid w:val="006542B9"/>
    <w:rsid w:val="0065453F"/>
    <w:rsid w:val="00654758"/>
    <w:rsid w:val="00656256"/>
    <w:rsid w:val="006563FC"/>
    <w:rsid w:val="00656422"/>
    <w:rsid w:val="00656777"/>
    <w:rsid w:val="00656796"/>
    <w:rsid w:val="006569AF"/>
    <w:rsid w:val="00656D11"/>
    <w:rsid w:val="00656EAE"/>
    <w:rsid w:val="00656F61"/>
    <w:rsid w:val="00657269"/>
    <w:rsid w:val="00657344"/>
    <w:rsid w:val="00657AE2"/>
    <w:rsid w:val="00660186"/>
    <w:rsid w:val="006602CF"/>
    <w:rsid w:val="00660FB0"/>
    <w:rsid w:val="00661356"/>
    <w:rsid w:val="00661FA9"/>
    <w:rsid w:val="0066228C"/>
    <w:rsid w:val="006622CF"/>
    <w:rsid w:val="00662399"/>
    <w:rsid w:val="006628D0"/>
    <w:rsid w:val="0066292F"/>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6CB8"/>
    <w:rsid w:val="0066768F"/>
    <w:rsid w:val="00667BEA"/>
    <w:rsid w:val="006701F6"/>
    <w:rsid w:val="00670532"/>
    <w:rsid w:val="00670AA7"/>
    <w:rsid w:val="00670EFB"/>
    <w:rsid w:val="00671380"/>
    <w:rsid w:val="006713F9"/>
    <w:rsid w:val="006715DC"/>
    <w:rsid w:val="006715FF"/>
    <w:rsid w:val="00671C24"/>
    <w:rsid w:val="006720A4"/>
    <w:rsid w:val="00672F3E"/>
    <w:rsid w:val="00672FF4"/>
    <w:rsid w:val="00673BF2"/>
    <w:rsid w:val="00673C58"/>
    <w:rsid w:val="0067494B"/>
    <w:rsid w:val="00674DB0"/>
    <w:rsid w:val="00675296"/>
    <w:rsid w:val="006758C3"/>
    <w:rsid w:val="006761BE"/>
    <w:rsid w:val="006766B8"/>
    <w:rsid w:val="00677143"/>
    <w:rsid w:val="0067717D"/>
    <w:rsid w:val="006807E1"/>
    <w:rsid w:val="006809A0"/>
    <w:rsid w:val="00680C81"/>
    <w:rsid w:val="00680C9A"/>
    <w:rsid w:val="00680DE4"/>
    <w:rsid w:val="0068116A"/>
    <w:rsid w:val="00681353"/>
    <w:rsid w:val="00681663"/>
    <w:rsid w:val="006819C2"/>
    <w:rsid w:val="00681EF3"/>
    <w:rsid w:val="006823D9"/>
    <w:rsid w:val="00682434"/>
    <w:rsid w:val="00682741"/>
    <w:rsid w:val="006827CF"/>
    <w:rsid w:val="00683367"/>
    <w:rsid w:val="00683B8F"/>
    <w:rsid w:val="006841B1"/>
    <w:rsid w:val="006841F4"/>
    <w:rsid w:val="0068436A"/>
    <w:rsid w:val="0068454F"/>
    <w:rsid w:val="00684A55"/>
    <w:rsid w:val="00684E30"/>
    <w:rsid w:val="0068523F"/>
    <w:rsid w:val="006855A0"/>
    <w:rsid w:val="00685BE5"/>
    <w:rsid w:val="006861C4"/>
    <w:rsid w:val="00686494"/>
    <w:rsid w:val="006864D8"/>
    <w:rsid w:val="00686525"/>
    <w:rsid w:val="00686C10"/>
    <w:rsid w:val="00686C23"/>
    <w:rsid w:val="00686EE5"/>
    <w:rsid w:val="00687033"/>
    <w:rsid w:val="0068762F"/>
    <w:rsid w:val="00687774"/>
    <w:rsid w:val="00687D28"/>
    <w:rsid w:val="00687EC6"/>
    <w:rsid w:val="00690AC8"/>
    <w:rsid w:val="00690CCF"/>
    <w:rsid w:val="00690E24"/>
    <w:rsid w:val="00691626"/>
    <w:rsid w:val="0069167D"/>
    <w:rsid w:val="00692A7E"/>
    <w:rsid w:val="00692F2B"/>
    <w:rsid w:val="00693053"/>
    <w:rsid w:val="00693166"/>
    <w:rsid w:val="006936CD"/>
    <w:rsid w:val="0069391C"/>
    <w:rsid w:val="00693EA8"/>
    <w:rsid w:val="00694188"/>
    <w:rsid w:val="00694430"/>
    <w:rsid w:val="00694731"/>
    <w:rsid w:val="0069493D"/>
    <w:rsid w:val="00694C13"/>
    <w:rsid w:val="00694FF9"/>
    <w:rsid w:val="0069620B"/>
    <w:rsid w:val="00696363"/>
    <w:rsid w:val="0069659F"/>
    <w:rsid w:val="00696801"/>
    <w:rsid w:val="00696F04"/>
    <w:rsid w:val="0069709C"/>
    <w:rsid w:val="0069758F"/>
    <w:rsid w:val="0069767A"/>
    <w:rsid w:val="006978DB"/>
    <w:rsid w:val="00697989"/>
    <w:rsid w:val="006979EF"/>
    <w:rsid w:val="006A049D"/>
    <w:rsid w:val="006A0623"/>
    <w:rsid w:val="006A0DCE"/>
    <w:rsid w:val="006A12AE"/>
    <w:rsid w:val="006A12E9"/>
    <w:rsid w:val="006A1BC6"/>
    <w:rsid w:val="006A272F"/>
    <w:rsid w:val="006A2842"/>
    <w:rsid w:val="006A2855"/>
    <w:rsid w:val="006A2B81"/>
    <w:rsid w:val="006A32FB"/>
    <w:rsid w:val="006A393F"/>
    <w:rsid w:val="006A4443"/>
    <w:rsid w:val="006A4976"/>
    <w:rsid w:val="006A4B14"/>
    <w:rsid w:val="006A54EF"/>
    <w:rsid w:val="006A58A2"/>
    <w:rsid w:val="006A5A39"/>
    <w:rsid w:val="006A5C7F"/>
    <w:rsid w:val="006A5F5C"/>
    <w:rsid w:val="006A6263"/>
    <w:rsid w:val="006A6484"/>
    <w:rsid w:val="006A652E"/>
    <w:rsid w:val="006A67D8"/>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5F1"/>
    <w:rsid w:val="006B4346"/>
    <w:rsid w:val="006B4A1E"/>
    <w:rsid w:val="006B4F5C"/>
    <w:rsid w:val="006B5062"/>
    <w:rsid w:val="006B50A3"/>
    <w:rsid w:val="006B5725"/>
    <w:rsid w:val="006B6BDE"/>
    <w:rsid w:val="006B6CBE"/>
    <w:rsid w:val="006B71E4"/>
    <w:rsid w:val="006B721B"/>
    <w:rsid w:val="006B721D"/>
    <w:rsid w:val="006B7256"/>
    <w:rsid w:val="006C00B5"/>
    <w:rsid w:val="006C04B0"/>
    <w:rsid w:val="006C062E"/>
    <w:rsid w:val="006C0AD7"/>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6633"/>
    <w:rsid w:val="006C75FA"/>
    <w:rsid w:val="006C7FAC"/>
    <w:rsid w:val="006D002D"/>
    <w:rsid w:val="006D040A"/>
    <w:rsid w:val="006D0421"/>
    <w:rsid w:val="006D047B"/>
    <w:rsid w:val="006D05BF"/>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3F3C"/>
    <w:rsid w:val="006E404F"/>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F065D"/>
    <w:rsid w:val="006F0B1D"/>
    <w:rsid w:val="006F0C10"/>
    <w:rsid w:val="006F14B1"/>
    <w:rsid w:val="006F290B"/>
    <w:rsid w:val="006F29B4"/>
    <w:rsid w:val="006F350F"/>
    <w:rsid w:val="006F36F0"/>
    <w:rsid w:val="006F3C48"/>
    <w:rsid w:val="006F46FC"/>
    <w:rsid w:val="006F533D"/>
    <w:rsid w:val="006F6D3E"/>
    <w:rsid w:val="006F6DDA"/>
    <w:rsid w:val="006F6FFA"/>
    <w:rsid w:val="006F7041"/>
    <w:rsid w:val="006F726F"/>
    <w:rsid w:val="006F77A9"/>
    <w:rsid w:val="006F7BBD"/>
    <w:rsid w:val="0070068B"/>
    <w:rsid w:val="00700990"/>
    <w:rsid w:val="00700AB3"/>
    <w:rsid w:val="00700CF4"/>
    <w:rsid w:val="00701179"/>
    <w:rsid w:val="007016BE"/>
    <w:rsid w:val="00701816"/>
    <w:rsid w:val="00702038"/>
    <w:rsid w:val="007025A3"/>
    <w:rsid w:val="00702A5C"/>
    <w:rsid w:val="007030B9"/>
    <w:rsid w:val="00703181"/>
    <w:rsid w:val="007034E5"/>
    <w:rsid w:val="00703505"/>
    <w:rsid w:val="00703713"/>
    <w:rsid w:val="00703B08"/>
    <w:rsid w:val="00704001"/>
    <w:rsid w:val="007042E7"/>
    <w:rsid w:val="007044EC"/>
    <w:rsid w:val="00704571"/>
    <w:rsid w:val="007048F0"/>
    <w:rsid w:val="00705209"/>
    <w:rsid w:val="00705362"/>
    <w:rsid w:val="00705793"/>
    <w:rsid w:val="0070604E"/>
    <w:rsid w:val="00706227"/>
    <w:rsid w:val="00706DF0"/>
    <w:rsid w:val="00706F63"/>
    <w:rsid w:val="0070718C"/>
    <w:rsid w:val="00707670"/>
    <w:rsid w:val="00707E44"/>
    <w:rsid w:val="0071016B"/>
    <w:rsid w:val="00710339"/>
    <w:rsid w:val="00710630"/>
    <w:rsid w:val="00710C71"/>
    <w:rsid w:val="00710F4A"/>
    <w:rsid w:val="00711526"/>
    <w:rsid w:val="0071165C"/>
    <w:rsid w:val="00711CAD"/>
    <w:rsid w:val="0071201B"/>
    <w:rsid w:val="007128F7"/>
    <w:rsid w:val="0071320C"/>
    <w:rsid w:val="0071356F"/>
    <w:rsid w:val="00713BCB"/>
    <w:rsid w:val="00713DC8"/>
    <w:rsid w:val="00714166"/>
    <w:rsid w:val="007153F0"/>
    <w:rsid w:val="007154CF"/>
    <w:rsid w:val="007159A1"/>
    <w:rsid w:val="00716550"/>
    <w:rsid w:val="007167FF"/>
    <w:rsid w:val="00716812"/>
    <w:rsid w:val="00716B78"/>
    <w:rsid w:val="00716C0F"/>
    <w:rsid w:val="007171DB"/>
    <w:rsid w:val="00717651"/>
    <w:rsid w:val="0071796A"/>
    <w:rsid w:val="00717A8D"/>
    <w:rsid w:val="00717BF6"/>
    <w:rsid w:val="00717C21"/>
    <w:rsid w:val="00717F9F"/>
    <w:rsid w:val="00720493"/>
    <w:rsid w:val="007209F2"/>
    <w:rsid w:val="00720B9E"/>
    <w:rsid w:val="0072128E"/>
    <w:rsid w:val="007217CB"/>
    <w:rsid w:val="00721887"/>
    <w:rsid w:val="00721962"/>
    <w:rsid w:val="00721CC5"/>
    <w:rsid w:val="00721D7F"/>
    <w:rsid w:val="00721DE0"/>
    <w:rsid w:val="007224ED"/>
    <w:rsid w:val="00722FBB"/>
    <w:rsid w:val="00722FD8"/>
    <w:rsid w:val="0072366C"/>
    <w:rsid w:val="00723865"/>
    <w:rsid w:val="00723B9D"/>
    <w:rsid w:val="00724291"/>
    <w:rsid w:val="007247A1"/>
    <w:rsid w:val="00724D0C"/>
    <w:rsid w:val="00725190"/>
    <w:rsid w:val="0072590A"/>
    <w:rsid w:val="00725996"/>
    <w:rsid w:val="00725BAC"/>
    <w:rsid w:val="00726886"/>
    <w:rsid w:val="0072724E"/>
    <w:rsid w:val="00727381"/>
    <w:rsid w:val="00727566"/>
    <w:rsid w:val="00727924"/>
    <w:rsid w:val="00730896"/>
    <w:rsid w:val="00731044"/>
    <w:rsid w:val="007310CE"/>
    <w:rsid w:val="007314BA"/>
    <w:rsid w:val="007319B3"/>
    <w:rsid w:val="00732303"/>
    <w:rsid w:val="00732A2D"/>
    <w:rsid w:val="00732D06"/>
    <w:rsid w:val="0073377D"/>
    <w:rsid w:val="00733D78"/>
    <w:rsid w:val="00733E70"/>
    <w:rsid w:val="00733FFC"/>
    <w:rsid w:val="0073438B"/>
    <w:rsid w:val="007343F1"/>
    <w:rsid w:val="00734428"/>
    <w:rsid w:val="007347C7"/>
    <w:rsid w:val="00734864"/>
    <w:rsid w:val="0073490E"/>
    <w:rsid w:val="00734F75"/>
    <w:rsid w:val="00734FE8"/>
    <w:rsid w:val="0073536C"/>
    <w:rsid w:val="007357EC"/>
    <w:rsid w:val="007359A2"/>
    <w:rsid w:val="007359BD"/>
    <w:rsid w:val="007360A9"/>
    <w:rsid w:val="0073699B"/>
    <w:rsid w:val="0073710F"/>
    <w:rsid w:val="00737362"/>
    <w:rsid w:val="00737707"/>
    <w:rsid w:val="00737753"/>
    <w:rsid w:val="00737882"/>
    <w:rsid w:val="00737D49"/>
    <w:rsid w:val="007409AA"/>
    <w:rsid w:val="00740E1B"/>
    <w:rsid w:val="00740EE3"/>
    <w:rsid w:val="007410D2"/>
    <w:rsid w:val="007411F4"/>
    <w:rsid w:val="007413BF"/>
    <w:rsid w:val="00741968"/>
    <w:rsid w:val="00741BDD"/>
    <w:rsid w:val="007423E9"/>
    <w:rsid w:val="00742530"/>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7B0"/>
    <w:rsid w:val="00746A2F"/>
    <w:rsid w:val="00746B1E"/>
    <w:rsid w:val="007472EF"/>
    <w:rsid w:val="00747669"/>
    <w:rsid w:val="0074771E"/>
    <w:rsid w:val="007478AF"/>
    <w:rsid w:val="00747A9A"/>
    <w:rsid w:val="00747AFE"/>
    <w:rsid w:val="00751097"/>
    <w:rsid w:val="007519F6"/>
    <w:rsid w:val="00751E1F"/>
    <w:rsid w:val="0075296E"/>
    <w:rsid w:val="00752C51"/>
    <w:rsid w:val="00752F33"/>
    <w:rsid w:val="0075319C"/>
    <w:rsid w:val="007531A5"/>
    <w:rsid w:val="007535E3"/>
    <w:rsid w:val="00753FCB"/>
    <w:rsid w:val="007542B1"/>
    <w:rsid w:val="007545D7"/>
    <w:rsid w:val="00754A0F"/>
    <w:rsid w:val="007550FE"/>
    <w:rsid w:val="00755EE8"/>
    <w:rsid w:val="0075603B"/>
    <w:rsid w:val="00756609"/>
    <w:rsid w:val="007566A7"/>
    <w:rsid w:val="007567D2"/>
    <w:rsid w:val="00756E30"/>
    <w:rsid w:val="0075707E"/>
    <w:rsid w:val="00757941"/>
    <w:rsid w:val="0076005C"/>
    <w:rsid w:val="007606E7"/>
    <w:rsid w:val="007606EC"/>
    <w:rsid w:val="00760C28"/>
    <w:rsid w:val="007615C0"/>
    <w:rsid w:val="0076181E"/>
    <w:rsid w:val="00761948"/>
    <w:rsid w:val="00761F21"/>
    <w:rsid w:val="00762FCA"/>
    <w:rsid w:val="007639A5"/>
    <w:rsid w:val="00763DE8"/>
    <w:rsid w:val="00763EE9"/>
    <w:rsid w:val="00764375"/>
    <w:rsid w:val="007653BF"/>
    <w:rsid w:val="00765630"/>
    <w:rsid w:val="00765919"/>
    <w:rsid w:val="00765CA3"/>
    <w:rsid w:val="007661BB"/>
    <w:rsid w:val="0076653E"/>
    <w:rsid w:val="00766647"/>
    <w:rsid w:val="0076786D"/>
    <w:rsid w:val="007700F8"/>
    <w:rsid w:val="007701D4"/>
    <w:rsid w:val="00770685"/>
    <w:rsid w:val="0077094D"/>
    <w:rsid w:val="00770E63"/>
    <w:rsid w:val="00771D61"/>
    <w:rsid w:val="00771EC7"/>
    <w:rsid w:val="00772964"/>
    <w:rsid w:val="00772D0D"/>
    <w:rsid w:val="0077319D"/>
    <w:rsid w:val="0077372B"/>
    <w:rsid w:val="00773C06"/>
    <w:rsid w:val="00774311"/>
    <w:rsid w:val="00774469"/>
    <w:rsid w:val="007744B2"/>
    <w:rsid w:val="00774752"/>
    <w:rsid w:val="00774913"/>
    <w:rsid w:val="00774DD2"/>
    <w:rsid w:val="00775291"/>
    <w:rsid w:val="0077594E"/>
    <w:rsid w:val="00775FB9"/>
    <w:rsid w:val="00776268"/>
    <w:rsid w:val="00776DD3"/>
    <w:rsid w:val="00776E9E"/>
    <w:rsid w:val="00777495"/>
    <w:rsid w:val="00777C2C"/>
    <w:rsid w:val="00777F38"/>
    <w:rsid w:val="0078016F"/>
    <w:rsid w:val="007804B1"/>
    <w:rsid w:val="007805EC"/>
    <w:rsid w:val="007807E9"/>
    <w:rsid w:val="007807EA"/>
    <w:rsid w:val="007808A4"/>
    <w:rsid w:val="00780928"/>
    <w:rsid w:val="00780B0E"/>
    <w:rsid w:val="00781689"/>
    <w:rsid w:val="00781F85"/>
    <w:rsid w:val="00782394"/>
    <w:rsid w:val="00782848"/>
    <w:rsid w:val="007829B1"/>
    <w:rsid w:val="00782C5A"/>
    <w:rsid w:val="00782D28"/>
    <w:rsid w:val="007834C1"/>
    <w:rsid w:val="00783873"/>
    <w:rsid w:val="00783F1A"/>
    <w:rsid w:val="007847D1"/>
    <w:rsid w:val="00784924"/>
    <w:rsid w:val="00785B0C"/>
    <w:rsid w:val="00785D82"/>
    <w:rsid w:val="00785DE4"/>
    <w:rsid w:val="0078647B"/>
    <w:rsid w:val="00786627"/>
    <w:rsid w:val="007866B1"/>
    <w:rsid w:val="0078695B"/>
    <w:rsid w:val="00786ED4"/>
    <w:rsid w:val="0078716F"/>
    <w:rsid w:val="00787256"/>
    <w:rsid w:val="007873C8"/>
    <w:rsid w:val="007878EA"/>
    <w:rsid w:val="0078793D"/>
    <w:rsid w:val="00787F80"/>
    <w:rsid w:val="00790F50"/>
    <w:rsid w:val="00791374"/>
    <w:rsid w:val="0079263D"/>
    <w:rsid w:val="00792712"/>
    <w:rsid w:val="007929C5"/>
    <w:rsid w:val="00792B66"/>
    <w:rsid w:val="0079301E"/>
    <w:rsid w:val="0079352C"/>
    <w:rsid w:val="007937E7"/>
    <w:rsid w:val="00793B34"/>
    <w:rsid w:val="00793B84"/>
    <w:rsid w:val="00793CBC"/>
    <w:rsid w:val="00793D87"/>
    <w:rsid w:val="00794795"/>
    <w:rsid w:val="007949E6"/>
    <w:rsid w:val="00794CC2"/>
    <w:rsid w:val="00794D98"/>
    <w:rsid w:val="00794F29"/>
    <w:rsid w:val="007954BD"/>
    <w:rsid w:val="0079563E"/>
    <w:rsid w:val="00795767"/>
    <w:rsid w:val="00795A2A"/>
    <w:rsid w:val="00795E7E"/>
    <w:rsid w:val="007964B5"/>
    <w:rsid w:val="00796A67"/>
    <w:rsid w:val="007972BC"/>
    <w:rsid w:val="007972FB"/>
    <w:rsid w:val="007977AD"/>
    <w:rsid w:val="007978FC"/>
    <w:rsid w:val="00797DEC"/>
    <w:rsid w:val="007A02BC"/>
    <w:rsid w:val="007A099F"/>
    <w:rsid w:val="007A0ADA"/>
    <w:rsid w:val="007A0D27"/>
    <w:rsid w:val="007A0F0F"/>
    <w:rsid w:val="007A16EB"/>
    <w:rsid w:val="007A17E2"/>
    <w:rsid w:val="007A1B78"/>
    <w:rsid w:val="007A26C4"/>
    <w:rsid w:val="007A2742"/>
    <w:rsid w:val="007A2790"/>
    <w:rsid w:val="007A2A9C"/>
    <w:rsid w:val="007A2F96"/>
    <w:rsid w:val="007A33C4"/>
    <w:rsid w:val="007A4096"/>
    <w:rsid w:val="007A42DA"/>
    <w:rsid w:val="007A46DC"/>
    <w:rsid w:val="007A49D9"/>
    <w:rsid w:val="007A5620"/>
    <w:rsid w:val="007A595E"/>
    <w:rsid w:val="007A5F49"/>
    <w:rsid w:val="007A5F96"/>
    <w:rsid w:val="007A7605"/>
    <w:rsid w:val="007A79B4"/>
    <w:rsid w:val="007A7E4C"/>
    <w:rsid w:val="007B01E7"/>
    <w:rsid w:val="007B0810"/>
    <w:rsid w:val="007B0DC2"/>
    <w:rsid w:val="007B1021"/>
    <w:rsid w:val="007B104F"/>
    <w:rsid w:val="007B120B"/>
    <w:rsid w:val="007B1418"/>
    <w:rsid w:val="007B1C29"/>
    <w:rsid w:val="007B2177"/>
    <w:rsid w:val="007B23E6"/>
    <w:rsid w:val="007B25A2"/>
    <w:rsid w:val="007B2FF1"/>
    <w:rsid w:val="007B3347"/>
    <w:rsid w:val="007B3503"/>
    <w:rsid w:val="007B3584"/>
    <w:rsid w:val="007B3BDC"/>
    <w:rsid w:val="007B3E48"/>
    <w:rsid w:val="007B3F86"/>
    <w:rsid w:val="007B41BE"/>
    <w:rsid w:val="007B4745"/>
    <w:rsid w:val="007B477A"/>
    <w:rsid w:val="007B482A"/>
    <w:rsid w:val="007B4D65"/>
    <w:rsid w:val="007B4F7F"/>
    <w:rsid w:val="007B52BB"/>
    <w:rsid w:val="007B56E1"/>
    <w:rsid w:val="007B5C49"/>
    <w:rsid w:val="007B71D9"/>
    <w:rsid w:val="007B7BB1"/>
    <w:rsid w:val="007B7E03"/>
    <w:rsid w:val="007C0B47"/>
    <w:rsid w:val="007C107C"/>
    <w:rsid w:val="007C1229"/>
    <w:rsid w:val="007C136F"/>
    <w:rsid w:val="007C17AB"/>
    <w:rsid w:val="007C1DFF"/>
    <w:rsid w:val="007C1E1D"/>
    <w:rsid w:val="007C2145"/>
    <w:rsid w:val="007C21A1"/>
    <w:rsid w:val="007C2349"/>
    <w:rsid w:val="007C27BF"/>
    <w:rsid w:val="007C2A41"/>
    <w:rsid w:val="007C2AE7"/>
    <w:rsid w:val="007C33A0"/>
    <w:rsid w:val="007C377C"/>
    <w:rsid w:val="007C378F"/>
    <w:rsid w:val="007C3815"/>
    <w:rsid w:val="007C3849"/>
    <w:rsid w:val="007C3B7F"/>
    <w:rsid w:val="007C3F35"/>
    <w:rsid w:val="007C4A9F"/>
    <w:rsid w:val="007C4E9B"/>
    <w:rsid w:val="007C5A9A"/>
    <w:rsid w:val="007C5B20"/>
    <w:rsid w:val="007C65FA"/>
    <w:rsid w:val="007C685F"/>
    <w:rsid w:val="007C7513"/>
    <w:rsid w:val="007C775D"/>
    <w:rsid w:val="007C7A9E"/>
    <w:rsid w:val="007C7F59"/>
    <w:rsid w:val="007D069C"/>
    <w:rsid w:val="007D090A"/>
    <w:rsid w:val="007D0F10"/>
    <w:rsid w:val="007D186C"/>
    <w:rsid w:val="007D19F4"/>
    <w:rsid w:val="007D1AFD"/>
    <w:rsid w:val="007D1E73"/>
    <w:rsid w:val="007D23C4"/>
    <w:rsid w:val="007D25E6"/>
    <w:rsid w:val="007D298F"/>
    <w:rsid w:val="007D2FC8"/>
    <w:rsid w:val="007D310A"/>
    <w:rsid w:val="007D408D"/>
    <w:rsid w:val="007D4CA7"/>
    <w:rsid w:val="007D4CD5"/>
    <w:rsid w:val="007D5019"/>
    <w:rsid w:val="007D52A7"/>
    <w:rsid w:val="007D5BD5"/>
    <w:rsid w:val="007D619D"/>
    <w:rsid w:val="007D658F"/>
    <w:rsid w:val="007D685C"/>
    <w:rsid w:val="007D68AD"/>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099"/>
    <w:rsid w:val="007E13CF"/>
    <w:rsid w:val="007E16CE"/>
    <w:rsid w:val="007E170B"/>
    <w:rsid w:val="007E1720"/>
    <w:rsid w:val="007E18BA"/>
    <w:rsid w:val="007E18FA"/>
    <w:rsid w:val="007E1CD8"/>
    <w:rsid w:val="007E1DF2"/>
    <w:rsid w:val="007E2170"/>
    <w:rsid w:val="007E25D0"/>
    <w:rsid w:val="007E2888"/>
    <w:rsid w:val="007E29B7"/>
    <w:rsid w:val="007E2BA4"/>
    <w:rsid w:val="007E3026"/>
    <w:rsid w:val="007E32D4"/>
    <w:rsid w:val="007E349F"/>
    <w:rsid w:val="007E3514"/>
    <w:rsid w:val="007E3829"/>
    <w:rsid w:val="007E402B"/>
    <w:rsid w:val="007E4167"/>
    <w:rsid w:val="007E495E"/>
    <w:rsid w:val="007E4DF6"/>
    <w:rsid w:val="007E50F1"/>
    <w:rsid w:val="007E5172"/>
    <w:rsid w:val="007E5FF3"/>
    <w:rsid w:val="007E6257"/>
    <w:rsid w:val="007E65FE"/>
    <w:rsid w:val="007E6782"/>
    <w:rsid w:val="007E6B64"/>
    <w:rsid w:val="007E6F9A"/>
    <w:rsid w:val="007E7679"/>
    <w:rsid w:val="007E7683"/>
    <w:rsid w:val="007E79F5"/>
    <w:rsid w:val="007E7AF0"/>
    <w:rsid w:val="007F02BF"/>
    <w:rsid w:val="007F0A9A"/>
    <w:rsid w:val="007F10B5"/>
    <w:rsid w:val="007F10D0"/>
    <w:rsid w:val="007F1B16"/>
    <w:rsid w:val="007F1BC2"/>
    <w:rsid w:val="007F1C7A"/>
    <w:rsid w:val="007F1CCC"/>
    <w:rsid w:val="007F1F15"/>
    <w:rsid w:val="007F25B4"/>
    <w:rsid w:val="007F2B31"/>
    <w:rsid w:val="007F2C38"/>
    <w:rsid w:val="007F2EFF"/>
    <w:rsid w:val="007F3244"/>
    <w:rsid w:val="007F3395"/>
    <w:rsid w:val="007F3683"/>
    <w:rsid w:val="007F36F2"/>
    <w:rsid w:val="007F39D7"/>
    <w:rsid w:val="007F3A04"/>
    <w:rsid w:val="007F48F6"/>
    <w:rsid w:val="007F51FF"/>
    <w:rsid w:val="007F5557"/>
    <w:rsid w:val="007F57D6"/>
    <w:rsid w:val="007F5CD4"/>
    <w:rsid w:val="007F61AB"/>
    <w:rsid w:val="007F61E2"/>
    <w:rsid w:val="007F6460"/>
    <w:rsid w:val="007F6C16"/>
    <w:rsid w:val="007F6C74"/>
    <w:rsid w:val="007F730F"/>
    <w:rsid w:val="007F7527"/>
    <w:rsid w:val="007F753A"/>
    <w:rsid w:val="007F7563"/>
    <w:rsid w:val="007F759F"/>
    <w:rsid w:val="007F7903"/>
    <w:rsid w:val="007F7A54"/>
    <w:rsid w:val="007F7AB8"/>
    <w:rsid w:val="00800125"/>
    <w:rsid w:val="0080026A"/>
    <w:rsid w:val="00800338"/>
    <w:rsid w:val="00800FCD"/>
    <w:rsid w:val="00801057"/>
    <w:rsid w:val="00801387"/>
    <w:rsid w:val="008014DE"/>
    <w:rsid w:val="00801A60"/>
    <w:rsid w:val="00801B3F"/>
    <w:rsid w:val="00801BFF"/>
    <w:rsid w:val="0080250E"/>
    <w:rsid w:val="0080281E"/>
    <w:rsid w:val="0080288E"/>
    <w:rsid w:val="00803DDF"/>
    <w:rsid w:val="00804C27"/>
    <w:rsid w:val="00804DCD"/>
    <w:rsid w:val="0080505E"/>
    <w:rsid w:val="00805261"/>
    <w:rsid w:val="0080563D"/>
    <w:rsid w:val="008056BE"/>
    <w:rsid w:val="008059F4"/>
    <w:rsid w:val="00805F75"/>
    <w:rsid w:val="00806071"/>
    <w:rsid w:val="00806DB1"/>
    <w:rsid w:val="008070F2"/>
    <w:rsid w:val="00807692"/>
    <w:rsid w:val="00807C1B"/>
    <w:rsid w:val="00807E3E"/>
    <w:rsid w:val="0081006B"/>
    <w:rsid w:val="00810489"/>
    <w:rsid w:val="008107E7"/>
    <w:rsid w:val="00810B18"/>
    <w:rsid w:val="00810D65"/>
    <w:rsid w:val="00810F2E"/>
    <w:rsid w:val="00811024"/>
    <w:rsid w:val="00811026"/>
    <w:rsid w:val="0081143A"/>
    <w:rsid w:val="00811816"/>
    <w:rsid w:val="00811982"/>
    <w:rsid w:val="00811B7A"/>
    <w:rsid w:val="00811E77"/>
    <w:rsid w:val="0081206F"/>
    <w:rsid w:val="00812466"/>
    <w:rsid w:val="00812638"/>
    <w:rsid w:val="00812656"/>
    <w:rsid w:val="00812720"/>
    <w:rsid w:val="00812AE2"/>
    <w:rsid w:val="00812CD4"/>
    <w:rsid w:val="0081303A"/>
    <w:rsid w:val="008130B9"/>
    <w:rsid w:val="008133C0"/>
    <w:rsid w:val="0081342A"/>
    <w:rsid w:val="00814892"/>
    <w:rsid w:val="00814D78"/>
    <w:rsid w:val="00815167"/>
    <w:rsid w:val="008151B0"/>
    <w:rsid w:val="0081596C"/>
    <w:rsid w:val="00815F87"/>
    <w:rsid w:val="00816744"/>
    <w:rsid w:val="0081696D"/>
    <w:rsid w:val="00816A62"/>
    <w:rsid w:val="00816B36"/>
    <w:rsid w:val="00817452"/>
    <w:rsid w:val="0081758D"/>
    <w:rsid w:val="00817C39"/>
    <w:rsid w:val="00817C8A"/>
    <w:rsid w:val="0082098B"/>
    <w:rsid w:val="008209DF"/>
    <w:rsid w:val="008214EB"/>
    <w:rsid w:val="00821601"/>
    <w:rsid w:val="00821923"/>
    <w:rsid w:val="00821E84"/>
    <w:rsid w:val="00822005"/>
    <w:rsid w:val="0082256B"/>
    <w:rsid w:val="00822609"/>
    <w:rsid w:val="00822901"/>
    <w:rsid w:val="00822B0C"/>
    <w:rsid w:val="00822C45"/>
    <w:rsid w:val="00822F66"/>
    <w:rsid w:val="00823764"/>
    <w:rsid w:val="008241E4"/>
    <w:rsid w:val="00824394"/>
    <w:rsid w:val="00824912"/>
    <w:rsid w:val="00824F1A"/>
    <w:rsid w:val="00825B07"/>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C09"/>
    <w:rsid w:val="00831C68"/>
    <w:rsid w:val="00831E01"/>
    <w:rsid w:val="008322FB"/>
    <w:rsid w:val="0083272D"/>
    <w:rsid w:val="00832E6A"/>
    <w:rsid w:val="0083351E"/>
    <w:rsid w:val="00833A86"/>
    <w:rsid w:val="00833E4E"/>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C5C"/>
    <w:rsid w:val="00837CD5"/>
    <w:rsid w:val="00840350"/>
    <w:rsid w:val="00840409"/>
    <w:rsid w:val="0084055F"/>
    <w:rsid w:val="00840983"/>
    <w:rsid w:val="0084098C"/>
    <w:rsid w:val="0084108B"/>
    <w:rsid w:val="008411FD"/>
    <w:rsid w:val="008412C1"/>
    <w:rsid w:val="0084138C"/>
    <w:rsid w:val="008419BC"/>
    <w:rsid w:val="0084240D"/>
    <w:rsid w:val="00842584"/>
    <w:rsid w:val="008429DB"/>
    <w:rsid w:val="00842BA8"/>
    <w:rsid w:val="008430F2"/>
    <w:rsid w:val="0084324E"/>
    <w:rsid w:val="00843E4B"/>
    <w:rsid w:val="0084416C"/>
    <w:rsid w:val="00844AA3"/>
    <w:rsid w:val="00844B2A"/>
    <w:rsid w:val="00844ED2"/>
    <w:rsid w:val="0084562E"/>
    <w:rsid w:val="00845780"/>
    <w:rsid w:val="00845897"/>
    <w:rsid w:val="008467D6"/>
    <w:rsid w:val="00846FC0"/>
    <w:rsid w:val="00846FFE"/>
    <w:rsid w:val="008470E8"/>
    <w:rsid w:val="0084736D"/>
    <w:rsid w:val="0084770D"/>
    <w:rsid w:val="008479BC"/>
    <w:rsid w:val="00847C79"/>
    <w:rsid w:val="008503F8"/>
    <w:rsid w:val="00850565"/>
    <w:rsid w:val="00850680"/>
    <w:rsid w:val="008508CC"/>
    <w:rsid w:val="00850923"/>
    <w:rsid w:val="00850A19"/>
    <w:rsid w:val="00850AFC"/>
    <w:rsid w:val="00850C7E"/>
    <w:rsid w:val="00850DA6"/>
    <w:rsid w:val="0085106C"/>
    <w:rsid w:val="008514EC"/>
    <w:rsid w:val="00851AFC"/>
    <w:rsid w:val="00851F31"/>
    <w:rsid w:val="0085233E"/>
    <w:rsid w:val="008524F7"/>
    <w:rsid w:val="00852A9A"/>
    <w:rsid w:val="00852C73"/>
    <w:rsid w:val="00852ED2"/>
    <w:rsid w:val="00852F34"/>
    <w:rsid w:val="008534FA"/>
    <w:rsid w:val="00853616"/>
    <w:rsid w:val="00853704"/>
    <w:rsid w:val="00853C23"/>
    <w:rsid w:val="00853EFD"/>
    <w:rsid w:val="00854020"/>
    <w:rsid w:val="0085413E"/>
    <w:rsid w:val="008542C1"/>
    <w:rsid w:val="00854546"/>
    <w:rsid w:val="00854674"/>
    <w:rsid w:val="00854784"/>
    <w:rsid w:val="00854C48"/>
    <w:rsid w:val="00854C8E"/>
    <w:rsid w:val="008557F4"/>
    <w:rsid w:val="00855D65"/>
    <w:rsid w:val="00856542"/>
    <w:rsid w:val="00856B56"/>
    <w:rsid w:val="00856FEF"/>
    <w:rsid w:val="0085729A"/>
    <w:rsid w:val="008575ED"/>
    <w:rsid w:val="008577A7"/>
    <w:rsid w:val="00857A8B"/>
    <w:rsid w:val="00857BC1"/>
    <w:rsid w:val="00857F3D"/>
    <w:rsid w:val="008601AC"/>
    <w:rsid w:val="008608B0"/>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488A"/>
    <w:rsid w:val="00864991"/>
    <w:rsid w:val="00865ACA"/>
    <w:rsid w:val="00866BCC"/>
    <w:rsid w:val="00866D92"/>
    <w:rsid w:val="00870856"/>
    <w:rsid w:val="00870F6E"/>
    <w:rsid w:val="00871326"/>
    <w:rsid w:val="0087157B"/>
    <w:rsid w:val="00871C4C"/>
    <w:rsid w:val="00871E03"/>
    <w:rsid w:val="008725E5"/>
    <w:rsid w:val="00873845"/>
    <w:rsid w:val="008748D1"/>
    <w:rsid w:val="00874E52"/>
    <w:rsid w:val="00875652"/>
    <w:rsid w:val="00876400"/>
    <w:rsid w:val="00876522"/>
    <w:rsid w:val="00876AE3"/>
    <w:rsid w:val="00876E87"/>
    <w:rsid w:val="0087726E"/>
    <w:rsid w:val="008775DB"/>
    <w:rsid w:val="008777A8"/>
    <w:rsid w:val="008778A9"/>
    <w:rsid w:val="00877B07"/>
    <w:rsid w:val="00877B7A"/>
    <w:rsid w:val="0088031D"/>
    <w:rsid w:val="008805AE"/>
    <w:rsid w:val="0088093C"/>
    <w:rsid w:val="00880C59"/>
    <w:rsid w:val="00880EFA"/>
    <w:rsid w:val="008815A9"/>
    <w:rsid w:val="00881BC8"/>
    <w:rsid w:val="00881E65"/>
    <w:rsid w:val="00881EBC"/>
    <w:rsid w:val="0088248D"/>
    <w:rsid w:val="008828DF"/>
    <w:rsid w:val="00882C23"/>
    <w:rsid w:val="00882E43"/>
    <w:rsid w:val="00882E91"/>
    <w:rsid w:val="00882EA8"/>
    <w:rsid w:val="00883EE1"/>
    <w:rsid w:val="0088421A"/>
    <w:rsid w:val="00884764"/>
    <w:rsid w:val="00884ED2"/>
    <w:rsid w:val="00885317"/>
    <w:rsid w:val="0088567D"/>
    <w:rsid w:val="008857CE"/>
    <w:rsid w:val="00885969"/>
    <w:rsid w:val="00885D0E"/>
    <w:rsid w:val="00885E1B"/>
    <w:rsid w:val="008863EC"/>
    <w:rsid w:val="008865CF"/>
    <w:rsid w:val="00886995"/>
    <w:rsid w:val="00886BEE"/>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AC0"/>
    <w:rsid w:val="008934FE"/>
    <w:rsid w:val="00893B5D"/>
    <w:rsid w:val="00893E2F"/>
    <w:rsid w:val="008944DB"/>
    <w:rsid w:val="00894AB9"/>
    <w:rsid w:val="00895260"/>
    <w:rsid w:val="00895570"/>
    <w:rsid w:val="0089594E"/>
    <w:rsid w:val="00895EA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73F"/>
    <w:rsid w:val="008A29E5"/>
    <w:rsid w:val="008A2A21"/>
    <w:rsid w:val="008A2AA5"/>
    <w:rsid w:val="008A2E17"/>
    <w:rsid w:val="008A344E"/>
    <w:rsid w:val="008A3721"/>
    <w:rsid w:val="008A382F"/>
    <w:rsid w:val="008A39A0"/>
    <w:rsid w:val="008A39AD"/>
    <w:rsid w:val="008A3A06"/>
    <w:rsid w:val="008A3A1E"/>
    <w:rsid w:val="008A3DB6"/>
    <w:rsid w:val="008A4715"/>
    <w:rsid w:val="008A56ED"/>
    <w:rsid w:val="008A5BE4"/>
    <w:rsid w:val="008A5CA8"/>
    <w:rsid w:val="008A5F0F"/>
    <w:rsid w:val="008A6E7F"/>
    <w:rsid w:val="008A719B"/>
    <w:rsid w:val="008A7E3B"/>
    <w:rsid w:val="008B0364"/>
    <w:rsid w:val="008B0379"/>
    <w:rsid w:val="008B0D70"/>
    <w:rsid w:val="008B0EA7"/>
    <w:rsid w:val="008B0FC7"/>
    <w:rsid w:val="008B18C5"/>
    <w:rsid w:val="008B1C9A"/>
    <w:rsid w:val="008B256F"/>
    <w:rsid w:val="008B258A"/>
    <w:rsid w:val="008B2977"/>
    <w:rsid w:val="008B29B7"/>
    <w:rsid w:val="008B3220"/>
    <w:rsid w:val="008B372B"/>
    <w:rsid w:val="008B480A"/>
    <w:rsid w:val="008B4F76"/>
    <w:rsid w:val="008B58D9"/>
    <w:rsid w:val="008B5C98"/>
    <w:rsid w:val="008B5F66"/>
    <w:rsid w:val="008B64DC"/>
    <w:rsid w:val="008B6935"/>
    <w:rsid w:val="008B6AFD"/>
    <w:rsid w:val="008B6B42"/>
    <w:rsid w:val="008B70D9"/>
    <w:rsid w:val="008B7209"/>
    <w:rsid w:val="008B7236"/>
    <w:rsid w:val="008B7B54"/>
    <w:rsid w:val="008C0396"/>
    <w:rsid w:val="008C07A9"/>
    <w:rsid w:val="008C0944"/>
    <w:rsid w:val="008C0A39"/>
    <w:rsid w:val="008C15D6"/>
    <w:rsid w:val="008C17C0"/>
    <w:rsid w:val="008C1814"/>
    <w:rsid w:val="008C18D1"/>
    <w:rsid w:val="008C3B84"/>
    <w:rsid w:val="008C3CCC"/>
    <w:rsid w:val="008C4084"/>
    <w:rsid w:val="008C4116"/>
    <w:rsid w:val="008C4162"/>
    <w:rsid w:val="008C43A5"/>
    <w:rsid w:val="008C4C1B"/>
    <w:rsid w:val="008C57DA"/>
    <w:rsid w:val="008C5C81"/>
    <w:rsid w:val="008C5CDF"/>
    <w:rsid w:val="008C6469"/>
    <w:rsid w:val="008C6580"/>
    <w:rsid w:val="008C66A9"/>
    <w:rsid w:val="008C66B7"/>
    <w:rsid w:val="008C703F"/>
    <w:rsid w:val="008C714B"/>
    <w:rsid w:val="008C7162"/>
    <w:rsid w:val="008C7375"/>
    <w:rsid w:val="008C79F3"/>
    <w:rsid w:val="008D021C"/>
    <w:rsid w:val="008D0267"/>
    <w:rsid w:val="008D04D0"/>
    <w:rsid w:val="008D1097"/>
    <w:rsid w:val="008D11A8"/>
    <w:rsid w:val="008D1417"/>
    <w:rsid w:val="008D16BE"/>
    <w:rsid w:val="008D1DF5"/>
    <w:rsid w:val="008D1F27"/>
    <w:rsid w:val="008D2EFD"/>
    <w:rsid w:val="008D2F95"/>
    <w:rsid w:val="008D384C"/>
    <w:rsid w:val="008D3EF5"/>
    <w:rsid w:val="008D43B3"/>
    <w:rsid w:val="008D46BF"/>
    <w:rsid w:val="008D483E"/>
    <w:rsid w:val="008D4B98"/>
    <w:rsid w:val="008D4BD7"/>
    <w:rsid w:val="008D5469"/>
    <w:rsid w:val="008D56F1"/>
    <w:rsid w:val="008D62B4"/>
    <w:rsid w:val="008D6331"/>
    <w:rsid w:val="008D6375"/>
    <w:rsid w:val="008D65B8"/>
    <w:rsid w:val="008D7523"/>
    <w:rsid w:val="008D7D36"/>
    <w:rsid w:val="008E02E0"/>
    <w:rsid w:val="008E0670"/>
    <w:rsid w:val="008E0B71"/>
    <w:rsid w:val="008E114F"/>
    <w:rsid w:val="008E1153"/>
    <w:rsid w:val="008E1D76"/>
    <w:rsid w:val="008E2425"/>
    <w:rsid w:val="008E2594"/>
    <w:rsid w:val="008E2DD0"/>
    <w:rsid w:val="008E3455"/>
    <w:rsid w:val="008E3BFB"/>
    <w:rsid w:val="008E4349"/>
    <w:rsid w:val="008E4E94"/>
    <w:rsid w:val="008E50B3"/>
    <w:rsid w:val="008E50BD"/>
    <w:rsid w:val="008E52DB"/>
    <w:rsid w:val="008E5693"/>
    <w:rsid w:val="008E5755"/>
    <w:rsid w:val="008E5A64"/>
    <w:rsid w:val="008E6356"/>
    <w:rsid w:val="008E6529"/>
    <w:rsid w:val="008E664D"/>
    <w:rsid w:val="008E6910"/>
    <w:rsid w:val="008E6C31"/>
    <w:rsid w:val="008E6C51"/>
    <w:rsid w:val="008E6F7A"/>
    <w:rsid w:val="008E7734"/>
    <w:rsid w:val="008E7B49"/>
    <w:rsid w:val="008F04B2"/>
    <w:rsid w:val="008F0541"/>
    <w:rsid w:val="008F07ED"/>
    <w:rsid w:val="008F142D"/>
    <w:rsid w:val="008F1674"/>
    <w:rsid w:val="008F192D"/>
    <w:rsid w:val="008F19D3"/>
    <w:rsid w:val="008F234D"/>
    <w:rsid w:val="008F2535"/>
    <w:rsid w:val="008F2699"/>
    <w:rsid w:val="008F282A"/>
    <w:rsid w:val="008F329F"/>
    <w:rsid w:val="008F345A"/>
    <w:rsid w:val="008F3C10"/>
    <w:rsid w:val="008F3FE5"/>
    <w:rsid w:val="008F42D7"/>
    <w:rsid w:val="008F4382"/>
    <w:rsid w:val="008F4CE7"/>
    <w:rsid w:val="008F4E16"/>
    <w:rsid w:val="008F5536"/>
    <w:rsid w:val="008F62BC"/>
    <w:rsid w:val="008F6537"/>
    <w:rsid w:val="008F66B5"/>
    <w:rsid w:val="00900416"/>
    <w:rsid w:val="00900590"/>
    <w:rsid w:val="00901459"/>
    <w:rsid w:val="00901C47"/>
    <w:rsid w:val="00902190"/>
    <w:rsid w:val="00902C9D"/>
    <w:rsid w:val="0090328B"/>
    <w:rsid w:val="009032E9"/>
    <w:rsid w:val="009034C6"/>
    <w:rsid w:val="00903D57"/>
    <w:rsid w:val="00903EFE"/>
    <w:rsid w:val="009040EB"/>
    <w:rsid w:val="0090437C"/>
    <w:rsid w:val="0090472D"/>
    <w:rsid w:val="0090518E"/>
    <w:rsid w:val="0090563D"/>
    <w:rsid w:val="00905EA5"/>
    <w:rsid w:val="00906758"/>
    <w:rsid w:val="009067E1"/>
    <w:rsid w:val="00906EF4"/>
    <w:rsid w:val="00907057"/>
    <w:rsid w:val="00907779"/>
    <w:rsid w:val="00910287"/>
    <w:rsid w:val="00910D9D"/>
    <w:rsid w:val="00910F33"/>
    <w:rsid w:val="009110BA"/>
    <w:rsid w:val="009111A4"/>
    <w:rsid w:val="00911691"/>
    <w:rsid w:val="00911869"/>
    <w:rsid w:val="009118B0"/>
    <w:rsid w:val="009119AC"/>
    <w:rsid w:val="00912000"/>
    <w:rsid w:val="009120D7"/>
    <w:rsid w:val="009124E6"/>
    <w:rsid w:val="00913944"/>
    <w:rsid w:val="00913EF4"/>
    <w:rsid w:val="009144CF"/>
    <w:rsid w:val="00914CD6"/>
    <w:rsid w:val="00915AC6"/>
    <w:rsid w:val="00915B92"/>
    <w:rsid w:val="00915F1E"/>
    <w:rsid w:val="00916440"/>
    <w:rsid w:val="009166E5"/>
    <w:rsid w:val="00916748"/>
    <w:rsid w:val="00917332"/>
    <w:rsid w:val="0091742D"/>
    <w:rsid w:val="009177FA"/>
    <w:rsid w:val="009202C5"/>
    <w:rsid w:val="009205FD"/>
    <w:rsid w:val="00920773"/>
    <w:rsid w:val="009209C5"/>
    <w:rsid w:val="009212AC"/>
    <w:rsid w:val="0092160C"/>
    <w:rsid w:val="00921817"/>
    <w:rsid w:val="00922327"/>
    <w:rsid w:val="0092265F"/>
    <w:rsid w:val="00922C3B"/>
    <w:rsid w:val="00922F1A"/>
    <w:rsid w:val="0092359E"/>
    <w:rsid w:val="0092372F"/>
    <w:rsid w:val="009238DB"/>
    <w:rsid w:val="00923EA0"/>
    <w:rsid w:val="00924224"/>
    <w:rsid w:val="0092474D"/>
    <w:rsid w:val="00924C0E"/>
    <w:rsid w:val="00925637"/>
    <w:rsid w:val="0092593A"/>
    <w:rsid w:val="0092598F"/>
    <w:rsid w:val="00925FF9"/>
    <w:rsid w:val="009265E4"/>
    <w:rsid w:val="00927787"/>
    <w:rsid w:val="009277FA"/>
    <w:rsid w:val="00927BAA"/>
    <w:rsid w:val="00927E94"/>
    <w:rsid w:val="009305AF"/>
    <w:rsid w:val="009306DB"/>
    <w:rsid w:val="00930743"/>
    <w:rsid w:val="00930B6B"/>
    <w:rsid w:val="00931282"/>
    <w:rsid w:val="00931457"/>
    <w:rsid w:val="009315B3"/>
    <w:rsid w:val="0093167B"/>
    <w:rsid w:val="0093175E"/>
    <w:rsid w:val="00931B23"/>
    <w:rsid w:val="00932026"/>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44EF"/>
    <w:rsid w:val="00934513"/>
    <w:rsid w:val="00934BAB"/>
    <w:rsid w:val="00935A11"/>
    <w:rsid w:val="009361C0"/>
    <w:rsid w:val="0093661E"/>
    <w:rsid w:val="00936789"/>
    <w:rsid w:val="009369A1"/>
    <w:rsid w:val="00936E0F"/>
    <w:rsid w:val="00936EF5"/>
    <w:rsid w:val="009372E1"/>
    <w:rsid w:val="00937755"/>
    <w:rsid w:val="00937ACA"/>
    <w:rsid w:val="00937FBA"/>
    <w:rsid w:val="00940FF1"/>
    <w:rsid w:val="009417AC"/>
    <w:rsid w:val="00942550"/>
    <w:rsid w:val="0094325C"/>
    <w:rsid w:val="009440A5"/>
    <w:rsid w:val="009440B0"/>
    <w:rsid w:val="0094420F"/>
    <w:rsid w:val="0094565D"/>
    <w:rsid w:val="00945766"/>
    <w:rsid w:val="009457AC"/>
    <w:rsid w:val="00945B1E"/>
    <w:rsid w:val="0094609D"/>
    <w:rsid w:val="0094617D"/>
    <w:rsid w:val="00946309"/>
    <w:rsid w:val="00946484"/>
    <w:rsid w:val="00946970"/>
    <w:rsid w:val="009469D5"/>
    <w:rsid w:val="00946B28"/>
    <w:rsid w:val="00947447"/>
    <w:rsid w:val="00947B1C"/>
    <w:rsid w:val="0095008E"/>
    <w:rsid w:val="00950331"/>
    <w:rsid w:val="009510F9"/>
    <w:rsid w:val="009516DD"/>
    <w:rsid w:val="00951D77"/>
    <w:rsid w:val="00951F1A"/>
    <w:rsid w:val="00952283"/>
    <w:rsid w:val="0095255B"/>
    <w:rsid w:val="009529F9"/>
    <w:rsid w:val="00952F06"/>
    <w:rsid w:val="00953586"/>
    <w:rsid w:val="0095377C"/>
    <w:rsid w:val="00953A0D"/>
    <w:rsid w:val="00954532"/>
    <w:rsid w:val="00954C5C"/>
    <w:rsid w:val="00954D4A"/>
    <w:rsid w:val="009552E3"/>
    <w:rsid w:val="009558BE"/>
    <w:rsid w:val="00955ADE"/>
    <w:rsid w:val="00955E1B"/>
    <w:rsid w:val="00955F37"/>
    <w:rsid w:val="0095668C"/>
    <w:rsid w:val="00956DBA"/>
    <w:rsid w:val="0095706B"/>
    <w:rsid w:val="009570F9"/>
    <w:rsid w:val="009573EB"/>
    <w:rsid w:val="009575BF"/>
    <w:rsid w:val="00957F66"/>
    <w:rsid w:val="00960092"/>
    <w:rsid w:val="00960276"/>
    <w:rsid w:val="00960671"/>
    <w:rsid w:val="0096083A"/>
    <w:rsid w:val="009609E5"/>
    <w:rsid w:val="00960AF9"/>
    <w:rsid w:val="009610B1"/>
    <w:rsid w:val="009618CD"/>
    <w:rsid w:val="00961953"/>
    <w:rsid w:val="00961C4C"/>
    <w:rsid w:val="00961C83"/>
    <w:rsid w:val="00961F2F"/>
    <w:rsid w:val="009621E4"/>
    <w:rsid w:val="00962429"/>
    <w:rsid w:val="00963644"/>
    <w:rsid w:val="0096451A"/>
    <w:rsid w:val="00964583"/>
    <w:rsid w:val="00964775"/>
    <w:rsid w:val="00964ACE"/>
    <w:rsid w:val="00964B2B"/>
    <w:rsid w:val="009659F8"/>
    <w:rsid w:val="009660FF"/>
    <w:rsid w:val="0096616D"/>
    <w:rsid w:val="009664CB"/>
    <w:rsid w:val="00966CC0"/>
    <w:rsid w:val="009671A1"/>
    <w:rsid w:val="00971675"/>
    <w:rsid w:val="0097179C"/>
    <w:rsid w:val="0097191C"/>
    <w:rsid w:val="0097198A"/>
    <w:rsid w:val="00971B84"/>
    <w:rsid w:val="00971FC8"/>
    <w:rsid w:val="009734BF"/>
    <w:rsid w:val="009735EC"/>
    <w:rsid w:val="00973612"/>
    <w:rsid w:val="009737F3"/>
    <w:rsid w:val="00973917"/>
    <w:rsid w:val="00973C3E"/>
    <w:rsid w:val="0097420B"/>
    <w:rsid w:val="00974ACC"/>
    <w:rsid w:val="00974C49"/>
    <w:rsid w:val="00974EE4"/>
    <w:rsid w:val="009754CE"/>
    <w:rsid w:val="009756B6"/>
    <w:rsid w:val="00975BF2"/>
    <w:rsid w:val="00975EF7"/>
    <w:rsid w:val="00976A74"/>
    <w:rsid w:val="009774BE"/>
    <w:rsid w:val="009774FC"/>
    <w:rsid w:val="00977A70"/>
    <w:rsid w:val="00980140"/>
    <w:rsid w:val="009801D6"/>
    <w:rsid w:val="0098027F"/>
    <w:rsid w:val="009802D1"/>
    <w:rsid w:val="0098050A"/>
    <w:rsid w:val="00980592"/>
    <w:rsid w:val="009806B0"/>
    <w:rsid w:val="009807B8"/>
    <w:rsid w:val="00981876"/>
    <w:rsid w:val="00981E56"/>
    <w:rsid w:val="00981EE2"/>
    <w:rsid w:val="00982064"/>
    <w:rsid w:val="00982142"/>
    <w:rsid w:val="00982267"/>
    <w:rsid w:val="00982639"/>
    <w:rsid w:val="00982BCF"/>
    <w:rsid w:val="00982C1F"/>
    <w:rsid w:val="00982EEA"/>
    <w:rsid w:val="00982F82"/>
    <w:rsid w:val="009831E2"/>
    <w:rsid w:val="00983255"/>
    <w:rsid w:val="0098331C"/>
    <w:rsid w:val="00983D12"/>
    <w:rsid w:val="00983E5F"/>
    <w:rsid w:val="00984B42"/>
    <w:rsid w:val="00984B7C"/>
    <w:rsid w:val="00985051"/>
    <w:rsid w:val="00985723"/>
    <w:rsid w:val="00985C80"/>
    <w:rsid w:val="00985DA2"/>
    <w:rsid w:val="0098660C"/>
    <w:rsid w:val="00986765"/>
    <w:rsid w:val="009867E7"/>
    <w:rsid w:val="00987028"/>
    <w:rsid w:val="009870A3"/>
    <w:rsid w:val="00987CFA"/>
    <w:rsid w:val="00987DBC"/>
    <w:rsid w:val="00987DF4"/>
    <w:rsid w:val="00987FDA"/>
    <w:rsid w:val="00990175"/>
    <w:rsid w:val="0099071B"/>
    <w:rsid w:val="009909FC"/>
    <w:rsid w:val="00990CAE"/>
    <w:rsid w:val="00990FEA"/>
    <w:rsid w:val="00991031"/>
    <w:rsid w:val="009919E9"/>
    <w:rsid w:val="00991ED6"/>
    <w:rsid w:val="00991FED"/>
    <w:rsid w:val="009920A0"/>
    <w:rsid w:val="009928F7"/>
    <w:rsid w:val="00992E8A"/>
    <w:rsid w:val="00992E8D"/>
    <w:rsid w:val="009932CD"/>
    <w:rsid w:val="009937FD"/>
    <w:rsid w:val="00994F29"/>
    <w:rsid w:val="00994F4D"/>
    <w:rsid w:val="0099561B"/>
    <w:rsid w:val="0099563A"/>
    <w:rsid w:val="0099582B"/>
    <w:rsid w:val="00995DAF"/>
    <w:rsid w:val="00995E94"/>
    <w:rsid w:val="00995FC3"/>
    <w:rsid w:val="00996A01"/>
    <w:rsid w:val="00996AA6"/>
    <w:rsid w:val="009970AD"/>
    <w:rsid w:val="00997230"/>
    <w:rsid w:val="0099737B"/>
    <w:rsid w:val="009973C7"/>
    <w:rsid w:val="009A0274"/>
    <w:rsid w:val="009A035E"/>
    <w:rsid w:val="009A0B9D"/>
    <w:rsid w:val="009A0C64"/>
    <w:rsid w:val="009A0C84"/>
    <w:rsid w:val="009A0E15"/>
    <w:rsid w:val="009A142F"/>
    <w:rsid w:val="009A18AB"/>
    <w:rsid w:val="009A1C75"/>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D03"/>
    <w:rsid w:val="009A6258"/>
    <w:rsid w:val="009A6B3A"/>
    <w:rsid w:val="009A6F01"/>
    <w:rsid w:val="009A7442"/>
    <w:rsid w:val="009A76F7"/>
    <w:rsid w:val="009B01CF"/>
    <w:rsid w:val="009B02DB"/>
    <w:rsid w:val="009B04BE"/>
    <w:rsid w:val="009B0A50"/>
    <w:rsid w:val="009B15C6"/>
    <w:rsid w:val="009B1DA0"/>
    <w:rsid w:val="009B1F5D"/>
    <w:rsid w:val="009B2407"/>
    <w:rsid w:val="009B2D5B"/>
    <w:rsid w:val="009B34FC"/>
    <w:rsid w:val="009B3BC3"/>
    <w:rsid w:val="009B3BEA"/>
    <w:rsid w:val="009B41BA"/>
    <w:rsid w:val="009B44F0"/>
    <w:rsid w:val="009B545D"/>
    <w:rsid w:val="009B5786"/>
    <w:rsid w:val="009B5957"/>
    <w:rsid w:val="009B5C0B"/>
    <w:rsid w:val="009B5C8C"/>
    <w:rsid w:val="009B6013"/>
    <w:rsid w:val="009B6D5D"/>
    <w:rsid w:val="009B7273"/>
    <w:rsid w:val="009B72B7"/>
    <w:rsid w:val="009B7356"/>
    <w:rsid w:val="009B76DB"/>
    <w:rsid w:val="009B7FAC"/>
    <w:rsid w:val="009C0126"/>
    <w:rsid w:val="009C03C5"/>
    <w:rsid w:val="009C0C99"/>
    <w:rsid w:val="009C0FF4"/>
    <w:rsid w:val="009C1122"/>
    <w:rsid w:val="009C14F1"/>
    <w:rsid w:val="009C1840"/>
    <w:rsid w:val="009C1B99"/>
    <w:rsid w:val="009C1DC2"/>
    <w:rsid w:val="009C213F"/>
    <w:rsid w:val="009C223F"/>
    <w:rsid w:val="009C315D"/>
    <w:rsid w:val="009C323A"/>
    <w:rsid w:val="009C3A70"/>
    <w:rsid w:val="009C3AE8"/>
    <w:rsid w:val="009C4087"/>
    <w:rsid w:val="009C4959"/>
    <w:rsid w:val="009C49E0"/>
    <w:rsid w:val="009C4CFF"/>
    <w:rsid w:val="009C5961"/>
    <w:rsid w:val="009C6203"/>
    <w:rsid w:val="009C674C"/>
    <w:rsid w:val="009C6BE9"/>
    <w:rsid w:val="009C6DB6"/>
    <w:rsid w:val="009C76A3"/>
    <w:rsid w:val="009C79E5"/>
    <w:rsid w:val="009C7ACB"/>
    <w:rsid w:val="009C7C85"/>
    <w:rsid w:val="009D03F6"/>
    <w:rsid w:val="009D0701"/>
    <w:rsid w:val="009D1227"/>
    <w:rsid w:val="009D138A"/>
    <w:rsid w:val="009D141B"/>
    <w:rsid w:val="009D1578"/>
    <w:rsid w:val="009D1CA0"/>
    <w:rsid w:val="009D1E86"/>
    <w:rsid w:val="009D1FC3"/>
    <w:rsid w:val="009D2372"/>
    <w:rsid w:val="009D317D"/>
    <w:rsid w:val="009D366D"/>
    <w:rsid w:val="009D3833"/>
    <w:rsid w:val="009D439A"/>
    <w:rsid w:val="009D485D"/>
    <w:rsid w:val="009D517E"/>
    <w:rsid w:val="009D5416"/>
    <w:rsid w:val="009D6353"/>
    <w:rsid w:val="009D65D1"/>
    <w:rsid w:val="009D6627"/>
    <w:rsid w:val="009D6B28"/>
    <w:rsid w:val="009D6CF0"/>
    <w:rsid w:val="009D6E22"/>
    <w:rsid w:val="009D71D1"/>
    <w:rsid w:val="009D7591"/>
    <w:rsid w:val="009D75A9"/>
    <w:rsid w:val="009D7906"/>
    <w:rsid w:val="009D7B53"/>
    <w:rsid w:val="009E0A40"/>
    <w:rsid w:val="009E12F6"/>
    <w:rsid w:val="009E153F"/>
    <w:rsid w:val="009E19AE"/>
    <w:rsid w:val="009E1E60"/>
    <w:rsid w:val="009E1F86"/>
    <w:rsid w:val="009E2AAB"/>
    <w:rsid w:val="009E30B5"/>
    <w:rsid w:val="009E3112"/>
    <w:rsid w:val="009E34B7"/>
    <w:rsid w:val="009E399D"/>
    <w:rsid w:val="009E3BA8"/>
    <w:rsid w:val="009E3EC5"/>
    <w:rsid w:val="009E434B"/>
    <w:rsid w:val="009E480B"/>
    <w:rsid w:val="009E4986"/>
    <w:rsid w:val="009E4C2E"/>
    <w:rsid w:val="009E5205"/>
    <w:rsid w:val="009E5772"/>
    <w:rsid w:val="009E5BAE"/>
    <w:rsid w:val="009E5BF5"/>
    <w:rsid w:val="009E5D18"/>
    <w:rsid w:val="009E5EC1"/>
    <w:rsid w:val="009E5F8E"/>
    <w:rsid w:val="009E6485"/>
    <w:rsid w:val="009E648E"/>
    <w:rsid w:val="009E65CA"/>
    <w:rsid w:val="009E699D"/>
    <w:rsid w:val="009F057A"/>
    <w:rsid w:val="009F0C2F"/>
    <w:rsid w:val="009F1324"/>
    <w:rsid w:val="009F1904"/>
    <w:rsid w:val="009F1B8A"/>
    <w:rsid w:val="009F209E"/>
    <w:rsid w:val="009F21A0"/>
    <w:rsid w:val="009F2446"/>
    <w:rsid w:val="009F2450"/>
    <w:rsid w:val="009F2455"/>
    <w:rsid w:val="009F2516"/>
    <w:rsid w:val="009F259C"/>
    <w:rsid w:val="009F29FF"/>
    <w:rsid w:val="009F2BF4"/>
    <w:rsid w:val="009F2C12"/>
    <w:rsid w:val="009F2F47"/>
    <w:rsid w:val="009F385D"/>
    <w:rsid w:val="009F3AB9"/>
    <w:rsid w:val="009F48AF"/>
    <w:rsid w:val="009F4B7F"/>
    <w:rsid w:val="009F555E"/>
    <w:rsid w:val="009F5A8C"/>
    <w:rsid w:val="009F5C78"/>
    <w:rsid w:val="009F5E9D"/>
    <w:rsid w:val="009F5F56"/>
    <w:rsid w:val="009F65C9"/>
    <w:rsid w:val="009F697A"/>
    <w:rsid w:val="009F6AE8"/>
    <w:rsid w:val="009F6C47"/>
    <w:rsid w:val="009F6DAC"/>
    <w:rsid w:val="009F6E4C"/>
    <w:rsid w:val="009F7274"/>
    <w:rsid w:val="009F7309"/>
    <w:rsid w:val="009F763F"/>
    <w:rsid w:val="009F7748"/>
    <w:rsid w:val="009F7802"/>
    <w:rsid w:val="009F78B7"/>
    <w:rsid w:val="009F791B"/>
    <w:rsid w:val="009F79D5"/>
    <w:rsid w:val="009F7D96"/>
    <w:rsid w:val="00A0058F"/>
    <w:rsid w:val="00A007E7"/>
    <w:rsid w:val="00A00F2E"/>
    <w:rsid w:val="00A0109E"/>
    <w:rsid w:val="00A0110C"/>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B95"/>
    <w:rsid w:val="00A06BCD"/>
    <w:rsid w:val="00A070DE"/>
    <w:rsid w:val="00A0718D"/>
    <w:rsid w:val="00A07468"/>
    <w:rsid w:val="00A0797A"/>
    <w:rsid w:val="00A07FED"/>
    <w:rsid w:val="00A100A1"/>
    <w:rsid w:val="00A105EC"/>
    <w:rsid w:val="00A10896"/>
    <w:rsid w:val="00A10C0A"/>
    <w:rsid w:val="00A10D95"/>
    <w:rsid w:val="00A10F86"/>
    <w:rsid w:val="00A11019"/>
    <w:rsid w:val="00A114E5"/>
    <w:rsid w:val="00A115CB"/>
    <w:rsid w:val="00A116B1"/>
    <w:rsid w:val="00A11742"/>
    <w:rsid w:val="00A11A73"/>
    <w:rsid w:val="00A11A7E"/>
    <w:rsid w:val="00A11C67"/>
    <w:rsid w:val="00A11F1D"/>
    <w:rsid w:val="00A121D9"/>
    <w:rsid w:val="00A1253F"/>
    <w:rsid w:val="00A12ACB"/>
    <w:rsid w:val="00A13C4A"/>
    <w:rsid w:val="00A13C50"/>
    <w:rsid w:val="00A142CF"/>
    <w:rsid w:val="00A14331"/>
    <w:rsid w:val="00A14551"/>
    <w:rsid w:val="00A145EB"/>
    <w:rsid w:val="00A14987"/>
    <w:rsid w:val="00A14AB2"/>
    <w:rsid w:val="00A14AC9"/>
    <w:rsid w:val="00A15928"/>
    <w:rsid w:val="00A159CA"/>
    <w:rsid w:val="00A15E4C"/>
    <w:rsid w:val="00A175A7"/>
    <w:rsid w:val="00A17608"/>
    <w:rsid w:val="00A177D9"/>
    <w:rsid w:val="00A1787D"/>
    <w:rsid w:val="00A17D5B"/>
    <w:rsid w:val="00A20573"/>
    <w:rsid w:val="00A206E0"/>
    <w:rsid w:val="00A207FA"/>
    <w:rsid w:val="00A20C94"/>
    <w:rsid w:val="00A21374"/>
    <w:rsid w:val="00A21C4C"/>
    <w:rsid w:val="00A220B7"/>
    <w:rsid w:val="00A22171"/>
    <w:rsid w:val="00A227D6"/>
    <w:rsid w:val="00A227E7"/>
    <w:rsid w:val="00A22A71"/>
    <w:rsid w:val="00A22D55"/>
    <w:rsid w:val="00A22F6E"/>
    <w:rsid w:val="00A23736"/>
    <w:rsid w:val="00A239DB"/>
    <w:rsid w:val="00A23F28"/>
    <w:rsid w:val="00A24008"/>
    <w:rsid w:val="00A24070"/>
    <w:rsid w:val="00A24078"/>
    <w:rsid w:val="00A2475E"/>
    <w:rsid w:val="00A24A31"/>
    <w:rsid w:val="00A251F2"/>
    <w:rsid w:val="00A258E0"/>
    <w:rsid w:val="00A25FCF"/>
    <w:rsid w:val="00A26928"/>
    <w:rsid w:val="00A269B5"/>
    <w:rsid w:val="00A26A3F"/>
    <w:rsid w:val="00A2726D"/>
    <w:rsid w:val="00A30627"/>
    <w:rsid w:val="00A30AB2"/>
    <w:rsid w:val="00A30B6C"/>
    <w:rsid w:val="00A31498"/>
    <w:rsid w:val="00A31D99"/>
    <w:rsid w:val="00A31F37"/>
    <w:rsid w:val="00A3244C"/>
    <w:rsid w:val="00A32555"/>
    <w:rsid w:val="00A32C96"/>
    <w:rsid w:val="00A32E59"/>
    <w:rsid w:val="00A33017"/>
    <w:rsid w:val="00A330CD"/>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4C30"/>
    <w:rsid w:val="00A45121"/>
    <w:rsid w:val="00A45B00"/>
    <w:rsid w:val="00A4618D"/>
    <w:rsid w:val="00A464E1"/>
    <w:rsid w:val="00A46C4E"/>
    <w:rsid w:val="00A46D95"/>
    <w:rsid w:val="00A46F53"/>
    <w:rsid w:val="00A47081"/>
    <w:rsid w:val="00A47480"/>
    <w:rsid w:val="00A47AE0"/>
    <w:rsid w:val="00A47E8C"/>
    <w:rsid w:val="00A50F9A"/>
    <w:rsid w:val="00A51299"/>
    <w:rsid w:val="00A51BC0"/>
    <w:rsid w:val="00A526FF"/>
    <w:rsid w:val="00A5298C"/>
    <w:rsid w:val="00A52AD0"/>
    <w:rsid w:val="00A52CE8"/>
    <w:rsid w:val="00A53497"/>
    <w:rsid w:val="00A535A7"/>
    <w:rsid w:val="00A536CB"/>
    <w:rsid w:val="00A542F8"/>
    <w:rsid w:val="00A54524"/>
    <w:rsid w:val="00A54EFB"/>
    <w:rsid w:val="00A55A47"/>
    <w:rsid w:val="00A55AE0"/>
    <w:rsid w:val="00A566CF"/>
    <w:rsid w:val="00A56DF0"/>
    <w:rsid w:val="00A56E78"/>
    <w:rsid w:val="00A574BF"/>
    <w:rsid w:val="00A5790F"/>
    <w:rsid w:val="00A579F8"/>
    <w:rsid w:val="00A57EB9"/>
    <w:rsid w:val="00A605E1"/>
    <w:rsid w:val="00A60C15"/>
    <w:rsid w:val="00A60F08"/>
    <w:rsid w:val="00A6101C"/>
    <w:rsid w:val="00A61C56"/>
    <w:rsid w:val="00A61FFB"/>
    <w:rsid w:val="00A6204A"/>
    <w:rsid w:val="00A62093"/>
    <w:rsid w:val="00A62439"/>
    <w:rsid w:val="00A624F8"/>
    <w:rsid w:val="00A6310C"/>
    <w:rsid w:val="00A6316B"/>
    <w:rsid w:val="00A631ED"/>
    <w:rsid w:val="00A633C2"/>
    <w:rsid w:val="00A63460"/>
    <w:rsid w:val="00A63679"/>
    <w:rsid w:val="00A639BE"/>
    <w:rsid w:val="00A63A8F"/>
    <w:rsid w:val="00A63D6F"/>
    <w:rsid w:val="00A64389"/>
    <w:rsid w:val="00A64797"/>
    <w:rsid w:val="00A64817"/>
    <w:rsid w:val="00A658C2"/>
    <w:rsid w:val="00A65EC3"/>
    <w:rsid w:val="00A6691A"/>
    <w:rsid w:val="00A66BE3"/>
    <w:rsid w:val="00A67102"/>
    <w:rsid w:val="00A67F2A"/>
    <w:rsid w:val="00A70347"/>
    <w:rsid w:val="00A718A6"/>
    <w:rsid w:val="00A71CDE"/>
    <w:rsid w:val="00A72100"/>
    <w:rsid w:val="00A72306"/>
    <w:rsid w:val="00A7252E"/>
    <w:rsid w:val="00A725D0"/>
    <w:rsid w:val="00A72BBC"/>
    <w:rsid w:val="00A72E18"/>
    <w:rsid w:val="00A730F3"/>
    <w:rsid w:val="00A73C89"/>
    <w:rsid w:val="00A73FED"/>
    <w:rsid w:val="00A74143"/>
    <w:rsid w:val="00A743DC"/>
    <w:rsid w:val="00A746A3"/>
    <w:rsid w:val="00A7486D"/>
    <w:rsid w:val="00A74BE6"/>
    <w:rsid w:val="00A7541E"/>
    <w:rsid w:val="00A754C4"/>
    <w:rsid w:val="00A7557C"/>
    <w:rsid w:val="00A758A4"/>
    <w:rsid w:val="00A75A61"/>
    <w:rsid w:val="00A75BA0"/>
    <w:rsid w:val="00A75FDF"/>
    <w:rsid w:val="00A768A2"/>
    <w:rsid w:val="00A769F0"/>
    <w:rsid w:val="00A76A55"/>
    <w:rsid w:val="00A770EF"/>
    <w:rsid w:val="00A77164"/>
    <w:rsid w:val="00A773B4"/>
    <w:rsid w:val="00A77464"/>
    <w:rsid w:val="00A80733"/>
    <w:rsid w:val="00A80948"/>
    <w:rsid w:val="00A81723"/>
    <w:rsid w:val="00A81811"/>
    <w:rsid w:val="00A8234E"/>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07"/>
    <w:rsid w:val="00A86F87"/>
    <w:rsid w:val="00A8702E"/>
    <w:rsid w:val="00A87161"/>
    <w:rsid w:val="00A874D6"/>
    <w:rsid w:val="00A878E9"/>
    <w:rsid w:val="00A87C01"/>
    <w:rsid w:val="00A902A7"/>
    <w:rsid w:val="00A90327"/>
    <w:rsid w:val="00A904AB"/>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7F4"/>
    <w:rsid w:val="00A96A4E"/>
    <w:rsid w:val="00A96FC0"/>
    <w:rsid w:val="00A97BFA"/>
    <w:rsid w:val="00AA007C"/>
    <w:rsid w:val="00AA0953"/>
    <w:rsid w:val="00AA0B30"/>
    <w:rsid w:val="00AA1168"/>
    <w:rsid w:val="00AA1EB2"/>
    <w:rsid w:val="00AA20ED"/>
    <w:rsid w:val="00AA24F3"/>
    <w:rsid w:val="00AA25C9"/>
    <w:rsid w:val="00AA3676"/>
    <w:rsid w:val="00AA3726"/>
    <w:rsid w:val="00AA40AA"/>
    <w:rsid w:val="00AA4F09"/>
    <w:rsid w:val="00AA62A1"/>
    <w:rsid w:val="00AA64E9"/>
    <w:rsid w:val="00AA67F0"/>
    <w:rsid w:val="00AA7897"/>
    <w:rsid w:val="00AA78AF"/>
    <w:rsid w:val="00AA7A72"/>
    <w:rsid w:val="00AA7DCE"/>
    <w:rsid w:val="00AA7F8C"/>
    <w:rsid w:val="00AA7FA5"/>
    <w:rsid w:val="00AB0058"/>
    <w:rsid w:val="00AB0725"/>
    <w:rsid w:val="00AB0807"/>
    <w:rsid w:val="00AB096B"/>
    <w:rsid w:val="00AB0C5B"/>
    <w:rsid w:val="00AB0FB2"/>
    <w:rsid w:val="00AB0FFB"/>
    <w:rsid w:val="00AB10E3"/>
    <w:rsid w:val="00AB18AB"/>
    <w:rsid w:val="00AB1CBF"/>
    <w:rsid w:val="00AB1FAD"/>
    <w:rsid w:val="00AB23F9"/>
    <w:rsid w:val="00AB26FB"/>
    <w:rsid w:val="00AB2AF8"/>
    <w:rsid w:val="00AB32A1"/>
    <w:rsid w:val="00AB3387"/>
    <w:rsid w:val="00AB37FD"/>
    <w:rsid w:val="00AB41AF"/>
    <w:rsid w:val="00AB42BB"/>
    <w:rsid w:val="00AB4316"/>
    <w:rsid w:val="00AB4B6A"/>
    <w:rsid w:val="00AB502F"/>
    <w:rsid w:val="00AB50C3"/>
    <w:rsid w:val="00AB520F"/>
    <w:rsid w:val="00AB562B"/>
    <w:rsid w:val="00AB57D9"/>
    <w:rsid w:val="00AB6AB1"/>
    <w:rsid w:val="00AB6F61"/>
    <w:rsid w:val="00AB7408"/>
    <w:rsid w:val="00AB7601"/>
    <w:rsid w:val="00AB7957"/>
    <w:rsid w:val="00AB7A15"/>
    <w:rsid w:val="00AC0BD8"/>
    <w:rsid w:val="00AC1E53"/>
    <w:rsid w:val="00AC1E69"/>
    <w:rsid w:val="00AC2F56"/>
    <w:rsid w:val="00AC3669"/>
    <w:rsid w:val="00AC37F0"/>
    <w:rsid w:val="00AC40D8"/>
    <w:rsid w:val="00AC42FA"/>
    <w:rsid w:val="00AC455C"/>
    <w:rsid w:val="00AC45CA"/>
    <w:rsid w:val="00AC4B72"/>
    <w:rsid w:val="00AC4D66"/>
    <w:rsid w:val="00AC58DE"/>
    <w:rsid w:val="00AC5C0E"/>
    <w:rsid w:val="00AC5D6D"/>
    <w:rsid w:val="00AC5FCE"/>
    <w:rsid w:val="00AC615E"/>
    <w:rsid w:val="00AC62B7"/>
    <w:rsid w:val="00AC692A"/>
    <w:rsid w:val="00AC6BDA"/>
    <w:rsid w:val="00AC6E20"/>
    <w:rsid w:val="00AC749B"/>
    <w:rsid w:val="00AC7A38"/>
    <w:rsid w:val="00AD0404"/>
    <w:rsid w:val="00AD07F1"/>
    <w:rsid w:val="00AD1F02"/>
    <w:rsid w:val="00AD20E0"/>
    <w:rsid w:val="00AD250D"/>
    <w:rsid w:val="00AD280C"/>
    <w:rsid w:val="00AD2BE1"/>
    <w:rsid w:val="00AD3477"/>
    <w:rsid w:val="00AD3491"/>
    <w:rsid w:val="00AD3C49"/>
    <w:rsid w:val="00AD3D21"/>
    <w:rsid w:val="00AD5B51"/>
    <w:rsid w:val="00AD68F8"/>
    <w:rsid w:val="00AD692B"/>
    <w:rsid w:val="00AD741A"/>
    <w:rsid w:val="00AD74BD"/>
    <w:rsid w:val="00AD7E1C"/>
    <w:rsid w:val="00AE08FD"/>
    <w:rsid w:val="00AE0B68"/>
    <w:rsid w:val="00AE0CA2"/>
    <w:rsid w:val="00AE10CD"/>
    <w:rsid w:val="00AE13BB"/>
    <w:rsid w:val="00AE1457"/>
    <w:rsid w:val="00AE1499"/>
    <w:rsid w:val="00AE2A87"/>
    <w:rsid w:val="00AE2D0A"/>
    <w:rsid w:val="00AE3725"/>
    <w:rsid w:val="00AE3E89"/>
    <w:rsid w:val="00AE4169"/>
    <w:rsid w:val="00AE42B3"/>
    <w:rsid w:val="00AE448F"/>
    <w:rsid w:val="00AE4A88"/>
    <w:rsid w:val="00AE4E58"/>
    <w:rsid w:val="00AE4F14"/>
    <w:rsid w:val="00AE5139"/>
    <w:rsid w:val="00AE54FA"/>
    <w:rsid w:val="00AE5AE9"/>
    <w:rsid w:val="00AE5C8B"/>
    <w:rsid w:val="00AE5EFC"/>
    <w:rsid w:val="00AE64DD"/>
    <w:rsid w:val="00AE65CA"/>
    <w:rsid w:val="00AE6800"/>
    <w:rsid w:val="00AE6CDA"/>
    <w:rsid w:val="00AE72FC"/>
    <w:rsid w:val="00AE7389"/>
    <w:rsid w:val="00AE751E"/>
    <w:rsid w:val="00AE7E09"/>
    <w:rsid w:val="00AF000E"/>
    <w:rsid w:val="00AF135D"/>
    <w:rsid w:val="00AF159F"/>
    <w:rsid w:val="00AF16A0"/>
    <w:rsid w:val="00AF17A5"/>
    <w:rsid w:val="00AF1E36"/>
    <w:rsid w:val="00AF239F"/>
    <w:rsid w:val="00AF23AA"/>
    <w:rsid w:val="00AF23C2"/>
    <w:rsid w:val="00AF2D35"/>
    <w:rsid w:val="00AF3040"/>
    <w:rsid w:val="00AF31DB"/>
    <w:rsid w:val="00AF31E8"/>
    <w:rsid w:val="00AF39BC"/>
    <w:rsid w:val="00AF44E0"/>
    <w:rsid w:val="00AF4979"/>
    <w:rsid w:val="00AF4D7A"/>
    <w:rsid w:val="00AF51E5"/>
    <w:rsid w:val="00AF52E7"/>
    <w:rsid w:val="00AF575D"/>
    <w:rsid w:val="00AF5B14"/>
    <w:rsid w:val="00AF5C8B"/>
    <w:rsid w:val="00AF5D55"/>
    <w:rsid w:val="00AF605B"/>
    <w:rsid w:val="00AF62CE"/>
    <w:rsid w:val="00AF6749"/>
    <w:rsid w:val="00AF7011"/>
    <w:rsid w:val="00AF71AA"/>
    <w:rsid w:val="00AF741B"/>
    <w:rsid w:val="00AF7453"/>
    <w:rsid w:val="00AF7C3D"/>
    <w:rsid w:val="00AF7E72"/>
    <w:rsid w:val="00AF7F12"/>
    <w:rsid w:val="00B00223"/>
    <w:rsid w:val="00B00C97"/>
    <w:rsid w:val="00B00E2D"/>
    <w:rsid w:val="00B00EE8"/>
    <w:rsid w:val="00B0115C"/>
    <w:rsid w:val="00B012B5"/>
    <w:rsid w:val="00B01F83"/>
    <w:rsid w:val="00B01FA9"/>
    <w:rsid w:val="00B0219D"/>
    <w:rsid w:val="00B0239F"/>
    <w:rsid w:val="00B02BD8"/>
    <w:rsid w:val="00B02E29"/>
    <w:rsid w:val="00B0328C"/>
    <w:rsid w:val="00B0338C"/>
    <w:rsid w:val="00B036CF"/>
    <w:rsid w:val="00B0396C"/>
    <w:rsid w:val="00B03F9B"/>
    <w:rsid w:val="00B0432F"/>
    <w:rsid w:val="00B043ED"/>
    <w:rsid w:val="00B054FF"/>
    <w:rsid w:val="00B05CB6"/>
    <w:rsid w:val="00B06078"/>
    <w:rsid w:val="00B0619C"/>
    <w:rsid w:val="00B0633F"/>
    <w:rsid w:val="00B06DE5"/>
    <w:rsid w:val="00B070A0"/>
    <w:rsid w:val="00B075B2"/>
    <w:rsid w:val="00B07600"/>
    <w:rsid w:val="00B07CC0"/>
    <w:rsid w:val="00B07FC9"/>
    <w:rsid w:val="00B102F5"/>
    <w:rsid w:val="00B103E9"/>
    <w:rsid w:val="00B1060C"/>
    <w:rsid w:val="00B10BEF"/>
    <w:rsid w:val="00B10C2E"/>
    <w:rsid w:val="00B11539"/>
    <w:rsid w:val="00B11586"/>
    <w:rsid w:val="00B11E6D"/>
    <w:rsid w:val="00B11FA4"/>
    <w:rsid w:val="00B1220A"/>
    <w:rsid w:val="00B12242"/>
    <w:rsid w:val="00B12B99"/>
    <w:rsid w:val="00B13427"/>
    <w:rsid w:val="00B138DA"/>
    <w:rsid w:val="00B1393B"/>
    <w:rsid w:val="00B140D2"/>
    <w:rsid w:val="00B1462C"/>
    <w:rsid w:val="00B14CD1"/>
    <w:rsid w:val="00B15491"/>
    <w:rsid w:val="00B15580"/>
    <w:rsid w:val="00B1562F"/>
    <w:rsid w:val="00B15740"/>
    <w:rsid w:val="00B16C77"/>
    <w:rsid w:val="00B16D0D"/>
    <w:rsid w:val="00B16D63"/>
    <w:rsid w:val="00B172E7"/>
    <w:rsid w:val="00B174AB"/>
    <w:rsid w:val="00B17629"/>
    <w:rsid w:val="00B2135F"/>
    <w:rsid w:val="00B214E4"/>
    <w:rsid w:val="00B21799"/>
    <w:rsid w:val="00B21A4D"/>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DAF"/>
    <w:rsid w:val="00B25FE6"/>
    <w:rsid w:val="00B2603E"/>
    <w:rsid w:val="00B26397"/>
    <w:rsid w:val="00B26407"/>
    <w:rsid w:val="00B26CD6"/>
    <w:rsid w:val="00B27166"/>
    <w:rsid w:val="00B27255"/>
    <w:rsid w:val="00B272AA"/>
    <w:rsid w:val="00B2749B"/>
    <w:rsid w:val="00B2763A"/>
    <w:rsid w:val="00B27783"/>
    <w:rsid w:val="00B27A0A"/>
    <w:rsid w:val="00B27BEE"/>
    <w:rsid w:val="00B30160"/>
    <w:rsid w:val="00B301E2"/>
    <w:rsid w:val="00B302B8"/>
    <w:rsid w:val="00B304C0"/>
    <w:rsid w:val="00B3068C"/>
    <w:rsid w:val="00B30DD2"/>
    <w:rsid w:val="00B314D4"/>
    <w:rsid w:val="00B317DC"/>
    <w:rsid w:val="00B31A2F"/>
    <w:rsid w:val="00B31E48"/>
    <w:rsid w:val="00B321D4"/>
    <w:rsid w:val="00B324A8"/>
    <w:rsid w:val="00B327F4"/>
    <w:rsid w:val="00B32D08"/>
    <w:rsid w:val="00B32F4E"/>
    <w:rsid w:val="00B32F61"/>
    <w:rsid w:val="00B3322F"/>
    <w:rsid w:val="00B334B1"/>
    <w:rsid w:val="00B339CE"/>
    <w:rsid w:val="00B33E53"/>
    <w:rsid w:val="00B34131"/>
    <w:rsid w:val="00B3426C"/>
    <w:rsid w:val="00B34524"/>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654"/>
    <w:rsid w:val="00B3775E"/>
    <w:rsid w:val="00B37810"/>
    <w:rsid w:val="00B37B94"/>
    <w:rsid w:val="00B37E95"/>
    <w:rsid w:val="00B37FC0"/>
    <w:rsid w:val="00B4097F"/>
    <w:rsid w:val="00B410B3"/>
    <w:rsid w:val="00B4190C"/>
    <w:rsid w:val="00B41956"/>
    <w:rsid w:val="00B427F5"/>
    <w:rsid w:val="00B42A22"/>
    <w:rsid w:val="00B43539"/>
    <w:rsid w:val="00B43B71"/>
    <w:rsid w:val="00B43F67"/>
    <w:rsid w:val="00B44257"/>
    <w:rsid w:val="00B45359"/>
    <w:rsid w:val="00B45535"/>
    <w:rsid w:val="00B4553C"/>
    <w:rsid w:val="00B4572C"/>
    <w:rsid w:val="00B4592A"/>
    <w:rsid w:val="00B459C8"/>
    <w:rsid w:val="00B45BAB"/>
    <w:rsid w:val="00B461A4"/>
    <w:rsid w:val="00B461B0"/>
    <w:rsid w:val="00B462B3"/>
    <w:rsid w:val="00B46739"/>
    <w:rsid w:val="00B46811"/>
    <w:rsid w:val="00B46975"/>
    <w:rsid w:val="00B46AA2"/>
    <w:rsid w:val="00B472EC"/>
    <w:rsid w:val="00B4777F"/>
    <w:rsid w:val="00B47A25"/>
    <w:rsid w:val="00B51611"/>
    <w:rsid w:val="00B518C6"/>
    <w:rsid w:val="00B52046"/>
    <w:rsid w:val="00B5259A"/>
    <w:rsid w:val="00B52C06"/>
    <w:rsid w:val="00B52CB1"/>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CDA"/>
    <w:rsid w:val="00B57D54"/>
    <w:rsid w:val="00B6051C"/>
    <w:rsid w:val="00B60946"/>
    <w:rsid w:val="00B609C3"/>
    <w:rsid w:val="00B609D4"/>
    <w:rsid w:val="00B60C95"/>
    <w:rsid w:val="00B60FB5"/>
    <w:rsid w:val="00B62014"/>
    <w:rsid w:val="00B629C9"/>
    <w:rsid w:val="00B63426"/>
    <w:rsid w:val="00B63656"/>
    <w:rsid w:val="00B63F21"/>
    <w:rsid w:val="00B63FB6"/>
    <w:rsid w:val="00B6401C"/>
    <w:rsid w:val="00B64086"/>
    <w:rsid w:val="00B64519"/>
    <w:rsid w:val="00B64541"/>
    <w:rsid w:val="00B6456D"/>
    <w:rsid w:val="00B64BD0"/>
    <w:rsid w:val="00B64DCA"/>
    <w:rsid w:val="00B64FCD"/>
    <w:rsid w:val="00B65C38"/>
    <w:rsid w:val="00B65C86"/>
    <w:rsid w:val="00B65CBD"/>
    <w:rsid w:val="00B660D9"/>
    <w:rsid w:val="00B667B1"/>
    <w:rsid w:val="00B66802"/>
    <w:rsid w:val="00B6727D"/>
    <w:rsid w:val="00B67453"/>
    <w:rsid w:val="00B675F7"/>
    <w:rsid w:val="00B677EA"/>
    <w:rsid w:val="00B67A78"/>
    <w:rsid w:val="00B707BA"/>
    <w:rsid w:val="00B7086A"/>
    <w:rsid w:val="00B70A5F"/>
    <w:rsid w:val="00B70C27"/>
    <w:rsid w:val="00B70E97"/>
    <w:rsid w:val="00B712EE"/>
    <w:rsid w:val="00B715DC"/>
    <w:rsid w:val="00B71ACD"/>
    <w:rsid w:val="00B722FE"/>
    <w:rsid w:val="00B72597"/>
    <w:rsid w:val="00B729F1"/>
    <w:rsid w:val="00B7300C"/>
    <w:rsid w:val="00B73222"/>
    <w:rsid w:val="00B74648"/>
    <w:rsid w:val="00B74D56"/>
    <w:rsid w:val="00B753EA"/>
    <w:rsid w:val="00B75CCA"/>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F1F"/>
    <w:rsid w:val="00B813C8"/>
    <w:rsid w:val="00B8146F"/>
    <w:rsid w:val="00B8167D"/>
    <w:rsid w:val="00B82095"/>
    <w:rsid w:val="00B823DE"/>
    <w:rsid w:val="00B824A1"/>
    <w:rsid w:val="00B82C49"/>
    <w:rsid w:val="00B82D90"/>
    <w:rsid w:val="00B82FB4"/>
    <w:rsid w:val="00B83B69"/>
    <w:rsid w:val="00B83DFC"/>
    <w:rsid w:val="00B83F10"/>
    <w:rsid w:val="00B8406A"/>
    <w:rsid w:val="00B84439"/>
    <w:rsid w:val="00B84B85"/>
    <w:rsid w:val="00B86207"/>
    <w:rsid w:val="00B8654A"/>
    <w:rsid w:val="00B86589"/>
    <w:rsid w:val="00B865EE"/>
    <w:rsid w:val="00B86B7E"/>
    <w:rsid w:val="00B87173"/>
    <w:rsid w:val="00B87449"/>
    <w:rsid w:val="00B8769D"/>
    <w:rsid w:val="00B87BE1"/>
    <w:rsid w:val="00B87DD5"/>
    <w:rsid w:val="00B90282"/>
    <w:rsid w:val="00B90B1B"/>
    <w:rsid w:val="00B90F96"/>
    <w:rsid w:val="00B9219F"/>
    <w:rsid w:val="00B926CB"/>
    <w:rsid w:val="00B92BB9"/>
    <w:rsid w:val="00B92FBB"/>
    <w:rsid w:val="00B933B2"/>
    <w:rsid w:val="00B936CB"/>
    <w:rsid w:val="00B93BDF"/>
    <w:rsid w:val="00B93CAF"/>
    <w:rsid w:val="00B941B6"/>
    <w:rsid w:val="00B94A06"/>
    <w:rsid w:val="00B94DCA"/>
    <w:rsid w:val="00B952E7"/>
    <w:rsid w:val="00B95B2F"/>
    <w:rsid w:val="00B95B37"/>
    <w:rsid w:val="00B95E21"/>
    <w:rsid w:val="00B95E9C"/>
    <w:rsid w:val="00B96ECF"/>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4630"/>
    <w:rsid w:val="00BA48C1"/>
    <w:rsid w:val="00BA5792"/>
    <w:rsid w:val="00BA6028"/>
    <w:rsid w:val="00BA6F67"/>
    <w:rsid w:val="00BA738A"/>
    <w:rsid w:val="00BA7618"/>
    <w:rsid w:val="00BA7701"/>
    <w:rsid w:val="00BA7A25"/>
    <w:rsid w:val="00BA7AF1"/>
    <w:rsid w:val="00BA7BAB"/>
    <w:rsid w:val="00BA7C02"/>
    <w:rsid w:val="00BA7C73"/>
    <w:rsid w:val="00BB00C3"/>
    <w:rsid w:val="00BB01F3"/>
    <w:rsid w:val="00BB043A"/>
    <w:rsid w:val="00BB073E"/>
    <w:rsid w:val="00BB0741"/>
    <w:rsid w:val="00BB09ED"/>
    <w:rsid w:val="00BB10E2"/>
    <w:rsid w:val="00BB17AD"/>
    <w:rsid w:val="00BB1D2F"/>
    <w:rsid w:val="00BB2428"/>
    <w:rsid w:val="00BB292D"/>
    <w:rsid w:val="00BB300F"/>
    <w:rsid w:val="00BB309F"/>
    <w:rsid w:val="00BB369B"/>
    <w:rsid w:val="00BB3919"/>
    <w:rsid w:val="00BB3A56"/>
    <w:rsid w:val="00BB3ABF"/>
    <w:rsid w:val="00BB3C9D"/>
    <w:rsid w:val="00BB3E2E"/>
    <w:rsid w:val="00BB42AC"/>
    <w:rsid w:val="00BB49CB"/>
    <w:rsid w:val="00BB4CAE"/>
    <w:rsid w:val="00BB4E7B"/>
    <w:rsid w:val="00BB57B7"/>
    <w:rsid w:val="00BB57C7"/>
    <w:rsid w:val="00BB6087"/>
    <w:rsid w:val="00BB67F1"/>
    <w:rsid w:val="00BB6A14"/>
    <w:rsid w:val="00BB79C2"/>
    <w:rsid w:val="00BB7E42"/>
    <w:rsid w:val="00BB7F0F"/>
    <w:rsid w:val="00BC0B1A"/>
    <w:rsid w:val="00BC0EC7"/>
    <w:rsid w:val="00BC117C"/>
    <w:rsid w:val="00BC11C6"/>
    <w:rsid w:val="00BC1722"/>
    <w:rsid w:val="00BC17DF"/>
    <w:rsid w:val="00BC194A"/>
    <w:rsid w:val="00BC1B69"/>
    <w:rsid w:val="00BC2214"/>
    <w:rsid w:val="00BC247C"/>
    <w:rsid w:val="00BC2825"/>
    <w:rsid w:val="00BC2E96"/>
    <w:rsid w:val="00BC2F35"/>
    <w:rsid w:val="00BC365F"/>
    <w:rsid w:val="00BC3A31"/>
    <w:rsid w:val="00BC406F"/>
    <w:rsid w:val="00BC4164"/>
    <w:rsid w:val="00BC426A"/>
    <w:rsid w:val="00BC4428"/>
    <w:rsid w:val="00BC4C88"/>
    <w:rsid w:val="00BC4DFB"/>
    <w:rsid w:val="00BC544F"/>
    <w:rsid w:val="00BC59CA"/>
    <w:rsid w:val="00BC5D67"/>
    <w:rsid w:val="00BC63F0"/>
    <w:rsid w:val="00BC6940"/>
    <w:rsid w:val="00BC6970"/>
    <w:rsid w:val="00BC6BA8"/>
    <w:rsid w:val="00BC6D81"/>
    <w:rsid w:val="00BC6F87"/>
    <w:rsid w:val="00BC733D"/>
    <w:rsid w:val="00BC734E"/>
    <w:rsid w:val="00BC7713"/>
    <w:rsid w:val="00BC7C93"/>
    <w:rsid w:val="00BD0286"/>
    <w:rsid w:val="00BD0308"/>
    <w:rsid w:val="00BD08F6"/>
    <w:rsid w:val="00BD0A29"/>
    <w:rsid w:val="00BD18E4"/>
    <w:rsid w:val="00BD1B3F"/>
    <w:rsid w:val="00BD2120"/>
    <w:rsid w:val="00BD28CF"/>
    <w:rsid w:val="00BD2AC0"/>
    <w:rsid w:val="00BD31E5"/>
    <w:rsid w:val="00BD33A9"/>
    <w:rsid w:val="00BD33BE"/>
    <w:rsid w:val="00BD3623"/>
    <w:rsid w:val="00BD3792"/>
    <w:rsid w:val="00BD3C72"/>
    <w:rsid w:val="00BD4397"/>
    <w:rsid w:val="00BD4412"/>
    <w:rsid w:val="00BD4548"/>
    <w:rsid w:val="00BD4E12"/>
    <w:rsid w:val="00BD4F07"/>
    <w:rsid w:val="00BD56F8"/>
    <w:rsid w:val="00BD5C57"/>
    <w:rsid w:val="00BD5D4E"/>
    <w:rsid w:val="00BD5F37"/>
    <w:rsid w:val="00BD5F7E"/>
    <w:rsid w:val="00BD6811"/>
    <w:rsid w:val="00BD7991"/>
    <w:rsid w:val="00BD7C45"/>
    <w:rsid w:val="00BD7E30"/>
    <w:rsid w:val="00BE0BDD"/>
    <w:rsid w:val="00BE118B"/>
    <w:rsid w:val="00BE1359"/>
    <w:rsid w:val="00BE1789"/>
    <w:rsid w:val="00BE1C4F"/>
    <w:rsid w:val="00BE21E3"/>
    <w:rsid w:val="00BE305B"/>
    <w:rsid w:val="00BE4D13"/>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25B1"/>
    <w:rsid w:val="00BF2B78"/>
    <w:rsid w:val="00BF2FC3"/>
    <w:rsid w:val="00BF3470"/>
    <w:rsid w:val="00BF3885"/>
    <w:rsid w:val="00BF393B"/>
    <w:rsid w:val="00BF3B94"/>
    <w:rsid w:val="00BF3FF8"/>
    <w:rsid w:val="00BF43F7"/>
    <w:rsid w:val="00BF4C53"/>
    <w:rsid w:val="00BF54DC"/>
    <w:rsid w:val="00BF5748"/>
    <w:rsid w:val="00BF5B81"/>
    <w:rsid w:val="00BF606F"/>
    <w:rsid w:val="00BF6270"/>
    <w:rsid w:val="00BF67B7"/>
    <w:rsid w:val="00BF69FD"/>
    <w:rsid w:val="00BF6A3C"/>
    <w:rsid w:val="00BF703E"/>
    <w:rsid w:val="00BF770B"/>
    <w:rsid w:val="00BF7802"/>
    <w:rsid w:val="00C005F7"/>
    <w:rsid w:val="00C007A6"/>
    <w:rsid w:val="00C01510"/>
    <w:rsid w:val="00C01CEB"/>
    <w:rsid w:val="00C01F6E"/>
    <w:rsid w:val="00C021D2"/>
    <w:rsid w:val="00C023A3"/>
    <w:rsid w:val="00C02B42"/>
    <w:rsid w:val="00C02BED"/>
    <w:rsid w:val="00C02D3C"/>
    <w:rsid w:val="00C03249"/>
    <w:rsid w:val="00C036F7"/>
    <w:rsid w:val="00C03978"/>
    <w:rsid w:val="00C04BA2"/>
    <w:rsid w:val="00C04BAE"/>
    <w:rsid w:val="00C05362"/>
    <w:rsid w:val="00C05537"/>
    <w:rsid w:val="00C05896"/>
    <w:rsid w:val="00C0599A"/>
    <w:rsid w:val="00C05D89"/>
    <w:rsid w:val="00C06A3F"/>
    <w:rsid w:val="00C06A43"/>
    <w:rsid w:val="00C06C42"/>
    <w:rsid w:val="00C06D80"/>
    <w:rsid w:val="00C06EB2"/>
    <w:rsid w:val="00C073DA"/>
    <w:rsid w:val="00C078C1"/>
    <w:rsid w:val="00C079DB"/>
    <w:rsid w:val="00C07A40"/>
    <w:rsid w:val="00C07C15"/>
    <w:rsid w:val="00C1092B"/>
    <w:rsid w:val="00C10A65"/>
    <w:rsid w:val="00C10B9B"/>
    <w:rsid w:val="00C10C30"/>
    <w:rsid w:val="00C1104C"/>
    <w:rsid w:val="00C11577"/>
    <w:rsid w:val="00C11990"/>
    <w:rsid w:val="00C119DA"/>
    <w:rsid w:val="00C11BFF"/>
    <w:rsid w:val="00C11DC5"/>
    <w:rsid w:val="00C11F13"/>
    <w:rsid w:val="00C11F39"/>
    <w:rsid w:val="00C11F55"/>
    <w:rsid w:val="00C12249"/>
    <w:rsid w:val="00C1250E"/>
    <w:rsid w:val="00C1262D"/>
    <w:rsid w:val="00C138E7"/>
    <w:rsid w:val="00C139A1"/>
    <w:rsid w:val="00C13B36"/>
    <w:rsid w:val="00C13D15"/>
    <w:rsid w:val="00C1448C"/>
    <w:rsid w:val="00C145BD"/>
    <w:rsid w:val="00C145FD"/>
    <w:rsid w:val="00C149A6"/>
    <w:rsid w:val="00C14D7A"/>
    <w:rsid w:val="00C14D92"/>
    <w:rsid w:val="00C15028"/>
    <w:rsid w:val="00C153BC"/>
    <w:rsid w:val="00C15BE4"/>
    <w:rsid w:val="00C15FAD"/>
    <w:rsid w:val="00C16490"/>
    <w:rsid w:val="00C168E7"/>
    <w:rsid w:val="00C16CCB"/>
    <w:rsid w:val="00C17059"/>
    <w:rsid w:val="00C17174"/>
    <w:rsid w:val="00C171C5"/>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B05"/>
    <w:rsid w:val="00C24B26"/>
    <w:rsid w:val="00C24D07"/>
    <w:rsid w:val="00C24D29"/>
    <w:rsid w:val="00C24EA5"/>
    <w:rsid w:val="00C25052"/>
    <w:rsid w:val="00C2580C"/>
    <w:rsid w:val="00C25846"/>
    <w:rsid w:val="00C25D31"/>
    <w:rsid w:val="00C262C1"/>
    <w:rsid w:val="00C265D0"/>
    <w:rsid w:val="00C26FE5"/>
    <w:rsid w:val="00C27077"/>
    <w:rsid w:val="00C27F07"/>
    <w:rsid w:val="00C3022B"/>
    <w:rsid w:val="00C30723"/>
    <w:rsid w:val="00C30778"/>
    <w:rsid w:val="00C30AE9"/>
    <w:rsid w:val="00C3137D"/>
    <w:rsid w:val="00C31756"/>
    <w:rsid w:val="00C31F7F"/>
    <w:rsid w:val="00C32186"/>
    <w:rsid w:val="00C323EC"/>
    <w:rsid w:val="00C32893"/>
    <w:rsid w:val="00C32934"/>
    <w:rsid w:val="00C3336D"/>
    <w:rsid w:val="00C334A3"/>
    <w:rsid w:val="00C335AE"/>
    <w:rsid w:val="00C34197"/>
    <w:rsid w:val="00C3427B"/>
    <w:rsid w:val="00C34645"/>
    <w:rsid w:val="00C34E1F"/>
    <w:rsid w:val="00C34F09"/>
    <w:rsid w:val="00C3515D"/>
    <w:rsid w:val="00C357CE"/>
    <w:rsid w:val="00C35C70"/>
    <w:rsid w:val="00C35E26"/>
    <w:rsid w:val="00C361F0"/>
    <w:rsid w:val="00C3626A"/>
    <w:rsid w:val="00C36684"/>
    <w:rsid w:val="00C36DCC"/>
    <w:rsid w:val="00C36F0A"/>
    <w:rsid w:val="00C36F4F"/>
    <w:rsid w:val="00C372CB"/>
    <w:rsid w:val="00C37B23"/>
    <w:rsid w:val="00C37EC3"/>
    <w:rsid w:val="00C400F0"/>
    <w:rsid w:val="00C4067A"/>
    <w:rsid w:val="00C40F21"/>
    <w:rsid w:val="00C411BF"/>
    <w:rsid w:val="00C412AE"/>
    <w:rsid w:val="00C41480"/>
    <w:rsid w:val="00C417F1"/>
    <w:rsid w:val="00C41B33"/>
    <w:rsid w:val="00C41F94"/>
    <w:rsid w:val="00C439E0"/>
    <w:rsid w:val="00C44052"/>
    <w:rsid w:val="00C44368"/>
    <w:rsid w:val="00C44D1E"/>
    <w:rsid w:val="00C44D4E"/>
    <w:rsid w:val="00C46111"/>
    <w:rsid w:val="00C46816"/>
    <w:rsid w:val="00C46822"/>
    <w:rsid w:val="00C468CE"/>
    <w:rsid w:val="00C46C3E"/>
    <w:rsid w:val="00C46CE5"/>
    <w:rsid w:val="00C4706F"/>
    <w:rsid w:val="00C4754A"/>
    <w:rsid w:val="00C47CFC"/>
    <w:rsid w:val="00C50206"/>
    <w:rsid w:val="00C50260"/>
    <w:rsid w:val="00C5065D"/>
    <w:rsid w:val="00C50A99"/>
    <w:rsid w:val="00C512B5"/>
    <w:rsid w:val="00C51395"/>
    <w:rsid w:val="00C51553"/>
    <w:rsid w:val="00C518A5"/>
    <w:rsid w:val="00C51A60"/>
    <w:rsid w:val="00C51FC3"/>
    <w:rsid w:val="00C520E4"/>
    <w:rsid w:val="00C52334"/>
    <w:rsid w:val="00C5261F"/>
    <w:rsid w:val="00C5279F"/>
    <w:rsid w:val="00C52C65"/>
    <w:rsid w:val="00C53110"/>
    <w:rsid w:val="00C53B12"/>
    <w:rsid w:val="00C53B6C"/>
    <w:rsid w:val="00C5406E"/>
    <w:rsid w:val="00C541AB"/>
    <w:rsid w:val="00C541B2"/>
    <w:rsid w:val="00C542C4"/>
    <w:rsid w:val="00C5477D"/>
    <w:rsid w:val="00C54928"/>
    <w:rsid w:val="00C54A44"/>
    <w:rsid w:val="00C54E2A"/>
    <w:rsid w:val="00C54E49"/>
    <w:rsid w:val="00C54FAF"/>
    <w:rsid w:val="00C550C8"/>
    <w:rsid w:val="00C553E2"/>
    <w:rsid w:val="00C558CE"/>
    <w:rsid w:val="00C56403"/>
    <w:rsid w:val="00C5661F"/>
    <w:rsid w:val="00C56FD2"/>
    <w:rsid w:val="00C57085"/>
    <w:rsid w:val="00C575AF"/>
    <w:rsid w:val="00C576FC"/>
    <w:rsid w:val="00C579F3"/>
    <w:rsid w:val="00C57EE1"/>
    <w:rsid w:val="00C60361"/>
    <w:rsid w:val="00C60738"/>
    <w:rsid w:val="00C608D7"/>
    <w:rsid w:val="00C60D9F"/>
    <w:rsid w:val="00C61943"/>
    <w:rsid w:val="00C620BA"/>
    <w:rsid w:val="00C627C5"/>
    <w:rsid w:val="00C6395F"/>
    <w:rsid w:val="00C63C3D"/>
    <w:rsid w:val="00C644BF"/>
    <w:rsid w:val="00C64A43"/>
    <w:rsid w:val="00C65163"/>
    <w:rsid w:val="00C65728"/>
    <w:rsid w:val="00C658F4"/>
    <w:rsid w:val="00C65B6B"/>
    <w:rsid w:val="00C65F2D"/>
    <w:rsid w:val="00C66492"/>
    <w:rsid w:val="00C664AB"/>
    <w:rsid w:val="00C66584"/>
    <w:rsid w:val="00C665A9"/>
    <w:rsid w:val="00C66705"/>
    <w:rsid w:val="00C6747B"/>
    <w:rsid w:val="00C67754"/>
    <w:rsid w:val="00C67895"/>
    <w:rsid w:val="00C67D16"/>
    <w:rsid w:val="00C70254"/>
    <w:rsid w:val="00C703C0"/>
    <w:rsid w:val="00C706D1"/>
    <w:rsid w:val="00C70A4F"/>
    <w:rsid w:val="00C70FAE"/>
    <w:rsid w:val="00C7113D"/>
    <w:rsid w:val="00C71284"/>
    <w:rsid w:val="00C719C3"/>
    <w:rsid w:val="00C724F5"/>
    <w:rsid w:val="00C726F6"/>
    <w:rsid w:val="00C72987"/>
    <w:rsid w:val="00C72BA3"/>
    <w:rsid w:val="00C72DD5"/>
    <w:rsid w:val="00C733A6"/>
    <w:rsid w:val="00C737B0"/>
    <w:rsid w:val="00C73D39"/>
    <w:rsid w:val="00C744A3"/>
    <w:rsid w:val="00C744D7"/>
    <w:rsid w:val="00C75E95"/>
    <w:rsid w:val="00C760ED"/>
    <w:rsid w:val="00C76282"/>
    <w:rsid w:val="00C7675A"/>
    <w:rsid w:val="00C76BB2"/>
    <w:rsid w:val="00C76D5D"/>
    <w:rsid w:val="00C76E9D"/>
    <w:rsid w:val="00C77906"/>
    <w:rsid w:val="00C800A2"/>
    <w:rsid w:val="00C80E18"/>
    <w:rsid w:val="00C816DF"/>
    <w:rsid w:val="00C820EE"/>
    <w:rsid w:val="00C82C1E"/>
    <w:rsid w:val="00C82CD4"/>
    <w:rsid w:val="00C835B6"/>
    <w:rsid w:val="00C84475"/>
    <w:rsid w:val="00C84713"/>
    <w:rsid w:val="00C84758"/>
    <w:rsid w:val="00C853AB"/>
    <w:rsid w:val="00C856EF"/>
    <w:rsid w:val="00C85CAC"/>
    <w:rsid w:val="00C85D45"/>
    <w:rsid w:val="00C85F72"/>
    <w:rsid w:val="00C85FB3"/>
    <w:rsid w:val="00C862C3"/>
    <w:rsid w:val="00C86896"/>
    <w:rsid w:val="00C8732D"/>
    <w:rsid w:val="00C8736D"/>
    <w:rsid w:val="00C875CF"/>
    <w:rsid w:val="00C876E1"/>
    <w:rsid w:val="00C90162"/>
    <w:rsid w:val="00C905DB"/>
    <w:rsid w:val="00C908A9"/>
    <w:rsid w:val="00C908BE"/>
    <w:rsid w:val="00C91507"/>
    <w:rsid w:val="00C9203A"/>
    <w:rsid w:val="00C9230B"/>
    <w:rsid w:val="00C929E1"/>
    <w:rsid w:val="00C92B88"/>
    <w:rsid w:val="00C92F67"/>
    <w:rsid w:val="00C93C36"/>
    <w:rsid w:val="00C93D97"/>
    <w:rsid w:val="00C940C2"/>
    <w:rsid w:val="00C944D1"/>
    <w:rsid w:val="00C948D6"/>
    <w:rsid w:val="00C952E2"/>
    <w:rsid w:val="00C952E9"/>
    <w:rsid w:val="00C95AC8"/>
    <w:rsid w:val="00C95AF0"/>
    <w:rsid w:val="00C95E95"/>
    <w:rsid w:val="00C962BE"/>
    <w:rsid w:val="00C9639C"/>
    <w:rsid w:val="00C96514"/>
    <w:rsid w:val="00C96D4F"/>
    <w:rsid w:val="00C9721E"/>
    <w:rsid w:val="00C972A5"/>
    <w:rsid w:val="00C9760B"/>
    <w:rsid w:val="00C976E0"/>
    <w:rsid w:val="00C9796B"/>
    <w:rsid w:val="00C97C19"/>
    <w:rsid w:val="00CA0174"/>
    <w:rsid w:val="00CA018B"/>
    <w:rsid w:val="00CA05EE"/>
    <w:rsid w:val="00CA0C53"/>
    <w:rsid w:val="00CA0FB8"/>
    <w:rsid w:val="00CA105A"/>
    <w:rsid w:val="00CA1AE4"/>
    <w:rsid w:val="00CA1BC5"/>
    <w:rsid w:val="00CA1E0C"/>
    <w:rsid w:val="00CA1FA7"/>
    <w:rsid w:val="00CA20E3"/>
    <w:rsid w:val="00CA245C"/>
    <w:rsid w:val="00CA26EC"/>
    <w:rsid w:val="00CA3591"/>
    <w:rsid w:val="00CA3AC7"/>
    <w:rsid w:val="00CA423D"/>
    <w:rsid w:val="00CA4AAC"/>
    <w:rsid w:val="00CA4DB5"/>
    <w:rsid w:val="00CA4F70"/>
    <w:rsid w:val="00CA5989"/>
    <w:rsid w:val="00CA5AF9"/>
    <w:rsid w:val="00CA5D0C"/>
    <w:rsid w:val="00CA5E13"/>
    <w:rsid w:val="00CA6101"/>
    <w:rsid w:val="00CA625D"/>
    <w:rsid w:val="00CA642E"/>
    <w:rsid w:val="00CA69FF"/>
    <w:rsid w:val="00CA6F73"/>
    <w:rsid w:val="00CA7A1F"/>
    <w:rsid w:val="00CA7DAF"/>
    <w:rsid w:val="00CB017E"/>
    <w:rsid w:val="00CB0226"/>
    <w:rsid w:val="00CB02C7"/>
    <w:rsid w:val="00CB0717"/>
    <w:rsid w:val="00CB0A65"/>
    <w:rsid w:val="00CB0B17"/>
    <w:rsid w:val="00CB0DC8"/>
    <w:rsid w:val="00CB0FDE"/>
    <w:rsid w:val="00CB1177"/>
    <w:rsid w:val="00CB1618"/>
    <w:rsid w:val="00CB1A88"/>
    <w:rsid w:val="00CB277F"/>
    <w:rsid w:val="00CB2809"/>
    <w:rsid w:val="00CB328B"/>
    <w:rsid w:val="00CB3318"/>
    <w:rsid w:val="00CB357D"/>
    <w:rsid w:val="00CB3628"/>
    <w:rsid w:val="00CB3BC7"/>
    <w:rsid w:val="00CB407C"/>
    <w:rsid w:val="00CB4204"/>
    <w:rsid w:val="00CB46B4"/>
    <w:rsid w:val="00CB4940"/>
    <w:rsid w:val="00CB4A70"/>
    <w:rsid w:val="00CB5D5B"/>
    <w:rsid w:val="00CB68D2"/>
    <w:rsid w:val="00CB6A52"/>
    <w:rsid w:val="00CB6DC0"/>
    <w:rsid w:val="00CB6E94"/>
    <w:rsid w:val="00CB7060"/>
    <w:rsid w:val="00CB763C"/>
    <w:rsid w:val="00CB77F2"/>
    <w:rsid w:val="00CB7DD6"/>
    <w:rsid w:val="00CC0438"/>
    <w:rsid w:val="00CC0563"/>
    <w:rsid w:val="00CC0C66"/>
    <w:rsid w:val="00CC119E"/>
    <w:rsid w:val="00CC13ED"/>
    <w:rsid w:val="00CC140D"/>
    <w:rsid w:val="00CC1E56"/>
    <w:rsid w:val="00CC1EB1"/>
    <w:rsid w:val="00CC2001"/>
    <w:rsid w:val="00CC2270"/>
    <w:rsid w:val="00CC2EC5"/>
    <w:rsid w:val="00CC3277"/>
    <w:rsid w:val="00CC385B"/>
    <w:rsid w:val="00CC3EBF"/>
    <w:rsid w:val="00CC4207"/>
    <w:rsid w:val="00CC51BD"/>
    <w:rsid w:val="00CC5222"/>
    <w:rsid w:val="00CC55CB"/>
    <w:rsid w:val="00CC5775"/>
    <w:rsid w:val="00CC5E22"/>
    <w:rsid w:val="00CC62CD"/>
    <w:rsid w:val="00CC6C6A"/>
    <w:rsid w:val="00CC6E9D"/>
    <w:rsid w:val="00CC6F07"/>
    <w:rsid w:val="00CC702B"/>
    <w:rsid w:val="00CC7881"/>
    <w:rsid w:val="00CC78E6"/>
    <w:rsid w:val="00CC7971"/>
    <w:rsid w:val="00CC7ADD"/>
    <w:rsid w:val="00CC7FEA"/>
    <w:rsid w:val="00CD0422"/>
    <w:rsid w:val="00CD083E"/>
    <w:rsid w:val="00CD0982"/>
    <w:rsid w:val="00CD0FFA"/>
    <w:rsid w:val="00CD104F"/>
    <w:rsid w:val="00CD124B"/>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F38"/>
    <w:rsid w:val="00CD5885"/>
    <w:rsid w:val="00CD5BBC"/>
    <w:rsid w:val="00CD5D11"/>
    <w:rsid w:val="00CD5D93"/>
    <w:rsid w:val="00CD6321"/>
    <w:rsid w:val="00CD63D3"/>
    <w:rsid w:val="00CD6924"/>
    <w:rsid w:val="00CD6FAD"/>
    <w:rsid w:val="00CD7055"/>
    <w:rsid w:val="00CD7340"/>
    <w:rsid w:val="00CD73E8"/>
    <w:rsid w:val="00CD77A8"/>
    <w:rsid w:val="00CD7839"/>
    <w:rsid w:val="00CD78B1"/>
    <w:rsid w:val="00CE047A"/>
    <w:rsid w:val="00CE052C"/>
    <w:rsid w:val="00CE06B1"/>
    <w:rsid w:val="00CE0944"/>
    <w:rsid w:val="00CE0A76"/>
    <w:rsid w:val="00CE13D2"/>
    <w:rsid w:val="00CE166B"/>
    <w:rsid w:val="00CE1B36"/>
    <w:rsid w:val="00CE2362"/>
    <w:rsid w:val="00CE3120"/>
    <w:rsid w:val="00CE32D8"/>
    <w:rsid w:val="00CE37A8"/>
    <w:rsid w:val="00CE3C60"/>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E6F"/>
    <w:rsid w:val="00CF0055"/>
    <w:rsid w:val="00CF15DD"/>
    <w:rsid w:val="00CF1A82"/>
    <w:rsid w:val="00CF2112"/>
    <w:rsid w:val="00CF223D"/>
    <w:rsid w:val="00CF2703"/>
    <w:rsid w:val="00CF2824"/>
    <w:rsid w:val="00CF3526"/>
    <w:rsid w:val="00CF3A33"/>
    <w:rsid w:val="00CF3B3E"/>
    <w:rsid w:val="00CF3C7D"/>
    <w:rsid w:val="00CF3EFD"/>
    <w:rsid w:val="00CF4388"/>
    <w:rsid w:val="00CF45BF"/>
    <w:rsid w:val="00CF51C1"/>
    <w:rsid w:val="00CF548B"/>
    <w:rsid w:val="00CF5B47"/>
    <w:rsid w:val="00CF5B54"/>
    <w:rsid w:val="00CF5EE3"/>
    <w:rsid w:val="00CF6C01"/>
    <w:rsid w:val="00CF6EB7"/>
    <w:rsid w:val="00CF6FDD"/>
    <w:rsid w:val="00CF7105"/>
    <w:rsid w:val="00CF7271"/>
    <w:rsid w:val="00CF72A2"/>
    <w:rsid w:val="00CF7305"/>
    <w:rsid w:val="00D003E5"/>
    <w:rsid w:val="00D005E0"/>
    <w:rsid w:val="00D00AD1"/>
    <w:rsid w:val="00D00C4A"/>
    <w:rsid w:val="00D00FF7"/>
    <w:rsid w:val="00D012FF"/>
    <w:rsid w:val="00D0157B"/>
    <w:rsid w:val="00D01CC4"/>
    <w:rsid w:val="00D01E6B"/>
    <w:rsid w:val="00D03045"/>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9ED"/>
    <w:rsid w:val="00D07EE6"/>
    <w:rsid w:val="00D10853"/>
    <w:rsid w:val="00D1099B"/>
    <w:rsid w:val="00D11417"/>
    <w:rsid w:val="00D1153F"/>
    <w:rsid w:val="00D11995"/>
    <w:rsid w:val="00D11CFD"/>
    <w:rsid w:val="00D12432"/>
    <w:rsid w:val="00D126CF"/>
    <w:rsid w:val="00D12AD9"/>
    <w:rsid w:val="00D1368B"/>
    <w:rsid w:val="00D13808"/>
    <w:rsid w:val="00D14317"/>
    <w:rsid w:val="00D146FE"/>
    <w:rsid w:val="00D151E1"/>
    <w:rsid w:val="00D1581E"/>
    <w:rsid w:val="00D15B75"/>
    <w:rsid w:val="00D15D19"/>
    <w:rsid w:val="00D15D93"/>
    <w:rsid w:val="00D15DA1"/>
    <w:rsid w:val="00D15EEC"/>
    <w:rsid w:val="00D162CB"/>
    <w:rsid w:val="00D1635E"/>
    <w:rsid w:val="00D16380"/>
    <w:rsid w:val="00D163FF"/>
    <w:rsid w:val="00D1643C"/>
    <w:rsid w:val="00D166B5"/>
    <w:rsid w:val="00D167D0"/>
    <w:rsid w:val="00D16E87"/>
    <w:rsid w:val="00D17211"/>
    <w:rsid w:val="00D17335"/>
    <w:rsid w:val="00D1797A"/>
    <w:rsid w:val="00D17BA1"/>
    <w:rsid w:val="00D17BF1"/>
    <w:rsid w:val="00D2079E"/>
    <w:rsid w:val="00D21356"/>
    <w:rsid w:val="00D216EE"/>
    <w:rsid w:val="00D220B5"/>
    <w:rsid w:val="00D223EF"/>
    <w:rsid w:val="00D224CF"/>
    <w:rsid w:val="00D230C1"/>
    <w:rsid w:val="00D230FC"/>
    <w:rsid w:val="00D232D8"/>
    <w:rsid w:val="00D232DC"/>
    <w:rsid w:val="00D233CD"/>
    <w:rsid w:val="00D23500"/>
    <w:rsid w:val="00D23AD3"/>
    <w:rsid w:val="00D23FC0"/>
    <w:rsid w:val="00D23FCE"/>
    <w:rsid w:val="00D2401D"/>
    <w:rsid w:val="00D24364"/>
    <w:rsid w:val="00D24478"/>
    <w:rsid w:val="00D2469E"/>
    <w:rsid w:val="00D2649E"/>
    <w:rsid w:val="00D264D3"/>
    <w:rsid w:val="00D26E62"/>
    <w:rsid w:val="00D27201"/>
    <w:rsid w:val="00D27300"/>
    <w:rsid w:val="00D27875"/>
    <w:rsid w:val="00D307FD"/>
    <w:rsid w:val="00D30A3B"/>
    <w:rsid w:val="00D30DAC"/>
    <w:rsid w:val="00D313FB"/>
    <w:rsid w:val="00D3141B"/>
    <w:rsid w:val="00D319AB"/>
    <w:rsid w:val="00D31A8D"/>
    <w:rsid w:val="00D31E2D"/>
    <w:rsid w:val="00D321E8"/>
    <w:rsid w:val="00D328E1"/>
    <w:rsid w:val="00D329D8"/>
    <w:rsid w:val="00D32E01"/>
    <w:rsid w:val="00D33079"/>
    <w:rsid w:val="00D33975"/>
    <w:rsid w:val="00D33A8C"/>
    <w:rsid w:val="00D34057"/>
    <w:rsid w:val="00D3523D"/>
    <w:rsid w:val="00D35597"/>
    <w:rsid w:val="00D35689"/>
    <w:rsid w:val="00D35D55"/>
    <w:rsid w:val="00D35E06"/>
    <w:rsid w:val="00D365FA"/>
    <w:rsid w:val="00D369BC"/>
    <w:rsid w:val="00D37093"/>
    <w:rsid w:val="00D377E8"/>
    <w:rsid w:val="00D40425"/>
    <w:rsid w:val="00D40BC3"/>
    <w:rsid w:val="00D40D6B"/>
    <w:rsid w:val="00D4129E"/>
    <w:rsid w:val="00D418A3"/>
    <w:rsid w:val="00D41AB6"/>
    <w:rsid w:val="00D42946"/>
    <w:rsid w:val="00D42DEC"/>
    <w:rsid w:val="00D435AE"/>
    <w:rsid w:val="00D43984"/>
    <w:rsid w:val="00D44105"/>
    <w:rsid w:val="00D4459D"/>
    <w:rsid w:val="00D44AEB"/>
    <w:rsid w:val="00D4541B"/>
    <w:rsid w:val="00D45A14"/>
    <w:rsid w:val="00D45A36"/>
    <w:rsid w:val="00D4614C"/>
    <w:rsid w:val="00D46189"/>
    <w:rsid w:val="00D46BE9"/>
    <w:rsid w:val="00D46FA2"/>
    <w:rsid w:val="00D47391"/>
    <w:rsid w:val="00D47451"/>
    <w:rsid w:val="00D47947"/>
    <w:rsid w:val="00D5001E"/>
    <w:rsid w:val="00D50053"/>
    <w:rsid w:val="00D50089"/>
    <w:rsid w:val="00D504FA"/>
    <w:rsid w:val="00D50974"/>
    <w:rsid w:val="00D50F10"/>
    <w:rsid w:val="00D50F83"/>
    <w:rsid w:val="00D511A0"/>
    <w:rsid w:val="00D512D8"/>
    <w:rsid w:val="00D51610"/>
    <w:rsid w:val="00D516DF"/>
    <w:rsid w:val="00D51C73"/>
    <w:rsid w:val="00D51E13"/>
    <w:rsid w:val="00D51F07"/>
    <w:rsid w:val="00D51F15"/>
    <w:rsid w:val="00D52146"/>
    <w:rsid w:val="00D52388"/>
    <w:rsid w:val="00D524AF"/>
    <w:rsid w:val="00D52A8A"/>
    <w:rsid w:val="00D52A96"/>
    <w:rsid w:val="00D52C43"/>
    <w:rsid w:val="00D5329D"/>
    <w:rsid w:val="00D533FE"/>
    <w:rsid w:val="00D534C8"/>
    <w:rsid w:val="00D5372A"/>
    <w:rsid w:val="00D53B22"/>
    <w:rsid w:val="00D54B1D"/>
    <w:rsid w:val="00D54E0F"/>
    <w:rsid w:val="00D5509F"/>
    <w:rsid w:val="00D55425"/>
    <w:rsid w:val="00D55751"/>
    <w:rsid w:val="00D5578A"/>
    <w:rsid w:val="00D55BDD"/>
    <w:rsid w:val="00D5616C"/>
    <w:rsid w:val="00D56AE7"/>
    <w:rsid w:val="00D56C00"/>
    <w:rsid w:val="00D57082"/>
    <w:rsid w:val="00D576CD"/>
    <w:rsid w:val="00D577BB"/>
    <w:rsid w:val="00D57B91"/>
    <w:rsid w:val="00D57E0C"/>
    <w:rsid w:val="00D60E67"/>
    <w:rsid w:val="00D614F6"/>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55"/>
    <w:rsid w:val="00D646AF"/>
    <w:rsid w:val="00D649A1"/>
    <w:rsid w:val="00D64BEA"/>
    <w:rsid w:val="00D653B9"/>
    <w:rsid w:val="00D659DC"/>
    <w:rsid w:val="00D65C02"/>
    <w:rsid w:val="00D65CC7"/>
    <w:rsid w:val="00D65D66"/>
    <w:rsid w:val="00D65E52"/>
    <w:rsid w:val="00D6603B"/>
    <w:rsid w:val="00D661D2"/>
    <w:rsid w:val="00D66410"/>
    <w:rsid w:val="00D66550"/>
    <w:rsid w:val="00D66648"/>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611"/>
    <w:rsid w:val="00D75F19"/>
    <w:rsid w:val="00D767AE"/>
    <w:rsid w:val="00D77AD8"/>
    <w:rsid w:val="00D77EEB"/>
    <w:rsid w:val="00D80605"/>
    <w:rsid w:val="00D80973"/>
    <w:rsid w:val="00D80BD8"/>
    <w:rsid w:val="00D81069"/>
    <w:rsid w:val="00D82216"/>
    <w:rsid w:val="00D8261C"/>
    <w:rsid w:val="00D82A2B"/>
    <w:rsid w:val="00D8301D"/>
    <w:rsid w:val="00D84411"/>
    <w:rsid w:val="00D8473E"/>
    <w:rsid w:val="00D84CE4"/>
    <w:rsid w:val="00D85797"/>
    <w:rsid w:val="00D86255"/>
    <w:rsid w:val="00D863D1"/>
    <w:rsid w:val="00D86464"/>
    <w:rsid w:val="00D872B7"/>
    <w:rsid w:val="00D87DCF"/>
    <w:rsid w:val="00D87F5B"/>
    <w:rsid w:val="00D90125"/>
    <w:rsid w:val="00D90299"/>
    <w:rsid w:val="00D9057B"/>
    <w:rsid w:val="00D9096B"/>
    <w:rsid w:val="00D90ED1"/>
    <w:rsid w:val="00D91A76"/>
    <w:rsid w:val="00D91C34"/>
    <w:rsid w:val="00D91F21"/>
    <w:rsid w:val="00D925C5"/>
    <w:rsid w:val="00D9279F"/>
    <w:rsid w:val="00D92BB0"/>
    <w:rsid w:val="00D92D23"/>
    <w:rsid w:val="00D92E49"/>
    <w:rsid w:val="00D9317C"/>
    <w:rsid w:val="00D935AB"/>
    <w:rsid w:val="00D936B4"/>
    <w:rsid w:val="00D94900"/>
    <w:rsid w:val="00D94E4C"/>
    <w:rsid w:val="00D953F7"/>
    <w:rsid w:val="00D95709"/>
    <w:rsid w:val="00D958D7"/>
    <w:rsid w:val="00D95DC2"/>
    <w:rsid w:val="00D95F5C"/>
    <w:rsid w:val="00D96083"/>
    <w:rsid w:val="00D96248"/>
    <w:rsid w:val="00D966B3"/>
    <w:rsid w:val="00D96AFA"/>
    <w:rsid w:val="00D96B2B"/>
    <w:rsid w:val="00D96D46"/>
    <w:rsid w:val="00D97548"/>
    <w:rsid w:val="00D97B72"/>
    <w:rsid w:val="00D97CF6"/>
    <w:rsid w:val="00DA0B7F"/>
    <w:rsid w:val="00DA0BBE"/>
    <w:rsid w:val="00DA11AE"/>
    <w:rsid w:val="00DA16E5"/>
    <w:rsid w:val="00DA17FF"/>
    <w:rsid w:val="00DA1A59"/>
    <w:rsid w:val="00DA1BE6"/>
    <w:rsid w:val="00DA1BE9"/>
    <w:rsid w:val="00DA1DAA"/>
    <w:rsid w:val="00DA283D"/>
    <w:rsid w:val="00DA2CA6"/>
    <w:rsid w:val="00DA3E12"/>
    <w:rsid w:val="00DA3E52"/>
    <w:rsid w:val="00DA3E70"/>
    <w:rsid w:val="00DA4141"/>
    <w:rsid w:val="00DA417B"/>
    <w:rsid w:val="00DA45BD"/>
    <w:rsid w:val="00DA4B2A"/>
    <w:rsid w:val="00DA5000"/>
    <w:rsid w:val="00DA52EB"/>
    <w:rsid w:val="00DA5CD6"/>
    <w:rsid w:val="00DA6868"/>
    <w:rsid w:val="00DA6DC2"/>
    <w:rsid w:val="00DA7044"/>
    <w:rsid w:val="00DA71A0"/>
    <w:rsid w:val="00DA774A"/>
    <w:rsid w:val="00DA7866"/>
    <w:rsid w:val="00DA7A57"/>
    <w:rsid w:val="00DA7D93"/>
    <w:rsid w:val="00DB0312"/>
    <w:rsid w:val="00DB06ED"/>
    <w:rsid w:val="00DB0ED0"/>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40B"/>
    <w:rsid w:val="00DB656B"/>
    <w:rsid w:val="00DB67AB"/>
    <w:rsid w:val="00DB6A23"/>
    <w:rsid w:val="00DB75BE"/>
    <w:rsid w:val="00DB7945"/>
    <w:rsid w:val="00DB7CD6"/>
    <w:rsid w:val="00DB7D6B"/>
    <w:rsid w:val="00DC00C2"/>
    <w:rsid w:val="00DC01DD"/>
    <w:rsid w:val="00DC02A7"/>
    <w:rsid w:val="00DC13DF"/>
    <w:rsid w:val="00DC198F"/>
    <w:rsid w:val="00DC29D6"/>
    <w:rsid w:val="00DC2DA2"/>
    <w:rsid w:val="00DC2E62"/>
    <w:rsid w:val="00DC2F60"/>
    <w:rsid w:val="00DC2FFF"/>
    <w:rsid w:val="00DC3149"/>
    <w:rsid w:val="00DC317B"/>
    <w:rsid w:val="00DC3328"/>
    <w:rsid w:val="00DC3FB4"/>
    <w:rsid w:val="00DC3FCB"/>
    <w:rsid w:val="00DC430F"/>
    <w:rsid w:val="00DC43B0"/>
    <w:rsid w:val="00DC478C"/>
    <w:rsid w:val="00DC47BF"/>
    <w:rsid w:val="00DC4CEC"/>
    <w:rsid w:val="00DC5F0A"/>
    <w:rsid w:val="00DC6348"/>
    <w:rsid w:val="00DC6447"/>
    <w:rsid w:val="00DC6D0D"/>
    <w:rsid w:val="00DC6F43"/>
    <w:rsid w:val="00DC7686"/>
    <w:rsid w:val="00DD06D7"/>
    <w:rsid w:val="00DD086B"/>
    <w:rsid w:val="00DD0C80"/>
    <w:rsid w:val="00DD1091"/>
    <w:rsid w:val="00DD145B"/>
    <w:rsid w:val="00DD1ACD"/>
    <w:rsid w:val="00DD2409"/>
    <w:rsid w:val="00DD2798"/>
    <w:rsid w:val="00DD2A6B"/>
    <w:rsid w:val="00DD2DB6"/>
    <w:rsid w:val="00DD2FB3"/>
    <w:rsid w:val="00DD3217"/>
    <w:rsid w:val="00DD3A79"/>
    <w:rsid w:val="00DD3CF3"/>
    <w:rsid w:val="00DD3E4D"/>
    <w:rsid w:val="00DD4174"/>
    <w:rsid w:val="00DD418A"/>
    <w:rsid w:val="00DD452E"/>
    <w:rsid w:val="00DD45CC"/>
    <w:rsid w:val="00DD4929"/>
    <w:rsid w:val="00DD4EA1"/>
    <w:rsid w:val="00DD5A5B"/>
    <w:rsid w:val="00DD6998"/>
    <w:rsid w:val="00DD6F84"/>
    <w:rsid w:val="00DD720F"/>
    <w:rsid w:val="00DD7217"/>
    <w:rsid w:val="00DD7514"/>
    <w:rsid w:val="00DD7C32"/>
    <w:rsid w:val="00DD7D9D"/>
    <w:rsid w:val="00DE00A7"/>
    <w:rsid w:val="00DE0A7D"/>
    <w:rsid w:val="00DE0DC9"/>
    <w:rsid w:val="00DE1044"/>
    <w:rsid w:val="00DE12EF"/>
    <w:rsid w:val="00DE19AA"/>
    <w:rsid w:val="00DE1BFE"/>
    <w:rsid w:val="00DE2156"/>
    <w:rsid w:val="00DE367F"/>
    <w:rsid w:val="00DE3E2A"/>
    <w:rsid w:val="00DE4014"/>
    <w:rsid w:val="00DE4973"/>
    <w:rsid w:val="00DE4F7F"/>
    <w:rsid w:val="00DE53D0"/>
    <w:rsid w:val="00DE5469"/>
    <w:rsid w:val="00DE54CA"/>
    <w:rsid w:val="00DE5D83"/>
    <w:rsid w:val="00DE5E44"/>
    <w:rsid w:val="00DE6EC6"/>
    <w:rsid w:val="00DE704F"/>
    <w:rsid w:val="00DE7605"/>
    <w:rsid w:val="00DE7DBA"/>
    <w:rsid w:val="00DE7FB5"/>
    <w:rsid w:val="00DF02A0"/>
    <w:rsid w:val="00DF04DF"/>
    <w:rsid w:val="00DF0953"/>
    <w:rsid w:val="00DF1273"/>
    <w:rsid w:val="00DF322D"/>
    <w:rsid w:val="00DF354D"/>
    <w:rsid w:val="00DF3B05"/>
    <w:rsid w:val="00DF44BC"/>
    <w:rsid w:val="00DF46D2"/>
    <w:rsid w:val="00DF46F0"/>
    <w:rsid w:val="00DF4D9D"/>
    <w:rsid w:val="00DF4F63"/>
    <w:rsid w:val="00DF5209"/>
    <w:rsid w:val="00DF5300"/>
    <w:rsid w:val="00DF571D"/>
    <w:rsid w:val="00DF5724"/>
    <w:rsid w:val="00DF6443"/>
    <w:rsid w:val="00DF649D"/>
    <w:rsid w:val="00DF64D4"/>
    <w:rsid w:val="00DF6D56"/>
    <w:rsid w:val="00DF7103"/>
    <w:rsid w:val="00DF7FFB"/>
    <w:rsid w:val="00E00733"/>
    <w:rsid w:val="00E00948"/>
    <w:rsid w:val="00E00C13"/>
    <w:rsid w:val="00E00C41"/>
    <w:rsid w:val="00E00C46"/>
    <w:rsid w:val="00E01D40"/>
    <w:rsid w:val="00E024F6"/>
    <w:rsid w:val="00E0287E"/>
    <w:rsid w:val="00E02D84"/>
    <w:rsid w:val="00E037FD"/>
    <w:rsid w:val="00E040AB"/>
    <w:rsid w:val="00E04271"/>
    <w:rsid w:val="00E04F0C"/>
    <w:rsid w:val="00E04F96"/>
    <w:rsid w:val="00E053BA"/>
    <w:rsid w:val="00E05420"/>
    <w:rsid w:val="00E0562D"/>
    <w:rsid w:val="00E05C05"/>
    <w:rsid w:val="00E0606D"/>
    <w:rsid w:val="00E06510"/>
    <w:rsid w:val="00E0676D"/>
    <w:rsid w:val="00E06BD4"/>
    <w:rsid w:val="00E06FE5"/>
    <w:rsid w:val="00E072B0"/>
    <w:rsid w:val="00E07619"/>
    <w:rsid w:val="00E07C90"/>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6633"/>
    <w:rsid w:val="00E16C08"/>
    <w:rsid w:val="00E16E19"/>
    <w:rsid w:val="00E1752F"/>
    <w:rsid w:val="00E1769F"/>
    <w:rsid w:val="00E17723"/>
    <w:rsid w:val="00E17930"/>
    <w:rsid w:val="00E20164"/>
    <w:rsid w:val="00E2136F"/>
    <w:rsid w:val="00E21AA6"/>
    <w:rsid w:val="00E223DC"/>
    <w:rsid w:val="00E2304B"/>
    <w:rsid w:val="00E2320D"/>
    <w:rsid w:val="00E23447"/>
    <w:rsid w:val="00E234E0"/>
    <w:rsid w:val="00E23F6C"/>
    <w:rsid w:val="00E23FBF"/>
    <w:rsid w:val="00E24712"/>
    <w:rsid w:val="00E24A35"/>
    <w:rsid w:val="00E24B3E"/>
    <w:rsid w:val="00E24B61"/>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30920"/>
    <w:rsid w:val="00E309C7"/>
    <w:rsid w:val="00E30A90"/>
    <w:rsid w:val="00E30C8A"/>
    <w:rsid w:val="00E30D47"/>
    <w:rsid w:val="00E30F4F"/>
    <w:rsid w:val="00E31008"/>
    <w:rsid w:val="00E31068"/>
    <w:rsid w:val="00E3123A"/>
    <w:rsid w:val="00E312E5"/>
    <w:rsid w:val="00E31699"/>
    <w:rsid w:val="00E31B79"/>
    <w:rsid w:val="00E31CB7"/>
    <w:rsid w:val="00E320A8"/>
    <w:rsid w:val="00E32715"/>
    <w:rsid w:val="00E32844"/>
    <w:rsid w:val="00E32C72"/>
    <w:rsid w:val="00E32D36"/>
    <w:rsid w:val="00E32D82"/>
    <w:rsid w:val="00E32E13"/>
    <w:rsid w:val="00E32E22"/>
    <w:rsid w:val="00E3314E"/>
    <w:rsid w:val="00E33184"/>
    <w:rsid w:val="00E334B8"/>
    <w:rsid w:val="00E335BC"/>
    <w:rsid w:val="00E33C3F"/>
    <w:rsid w:val="00E33C76"/>
    <w:rsid w:val="00E34523"/>
    <w:rsid w:val="00E34B17"/>
    <w:rsid w:val="00E35105"/>
    <w:rsid w:val="00E3511E"/>
    <w:rsid w:val="00E35FC8"/>
    <w:rsid w:val="00E36754"/>
    <w:rsid w:val="00E36B5F"/>
    <w:rsid w:val="00E36F8A"/>
    <w:rsid w:val="00E37035"/>
    <w:rsid w:val="00E37394"/>
    <w:rsid w:val="00E37482"/>
    <w:rsid w:val="00E374E7"/>
    <w:rsid w:val="00E37A6A"/>
    <w:rsid w:val="00E37CC3"/>
    <w:rsid w:val="00E40479"/>
    <w:rsid w:val="00E405ED"/>
    <w:rsid w:val="00E408F2"/>
    <w:rsid w:val="00E40A1D"/>
    <w:rsid w:val="00E40B38"/>
    <w:rsid w:val="00E40FB5"/>
    <w:rsid w:val="00E41233"/>
    <w:rsid w:val="00E41685"/>
    <w:rsid w:val="00E41884"/>
    <w:rsid w:val="00E4192C"/>
    <w:rsid w:val="00E41DF6"/>
    <w:rsid w:val="00E420CB"/>
    <w:rsid w:val="00E4250F"/>
    <w:rsid w:val="00E4281D"/>
    <w:rsid w:val="00E42BB9"/>
    <w:rsid w:val="00E42FB9"/>
    <w:rsid w:val="00E44142"/>
    <w:rsid w:val="00E44577"/>
    <w:rsid w:val="00E446FD"/>
    <w:rsid w:val="00E451B6"/>
    <w:rsid w:val="00E454AD"/>
    <w:rsid w:val="00E455C8"/>
    <w:rsid w:val="00E458B2"/>
    <w:rsid w:val="00E45E3E"/>
    <w:rsid w:val="00E46089"/>
    <w:rsid w:val="00E4671A"/>
    <w:rsid w:val="00E47016"/>
    <w:rsid w:val="00E474DE"/>
    <w:rsid w:val="00E477C2"/>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D9D"/>
    <w:rsid w:val="00E53F98"/>
    <w:rsid w:val="00E540FF"/>
    <w:rsid w:val="00E54446"/>
    <w:rsid w:val="00E54704"/>
    <w:rsid w:val="00E55623"/>
    <w:rsid w:val="00E55753"/>
    <w:rsid w:val="00E55CB7"/>
    <w:rsid w:val="00E55DC8"/>
    <w:rsid w:val="00E55DFE"/>
    <w:rsid w:val="00E56479"/>
    <w:rsid w:val="00E567C7"/>
    <w:rsid w:val="00E56821"/>
    <w:rsid w:val="00E569DE"/>
    <w:rsid w:val="00E56F73"/>
    <w:rsid w:val="00E57111"/>
    <w:rsid w:val="00E574A7"/>
    <w:rsid w:val="00E577CB"/>
    <w:rsid w:val="00E57BEF"/>
    <w:rsid w:val="00E6019E"/>
    <w:rsid w:val="00E603AF"/>
    <w:rsid w:val="00E604FA"/>
    <w:rsid w:val="00E606F4"/>
    <w:rsid w:val="00E60FAB"/>
    <w:rsid w:val="00E6133F"/>
    <w:rsid w:val="00E615BD"/>
    <w:rsid w:val="00E61F48"/>
    <w:rsid w:val="00E62433"/>
    <w:rsid w:val="00E625AF"/>
    <w:rsid w:val="00E62A1B"/>
    <w:rsid w:val="00E62A47"/>
    <w:rsid w:val="00E62B98"/>
    <w:rsid w:val="00E62C01"/>
    <w:rsid w:val="00E62CAF"/>
    <w:rsid w:val="00E62F16"/>
    <w:rsid w:val="00E62F66"/>
    <w:rsid w:val="00E631E5"/>
    <w:rsid w:val="00E6329E"/>
    <w:rsid w:val="00E6390E"/>
    <w:rsid w:val="00E63980"/>
    <w:rsid w:val="00E63D56"/>
    <w:rsid w:val="00E64FA9"/>
    <w:rsid w:val="00E65018"/>
    <w:rsid w:val="00E65948"/>
    <w:rsid w:val="00E659F9"/>
    <w:rsid w:val="00E66387"/>
    <w:rsid w:val="00E664A4"/>
    <w:rsid w:val="00E66BBD"/>
    <w:rsid w:val="00E66CF4"/>
    <w:rsid w:val="00E66EAB"/>
    <w:rsid w:val="00E670E6"/>
    <w:rsid w:val="00E67339"/>
    <w:rsid w:val="00E6734C"/>
    <w:rsid w:val="00E67560"/>
    <w:rsid w:val="00E67B4D"/>
    <w:rsid w:val="00E67B50"/>
    <w:rsid w:val="00E67EF0"/>
    <w:rsid w:val="00E705EE"/>
    <w:rsid w:val="00E70B72"/>
    <w:rsid w:val="00E70C4F"/>
    <w:rsid w:val="00E70E52"/>
    <w:rsid w:val="00E70FDA"/>
    <w:rsid w:val="00E7132D"/>
    <w:rsid w:val="00E713BF"/>
    <w:rsid w:val="00E71BDD"/>
    <w:rsid w:val="00E71F04"/>
    <w:rsid w:val="00E721F6"/>
    <w:rsid w:val="00E722A2"/>
    <w:rsid w:val="00E72681"/>
    <w:rsid w:val="00E729B9"/>
    <w:rsid w:val="00E72A0F"/>
    <w:rsid w:val="00E730FA"/>
    <w:rsid w:val="00E730FF"/>
    <w:rsid w:val="00E742E4"/>
    <w:rsid w:val="00E7464A"/>
    <w:rsid w:val="00E746A4"/>
    <w:rsid w:val="00E74A37"/>
    <w:rsid w:val="00E74F8A"/>
    <w:rsid w:val="00E752A9"/>
    <w:rsid w:val="00E75529"/>
    <w:rsid w:val="00E75D96"/>
    <w:rsid w:val="00E75DC3"/>
    <w:rsid w:val="00E76B6E"/>
    <w:rsid w:val="00E76D6E"/>
    <w:rsid w:val="00E76DCC"/>
    <w:rsid w:val="00E7757E"/>
    <w:rsid w:val="00E7789E"/>
    <w:rsid w:val="00E77A75"/>
    <w:rsid w:val="00E77B23"/>
    <w:rsid w:val="00E77B96"/>
    <w:rsid w:val="00E77C14"/>
    <w:rsid w:val="00E77D56"/>
    <w:rsid w:val="00E80364"/>
    <w:rsid w:val="00E80511"/>
    <w:rsid w:val="00E80C27"/>
    <w:rsid w:val="00E8108F"/>
    <w:rsid w:val="00E81C1A"/>
    <w:rsid w:val="00E81C1F"/>
    <w:rsid w:val="00E822F5"/>
    <w:rsid w:val="00E82AA4"/>
    <w:rsid w:val="00E82F03"/>
    <w:rsid w:val="00E832CF"/>
    <w:rsid w:val="00E83C04"/>
    <w:rsid w:val="00E83F2F"/>
    <w:rsid w:val="00E843F7"/>
    <w:rsid w:val="00E846F7"/>
    <w:rsid w:val="00E84FD5"/>
    <w:rsid w:val="00E850D4"/>
    <w:rsid w:val="00E8551B"/>
    <w:rsid w:val="00E85DE8"/>
    <w:rsid w:val="00E86E7A"/>
    <w:rsid w:val="00E87263"/>
    <w:rsid w:val="00E8727C"/>
    <w:rsid w:val="00E878A3"/>
    <w:rsid w:val="00E900A4"/>
    <w:rsid w:val="00E902E8"/>
    <w:rsid w:val="00E9033D"/>
    <w:rsid w:val="00E9041B"/>
    <w:rsid w:val="00E9076C"/>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584"/>
    <w:rsid w:val="00E94D45"/>
    <w:rsid w:val="00E94EC8"/>
    <w:rsid w:val="00E95C26"/>
    <w:rsid w:val="00E95CEA"/>
    <w:rsid w:val="00E962EC"/>
    <w:rsid w:val="00E963CD"/>
    <w:rsid w:val="00E967F1"/>
    <w:rsid w:val="00E976D8"/>
    <w:rsid w:val="00E97FE2"/>
    <w:rsid w:val="00EA08E8"/>
    <w:rsid w:val="00EA0F7E"/>
    <w:rsid w:val="00EA13BF"/>
    <w:rsid w:val="00EA1457"/>
    <w:rsid w:val="00EA1903"/>
    <w:rsid w:val="00EA19A5"/>
    <w:rsid w:val="00EA1A5A"/>
    <w:rsid w:val="00EA1B3C"/>
    <w:rsid w:val="00EA24AE"/>
    <w:rsid w:val="00EA258D"/>
    <w:rsid w:val="00EA28DA"/>
    <w:rsid w:val="00EA2FC0"/>
    <w:rsid w:val="00EA3085"/>
    <w:rsid w:val="00EA3446"/>
    <w:rsid w:val="00EA3CD8"/>
    <w:rsid w:val="00EA3F5C"/>
    <w:rsid w:val="00EA4397"/>
    <w:rsid w:val="00EA4816"/>
    <w:rsid w:val="00EA48E1"/>
    <w:rsid w:val="00EA499D"/>
    <w:rsid w:val="00EA4E8E"/>
    <w:rsid w:val="00EA4F02"/>
    <w:rsid w:val="00EA4FFF"/>
    <w:rsid w:val="00EA5245"/>
    <w:rsid w:val="00EA537D"/>
    <w:rsid w:val="00EA53F7"/>
    <w:rsid w:val="00EA54AD"/>
    <w:rsid w:val="00EA58A0"/>
    <w:rsid w:val="00EA5AE3"/>
    <w:rsid w:val="00EA5C8C"/>
    <w:rsid w:val="00EA5ECB"/>
    <w:rsid w:val="00EA5F70"/>
    <w:rsid w:val="00EA62F8"/>
    <w:rsid w:val="00EA6AA1"/>
    <w:rsid w:val="00EA6B56"/>
    <w:rsid w:val="00EA6D49"/>
    <w:rsid w:val="00EA73DC"/>
    <w:rsid w:val="00EA7D0C"/>
    <w:rsid w:val="00EA7F0B"/>
    <w:rsid w:val="00EB0CCF"/>
    <w:rsid w:val="00EB0DA5"/>
    <w:rsid w:val="00EB0DAE"/>
    <w:rsid w:val="00EB114C"/>
    <w:rsid w:val="00EB1720"/>
    <w:rsid w:val="00EB18C0"/>
    <w:rsid w:val="00EB1A28"/>
    <w:rsid w:val="00EB1B2E"/>
    <w:rsid w:val="00EB20F4"/>
    <w:rsid w:val="00EB2329"/>
    <w:rsid w:val="00EB2447"/>
    <w:rsid w:val="00EB2490"/>
    <w:rsid w:val="00EB2737"/>
    <w:rsid w:val="00EB2952"/>
    <w:rsid w:val="00EB3F05"/>
    <w:rsid w:val="00EB4207"/>
    <w:rsid w:val="00EB4FDF"/>
    <w:rsid w:val="00EB506D"/>
    <w:rsid w:val="00EB53CC"/>
    <w:rsid w:val="00EB56C4"/>
    <w:rsid w:val="00EB5955"/>
    <w:rsid w:val="00EB626F"/>
    <w:rsid w:val="00EB6662"/>
    <w:rsid w:val="00EB6903"/>
    <w:rsid w:val="00EB6B3E"/>
    <w:rsid w:val="00EB6E71"/>
    <w:rsid w:val="00EB6F12"/>
    <w:rsid w:val="00EB6FF7"/>
    <w:rsid w:val="00EB7749"/>
    <w:rsid w:val="00EC05E1"/>
    <w:rsid w:val="00EC07BA"/>
    <w:rsid w:val="00EC08E4"/>
    <w:rsid w:val="00EC1186"/>
    <w:rsid w:val="00EC184E"/>
    <w:rsid w:val="00EC1D37"/>
    <w:rsid w:val="00EC20F4"/>
    <w:rsid w:val="00EC23D8"/>
    <w:rsid w:val="00EC25BB"/>
    <w:rsid w:val="00EC2FAC"/>
    <w:rsid w:val="00EC3785"/>
    <w:rsid w:val="00EC3B28"/>
    <w:rsid w:val="00EC3B2D"/>
    <w:rsid w:val="00EC3E5A"/>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A7F"/>
    <w:rsid w:val="00ED1C5D"/>
    <w:rsid w:val="00ED20BB"/>
    <w:rsid w:val="00ED22C5"/>
    <w:rsid w:val="00ED307B"/>
    <w:rsid w:val="00ED3503"/>
    <w:rsid w:val="00ED40E1"/>
    <w:rsid w:val="00ED4A2E"/>
    <w:rsid w:val="00ED4B4F"/>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4C6"/>
    <w:rsid w:val="00EE5562"/>
    <w:rsid w:val="00EE59FC"/>
    <w:rsid w:val="00EE5ACC"/>
    <w:rsid w:val="00EE5C23"/>
    <w:rsid w:val="00EE6462"/>
    <w:rsid w:val="00EE67FE"/>
    <w:rsid w:val="00EE6BDD"/>
    <w:rsid w:val="00EE703E"/>
    <w:rsid w:val="00EE7105"/>
    <w:rsid w:val="00EE76F0"/>
    <w:rsid w:val="00EE795F"/>
    <w:rsid w:val="00EE7B1C"/>
    <w:rsid w:val="00EF02BD"/>
    <w:rsid w:val="00EF070A"/>
    <w:rsid w:val="00EF0965"/>
    <w:rsid w:val="00EF0986"/>
    <w:rsid w:val="00EF123E"/>
    <w:rsid w:val="00EF1350"/>
    <w:rsid w:val="00EF13A5"/>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58E5"/>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629"/>
    <w:rsid w:val="00F116E1"/>
    <w:rsid w:val="00F11AA5"/>
    <w:rsid w:val="00F11E55"/>
    <w:rsid w:val="00F11F89"/>
    <w:rsid w:val="00F1210C"/>
    <w:rsid w:val="00F128DE"/>
    <w:rsid w:val="00F129A2"/>
    <w:rsid w:val="00F12AF2"/>
    <w:rsid w:val="00F12B5D"/>
    <w:rsid w:val="00F12DF4"/>
    <w:rsid w:val="00F13400"/>
    <w:rsid w:val="00F13708"/>
    <w:rsid w:val="00F1411B"/>
    <w:rsid w:val="00F148AE"/>
    <w:rsid w:val="00F149A9"/>
    <w:rsid w:val="00F14C07"/>
    <w:rsid w:val="00F14C0C"/>
    <w:rsid w:val="00F14CD6"/>
    <w:rsid w:val="00F14CF7"/>
    <w:rsid w:val="00F14EB1"/>
    <w:rsid w:val="00F154D7"/>
    <w:rsid w:val="00F1585C"/>
    <w:rsid w:val="00F15CEA"/>
    <w:rsid w:val="00F15FFE"/>
    <w:rsid w:val="00F16901"/>
    <w:rsid w:val="00F16B69"/>
    <w:rsid w:val="00F16FA4"/>
    <w:rsid w:val="00F17085"/>
    <w:rsid w:val="00F170D8"/>
    <w:rsid w:val="00F17267"/>
    <w:rsid w:val="00F20697"/>
    <w:rsid w:val="00F20B66"/>
    <w:rsid w:val="00F20C05"/>
    <w:rsid w:val="00F20DA4"/>
    <w:rsid w:val="00F211C9"/>
    <w:rsid w:val="00F21448"/>
    <w:rsid w:val="00F215D1"/>
    <w:rsid w:val="00F2210C"/>
    <w:rsid w:val="00F22C32"/>
    <w:rsid w:val="00F22F2A"/>
    <w:rsid w:val="00F23087"/>
    <w:rsid w:val="00F231FB"/>
    <w:rsid w:val="00F2407D"/>
    <w:rsid w:val="00F243C4"/>
    <w:rsid w:val="00F243FF"/>
    <w:rsid w:val="00F24FF2"/>
    <w:rsid w:val="00F2515E"/>
    <w:rsid w:val="00F25199"/>
    <w:rsid w:val="00F251C3"/>
    <w:rsid w:val="00F254D8"/>
    <w:rsid w:val="00F25953"/>
    <w:rsid w:val="00F25CD3"/>
    <w:rsid w:val="00F268BF"/>
    <w:rsid w:val="00F26A46"/>
    <w:rsid w:val="00F26F86"/>
    <w:rsid w:val="00F2780A"/>
    <w:rsid w:val="00F30186"/>
    <w:rsid w:val="00F304A4"/>
    <w:rsid w:val="00F30B28"/>
    <w:rsid w:val="00F314EF"/>
    <w:rsid w:val="00F3167E"/>
    <w:rsid w:val="00F320E3"/>
    <w:rsid w:val="00F3265E"/>
    <w:rsid w:val="00F332B2"/>
    <w:rsid w:val="00F33C57"/>
    <w:rsid w:val="00F33DD2"/>
    <w:rsid w:val="00F33E94"/>
    <w:rsid w:val="00F33F0D"/>
    <w:rsid w:val="00F34D2E"/>
    <w:rsid w:val="00F350BF"/>
    <w:rsid w:val="00F352BD"/>
    <w:rsid w:val="00F357B7"/>
    <w:rsid w:val="00F357CE"/>
    <w:rsid w:val="00F3589E"/>
    <w:rsid w:val="00F35DAE"/>
    <w:rsid w:val="00F35E2B"/>
    <w:rsid w:val="00F368F2"/>
    <w:rsid w:val="00F36C7D"/>
    <w:rsid w:val="00F36FB5"/>
    <w:rsid w:val="00F3715D"/>
    <w:rsid w:val="00F374F7"/>
    <w:rsid w:val="00F3784C"/>
    <w:rsid w:val="00F37A09"/>
    <w:rsid w:val="00F404BF"/>
    <w:rsid w:val="00F404D3"/>
    <w:rsid w:val="00F405B4"/>
    <w:rsid w:val="00F40EB5"/>
    <w:rsid w:val="00F40F31"/>
    <w:rsid w:val="00F41380"/>
    <w:rsid w:val="00F41421"/>
    <w:rsid w:val="00F4174A"/>
    <w:rsid w:val="00F41886"/>
    <w:rsid w:val="00F419C3"/>
    <w:rsid w:val="00F41A80"/>
    <w:rsid w:val="00F41C4B"/>
    <w:rsid w:val="00F42207"/>
    <w:rsid w:val="00F422BC"/>
    <w:rsid w:val="00F4244B"/>
    <w:rsid w:val="00F42798"/>
    <w:rsid w:val="00F4311B"/>
    <w:rsid w:val="00F43206"/>
    <w:rsid w:val="00F4322A"/>
    <w:rsid w:val="00F4343F"/>
    <w:rsid w:val="00F435B6"/>
    <w:rsid w:val="00F43849"/>
    <w:rsid w:val="00F4392C"/>
    <w:rsid w:val="00F4452C"/>
    <w:rsid w:val="00F448F9"/>
    <w:rsid w:val="00F44EC7"/>
    <w:rsid w:val="00F44F4A"/>
    <w:rsid w:val="00F452E7"/>
    <w:rsid w:val="00F45E3F"/>
    <w:rsid w:val="00F46502"/>
    <w:rsid w:val="00F4670C"/>
    <w:rsid w:val="00F467C0"/>
    <w:rsid w:val="00F47C6B"/>
    <w:rsid w:val="00F5002C"/>
    <w:rsid w:val="00F503D2"/>
    <w:rsid w:val="00F505AC"/>
    <w:rsid w:val="00F505CD"/>
    <w:rsid w:val="00F50603"/>
    <w:rsid w:val="00F50C03"/>
    <w:rsid w:val="00F50C0F"/>
    <w:rsid w:val="00F50E6A"/>
    <w:rsid w:val="00F50F47"/>
    <w:rsid w:val="00F5154E"/>
    <w:rsid w:val="00F51899"/>
    <w:rsid w:val="00F51E43"/>
    <w:rsid w:val="00F51F74"/>
    <w:rsid w:val="00F52068"/>
    <w:rsid w:val="00F523D3"/>
    <w:rsid w:val="00F5253A"/>
    <w:rsid w:val="00F5325B"/>
    <w:rsid w:val="00F53585"/>
    <w:rsid w:val="00F53AF0"/>
    <w:rsid w:val="00F53C00"/>
    <w:rsid w:val="00F54084"/>
    <w:rsid w:val="00F544DD"/>
    <w:rsid w:val="00F552F9"/>
    <w:rsid w:val="00F55337"/>
    <w:rsid w:val="00F55BB0"/>
    <w:rsid w:val="00F55F0A"/>
    <w:rsid w:val="00F560C8"/>
    <w:rsid w:val="00F562DF"/>
    <w:rsid w:val="00F5636E"/>
    <w:rsid w:val="00F5652C"/>
    <w:rsid w:val="00F568F6"/>
    <w:rsid w:val="00F56BEF"/>
    <w:rsid w:val="00F57843"/>
    <w:rsid w:val="00F578D7"/>
    <w:rsid w:val="00F57C49"/>
    <w:rsid w:val="00F57D6B"/>
    <w:rsid w:val="00F608A9"/>
    <w:rsid w:val="00F609BF"/>
    <w:rsid w:val="00F60A98"/>
    <w:rsid w:val="00F60FD9"/>
    <w:rsid w:val="00F618C5"/>
    <w:rsid w:val="00F619E0"/>
    <w:rsid w:val="00F61A38"/>
    <w:rsid w:val="00F61B4D"/>
    <w:rsid w:val="00F61B54"/>
    <w:rsid w:val="00F622E5"/>
    <w:rsid w:val="00F626FF"/>
    <w:rsid w:val="00F62A13"/>
    <w:rsid w:val="00F63036"/>
    <w:rsid w:val="00F6380C"/>
    <w:rsid w:val="00F63E23"/>
    <w:rsid w:val="00F64675"/>
    <w:rsid w:val="00F647C8"/>
    <w:rsid w:val="00F64D24"/>
    <w:rsid w:val="00F64E0F"/>
    <w:rsid w:val="00F65102"/>
    <w:rsid w:val="00F652AD"/>
    <w:rsid w:val="00F652B8"/>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F11"/>
    <w:rsid w:val="00F72F51"/>
    <w:rsid w:val="00F733A2"/>
    <w:rsid w:val="00F73999"/>
    <w:rsid w:val="00F73AB3"/>
    <w:rsid w:val="00F73AB7"/>
    <w:rsid w:val="00F7566A"/>
    <w:rsid w:val="00F76268"/>
    <w:rsid w:val="00F76CF3"/>
    <w:rsid w:val="00F76CF4"/>
    <w:rsid w:val="00F76DA3"/>
    <w:rsid w:val="00F7718B"/>
    <w:rsid w:val="00F77BCA"/>
    <w:rsid w:val="00F77E7B"/>
    <w:rsid w:val="00F80519"/>
    <w:rsid w:val="00F805CA"/>
    <w:rsid w:val="00F807A4"/>
    <w:rsid w:val="00F8099E"/>
    <w:rsid w:val="00F809ED"/>
    <w:rsid w:val="00F80DD8"/>
    <w:rsid w:val="00F81288"/>
    <w:rsid w:val="00F81914"/>
    <w:rsid w:val="00F81B7D"/>
    <w:rsid w:val="00F8215F"/>
    <w:rsid w:val="00F824D5"/>
    <w:rsid w:val="00F82628"/>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675D"/>
    <w:rsid w:val="00F86E2D"/>
    <w:rsid w:val="00F870B7"/>
    <w:rsid w:val="00F875EE"/>
    <w:rsid w:val="00F87B71"/>
    <w:rsid w:val="00F87E36"/>
    <w:rsid w:val="00F87EB0"/>
    <w:rsid w:val="00F90408"/>
    <w:rsid w:val="00F9052C"/>
    <w:rsid w:val="00F90EBF"/>
    <w:rsid w:val="00F9135D"/>
    <w:rsid w:val="00F915BE"/>
    <w:rsid w:val="00F9176D"/>
    <w:rsid w:val="00F91AD8"/>
    <w:rsid w:val="00F91B71"/>
    <w:rsid w:val="00F91BA8"/>
    <w:rsid w:val="00F9207A"/>
    <w:rsid w:val="00F920DB"/>
    <w:rsid w:val="00F922F2"/>
    <w:rsid w:val="00F924E5"/>
    <w:rsid w:val="00F9260F"/>
    <w:rsid w:val="00F9308E"/>
    <w:rsid w:val="00F93740"/>
    <w:rsid w:val="00F938D1"/>
    <w:rsid w:val="00F9404B"/>
    <w:rsid w:val="00F9493C"/>
    <w:rsid w:val="00F95091"/>
    <w:rsid w:val="00F954F8"/>
    <w:rsid w:val="00F95B4E"/>
    <w:rsid w:val="00F95D20"/>
    <w:rsid w:val="00F95E64"/>
    <w:rsid w:val="00F960B8"/>
    <w:rsid w:val="00F9649D"/>
    <w:rsid w:val="00F967C4"/>
    <w:rsid w:val="00F96A46"/>
    <w:rsid w:val="00F96BB8"/>
    <w:rsid w:val="00F9713E"/>
    <w:rsid w:val="00F973C6"/>
    <w:rsid w:val="00F97647"/>
    <w:rsid w:val="00F97724"/>
    <w:rsid w:val="00F97A19"/>
    <w:rsid w:val="00F97FB2"/>
    <w:rsid w:val="00FA068B"/>
    <w:rsid w:val="00FA112C"/>
    <w:rsid w:val="00FA1973"/>
    <w:rsid w:val="00FA1B1B"/>
    <w:rsid w:val="00FA20F0"/>
    <w:rsid w:val="00FA2534"/>
    <w:rsid w:val="00FA25D7"/>
    <w:rsid w:val="00FA2BC2"/>
    <w:rsid w:val="00FA2D57"/>
    <w:rsid w:val="00FA313D"/>
    <w:rsid w:val="00FA37EA"/>
    <w:rsid w:val="00FA381E"/>
    <w:rsid w:val="00FA3DE3"/>
    <w:rsid w:val="00FA3F50"/>
    <w:rsid w:val="00FA46AF"/>
    <w:rsid w:val="00FA4826"/>
    <w:rsid w:val="00FA4A25"/>
    <w:rsid w:val="00FA4C5D"/>
    <w:rsid w:val="00FA52C8"/>
    <w:rsid w:val="00FA54B2"/>
    <w:rsid w:val="00FA5642"/>
    <w:rsid w:val="00FA5812"/>
    <w:rsid w:val="00FA59CD"/>
    <w:rsid w:val="00FA73E4"/>
    <w:rsid w:val="00FA7990"/>
    <w:rsid w:val="00FA79FD"/>
    <w:rsid w:val="00FA7A7E"/>
    <w:rsid w:val="00FA7CB7"/>
    <w:rsid w:val="00FA7E50"/>
    <w:rsid w:val="00FB01A1"/>
    <w:rsid w:val="00FB07FC"/>
    <w:rsid w:val="00FB1180"/>
    <w:rsid w:val="00FB15B5"/>
    <w:rsid w:val="00FB174F"/>
    <w:rsid w:val="00FB1FEB"/>
    <w:rsid w:val="00FB22AB"/>
    <w:rsid w:val="00FB22D6"/>
    <w:rsid w:val="00FB2BD9"/>
    <w:rsid w:val="00FB2C51"/>
    <w:rsid w:val="00FB3935"/>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7318"/>
    <w:rsid w:val="00FB77DE"/>
    <w:rsid w:val="00FC0251"/>
    <w:rsid w:val="00FC0440"/>
    <w:rsid w:val="00FC05D8"/>
    <w:rsid w:val="00FC1102"/>
    <w:rsid w:val="00FC16AD"/>
    <w:rsid w:val="00FC1F94"/>
    <w:rsid w:val="00FC2E23"/>
    <w:rsid w:val="00FC3241"/>
    <w:rsid w:val="00FC374E"/>
    <w:rsid w:val="00FC3BB3"/>
    <w:rsid w:val="00FC3ED9"/>
    <w:rsid w:val="00FC4018"/>
    <w:rsid w:val="00FC48E6"/>
    <w:rsid w:val="00FC501B"/>
    <w:rsid w:val="00FC5443"/>
    <w:rsid w:val="00FC54D5"/>
    <w:rsid w:val="00FC6550"/>
    <w:rsid w:val="00FC6576"/>
    <w:rsid w:val="00FC664D"/>
    <w:rsid w:val="00FC737A"/>
    <w:rsid w:val="00FC7844"/>
    <w:rsid w:val="00FC78E5"/>
    <w:rsid w:val="00FC7EA9"/>
    <w:rsid w:val="00FD0189"/>
    <w:rsid w:val="00FD05FF"/>
    <w:rsid w:val="00FD0A8B"/>
    <w:rsid w:val="00FD0CE5"/>
    <w:rsid w:val="00FD126A"/>
    <w:rsid w:val="00FD14E5"/>
    <w:rsid w:val="00FD14F6"/>
    <w:rsid w:val="00FD1512"/>
    <w:rsid w:val="00FD1AB4"/>
    <w:rsid w:val="00FD1DDF"/>
    <w:rsid w:val="00FD20B7"/>
    <w:rsid w:val="00FD2217"/>
    <w:rsid w:val="00FD28E8"/>
    <w:rsid w:val="00FD30D5"/>
    <w:rsid w:val="00FD3330"/>
    <w:rsid w:val="00FD3355"/>
    <w:rsid w:val="00FD3CF7"/>
    <w:rsid w:val="00FD472A"/>
    <w:rsid w:val="00FD4FCC"/>
    <w:rsid w:val="00FD522F"/>
    <w:rsid w:val="00FD55AE"/>
    <w:rsid w:val="00FD5690"/>
    <w:rsid w:val="00FD5736"/>
    <w:rsid w:val="00FD5A00"/>
    <w:rsid w:val="00FD5F89"/>
    <w:rsid w:val="00FD620A"/>
    <w:rsid w:val="00FD6307"/>
    <w:rsid w:val="00FD6570"/>
    <w:rsid w:val="00FD66E5"/>
    <w:rsid w:val="00FD6EA4"/>
    <w:rsid w:val="00FD6FCC"/>
    <w:rsid w:val="00FD70CB"/>
    <w:rsid w:val="00FD728E"/>
    <w:rsid w:val="00FD79A7"/>
    <w:rsid w:val="00FD7DB9"/>
    <w:rsid w:val="00FD7E42"/>
    <w:rsid w:val="00FE0841"/>
    <w:rsid w:val="00FE08FD"/>
    <w:rsid w:val="00FE09AB"/>
    <w:rsid w:val="00FE12A5"/>
    <w:rsid w:val="00FE1352"/>
    <w:rsid w:val="00FE1B58"/>
    <w:rsid w:val="00FE1DFA"/>
    <w:rsid w:val="00FE1EDA"/>
    <w:rsid w:val="00FE1F3B"/>
    <w:rsid w:val="00FE22CB"/>
    <w:rsid w:val="00FE25F1"/>
    <w:rsid w:val="00FE2859"/>
    <w:rsid w:val="00FE2A81"/>
    <w:rsid w:val="00FE2F6A"/>
    <w:rsid w:val="00FE303A"/>
    <w:rsid w:val="00FE324D"/>
    <w:rsid w:val="00FE345D"/>
    <w:rsid w:val="00FE35CD"/>
    <w:rsid w:val="00FE486C"/>
    <w:rsid w:val="00FE489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1FCE"/>
    <w:rsid w:val="00FF2234"/>
    <w:rsid w:val="00FF290B"/>
    <w:rsid w:val="00FF2B9E"/>
    <w:rsid w:val="00FF320D"/>
    <w:rsid w:val="00FF33BD"/>
    <w:rsid w:val="00FF39CB"/>
    <w:rsid w:val="00FF3B8C"/>
    <w:rsid w:val="00FF3C13"/>
    <w:rsid w:val="00FF3CEA"/>
    <w:rsid w:val="00FF3F18"/>
    <w:rsid w:val="00FF3F6C"/>
    <w:rsid w:val="00FF4169"/>
    <w:rsid w:val="00FF42CC"/>
    <w:rsid w:val="00FF4B56"/>
    <w:rsid w:val="00FF4D79"/>
    <w:rsid w:val="00FF4FD5"/>
    <w:rsid w:val="00FF57C0"/>
    <w:rsid w:val="00FF582B"/>
    <w:rsid w:val="00FF6702"/>
    <w:rsid w:val="00FF6822"/>
    <w:rsid w:val="00FF7188"/>
    <w:rsid w:val="00FF729A"/>
    <w:rsid w:val="00FF72DC"/>
    <w:rsid w:val="00FF750F"/>
    <w:rsid w:val="00FF76DE"/>
    <w:rsid w:val="00FF7785"/>
    <w:rsid w:val="00FF79FE"/>
    <w:rsid w:val="014B5628"/>
    <w:rsid w:val="01F16DA1"/>
    <w:rsid w:val="0333E670"/>
    <w:rsid w:val="041D209C"/>
    <w:rsid w:val="043C57EC"/>
    <w:rsid w:val="04BB11A1"/>
    <w:rsid w:val="058FA7A4"/>
    <w:rsid w:val="06005FEE"/>
    <w:rsid w:val="078BE711"/>
    <w:rsid w:val="07F78205"/>
    <w:rsid w:val="0854CC19"/>
    <w:rsid w:val="09543A32"/>
    <w:rsid w:val="0A4C4ABD"/>
    <w:rsid w:val="0A4FC3FF"/>
    <w:rsid w:val="0B3925A0"/>
    <w:rsid w:val="0B73118C"/>
    <w:rsid w:val="0CA28577"/>
    <w:rsid w:val="0D8DE997"/>
    <w:rsid w:val="0D8F4292"/>
    <w:rsid w:val="0DEB1C25"/>
    <w:rsid w:val="0E36405D"/>
    <w:rsid w:val="0F54049D"/>
    <w:rsid w:val="0FEBE1A2"/>
    <w:rsid w:val="100FD4F8"/>
    <w:rsid w:val="102748D8"/>
    <w:rsid w:val="1043C596"/>
    <w:rsid w:val="1126EF65"/>
    <w:rsid w:val="118A7D25"/>
    <w:rsid w:val="11953AA7"/>
    <w:rsid w:val="11AA3635"/>
    <w:rsid w:val="11E22C4A"/>
    <w:rsid w:val="11F337C5"/>
    <w:rsid w:val="12747E9C"/>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720DF57"/>
    <w:rsid w:val="17E8631C"/>
    <w:rsid w:val="186859BF"/>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E8F60B"/>
    <w:rsid w:val="24F34C19"/>
    <w:rsid w:val="251C9BC1"/>
    <w:rsid w:val="253E6860"/>
    <w:rsid w:val="259608BA"/>
    <w:rsid w:val="259F9060"/>
    <w:rsid w:val="25C6C36D"/>
    <w:rsid w:val="25DC6844"/>
    <w:rsid w:val="264A2EC2"/>
    <w:rsid w:val="270E0195"/>
    <w:rsid w:val="271192AC"/>
    <w:rsid w:val="276293CE"/>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308A5FD7"/>
    <w:rsid w:val="310175D0"/>
    <w:rsid w:val="31AE206B"/>
    <w:rsid w:val="31D37B44"/>
    <w:rsid w:val="328C3F19"/>
    <w:rsid w:val="32A1397B"/>
    <w:rsid w:val="32CAA2FF"/>
    <w:rsid w:val="340ACC72"/>
    <w:rsid w:val="343A7F00"/>
    <w:rsid w:val="343D9B3A"/>
    <w:rsid w:val="344F9BD2"/>
    <w:rsid w:val="34A95211"/>
    <w:rsid w:val="361FEA63"/>
    <w:rsid w:val="3636F0CC"/>
    <w:rsid w:val="36977FDB"/>
    <w:rsid w:val="369F1C3E"/>
    <w:rsid w:val="372C27B2"/>
    <w:rsid w:val="375EF10E"/>
    <w:rsid w:val="38298770"/>
    <w:rsid w:val="386A6ABE"/>
    <w:rsid w:val="38EEFBB7"/>
    <w:rsid w:val="3A07EE03"/>
    <w:rsid w:val="3A6AC0FB"/>
    <w:rsid w:val="3B23B98C"/>
    <w:rsid w:val="3B89C63E"/>
    <w:rsid w:val="3BB13E8F"/>
    <w:rsid w:val="3BD54CE3"/>
    <w:rsid w:val="3BE12563"/>
    <w:rsid w:val="3C193C93"/>
    <w:rsid w:val="3CF62062"/>
    <w:rsid w:val="3E948AA2"/>
    <w:rsid w:val="3F4CDCA8"/>
    <w:rsid w:val="3F6F9D44"/>
    <w:rsid w:val="3F8E8B61"/>
    <w:rsid w:val="40642A80"/>
    <w:rsid w:val="417E8D10"/>
    <w:rsid w:val="429E3092"/>
    <w:rsid w:val="42AA2F68"/>
    <w:rsid w:val="42F67F0F"/>
    <w:rsid w:val="4314B946"/>
    <w:rsid w:val="435EC6A6"/>
    <w:rsid w:val="43BF5569"/>
    <w:rsid w:val="44AE419C"/>
    <w:rsid w:val="44D24BC4"/>
    <w:rsid w:val="45A20E61"/>
    <w:rsid w:val="45DD257C"/>
    <w:rsid w:val="4603E187"/>
    <w:rsid w:val="46239B8F"/>
    <w:rsid w:val="4628920D"/>
    <w:rsid w:val="46B52D7A"/>
    <w:rsid w:val="471D71A3"/>
    <w:rsid w:val="476912DF"/>
    <w:rsid w:val="47BFF314"/>
    <w:rsid w:val="48CC0DEA"/>
    <w:rsid w:val="49F0DD78"/>
    <w:rsid w:val="4A9E199E"/>
    <w:rsid w:val="4A9F1032"/>
    <w:rsid w:val="4AA38B5B"/>
    <w:rsid w:val="4AB66DCB"/>
    <w:rsid w:val="4BD863BF"/>
    <w:rsid w:val="4C7F750E"/>
    <w:rsid w:val="4D38DFA3"/>
    <w:rsid w:val="4D6CD31E"/>
    <w:rsid w:val="4D980A94"/>
    <w:rsid w:val="4DF01BA3"/>
    <w:rsid w:val="4FDC6D1C"/>
    <w:rsid w:val="5091482E"/>
    <w:rsid w:val="5194121D"/>
    <w:rsid w:val="525BADD2"/>
    <w:rsid w:val="52B6A45C"/>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7BA8A2"/>
    <w:rsid w:val="60A075E6"/>
    <w:rsid w:val="60B0D04D"/>
    <w:rsid w:val="61C73CB1"/>
    <w:rsid w:val="61E3F242"/>
    <w:rsid w:val="6205B612"/>
    <w:rsid w:val="62154131"/>
    <w:rsid w:val="6281EA96"/>
    <w:rsid w:val="62E3A98D"/>
    <w:rsid w:val="635D0810"/>
    <w:rsid w:val="6451865E"/>
    <w:rsid w:val="649329CF"/>
    <w:rsid w:val="64EC2FDB"/>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D2DB8B7"/>
    <w:rsid w:val="6D5B450C"/>
    <w:rsid w:val="6DCBD055"/>
    <w:rsid w:val="6E649AEF"/>
    <w:rsid w:val="6F1BAC1F"/>
    <w:rsid w:val="6F394EDD"/>
    <w:rsid w:val="6F70DD60"/>
    <w:rsid w:val="7025477E"/>
    <w:rsid w:val="7080CA85"/>
    <w:rsid w:val="715189D9"/>
    <w:rsid w:val="71C85260"/>
    <w:rsid w:val="71EB8FAF"/>
    <w:rsid w:val="7465E67C"/>
    <w:rsid w:val="75B0C150"/>
    <w:rsid w:val="75CE02CB"/>
    <w:rsid w:val="762D8BC6"/>
    <w:rsid w:val="76C327C6"/>
    <w:rsid w:val="76D9581C"/>
    <w:rsid w:val="7755DE95"/>
    <w:rsid w:val="777ABB63"/>
    <w:rsid w:val="790B7E0C"/>
    <w:rsid w:val="79524724"/>
    <w:rsid w:val="7971D3A5"/>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509"/>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2882382">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54001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6229504">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8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13097</Words>
  <Characters>74653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2025-04-24T02:04:00Z</dcterms:created>
  <dcterms:modified xsi:type="dcterms:W3CDTF">2025-04-24T02:05:00Z</dcterms:modified>
</cp:coreProperties>
</file>