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951C4" w14:textId="20FD0836" w:rsidR="007567D2" w:rsidRDefault="007567D2" w:rsidP="00A94408">
      <w:pPr>
        <w:pStyle w:val="Default"/>
        <w:ind w:right="656"/>
        <w:jc w:val="both"/>
        <w:rPr>
          <w:rFonts w:asciiTheme="minorHAnsi" w:hAnsiTheme="minorHAnsi" w:cstheme="minorHAnsi"/>
          <w:sz w:val="20"/>
          <w:szCs w:val="20"/>
        </w:rPr>
      </w:pPr>
      <w:r w:rsidRPr="005B5602">
        <w:rPr>
          <w:rFonts w:asciiTheme="minorHAnsi" w:hAnsiTheme="minorHAnsi" w:cstheme="minorHAnsi"/>
          <w:sz w:val="20"/>
          <w:szCs w:val="20"/>
        </w:rPr>
        <w:t xml:space="preserve">The </w:t>
      </w:r>
      <w:r w:rsidR="009E648E" w:rsidRPr="005B5602">
        <w:rPr>
          <w:rFonts w:asciiTheme="minorHAnsi" w:hAnsiTheme="minorHAnsi" w:cstheme="minorHAnsi"/>
          <w:sz w:val="20"/>
          <w:szCs w:val="20"/>
        </w:rPr>
        <w:t>PBAC outcomes and recommendations are presented</w:t>
      </w:r>
      <w:r w:rsidRPr="005B5602">
        <w:rPr>
          <w:rFonts w:asciiTheme="minorHAnsi" w:hAnsiTheme="minorHAnsi" w:cstheme="minorHAnsi"/>
          <w:sz w:val="20"/>
          <w:szCs w:val="20"/>
        </w:rPr>
        <w:t xml:space="preserve"> in alphabetical order by drug name</w:t>
      </w:r>
      <w:r w:rsidR="00D97548" w:rsidRPr="005B5602">
        <w:rPr>
          <w:rFonts w:asciiTheme="minorHAnsi" w:hAnsiTheme="minorHAnsi" w:cstheme="minorHAnsi"/>
          <w:sz w:val="20"/>
          <w:szCs w:val="20"/>
        </w:rPr>
        <w:t>.</w:t>
      </w:r>
    </w:p>
    <w:p w14:paraId="5BEA8AF7" w14:textId="77777777" w:rsidR="003D69CD" w:rsidRPr="005B5602" w:rsidRDefault="003D69CD" w:rsidP="00A94408">
      <w:pPr>
        <w:pStyle w:val="Default"/>
        <w:ind w:right="656"/>
        <w:jc w:val="both"/>
        <w:rPr>
          <w:rFonts w:asciiTheme="minorHAnsi" w:hAnsiTheme="minorHAnsi" w:cstheme="minorHAnsi"/>
          <w:sz w:val="20"/>
          <w:szCs w:val="20"/>
        </w:rPr>
      </w:pP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3016"/>
        <w:gridCol w:w="2082"/>
        <w:gridCol w:w="2694"/>
        <w:gridCol w:w="1701"/>
        <w:gridCol w:w="5686"/>
      </w:tblGrid>
      <w:tr w:rsidR="00F374F7" w:rsidRPr="0009421C" w14:paraId="2F780D8A" w14:textId="77777777" w:rsidTr="128117E3">
        <w:trPr>
          <w:cantSplit/>
          <w:trHeight w:val="20"/>
          <w:tblHeader/>
          <w:jc w:val="center"/>
        </w:trPr>
        <w:tc>
          <w:tcPr>
            <w:tcW w:w="3016" w:type="dxa"/>
            <w:tcMar>
              <w:top w:w="28" w:type="dxa"/>
              <w:bottom w:w="28" w:type="dxa"/>
            </w:tcMar>
            <w:vAlign w:val="center"/>
          </w:tcPr>
          <w:p w14:paraId="58BB41E5" w14:textId="46F847AB" w:rsidR="00F374F7" w:rsidRPr="0009421C" w:rsidRDefault="00F374F7" w:rsidP="00A94408">
            <w:pPr>
              <w:keepLines/>
              <w:widowControl w:val="0"/>
              <w:ind w:right="-106"/>
              <w:jc w:val="center"/>
              <w:rPr>
                <w:rFonts w:asciiTheme="minorHAnsi" w:hAnsiTheme="minorHAnsi" w:cstheme="minorHAnsi"/>
                <w:b/>
                <w:sz w:val="18"/>
                <w:szCs w:val="18"/>
              </w:rPr>
            </w:pPr>
            <w:bookmarkStart w:id="0" w:name="_Hlk143070631"/>
            <w:bookmarkStart w:id="1" w:name="_Hlk164175861"/>
            <w:r w:rsidRPr="0009421C">
              <w:rPr>
                <w:rFonts w:asciiTheme="minorHAnsi" w:hAnsiTheme="minorHAnsi" w:cstheme="minorHAnsi"/>
                <w:b/>
                <w:sz w:val="18"/>
                <w:szCs w:val="18"/>
              </w:rPr>
              <w:t>DRUG NAME, FORM(S), STRENGTH(S), SPONSOR, TYPE OF SUBMISSION</w:t>
            </w:r>
          </w:p>
        </w:tc>
        <w:tc>
          <w:tcPr>
            <w:tcW w:w="2082" w:type="dxa"/>
            <w:tcMar>
              <w:top w:w="28" w:type="dxa"/>
              <w:bottom w:w="28" w:type="dxa"/>
            </w:tcMar>
            <w:vAlign w:val="center"/>
          </w:tcPr>
          <w:p w14:paraId="64FD3362" w14:textId="3DF64AED" w:rsidR="00F374F7" w:rsidRPr="0009421C" w:rsidRDefault="00F374F7" w:rsidP="00A94408">
            <w:pPr>
              <w:keepLines/>
              <w:widowControl w:val="0"/>
              <w:jc w:val="center"/>
              <w:rPr>
                <w:rFonts w:asciiTheme="minorHAnsi" w:hAnsiTheme="minorHAnsi" w:cstheme="minorHAnsi"/>
                <w:b/>
                <w:snapToGrid w:val="0"/>
                <w:sz w:val="18"/>
                <w:szCs w:val="18"/>
                <w:lang w:eastAsia="en-US"/>
              </w:rPr>
            </w:pPr>
            <w:r w:rsidRPr="0009421C">
              <w:rPr>
                <w:rFonts w:asciiTheme="minorHAnsi" w:hAnsiTheme="minorHAnsi" w:cstheme="minorHAnsi"/>
                <w:b/>
                <w:snapToGrid w:val="0"/>
                <w:sz w:val="18"/>
                <w:szCs w:val="18"/>
                <w:lang w:eastAsia="en-US"/>
              </w:rPr>
              <w:t>DRUG TYPE AND USE</w:t>
            </w:r>
          </w:p>
        </w:tc>
        <w:tc>
          <w:tcPr>
            <w:tcW w:w="2694" w:type="dxa"/>
            <w:tcMar>
              <w:top w:w="28" w:type="dxa"/>
              <w:bottom w:w="28" w:type="dxa"/>
            </w:tcMar>
            <w:vAlign w:val="center"/>
          </w:tcPr>
          <w:p w14:paraId="60A9336E" w14:textId="77777777" w:rsidR="00F374F7" w:rsidRPr="0009421C" w:rsidRDefault="00F374F7" w:rsidP="00A94408">
            <w:pPr>
              <w:keepLines/>
              <w:widowControl w:val="0"/>
              <w:jc w:val="center"/>
              <w:rPr>
                <w:rFonts w:asciiTheme="minorHAnsi" w:hAnsiTheme="minorHAnsi" w:cstheme="minorHAnsi"/>
                <w:b/>
                <w:snapToGrid w:val="0"/>
                <w:sz w:val="18"/>
                <w:szCs w:val="18"/>
                <w:lang w:eastAsia="en-US"/>
              </w:rPr>
            </w:pPr>
            <w:r w:rsidRPr="0009421C">
              <w:rPr>
                <w:rFonts w:asciiTheme="minorHAnsi" w:hAnsiTheme="minorHAnsi" w:cstheme="minorHAnsi"/>
                <w:b/>
                <w:snapToGrid w:val="0"/>
                <w:sz w:val="18"/>
                <w:szCs w:val="18"/>
                <w:lang w:eastAsia="en-US"/>
              </w:rPr>
              <w:t>LISTING REQUESTED BY SPONSOR / PURPOSE OF SUBMISSION</w:t>
            </w:r>
          </w:p>
        </w:tc>
        <w:tc>
          <w:tcPr>
            <w:tcW w:w="7387" w:type="dxa"/>
            <w:gridSpan w:val="2"/>
            <w:vAlign w:val="center"/>
          </w:tcPr>
          <w:p w14:paraId="5626F454" w14:textId="255B5DC5" w:rsidR="00F374F7" w:rsidRPr="0009421C" w:rsidRDefault="00F374F7" w:rsidP="00402818">
            <w:pPr>
              <w:pStyle w:val="Header"/>
              <w:keepLines/>
              <w:jc w:val="center"/>
              <w:rPr>
                <w:rFonts w:asciiTheme="minorHAnsi" w:hAnsiTheme="minorHAnsi" w:cstheme="minorBidi"/>
                <w:b/>
                <w:bCs/>
                <w:snapToGrid w:val="0"/>
                <w:sz w:val="18"/>
                <w:szCs w:val="18"/>
                <w:lang w:eastAsia="en-US"/>
              </w:rPr>
            </w:pPr>
            <w:r w:rsidRPr="0009421C">
              <w:rPr>
                <w:rFonts w:asciiTheme="minorHAnsi" w:hAnsiTheme="minorHAnsi" w:cstheme="minorBidi"/>
                <w:b/>
                <w:bCs/>
                <w:snapToGrid w:val="0"/>
                <w:sz w:val="18"/>
                <w:szCs w:val="18"/>
                <w:lang w:eastAsia="en-US"/>
              </w:rPr>
              <w:t>PBAC OUTCOME</w:t>
            </w:r>
            <w:bookmarkEnd w:id="0"/>
          </w:p>
        </w:tc>
      </w:tr>
      <w:bookmarkEnd w:id="1"/>
      <w:tr w:rsidR="00B821C6" w:rsidRPr="0009421C" w:rsidDel="008F66B5" w14:paraId="59456C9B" w14:textId="11C3513F"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7CE73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ALECTINIB</w:t>
            </w:r>
          </w:p>
          <w:p w14:paraId="5838076C" w14:textId="77777777" w:rsidR="004243EB" w:rsidRDefault="004243EB" w:rsidP="00B821C6">
            <w:pPr>
              <w:jc w:val="center"/>
              <w:rPr>
                <w:rFonts w:ascii="Calibri" w:hAnsi="Calibri" w:cs="Calibri"/>
                <w:color w:val="000000"/>
                <w:sz w:val="18"/>
                <w:szCs w:val="18"/>
              </w:rPr>
            </w:pPr>
          </w:p>
          <w:p w14:paraId="1D17BA3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Capsule 150 mg</w:t>
            </w:r>
          </w:p>
          <w:p w14:paraId="3338C5B9" w14:textId="77777777" w:rsidR="004243EB" w:rsidRDefault="004243EB" w:rsidP="00B821C6">
            <w:pPr>
              <w:jc w:val="center"/>
              <w:rPr>
                <w:rFonts w:ascii="Calibri" w:hAnsi="Calibri" w:cs="Calibri"/>
                <w:color w:val="000000"/>
                <w:sz w:val="18"/>
                <w:szCs w:val="18"/>
              </w:rPr>
            </w:pPr>
          </w:p>
          <w:p w14:paraId="1A067904"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Alecensa</w:t>
            </w:r>
            <w:proofErr w:type="spellEnd"/>
            <w:r w:rsidRPr="0009421C">
              <w:rPr>
                <w:rFonts w:ascii="Calibri" w:hAnsi="Calibri" w:cs="Calibri"/>
                <w:color w:val="000000"/>
                <w:sz w:val="18"/>
                <w:szCs w:val="18"/>
              </w:rPr>
              <w:t>®</w:t>
            </w:r>
          </w:p>
          <w:p w14:paraId="6A4064E2" w14:textId="77777777" w:rsidR="004243EB" w:rsidRDefault="004243EB" w:rsidP="00B821C6">
            <w:pPr>
              <w:jc w:val="center"/>
              <w:rPr>
                <w:rFonts w:ascii="Calibri" w:hAnsi="Calibri" w:cs="Calibri"/>
                <w:color w:val="000000"/>
                <w:sz w:val="18"/>
                <w:szCs w:val="18"/>
              </w:rPr>
            </w:pPr>
          </w:p>
          <w:p w14:paraId="001A072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ROCHE PRODUCTS PTY LTD</w:t>
            </w:r>
          </w:p>
          <w:p w14:paraId="50425C8B" w14:textId="77777777" w:rsidR="004243EB" w:rsidRDefault="004243EB" w:rsidP="00B821C6">
            <w:pPr>
              <w:jc w:val="center"/>
              <w:rPr>
                <w:rFonts w:ascii="Calibri" w:hAnsi="Calibri" w:cs="Calibri"/>
                <w:color w:val="000000"/>
                <w:sz w:val="18"/>
                <w:szCs w:val="18"/>
              </w:rPr>
            </w:pPr>
          </w:p>
          <w:p w14:paraId="1DD3558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74814FF5" w14:textId="1CE5254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456051AC" w14:textId="1A5398B7"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Non-small cell lung cancer (NSCLC)</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AD9C28" w14:textId="14167315"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(Telephone/Online) listing for the adjuvant treatment in adult patients following tumour resection of anaplastic lymphoma kinase (ALK)-positive NSCLC (tumour ≥4 cm or node positive).</w:t>
            </w:r>
          </w:p>
        </w:tc>
        <w:tc>
          <w:tcPr>
            <w:tcW w:w="1701" w:type="dxa"/>
            <w:vAlign w:val="center"/>
          </w:tcPr>
          <w:p w14:paraId="2316FD21" w14:textId="3C49B4DC" w:rsidR="00B821C6" w:rsidRPr="0009421C" w:rsidDel="008F66B5" w:rsidRDefault="00B821C6" w:rsidP="00402818">
            <w:pPr>
              <w:pStyle w:val="ListParagraph"/>
              <w:keepLines/>
              <w:ind w:left="0"/>
              <w:jc w:val="center"/>
              <w:rPr>
                <w:rFonts w:asciiTheme="minorHAnsi" w:eastAsia="Times New Roman" w:hAnsiTheme="minorHAnsi" w:cstheme="minorHAnsi"/>
                <w:sz w:val="18"/>
                <w:szCs w:val="18"/>
              </w:rPr>
            </w:pPr>
            <w:r w:rsidRPr="0009421C">
              <w:rPr>
                <w:rFonts w:ascii="Calibri" w:hAnsi="Calibri" w:cs="Calibri"/>
                <w:color w:val="000000"/>
                <w:sz w:val="18"/>
                <w:szCs w:val="18"/>
              </w:rPr>
              <w:t>Recommended</w:t>
            </w:r>
          </w:p>
        </w:tc>
        <w:tc>
          <w:tcPr>
            <w:tcW w:w="5686" w:type="dxa"/>
            <w:vAlign w:val="center"/>
          </w:tcPr>
          <w:p w14:paraId="61577571" w14:textId="0DAE7054"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the </w:t>
            </w:r>
            <w:r w:rsidR="005B5602">
              <w:rPr>
                <w:rFonts w:ascii="Calibri" w:hAnsi="Calibri" w:cs="Calibri"/>
                <w:color w:val="000000"/>
                <w:sz w:val="18"/>
                <w:szCs w:val="18"/>
              </w:rPr>
              <w:t>General Schedule</w:t>
            </w:r>
            <w:r w:rsidR="00DB617A">
              <w:rPr>
                <w:rFonts w:ascii="Calibri" w:hAnsi="Calibri" w:cs="Calibri"/>
                <w:color w:val="000000"/>
                <w:sz w:val="18"/>
                <w:szCs w:val="18"/>
              </w:rPr>
              <w:t>, Authority required (</w:t>
            </w:r>
            <w:r w:rsidR="0094587A">
              <w:rPr>
                <w:rFonts w:ascii="Calibri" w:hAnsi="Calibri" w:cs="Calibri"/>
                <w:color w:val="000000"/>
                <w:sz w:val="18"/>
                <w:szCs w:val="18"/>
              </w:rPr>
              <w:t>Telephone/</w:t>
            </w:r>
            <w:r w:rsidRPr="0009421C">
              <w:rPr>
                <w:rFonts w:ascii="Calibri" w:hAnsi="Calibri" w:cs="Calibri"/>
                <w:color w:val="000000"/>
                <w:sz w:val="18"/>
                <w:szCs w:val="18"/>
              </w:rPr>
              <w:t>Online</w:t>
            </w:r>
            <w:r w:rsidR="00DB617A">
              <w:rPr>
                <w:rFonts w:ascii="Calibri" w:hAnsi="Calibri" w:cs="Calibri"/>
                <w:color w:val="000000"/>
                <w:sz w:val="18"/>
                <w:szCs w:val="18"/>
              </w:rPr>
              <w:t>)</w:t>
            </w:r>
            <w:r w:rsidRPr="0009421C">
              <w:rPr>
                <w:rFonts w:ascii="Calibri" w:hAnsi="Calibri" w:cs="Calibri"/>
                <w:color w:val="000000"/>
                <w:sz w:val="18"/>
                <w:szCs w:val="18"/>
              </w:rPr>
              <w:t xml:space="preserve"> listing of alectinib for adjuvant treatment of adult patients following tumour resection (tumours ≥4 cm or node positive) of anaplastic lymphoma kinase (ALK)-positive non-small cell lung cancer (NSCLC). The PBAC considered there was a high clinical need for effective therapies in this uncommon NSCLC subtype, noting the rarity of this condition and that there are currently no targeted treatments available to patients with ALK-positive early-stage NSCLC. While the PBAC was uncertain if there was a survival benefit associated with alectinib, it was satisfied that alectinib provided, for some patients, a significant improvement in efficacy in terms of prolonging the time after treatment where there no signs of disease recurrence, over platinum-based chemotherapy. The PBAC considered alectinib would be cost-effective and that the uncertainties with the survival benefit estimated in the economic model would be mitigated, with a lower price for alectinib and with the updated inputs incorporated into the economic model.</w:t>
            </w:r>
          </w:p>
          <w:p w14:paraId="2F069019" w14:textId="77777777" w:rsidR="004243EB" w:rsidRDefault="004243EB" w:rsidP="0062577D">
            <w:pPr>
              <w:rPr>
                <w:rFonts w:ascii="Calibri" w:hAnsi="Calibri" w:cs="Calibri"/>
                <w:color w:val="000000"/>
                <w:sz w:val="18"/>
                <w:szCs w:val="18"/>
              </w:rPr>
            </w:pPr>
          </w:p>
          <w:p w14:paraId="43F997E8" w14:textId="1DE1F1D1" w:rsidR="00B821C6" w:rsidRPr="0009421C" w:rsidDel="008F66B5" w:rsidRDefault="00B821C6" w:rsidP="0062577D">
            <w:pPr>
              <w:rPr>
                <w:rFonts w:asciiTheme="minorHAnsi" w:eastAsiaTheme="minorHAnsi" w:hAnsiTheme="minorHAnsi" w:cstheme="minorBidi"/>
                <w:sz w:val="18"/>
                <w:szCs w:val="18"/>
                <w:lang w:val="en-GB"/>
              </w:rPr>
            </w:pPr>
            <w:r w:rsidRPr="0009421C">
              <w:rPr>
                <w:rFonts w:ascii="Calibri" w:hAnsi="Calibri" w:cs="Calibri"/>
                <w:color w:val="000000"/>
                <w:sz w:val="18"/>
                <w:szCs w:val="18"/>
              </w:rPr>
              <w:t xml:space="preserve">The PBAC considered that consistent with other high-cost adjuvant listings (e.g. osimertinib, immune checkpoint inhibitors), re-treatment in the metastatic setting should not be permitted. The PBAC would like to increase patient access in these </w:t>
            </w:r>
            <w:r w:rsidR="00F7291E" w:rsidRPr="0009421C">
              <w:rPr>
                <w:rFonts w:ascii="Calibri" w:hAnsi="Calibri" w:cs="Calibri"/>
                <w:color w:val="000000"/>
                <w:sz w:val="18"/>
                <w:szCs w:val="18"/>
              </w:rPr>
              <w:t>situations but</w:t>
            </w:r>
            <w:r w:rsidRPr="0009421C">
              <w:rPr>
                <w:rFonts w:ascii="Calibri" w:hAnsi="Calibri" w:cs="Calibri"/>
                <w:color w:val="000000"/>
                <w:sz w:val="18"/>
                <w:szCs w:val="18"/>
              </w:rPr>
              <w:t xml:space="preserve"> considered that evidence was required to determine a cost-effective price in the re-treatment setting. The PBAC noted flow-on changes to other PBS listings in locally advanced or metastatic disease (alectinib, brigatinib, crizotinib, ceritinib, and lorlatinib) to prevent treatment with ALK TKIs following recurrence after adjuvant treatment with alectinib would be required.</w:t>
            </w:r>
          </w:p>
        </w:tc>
      </w:tr>
      <w:tr w:rsidR="00B821C6" w:rsidRPr="0009421C" w:rsidDel="008F66B5" w14:paraId="41369496" w14:textId="7EF7CEE9"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F97A8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BIMEKIZUMAB</w:t>
            </w:r>
          </w:p>
          <w:p w14:paraId="28A0A358" w14:textId="77777777" w:rsidR="004243EB" w:rsidRDefault="004243EB" w:rsidP="00B821C6">
            <w:pPr>
              <w:jc w:val="center"/>
              <w:rPr>
                <w:rFonts w:ascii="Calibri" w:hAnsi="Calibri" w:cs="Calibri"/>
                <w:color w:val="000000"/>
                <w:sz w:val="18"/>
                <w:szCs w:val="18"/>
              </w:rPr>
            </w:pPr>
          </w:p>
          <w:p w14:paraId="6B7CA1B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160 mg in 1 mL single use pre-filled pen</w:t>
            </w:r>
          </w:p>
          <w:p w14:paraId="16A5E6B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160 mg in 1 mL single use pre-filled syringe</w:t>
            </w:r>
          </w:p>
          <w:p w14:paraId="25356E65"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320 mg in 2 mL single use pre-filled pen</w:t>
            </w:r>
          </w:p>
          <w:p w14:paraId="51A7591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320 mg in 2 mL single use pre-filled syringe</w:t>
            </w:r>
          </w:p>
          <w:p w14:paraId="64AADA2C" w14:textId="77777777" w:rsidR="004243EB" w:rsidRDefault="004243EB" w:rsidP="00B821C6">
            <w:pPr>
              <w:jc w:val="center"/>
              <w:rPr>
                <w:rFonts w:ascii="Calibri" w:hAnsi="Calibri" w:cs="Calibri"/>
                <w:color w:val="000000"/>
                <w:sz w:val="18"/>
                <w:szCs w:val="18"/>
              </w:rPr>
            </w:pPr>
          </w:p>
          <w:p w14:paraId="28671853"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Bimzelx</w:t>
            </w:r>
            <w:proofErr w:type="spellEnd"/>
            <w:r w:rsidRPr="0009421C">
              <w:rPr>
                <w:rFonts w:ascii="Calibri" w:hAnsi="Calibri" w:cs="Calibri"/>
                <w:color w:val="000000"/>
                <w:sz w:val="18"/>
                <w:szCs w:val="18"/>
              </w:rPr>
              <w:t>®</w:t>
            </w:r>
          </w:p>
          <w:p w14:paraId="6F2A9E3D" w14:textId="77777777" w:rsidR="004243EB" w:rsidRDefault="004243EB" w:rsidP="00B821C6">
            <w:pPr>
              <w:jc w:val="center"/>
              <w:rPr>
                <w:rFonts w:ascii="Calibri" w:hAnsi="Calibri" w:cs="Calibri"/>
                <w:color w:val="000000"/>
                <w:sz w:val="18"/>
                <w:szCs w:val="18"/>
              </w:rPr>
            </w:pPr>
          </w:p>
          <w:p w14:paraId="5C82E49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UCB AUSTRALIA PROPRIETARY LIMITED</w:t>
            </w:r>
          </w:p>
          <w:p w14:paraId="79EC7FAF" w14:textId="77777777" w:rsidR="004243EB" w:rsidRDefault="004243EB" w:rsidP="00B821C6">
            <w:pPr>
              <w:jc w:val="center"/>
              <w:rPr>
                <w:rFonts w:ascii="Calibri" w:hAnsi="Calibri" w:cs="Calibri"/>
                <w:color w:val="000000"/>
                <w:sz w:val="18"/>
                <w:szCs w:val="18"/>
              </w:rPr>
            </w:pPr>
          </w:p>
          <w:p w14:paraId="5CBE1938"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01C26252" w14:textId="00EB44E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500A95A7" w14:textId="54863C7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Hidradenitis suppurativa (HS)</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32C3EE4" w14:textId="3CC9AAB2"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General Schedule Authority Required (Written) listings for new forms of bimekizumab, in addition to the currently listed form, for the treatment of patients with moderate to severe HS.</w:t>
            </w:r>
          </w:p>
        </w:tc>
        <w:tc>
          <w:tcPr>
            <w:tcW w:w="1701" w:type="dxa"/>
            <w:vAlign w:val="center"/>
          </w:tcPr>
          <w:p w14:paraId="6FB45133" w14:textId="1FA63ADE" w:rsidR="00B821C6" w:rsidRPr="0009421C" w:rsidDel="008F66B5" w:rsidRDefault="00B821C6" w:rsidP="00402818">
            <w:pPr>
              <w:pStyle w:val="ListParagraph"/>
              <w:keepLines/>
              <w:ind w:left="0"/>
              <w:jc w:val="center"/>
              <w:rPr>
                <w:rFonts w:asciiTheme="minorHAnsi" w:eastAsia="Times New Roman" w:hAnsiTheme="minorHAnsi" w:cstheme="minorHAnsi"/>
                <w:sz w:val="18"/>
                <w:szCs w:val="18"/>
              </w:rPr>
            </w:pPr>
            <w:r w:rsidRPr="0009421C">
              <w:rPr>
                <w:rFonts w:ascii="Calibri" w:hAnsi="Calibri" w:cs="Calibri"/>
                <w:color w:val="000000"/>
                <w:sz w:val="18"/>
                <w:szCs w:val="18"/>
              </w:rPr>
              <w:t>Recommended</w:t>
            </w:r>
          </w:p>
        </w:tc>
        <w:tc>
          <w:tcPr>
            <w:tcW w:w="5686" w:type="dxa"/>
            <w:vAlign w:val="center"/>
          </w:tcPr>
          <w:p w14:paraId="6B2E9E44" w14:textId="25B1269F"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recommended the General Schedule, Authority Required (in writing) listing of bimekizumab for the treatment of moderate to severe hidradenitis suppurativa (HS). The PBAC's recommendation was based on, among other matters, its assessment that the cost effectiveness of bimekizumab would be acceptable if it were cost minimised to the least costly alternative therapy of either secukinumab or adalimumab.</w:t>
            </w:r>
          </w:p>
          <w:p w14:paraId="739BF5EE" w14:textId="3D82437F" w:rsidR="00B821C6" w:rsidRPr="004F7BCD" w:rsidDel="008F66B5" w:rsidRDefault="00B821C6" w:rsidP="0062577D">
            <w:pPr>
              <w:rPr>
                <w:rFonts w:ascii="Calibri" w:hAnsi="Calibri" w:cs="Calibri"/>
                <w:color w:val="000000"/>
                <w:sz w:val="18"/>
                <w:szCs w:val="18"/>
              </w:rPr>
            </w:pPr>
            <w:r w:rsidRPr="0009421C">
              <w:rPr>
                <w:rFonts w:ascii="Calibri" w:hAnsi="Calibri" w:cs="Calibri"/>
                <w:color w:val="000000"/>
                <w:sz w:val="18"/>
                <w:szCs w:val="18"/>
              </w:rPr>
              <w:t>The PBAC noted flow-on</w:t>
            </w:r>
            <w:r w:rsidR="00F95DF7">
              <w:rPr>
                <w:rFonts w:ascii="Calibri" w:hAnsi="Calibri" w:cs="Calibri"/>
                <w:color w:val="000000"/>
                <w:sz w:val="18"/>
                <w:szCs w:val="18"/>
              </w:rPr>
              <w:t xml:space="preserve"> restriction changes</w:t>
            </w:r>
            <w:r w:rsidRPr="0009421C">
              <w:rPr>
                <w:rFonts w:ascii="Calibri" w:hAnsi="Calibri" w:cs="Calibri"/>
                <w:color w:val="000000"/>
                <w:sz w:val="18"/>
                <w:szCs w:val="18"/>
              </w:rPr>
              <w:t xml:space="preserve"> to secukinumab and adalimumab to include bimekizumab in the list of eligible therapies for the treatment of moderate to severe HS.</w:t>
            </w:r>
          </w:p>
        </w:tc>
      </w:tr>
      <w:tr w:rsidR="00B821C6" w:rsidRPr="0009421C" w:rsidDel="008F66B5" w14:paraId="354C63DC" w14:textId="77777777"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41B97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DOSTARLIMAB</w:t>
            </w:r>
          </w:p>
          <w:p w14:paraId="2B5DFD65" w14:textId="77777777" w:rsidR="004243EB" w:rsidRDefault="004243EB" w:rsidP="00B821C6">
            <w:pPr>
              <w:jc w:val="center"/>
              <w:rPr>
                <w:rFonts w:ascii="Calibri" w:hAnsi="Calibri" w:cs="Calibri"/>
                <w:color w:val="000000"/>
                <w:sz w:val="18"/>
                <w:szCs w:val="18"/>
              </w:rPr>
            </w:pPr>
          </w:p>
          <w:p w14:paraId="4ADBD708"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concentrate for I.V. infusion 500 mg in 10 mL</w:t>
            </w:r>
          </w:p>
          <w:p w14:paraId="042E875F" w14:textId="77777777" w:rsidR="004243EB" w:rsidRDefault="004243EB" w:rsidP="00B821C6">
            <w:pPr>
              <w:jc w:val="center"/>
              <w:rPr>
                <w:rFonts w:ascii="Calibri" w:hAnsi="Calibri" w:cs="Calibri"/>
                <w:color w:val="000000"/>
                <w:sz w:val="18"/>
                <w:szCs w:val="18"/>
              </w:rPr>
            </w:pPr>
          </w:p>
          <w:p w14:paraId="4D891A84"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Jemperli</w:t>
            </w:r>
            <w:proofErr w:type="spellEnd"/>
            <w:r w:rsidRPr="0009421C">
              <w:rPr>
                <w:rFonts w:ascii="Calibri" w:hAnsi="Calibri" w:cs="Calibri"/>
                <w:color w:val="000000"/>
                <w:sz w:val="18"/>
                <w:szCs w:val="18"/>
              </w:rPr>
              <w:t>®</w:t>
            </w:r>
          </w:p>
          <w:p w14:paraId="4B367644" w14:textId="77777777" w:rsidR="004243EB" w:rsidRDefault="004243EB" w:rsidP="00B821C6">
            <w:pPr>
              <w:jc w:val="center"/>
              <w:rPr>
                <w:rFonts w:ascii="Calibri" w:hAnsi="Calibri" w:cs="Calibri"/>
                <w:color w:val="000000"/>
                <w:sz w:val="18"/>
                <w:szCs w:val="18"/>
              </w:rPr>
            </w:pPr>
          </w:p>
          <w:p w14:paraId="29C8FA9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GLAXOSMITHKLINE AUSTRALIA PTY LTD</w:t>
            </w:r>
          </w:p>
          <w:p w14:paraId="66C04AD9" w14:textId="77777777" w:rsidR="004243EB" w:rsidRDefault="004243EB" w:rsidP="00B821C6">
            <w:pPr>
              <w:jc w:val="center"/>
              <w:rPr>
                <w:rFonts w:ascii="Calibri" w:hAnsi="Calibri" w:cs="Calibri"/>
                <w:color w:val="000000"/>
                <w:sz w:val="18"/>
                <w:szCs w:val="18"/>
              </w:rPr>
            </w:pPr>
          </w:p>
          <w:p w14:paraId="12C13AA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Standard re-entry</w:t>
            </w:r>
          </w:p>
          <w:p w14:paraId="06CA7BB6" w14:textId="7A0451C0" w:rsidR="00B821C6" w:rsidRPr="0009421C" w:rsidRDefault="00B821C6" w:rsidP="00B821C6">
            <w:pPr>
              <w:jc w:val="center"/>
              <w:rPr>
                <w:rFonts w:asciiTheme="minorHAnsi" w:eastAsia="Calibri" w:hAnsiTheme="minorHAnsi" w:cstheme="minorHAnsi"/>
                <w:color w:val="000000" w:themeColor="text1"/>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20F89FE7" w14:textId="53236937" w:rsidR="00B821C6" w:rsidRPr="0009421C" w:rsidRDefault="00B821C6" w:rsidP="00B821C6">
            <w:pPr>
              <w:jc w:val="center"/>
              <w:rPr>
                <w:rFonts w:asciiTheme="minorHAnsi" w:eastAsia="Calibri" w:hAnsiTheme="minorHAnsi" w:cstheme="minorHAnsi"/>
                <w:color w:val="000000" w:themeColor="text1"/>
                <w:sz w:val="18"/>
                <w:szCs w:val="18"/>
              </w:rPr>
            </w:pPr>
            <w:r w:rsidRPr="0009421C">
              <w:rPr>
                <w:rFonts w:ascii="Calibri" w:hAnsi="Calibri" w:cs="Calibri"/>
                <w:color w:val="000000"/>
                <w:sz w:val="18"/>
                <w:szCs w:val="18"/>
              </w:rPr>
              <w:t>Endometrial cancer</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1B2FE4" w14:textId="108849DC" w:rsidR="00B821C6" w:rsidRPr="0009421C" w:rsidRDefault="00B821C6" w:rsidP="00B821C6">
            <w:pPr>
              <w:jc w:val="center"/>
              <w:rPr>
                <w:rFonts w:asciiTheme="minorHAnsi" w:eastAsia="Calibri" w:hAnsiTheme="minorHAnsi" w:cstheme="minorHAnsi"/>
                <w:color w:val="000000" w:themeColor="text1"/>
                <w:sz w:val="18"/>
                <w:szCs w:val="18"/>
              </w:rPr>
            </w:pPr>
            <w:r w:rsidRPr="0009421C">
              <w:rPr>
                <w:rFonts w:ascii="Calibri" w:hAnsi="Calibri" w:cs="Calibri"/>
                <w:color w:val="000000"/>
                <w:sz w:val="18"/>
                <w:szCs w:val="18"/>
              </w:rPr>
              <w:t>Resubmission to request a Section 100 (Efficient Funding of Chemotherapy) Authority Required (STREAMLINED) listing for use in combination with platinum-containing chemotherapy for the treatment of primary advanced or first recurrent mismatch repair proficient endometrial cancer.</w:t>
            </w:r>
          </w:p>
        </w:tc>
        <w:tc>
          <w:tcPr>
            <w:tcW w:w="1701" w:type="dxa"/>
            <w:vAlign w:val="center"/>
          </w:tcPr>
          <w:p w14:paraId="170928E7" w14:textId="57863F75" w:rsidR="00B821C6" w:rsidRPr="0009421C"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Not Recommended</w:t>
            </w:r>
          </w:p>
        </w:tc>
        <w:tc>
          <w:tcPr>
            <w:tcW w:w="5686" w:type="dxa"/>
            <w:vAlign w:val="center"/>
          </w:tcPr>
          <w:p w14:paraId="4260E45D" w14:textId="77777777" w:rsidR="00B821C6"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did not recommend the listing of dostarlimab (DOS) in combination with carboplatin and paclitaxel (CP) for the treatment of primary advanced or first recurrent (A/R) </w:t>
            </w:r>
            <w:r w:rsidR="00F653D1" w:rsidRPr="0009421C">
              <w:rPr>
                <w:rFonts w:ascii="Calibri" w:hAnsi="Calibri" w:cs="Calibri"/>
                <w:color w:val="000000"/>
                <w:sz w:val="18"/>
                <w:szCs w:val="18"/>
              </w:rPr>
              <w:t xml:space="preserve">proficient </w:t>
            </w:r>
            <w:r w:rsidRPr="0009421C">
              <w:rPr>
                <w:rFonts w:ascii="Calibri" w:hAnsi="Calibri" w:cs="Calibri"/>
                <w:color w:val="000000"/>
                <w:sz w:val="18"/>
                <w:szCs w:val="18"/>
              </w:rPr>
              <w:t>mismatch repair (</w:t>
            </w:r>
            <w:proofErr w:type="spellStart"/>
            <w:r w:rsidRPr="0009421C">
              <w:rPr>
                <w:rFonts w:ascii="Calibri" w:hAnsi="Calibri" w:cs="Calibri"/>
                <w:color w:val="000000"/>
                <w:sz w:val="18"/>
                <w:szCs w:val="18"/>
              </w:rPr>
              <w:t>pMMR</w:t>
            </w:r>
            <w:proofErr w:type="spellEnd"/>
            <w:r w:rsidRPr="0009421C">
              <w:rPr>
                <w:rFonts w:ascii="Calibri" w:hAnsi="Calibri" w:cs="Calibri"/>
                <w:color w:val="000000"/>
                <w:sz w:val="18"/>
                <w:szCs w:val="18"/>
              </w:rPr>
              <w:t xml:space="preserve">) endometrial cancer (EC). The PBAC noted that there is a high clinical need for effective first-line treatments for endometrial cancer but considered that the clinical benefit in the </w:t>
            </w:r>
            <w:proofErr w:type="spellStart"/>
            <w:r w:rsidRPr="0009421C">
              <w:rPr>
                <w:rFonts w:ascii="Calibri" w:hAnsi="Calibri" w:cs="Calibri"/>
                <w:color w:val="000000"/>
                <w:sz w:val="18"/>
                <w:szCs w:val="18"/>
              </w:rPr>
              <w:t>pMMR</w:t>
            </w:r>
            <w:proofErr w:type="spellEnd"/>
            <w:r w:rsidRPr="0009421C">
              <w:rPr>
                <w:rFonts w:ascii="Calibri" w:hAnsi="Calibri" w:cs="Calibri"/>
                <w:color w:val="000000"/>
                <w:sz w:val="18"/>
                <w:szCs w:val="18"/>
              </w:rPr>
              <w:t xml:space="preserve"> population remained unclear with updated data</w:t>
            </w:r>
            <w:r w:rsidR="00A117F7">
              <w:rPr>
                <w:rFonts w:ascii="Calibri" w:hAnsi="Calibri" w:cs="Calibri"/>
                <w:color w:val="000000"/>
                <w:sz w:val="18"/>
                <w:szCs w:val="18"/>
              </w:rPr>
              <w:t>,</w:t>
            </w:r>
            <w:r w:rsidRPr="0009421C">
              <w:rPr>
                <w:rFonts w:ascii="Calibri" w:hAnsi="Calibri" w:cs="Calibri"/>
                <w:color w:val="000000"/>
                <w:sz w:val="18"/>
                <w:szCs w:val="18"/>
              </w:rPr>
              <w:t xml:space="preserve"> and overall safety was inferior to current therapy. The PBAC noted that it was possible that these patients may benefit more from second-line treatment with pembrolizumab in combination with lenvatinib.</w:t>
            </w:r>
          </w:p>
          <w:p w14:paraId="67FEE7E2" w14:textId="77777777" w:rsidR="00CF054E" w:rsidRDefault="00CF054E" w:rsidP="0062577D">
            <w:pPr>
              <w:rPr>
                <w:rFonts w:ascii="Calibri" w:hAnsi="Calibri" w:cs="Calibri"/>
                <w:color w:val="000000"/>
                <w:sz w:val="18"/>
                <w:szCs w:val="18"/>
              </w:rPr>
            </w:pPr>
          </w:p>
          <w:p w14:paraId="3A3C6E24" w14:textId="6D4CB5F5" w:rsidR="00CF054E" w:rsidRPr="00D34630" w:rsidRDefault="00CF054E" w:rsidP="0062577D">
            <w:pPr>
              <w:rPr>
                <w:rFonts w:ascii="Calibri" w:hAnsi="Calibri" w:cs="Calibri"/>
                <w:color w:val="000000"/>
                <w:sz w:val="18"/>
                <w:szCs w:val="18"/>
                <w:u w:val="single"/>
              </w:rPr>
            </w:pPr>
            <w:r w:rsidRPr="00D34630">
              <w:rPr>
                <w:rFonts w:ascii="Calibri" w:hAnsi="Calibri" w:cs="Calibri"/>
                <w:color w:val="000000"/>
                <w:sz w:val="18"/>
                <w:szCs w:val="18"/>
                <w:u w:val="single"/>
              </w:rPr>
              <w:t>Sponsor’s Comment</w:t>
            </w:r>
            <w:r>
              <w:rPr>
                <w:rFonts w:ascii="Calibri" w:hAnsi="Calibri" w:cs="Calibri"/>
                <w:color w:val="000000"/>
                <w:sz w:val="18"/>
                <w:szCs w:val="18"/>
                <w:u w:val="single"/>
              </w:rPr>
              <w:t>:</w:t>
            </w:r>
          </w:p>
          <w:p w14:paraId="5572EF1F" w14:textId="6529C24A" w:rsidR="00CF054E" w:rsidRPr="004F7BCD" w:rsidDel="008F66B5" w:rsidRDefault="009B12FB" w:rsidP="0062577D">
            <w:pPr>
              <w:rPr>
                <w:rFonts w:ascii="Calibri" w:hAnsi="Calibri" w:cs="Calibri"/>
                <w:color w:val="000000"/>
                <w:sz w:val="18"/>
                <w:szCs w:val="18"/>
              </w:rPr>
            </w:pPr>
            <w:r w:rsidRPr="009B12FB">
              <w:rPr>
                <w:rFonts w:ascii="Calibri" w:hAnsi="Calibri" w:cs="Calibri"/>
                <w:color w:val="000000" w:themeColor="text1"/>
                <w:sz w:val="18"/>
                <w:szCs w:val="18"/>
              </w:rPr>
              <w:t>GSK is disappointed by the PBAC's decision not to recommend dostarlimab (</w:t>
            </w:r>
            <w:proofErr w:type="spellStart"/>
            <w:r w:rsidRPr="009B12FB">
              <w:rPr>
                <w:rFonts w:ascii="Calibri" w:hAnsi="Calibri" w:cs="Calibri"/>
                <w:color w:val="000000" w:themeColor="text1"/>
                <w:sz w:val="18"/>
                <w:szCs w:val="18"/>
              </w:rPr>
              <w:t>Jemperli</w:t>
            </w:r>
            <w:proofErr w:type="spellEnd"/>
            <w:r w:rsidRPr="009B12FB">
              <w:rPr>
                <w:rFonts w:ascii="Calibri" w:hAnsi="Calibri" w:cs="Calibri"/>
                <w:color w:val="000000" w:themeColor="text1"/>
                <w:sz w:val="18"/>
                <w:szCs w:val="18"/>
              </w:rPr>
              <w:t xml:space="preserve">) for </w:t>
            </w:r>
            <w:proofErr w:type="spellStart"/>
            <w:r w:rsidRPr="009B12FB">
              <w:rPr>
                <w:rFonts w:ascii="Calibri" w:hAnsi="Calibri" w:cs="Calibri"/>
                <w:color w:val="000000" w:themeColor="text1"/>
                <w:sz w:val="18"/>
                <w:szCs w:val="18"/>
              </w:rPr>
              <w:t>pMMR</w:t>
            </w:r>
            <w:proofErr w:type="spellEnd"/>
            <w:r w:rsidRPr="009B12FB">
              <w:rPr>
                <w:rFonts w:ascii="Calibri" w:hAnsi="Calibri" w:cs="Calibri"/>
                <w:color w:val="000000" w:themeColor="text1"/>
                <w:sz w:val="18"/>
                <w:szCs w:val="18"/>
              </w:rPr>
              <w:t xml:space="preserve"> patients. GSK considers that subsequent follow-up from the RUBY trial has established the overall survival (OS) benefit for </w:t>
            </w:r>
            <w:proofErr w:type="spellStart"/>
            <w:r w:rsidRPr="009B12FB">
              <w:rPr>
                <w:rFonts w:ascii="Calibri" w:hAnsi="Calibri" w:cs="Calibri"/>
                <w:color w:val="000000" w:themeColor="text1"/>
                <w:sz w:val="18"/>
                <w:szCs w:val="18"/>
              </w:rPr>
              <w:t>Jemperli</w:t>
            </w:r>
            <w:proofErr w:type="spellEnd"/>
            <w:r w:rsidRPr="009B12FB">
              <w:rPr>
                <w:rFonts w:ascii="Calibri" w:hAnsi="Calibri" w:cs="Calibri"/>
                <w:color w:val="000000" w:themeColor="text1"/>
                <w:sz w:val="18"/>
                <w:szCs w:val="18"/>
              </w:rPr>
              <w:t xml:space="preserve"> plus CP in the overall primary advanced / first recurrent EC population (Powell et al., 2024). GSK considers that at least half of the women treated in the first-line setting would not be eligible for immunotherapy in the second-line setting (paragraph 7.10, Dostarlimab PSD, November 2023).</w:t>
            </w:r>
          </w:p>
        </w:tc>
      </w:tr>
      <w:tr w:rsidR="00B821C6" w:rsidRPr="0009421C" w:rsidDel="008F66B5" w14:paraId="15392436" w14:textId="08784C3B"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88A0CE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 xml:space="preserve">DURVALUMAB </w:t>
            </w:r>
          </w:p>
          <w:p w14:paraId="155E5B5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TREMELIMUMAB</w:t>
            </w:r>
          </w:p>
          <w:p w14:paraId="790117CB" w14:textId="77777777" w:rsidR="004243EB" w:rsidRDefault="004243EB" w:rsidP="00B821C6">
            <w:pPr>
              <w:jc w:val="center"/>
              <w:rPr>
                <w:rFonts w:ascii="Calibri" w:hAnsi="Calibri" w:cs="Calibri"/>
                <w:color w:val="000000"/>
                <w:sz w:val="18"/>
                <w:szCs w:val="18"/>
              </w:rPr>
            </w:pPr>
          </w:p>
          <w:p w14:paraId="62DD7EF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concentrate for I.V. infusion 120 mg in 2.4 mL</w:t>
            </w:r>
          </w:p>
          <w:p w14:paraId="19C59F6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concentrate for I.V. infusion 500 mg in 10 mL</w:t>
            </w:r>
          </w:p>
          <w:p w14:paraId="56B5187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concentrate for I.V. infusion 300 mg in 15 mL</w:t>
            </w:r>
          </w:p>
          <w:p w14:paraId="5E90CEF3" w14:textId="77777777" w:rsidR="004243EB" w:rsidRDefault="004243EB" w:rsidP="00B821C6">
            <w:pPr>
              <w:jc w:val="center"/>
              <w:rPr>
                <w:rFonts w:ascii="Calibri" w:hAnsi="Calibri" w:cs="Calibri"/>
                <w:color w:val="000000"/>
                <w:sz w:val="18"/>
                <w:szCs w:val="18"/>
              </w:rPr>
            </w:pPr>
          </w:p>
          <w:p w14:paraId="28AB21F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Imfinzi®</w:t>
            </w:r>
          </w:p>
          <w:p w14:paraId="5E53E106"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Imjudo</w:t>
            </w:r>
            <w:proofErr w:type="spellEnd"/>
            <w:r w:rsidRPr="0009421C">
              <w:rPr>
                <w:rFonts w:ascii="Calibri" w:hAnsi="Calibri" w:cs="Calibri"/>
                <w:color w:val="000000"/>
                <w:sz w:val="18"/>
                <w:szCs w:val="18"/>
              </w:rPr>
              <w:t>®</w:t>
            </w:r>
          </w:p>
          <w:p w14:paraId="5728A79B" w14:textId="77777777" w:rsidR="004243EB" w:rsidRDefault="004243EB" w:rsidP="00B821C6">
            <w:pPr>
              <w:jc w:val="center"/>
              <w:rPr>
                <w:rFonts w:ascii="Calibri" w:hAnsi="Calibri" w:cs="Calibri"/>
                <w:color w:val="000000"/>
                <w:sz w:val="18"/>
                <w:szCs w:val="18"/>
              </w:rPr>
            </w:pPr>
          </w:p>
          <w:p w14:paraId="5F1C524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ASTRAZENECA PTY LTD</w:t>
            </w:r>
          </w:p>
          <w:p w14:paraId="56D386F9" w14:textId="77777777" w:rsidR="004243EB" w:rsidRDefault="004243EB" w:rsidP="00B821C6">
            <w:pPr>
              <w:jc w:val="center"/>
              <w:rPr>
                <w:rFonts w:ascii="Calibri" w:hAnsi="Calibri" w:cs="Calibri"/>
                <w:color w:val="000000"/>
                <w:sz w:val="18"/>
                <w:szCs w:val="18"/>
              </w:rPr>
            </w:pPr>
          </w:p>
          <w:p w14:paraId="405B989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04431AA7" w14:textId="0BEDE44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4923F58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Barcelona clinic liver cancer (BCLC)</w:t>
            </w:r>
          </w:p>
          <w:p w14:paraId="3DD7194D" w14:textId="14F9AB0E"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Hepatocellular carcinoma (HCC)</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5803C4" w14:textId="1663F52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Section 100 (Efficient Funding of Chemotherapy) Authority Required (STREAMLINED) listing for durvalumab in combination with tremelimumab for the first line treatment of patients with advanced (unresectable) Stage B BCLC or Stage C HCC.</w:t>
            </w:r>
          </w:p>
        </w:tc>
        <w:tc>
          <w:tcPr>
            <w:tcW w:w="1701" w:type="dxa"/>
            <w:vAlign w:val="center"/>
          </w:tcPr>
          <w:p w14:paraId="6975FA0E" w14:textId="13C033A2"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22F6D466" w14:textId="1385FA28"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recommended the</w:t>
            </w:r>
            <w:r w:rsidR="00A37269">
              <w:rPr>
                <w:rFonts w:ascii="Calibri" w:hAnsi="Calibri" w:cs="Calibri"/>
                <w:color w:val="000000"/>
                <w:sz w:val="18"/>
                <w:szCs w:val="18"/>
              </w:rPr>
              <w:t xml:space="preserve"> Section 100</w:t>
            </w:r>
            <w:r w:rsidR="008F3E07">
              <w:rPr>
                <w:rFonts w:ascii="Calibri" w:hAnsi="Calibri" w:cs="Calibri"/>
                <w:color w:val="000000"/>
                <w:sz w:val="18"/>
                <w:szCs w:val="18"/>
              </w:rPr>
              <w:t xml:space="preserve"> (Efficient Funding of Chemotherapy)</w:t>
            </w:r>
            <w:r w:rsidRPr="0009421C">
              <w:rPr>
                <w:rFonts w:ascii="Calibri" w:hAnsi="Calibri" w:cs="Calibri"/>
                <w:color w:val="000000"/>
                <w:sz w:val="18"/>
                <w:szCs w:val="18"/>
              </w:rPr>
              <w:t xml:space="preserve"> Authority Required (Streamlined) listing of durvalumab in combination with tremelimumab (</w:t>
            </w:r>
            <w:r w:rsidR="00EA2A87">
              <w:rPr>
                <w:rFonts w:ascii="Calibri" w:hAnsi="Calibri" w:cs="Calibri"/>
                <w:color w:val="000000"/>
                <w:sz w:val="18"/>
                <w:szCs w:val="18"/>
              </w:rPr>
              <w:t xml:space="preserve">referred to as </w:t>
            </w:r>
            <w:r w:rsidR="002E6325" w:rsidRPr="00A27ADC">
              <w:rPr>
                <w:rFonts w:ascii="Calibri" w:hAnsi="Calibri" w:cs="Calibri"/>
                <w:color w:val="000000"/>
                <w:sz w:val="18"/>
                <w:szCs w:val="18"/>
              </w:rPr>
              <w:t>Single Tremelimumab Regular Interval Durvalumab</w:t>
            </w:r>
            <w:r w:rsidR="002E6325">
              <w:rPr>
                <w:rFonts w:ascii="Calibri" w:hAnsi="Calibri" w:cs="Calibri"/>
                <w:color w:val="000000"/>
                <w:sz w:val="18"/>
                <w:szCs w:val="18"/>
              </w:rPr>
              <w:t xml:space="preserve"> </w:t>
            </w:r>
            <w:r w:rsidR="00EA2A87">
              <w:rPr>
                <w:rFonts w:ascii="Calibri" w:hAnsi="Calibri" w:cs="Calibri"/>
                <w:color w:val="000000"/>
                <w:sz w:val="18"/>
                <w:szCs w:val="18"/>
              </w:rPr>
              <w:t>(</w:t>
            </w:r>
            <w:r w:rsidRPr="0009421C">
              <w:rPr>
                <w:rFonts w:ascii="Calibri" w:hAnsi="Calibri" w:cs="Calibri"/>
                <w:color w:val="000000"/>
                <w:sz w:val="18"/>
                <w:szCs w:val="18"/>
              </w:rPr>
              <w:t>STRIDE</w:t>
            </w:r>
            <w:r w:rsidR="00EA2A87">
              <w:rPr>
                <w:rFonts w:ascii="Calibri" w:hAnsi="Calibri" w:cs="Calibri"/>
                <w:color w:val="000000"/>
                <w:sz w:val="18"/>
                <w:szCs w:val="18"/>
              </w:rPr>
              <w:t>)</w:t>
            </w:r>
            <w:r w:rsidRPr="0009421C">
              <w:rPr>
                <w:rFonts w:ascii="Calibri" w:hAnsi="Calibri" w:cs="Calibri"/>
                <w:color w:val="000000"/>
                <w:sz w:val="18"/>
                <w:szCs w:val="18"/>
              </w:rPr>
              <w:t xml:space="preserve"> regimen) for the treatment of patients with advanced (unresectable) </w:t>
            </w:r>
            <w:r w:rsidR="009D6E21" w:rsidRPr="0009421C">
              <w:rPr>
                <w:rFonts w:ascii="Calibri" w:hAnsi="Calibri" w:cs="Calibri"/>
                <w:color w:val="000000"/>
                <w:sz w:val="18"/>
                <w:szCs w:val="18"/>
              </w:rPr>
              <w:t xml:space="preserve">Stage B </w:t>
            </w:r>
            <w:r w:rsidRPr="0009421C">
              <w:rPr>
                <w:rFonts w:ascii="Calibri" w:hAnsi="Calibri" w:cs="Calibri"/>
                <w:color w:val="000000"/>
                <w:sz w:val="18"/>
                <w:szCs w:val="18"/>
              </w:rPr>
              <w:t xml:space="preserve">Barcelona Clinic Liver Cancer (BCLC) or Stage C hepatocellular carcinoma (HCC) who have not received prior treatment or who are intolerant to prior treatment with a tyrosine kinase inhibitor. The PBAC considered that, despite the uncertainties associated with the clinical evidence comparing </w:t>
            </w:r>
            <w:r w:rsidR="00FB6D70">
              <w:rPr>
                <w:rFonts w:ascii="Calibri" w:hAnsi="Calibri" w:cs="Calibri"/>
                <w:color w:val="000000"/>
                <w:sz w:val="18"/>
                <w:szCs w:val="18"/>
              </w:rPr>
              <w:t xml:space="preserve">the </w:t>
            </w:r>
            <w:r w:rsidRPr="0009421C">
              <w:rPr>
                <w:rFonts w:ascii="Calibri" w:hAnsi="Calibri" w:cs="Calibri"/>
                <w:color w:val="000000"/>
                <w:sz w:val="18"/>
                <w:szCs w:val="18"/>
              </w:rPr>
              <w:t>STRIDE</w:t>
            </w:r>
            <w:r w:rsidR="00FB6D70">
              <w:rPr>
                <w:rFonts w:ascii="Calibri" w:hAnsi="Calibri" w:cs="Calibri"/>
                <w:color w:val="000000"/>
                <w:sz w:val="18"/>
                <w:szCs w:val="18"/>
              </w:rPr>
              <w:t xml:space="preserve"> regimen </w:t>
            </w:r>
            <w:r w:rsidRPr="0009421C">
              <w:rPr>
                <w:rFonts w:ascii="Calibri" w:hAnsi="Calibri" w:cs="Calibri"/>
                <w:color w:val="000000"/>
                <w:sz w:val="18"/>
                <w:szCs w:val="18"/>
              </w:rPr>
              <w:t xml:space="preserve">to atezolizumab + bevacizumab, on balance it was likely that </w:t>
            </w:r>
            <w:r w:rsidR="006A745D">
              <w:rPr>
                <w:rFonts w:ascii="Calibri" w:hAnsi="Calibri" w:cs="Calibri"/>
                <w:color w:val="000000"/>
                <w:sz w:val="18"/>
                <w:szCs w:val="18"/>
              </w:rPr>
              <w:t xml:space="preserve">the </w:t>
            </w:r>
            <w:r w:rsidRPr="0009421C">
              <w:rPr>
                <w:rFonts w:ascii="Calibri" w:hAnsi="Calibri" w:cs="Calibri"/>
                <w:color w:val="000000"/>
                <w:sz w:val="18"/>
                <w:szCs w:val="18"/>
              </w:rPr>
              <w:t>STRIDE</w:t>
            </w:r>
            <w:r w:rsidR="006A745D">
              <w:rPr>
                <w:rFonts w:ascii="Calibri" w:hAnsi="Calibri" w:cs="Calibri"/>
                <w:color w:val="000000"/>
                <w:sz w:val="18"/>
                <w:szCs w:val="18"/>
              </w:rPr>
              <w:t xml:space="preserve"> regimen</w:t>
            </w:r>
            <w:r w:rsidRPr="0009421C">
              <w:rPr>
                <w:rFonts w:ascii="Calibri" w:hAnsi="Calibri" w:cs="Calibri"/>
                <w:color w:val="000000"/>
                <w:sz w:val="18"/>
                <w:szCs w:val="18"/>
              </w:rPr>
              <w:t xml:space="preserve"> was likely to be similarly effective and safe compared to atezolizumab + bevacizumab for this indication.</w:t>
            </w:r>
          </w:p>
          <w:p w14:paraId="75FE7355" w14:textId="3F232426" w:rsidR="004243EB" w:rsidRDefault="004243EB" w:rsidP="0062577D">
            <w:pPr>
              <w:rPr>
                <w:rFonts w:ascii="Calibri" w:hAnsi="Calibri" w:cs="Calibri"/>
                <w:color w:val="000000"/>
                <w:sz w:val="18"/>
                <w:szCs w:val="18"/>
              </w:rPr>
            </w:pPr>
          </w:p>
          <w:p w14:paraId="1351DDEE" w14:textId="666BD363"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it was appropriate for</w:t>
            </w:r>
            <w:r w:rsidR="006A745D">
              <w:rPr>
                <w:rFonts w:ascii="Calibri" w:hAnsi="Calibri" w:cs="Calibri"/>
                <w:color w:val="000000"/>
                <w:sz w:val="18"/>
                <w:szCs w:val="18"/>
              </w:rPr>
              <w:t xml:space="preserve"> the</w:t>
            </w:r>
            <w:r w:rsidRPr="0009421C">
              <w:rPr>
                <w:rFonts w:ascii="Calibri" w:hAnsi="Calibri" w:cs="Calibri"/>
                <w:color w:val="000000"/>
                <w:sz w:val="18"/>
                <w:szCs w:val="18"/>
              </w:rPr>
              <w:t xml:space="preserve"> STRIDE</w:t>
            </w:r>
            <w:r w:rsidR="006A745D">
              <w:rPr>
                <w:rFonts w:ascii="Calibri" w:hAnsi="Calibri" w:cs="Calibri"/>
                <w:color w:val="000000"/>
                <w:sz w:val="18"/>
                <w:szCs w:val="18"/>
              </w:rPr>
              <w:t xml:space="preserve"> regimen</w:t>
            </w:r>
            <w:r w:rsidRPr="0009421C">
              <w:rPr>
                <w:rFonts w:ascii="Calibri" w:hAnsi="Calibri" w:cs="Calibri"/>
                <w:color w:val="000000"/>
                <w:sz w:val="18"/>
                <w:szCs w:val="18"/>
              </w:rPr>
              <w:t xml:space="preserve"> to be listed on a cost minimisation basis to atezolizumab + bevacizumab</w:t>
            </w:r>
            <w:r w:rsidR="00DF4C68">
              <w:rPr>
                <w:rFonts w:ascii="Calibri" w:hAnsi="Calibri" w:cs="Calibri"/>
                <w:color w:val="000000"/>
                <w:sz w:val="18"/>
                <w:szCs w:val="18"/>
              </w:rPr>
              <w:t xml:space="preserve">. The PBAC </w:t>
            </w:r>
            <w:r w:rsidRPr="0009421C">
              <w:rPr>
                <w:rFonts w:ascii="Calibri" w:hAnsi="Calibri" w:cs="Calibri"/>
                <w:color w:val="000000"/>
                <w:sz w:val="18"/>
                <w:szCs w:val="18"/>
              </w:rPr>
              <w:t xml:space="preserve">considered </w:t>
            </w:r>
            <w:r w:rsidR="00AA513C">
              <w:rPr>
                <w:rFonts w:ascii="Calibri" w:hAnsi="Calibri" w:cs="Calibri"/>
                <w:color w:val="000000"/>
                <w:sz w:val="18"/>
                <w:szCs w:val="18"/>
              </w:rPr>
              <w:t xml:space="preserve">that </w:t>
            </w:r>
            <w:r w:rsidRPr="0009421C">
              <w:rPr>
                <w:rFonts w:ascii="Calibri" w:hAnsi="Calibri" w:cs="Calibri"/>
                <w:color w:val="000000"/>
                <w:sz w:val="18"/>
                <w:szCs w:val="18"/>
              </w:rPr>
              <w:t xml:space="preserve">the substantial difference in follow-up data available between the clinical trials for these therapies created additional challenges for determining the </w:t>
            </w:r>
            <w:proofErr w:type="spellStart"/>
            <w:r w:rsidRPr="0009421C">
              <w:rPr>
                <w:rFonts w:ascii="Calibri" w:hAnsi="Calibri" w:cs="Calibri"/>
                <w:color w:val="000000"/>
                <w:sz w:val="18"/>
                <w:szCs w:val="18"/>
              </w:rPr>
              <w:t>equi</w:t>
            </w:r>
            <w:proofErr w:type="spellEnd"/>
            <w:r w:rsidRPr="0009421C">
              <w:rPr>
                <w:rFonts w:ascii="Calibri" w:hAnsi="Calibri" w:cs="Calibri"/>
                <w:color w:val="000000"/>
                <w:sz w:val="18"/>
                <w:szCs w:val="18"/>
              </w:rPr>
              <w:t xml:space="preserve">-effective doses and relied instead on PBS utilisation data for atezolizumab which resulted in more balanced treatment durations for determining the </w:t>
            </w:r>
            <w:proofErr w:type="spellStart"/>
            <w:r w:rsidRPr="0009421C">
              <w:rPr>
                <w:rFonts w:ascii="Calibri" w:hAnsi="Calibri" w:cs="Calibri"/>
                <w:color w:val="000000"/>
                <w:sz w:val="18"/>
                <w:szCs w:val="18"/>
              </w:rPr>
              <w:t>equi</w:t>
            </w:r>
            <w:proofErr w:type="spellEnd"/>
            <w:r w:rsidRPr="0009421C">
              <w:rPr>
                <w:rFonts w:ascii="Calibri" w:hAnsi="Calibri" w:cs="Calibri"/>
                <w:color w:val="000000"/>
                <w:sz w:val="18"/>
                <w:szCs w:val="18"/>
              </w:rPr>
              <w:t xml:space="preserve">-effective doses compared to the available trial follow-up data for </w:t>
            </w:r>
            <w:r w:rsidR="001C0B71">
              <w:rPr>
                <w:rFonts w:ascii="Calibri" w:hAnsi="Calibri" w:cs="Calibri"/>
                <w:color w:val="000000"/>
                <w:sz w:val="18"/>
                <w:szCs w:val="18"/>
              </w:rPr>
              <w:t xml:space="preserve">the </w:t>
            </w:r>
            <w:r w:rsidRPr="0009421C">
              <w:rPr>
                <w:rFonts w:ascii="Calibri" w:hAnsi="Calibri" w:cs="Calibri"/>
                <w:color w:val="000000"/>
                <w:sz w:val="18"/>
                <w:szCs w:val="18"/>
              </w:rPr>
              <w:t>STRIDE</w:t>
            </w:r>
            <w:r w:rsidR="001C0B71">
              <w:rPr>
                <w:rFonts w:ascii="Calibri" w:hAnsi="Calibri" w:cs="Calibri"/>
                <w:color w:val="000000"/>
                <w:sz w:val="18"/>
                <w:szCs w:val="18"/>
              </w:rPr>
              <w:t xml:space="preserve"> regimen</w:t>
            </w:r>
            <w:r w:rsidRPr="0009421C">
              <w:rPr>
                <w:rFonts w:ascii="Calibri" w:hAnsi="Calibri" w:cs="Calibri"/>
                <w:color w:val="000000"/>
                <w:sz w:val="18"/>
                <w:szCs w:val="18"/>
              </w:rPr>
              <w:t>.</w:t>
            </w:r>
          </w:p>
          <w:p w14:paraId="27FD36FE" w14:textId="77777777" w:rsidR="004243EB" w:rsidRDefault="004243EB" w:rsidP="0062577D">
            <w:pPr>
              <w:rPr>
                <w:rFonts w:ascii="Calibri" w:hAnsi="Calibri" w:cs="Calibri"/>
                <w:color w:val="000000"/>
                <w:sz w:val="18"/>
                <w:szCs w:val="18"/>
              </w:rPr>
            </w:pPr>
          </w:p>
          <w:p w14:paraId="6E06C825" w14:textId="7751B7FB" w:rsidR="00B821C6" w:rsidRPr="0009421C" w:rsidDel="008F66B5" w:rsidRDefault="00B821C6" w:rsidP="0062577D">
            <w:pPr>
              <w:rPr>
                <w:rFonts w:asciiTheme="minorHAnsi" w:hAnsiTheme="minorHAnsi" w:cstheme="minorBidi"/>
                <w:color w:val="000000"/>
                <w:sz w:val="18"/>
                <w:szCs w:val="18"/>
                <w:lang w:val="en-GB"/>
              </w:rPr>
            </w:pPr>
            <w:r w:rsidRPr="0009421C">
              <w:rPr>
                <w:rFonts w:ascii="Calibri" w:hAnsi="Calibri" w:cs="Calibri"/>
                <w:color w:val="000000"/>
                <w:sz w:val="18"/>
                <w:szCs w:val="18"/>
              </w:rPr>
              <w:t xml:space="preserve">The PBAC noted flow-on changes to other PBS listings would be required to allow patients to be treated with lenvatinib or sorafenib where intolerance of a severity necessitating permanent treatment withdrawal occurs with </w:t>
            </w:r>
            <w:r w:rsidR="00A3079F">
              <w:rPr>
                <w:rFonts w:ascii="Calibri" w:hAnsi="Calibri" w:cs="Calibri"/>
                <w:color w:val="000000"/>
                <w:sz w:val="18"/>
                <w:szCs w:val="18"/>
              </w:rPr>
              <w:t xml:space="preserve">the first-line use of the </w:t>
            </w:r>
            <w:r w:rsidRPr="0009421C">
              <w:rPr>
                <w:rFonts w:ascii="Calibri" w:hAnsi="Calibri" w:cs="Calibri"/>
                <w:color w:val="000000"/>
                <w:sz w:val="18"/>
                <w:szCs w:val="18"/>
              </w:rPr>
              <w:t xml:space="preserve">STRIDE </w:t>
            </w:r>
            <w:r w:rsidR="00A3079F">
              <w:rPr>
                <w:rFonts w:ascii="Calibri" w:hAnsi="Calibri" w:cs="Calibri"/>
                <w:color w:val="000000"/>
                <w:sz w:val="18"/>
                <w:szCs w:val="18"/>
              </w:rPr>
              <w:t>regimen</w:t>
            </w:r>
            <w:r w:rsidRPr="0009421C">
              <w:rPr>
                <w:rFonts w:ascii="Calibri" w:hAnsi="Calibri" w:cs="Calibri"/>
                <w:color w:val="000000"/>
                <w:sz w:val="18"/>
                <w:szCs w:val="18"/>
              </w:rPr>
              <w:t>.</w:t>
            </w:r>
          </w:p>
        </w:tc>
      </w:tr>
      <w:tr w:rsidR="00B821C6" w:rsidRPr="0009421C" w:rsidDel="008F66B5" w14:paraId="4FFCA2D9" w14:textId="6E3CFFEB"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C6AE1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EMPAGLIFLOZIN</w:t>
            </w:r>
          </w:p>
          <w:p w14:paraId="46677E49" w14:textId="77777777" w:rsidR="004243EB" w:rsidRDefault="004243EB" w:rsidP="00B821C6">
            <w:pPr>
              <w:jc w:val="center"/>
              <w:rPr>
                <w:rFonts w:ascii="Calibri" w:hAnsi="Calibri" w:cs="Calibri"/>
                <w:color w:val="000000"/>
                <w:sz w:val="18"/>
                <w:szCs w:val="18"/>
              </w:rPr>
            </w:pPr>
          </w:p>
          <w:p w14:paraId="2CC9422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10 mg</w:t>
            </w:r>
          </w:p>
          <w:p w14:paraId="4F518B63" w14:textId="77777777" w:rsidR="004243EB" w:rsidRDefault="004243EB" w:rsidP="00B821C6">
            <w:pPr>
              <w:jc w:val="center"/>
              <w:rPr>
                <w:rFonts w:ascii="Calibri" w:hAnsi="Calibri" w:cs="Calibri"/>
                <w:color w:val="000000"/>
                <w:sz w:val="18"/>
                <w:szCs w:val="18"/>
              </w:rPr>
            </w:pPr>
          </w:p>
          <w:p w14:paraId="419132B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Jardiance®</w:t>
            </w:r>
          </w:p>
          <w:p w14:paraId="76F604A5" w14:textId="77777777" w:rsidR="004243EB" w:rsidRDefault="004243EB" w:rsidP="00B821C6">
            <w:pPr>
              <w:jc w:val="center"/>
              <w:rPr>
                <w:rFonts w:ascii="Calibri" w:hAnsi="Calibri" w:cs="Calibri"/>
                <w:color w:val="000000"/>
                <w:sz w:val="18"/>
                <w:szCs w:val="18"/>
              </w:rPr>
            </w:pPr>
          </w:p>
          <w:p w14:paraId="13246E5A"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BOEHRINGER INGELHEIM PTY LTD</w:t>
            </w:r>
          </w:p>
          <w:p w14:paraId="53F7A9A2" w14:textId="77777777" w:rsidR="004243EB" w:rsidRDefault="004243EB" w:rsidP="00B821C6">
            <w:pPr>
              <w:jc w:val="center"/>
              <w:rPr>
                <w:rFonts w:ascii="Calibri" w:hAnsi="Calibri" w:cs="Calibri"/>
                <w:color w:val="000000"/>
                <w:sz w:val="18"/>
                <w:szCs w:val="18"/>
              </w:rPr>
            </w:pPr>
          </w:p>
          <w:p w14:paraId="5629AE25"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Standard re-entry</w:t>
            </w:r>
          </w:p>
          <w:p w14:paraId="582A49A2" w14:textId="5F3382B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208166A4" w14:textId="00ABB1F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Chronic kidney disease (CKD)</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05350" w14:textId="55D61209"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Resubmission to request a General Schedule Authority Required (STREAMLINED) listing for the CKD incremental population.</w:t>
            </w:r>
          </w:p>
        </w:tc>
        <w:tc>
          <w:tcPr>
            <w:tcW w:w="1701" w:type="dxa"/>
            <w:vAlign w:val="center"/>
          </w:tcPr>
          <w:p w14:paraId="700BE01A" w14:textId="107ED8E9"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6B9797F2" w14:textId="2A2D0AAB"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expanding the eligible population for the current </w:t>
            </w:r>
            <w:r w:rsidR="00A77575">
              <w:rPr>
                <w:rFonts w:ascii="Calibri" w:hAnsi="Calibri" w:cs="Calibri"/>
                <w:color w:val="000000"/>
                <w:sz w:val="18"/>
                <w:szCs w:val="18"/>
              </w:rPr>
              <w:t>General Schedule</w:t>
            </w:r>
            <w:r w:rsidR="00BA4987">
              <w:rPr>
                <w:rFonts w:ascii="Calibri" w:hAnsi="Calibri" w:cs="Calibri"/>
                <w:color w:val="000000"/>
                <w:sz w:val="18"/>
                <w:szCs w:val="18"/>
              </w:rPr>
              <w:t>,</w:t>
            </w:r>
            <w:r w:rsidR="00A77575">
              <w:rPr>
                <w:rFonts w:ascii="Calibri" w:hAnsi="Calibri" w:cs="Calibri"/>
                <w:color w:val="000000"/>
                <w:sz w:val="18"/>
                <w:szCs w:val="18"/>
              </w:rPr>
              <w:t xml:space="preserve"> </w:t>
            </w:r>
            <w:r w:rsidRPr="0009421C">
              <w:rPr>
                <w:rFonts w:ascii="Calibri" w:hAnsi="Calibri" w:cs="Calibri"/>
                <w:color w:val="000000"/>
                <w:sz w:val="18"/>
                <w:szCs w:val="18"/>
              </w:rPr>
              <w:t>Authority Required (STREAMLINED) PBS listing for empagliflozin for the treatment of adult patients with chronic kidney disease (CKD) to include a larger population that is in line with the population from the pivotal clinical trial, EMPA-KIDNEY. The additional population for the expanded listing includes 4 distinct subgroups of patients with:</w:t>
            </w:r>
          </w:p>
          <w:p w14:paraId="559041AF" w14:textId="381CB8E8" w:rsidR="004243EB" w:rsidRPr="004243EB" w:rsidRDefault="00B821C6" w:rsidP="0062577D">
            <w:pPr>
              <w:pStyle w:val="ListParagraph"/>
              <w:numPr>
                <w:ilvl w:val="0"/>
                <w:numId w:val="65"/>
              </w:numPr>
              <w:ind w:left="313" w:hanging="218"/>
              <w:rPr>
                <w:rFonts w:ascii="Calibri" w:hAnsi="Calibri" w:cs="Calibri"/>
                <w:color w:val="000000"/>
                <w:sz w:val="18"/>
                <w:szCs w:val="18"/>
              </w:rPr>
            </w:pPr>
            <w:r w:rsidRPr="004243EB">
              <w:rPr>
                <w:rFonts w:ascii="Calibri" w:hAnsi="Calibri" w:cs="Calibri"/>
                <w:color w:val="000000"/>
                <w:sz w:val="18"/>
                <w:szCs w:val="18"/>
              </w:rPr>
              <w:t>estimated Glomerular Filtration Rate (eGFR) 20 to &lt;25 mL/min/1.73 m2 regardless of urinary albumin to creatinine ratio (UACR)</w:t>
            </w:r>
          </w:p>
          <w:p w14:paraId="74BF28E4" w14:textId="299A2664" w:rsidR="004243EB" w:rsidRPr="004243EB" w:rsidRDefault="00B821C6" w:rsidP="0062577D">
            <w:pPr>
              <w:pStyle w:val="ListParagraph"/>
              <w:numPr>
                <w:ilvl w:val="0"/>
                <w:numId w:val="65"/>
              </w:numPr>
              <w:ind w:left="313" w:hanging="218"/>
              <w:rPr>
                <w:rFonts w:ascii="Calibri" w:hAnsi="Calibri" w:cs="Calibri"/>
                <w:color w:val="000000"/>
                <w:sz w:val="18"/>
                <w:szCs w:val="18"/>
              </w:rPr>
            </w:pPr>
            <w:r w:rsidRPr="004243EB">
              <w:rPr>
                <w:rFonts w:ascii="Calibri" w:hAnsi="Calibri" w:cs="Calibri"/>
                <w:color w:val="000000"/>
                <w:sz w:val="18"/>
                <w:szCs w:val="18"/>
              </w:rPr>
              <w:t>eGFR 25 to &lt;45 mL/min/1.73 m2 with UACR &lt;200 mg/g</w:t>
            </w:r>
          </w:p>
          <w:p w14:paraId="1A4B9875" w14:textId="15EDE863" w:rsidR="004243EB" w:rsidRPr="004243EB" w:rsidRDefault="00B821C6" w:rsidP="0062577D">
            <w:pPr>
              <w:pStyle w:val="ListParagraph"/>
              <w:numPr>
                <w:ilvl w:val="0"/>
                <w:numId w:val="65"/>
              </w:numPr>
              <w:ind w:left="313" w:hanging="218"/>
              <w:rPr>
                <w:rFonts w:ascii="Calibri" w:hAnsi="Calibri" w:cs="Calibri"/>
                <w:color w:val="000000"/>
                <w:sz w:val="18"/>
                <w:szCs w:val="18"/>
              </w:rPr>
            </w:pPr>
            <w:r w:rsidRPr="004243EB">
              <w:rPr>
                <w:rFonts w:ascii="Calibri" w:hAnsi="Calibri" w:cs="Calibri"/>
                <w:color w:val="000000"/>
                <w:sz w:val="18"/>
                <w:szCs w:val="18"/>
              </w:rPr>
              <w:t>eGFR 25 to 75 mL/min/1.73 m2 with UACR &gt;5,000 mg/g</w:t>
            </w:r>
          </w:p>
          <w:p w14:paraId="50064465" w14:textId="37463048" w:rsidR="004243EB" w:rsidRPr="004243EB" w:rsidRDefault="00B821C6" w:rsidP="0062577D">
            <w:pPr>
              <w:pStyle w:val="ListParagraph"/>
              <w:numPr>
                <w:ilvl w:val="0"/>
                <w:numId w:val="65"/>
              </w:numPr>
              <w:ind w:left="313" w:hanging="218"/>
              <w:rPr>
                <w:rFonts w:ascii="Calibri" w:hAnsi="Calibri" w:cs="Calibri"/>
                <w:color w:val="000000"/>
                <w:sz w:val="18"/>
                <w:szCs w:val="18"/>
              </w:rPr>
            </w:pPr>
            <w:r w:rsidRPr="004243EB">
              <w:rPr>
                <w:rFonts w:ascii="Calibri" w:hAnsi="Calibri" w:cs="Calibri"/>
                <w:color w:val="000000"/>
                <w:sz w:val="18"/>
                <w:szCs w:val="18"/>
              </w:rPr>
              <w:t>eGFR &gt;75 to 90 mL/min/1.73 m2 with UACR ≥200 mg/g</w:t>
            </w:r>
          </w:p>
          <w:p w14:paraId="4F9EE2E0"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 </w:t>
            </w:r>
          </w:p>
          <w:p w14:paraId="4ECEF0BF" w14:textId="13D8ED1C"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that, despite the considerable diversity of the additional population and uncertainties with comparing clinical data across small subgroups, there was adequate clinical evidence that empagliflozin had a similar benefit in th</w:t>
            </w:r>
            <w:r w:rsidR="00283273">
              <w:rPr>
                <w:rFonts w:ascii="Calibri" w:hAnsi="Calibri" w:cs="Calibri"/>
                <w:color w:val="000000"/>
                <w:sz w:val="18"/>
                <w:szCs w:val="18"/>
              </w:rPr>
              <w:t>e</w:t>
            </w:r>
            <w:r w:rsidRPr="0009421C">
              <w:rPr>
                <w:rFonts w:ascii="Calibri" w:hAnsi="Calibri" w:cs="Calibri"/>
                <w:color w:val="000000"/>
                <w:sz w:val="18"/>
                <w:szCs w:val="18"/>
              </w:rPr>
              <w:t xml:space="preserve"> additional population </w:t>
            </w:r>
            <w:r w:rsidR="008D57A8">
              <w:rPr>
                <w:rFonts w:ascii="Calibri" w:hAnsi="Calibri" w:cs="Calibri"/>
                <w:color w:val="000000"/>
                <w:sz w:val="18"/>
                <w:szCs w:val="18"/>
              </w:rPr>
              <w:t>to that of</w:t>
            </w:r>
            <w:r w:rsidRPr="0009421C">
              <w:rPr>
                <w:rFonts w:ascii="Calibri" w:hAnsi="Calibri" w:cs="Calibri"/>
                <w:color w:val="000000"/>
                <w:sz w:val="18"/>
                <w:szCs w:val="18"/>
              </w:rPr>
              <w:t xml:space="preserve"> the </w:t>
            </w:r>
            <w:r w:rsidR="008D57A8">
              <w:rPr>
                <w:rFonts w:ascii="Calibri" w:hAnsi="Calibri" w:cs="Calibri"/>
                <w:color w:val="000000"/>
                <w:sz w:val="18"/>
                <w:szCs w:val="18"/>
              </w:rPr>
              <w:t>currently listed</w:t>
            </w:r>
            <w:r w:rsidRPr="0009421C">
              <w:rPr>
                <w:rFonts w:ascii="Calibri" w:hAnsi="Calibri" w:cs="Calibri"/>
                <w:color w:val="000000"/>
                <w:sz w:val="18"/>
                <w:szCs w:val="18"/>
              </w:rPr>
              <w:t xml:space="preserve"> population.</w:t>
            </w:r>
          </w:p>
          <w:p w14:paraId="577C569D"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 </w:t>
            </w:r>
          </w:p>
          <w:p w14:paraId="05BCB24A" w14:textId="42E1F83C"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PBAC’s recommendation for expanding the eligible population for the current listing was based on its assessment that the cost-effectiveness of empagliflozin in th</w:t>
            </w:r>
            <w:r w:rsidR="0092565E">
              <w:rPr>
                <w:rFonts w:ascii="Calibri" w:hAnsi="Calibri" w:cs="Calibri"/>
                <w:color w:val="000000"/>
                <w:sz w:val="18"/>
                <w:szCs w:val="18"/>
              </w:rPr>
              <w:t>e</w:t>
            </w:r>
            <w:r w:rsidRPr="0009421C">
              <w:rPr>
                <w:rFonts w:ascii="Calibri" w:hAnsi="Calibri" w:cs="Calibri"/>
                <w:color w:val="000000"/>
                <w:sz w:val="18"/>
                <w:szCs w:val="18"/>
              </w:rPr>
              <w:t xml:space="preserve"> proposed additional population would be acceptable. The PBAC noted that the existing PBS price was recently reduced, which mitigated the significant uncertainties with the benefits estimated in the economic model.</w:t>
            </w:r>
          </w:p>
          <w:p w14:paraId="19C579AA"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 </w:t>
            </w:r>
          </w:p>
          <w:p w14:paraId="12A145BA" w14:textId="33107782" w:rsidR="00B821C6" w:rsidRPr="0009421C" w:rsidDel="008F66B5" w:rsidRDefault="00B821C6" w:rsidP="0062577D">
            <w:pPr>
              <w:rPr>
                <w:rFonts w:asciiTheme="minorHAnsi" w:hAnsiTheme="minorHAnsi" w:cstheme="minorBidi"/>
                <w:color w:val="000000"/>
                <w:sz w:val="18"/>
                <w:szCs w:val="18"/>
              </w:rPr>
            </w:pPr>
            <w:r w:rsidRPr="0009421C">
              <w:rPr>
                <w:rFonts w:ascii="Calibri" w:hAnsi="Calibri" w:cs="Calibri"/>
                <w:color w:val="000000"/>
                <w:sz w:val="18"/>
                <w:szCs w:val="18"/>
              </w:rPr>
              <w:t>The PBAC recommended there be no flow-on changes to the PBS listing for dapagliflozin for the treatment of CKD to maintain alignment with its current Therapeutic Goods Administration approved indication.</w:t>
            </w:r>
          </w:p>
        </w:tc>
      </w:tr>
      <w:tr w:rsidR="00B821C6" w:rsidRPr="0009421C" w:rsidDel="008F66B5" w14:paraId="160A6F61" w14:textId="452A0DD4"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2C089E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ETONOGESTREL WITH ETHINYLESTRADIOL</w:t>
            </w:r>
          </w:p>
          <w:p w14:paraId="0C5A3853" w14:textId="77777777" w:rsidR="004243EB" w:rsidRDefault="004243EB" w:rsidP="00B821C6">
            <w:pPr>
              <w:jc w:val="center"/>
              <w:rPr>
                <w:rFonts w:ascii="Calibri" w:hAnsi="Calibri" w:cs="Calibri"/>
                <w:color w:val="000000"/>
                <w:sz w:val="18"/>
                <w:szCs w:val="18"/>
              </w:rPr>
            </w:pPr>
          </w:p>
          <w:p w14:paraId="470AE59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Vaginal ring containing etonogestrel 11.7 mg with ethinylestradiol 2.7 mg</w:t>
            </w:r>
          </w:p>
          <w:p w14:paraId="0BE508CF" w14:textId="77777777" w:rsidR="004243EB" w:rsidRDefault="004243EB" w:rsidP="00B821C6">
            <w:pPr>
              <w:jc w:val="center"/>
              <w:rPr>
                <w:rFonts w:ascii="Calibri" w:hAnsi="Calibri" w:cs="Calibri"/>
                <w:color w:val="000000"/>
                <w:sz w:val="18"/>
                <w:szCs w:val="18"/>
              </w:rPr>
            </w:pPr>
          </w:p>
          <w:p w14:paraId="5CEBA05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NuvaRing®</w:t>
            </w:r>
          </w:p>
          <w:p w14:paraId="06ED2425" w14:textId="77777777" w:rsidR="004243EB" w:rsidRDefault="004243EB" w:rsidP="00B821C6">
            <w:pPr>
              <w:jc w:val="center"/>
              <w:rPr>
                <w:rFonts w:ascii="Calibri" w:hAnsi="Calibri" w:cs="Calibri"/>
                <w:color w:val="000000"/>
                <w:sz w:val="18"/>
                <w:szCs w:val="18"/>
              </w:rPr>
            </w:pPr>
          </w:p>
          <w:p w14:paraId="0551187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ORGANON PHARMA PTY LTD</w:t>
            </w:r>
          </w:p>
          <w:p w14:paraId="04F249AD" w14:textId="77777777" w:rsidR="004243EB" w:rsidRDefault="004243EB" w:rsidP="00B821C6">
            <w:pPr>
              <w:jc w:val="center"/>
              <w:rPr>
                <w:rFonts w:ascii="Calibri" w:hAnsi="Calibri" w:cs="Calibri"/>
                <w:color w:val="000000"/>
                <w:sz w:val="18"/>
                <w:szCs w:val="18"/>
              </w:rPr>
            </w:pPr>
          </w:p>
          <w:p w14:paraId="6FD0527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21908999" w14:textId="5E01380E"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2BF07BA0" w14:textId="0A2651B9"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Contraception</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015281" w14:textId="7B19E358"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Restricted Benefit listing for contraception.</w:t>
            </w:r>
          </w:p>
        </w:tc>
        <w:tc>
          <w:tcPr>
            <w:tcW w:w="1701" w:type="dxa"/>
            <w:vAlign w:val="center"/>
          </w:tcPr>
          <w:p w14:paraId="2FEF30D2" w14:textId="2B33AF91"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0630B7DE" w14:textId="16A5B35B" w:rsidR="00B821C6" w:rsidRPr="0009421C" w:rsidDel="008F66B5" w:rsidRDefault="00B821C6" w:rsidP="0062577D">
            <w:pPr>
              <w:rPr>
                <w:rFonts w:asciiTheme="minorHAnsi" w:hAnsiTheme="minorHAnsi" w:cstheme="minorBidi"/>
                <w:color w:val="000000"/>
                <w:sz w:val="18"/>
                <w:szCs w:val="18"/>
              </w:rPr>
            </w:pPr>
            <w:r w:rsidRPr="0009421C">
              <w:rPr>
                <w:rFonts w:ascii="Calibri" w:hAnsi="Calibri" w:cs="Calibri"/>
                <w:color w:val="000000"/>
                <w:sz w:val="18"/>
                <w:szCs w:val="18"/>
              </w:rPr>
              <w:t>The PBAC recommended the</w:t>
            </w:r>
            <w:r w:rsidR="00E620F8">
              <w:rPr>
                <w:rFonts w:ascii="Calibri" w:hAnsi="Calibri" w:cs="Calibri"/>
                <w:color w:val="000000"/>
                <w:sz w:val="18"/>
                <w:szCs w:val="18"/>
              </w:rPr>
              <w:t xml:space="preserve"> General Schedule</w:t>
            </w:r>
            <w:r w:rsidR="00115966">
              <w:rPr>
                <w:rFonts w:ascii="Calibri" w:hAnsi="Calibri" w:cs="Calibri"/>
                <w:color w:val="000000"/>
                <w:sz w:val="18"/>
                <w:szCs w:val="18"/>
              </w:rPr>
              <w:t xml:space="preserve"> </w:t>
            </w:r>
            <w:r w:rsidR="00E620F8">
              <w:rPr>
                <w:rFonts w:ascii="Calibri" w:hAnsi="Calibri" w:cs="Calibri"/>
                <w:color w:val="000000"/>
                <w:sz w:val="18"/>
                <w:szCs w:val="18"/>
              </w:rPr>
              <w:t xml:space="preserve">PBS </w:t>
            </w:r>
            <w:r w:rsidRPr="0009421C">
              <w:rPr>
                <w:rFonts w:ascii="Calibri" w:hAnsi="Calibri" w:cs="Calibri"/>
                <w:color w:val="000000"/>
                <w:sz w:val="18"/>
                <w:szCs w:val="18"/>
              </w:rPr>
              <w:t xml:space="preserve">listing of etonogestrel with </w:t>
            </w:r>
            <w:r w:rsidR="00ED2CB0" w:rsidRPr="0009421C">
              <w:rPr>
                <w:rFonts w:ascii="Calibri" w:hAnsi="Calibri" w:cs="Calibri"/>
                <w:color w:val="000000"/>
                <w:sz w:val="18"/>
                <w:szCs w:val="18"/>
              </w:rPr>
              <w:t>ethinylestradiol</w:t>
            </w:r>
            <w:r w:rsidRPr="0009421C">
              <w:rPr>
                <w:rFonts w:ascii="Calibri" w:hAnsi="Calibri" w:cs="Calibri"/>
                <w:color w:val="000000"/>
                <w:sz w:val="18"/>
                <w:szCs w:val="18"/>
              </w:rPr>
              <w:t xml:space="preserve"> contraceptive vaginal ring (NuvaRing®).  The PBAC welcomed input from consumers that PBS listing of NuvaRing</w:t>
            </w:r>
            <w:r w:rsidR="00721514" w:rsidRPr="0009421C">
              <w:rPr>
                <w:rFonts w:ascii="Calibri" w:hAnsi="Calibri" w:cs="Calibri"/>
                <w:color w:val="000000"/>
                <w:sz w:val="18"/>
                <w:szCs w:val="18"/>
              </w:rPr>
              <w:t>®</w:t>
            </w:r>
            <w:r w:rsidRPr="0009421C">
              <w:rPr>
                <w:rFonts w:ascii="Calibri" w:hAnsi="Calibri" w:cs="Calibri"/>
                <w:color w:val="000000"/>
                <w:sz w:val="18"/>
                <w:szCs w:val="18"/>
              </w:rPr>
              <w:t> would enhance contraceptive choice by improving affordability and accessibility. The PBAC considered that NuvaRing</w:t>
            </w:r>
            <w:r w:rsidR="00721514" w:rsidRPr="0009421C">
              <w:rPr>
                <w:rFonts w:ascii="Calibri" w:hAnsi="Calibri" w:cs="Calibri"/>
                <w:color w:val="000000"/>
                <w:sz w:val="18"/>
                <w:szCs w:val="18"/>
              </w:rPr>
              <w:t>®</w:t>
            </w:r>
            <w:r w:rsidRPr="0009421C">
              <w:rPr>
                <w:rFonts w:ascii="Calibri" w:hAnsi="Calibri" w:cs="Calibri"/>
                <w:color w:val="000000"/>
                <w:sz w:val="18"/>
                <w:szCs w:val="18"/>
              </w:rPr>
              <w:t xml:space="preserve"> provides an additional contraceptive option and has similar contraceptive efficacy and safety compared to depot medroxyprogesterone acetate injection and PBS-listed oral contraceptives. The PBAC noted that the submission had asked for the PBS supply of NuvaRing</w:t>
            </w:r>
            <w:r w:rsidR="00721514" w:rsidRPr="0009421C">
              <w:rPr>
                <w:rFonts w:ascii="Calibri" w:hAnsi="Calibri" w:cs="Calibri"/>
                <w:color w:val="000000"/>
                <w:sz w:val="18"/>
                <w:szCs w:val="18"/>
              </w:rPr>
              <w:t>®</w:t>
            </w:r>
            <w:r w:rsidRPr="0009421C">
              <w:rPr>
                <w:rFonts w:ascii="Calibri" w:hAnsi="Calibri" w:cs="Calibri"/>
                <w:color w:val="000000"/>
                <w:sz w:val="18"/>
                <w:szCs w:val="18"/>
              </w:rPr>
              <w:t xml:space="preserve"> to be limited to women who either had difficulty swallowing tablets, gastrointestinal disturbances (e.g. malabsorption), or had experienced undesirable side effects with oral contraceptives. The PBAC considered that NuvaRing</w:t>
            </w:r>
            <w:r w:rsidR="00721514" w:rsidRPr="0009421C">
              <w:rPr>
                <w:rFonts w:ascii="Calibri" w:hAnsi="Calibri" w:cs="Calibri"/>
                <w:color w:val="000000"/>
                <w:sz w:val="18"/>
                <w:szCs w:val="18"/>
              </w:rPr>
              <w:t>®</w:t>
            </w:r>
            <w:r w:rsidRPr="0009421C">
              <w:rPr>
                <w:rFonts w:ascii="Calibri" w:hAnsi="Calibri" w:cs="Calibri"/>
                <w:color w:val="000000"/>
                <w:sz w:val="18"/>
                <w:szCs w:val="18"/>
              </w:rPr>
              <w:t xml:space="preserve"> could provide an additional contraceptive option for </w:t>
            </w:r>
            <w:r w:rsidR="00BF50AF">
              <w:rPr>
                <w:rFonts w:ascii="Calibri" w:hAnsi="Calibri" w:cs="Calibri"/>
                <w:color w:val="000000"/>
                <w:sz w:val="18"/>
                <w:szCs w:val="18"/>
              </w:rPr>
              <w:t xml:space="preserve">a </w:t>
            </w:r>
            <w:r w:rsidR="00115966">
              <w:rPr>
                <w:rFonts w:ascii="Calibri" w:hAnsi="Calibri" w:cs="Calibri"/>
                <w:color w:val="000000"/>
                <w:sz w:val="18"/>
                <w:szCs w:val="18"/>
              </w:rPr>
              <w:t>wider population</w:t>
            </w:r>
            <w:r w:rsidR="00BF50AF" w:rsidRPr="0009421C">
              <w:rPr>
                <w:rFonts w:ascii="Calibri" w:hAnsi="Calibri" w:cs="Calibri"/>
                <w:color w:val="000000"/>
                <w:sz w:val="18"/>
                <w:szCs w:val="18"/>
              </w:rPr>
              <w:t xml:space="preserve"> </w:t>
            </w:r>
            <w:r w:rsidRPr="0009421C">
              <w:rPr>
                <w:rFonts w:ascii="Calibri" w:hAnsi="Calibri" w:cs="Calibri"/>
                <w:color w:val="000000"/>
                <w:sz w:val="18"/>
                <w:szCs w:val="18"/>
              </w:rPr>
              <w:t>than these groups of women and that a broader listing would be appropriate.</w:t>
            </w:r>
            <w:r w:rsidR="00BB07C5">
              <w:rPr>
                <w:rFonts w:ascii="Calibri" w:hAnsi="Calibri" w:cs="Calibri"/>
                <w:color w:val="000000"/>
                <w:sz w:val="18"/>
                <w:szCs w:val="18"/>
              </w:rPr>
              <w:t xml:space="preserve"> </w:t>
            </w:r>
            <w:r w:rsidRPr="0009421C">
              <w:rPr>
                <w:rFonts w:ascii="Calibri" w:hAnsi="Calibri" w:cs="Calibri"/>
                <w:color w:val="000000"/>
                <w:sz w:val="18"/>
                <w:szCs w:val="18"/>
              </w:rPr>
              <w:t>The PBAC therefore recommended listing NuvaRing</w:t>
            </w:r>
            <w:r w:rsidR="00721514" w:rsidRPr="0009421C">
              <w:rPr>
                <w:rFonts w:ascii="Calibri" w:hAnsi="Calibri" w:cs="Calibri"/>
                <w:color w:val="000000"/>
                <w:sz w:val="18"/>
                <w:szCs w:val="18"/>
              </w:rPr>
              <w:t>®</w:t>
            </w:r>
            <w:r w:rsidRPr="0009421C">
              <w:rPr>
                <w:rFonts w:ascii="Calibri" w:hAnsi="Calibri" w:cs="Calibri"/>
                <w:color w:val="000000"/>
                <w:sz w:val="18"/>
                <w:szCs w:val="18"/>
              </w:rPr>
              <w:t xml:space="preserve"> as an unrestricted benefit at a price consistent with the price per day of the PBS-listed oral contraceptive ethinylestradiol with drospirenone.</w:t>
            </w:r>
          </w:p>
        </w:tc>
      </w:tr>
      <w:tr w:rsidR="00B821C6" w:rsidRPr="0009421C" w:rsidDel="008F66B5" w14:paraId="7750751C" w14:textId="047CD90A"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4B20F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FEDRATINIB</w:t>
            </w:r>
          </w:p>
          <w:p w14:paraId="4F62377F" w14:textId="77777777" w:rsidR="004243EB" w:rsidRDefault="004243EB" w:rsidP="00B821C6">
            <w:pPr>
              <w:jc w:val="center"/>
              <w:rPr>
                <w:rFonts w:ascii="Calibri" w:hAnsi="Calibri" w:cs="Calibri"/>
                <w:color w:val="000000"/>
                <w:sz w:val="18"/>
                <w:szCs w:val="18"/>
              </w:rPr>
            </w:pPr>
          </w:p>
          <w:p w14:paraId="0F896425"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Capsule 100 mg</w:t>
            </w:r>
          </w:p>
          <w:p w14:paraId="63A3F3F2" w14:textId="77777777" w:rsidR="004243EB" w:rsidRDefault="004243EB" w:rsidP="00B821C6">
            <w:pPr>
              <w:jc w:val="center"/>
              <w:rPr>
                <w:rFonts w:ascii="Calibri" w:hAnsi="Calibri" w:cs="Calibri"/>
                <w:color w:val="000000"/>
                <w:sz w:val="18"/>
                <w:szCs w:val="18"/>
              </w:rPr>
            </w:pPr>
          </w:p>
          <w:p w14:paraId="5DB180C5"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Inrebic</w:t>
            </w:r>
            <w:proofErr w:type="spellEnd"/>
            <w:r w:rsidRPr="0009421C">
              <w:rPr>
                <w:rFonts w:ascii="Calibri" w:hAnsi="Calibri" w:cs="Calibri"/>
                <w:color w:val="000000"/>
                <w:sz w:val="18"/>
                <w:szCs w:val="18"/>
              </w:rPr>
              <w:t>®</w:t>
            </w:r>
          </w:p>
          <w:p w14:paraId="610DB837" w14:textId="77777777" w:rsidR="004243EB" w:rsidRDefault="004243EB" w:rsidP="00B821C6">
            <w:pPr>
              <w:jc w:val="center"/>
              <w:rPr>
                <w:rFonts w:ascii="Calibri" w:hAnsi="Calibri" w:cs="Calibri"/>
                <w:color w:val="000000"/>
                <w:sz w:val="18"/>
                <w:szCs w:val="18"/>
              </w:rPr>
            </w:pPr>
          </w:p>
          <w:p w14:paraId="34B6E518"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BRISTOL-MYERS SQUIBB AUSTRALIA PTY LTD</w:t>
            </w:r>
          </w:p>
          <w:p w14:paraId="244B524C" w14:textId="77777777" w:rsidR="004243EB" w:rsidRDefault="004243EB" w:rsidP="00B821C6">
            <w:pPr>
              <w:jc w:val="center"/>
              <w:rPr>
                <w:rFonts w:ascii="Calibri" w:hAnsi="Calibri" w:cs="Calibri"/>
                <w:color w:val="000000"/>
                <w:sz w:val="18"/>
                <w:szCs w:val="18"/>
              </w:rPr>
            </w:pPr>
          </w:p>
          <w:p w14:paraId="54851A0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66738803" w14:textId="78A1068C"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0D951847" w14:textId="41B76036"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Myelofibrosis (MF)</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4732B8" w14:textId="32F2C6E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(Telephone/Online) listing for the treatment of patients with intermediate-2/high-risk MF.</w:t>
            </w:r>
          </w:p>
        </w:tc>
        <w:tc>
          <w:tcPr>
            <w:tcW w:w="1701" w:type="dxa"/>
            <w:tcBorders>
              <w:top w:val="single" w:sz="4" w:space="0" w:color="auto"/>
              <w:left w:val="single" w:sz="4" w:space="0" w:color="auto"/>
              <w:bottom w:val="single" w:sz="4" w:space="0" w:color="auto"/>
              <w:right w:val="single" w:sz="4" w:space="0" w:color="auto"/>
            </w:tcBorders>
            <w:vAlign w:val="center"/>
          </w:tcPr>
          <w:p w14:paraId="0F059B89" w14:textId="26C4F96A"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Not 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5F5F3627"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did not recommend the PBS listing of fedratinib for the treatment of patients with intermediate-2 and high-risk myelofibrosis, post-polycythaemia vera myelofibrosis, or post-essential thrombocythaemia myelofibrosis who have had prior ruxolitinib treatment. </w:t>
            </w:r>
          </w:p>
          <w:p w14:paraId="30DFCC00" w14:textId="77777777" w:rsidR="004243EB" w:rsidRDefault="004243EB" w:rsidP="0062577D">
            <w:pPr>
              <w:rPr>
                <w:rFonts w:ascii="Calibri" w:hAnsi="Calibri" w:cs="Calibri"/>
                <w:color w:val="000000"/>
                <w:sz w:val="18"/>
                <w:szCs w:val="18"/>
              </w:rPr>
            </w:pPr>
          </w:p>
          <w:p w14:paraId="2102B194" w14:textId="7C1EFFEA"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w:t>
            </w:r>
            <w:r w:rsidR="005B5A63">
              <w:rPr>
                <w:rFonts w:ascii="Calibri" w:hAnsi="Calibri" w:cs="Calibri"/>
                <w:color w:val="000000"/>
                <w:sz w:val="18"/>
                <w:szCs w:val="18"/>
              </w:rPr>
              <w:t>PBAC</w:t>
            </w:r>
            <w:r w:rsidR="005B5A63" w:rsidRPr="0009421C">
              <w:rPr>
                <w:rFonts w:ascii="Calibri" w:hAnsi="Calibri" w:cs="Calibri"/>
                <w:color w:val="000000"/>
                <w:sz w:val="18"/>
                <w:szCs w:val="18"/>
              </w:rPr>
              <w:t xml:space="preserve"> </w:t>
            </w:r>
            <w:r w:rsidRPr="0009421C">
              <w:rPr>
                <w:rFonts w:ascii="Calibri" w:hAnsi="Calibri" w:cs="Calibri"/>
                <w:color w:val="000000"/>
                <w:sz w:val="18"/>
                <w:szCs w:val="18"/>
              </w:rPr>
              <w:t xml:space="preserve">considered there was a clinical place for fedratinib, as an alternative or additional treatment option to or after ruxolitinib. However, the PBAC considered the incremental cost effectiveness ratio (ICER) to be unacceptably high and the listing would likely not be cost effective at the requested price. </w:t>
            </w:r>
          </w:p>
          <w:p w14:paraId="1C2E03F9" w14:textId="77777777" w:rsidR="004243EB" w:rsidRDefault="004243EB" w:rsidP="0062577D">
            <w:pPr>
              <w:rPr>
                <w:rFonts w:ascii="Calibri" w:hAnsi="Calibri" w:cs="Calibri"/>
                <w:color w:val="000000"/>
                <w:sz w:val="18"/>
                <w:szCs w:val="18"/>
              </w:rPr>
            </w:pPr>
          </w:p>
          <w:p w14:paraId="6A380C1C" w14:textId="0D14722B"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w:t>
            </w:r>
            <w:r w:rsidR="005B5A63">
              <w:rPr>
                <w:rFonts w:ascii="Calibri" w:hAnsi="Calibri" w:cs="Calibri"/>
                <w:color w:val="000000"/>
                <w:sz w:val="18"/>
                <w:szCs w:val="18"/>
              </w:rPr>
              <w:t>PBAC</w:t>
            </w:r>
            <w:r w:rsidR="005B5A63" w:rsidRPr="0009421C">
              <w:rPr>
                <w:rFonts w:ascii="Calibri" w:hAnsi="Calibri" w:cs="Calibri"/>
                <w:color w:val="000000"/>
                <w:sz w:val="18"/>
                <w:szCs w:val="18"/>
              </w:rPr>
              <w:t xml:space="preserve"> </w:t>
            </w:r>
            <w:r w:rsidRPr="0009421C">
              <w:rPr>
                <w:rFonts w:ascii="Calibri" w:hAnsi="Calibri" w:cs="Calibri"/>
                <w:color w:val="000000"/>
                <w:sz w:val="18"/>
                <w:szCs w:val="18"/>
              </w:rPr>
              <w:t xml:space="preserve">noted there was </w:t>
            </w:r>
            <w:r w:rsidR="00E46CC2">
              <w:rPr>
                <w:rFonts w:ascii="Calibri" w:hAnsi="Calibri" w:cs="Calibri"/>
                <w:color w:val="000000"/>
                <w:sz w:val="18"/>
                <w:szCs w:val="18"/>
              </w:rPr>
              <w:t xml:space="preserve">clinical </w:t>
            </w:r>
            <w:r w:rsidRPr="0009421C">
              <w:rPr>
                <w:rFonts w:ascii="Calibri" w:hAnsi="Calibri" w:cs="Calibri"/>
                <w:color w:val="000000"/>
                <w:sz w:val="18"/>
                <w:szCs w:val="18"/>
              </w:rPr>
              <w:t xml:space="preserve">evidence </w:t>
            </w:r>
            <w:r w:rsidR="008F4D2E">
              <w:rPr>
                <w:rFonts w:ascii="Calibri" w:hAnsi="Calibri" w:cs="Calibri"/>
                <w:color w:val="000000"/>
                <w:sz w:val="18"/>
                <w:szCs w:val="18"/>
              </w:rPr>
              <w:t>supporting</w:t>
            </w:r>
            <w:r w:rsidR="008B72F5">
              <w:rPr>
                <w:rFonts w:ascii="Calibri" w:hAnsi="Calibri" w:cs="Calibri"/>
                <w:color w:val="000000"/>
                <w:sz w:val="18"/>
                <w:szCs w:val="18"/>
              </w:rPr>
              <w:t xml:space="preserve"> use </w:t>
            </w:r>
            <w:r w:rsidRPr="0009421C">
              <w:rPr>
                <w:rFonts w:ascii="Calibri" w:hAnsi="Calibri" w:cs="Calibri"/>
                <w:color w:val="000000"/>
                <w:sz w:val="18"/>
                <w:szCs w:val="18"/>
              </w:rPr>
              <w:t>in the first-line setting</w:t>
            </w:r>
            <w:r w:rsidR="00B60A2D">
              <w:rPr>
                <w:rFonts w:ascii="Calibri" w:hAnsi="Calibri" w:cs="Calibri"/>
                <w:color w:val="000000"/>
                <w:sz w:val="18"/>
                <w:szCs w:val="18"/>
              </w:rPr>
              <w:t>,</w:t>
            </w:r>
            <w:r w:rsidRPr="0009421C">
              <w:rPr>
                <w:rFonts w:ascii="Calibri" w:hAnsi="Calibri" w:cs="Calibri"/>
                <w:color w:val="000000"/>
                <w:sz w:val="18"/>
                <w:szCs w:val="18"/>
              </w:rPr>
              <w:t xml:space="preserve"> and</w:t>
            </w:r>
            <w:r w:rsidR="00B60A2D">
              <w:rPr>
                <w:rFonts w:ascii="Calibri" w:hAnsi="Calibri" w:cs="Calibri"/>
                <w:color w:val="000000"/>
                <w:sz w:val="18"/>
                <w:szCs w:val="18"/>
              </w:rPr>
              <w:t xml:space="preserve"> in conjunction with the </w:t>
            </w:r>
            <w:r w:rsidR="00E96F37">
              <w:rPr>
                <w:rFonts w:ascii="Calibri" w:hAnsi="Calibri" w:cs="Calibri"/>
                <w:color w:val="000000"/>
                <w:sz w:val="18"/>
                <w:szCs w:val="18"/>
              </w:rPr>
              <w:t xml:space="preserve">clinical </w:t>
            </w:r>
            <w:r w:rsidR="00B60A2D">
              <w:rPr>
                <w:rFonts w:ascii="Calibri" w:hAnsi="Calibri" w:cs="Calibri"/>
                <w:color w:val="000000"/>
                <w:sz w:val="18"/>
                <w:szCs w:val="18"/>
              </w:rPr>
              <w:t xml:space="preserve">evidence </w:t>
            </w:r>
            <w:r w:rsidR="00A77868">
              <w:rPr>
                <w:rFonts w:ascii="Calibri" w:hAnsi="Calibri" w:cs="Calibri"/>
                <w:color w:val="000000"/>
                <w:sz w:val="18"/>
                <w:szCs w:val="18"/>
              </w:rPr>
              <w:t xml:space="preserve">presented in the </w:t>
            </w:r>
            <w:r w:rsidR="00A907C1">
              <w:rPr>
                <w:rFonts w:ascii="Calibri" w:hAnsi="Calibri" w:cs="Calibri"/>
                <w:color w:val="000000"/>
                <w:sz w:val="18"/>
                <w:szCs w:val="18"/>
              </w:rPr>
              <w:t>submission</w:t>
            </w:r>
            <w:r w:rsidR="00E96F37">
              <w:rPr>
                <w:rFonts w:ascii="Calibri" w:hAnsi="Calibri" w:cs="Calibri"/>
                <w:color w:val="000000"/>
                <w:sz w:val="18"/>
                <w:szCs w:val="18"/>
              </w:rPr>
              <w:t xml:space="preserve"> </w:t>
            </w:r>
            <w:r w:rsidR="00BC2F8E">
              <w:rPr>
                <w:rFonts w:ascii="Calibri" w:hAnsi="Calibri" w:cs="Calibri"/>
                <w:color w:val="000000"/>
                <w:sz w:val="18"/>
                <w:szCs w:val="18"/>
              </w:rPr>
              <w:t>supporting</w:t>
            </w:r>
            <w:r w:rsidR="00E96F37">
              <w:rPr>
                <w:rFonts w:ascii="Calibri" w:hAnsi="Calibri" w:cs="Calibri"/>
                <w:color w:val="000000"/>
                <w:sz w:val="18"/>
                <w:szCs w:val="18"/>
              </w:rPr>
              <w:t xml:space="preserve"> second-line therapy</w:t>
            </w:r>
            <w:r w:rsidR="00A907C1">
              <w:rPr>
                <w:rFonts w:ascii="Calibri" w:hAnsi="Calibri" w:cs="Calibri"/>
                <w:color w:val="000000"/>
                <w:sz w:val="18"/>
                <w:szCs w:val="18"/>
              </w:rPr>
              <w:t xml:space="preserve">, </w:t>
            </w:r>
            <w:r w:rsidRPr="0009421C">
              <w:rPr>
                <w:rFonts w:ascii="Calibri" w:hAnsi="Calibri" w:cs="Calibri"/>
                <w:color w:val="000000"/>
                <w:sz w:val="18"/>
                <w:szCs w:val="18"/>
              </w:rPr>
              <w:t>considered it would be simpler for patients and clinicians if a potential future listing for fedratinib was line agnostic alongside ruxolitinib and momelotinib and expressed a preference for this approach.</w:t>
            </w:r>
          </w:p>
          <w:p w14:paraId="3F30A939" w14:textId="77777777" w:rsidR="004243EB" w:rsidRDefault="004243EB" w:rsidP="0062577D">
            <w:pPr>
              <w:rPr>
                <w:rFonts w:ascii="Calibri" w:hAnsi="Calibri" w:cs="Calibri"/>
                <w:color w:val="000000"/>
                <w:sz w:val="18"/>
                <w:szCs w:val="18"/>
              </w:rPr>
            </w:pPr>
          </w:p>
          <w:p w14:paraId="230DAC3A" w14:textId="77777777" w:rsidR="00B821C6"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the outstanding issues could be addressed in a standard resubmission.</w:t>
            </w:r>
          </w:p>
          <w:p w14:paraId="6D254063" w14:textId="77777777" w:rsidR="00612C78" w:rsidRDefault="00612C78" w:rsidP="0062577D">
            <w:pPr>
              <w:rPr>
                <w:rFonts w:ascii="Calibri" w:hAnsi="Calibri" w:cs="Calibri"/>
                <w:color w:val="000000"/>
                <w:sz w:val="18"/>
                <w:szCs w:val="18"/>
              </w:rPr>
            </w:pPr>
          </w:p>
          <w:p w14:paraId="31DD73CE" w14:textId="3901360E" w:rsidR="00612C78" w:rsidRPr="00D34630" w:rsidRDefault="00612C78" w:rsidP="0062577D">
            <w:pPr>
              <w:rPr>
                <w:rFonts w:ascii="Calibri" w:hAnsi="Calibri" w:cs="Calibri"/>
                <w:color w:val="000000"/>
                <w:sz w:val="18"/>
                <w:szCs w:val="18"/>
                <w:u w:val="single"/>
              </w:rPr>
            </w:pPr>
            <w:r w:rsidRPr="00D34630">
              <w:rPr>
                <w:rFonts w:ascii="Calibri" w:hAnsi="Calibri" w:cs="Calibri"/>
                <w:color w:val="000000"/>
                <w:sz w:val="18"/>
                <w:szCs w:val="18"/>
                <w:u w:val="single"/>
              </w:rPr>
              <w:t>Sponsor</w:t>
            </w:r>
            <w:r w:rsidR="00CF054E">
              <w:rPr>
                <w:rFonts w:ascii="Calibri" w:hAnsi="Calibri" w:cs="Calibri"/>
                <w:color w:val="000000"/>
                <w:sz w:val="18"/>
                <w:szCs w:val="18"/>
                <w:u w:val="single"/>
              </w:rPr>
              <w:t>’s</w:t>
            </w:r>
            <w:r w:rsidRPr="00D34630">
              <w:rPr>
                <w:rFonts w:ascii="Calibri" w:hAnsi="Calibri" w:cs="Calibri"/>
                <w:color w:val="000000"/>
                <w:sz w:val="18"/>
                <w:szCs w:val="18"/>
                <w:u w:val="single"/>
              </w:rPr>
              <w:t xml:space="preserve"> Comment:</w:t>
            </w:r>
          </w:p>
          <w:p w14:paraId="652C80A7" w14:textId="6D11DA74" w:rsidR="00612C78" w:rsidRPr="0009421C" w:rsidDel="008F66B5" w:rsidRDefault="3F4965FF" w:rsidP="128117E3">
            <w:pPr>
              <w:rPr>
                <w:rFonts w:asciiTheme="minorHAnsi" w:hAnsiTheme="minorHAnsi" w:cstheme="minorBidi"/>
                <w:color w:val="000000"/>
                <w:sz w:val="18"/>
                <w:szCs w:val="18"/>
              </w:rPr>
            </w:pPr>
            <w:r w:rsidRPr="128117E3">
              <w:rPr>
                <w:rFonts w:asciiTheme="minorHAnsi" w:hAnsiTheme="minorHAnsi" w:cstheme="minorBidi"/>
                <w:color w:val="000000" w:themeColor="text1"/>
                <w:sz w:val="18"/>
                <w:szCs w:val="18"/>
              </w:rPr>
              <w:t xml:space="preserve">Whilst disappointed with the outcome of the submission, BMS welcomes the opportunity to resubmit for a line agnostic PBS listing for fedratinib and remains committed to making this medicine accessible for patients living with intermediate or high-risk myelofibrosis, post-polycythaemia vera myelofibrosis or post-essential </w:t>
            </w:r>
            <w:r w:rsidR="00AD38D9" w:rsidRPr="128117E3">
              <w:rPr>
                <w:rFonts w:asciiTheme="minorHAnsi" w:hAnsiTheme="minorHAnsi" w:cstheme="minorBidi"/>
                <w:color w:val="000000" w:themeColor="text1"/>
                <w:sz w:val="18"/>
                <w:szCs w:val="18"/>
              </w:rPr>
              <w:t>thrombocythaemia</w:t>
            </w:r>
            <w:r w:rsidRPr="128117E3">
              <w:rPr>
                <w:rFonts w:asciiTheme="minorHAnsi" w:hAnsiTheme="minorHAnsi" w:cstheme="minorBidi"/>
                <w:color w:val="000000" w:themeColor="text1"/>
                <w:sz w:val="18"/>
                <w:szCs w:val="18"/>
              </w:rPr>
              <w:t xml:space="preserve"> myelofibrosis.</w:t>
            </w:r>
          </w:p>
        </w:tc>
      </w:tr>
      <w:tr w:rsidR="00B821C6" w:rsidRPr="0009421C" w:rsidDel="008F66B5" w14:paraId="7A902290" w14:textId="7B442279"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146809" w14:textId="77777777" w:rsidR="004243EB" w:rsidRDefault="00B821C6" w:rsidP="00B821C6">
            <w:pPr>
              <w:jc w:val="center"/>
              <w:rPr>
                <w:rFonts w:ascii="Calibri" w:hAnsi="Calibri" w:cs="Calibri"/>
                <w:color w:val="000000"/>
                <w:sz w:val="18"/>
                <w:szCs w:val="18"/>
              </w:rPr>
            </w:pPr>
            <w:bookmarkStart w:id="2" w:name="_Hlk143070613"/>
            <w:r w:rsidRPr="0009421C">
              <w:rPr>
                <w:rFonts w:ascii="Calibri" w:hAnsi="Calibri" w:cs="Calibri"/>
                <w:color w:val="000000"/>
                <w:sz w:val="18"/>
                <w:szCs w:val="18"/>
              </w:rPr>
              <w:lastRenderedPageBreak/>
              <w:t>GUSELKUMAB</w:t>
            </w:r>
          </w:p>
          <w:p w14:paraId="269CAC40" w14:textId="77777777" w:rsidR="004243EB" w:rsidRDefault="004243EB" w:rsidP="00B821C6">
            <w:pPr>
              <w:jc w:val="center"/>
              <w:rPr>
                <w:rFonts w:ascii="Calibri" w:hAnsi="Calibri" w:cs="Calibri"/>
                <w:color w:val="000000"/>
                <w:sz w:val="18"/>
                <w:szCs w:val="18"/>
              </w:rPr>
            </w:pPr>
          </w:p>
          <w:p w14:paraId="131CA9A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100 mg in 1 mL single use pre-filled pen</w:t>
            </w:r>
          </w:p>
          <w:p w14:paraId="4D30BF18" w14:textId="77777777" w:rsidR="004243EB" w:rsidRDefault="004243EB" w:rsidP="00B821C6">
            <w:pPr>
              <w:jc w:val="center"/>
              <w:rPr>
                <w:rFonts w:ascii="Calibri" w:hAnsi="Calibri" w:cs="Calibri"/>
                <w:color w:val="000000"/>
                <w:sz w:val="18"/>
                <w:szCs w:val="18"/>
              </w:rPr>
            </w:pPr>
          </w:p>
          <w:p w14:paraId="7C0E2C9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Tremfya®</w:t>
            </w:r>
          </w:p>
          <w:p w14:paraId="57B5AED2" w14:textId="77777777" w:rsidR="004243EB" w:rsidRDefault="004243EB" w:rsidP="00B821C6">
            <w:pPr>
              <w:jc w:val="center"/>
              <w:rPr>
                <w:rFonts w:ascii="Calibri" w:hAnsi="Calibri" w:cs="Calibri"/>
                <w:color w:val="000000"/>
                <w:sz w:val="18"/>
                <w:szCs w:val="18"/>
              </w:rPr>
            </w:pPr>
          </w:p>
          <w:p w14:paraId="61C630E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JANSSEN-CILAG PTY LTD</w:t>
            </w:r>
          </w:p>
          <w:p w14:paraId="5A746616" w14:textId="77777777" w:rsidR="004243EB" w:rsidRDefault="004243EB" w:rsidP="00B821C6">
            <w:pPr>
              <w:jc w:val="center"/>
              <w:rPr>
                <w:rFonts w:ascii="Calibri" w:hAnsi="Calibri" w:cs="Calibri"/>
                <w:color w:val="000000"/>
                <w:sz w:val="18"/>
                <w:szCs w:val="18"/>
              </w:rPr>
            </w:pPr>
          </w:p>
          <w:p w14:paraId="673CA16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31C16E75" w14:textId="3E7D47E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4FB638D2" w14:textId="2560C34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Chronic plaque psoriasis (CPP)</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34018D" w14:textId="0C2FD063"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(Written) listing for the treatment of severe CPP.</w:t>
            </w:r>
          </w:p>
        </w:tc>
        <w:tc>
          <w:tcPr>
            <w:tcW w:w="1701" w:type="dxa"/>
            <w:tcBorders>
              <w:top w:val="single" w:sz="4" w:space="0" w:color="auto"/>
              <w:left w:val="single" w:sz="4" w:space="0" w:color="auto"/>
              <w:bottom w:val="single" w:sz="4" w:space="0" w:color="auto"/>
              <w:right w:val="single" w:sz="4" w:space="0" w:color="auto"/>
            </w:tcBorders>
            <w:vAlign w:val="center"/>
          </w:tcPr>
          <w:p w14:paraId="7985984A" w14:textId="215A20C9"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07909D1B" w14:textId="67A68C7C"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recommended the General Schedule, Authority Required (in writing)</w:t>
            </w:r>
            <w:r w:rsidR="00CE29F4">
              <w:rPr>
                <w:rFonts w:ascii="Calibri" w:hAnsi="Calibri" w:cs="Calibri"/>
                <w:color w:val="000000"/>
                <w:sz w:val="18"/>
                <w:szCs w:val="18"/>
              </w:rPr>
              <w:t xml:space="preserve"> </w:t>
            </w:r>
            <w:r w:rsidRPr="0009421C">
              <w:rPr>
                <w:rFonts w:ascii="Calibri" w:hAnsi="Calibri" w:cs="Calibri"/>
                <w:color w:val="000000"/>
                <w:sz w:val="18"/>
                <w:szCs w:val="18"/>
              </w:rPr>
              <w:t>listing of guselkumab 100 mg pre-filled pen (PFP), under the same arrangements as the currently listed guselkumab pre-filled syringe (PFS), for the treatment of severe chronic plaque psoriasis (CPP). The PBAC’s recommendation for listing was based on, among other matters, its assessment that the cost effectiveness of guselkumab PFP would be acceptable if it were cost-minimised to the least costly alternative therapy of guselkumab PFS, bimekizumab, ixekizumab, tildrakizumab, risankizumab and secukinumab.</w:t>
            </w:r>
          </w:p>
          <w:p w14:paraId="4429681F" w14:textId="77777777" w:rsidR="004243EB" w:rsidRDefault="004243EB" w:rsidP="0062577D">
            <w:pPr>
              <w:rPr>
                <w:rFonts w:ascii="Calibri" w:hAnsi="Calibri" w:cs="Calibri"/>
                <w:color w:val="000000"/>
                <w:sz w:val="18"/>
                <w:szCs w:val="18"/>
              </w:rPr>
            </w:pPr>
          </w:p>
          <w:p w14:paraId="15305741" w14:textId="51E7C97B" w:rsidR="00B821C6" w:rsidRPr="0009421C" w:rsidDel="008F66B5" w:rsidRDefault="00B821C6" w:rsidP="0062577D">
            <w:pPr>
              <w:rPr>
                <w:rFonts w:asciiTheme="minorHAnsi" w:hAnsiTheme="minorHAnsi" w:cstheme="minorBidi"/>
                <w:color w:val="000000"/>
                <w:sz w:val="18"/>
                <w:szCs w:val="18"/>
              </w:rPr>
            </w:pPr>
            <w:r w:rsidRPr="0009421C">
              <w:rPr>
                <w:rFonts w:ascii="Calibri" w:hAnsi="Calibri" w:cs="Calibri"/>
                <w:color w:val="000000"/>
                <w:sz w:val="18"/>
                <w:szCs w:val="18"/>
              </w:rPr>
              <w:t>Overall, the PBAC considered there was sufficient evidence presented to provide new advice and conclude that guselkumab provides, for some patients, a significant improvement in efficacy over adalimumab, etanercept and ustekinumab.</w:t>
            </w:r>
          </w:p>
        </w:tc>
      </w:tr>
      <w:bookmarkEnd w:id="2"/>
      <w:tr w:rsidR="00B821C6" w:rsidRPr="0009421C" w:rsidDel="008F66B5" w14:paraId="13CCBBCF" w14:textId="431696E9"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1D3045"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INCOBOTULINUMTOXINA</w:t>
            </w:r>
          </w:p>
          <w:p w14:paraId="19082B18" w14:textId="77777777" w:rsidR="004243EB" w:rsidRDefault="004243EB" w:rsidP="00B821C6">
            <w:pPr>
              <w:jc w:val="center"/>
              <w:rPr>
                <w:rFonts w:ascii="Calibri" w:hAnsi="Calibri" w:cs="Calibri"/>
                <w:color w:val="000000"/>
                <w:sz w:val="18"/>
                <w:szCs w:val="18"/>
              </w:rPr>
            </w:pPr>
          </w:p>
          <w:p w14:paraId="1F3CF12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Lyophilised powder for injection 100 units</w:t>
            </w:r>
          </w:p>
          <w:p w14:paraId="1BD63FEE" w14:textId="77777777" w:rsidR="004243EB" w:rsidRDefault="004243EB" w:rsidP="00B821C6">
            <w:pPr>
              <w:jc w:val="center"/>
              <w:rPr>
                <w:rFonts w:ascii="Calibri" w:hAnsi="Calibri" w:cs="Calibri"/>
                <w:color w:val="000000"/>
                <w:sz w:val="18"/>
                <w:szCs w:val="18"/>
              </w:rPr>
            </w:pPr>
          </w:p>
          <w:p w14:paraId="33F475B8"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Xeomin</w:t>
            </w:r>
            <w:proofErr w:type="spellEnd"/>
            <w:r w:rsidRPr="0009421C">
              <w:rPr>
                <w:rFonts w:ascii="Calibri" w:hAnsi="Calibri" w:cs="Calibri"/>
                <w:color w:val="000000"/>
                <w:sz w:val="18"/>
                <w:szCs w:val="18"/>
              </w:rPr>
              <w:t>®</w:t>
            </w:r>
          </w:p>
          <w:p w14:paraId="09B35E4D" w14:textId="77777777" w:rsidR="004243EB" w:rsidRDefault="004243EB" w:rsidP="00B821C6">
            <w:pPr>
              <w:jc w:val="center"/>
              <w:rPr>
                <w:rFonts w:ascii="Calibri" w:hAnsi="Calibri" w:cs="Calibri"/>
                <w:color w:val="000000"/>
                <w:sz w:val="18"/>
                <w:szCs w:val="18"/>
              </w:rPr>
            </w:pPr>
          </w:p>
          <w:p w14:paraId="387A015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MERZ AUSTRALIA PTY LTD</w:t>
            </w:r>
          </w:p>
          <w:p w14:paraId="7CDA89B6" w14:textId="77777777" w:rsidR="004243EB" w:rsidRDefault="004243EB" w:rsidP="00B821C6">
            <w:pPr>
              <w:jc w:val="center"/>
              <w:rPr>
                <w:rFonts w:ascii="Calibri" w:hAnsi="Calibri" w:cs="Calibri"/>
                <w:color w:val="000000"/>
                <w:sz w:val="18"/>
                <w:szCs w:val="18"/>
              </w:rPr>
            </w:pPr>
          </w:p>
          <w:p w14:paraId="0591C04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Matters outstanding</w:t>
            </w:r>
          </w:p>
          <w:p w14:paraId="297761B5" w14:textId="66E1F570"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04E38D47" w14:textId="6829B6AD"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Chronic sialorrhea</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B243E2" w14:textId="2351FD4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Section 100 (Botulinum Toxin Program) Authority Required (STREAMLINED) listing for the treatment of chronic sialorrhea due to neurological disorders.</w:t>
            </w:r>
          </w:p>
        </w:tc>
        <w:tc>
          <w:tcPr>
            <w:tcW w:w="1701" w:type="dxa"/>
            <w:tcBorders>
              <w:top w:val="single" w:sz="4" w:space="0" w:color="auto"/>
              <w:left w:val="single" w:sz="4" w:space="0" w:color="auto"/>
              <w:bottom w:val="single" w:sz="4" w:space="0" w:color="auto"/>
              <w:right w:val="single" w:sz="4" w:space="0" w:color="auto"/>
            </w:tcBorders>
            <w:vAlign w:val="center"/>
          </w:tcPr>
          <w:p w14:paraId="5E91DC60" w14:textId="1B6DDB31"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1CC02EB6" w14:textId="196610B1" w:rsidR="00B821C6" w:rsidRPr="0009421C" w:rsidDel="008F66B5" w:rsidRDefault="00B821C6" w:rsidP="0062577D">
            <w:pPr>
              <w:rPr>
                <w:rFonts w:asciiTheme="minorHAnsi" w:hAnsiTheme="minorHAnsi" w:cstheme="minorBidi"/>
                <w:color w:val="000000"/>
                <w:sz w:val="18"/>
                <w:szCs w:val="18"/>
                <w:lang w:val="en-GB"/>
              </w:rPr>
            </w:pPr>
            <w:r w:rsidRPr="0009421C">
              <w:rPr>
                <w:rFonts w:ascii="Calibri" w:hAnsi="Calibri" w:cs="Calibri"/>
                <w:color w:val="000000"/>
                <w:sz w:val="18"/>
                <w:szCs w:val="18"/>
              </w:rPr>
              <w:t xml:space="preserve">The PBAC recommended the </w:t>
            </w:r>
            <w:r w:rsidR="00CB7B98">
              <w:rPr>
                <w:rFonts w:ascii="Calibri" w:hAnsi="Calibri" w:cs="Calibri"/>
                <w:color w:val="000000"/>
                <w:sz w:val="18"/>
                <w:szCs w:val="18"/>
              </w:rPr>
              <w:t xml:space="preserve">Section 100 (Botulinum Toxin Program) Authority Required (STREAMLINED) </w:t>
            </w:r>
            <w:r w:rsidRPr="0009421C">
              <w:rPr>
                <w:rFonts w:ascii="Calibri" w:hAnsi="Calibri" w:cs="Calibri"/>
                <w:color w:val="000000"/>
                <w:sz w:val="18"/>
                <w:szCs w:val="18"/>
              </w:rPr>
              <w:t xml:space="preserve">listing of incobotulinumtoxinA for the treatment of chronic sialorrhea due to neurological </w:t>
            </w:r>
            <w:r w:rsidR="001C69C7">
              <w:rPr>
                <w:rFonts w:ascii="Calibri" w:hAnsi="Calibri" w:cs="Calibri"/>
                <w:color w:val="000000"/>
                <w:sz w:val="18"/>
                <w:szCs w:val="18"/>
              </w:rPr>
              <w:t>disorders</w:t>
            </w:r>
            <w:r w:rsidRPr="0009421C">
              <w:rPr>
                <w:rFonts w:ascii="Calibri" w:hAnsi="Calibri" w:cs="Calibri"/>
                <w:color w:val="000000"/>
                <w:sz w:val="18"/>
                <w:szCs w:val="18"/>
              </w:rPr>
              <w:t xml:space="preserve">, on the basis that it should be available only under special arrangements under Section 100 (Botulinum </w:t>
            </w:r>
            <w:r w:rsidR="001C69C7">
              <w:rPr>
                <w:rFonts w:ascii="Calibri" w:hAnsi="Calibri" w:cs="Calibri"/>
                <w:color w:val="000000"/>
                <w:sz w:val="18"/>
                <w:szCs w:val="18"/>
              </w:rPr>
              <w:t>T</w:t>
            </w:r>
            <w:r w:rsidRPr="0009421C">
              <w:rPr>
                <w:rFonts w:ascii="Calibri" w:hAnsi="Calibri" w:cs="Calibri"/>
                <w:color w:val="000000"/>
                <w:sz w:val="18"/>
                <w:szCs w:val="18"/>
              </w:rPr>
              <w:t xml:space="preserve">oxin </w:t>
            </w:r>
            <w:r w:rsidR="001C69C7">
              <w:rPr>
                <w:rFonts w:ascii="Calibri" w:hAnsi="Calibri" w:cs="Calibri"/>
                <w:color w:val="000000"/>
                <w:sz w:val="18"/>
                <w:szCs w:val="18"/>
              </w:rPr>
              <w:t>P</w:t>
            </w:r>
            <w:r w:rsidRPr="0009421C">
              <w:rPr>
                <w:rFonts w:ascii="Calibri" w:hAnsi="Calibri" w:cs="Calibri"/>
                <w:color w:val="000000"/>
                <w:sz w:val="18"/>
                <w:szCs w:val="18"/>
              </w:rPr>
              <w:t>rogram). The PBAC noted that the MSAC recommended the creation of a new codependent MBS item for the administration of botulinum toxin products for the treatment of chronic sialorrhea. The PBAC recalled that it had previously considered that incobotulinumtoxinA demonstrated an improvement in both the severity and frequency of sialorrhea compared with the nominated comparator, placebo. The PBAC recalled that listing was requested on the basis of a cost effectiveness analysis versus placebo.</w:t>
            </w:r>
          </w:p>
        </w:tc>
      </w:tr>
      <w:tr w:rsidR="00B821C6" w:rsidRPr="0009421C" w:rsidDel="008F66B5" w14:paraId="0AE2830A" w14:textId="7E5B3719"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4072E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NIRSEVIMAB</w:t>
            </w:r>
          </w:p>
          <w:p w14:paraId="12A92E9C" w14:textId="77777777" w:rsidR="004243EB" w:rsidRDefault="004243EB" w:rsidP="00B821C6">
            <w:pPr>
              <w:jc w:val="center"/>
              <w:rPr>
                <w:rFonts w:ascii="Calibri" w:hAnsi="Calibri" w:cs="Calibri"/>
                <w:color w:val="000000"/>
                <w:sz w:val="18"/>
                <w:szCs w:val="18"/>
              </w:rPr>
            </w:pPr>
          </w:p>
          <w:p w14:paraId="342CEBB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for injection 50 mg in 0.5 mL pre-filled syringe</w:t>
            </w:r>
          </w:p>
          <w:p w14:paraId="0EE7169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for injection 100 mg in 1 mL pre-filled syringe</w:t>
            </w:r>
          </w:p>
          <w:p w14:paraId="4D1254C5" w14:textId="77777777" w:rsidR="004243EB" w:rsidRDefault="004243EB" w:rsidP="00B821C6">
            <w:pPr>
              <w:jc w:val="center"/>
              <w:rPr>
                <w:rFonts w:ascii="Calibri" w:hAnsi="Calibri" w:cs="Calibri"/>
                <w:color w:val="000000"/>
                <w:sz w:val="18"/>
                <w:szCs w:val="18"/>
              </w:rPr>
            </w:pPr>
          </w:p>
          <w:p w14:paraId="79E92B20"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Beyfortus</w:t>
            </w:r>
            <w:proofErr w:type="spellEnd"/>
            <w:r w:rsidRPr="0009421C">
              <w:rPr>
                <w:rFonts w:ascii="Calibri" w:hAnsi="Calibri" w:cs="Calibri"/>
                <w:color w:val="000000"/>
                <w:sz w:val="18"/>
                <w:szCs w:val="18"/>
              </w:rPr>
              <w:t>®</w:t>
            </w:r>
          </w:p>
          <w:p w14:paraId="03CE38D7" w14:textId="77777777" w:rsidR="004243EB" w:rsidRDefault="004243EB" w:rsidP="00B821C6">
            <w:pPr>
              <w:jc w:val="center"/>
              <w:rPr>
                <w:rFonts w:ascii="Calibri" w:hAnsi="Calibri" w:cs="Calibri"/>
                <w:color w:val="000000"/>
                <w:sz w:val="18"/>
                <w:szCs w:val="18"/>
              </w:rPr>
            </w:pPr>
          </w:p>
          <w:p w14:paraId="2881B4D8"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SANOFI-AVENTIS AUSTRALIA PTY LTD</w:t>
            </w:r>
          </w:p>
          <w:p w14:paraId="0A36D774" w14:textId="77777777" w:rsidR="004243EB" w:rsidRDefault="004243EB" w:rsidP="00B821C6">
            <w:pPr>
              <w:jc w:val="center"/>
              <w:rPr>
                <w:rFonts w:ascii="Calibri" w:hAnsi="Calibri" w:cs="Calibri"/>
                <w:color w:val="000000"/>
                <w:sz w:val="18"/>
                <w:szCs w:val="18"/>
              </w:rPr>
            </w:pPr>
          </w:p>
          <w:p w14:paraId="59EB0D3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Standard re-entry</w:t>
            </w:r>
          </w:p>
          <w:p w14:paraId="72D55D02" w14:textId="74F4443F"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NIP listing)</w:t>
            </w:r>
          </w:p>
        </w:tc>
        <w:tc>
          <w:tcPr>
            <w:tcW w:w="2082" w:type="dxa"/>
            <w:tcBorders>
              <w:top w:val="single" w:sz="4" w:space="0" w:color="auto"/>
              <w:left w:val="single" w:sz="4" w:space="0" w:color="auto"/>
              <w:bottom w:val="single" w:sz="4" w:space="0" w:color="auto"/>
              <w:right w:val="single" w:sz="4" w:space="0" w:color="auto"/>
            </w:tcBorders>
            <w:vAlign w:val="center"/>
          </w:tcPr>
          <w:p w14:paraId="64A6D788" w14:textId="5546C36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Prevention of lower respiratory tract disease caused by respiratory syncytial virus (RSV)</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9A204C5" w14:textId="16C3A555"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Resubmission to request a National Immunisation Program listing for the prevention of RSV lower respiratory tract disease in neonates and infants born during or entering their first RSV season; and children up to 24 months of age who remain vulnerable to severe RSV disease through their second RSV season.</w:t>
            </w:r>
          </w:p>
        </w:tc>
        <w:tc>
          <w:tcPr>
            <w:tcW w:w="1701" w:type="dxa"/>
            <w:tcBorders>
              <w:top w:val="single" w:sz="4" w:space="0" w:color="auto"/>
              <w:left w:val="single" w:sz="4" w:space="0" w:color="auto"/>
              <w:bottom w:val="single" w:sz="4" w:space="0" w:color="auto"/>
              <w:right w:val="single" w:sz="4" w:space="0" w:color="auto"/>
            </w:tcBorders>
            <w:vAlign w:val="center"/>
          </w:tcPr>
          <w:p w14:paraId="4BCD8363" w14:textId="6AAA6FF7"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Deferred</w:t>
            </w:r>
          </w:p>
        </w:tc>
        <w:tc>
          <w:tcPr>
            <w:tcW w:w="5686" w:type="dxa"/>
            <w:tcBorders>
              <w:top w:val="single" w:sz="4" w:space="0" w:color="auto"/>
              <w:left w:val="single" w:sz="4" w:space="0" w:color="auto"/>
              <w:bottom w:val="single" w:sz="4" w:space="0" w:color="auto"/>
              <w:right w:val="single" w:sz="4" w:space="0" w:color="auto"/>
            </w:tcBorders>
            <w:vAlign w:val="center"/>
          </w:tcPr>
          <w:p w14:paraId="3F41B3D0"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deferred making a recommendation for nirsevimab, an immunisation product that prevents lower respiratory tract illness caused by respiratory syncytial virus (RSV). The PBAC advised that further information was required to support consideration of the proposed NIP listing of nirsevimab, including further input from the sponsor, and the Department.</w:t>
            </w:r>
          </w:p>
          <w:p w14:paraId="392D78C4" w14:textId="77777777" w:rsidR="004243EB" w:rsidRDefault="004243EB" w:rsidP="0062577D">
            <w:pPr>
              <w:rPr>
                <w:rFonts w:ascii="Calibri" w:hAnsi="Calibri" w:cs="Calibri"/>
                <w:color w:val="000000"/>
                <w:sz w:val="18"/>
                <w:szCs w:val="18"/>
              </w:rPr>
            </w:pPr>
          </w:p>
          <w:p w14:paraId="3C03E638"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requested listing was for infants in their first RSV season and children up to 24 months of age who have certain risk conditions for severe RSV disease in their second RSV season. Free access to nirsevimab is available through state and territory RSV infant protection programs. </w:t>
            </w:r>
          </w:p>
          <w:p w14:paraId="34752662" w14:textId="77777777" w:rsidR="004243EB" w:rsidRDefault="004243EB" w:rsidP="0062577D">
            <w:pPr>
              <w:rPr>
                <w:rFonts w:ascii="Calibri" w:hAnsi="Calibri" w:cs="Calibri"/>
                <w:color w:val="000000"/>
                <w:sz w:val="18"/>
                <w:szCs w:val="18"/>
              </w:rPr>
            </w:pPr>
          </w:p>
          <w:p w14:paraId="0FF66D50" w14:textId="618CAEDF"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Under law, passive immunisation strategies such as nirsevimab cannot be included on the National Immunisation Program (NIP) at this time.</w:t>
            </w:r>
            <w:r w:rsidR="00BB07C5">
              <w:rPr>
                <w:rFonts w:ascii="Calibri" w:hAnsi="Calibri" w:cs="Calibri"/>
                <w:color w:val="000000"/>
                <w:sz w:val="18"/>
                <w:szCs w:val="18"/>
              </w:rPr>
              <w:t xml:space="preserve"> </w:t>
            </w:r>
            <w:r w:rsidRPr="0009421C">
              <w:rPr>
                <w:rFonts w:ascii="Calibri" w:hAnsi="Calibri" w:cs="Calibri"/>
                <w:color w:val="000000"/>
                <w:sz w:val="18"/>
                <w:szCs w:val="18"/>
              </w:rPr>
              <w:t>The PBAC accepted that use of nirsevimab as an immunisation against disease, would be consistent with the goals of the NIP</w:t>
            </w:r>
            <w:r w:rsidR="00DD46EE">
              <w:rPr>
                <w:rFonts w:ascii="Calibri" w:hAnsi="Calibri" w:cs="Calibri"/>
                <w:color w:val="000000"/>
                <w:sz w:val="18"/>
                <w:szCs w:val="18"/>
              </w:rPr>
              <w:t>.</w:t>
            </w:r>
          </w:p>
          <w:p w14:paraId="6A9D9D3B" w14:textId="77777777" w:rsidR="004243EB" w:rsidRDefault="004243EB" w:rsidP="0062577D">
            <w:pPr>
              <w:rPr>
                <w:rFonts w:ascii="Calibri" w:hAnsi="Calibri" w:cs="Calibri"/>
                <w:color w:val="000000"/>
                <w:sz w:val="18"/>
                <w:szCs w:val="18"/>
              </w:rPr>
            </w:pPr>
          </w:p>
          <w:p w14:paraId="49507AFE" w14:textId="5EFC265D" w:rsidR="00B821C6" w:rsidRDefault="00B821C6" w:rsidP="0062577D">
            <w:pPr>
              <w:rPr>
                <w:rFonts w:ascii="Calibri" w:hAnsi="Calibri" w:cs="Calibri"/>
                <w:color w:val="000000"/>
                <w:sz w:val="18"/>
                <w:szCs w:val="18"/>
              </w:rPr>
            </w:pPr>
            <w:r w:rsidRPr="128117E3">
              <w:rPr>
                <w:rFonts w:ascii="Calibri" w:hAnsi="Calibri" w:cs="Calibri"/>
                <w:color w:val="000000" w:themeColor="text1"/>
                <w:sz w:val="18"/>
                <w:szCs w:val="18"/>
              </w:rPr>
              <w:t xml:space="preserve">The PBAC considered that the clinical evidence included in the submission demonstrated that nirsevimab is effective in reducing respiratory illness due to RSV and is acceptably safe. The PBAC considered no immunisation was the appropriate comparator for children in their second RSV season, but </w:t>
            </w:r>
            <w:r w:rsidR="3EEB968E" w:rsidRPr="128117E3">
              <w:rPr>
                <w:rFonts w:ascii="Calibri" w:hAnsi="Calibri" w:cs="Calibri"/>
                <w:color w:val="000000" w:themeColor="text1"/>
                <w:sz w:val="18"/>
                <w:szCs w:val="18"/>
              </w:rPr>
              <w:t xml:space="preserve">recombinant </w:t>
            </w:r>
            <w:r w:rsidRPr="128117E3">
              <w:rPr>
                <w:rFonts w:ascii="Calibri" w:hAnsi="Calibri" w:cs="Calibri"/>
                <w:color w:val="000000" w:themeColor="text1"/>
                <w:sz w:val="18"/>
                <w:szCs w:val="18"/>
              </w:rPr>
              <w:t>RSV</w:t>
            </w:r>
            <w:r w:rsidR="7975BE3C"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pre</w:t>
            </w:r>
            <w:r w:rsidR="7975BE3C" w:rsidRPr="128117E3">
              <w:rPr>
                <w:rFonts w:ascii="Calibri" w:hAnsi="Calibri" w:cs="Calibri"/>
                <w:color w:val="000000" w:themeColor="text1"/>
                <w:sz w:val="18"/>
                <w:szCs w:val="18"/>
              </w:rPr>
              <w:t>-fusion F protein (</w:t>
            </w:r>
            <w:proofErr w:type="spellStart"/>
            <w:r w:rsidR="7975BE3C" w:rsidRPr="128117E3">
              <w:rPr>
                <w:rFonts w:ascii="Calibri" w:hAnsi="Calibri" w:cs="Calibri"/>
                <w:color w:val="000000" w:themeColor="text1"/>
                <w:sz w:val="18"/>
                <w:szCs w:val="18"/>
              </w:rPr>
              <w:t>RSVpreF</w:t>
            </w:r>
            <w:proofErr w:type="spellEnd"/>
            <w:r w:rsidR="7975BE3C"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maternal vaccine (</w:t>
            </w:r>
            <w:proofErr w:type="spellStart"/>
            <w:r w:rsidRPr="128117E3">
              <w:rPr>
                <w:rFonts w:ascii="Calibri" w:hAnsi="Calibri" w:cs="Calibri"/>
                <w:color w:val="000000" w:themeColor="text1"/>
                <w:sz w:val="18"/>
                <w:szCs w:val="18"/>
              </w:rPr>
              <w:t>Abrysvo</w:t>
            </w:r>
            <w:proofErr w:type="spellEnd"/>
            <w:r w:rsidRPr="128117E3">
              <w:rPr>
                <w:rFonts w:ascii="Calibri" w:hAnsi="Calibri" w:cs="Calibri"/>
                <w:color w:val="000000" w:themeColor="text1"/>
                <w:sz w:val="18"/>
                <w:szCs w:val="18"/>
              </w:rPr>
              <w:t xml:space="preserve">®) should be the main comparator for infants in their first RSV </w:t>
            </w:r>
            <w:r w:rsidR="00A12B3D" w:rsidRPr="128117E3">
              <w:rPr>
                <w:rFonts w:ascii="Calibri" w:hAnsi="Calibri" w:cs="Calibri"/>
                <w:color w:val="000000" w:themeColor="text1"/>
                <w:sz w:val="18"/>
                <w:szCs w:val="18"/>
              </w:rPr>
              <w:t>season since</w:t>
            </w:r>
            <w:r w:rsidRPr="128117E3">
              <w:rPr>
                <w:rFonts w:ascii="Calibri" w:hAnsi="Calibri" w:cs="Calibri"/>
                <w:color w:val="000000" w:themeColor="text1"/>
                <w:sz w:val="18"/>
                <w:szCs w:val="18"/>
              </w:rPr>
              <w:t xml:space="preserve"> both products protect infants against RSV.</w:t>
            </w:r>
            <w:r w:rsidR="00BB07C5"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 xml:space="preserve">The PBAC considered that the evidence provided in the resubmission did not support that nirsevimab is more effective than </w:t>
            </w:r>
            <w:proofErr w:type="spellStart"/>
            <w:r w:rsidRPr="128117E3">
              <w:rPr>
                <w:rFonts w:ascii="Calibri" w:hAnsi="Calibri" w:cs="Calibri"/>
                <w:color w:val="000000" w:themeColor="text1"/>
                <w:sz w:val="18"/>
                <w:szCs w:val="18"/>
              </w:rPr>
              <w:t>RSVpreF</w:t>
            </w:r>
            <w:proofErr w:type="spellEnd"/>
            <w:r w:rsidRPr="128117E3">
              <w:rPr>
                <w:rFonts w:ascii="Calibri" w:hAnsi="Calibri" w:cs="Calibri"/>
                <w:color w:val="000000" w:themeColor="text1"/>
                <w:sz w:val="18"/>
                <w:szCs w:val="18"/>
              </w:rPr>
              <w:t xml:space="preserve"> maternal vaccine. However, the PBAC noted in some infants, the use of nirsevimab would provide additional protection that could not be addressed by </w:t>
            </w:r>
            <w:proofErr w:type="spellStart"/>
            <w:r w:rsidRPr="128117E3">
              <w:rPr>
                <w:rFonts w:ascii="Calibri" w:hAnsi="Calibri" w:cs="Calibri"/>
                <w:color w:val="000000" w:themeColor="text1"/>
                <w:sz w:val="18"/>
                <w:szCs w:val="18"/>
              </w:rPr>
              <w:t>RSVpreF</w:t>
            </w:r>
            <w:proofErr w:type="spellEnd"/>
            <w:r w:rsidRPr="128117E3">
              <w:rPr>
                <w:rFonts w:ascii="Calibri" w:hAnsi="Calibri" w:cs="Calibri"/>
                <w:color w:val="000000" w:themeColor="text1"/>
                <w:sz w:val="18"/>
                <w:szCs w:val="18"/>
              </w:rPr>
              <w:t xml:space="preserve"> maternal vaccine, for example for infants whose mother received the </w:t>
            </w:r>
            <w:proofErr w:type="spellStart"/>
            <w:r w:rsidRPr="128117E3">
              <w:rPr>
                <w:rFonts w:ascii="Calibri" w:hAnsi="Calibri" w:cs="Calibri"/>
                <w:color w:val="000000" w:themeColor="text1"/>
                <w:sz w:val="18"/>
                <w:szCs w:val="18"/>
              </w:rPr>
              <w:t>RSVpreF</w:t>
            </w:r>
            <w:proofErr w:type="spellEnd"/>
            <w:r w:rsidRPr="128117E3">
              <w:rPr>
                <w:rFonts w:ascii="Calibri" w:hAnsi="Calibri" w:cs="Calibri"/>
                <w:color w:val="000000" w:themeColor="text1"/>
                <w:sz w:val="18"/>
                <w:szCs w:val="18"/>
              </w:rPr>
              <w:t xml:space="preserve"> vaccine but were born within two weeks from vaccination, which would result in impaired protection from the vaccine.</w:t>
            </w:r>
            <w:r w:rsidR="00BB07C5"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 xml:space="preserve">The PBAC also acknowledged that nirsevimab would have additional value for infants at increased risk of severe disease from RSV during their first RSV season despite use of maternal </w:t>
            </w:r>
            <w:proofErr w:type="spellStart"/>
            <w:r w:rsidRPr="128117E3">
              <w:rPr>
                <w:rFonts w:ascii="Calibri" w:hAnsi="Calibri" w:cs="Calibri"/>
                <w:color w:val="000000" w:themeColor="text1"/>
                <w:sz w:val="18"/>
                <w:szCs w:val="18"/>
              </w:rPr>
              <w:t>RSVpreF</w:t>
            </w:r>
            <w:proofErr w:type="spellEnd"/>
            <w:r w:rsidRPr="128117E3">
              <w:rPr>
                <w:rFonts w:ascii="Calibri" w:hAnsi="Calibri" w:cs="Calibri"/>
                <w:color w:val="000000" w:themeColor="text1"/>
                <w:sz w:val="18"/>
                <w:szCs w:val="18"/>
              </w:rPr>
              <w:t xml:space="preserve"> vaccination, and for children up to 24 months of age who remain vulnerable to severe RSV disease through their second RSV season.</w:t>
            </w:r>
            <w:r w:rsidR="00BB07C5"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 xml:space="preserve">The PBAC advised that the cost-effective price would need to reflect the value of nirsevimab in each </w:t>
            </w:r>
            <w:r w:rsidR="4802635B" w:rsidRPr="128117E3">
              <w:rPr>
                <w:rFonts w:ascii="Calibri" w:hAnsi="Calibri" w:cs="Calibri"/>
                <w:color w:val="000000" w:themeColor="text1"/>
                <w:sz w:val="18"/>
                <w:szCs w:val="18"/>
              </w:rPr>
              <w:t>group and</w:t>
            </w:r>
            <w:r w:rsidRPr="128117E3">
              <w:rPr>
                <w:rFonts w:ascii="Calibri" w:hAnsi="Calibri" w:cs="Calibri"/>
                <w:color w:val="000000" w:themeColor="text1"/>
                <w:sz w:val="18"/>
                <w:szCs w:val="18"/>
              </w:rPr>
              <w:t xml:space="preserve"> noted that the cost-effective price would be lower than the price requested by the sponsor.</w:t>
            </w:r>
            <w:r w:rsidR="00BB07C5"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The PBAC noted the high cost to Government predicted by the resubmission.</w:t>
            </w:r>
          </w:p>
          <w:p w14:paraId="5AAF6114" w14:textId="77777777" w:rsidR="002D21F7" w:rsidRDefault="002D21F7" w:rsidP="128117E3">
            <w:pPr>
              <w:rPr>
                <w:rFonts w:asciiTheme="minorHAnsi" w:hAnsiTheme="minorHAnsi" w:cstheme="minorBidi"/>
                <w:color w:val="000000"/>
                <w:sz w:val="18"/>
                <w:szCs w:val="18"/>
              </w:rPr>
            </w:pPr>
          </w:p>
          <w:p w14:paraId="0C9D16F5" w14:textId="77777777" w:rsidR="002D21F7" w:rsidRPr="00D34630" w:rsidRDefault="002D21F7" w:rsidP="0062577D">
            <w:pPr>
              <w:rPr>
                <w:rFonts w:asciiTheme="minorHAnsi" w:hAnsiTheme="minorHAnsi" w:cstheme="minorHAnsi"/>
                <w:color w:val="000000"/>
                <w:sz w:val="18"/>
                <w:szCs w:val="18"/>
                <w:u w:val="single"/>
              </w:rPr>
            </w:pPr>
            <w:r w:rsidRPr="00D34630">
              <w:rPr>
                <w:rFonts w:asciiTheme="minorHAnsi" w:hAnsiTheme="minorHAnsi" w:cstheme="minorHAnsi"/>
                <w:color w:val="000000"/>
                <w:sz w:val="18"/>
                <w:szCs w:val="18"/>
                <w:u w:val="single"/>
              </w:rPr>
              <w:t>Sponsor’s Comment:</w:t>
            </w:r>
          </w:p>
          <w:p w14:paraId="2636442F" w14:textId="4C42B8BF" w:rsidR="002D21F7" w:rsidRPr="0009421C" w:rsidDel="008F66B5" w:rsidRDefault="00C55222" w:rsidP="128117E3">
            <w:pPr>
              <w:rPr>
                <w:rFonts w:asciiTheme="minorHAnsi" w:hAnsiTheme="minorHAnsi" w:cstheme="minorBidi"/>
                <w:color w:val="000000"/>
                <w:sz w:val="18"/>
                <w:szCs w:val="18"/>
              </w:rPr>
            </w:pPr>
            <w:r w:rsidRPr="128117E3">
              <w:rPr>
                <w:rFonts w:asciiTheme="minorHAnsi" w:hAnsiTheme="minorHAnsi" w:cstheme="minorBidi"/>
                <w:color w:val="000000" w:themeColor="text1"/>
                <w:sz w:val="18"/>
                <w:szCs w:val="18"/>
              </w:rPr>
              <w:t>The primary objective of an RSV immunisation program is to achieve broad coverage that ensures protection for all infants. Nirsevimab plays an important role in avoiding the significant burden associated with RSV in infants. The success of nirsevimab immunisation has been demonstrated in state programs across Australia, in terms of vaccine effectiveness and cost effectiveness, and similar best practice programs continue to be rolled out overseas. We recognise the legislative complexities involved in listing nirsevimab on the National Immunisation Program. While these discussions are ongoing, Sanofi remains committed to ensuring infants remain protected through established state- and territory-funded nirsevimab programs.</w:t>
            </w:r>
          </w:p>
        </w:tc>
      </w:tr>
      <w:tr w:rsidR="00B821C6" w:rsidRPr="0009421C" w:rsidDel="008F66B5" w14:paraId="4A465492" w14:textId="28FC3684"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094595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NIVOLUMAB + IPILIMUMAB</w:t>
            </w:r>
          </w:p>
          <w:p w14:paraId="0F855B23" w14:textId="77777777" w:rsidR="004243EB" w:rsidRDefault="004243EB" w:rsidP="00B821C6">
            <w:pPr>
              <w:jc w:val="center"/>
              <w:rPr>
                <w:rFonts w:ascii="Calibri" w:hAnsi="Calibri" w:cs="Calibri"/>
                <w:color w:val="000000"/>
                <w:sz w:val="18"/>
                <w:szCs w:val="18"/>
              </w:rPr>
            </w:pPr>
          </w:p>
          <w:p w14:paraId="24207E3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NIVOLUMAB</w:t>
            </w:r>
          </w:p>
          <w:p w14:paraId="07099BE0" w14:textId="77777777" w:rsidR="004F626E" w:rsidRDefault="004F626E" w:rsidP="00B821C6">
            <w:pPr>
              <w:jc w:val="center"/>
              <w:rPr>
                <w:rFonts w:ascii="Calibri" w:hAnsi="Calibri" w:cs="Calibri"/>
                <w:color w:val="000000"/>
                <w:sz w:val="18"/>
                <w:szCs w:val="18"/>
              </w:rPr>
            </w:pPr>
          </w:p>
          <w:p w14:paraId="53B09689" w14:textId="645C1F41"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concentrate for I.V. infusion 40 mg in 4 mL</w:t>
            </w:r>
          </w:p>
          <w:p w14:paraId="67A9C561" w14:textId="3D27F19B"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concentrate for I.V. Infusion 100 mg in</w:t>
            </w:r>
            <w:r w:rsidR="00BB07C5">
              <w:rPr>
                <w:rFonts w:ascii="Calibri" w:hAnsi="Calibri" w:cs="Calibri"/>
                <w:color w:val="000000"/>
                <w:sz w:val="18"/>
                <w:szCs w:val="18"/>
              </w:rPr>
              <w:t xml:space="preserve"> </w:t>
            </w:r>
            <w:r w:rsidRPr="0009421C">
              <w:rPr>
                <w:rFonts w:ascii="Calibri" w:hAnsi="Calibri" w:cs="Calibri"/>
                <w:color w:val="000000"/>
                <w:sz w:val="18"/>
                <w:szCs w:val="18"/>
              </w:rPr>
              <w:t>10 mL</w:t>
            </w:r>
          </w:p>
          <w:p w14:paraId="20666917" w14:textId="77777777" w:rsidR="004F626E" w:rsidRDefault="004F626E" w:rsidP="00B821C6">
            <w:pPr>
              <w:jc w:val="center"/>
              <w:rPr>
                <w:rFonts w:ascii="Calibri" w:hAnsi="Calibri" w:cs="Calibri"/>
                <w:color w:val="000000"/>
                <w:sz w:val="18"/>
                <w:szCs w:val="18"/>
              </w:rPr>
            </w:pPr>
          </w:p>
          <w:p w14:paraId="33D1E87F" w14:textId="77777777" w:rsidR="004F626E" w:rsidRDefault="004F626E" w:rsidP="004F626E">
            <w:pPr>
              <w:jc w:val="center"/>
              <w:rPr>
                <w:rFonts w:ascii="Calibri" w:hAnsi="Calibri" w:cs="Calibri"/>
                <w:color w:val="000000"/>
                <w:sz w:val="18"/>
                <w:szCs w:val="18"/>
              </w:rPr>
            </w:pPr>
            <w:proofErr w:type="spellStart"/>
            <w:r w:rsidRPr="0009421C">
              <w:rPr>
                <w:rFonts w:ascii="Calibri" w:hAnsi="Calibri" w:cs="Calibri"/>
                <w:color w:val="000000"/>
                <w:sz w:val="18"/>
                <w:szCs w:val="18"/>
              </w:rPr>
              <w:t>Opdivo</w:t>
            </w:r>
            <w:proofErr w:type="spellEnd"/>
            <w:r w:rsidRPr="0009421C">
              <w:rPr>
                <w:rFonts w:ascii="Calibri" w:hAnsi="Calibri" w:cs="Calibri"/>
                <w:color w:val="000000"/>
                <w:sz w:val="18"/>
                <w:szCs w:val="18"/>
              </w:rPr>
              <w:t>®</w:t>
            </w:r>
          </w:p>
          <w:p w14:paraId="3C37A081" w14:textId="77777777" w:rsidR="004243EB" w:rsidRDefault="004243EB" w:rsidP="00B821C6">
            <w:pPr>
              <w:jc w:val="center"/>
              <w:rPr>
                <w:rFonts w:ascii="Calibri" w:hAnsi="Calibri" w:cs="Calibri"/>
                <w:color w:val="000000"/>
                <w:sz w:val="18"/>
                <w:szCs w:val="18"/>
              </w:rPr>
            </w:pPr>
          </w:p>
          <w:p w14:paraId="7590200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IPILIMUMAB</w:t>
            </w:r>
          </w:p>
          <w:p w14:paraId="46F78E7B" w14:textId="77777777" w:rsidR="004F626E" w:rsidRDefault="004F626E" w:rsidP="00B821C6">
            <w:pPr>
              <w:jc w:val="center"/>
              <w:rPr>
                <w:rFonts w:ascii="Calibri" w:hAnsi="Calibri" w:cs="Calibri"/>
                <w:color w:val="000000"/>
                <w:sz w:val="18"/>
                <w:szCs w:val="18"/>
              </w:rPr>
            </w:pPr>
          </w:p>
          <w:p w14:paraId="15D2E6D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concentrate for I.V. infusion 50 mg in 10 mL</w:t>
            </w:r>
          </w:p>
          <w:p w14:paraId="73B282C9" w14:textId="77777777" w:rsidR="004243EB" w:rsidRDefault="004243EB" w:rsidP="00B821C6">
            <w:pPr>
              <w:jc w:val="center"/>
              <w:rPr>
                <w:rFonts w:ascii="Calibri" w:hAnsi="Calibri" w:cs="Calibri"/>
                <w:color w:val="000000"/>
                <w:sz w:val="18"/>
                <w:szCs w:val="18"/>
              </w:rPr>
            </w:pPr>
          </w:p>
          <w:p w14:paraId="42F06482"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Yervoy</w:t>
            </w:r>
            <w:proofErr w:type="spellEnd"/>
            <w:r w:rsidRPr="0009421C">
              <w:rPr>
                <w:rFonts w:ascii="Calibri" w:hAnsi="Calibri" w:cs="Calibri"/>
                <w:color w:val="000000"/>
                <w:sz w:val="18"/>
                <w:szCs w:val="18"/>
              </w:rPr>
              <w:t>®</w:t>
            </w:r>
          </w:p>
          <w:p w14:paraId="6688E826" w14:textId="77777777" w:rsidR="004243EB" w:rsidRDefault="004243EB" w:rsidP="00B821C6">
            <w:pPr>
              <w:jc w:val="center"/>
              <w:rPr>
                <w:rFonts w:ascii="Calibri" w:hAnsi="Calibri" w:cs="Calibri"/>
                <w:color w:val="000000"/>
                <w:sz w:val="18"/>
                <w:szCs w:val="18"/>
              </w:rPr>
            </w:pPr>
          </w:p>
          <w:p w14:paraId="608BF89E" w14:textId="16AD8F35"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BRISTOL-MYERS SQUIBB AUSTRALIA PTY LTD</w:t>
            </w:r>
          </w:p>
          <w:p w14:paraId="11AA3E95" w14:textId="77777777" w:rsidR="004243EB" w:rsidRDefault="004243EB" w:rsidP="00B821C6">
            <w:pPr>
              <w:jc w:val="center"/>
              <w:rPr>
                <w:rFonts w:ascii="Calibri" w:hAnsi="Calibri" w:cs="Calibri"/>
                <w:color w:val="000000"/>
                <w:sz w:val="18"/>
                <w:szCs w:val="18"/>
              </w:rPr>
            </w:pPr>
          </w:p>
          <w:p w14:paraId="66A16B70" w14:textId="4B2F94A6"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258BA57C" w14:textId="0CB251EC"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Stage III melanoma</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0125B7" w14:textId="2FFD73F2"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an amendment to the current PBS listings for nivolumab and ipilimumab to allow use in the neoadjuvant setting of stage III melanoma according to the protocol used in the NADINA (Neoadjuvant Ipilimumab plus Nivolumab versus Standard Adjuvant Nivolumab in Macroscopic Stage III Melanoma) trial.</w:t>
            </w:r>
          </w:p>
        </w:tc>
        <w:tc>
          <w:tcPr>
            <w:tcW w:w="1701" w:type="dxa"/>
            <w:tcBorders>
              <w:top w:val="single" w:sz="4" w:space="0" w:color="auto"/>
              <w:left w:val="single" w:sz="4" w:space="0" w:color="auto"/>
              <w:bottom w:val="single" w:sz="4" w:space="0" w:color="auto"/>
              <w:right w:val="single" w:sz="4" w:space="0" w:color="auto"/>
            </w:tcBorders>
            <w:vAlign w:val="center"/>
          </w:tcPr>
          <w:p w14:paraId="7E66B42F" w14:textId="2955E102"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25828AC4"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recommended amending the PBS-listings of nivolumab and ipilimumab to allow their use in Stage III melanoma according to the protocol used in the NADINA trial. The PBAC noted the findings from the NADINA trial that showed superior 12-month event-free survival and 18-month distant metastases free survival with neoadjuvant therapy with nivolumab and ipilimumab compared to adjuvant therapy only with nivolumab. The PBAC advised that the use of nivolumab and ipilimumab as neoadjuvant therapy for Stage III melanoma is expected to result in a cost saving to the PBS/RPBS and MBS compared to current adjuvant therapy.</w:t>
            </w:r>
          </w:p>
          <w:p w14:paraId="028CDC9A" w14:textId="77777777" w:rsidR="004243EB" w:rsidRDefault="004243EB" w:rsidP="0062577D">
            <w:pPr>
              <w:rPr>
                <w:rFonts w:ascii="Calibri" w:hAnsi="Calibri" w:cs="Calibri"/>
                <w:color w:val="000000"/>
                <w:sz w:val="18"/>
                <w:szCs w:val="18"/>
              </w:rPr>
            </w:pPr>
          </w:p>
          <w:p w14:paraId="451B7AE4" w14:textId="1C123BCD" w:rsidR="00B821C6" w:rsidRPr="0009421C" w:rsidDel="008F66B5" w:rsidRDefault="00B821C6" w:rsidP="0062577D">
            <w:pPr>
              <w:rPr>
                <w:rFonts w:asciiTheme="minorHAnsi" w:hAnsiTheme="minorHAnsi" w:cstheme="minorHAnsi"/>
                <w:color w:val="000000"/>
                <w:sz w:val="18"/>
                <w:szCs w:val="18"/>
              </w:rPr>
            </w:pPr>
            <w:r w:rsidRPr="0009421C">
              <w:rPr>
                <w:rFonts w:ascii="Calibri" w:hAnsi="Calibri" w:cs="Calibri"/>
                <w:color w:val="000000"/>
                <w:sz w:val="18"/>
                <w:szCs w:val="18"/>
              </w:rPr>
              <w:t>The PBAC noted it had received correspondence from clinical groups supportive of these listing changes. The PBAC requested the Department provide the Melanoma Institute of Australia with the revised listings for nivolumab and ipilimumab to ensure they are clear for prescribers. The PBAC noted flow-on restriction changes to the PBS listings for nivolumab monotherapy, pembrolizumab 3-weekly and 6-weekly monotherapy, and nivolumab in combination with relatlimab for unresectable melanoma, to align with the proposed changes to the nivolumab and ipilimumab listings.</w:t>
            </w:r>
          </w:p>
        </w:tc>
      </w:tr>
      <w:tr w:rsidR="00B821C6" w:rsidRPr="0009421C" w:rsidDel="008F66B5" w14:paraId="4B53762F" w14:textId="71C5A6EF"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6BF64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OMALIZUMAB</w:t>
            </w:r>
          </w:p>
          <w:p w14:paraId="168FCE81" w14:textId="77777777" w:rsidR="004243EB" w:rsidRDefault="004243EB" w:rsidP="00B821C6">
            <w:pPr>
              <w:jc w:val="center"/>
              <w:rPr>
                <w:rFonts w:ascii="Calibri" w:hAnsi="Calibri" w:cs="Calibri"/>
                <w:color w:val="000000"/>
                <w:sz w:val="18"/>
                <w:szCs w:val="18"/>
              </w:rPr>
            </w:pPr>
          </w:p>
          <w:p w14:paraId="4A058BA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75 mg in 0.5 mL single dose pre-filled syringe</w:t>
            </w:r>
          </w:p>
          <w:p w14:paraId="57767B1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150 mg in 1 mL single dose pre-filled syringe</w:t>
            </w:r>
          </w:p>
          <w:p w14:paraId="33BBC70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300 mg in 2 mL single dose pre-filled syringe</w:t>
            </w:r>
          </w:p>
          <w:p w14:paraId="4003F97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75 mg in 0.5 mL single dose pre-filled pen</w:t>
            </w:r>
          </w:p>
          <w:p w14:paraId="5121478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150 mg in 1 mL single dose pre-filled pen</w:t>
            </w:r>
          </w:p>
          <w:p w14:paraId="1F18175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Injection 300 mg in 2 mL single dose pre-filled pen</w:t>
            </w:r>
          </w:p>
          <w:p w14:paraId="3F579600" w14:textId="77777777" w:rsidR="004243EB" w:rsidRDefault="004243EB" w:rsidP="00B821C6">
            <w:pPr>
              <w:jc w:val="center"/>
              <w:rPr>
                <w:rFonts w:ascii="Calibri" w:hAnsi="Calibri" w:cs="Calibri"/>
                <w:color w:val="000000"/>
                <w:sz w:val="18"/>
                <w:szCs w:val="18"/>
              </w:rPr>
            </w:pPr>
          </w:p>
          <w:p w14:paraId="278D9966"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Xolair®</w:t>
            </w:r>
          </w:p>
          <w:p w14:paraId="5DE97CA4" w14:textId="77777777" w:rsidR="004243EB" w:rsidRDefault="004243EB" w:rsidP="00B821C6">
            <w:pPr>
              <w:jc w:val="center"/>
              <w:rPr>
                <w:rFonts w:ascii="Calibri" w:hAnsi="Calibri" w:cs="Calibri"/>
                <w:color w:val="000000"/>
                <w:sz w:val="18"/>
                <w:szCs w:val="18"/>
              </w:rPr>
            </w:pPr>
          </w:p>
          <w:p w14:paraId="29F22AD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NOVARTIS PHARMACEUTICALS AUSTRALIA PTY LIMITED</w:t>
            </w:r>
          </w:p>
          <w:p w14:paraId="13C02C47" w14:textId="77777777" w:rsidR="004243EB" w:rsidRDefault="004243EB" w:rsidP="00B821C6">
            <w:pPr>
              <w:jc w:val="center"/>
              <w:rPr>
                <w:rFonts w:ascii="Calibri" w:hAnsi="Calibri" w:cs="Calibri"/>
                <w:color w:val="000000"/>
                <w:sz w:val="18"/>
                <w:szCs w:val="18"/>
              </w:rPr>
            </w:pPr>
          </w:p>
          <w:p w14:paraId="23162A7F"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7C3C9A50" w14:textId="4E6F68D9"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5D7E4BE2" w14:textId="31BCD13C"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Chronic rhinosinusitis with nasal polyps (</w:t>
            </w:r>
            <w:proofErr w:type="spellStart"/>
            <w:r w:rsidRPr="0009421C">
              <w:rPr>
                <w:rFonts w:ascii="Calibri" w:hAnsi="Calibri" w:cs="Calibri"/>
                <w:color w:val="000000"/>
                <w:sz w:val="18"/>
                <w:szCs w:val="18"/>
              </w:rPr>
              <w:t>CRSwNP</w:t>
            </w:r>
            <w:proofErr w:type="spellEnd"/>
            <w:r w:rsidRPr="0009421C">
              <w:rPr>
                <w:rFonts w:ascii="Calibri" w:hAnsi="Calibri" w:cs="Calibri"/>
                <w:color w:val="000000"/>
                <w:sz w:val="18"/>
                <w:szCs w:val="18"/>
              </w:rPr>
              <w:t>)</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C5724A" w14:textId="33B3A6D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 xml:space="preserve">To request a Section 100 (Highly Specialised Drugs Program) Authority Required (Written) listing for the initial treatment and an Authority Required (Telephone/Online) listing for the continuing treatment of patients with </w:t>
            </w:r>
            <w:proofErr w:type="spellStart"/>
            <w:r w:rsidRPr="0009421C">
              <w:rPr>
                <w:rFonts w:ascii="Calibri" w:hAnsi="Calibri" w:cs="Calibri"/>
                <w:color w:val="000000"/>
                <w:sz w:val="18"/>
                <w:szCs w:val="18"/>
              </w:rPr>
              <w:t>CRSwNP</w:t>
            </w:r>
            <w:proofErr w:type="spellEnd"/>
            <w:r w:rsidRPr="0009421C">
              <w:rPr>
                <w:rFonts w:ascii="Calibri" w:hAnsi="Calibri" w:cs="Calibri"/>
                <w:color w:val="000000"/>
                <w:sz w:val="18"/>
                <w:szCs w:val="18"/>
              </w:rPr>
              <w:t>.</w:t>
            </w:r>
          </w:p>
        </w:tc>
        <w:tc>
          <w:tcPr>
            <w:tcW w:w="1701" w:type="dxa"/>
            <w:vAlign w:val="center"/>
          </w:tcPr>
          <w:p w14:paraId="167AD0DD" w14:textId="0E13665D"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6B20FE58" w14:textId="78F6F2D3"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the </w:t>
            </w:r>
            <w:r w:rsidR="00510D5A">
              <w:rPr>
                <w:rFonts w:ascii="Calibri" w:hAnsi="Calibri" w:cs="Calibri"/>
                <w:color w:val="000000"/>
                <w:sz w:val="18"/>
                <w:szCs w:val="18"/>
              </w:rPr>
              <w:t xml:space="preserve">Section 100 (Highly Specialised Drugs Program) </w:t>
            </w:r>
            <w:r w:rsidRPr="0009421C">
              <w:rPr>
                <w:rFonts w:ascii="Calibri" w:hAnsi="Calibri" w:cs="Calibri"/>
                <w:color w:val="000000"/>
                <w:sz w:val="18"/>
                <w:szCs w:val="18"/>
              </w:rPr>
              <w:t xml:space="preserve">Authority Required </w:t>
            </w:r>
            <w:r w:rsidR="00510D5A">
              <w:rPr>
                <w:rFonts w:ascii="Calibri" w:hAnsi="Calibri" w:cs="Calibri"/>
                <w:color w:val="000000"/>
                <w:sz w:val="18"/>
                <w:szCs w:val="18"/>
              </w:rPr>
              <w:t xml:space="preserve">(Written) </w:t>
            </w:r>
            <w:r w:rsidRPr="0009421C">
              <w:rPr>
                <w:rFonts w:ascii="Calibri" w:hAnsi="Calibri" w:cs="Calibri"/>
                <w:color w:val="000000"/>
                <w:sz w:val="18"/>
                <w:szCs w:val="18"/>
              </w:rPr>
              <w:t>listing of omalizumab for the treatment of chronic rhinosinusitis with nasal polyps (</w:t>
            </w:r>
            <w:proofErr w:type="spellStart"/>
            <w:r w:rsidRPr="0009421C">
              <w:rPr>
                <w:rFonts w:ascii="Calibri" w:hAnsi="Calibri" w:cs="Calibri"/>
                <w:color w:val="000000"/>
                <w:sz w:val="18"/>
                <w:szCs w:val="18"/>
              </w:rPr>
              <w:t>CRSwNP</w:t>
            </w:r>
            <w:proofErr w:type="spellEnd"/>
            <w:r w:rsidRPr="0009421C">
              <w:rPr>
                <w:rFonts w:ascii="Calibri" w:hAnsi="Calibri" w:cs="Calibri"/>
                <w:color w:val="000000"/>
                <w:sz w:val="18"/>
                <w:szCs w:val="18"/>
              </w:rPr>
              <w:t>).</w:t>
            </w:r>
            <w:r w:rsidR="00BB07C5">
              <w:rPr>
                <w:rFonts w:ascii="Calibri" w:hAnsi="Calibri" w:cs="Calibri"/>
                <w:color w:val="000000"/>
                <w:sz w:val="18"/>
                <w:szCs w:val="18"/>
              </w:rPr>
              <w:t xml:space="preserve"> </w:t>
            </w:r>
            <w:r w:rsidRPr="0009421C">
              <w:rPr>
                <w:rFonts w:ascii="Calibri" w:hAnsi="Calibri" w:cs="Calibri"/>
                <w:color w:val="000000"/>
                <w:sz w:val="18"/>
                <w:szCs w:val="18"/>
              </w:rPr>
              <w:t xml:space="preserve">The PBAC’s recommendation for listing was based on, among other matters, its assessment that the cost-effectiveness of omalizumab would be acceptable if it had a cost per patient that was no more than the cost per patient of mepolizumab for the treatment of </w:t>
            </w:r>
            <w:proofErr w:type="spellStart"/>
            <w:r w:rsidRPr="0009421C">
              <w:rPr>
                <w:rFonts w:ascii="Calibri" w:hAnsi="Calibri" w:cs="Calibri"/>
                <w:color w:val="000000"/>
                <w:sz w:val="18"/>
                <w:szCs w:val="18"/>
              </w:rPr>
              <w:t>CRSwNP</w:t>
            </w:r>
            <w:proofErr w:type="spellEnd"/>
            <w:r w:rsidRPr="0009421C">
              <w:rPr>
                <w:rFonts w:ascii="Calibri" w:hAnsi="Calibri" w:cs="Calibri"/>
                <w:color w:val="000000"/>
                <w:sz w:val="18"/>
                <w:szCs w:val="18"/>
              </w:rPr>
              <w:t xml:space="preserve">. The PBAC considered that access to omalizumab should be broadly in line with the current PBS listing for mepolizumab for the treatment of </w:t>
            </w:r>
            <w:proofErr w:type="spellStart"/>
            <w:r w:rsidRPr="0009421C">
              <w:rPr>
                <w:rFonts w:ascii="Calibri" w:hAnsi="Calibri" w:cs="Calibri"/>
                <w:color w:val="000000"/>
                <w:sz w:val="18"/>
                <w:szCs w:val="18"/>
              </w:rPr>
              <w:t>CRSwNP</w:t>
            </w:r>
            <w:proofErr w:type="spellEnd"/>
            <w:r w:rsidRPr="0009421C">
              <w:rPr>
                <w:rFonts w:ascii="Calibri" w:hAnsi="Calibri" w:cs="Calibri"/>
                <w:color w:val="000000"/>
                <w:sz w:val="18"/>
                <w:szCs w:val="18"/>
              </w:rPr>
              <w:t xml:space="preserve">. However, the PBAC considered that the PBS listing for omalizumab should not include the blood eosinophilic count (BEC) threshold </w:t>
            </w:r>
            <w:r w:rsidR="00A80917">
              <w:rPr>
                <w:rFonts w:ascii="Calibri" w:hAnsi="Calibri" w:cs="Calibri"/>
                <w:color w:val="000000"/>
                <w:sz w:val="18"/>
                <w:szCs w:val="18"/>
              </w:rPr>
              <w:t xml:space="preserve">requirement </w:t>
            </w:r>
            <w:r w:rsidR="0025423D">
              <w:rPr>
                <w:rFonts w:ascii="Calibri" w:hAnsi="Calibri" w:cs="Calibri"/>
                <w:color w:val="000000"/>
                <w:sz w:val="18"/>
                <w:szCs w:val="18"/>
              </w:rPr>
              <w:t xml:space="preserve">for mepolizumab </w:t>
            </w:r>
            <w:r w:rsidR="00C4531F">
              <w:rPr>
                <w:rFonts w:ascii="Calibri" w:hAnsi="Calibri" w:cs="Calibri"/>
                <w:color w:val="000000"/>
                <w:sz w:val="18"/>
                <w:szCs w:val="18"/>
              </w:rPr>
              <w:t>but</w:t>
            </w:r>
            <w:r w:rsidR="00C4531F" w:rsidRPr="0009421C">
              <w:rPr>
                <w:rFonts w:ascii="Calibri" w:hAnsi="Calibri" w:cs="Calibri"/>
                <w:color w:val="000000"/>
                <w:sz w:val="18"/>
                <w:szCs w:val="18"/>
              </w:rPr>
              <w:t xml:space="preserve"> </w:t>
            </w:r>
            <w:r w:rsidRPr="0009421C">
              <w:rPr>
                <w:rFonts w:ascii="Calibri" w:hAnsi="Calibri" w:cs="Calibri"/>
                <w:color w:val="000000"/>
                <w:sz w:val="18"/>
                <w:szCs w:val="18"/>
              </w:rPr>
              <w:t xml:space="preserve">should include an </w:t>
            </w:r>
            <w:r w:rsidR="0025423D">
              <w:rPr>
                <w:rFonts w:ascii="Calibri" w:hAnsi="Calibri" w:cs="Calibri"/>
                <w:color w:val="000000"/>
                <w:sz w:val="18"/>
                <w:szCs w:val="18"/>
              </w:rPr>
              <w:t xml:space="preserve">alternate </w:t>
            </w:r>
            <w:r w:rsidRPr="0009421C">
              <w:rPr>
                <w:rFonts w:ascii="Calibri" w:hAnsi="Calibri" w:cs="Calibri"/>
                <w:color w:val="000000"/>
                <w:sz w:val="18"/>
                <w:szCs w:val="18"/>
              </w:rPr>
              <w:t>threshold for immunoglobulin E (IgE) levels of ≥30 IU/mL, to reflect omalizumab’s different mechanism of action.</w:t>
            </w:r>
          </w:p>
          <w:p w14:paraId="4C83FD03" w14:textId="77777777" w:rsidR="004243EB" w:rsidRDefault="004243EB" w:rsidP="0062577D">
            <w:pPr>
              <w:rPr>
                <w:rFonts w:ascii="Calibri" w:hAnsi="Calibri" w:cs="Calibri"/>
                <w:color w:val="000000"/>
                <w:sz w:val="18"/>
                <w:szCs w:val="18"/>
              </w:rPr>
            </w:pPr>
          </w:p>
          <w:p w14:paraId="00AB6BCE" w14:textId="7F2C2169" w:rsidR="00B821C6" w:rsidRPr="0009421C" w:rsidDel="008F66B5" w:rsidRDefault="00B821C6" w:rsidP="0062577D">
            <w:pPr>
              <w:rPr>
                <w:rFonts w:asciiTheme="minorHAnsi" w:hAnsiTheme="minorHAnsi" w:cstheme="minorBidi"/>
                <w:color w:val="000000"/>
                <w:sz w:val="18"/>
                <w:szCs w:val="18"/>
              </w:rPr>
            </w:pPr>
            <w:r w:rsidRPr="0009421C">
              <w:rPr>
                <w:rFonts w:ascii="Calibri" w:hAnsi="Calibri" w:cs="Calibri"/>
                <w:color w:val="000000"/>
                <w:sz w:val="18"/>
                <w:szCs w:val="18"/>
              </w:rPr>
              <w:t xml:space="preserve">The PBAC advised the </w:t>
            </w:r>
            <w:proofErr w:type="spellStart"/>
            <w:r w:rsidRPr="0009421C">
              <w:rPr>
                <w:rFonts w:ascii="Calibri" w:hAnsi="Calibri" w:cs="Calibri"/>
                <w:color w:val="000000"/>
                <w:sz w:val="18"/>
                <w:szCs w:val="18"/>
              </w:rPr>
              <w:t>equi</w:t>
            </w:r>
            <w:proofErr w:type="spellEnd"/>
            <w:r w:rsidRPr="0009421C">
              <w:rPr>
                <w:rFonts w:ascii="Calibri" w:hAnsi="Calibri" w:cs="Calibri"/>
                <w:color w:val="000000"/>
                <w:sz w:val="18"/>
                <w:szCs w:val="18"/>
              </w:rPr>
              <w:t>-effective doses were</w:t>
            </w:r>
            <w:r w:rsidR="00402818">
              <w:rPr>
                <w:rFonts w:ascii="Calibri" w:hAnsi="Calibri" w:cs="Calibri"/>
                <w:color w:val="000000"/>
                <w:sz w:val="18"/>
                <w:szCs w:val="18"/>
              </w:rPr>
              <w:t xml:space="preserve"> </w:t>
            </w:r>
            <w:r w:rsidRPr="0009421C">
              <w:rPr>
                <w:rFonts w:ascii="Calibri" w:hAnsi="Calibri" w:cs="Calibri"/>
                <w:color w:val="000000"/>
                <w:sz w:val="18"/>
                <w:szCs w:val="18"/>
              </w:rPr>
              <w:t>omalizumab 346.67 mg every 4 weeks is equivalent to mepolizumab 100 mg every 4 weeks.</w:t>
            </w:r>
          </w:p>
        </w:tc>
      </w:tr>
      <w:tr w:rsidR="00B821C6" w:rsidRPr="0009421C" w:rsidDel="008F66B5" w14:paraId="07A41AC1" w14:textId="52951D4A"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9DAE59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OSIMERTINIB</w:t>
            </w:r>
          </w:p>
          <w:p w14:paraId="4ADCCA2A" w14:textId="77777777" w:rsidR="004243EB" w:rsidRDefault="004243EB" w:rsidP="00B821C6">
            <w:pPr>
              <w:jc w:val="center"/>
              <w:rPr>
                <w:rFonts w:ascii="Calibri" w:hAnsi="Calibri" w:cs="Calibri"/>
                <w:color w:val="000000"/>
                <w:sz w:val="18"/>
                <w:szCs w:val="18"/>
              </w:rPr>
            </w:pPr>
          </w:p>
          <w:p w14:paraId="45842CD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40 mg</w:t>
            </w:r>
          </w:p>
          <w:p w14:paraId="12510C5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80 mg</w:t>
            </w:r>
          </w:p>
          <w:p w14:paraId="5E46E37F" w14:textId="77777777" w:rsidR="004243EB" w:rsidRDefault="004243EB" w:rsidP="00B821C6">
            <w:pPr>
              <w:jc w:val="center"/>
              <w:rPr>
                <w:rFonts w:ascii="Calibri" w:hAnsi="Calibri" w:cs="Calibri"/>
                <w:color w:val="000000"/>
                <w:sz w:val="18"/>
                <w:szCs w:val="18"/>
              </w:rPr>
            </w:pPr>
          </w:p>
          <w:p w14:paraId="6DAACF9B"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Tagrisso</w:t>
            </w:r>
            <w:proofErr w:type="spellEnd"/>
            <w:r w:rsidRPr="0009421C">
              <w:rPr>
                <w:rFonts w:ascii="Calibri" w:hAnsi="Calibri" w:cs="Calibri"/>
                <w:color w:val="000000"/>
                <w:sz w:val="18"/>
                <w:szCs w:val="18"/>
              </w:rPr>
              <w:t>®</w:t>
            </w:r>
          </w:p>
          <w:p w14:paraId="7B48B533" w14:textId="77777777" w:rsidR="004243EB" w:rsidRDefault="004243EB" w:rsidP="00B821C6">
            <w:pPr>
              <w:jc w:val="center"/>
              <w:rPr>
                <w:rFonts w:ascii="Calibri" w:hAnsi="Calibri" w:cs="Calibri"/>
                <w:color w:val="000000"/>
                <w:sz w:val="18"/>
                <w:szCs w:val="18"/>
              </w:rPr>
            </w:pPr>
          </w:p>
          <w:p w14:paraId="0761212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ASTRAZENECA PTY LTD</w:t>
            </w:r>
          </w:p>
          <w:p w14:paraId="2EB9A000" w14:textId="77777777" w:rsidR="004243EB" w:rsidRDefault="004243EB" w:rsidP="00B821C6">
            <w:pPr>
              <w:jc w:val="center"/>
              <w:rPr>
                <w:rFonts w:ascii="Calibri" w:hAnsi="Calibri" w:cs="Calibri"/>
                <w:color w:val="000000"/>
                <w:sz w:val="18"/>
                <w:szCs w:val="18"/>
              </w:rPr>
            </w:pPr>
          </w:p>
          <w:p w14:paraId="6D88915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0716C0B4" w14:textId="223BDC8B"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1B6FB75B" w14:textId="0A0697E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Non-small cell lung cancer (NSCLC)</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EDC554" w14:textId="39FEAF25"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c>
          <w:tcPr>
            <w:tcW w:w="1701" w:type="dxa"/>
            <w:vAlign w:val="center"/>
          </w:tcPr>
          <w:p w14:paraId="2962443F" w14:textId="7A91EEB0"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Not Recommended</w:t>
            </w:r>
          </w:p>
        </w:tc>
        <w:tc>
          <w:tcPr>
            <w:tcW w:w="5686" w:type="dxa"/>
            <w:vAlign w:val="center"/>
          </w:tcPr>
          <w:p w14:paraId="532F95AB"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did not recommend the Authority Required PBS listing for osimertinib in combination with cisplatin or carboplatin, and pemetrexed for the first-line treatment of patients with locally advanced or metastatic non-small cell lung cancer (NSCLC) with evidence in tumour material of an activating epidermal growth factor receptor mutation (EGFRm) known to confer sensitivity to EGFR tyrosine kinase inhibitors. </w:t>
            </w:r>
          </w:p>
          <w:p w14:paraId="49DAC869" w14:textId="77777777" w:rsidR="004243EB" w:rsidRDefault="004243EB" w:rsidP="0062577D">
            <w:pPr>
              <w:rPr>
                <w:rFonts w:ascii="Calibri" w:hAnsi="Calibri" w:cs="Calibri"/>
                <w:color w:val="000000"/>
                <w:sz w:val="18"/>
                <w:szCs w:val="18"/>
              </w:rPr>
            </w:pPr>
          </w:p>
          <w:p w14:paraId="6DC596D8"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considered osimertinib in combination with chemotherapy (O+C) was associated with a moderate improvement in progression free survival compared to osimertinib monotherapy but overall survival data were immature and O+C was associated with increased toxicity. </w:t>
            </w:r>
          </w:p>
          <w:p w14:paraId="2FB02D3B" w14:textId="77777777" w:rsidR="004243EB" w:rsidRDefault="004243EB" w:rsidP="0062577D">
            <w:pPr>
              <w:rPr>
                <w:rFonts w:ascii="Calibri" w:hAnsi="Calibri" w:cs="Calibri"/>
                <w:color w:val="000000"/>
                <w:sz w:val="18"/>
                <w:szCs w:val="18"/>
              </w:rPr>
            </w:pPr>
          </w:p>
          <w:p w14:paraId="3E6F20C0" w14:textId="32FE0A51"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the economic model was based on optimistic assumptions and overestimated the benefit of O+C. The PBAC considered the uptake rate of O+C in the submission to be substantially overestimated given the safety profile of the treatment.</w:t>
            </w:r>
          </w:p>
          <w:p w14:paraId="708D4861" w14:textId="77777777" w:rsidR="00402818" w:rsidRDefault="00402818" w:rsidP="0062577D">
            <w:pPr>
              <w:rPr>
                <w:rFonts w:ascii="Calibri" w:hAnsi="Calibri" w:cs="Calibri"/>
                <w:color w:val="000000"/>
                <w:sz w:val="18"/>
                <w:szCs w:val="18"/>
              </w:rPr>
            </w:pPr>
          </w:p>
          <w:p w14:paraId="230EDE88" w14:textId="77777777" w:rsidR="00B821C6" w:rsidRDefault="00B821C6" w:rsidP="0062577D">
            <w:pPr>
              <w:rPr>
                <w:rFonts w:ascii="Calibri" w:hAnsi="Calibri" w:cs="Calibri"/>
                <w:color w:val="000000"/>
                <w:sz w:val="18"/>
                <w:szCs w:val="18"/>
              </w:rPr>
            </w:pPr>
            <w:r w:rsidRPr="128117E3">
              <w:rPr>
                <w:rFonts w:ascii="Calibri" w:hAnsi="Calibri" w:cs="Calibri"/>
                <w:color w:val="000000" w:themeColor="text1"/>
                <w:sz w:val="18"/>
                <w:szCs w:val="18"/>
              </w:rPr>
              <w:t>The PBAC considered the outstanding issues could be addressed in an early re-entry submission.</w:t>
            </w:r>
          </w:p>
          <w:p w14:paraId="47C9B60B" w14:textId="77777777" w:rsidR="00CF054E" w:rsidRDefault="00CF054E" w:rsidP="128117E3">
            <w:pPr>
              <w:rPr>
                <w:rFonts w:asciiTheme="minorHAnsi" w:hAnsiTheme="minorHAnsi" w:cstheme="minorBidi"/>
                <w:color w:val="000000"/>
                <w:sz w:val="18"/>
                <w:szCs w:val="18"/>
              </w:rPr>
            </w:pPr>
          </w:p>
          <w:p w14:paraId="5341A487" w14:textId="77777777" w:rsidR="00CF054E" w:rsidRPr="00D34630" w:rsidRDefault="00CF054E" w:rsidP="0062577D">
            <w:pPr>
              <w:rPr>
                <w:rFonts w:asciiTheme="minorHAnsi" w:hAnsiTheme="minorHAnsi" w:cstheme="minorBidi"/>
                <w:color w:val="000000"/>
                <w:sz w:val="18"/>
                <w:szCs w:val="18"/>
                <w:u w:val="single"/>
              </w:rPr>
            </w:pPr>
            <w:r w:rsidRPr="00D34630">
              <w:rPr>
                <w:rFonts w:asciiTheme="minorHAnsi" w:hAnsiTheme="minorHAnsi" w:cstheme="minorBidi"/>
                <w:color w:val="000000"/>
                <w:sz w:val="18"/>
                <w:szCs w:val="18"/>
                <w:u w:val="single"/>
              </w:rPr>
              <w:t>Sponsor’s Comment:</w:t>
            </w:r>
          </w:p>
          <w:p w14:paraId="39E0FF04" w14:textId="1A4A8780" w:rsidR="00CF054E" w:rsidRPr="0009421C" w:rsidDel="008F66B5" w:rsidRDefault="6D4D5CA3" w:rsidP="128117E3">
            <w:pPr>
              <w:rPr>
                <w:rFonts w:asciiTheme="minorHAnsi" w:hAnsiTheme="minorHAnsi" w:cstheme="minorBidi"/>
                <w:color w:val="000000"/>
                <w:sz w:val="18"/>
                <w:szCs w:val="18"/>
              </w:rPr>
            </w:pPr>
            <w:r w:rsidRPr="128117E3">
              <w:rPr>
                <w:rFonts w:asciiTheme="minorHAnsi" w:hAnsiTheme="minorHAnsi" w:cstheme="minorBidi"/>
                <w:color w:val="000000" w:themeColor="text1"/>
                <w:sz w:val="18"/>
                <w:szCs w:val="18"/>
              </w:rPr>
              <w:t>The sponsor had no comment.</w:t>
            </w:r>
          </w:p>
        </w:tc>
      </w:tr>
      <w:tr w:rsidR="00B821C6" w:rsidRPr="0009421C" w:rsidDel="008F66B5" w14:paraId="5854B770" w14:textId="687CBB6D"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6A8366F"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PEGCETACOPLAN</w:t>
            </w:r>
          </w:p>
          <w:p w14:paraId="17A34022" w14:textId="77777777" w:rsidR="004243EB" w:rsidRDefault="004243EB" w:rsidP="00B821C6">
            <w:pPr>
              <w:jc w:val="center"/>
              <w:rPr>
                <w:rFonts w:ascii="Calibri" w:hAnsi="Calibri" w:cs="Calibri"/>
                <w:color w:val="000000"/>
                <w:sz w:val="18"/>
                <w:szCs w:val="18"/>
              </w:rPr>
            </w:pPr>
          </w:p>
          <w:p w14:paraId="6BC7E37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for subcutaneous infusion 1,080 mg in 20 mL</w:t>
            </w:r>
          </w:p>
          <w:p w14:paraId="00922348" w14:textId="77777777" w:rsidR="004243EB" w:rsidRDefault="004243EB" w:rsidP="00B821C6">
            <w:pPr>
              <w:jc w:val="center"/>
              <w:rPr>
                <w:rFonts w:ascii="Calibri" w:hAnsi="Calibri" w:cs="Calibri"/>
                <w:color w:val="000000"/>
                <w:sz w:val="18"/>
                <w:szCs w:val="18"/>
              </w:rPr>
            </w:pPr>
          </w:p>
          <w:p w14:paraId="61770C0B"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Empaveli</w:t>
            </w:r>
            <w:proofErr w:type="spellEnd"/>
            <w:r w:rsidRPr="0009421C">
              <w:rPr>
                <w:rFonts w:ascii="Calibri" w:hAnsi="Calibri" w:cs="Calibri"/>
                <w:color w:val="000000"/>
                <w:sz w:val="18"/>
                <w:szCs w:val="18"/>
              </w:rPr>
              <w:t>®</w:t>
            </w:r>
          </w:p>
          <w:p w14:paraId="75A65F9D" w14:textId="77777777" w:rsidR="004243EB" w:rsidRDefault="004243EB" w:rsidP="00B821C6">
            <w:pPr>
              <w:jc w:val="center"/>
              <w:rPr>
                <w:rFonts w:ascii="Calibri" w:hAnsi="Calibri" w:cs="Calibri"/>
                <w:color w:val="000000"/>
                <w:sz w:val="18"/>
                <w:szCs w:val="18"/>
              </w:rPr>
            </w:pPr>
          </w:p>
          <w:p w14:paraId="753499D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SWEDISH ORPHAN BIOVITRUM PTY LTD</w:t>
            </w:r>
          </w:p>
          <w:p w14:paraId="3478B19D" w14:textId="77777777" w:rsidR="004243EB" w:rsidRDefault="004243EB" w:rsidP="00B821C6">
            <w:pPr>
              <w:jc w:val="center"/>
              <w:rPr>
                <w:rFonts w:ascii="Calibri" w:hAnsi="Calibri" w:cs="Calibri"/>
                <w:color w:val="000000"/>
                <w:sz w:val="18"/>
                <w:szCs w:val="18"/>
              </w:rPr>
            </w:pPr>
          </w:p>
          <w:p w14:paraId="3AE432B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3BD6E399" w14:textId="1542B346"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0FB3A19B" w14:textId="2234FACC"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Paroxysmal nocturnal haemoglobinuria (PNH)</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8BDB904" w14:textId="65861E07"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an amendment to the existing Section 100 (Highly Specialised Drugs Program) Authority Required (Written) listing for the treatment of PNH to allow initial treatment with pegcetacoplan in patients who are either treatment-naïve to complement 5 (C5) inhibitors or currently treated with a C5 inhibitor.</w:t>
            </w:r>
          </w:p>
        </w:tc>
        <w:tc>
          <w:tcPr>
            <w:tcW w:w="1701" w:type="dxa"/>
            <w:vAlign w:val="center"/>
          </w:tcPr>
          <w:p w14:paraId="46FDA260" w14:textId="653ADC0A"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0B4B06E8" w14:textId="254E258F" w:rsidR="00B821C6" w:rsidRPr="0009421C" w:rsidDel="008F66B5" w:rsidRDefault="00B821C6" w:rsidP="0062577D">
            <w:pPr>
              <w:rPr>
                <w:rFonts w:asciiTheme="minorHAnsi" w:hAnsiTheme="minorHAnsi" w:cstheme="minorHAnsi"/>
                <w:color w:val="000000"/>
                <w:sz w:val="18"/>
                <w:szCs w:val="18"/>
              </w:rPr>
            </w:pPr>
            <w:r w:rsidRPr="0009421C">
              <w:rPr>
                <w:rFonts w:ascii="Calibri" w:hAnsi="Calibri" w:cs="Calibri"/>
                <w:color w:val="000000"/>
                <w:sz w:val="18"/>
                <w:szCs w:val="18"/>
              </w:rPr>
              <w:t>The PBAC recommended an extension to the existing Section 100 Highly Specialised Drugs Program (HSD) Authority Required (in writing only via post/HPOS upload) listing of pegcetacoplan, to allow for the treatment of adults with paroxysmal nocturnal haemoglobinuria (PNH) who are either treatment-naïve to complement 5</w:t>
            </w:r>
            <w:r w:rsidR="007E5767">
              <w:rPr>
                <w:rFonts w:ascii="Calibri" w:hAnsi="Calibri" w:cs="Calibri"/>
                <w:color w:val="000000"/>
                <w:sz w:val="18"/>
                <w:szCs w:val="18"/>
              </w:rPr>
              <w:t xml:space="preserve"> </w:t>
            </w:r>
            <w:r w:rsidR="007E5767" w:rsidRPr="0009421C">
              <w:rPr>
                <w:rFonts w:ascii="Calibri" w:hAnsi="Calibri" w:cs="Calibri"/>
                <w:color w:val="000000"/>
                <w:sz w:val="18"/>
                <w:szCs w:val="18"/>
              </w:rPr>
              <w:t xml:space="preserve">(C5) </w:t>
            </w:r>
            <w:r w:rsidRPr="0009421C">
              <w:rPr>
                <w:rFonts w:ascii="Calibri" w:hAnsi="Calibri" w:cs="Calibri"/>
                <w:color w:val="000000"/>
                <w:sz w:val="18"/>
                <w:szCs w:val="18"/>
              </w:rPr>
              <w:t>inhibitors or currently treated with a C5</w:t>
            </w:r>
            <w:r w:rsidR="009A75FB">
              <w:rPr>
                <w:rFonts w:ascii="Calibri" w:hAnsi="Calibri" w:cs="Calibri"/>
                <w:color w:val="000000"/>
                <w:sz w:val="18"/>
                <w:szCs w:val="18"/>
              </w:rPr>
              <w:t xml:space="preserve"> inhibitor</w:t>
            </w:r>
            <w:r w:rsidRPr="0009421C">
              <w:rPr>
                <w:rFonts w:ascii="Calibri" w:hAnsi="Calibri" w:cs="Calibri"/>
                <w:color w:val="000000"/>
                <w:sz w:val="18"/>
                <w:szCs w:val="18"/>
              </w:rPr>
              <w:t>.</w:t>
            </w:r>
            <w:r w:rsidR="00BB07C5">
              <w:rPr>
                <w:rFonts w:ascii="Calibri" w:hAnsi="Calibri" w:cs="Calibri"/>
                <w:color w:val="000000"/>
                <w:sz w:val="18"/>
                <w:szCs w:val="18"/>
              </w:rPr>
              <w:t xml:space="preserve"> </w:t>
            </w:r>
            <w:r w:rsidRPr="0009421C">
              <w:rPr>
                <w:rFonts w:ascii="Calibri" w:hAnsi="Calibri" w:cs="Calibri"/>
                <w:color w:val="000000"/>
                <w:sz w:val="18"/>
                <w:szCs w:val="18"/>
              </w:rPr>
              <w:t>The PBAC’s recommendation for the extended listing was based on its assessment that the cost-effectiveness of pegcetacoplan would be acceptable if it were cost-minimised against ravulizumab. The PBAC noted flow-on changes would be required to the PBS listings for ravulizumab, eculizumab and iptacopan (when PBS listed) to allow for switching between treatments upon intolerance or contraindications.</w:t>
            </w:r>
          </w:p>
        </w:tc>
      </w:tr>
      <w:tr w:rsidR="00B821C6" w:rsidRPr="0009421C" w:rsidDel="008F66B5" w14:paraId="73275407" w14:textId="1786EBF0"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5682F9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PIOGLITAZONE</w:t>
            </w:r>
          </w:p>
          <w:p w14:paraId="6ECA3EA4" w14:textId="77777777" w:rsidR="004243EB" w:rsidRDefault="004243EB" w:rsidP="00B821C6">
            <w:pPr>
              <w:jc w:val="center"/>
              <w:rPr>
                <w:rFonts w:ascii="Calibri" w:hAnsi="Calibri" w:cs="Calibri"/>
                <w:color w:val="000000"/>
                <w:sz w:val="18"/>
                <w:szCs w:val="18"/>
              </w:rPr>
            </w:pPr>
          </w:p>
          <w:p w14:paraId="1879335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15 mg (as hydrochloride)</w:t>
            </w:r>
          </w:p>
          <w:p w14:paraId="6BA2272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30 mg (as hydrochloride)</w:t>
            </w:r>
          </w:p>
          <w:p w14:paraId="24DC2AE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Tablet 45 mg (as hydrochloride)</w:t>
            </w:r>
          </w:p>
          <w:p w14:paraId="3D5A76E7" w14:textId="77777777" w:rsidR="004243EB" w:rsidRDefault="004243EB" w:rsidP="00B821C6">
            <w:pPr>
              <w:jc w:val="center"/>
              <w:rPr>
                <w:rFonts w:ascii="Calibri" w:hAnsi="Calibri" w:cs="Calibri"/>
                <w:color w:val="000000"/>
                <w:sz w:val="18"/>
                <w:szCs w:val="18"/>
              </w:rPr>
            </w:pPr>
          </w:p>
          <w:p w14:paraId="05C6AA3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Actos®</w:t>
            </w:r>
          </w:p>
          <w:p w14:paraId="7C44407A" w14:textId="77777777" w:rsidR="004243EB" w:rsidRDefault="004243EB" w:rsidP="00B821C6">
            <w:pPr>
              <w:jc w:val="center"/>
              <w:rPr>
                <w:rFonts w:ascii="Calibri" w:hAnsi="Calibri" w:cs="Calibri"/>
                <w:color w:val="000000"/>
                <w:sz w:val="18"/>
                <w:szCs w:val="18"/>
              </w:rPr>
            </w:pPr>
          </w:p>
          <w:p w14:paraId="503DA04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CELLTRION HEALTHCARE AUSTRALIA PTY LTD</w:t>
            </w:r>
          </w:p>
          <w:p w14:paraId="2DDABC52" w14:textId="77777777" w:rsidR="004243EB" w:rsidRDefault="004243EB" w:rsidP="00B821C6">
            <w:pPr>
              <w:jc w:val="center"/>
              <w:rPr>
                <w:rFonts w:ascii="Calibri" w:hAnsi="Calibri" w:cs="Calibri"/>
                <w:color w:val="000000"/>
                <w:sz w:val="18"/>
                <w:szCs w:val="18"/>
              </w:rPr>
            </w:pPr>
          </w:p>
          <w:p w14:paraId="6DDD3DD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4</w:t>
            </w:r>
          </w:p>
          <w:p w14:paraId="045E50CA" w14:textId="3B77615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6EC05E95" w14:textId="7E1343E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Type 2 diabetes mellitus (T2DM)</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0BC25D" w14:textId="44206CD3"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General Schedule Restricted Benefit listings for a new pack size of pioglitazone (Actos®), with an increased maximum quantity across all currently PBS-listed strengths of pioglitazone for the treatment of T2DM.</w:t>
            </w:r>
          </w:p>
        </w:tc>
        <w:tc>
          <w:tcPr>
            <w:tcW w:w="1701" w:type="dxa"/>
            <w:vAlign w:val="center"/>
          </w:tcPr>
          <w:p w14:paraId="26829FC0" w14:textId="2AFBC32E"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7C375E3D" w14:textId="177B7E1A" w:rsidR="00B821C6" w:rsidRPr="0009421C" w:rsidDel="008F66B5" w:rsidRDefault="00B821C6" w:rsidP="0062577D">
            <w:pPr>
              <w:rPr>
                <w:rFonts w:asciiTheme="minorHAnsi" w:hAnsiTheme="minorHAnsi" w:cstheme="minorBidi"/>
                <w:sz w:val="18"/>
                <w:szCs w:val="18"/>
              </w:rPr>
            </w:pPr>
            <w:r w:rsidRPr="0009421C">
              <w:rPr>
                <w:rFonts w:ascii="Calibri" w:hAnsi="Calibri" w:cs="Calibri"/>
                <w:color w:val="000000"/>
                <w:sz w:val="18"/>
                <w:szCs w:val="18"/>
              </w:rPr>
              <w:t>The PBAC recommended General Schedule Restricted Benefit listings of pioglitazone 15 mg, 30 mg, and 45 mg 30-pack tablets for the treatment of type 2 diabetes mellitus (T2DM). Due to the new (larger) 30-pack across all strengths, the PBAC considered that the requested maximum quantities of 30 and 60 tablets would be appropriate for 30-day and 60-day maximum dispensed quantities (MDQ), respectively. The PBAC noted the current and anticipated shortages of pioglitazone, particularly the 30 mg strength, and that the new 30-pack of the Actos brand will replace the currently PBS-listed 28-pack size, which would help address the supply shortage.</w:t>
            </w:r>
          </w:p>
        </w:tc>
      </w:tr>
      <w:tr w:rsidR="00B821C6" w:rsidRPr="0009421C" w:rsidDel="008F66B5" w14:paraId="52D48790" w14:textId="14461D5B"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7B5B2A"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RANIBIZUMAB</w:t>
            </w:r>
          </w:p>
          <w:p w14:paraId="399771B5" w14:textId="77777777" w:rsidR="004243EB" w:rsidRDefault="004243EB" w:rsidP="00B821C6">
            <w:pPr>
              <w:jc w:val="center"/>
              <w:rPr>
                <w:rFonts w:ascii="Calibri" w:hAnsi="Calibri" w:cs="Calibri"/>
                <w:color w:val="000000"/>
                <w:sz w:val="18"/>
                <w:szCs w:val="18"/>
              </w:rPr>
            </w:pPr>
          </w:p>
          <w:p w14:paraId="3C3EAF0A"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for intravitreal injection 1.65 mg in 0.165 mL pre-filled syringe</w:t>
            </w:r>
          </w:p>
          <w:p w14:paraId="348E76CC"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for intravitreal injection 2.3 mg in 0.23 mL</w:t>
            </w:r>
          </w:p>
          <w:p w14:paraId="67DA350D" w14:textId="77777777" w:rsidR="004243EB" w:rsidRDefault="004243EB" w:rsidP="00B821C6">
            <w:pPr>
              <w:jc w:val="center"/>
              <w:rPr>
                <w:rFonts w:ascii="Calibri" w:hAnsi="Calibri" w:cs="Calibri"/>
                <w:color w:val="000000"/>
                <w:sz w:val="18"/>
                <w:szCs w:val="18"/>
              </w:rPr>
            </w:pPr>
          </w:p>
          <w:p w14:paraId="50DA580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Lucentis®</w:t>
            </w:r>
          </w:p>
          <w:p w14:paraId="2E88EA5D" w14:textId="77777777" w:rsidR="004243EB" w:rsidRDefault="004243EB" w:rsidP="00B821C6">
            <w:pPr>
              <w:jc w:val="center"/>
              <w:rPr>
                <w:rFonts w:ascii="Calibri" w:hAnsi="Calibri" w:cs="Calibri"/>
                <w:color w:val="000000"/>
                <w:sz w:val="18"/>
                <w:szCs w:val="18"/>
              </w:rPr>
            </w:pPr>
          </w:p>
          <w:p w14:paraId="201A604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NOVARTIS PHARMACEUTICALS AUSTRALIA PTY LIMITED</w:t>
            </w:r>
          </w:p>
          <w:p w14:paraId="2A893411" w14:textId="77777777" w:rsidR="004243EB" w:rsidRDefault="004243EB" w:rsidP="00B821C6">
            <w:pPr>
              <w:jc w:val="center"/>
              <w:rPr>
                <w:rFonts w:ascii="Calibri" w:hAnsi="Calibri" w:cs="Calibri"/>
                <w:color w:val="000000"/>
                <w:sz w:val="18"/>
                <w:szCs w:val="18"/>
              </w:rPr>
            </w:pPr>
          </w:p>
          <w:p w14:paraId="352995A9"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1</w:t>
            </w:r>
          </w:p>
          <w:p w14:paraId="3B1FA4D2" w14:textId="6C9F4511"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7DEF4CA5" w14:textId="046199CF"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Proliferative diabetic retinopathy (PDR)</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24633B" w14:textId="2F563FE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(Written) listing for the initial treatment and an Authority Required (STREAMLINED) listing for the continuing treatment of patients with PDR without diabetic macular oedema.</w:t>
            </w:r>
          </w:p>
        </w:tc>
        <w:tc>
          <w:tcPr>
            <w:tcW w:w="1701" w:type="dxa"/>
            <w:tcBorders>
              <w:top w:val="single" w:sz="4" w:space="0" w:color="auto"/>
              <w:left w:val="single" w:sz="4" w:space="0" w:color="auto"/>
              <w:bottom w:val="single" w:sz="4" w:space="0" w:color="auto"/>
              <w:right w:val="single" w:sz="4" w:space="0" w:color="auto"/>
            </w:tcBorders>
            <w:vAlign w:val="center"/>
          </w:tcPr>
          <w:p w14:paraId="344BFC3B" w14:textId="1ADDCF51"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3EBC204C" w14:textId="6ED6D634"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an Authority Required </w:t>
            </w:r>
            <w:r w:rsidR="00640A17">
              <w:rPr>
                <w:rFonts w:ascii="Calibri" w:hAnsi="Calibri" w:cs="Calibri"/>
                <w:color w:val="000000"/>
                <w:sz w:val="18"/>
                <w:szCs w:val="18"/>
              </w:rPr>
              <w:t xml:space="preserve">(Written) </w:t>
            </w:r>
            <w:r w:rsidRPr="0009421C">
              <w:rPr>
                <w:rFonts w:ascii="Calibri" w:hAnsi="Calibri" w:cs="Calibri"/>
                <w:color w:val="000000"/>
                <w:sz w:val="18"/>
                <w:szCs w:val="18"/>
              </w:rPr>
              <w:t>PBS listing for ranibizumab for the treatment of proliferative diabetic retinopathy (PDR) with or without diabetic macular oedema (DMO).</w:t>
            </w:r>
            <w:r w:rsidR="00BB07C5">
              <w:rPr>
                <w:rFonts w:ascii="Calibri" w:hAnsi="Calibri" w:cs="Calibri"/>
                <w:color w:val="000000"/>
                <w:sz w:val="18"/>
                <w:szCs w:val="18"/>
              </w:rPr>
              <w:t xml:space="preserve"> </w:t>
            </w:r>
            <w:r w:rsidRPr="0009421C">
              <w:rPr>
                <w:rFonts w:ascii="Calibri" w:hAnsi="Calibri" w:cs="Calibri"/>
                <w:color w:val="000000"/>
                <w:sz w:val="18"/>
                <w:szCs w:val="18"/>
              </w:rPr>
              <w:t xml:space="preserve">As part of its recommendation, the PBAC recommended expanding the population originally requested in the submission (i.e. patients without DMO) to include patients not being treated with or patients who </w:t>
            </w:r>
            <w:r w:rsidR="00640A17">
              <w:rPr>
                <w:rFonts w:ascii="Calibri" w:hAnsi="Calibri" w:cs="Calibri"/>
                <w:color w:val="000000"/>
                <w:sz w:val="18"/>
                <w:szCs w:val="18"/>
              </w:rPr>
              <w:t xml:space="preserve">do </w:t>
            </w:r>
            <w:r w:rsidRPr="0009421C">
              <w:rPr>
                <w:rFonts w:ascii="Calibri" w:hAnsi="Calibri" w:cs="Calibri"/>
                <w:color w:val="000000"/>
                <w:sz w:val="18"/>
                <w:szCs w:val="18"/>
              </w:rPr>
              <w:t>not qualify for, PBS subsidised treatment for macular oedema secondary to diabetic retinopathy. This was</w:t>
            </w:r>
            <w:r w:rsidR="00BB07C5">
              <w:rPr>
                <w:rFonts w:ascii="Calibri" w:hAnsi="Calibri" w:cs="Calibri"/>
                <w:color w:val="000000"/>
                <w:sz w:val="18"/>
                <w:szCs w:val="18"/>
              </w:rPr>
              <w:t xml:space="preserve"> </w:t>
            </w:r>
            <w:r w:rsidRPr="0009421C">
              <w:rPr>
                <w:rFonts w:ascii="Calibri" w:hAnsi="Calibri" w:cs="Calibri"/>
                <w:color w:val="000000"/>
                <w:sz w:val="18"/>
                <w:szCs w:val="18"/>
              </w:rPr>
              <w:t>based on unmet clinical need and to ensure continuous treatment for patients with PDR that progress to DMO and who have not developed serious vision impairment.</w:t>
            </w:r>
          </w:p>
          <w:p w14:paraId="0F892AE3" w14:textId="77777777" w:rsidR="004243EB" w:rsidRDefault="004243EB" w:rsidP="0062577D">
            <w:pPr>
              <w:rPr>
                <w:rFonts w:ascii="Calibri" w:hAnsi="Calibri" w:cs="Calibri"/>
                <w:color w:val="000000"/>
                <w:sz w:val="18"/>
                <w:szCs w:val="18"/>
              </w:rPr>
            </w:pPr>
          </w:p>
          <w:p w14:paraId="621821C6" w14:textId="3771322B" w:rsidR="00B821C6" w:rsidRPr="0009421C" w:rsidDel="008F66B5" w:rsidRDefault="00B821C6" w:rsidP="0062577D">
            <w:pPr>
              <w:rPr>
                <w:rFonts w:asciiTheme="minorHAnsi" w:hAnsiTheme="minorHAnsi" w:cstheme="minorHAnsi"/>
                <w:sz w:val="18"/>
                <w:szCs w:val="18"/>
              </w:rPr>
            </w:pPr>
            <w:r w:rsidRPr="0009421C">
              <w:rPr>
                <w:rFonts w:ascii="Calibri" w:hAnsi="Calibri" w:cs="Calibri"/>
                <w:color w:val="000000"/>
                <w:sz w:val="18"/>
                <w:szCs w:val="18"/>
              </w:rPr>
              <w:t>The PBAC was satisfied that ranibizumab was adequately cost-effective compared to the current treatment option of panretinal laser photocoagulation (PRP) noting the sponsor offered a price reduction prior to the PBAC meeting.</w:t>
            </w:r>
            <w:r w:rsidR="00BB07C5">
              <w:rPr>
                <w:rFonts w:ascii="Calibri" w:hAnsi="Calibri" w:cs="Calibri"/>
                <w:color w:val="000000"/>
                <w:sz w:val="18"/>
                <w:szCs w:val="18"/>
              </w:rPr>
              <w:t xml:space="preserve"> </w:t>
            </w:r>
            <w:r w:rsidRPr="0009421C">
              <w:rPr>
                <w:rFonts w:ascii="Calibri" w:hAnsi="Calibri" w:cs="Calibri"/>
                <w:color w:val="000000"/>
                <w:sz w:val="18"/>
                <w:szCs w:val="18"/>
              </w:rPr>
              <w:t>The PBAC considered the submission’s claim of superior effectiveness to PRP had been demonstrated despite some limitations in the clinical evidence. The PBAC noted that, based on the clinical evidence, treatment with ranibizumab was associated with benefits including a reduction in neovascularisation, prevention of DMO and reduced surgeries for vitrectomy, compared to PRP. The PBAC also noted the significant impact of type 2 diabetes and the higher rates of vision threatening PDR in the Aboriginal and Torres Strait Islander population, and that the availability of ranibizumab would provide more treatment options for this high need population.</w:t>
            </w:r>
          </w:p>
        </w:tc>
      </w:tr>
      <w:tr w:rsidR="00B821C6" w:rsidRPr="0009421C" w:rsidDel="008F66B5" w14:paraId="211AD65F" w14:textId="353CA9BC"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CDE6CF"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RAXTOZINAMERAN</w:t>
            </w:r>
          </w:p>
          <w:p w14:paraId="22592141" w14:textId="77777777" w:rsidR="004243EB" w:rsidRDefault="004243EB" w:rsidP="00B821C6">
            <w:pPr>
              <w:jc w:val="center"/>
              <w:rPr>
                <w:rFonts w:ascii="Calibri" w:hAnsi="Calibri" w:cs="Calibri"/>
                <w:color w:val="000000"/>
                <w:sz w:val="18"/>
                <w:szCs w:val="18"/>
              </w:rPr>
            </w:pPr>
          </w:p>
          <w:p w14:paraId="2E071AF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I.M. injection, suspension for injection containing raxtozinameran 30 micrograms</w:t>
            </w:r>
          </w:p>
          <w:p w14:paraId="4E828AB6" w14:textId="77777777" w:rsidR="004243EB" w:rsidRDefault="004243EB" w:rsidP="00B821C6">
            <w:pPr>
              <w:jc w:val="center"/>
              <w:rPr>
                <w:rFonts w:ascii="Calibri" w:hAnsi="Calibri" w:cs="Calibri"/>
                <w:color w:val="000000"/>
                <w:sz w:val="18"/>
                <w:szCs w:val="18"/>
              </w:rPr>
            </w:pPr>
          </w:p>
          <w:p w14:paraId="6B347DD7"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Comirnaty® Omicron XBB.1.5</w:t>
            </w:r>
          </w:p>
          <w:p w14:paraId="5FC57773" w14:textId="77777777" w:rsidR="004243EB" w:rsidRDefault="004243EB" w:rsidP="00B821C6">
            <w:pPr>
              <w:jc w:val="center"/>
              <w:rPr>
                <w:rFonts w:ascii="Calibri" w:hAnsi="Calibri" w:cs="Calibri"/>
                <w:color w:val="000000"/>
                <w:sz w:val="18"/>
                <w:szCs w:val="18"/>
              </w:rPr>
            </w:pPr>
          </w:p>
          <w:p w14:paraId="33098D0F"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PFIZER AUSTRALIA PTY LTD</w:t>
            </w:r>
          </w:p>
          <w:p w14:paraId="7E5EA403" w14:textId="77777777" w:rsidR="004243EB" w:rsidRDefault="004243EB" w:rsidP="00B821C6">
            <w:pPr>
              <w:jc w:val="center"/>
              <w:rPr>
                <w:rFonts w:ascii="Calibri" w:hAnsi="Calibri" w:cs="Calibri"/>
                <w:color w:val="000000"/>
                <w:sz w:val="18"/>
                <w:szCs w:val="18"/>
              </w:rPr>
            </w:pPr>
          </w:p>
          <w:p w14:paraId="5E815BD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1</w:t>
            </w:r>
          </w:p>
          <w:p w14:paraId="3243B570" w14:textId="0FC6F3BD"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NIP listing)</w:t>
            </w:r>
          </w:p>
        </w:tc>
        <w:tc>
          <w:tcPr>
            <w:tcW w:w="2082" w:type="dxa"/>
            <w:tcBorders>
              <w:top w:val="single" w:sz="4" w:space="0" w:color="auto"/>
              <w:left w:val="single" w:sz="4" w:space="0" w:color="auto"/>
              <w:bottom w:val="single" w:sz="4" w:space="0" w:color="auto"/>
              <w:right w:val="single" w:sz="4" w:space="0" w:color="auto"/>
            </w:tcBorders>
            <w:vAlign w:val="center"/>
          </w:tcPr>
          <w:p w14:paraId="6212F18C" w14:textId="7F8F880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Prevention of coronavirus disease 2019 (COVID-19) caused by SARS-CoV-2</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3EECE" w14:textId="4062D37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National Immunisation Program listing for the prevention of coronavirus disease 2019 (COVID-19) in adults with medical risk conditions, immunocompromised patients aged 18 and older, or adults aged 60 years and over.</w:t>
            </w:r>
          </w:p>
        </w:tc>
        <w:tc>
          <w:tcPr>
            <w:tcW w:w="1701" w:type="dxa"/>
            <w:vAlign w:val="center"/>
          </w:tcPr>
          <w:p w14:paraId="2BD28AB2" w14:textId="2A56F1AB"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Deferred</w:t>
            </w:r>
          </w:p>
        </w:tc>
        <w:tc>
          <w:tcPr>
            <w:tcW w:w="5686" w:type="dxa"/>
            <w:vAlign w:val="center"/>
          </w:tcPr>
          <w:p w14:paraId="295306ED" w14:textId="2DA256F1"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deferred making a recommendation for</w:t>
            </w:r>
            <w:r w:rsidR="0015782B">
              <w:rPr>
                <w:rFonts w:ascii="Calibri" w:hAnsi="Calibri" w:cs="Calibri"/>
                <w:color w:val="000000"/>
                <w:sz w:val="18"/>
                <w:szCs w:val="18"/>
              </w:rPr>
              <w:t xml:space="preserve"> the</w:t>
            </w:r>
            <w:r w:rsidRPr="0009421C">
              <w:rPr>
                <w:rFonts w:ascii="Calibri" w:hAnsi="Calibri" w:cs="Calibri"/>
                <w:color w:val="000000"/>
                <w:sz w:val="18"/>
                <w:szCs w:val="18"/>
              </w:rPr>
              <w:t xml:space="preserve"> raxtozinameran COVID-19 vaccine in relation to the requested National Immunisation Program (NIP) listing to prevent COVID-19 disease in adults at increased risk of severe COVID 19 disease. Raxtozinameran is currently available to Australians through the National COVID-19 Vaccination Program (NCVP). The PBAC advised that further information was required to support appropriate consideration of this submission, including further input from the sponsor, the Australian Technical Advisory Group on Immunisation (ATAGI) and the Department.</w:t>
            </w:r>
          </w:p>
          <w:p w14:paraId="5EF24198" w14:textId="77777777" w:rsidR="004243EB" w:rsidRDefault="004243EB" w:rsidP="0062577D">
            <w:pPr>
              <w:rPr>
                <w:rFonts w:ascii="Calibri" w:hAnsi="Calibri" w:cs="Calibri"/>
                <w:color w:val="000000"/>
                <w:sz w:val="18"/>
                <w:szCs w:val="18"/>
              </w:rPr>
            </w:pPr>
          </w:p>
          <w:p w14:paraId="2834FECF"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it would be better to retain access for Australians who can currently access this vaccine rather than limit access to a smaller group of people at higher risk of severe disease.</w:t>
            </w:r>
          </w:p>
          <w:p w14:paraId="2F091004" w14:textId="77777777" w:rsidR="004243EB" w:rsidRDefault="004243EB" w:rsidP="0062577D">
            <w:pPr>
              <w:rPr>
                <w:rFonts w:ascii="Calibri" w:hAnsi="Calibri" w:cs="Calibri"/>
                <w:color w:val="000000"/>
                <w:sz w:val="18"/>
                <w:szCs w:val="18"/>
              </w:rPr>
            </w:pPr>
          </w:p>
          <w:p w14:paraId="79628F4D"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that the clinical evidence included in the submission demonstrated that raxtozinameran is effective and safe compared to no booster vaccine. However the vaccine was not cost-effective at the proposed price.</w:t>
            </w:r>
          </w:p>
          <w:p w14:paraId="56C5E341" w14:textId="77777777" w:rsidR="004243EB" w:rsidRDefault="004243EB" w:rsidP="0062577D">
            <w:pPr>
              <w:rPr>
                <w:rFonts w:ascii="Calibri" w:hAnsi="Calibri" w:cs="Calibri"/>
                <w:color w:val="000000"/>
                <w:sz w:val="18"/>
                <w:szCs w:val="18"/>
              </w:rPr>
            </w:pPr>
          </w:p>
          <w:p w14:paraId="64CA1D44"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considered it was important to use vaccines that target current variants of the COVID-19 virus (SARS-CoV-2). As raxtozinameran does not target the main variants currently circulating in Australia, the PBAC did not support its listing.</w:t>
            </w:r>
          </w:p>
          <w:p w14:paraId="5E5A92FF" w14:textId="77777777" w:rsidR="004243EB" w:rsidRDefault="004243EB" w:rsidP="0062577D">
            <w:pPr>
              <w:rPr>
                <w:rFonts w:ascii="Calibri" w:hAnsi="Calibri" w:cs="Calibri"/>
                <w:color w:val="000000"/>
                <w:sz w:val="18"/>
                <w:szCs w:val="18"/>
              </w:rPr>
            </w:pPr>
          </w:p>
          <w:p w14:paraId="74EF2997" w14:textId="57FC793B"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sponsor</w:t>
            </w:r>
            <w:r w:rsidR="00F2595D">
              <w:rPr>
                <w:rFonts w:ascii="Calibri" w:hAnsi="Calibri" w:cs="Calibri"/>
                <w:color w:val="000000"/>
                <w:sz w:val="18"/>
                <w:szCs w:val="18"/>
              </w:rPr>
              <w:t>,</w:t>
            </w:r>
            <w:r w:rsidRPr="0009421C">
              <w:rPr>
                <w:rFonts w:ascii="Calibri" w:hAnsi="Calibri" w:cs="Calibri"/>
                <w:color w:val="000000"/>
                <w:sz w:val="18"/>
                <w:szCs w:val="18"/>
              </w:rPr>
              <w:t xml:space="preserve"> and ATAGI supported an approach where future adaptations of the Comirnaty® (BNT162b2) vaccine that are updated to target the more recent versions of the virus could rely on existing PBAC advice for listing.</w:t>
            </w:r>
            <w:r w:rsidR="00BB07C5">
              <w:rPr>
                <w:rFonts w:ascii="Calibri" w:hAnsi="Calibri" w:cs="Calibri"/>
                <w:color w:val="000000"/>
                <w:sz w:val="18"/>
                <w:szCs w:val="18"/>
              </w:rPr>
              <w:t xml:space="preserve"> </w:t>
            </w:r>
            <w:r w:rsidRPr="0009421C">
              <w:rPr>
                <w:rFonts w:ascii="Calibri" w:hAnsi="Calibri" w:cs="Calibri"/>
                <w:color w:val="000000"/>
                <w:sz w:val="18"/>
                <w:szCs w:val="18"/>
              </w:rPr>
              <w:t>This could occur after acceptable cost-effectiveness had been demonstrated. The PBAC advised that a revised proposal was needed from the sponsor to support the cost-effectiveness assessment. This will help provide access to the most current COVID-19 vaccines for the Australian community as soon as possible, when deemed appropriate by the TGA and ATAGI. The PBAC also requested advice from the Department of Health, Disability and Ageing about this approach.</w:t>
            </w:r>
          </w:p>
          <w:p w14:paraId="359465FF" w14:textId="77777777" w:rsidR="004243EB" w:rsidRDefault="004243EB" w:rsidP="0062577D">
            <w:pPr>
              <w:rPr>
                <w:rFonts w:ascii="Calibri" w:hAnsi="Calibri" w:cs="Calibri"/>
                <w:color w:val="000000"/>
                <w:sz w:val="18"/>
                <w:szCs w:val="18"/>
              </w:rPr>
            </w:pPr>
          </w:p>
          <w:p w14:paraId="62366A31" w14:textId="77777777" w:rsidR="00B821C6" w:rsidRDefault="00B821C6" w:rsidP="0062577D">
            <w:pPr>
              <w:rPr>
                <w:rFonts w:ascii="Calibri" w:hAnsi="Calibri" w:cs="Calibri"/>
                <w:color w:val="000000"/>
                <w:sz w:val="18"/>
                <w:szCs w:val="18"/>
              </w:rPr>
            </w:pPr>
            <w:r w:rsidRPr="128117E3">
              <w:rPr>
                <w:rFonts w:ascii="Calibri" w:hAnsi="Calibri" w:cs="Calibri"/>
                <w:color w:val="000000" w:themeColor="text1"/>
                <w:sz w:val="18"/>
                <w:szCs w:val="18"/>
              </w:rPr>
              <w:t>The PBAC noted the very high financial impact at the proposed price.</w:t>
            </w:r>
          </w:p>
          <w:p w14:paraId="3296DED0" w14:textId="77777777" w:rsidR="002D21F7" w:rsidRDefault="002D21F7" w:rsidP="0062577D">
            <w:pPr>
              <w:rPr>
                <w:rFonts w:ascii="Calibri" w:hAnsi="Calibri" w:cs="Calibri"/>
                <w:color w:val="000000"/>
                <w:sz w:val="18"/>
                <w:szCs w:val="18"/>
              </w:rPr>
            </w:pPr>
          </w:p>
          <w:p w14:paraId="0470B7E1" w14:textId="77777777" w:rsidR="006E7E43" w:rsidRDefault="006E7E43" w:rsidP="006E7E43">
            <w:pPr>
              <w:keepNext/>
              <w:keepLines/>
              <w:rPr>
                <w:rFonts w:asciiTheme="minorHAnsi" w:hAnsiTheme="minorHAnsi" w:cstheme="minorHAnsi"/>
                <w:color w:val="000000"/>
                <w:sz w:val="18"/>
                <w:szCs w:val="18"/>
                <w:u w:val="single"/>
              </w:rPr>
            </w:pPr>
          </w:p>
          <w:p w14:paraId="1C8E10B9" w14:textId="77777777" w:rsidR="006E7E43" w:rsidRDefault="006E7E43" w:rsidP="006E7E43">
            <w:pPr>
              <w:keepNext/>
              <w:keepLines/>
              <w:rPr>
                <w:rFonts w:asciiTheme="minorHAnsi" w:hAnsiTheme="minorHAnsi" w:cstheme="minorHAnsi"/>
                <w:color w:val="000000"/>
                <w:sz w:val="18"/>
                <w:szCs w:val="18"/>
                <w:u w:val="single"/>
              </w:rPr>
            </w:pPr>
          </w:p>
          <w:p w14:paraId="37A8C6B1" w14:textId="77777777" w:rsidR="006E7E43" w:rsidRDefault="006E7E43" w:rsidP="006E7E43">
            <w:pPr>
              <w:keepNext/>
              <w:keepLines/>
              <w:rPr>
                <w:rFonts w:asciiTheme="minorHAnsi" w:hAnsiTheme="minorHAnsi" w:cstheme="minorHAnsi"/>
                <w:color w:val="000000"/>
                <w:sz w:val="18"/>
                <w:szCs w:val="18"/>
                <w:u w:val="single"/>
              </w:rPr>
            </w:pPr>
          </w:p>
          <w:p w14:paraId="0EBB10A9" w14:textId="11244647" w:rsidR="005E3811" w:rsidRDefault="002D21F7" w:rsidP="006E7E43">
            <w:pPr>
              <w:keepNext/>
              <w:keepLines/>
              <w:rPr>
                <w:rFonts w:asciiTheme="minorHAnsi" w:hAnsiTheme="minorHAnsi" w:cstheme="minorHAnsi"/>
                <w:color w:val="000000"/>
                <w:sz w:val="18"/>
                <w:szCs w:val="18"/>
                <w:u w:val="single"/>
              </w:rPr>
            </w:pPr>
            <w:r w:rsidRPr="00283BBC">
              <w:rPr>
                <w:rFonts w:asciiTheme="minorHAnsi" w:hAnsiTheme="minorHAnsi" w:cstheme="minorHAnsi"/>
                <w:color w:val="000000"/>
                <w:sz w:val="18"/>
                <w:szCs w:val="18"/>
                <w:u w:val="single"/>
              </w:rPr>
              <w:lastRenderedPageBreak/>
              <w:t>Sponsor’s Comment:</w:t>
            </w:r>
          </w:p>
          <w:p w14:paraId="620DE686" w14:textId="51E30EC9" w:rsidR="00AB572D" w:rsidRDefault="33011EE1" w:rsidP="006E7E43">
            <w:pPr>
              <w:keepNext/>
              <w:keepLines/>
              <w:rPr>
                <w:rFonts w:asciiTheme="minorHAnsi" w:hAnsiTheme="minorHAnsi" w:cstheme="minorBidi"/>
                <w:color w:val="000000"/>
                <w:sz w:val="18"/>
                <w:szCs w:val="18"/>
              </w:rPr>
            </w:pPr>
            <w:r w:rsidRPr="128117E3">
              <w:rPr>
                <w:rFonts w:asciiTheme="minorHAnsi" w:hAnsiTheme="minorHAnsi" w:cstheme="minorBidi"/>
                <w:color w:val="000000" w:themeColor="text1"/>
                <w:sz w:val="18"/>
                <w:szCs w:val="18"/>
              </w:rPr>
              <w:t>Pfizer welcomes the PBAC’s acknowledgement of the continued burden of COVID-19 and a pragmatic approach to consider Comirnaty® (BTN162b2) as a platform for listing.</w:t>
            </w:r>
          </w:p>
          <w:p w14:paraId="471F916D" w14:textId="642E5F61" w:rsidR="002D21F7" w:rsidRPr="0009421C" w:rsidDel="008F66B5" w:rsidRDefault="00AB572D" w:rsidP="006E7E43">
            <w:pPr>
              <w:keepNext/>
              <w:keepLines/>
              <w:rPr>
                <w:rFonts w:asciiTheme="minorHAnsi" w:hAnsiTheme="minorHAnsi" w:cstheme="minorBidi"/>
                <w:sz w:val="18"/>
                <w:szCs w:val="18"/>
              </w:rPr>
            </w:pPr>
            <w:r>
              <w:br/>
            </w:r>
            <w:r w:rsidR="33011EE1" w:rsidRPr="128117E3">
              <w:rPr>
                <w:rFonts w:asciiTheme="minorHAnsi" w:hAnsiTheme="minorHAnsi" w:cstheme="minorBidi"/>
                <w:color w:val="000000" w:themeColor="text1"/>
                <w:sz w:val="18"/>
                <w:szCs w:val="18"/>
              </w:rPr>
              <w:t>Despite the considerable changes requested by the PBAC within the Minutes, Pfizer hopes that the PBAC deferral can be swiftly resolved in collaboration between the Department of Health, Disability &amp; Aging, ATAGI, the PBAC and Pfizer, to achieve a smooth transition to the NIP.</w:t>
            </w:r>
          </w:p>
        </w:tc>
      </w:tr>
      <w:tr w:rsidR="00B821C6" w:rsidRPr="0009421C" w:rsidDel="008F66B5" w14:paraId="741E255E" w14:textId="45025390"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A7FEF5"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REPOTRECTINIB</w:t>
            </w:r>
          </w:p>
          <w:p w14:paraId="27468454" w14:textId="77777777" w:rsidR="004243EB" w:rsidRDefault="004243EB" w:rsidP="00B821C6">
            <w:pPr>
              <w:jc w:val="center"/>
              <w:rPr>
                <w:rFonts w:ascii="Calibri" w:hAnsi="Calibri" w:cs="Calibri"/>
                <w:color w:val="000000"/>
                <w:sz w:val="18"/>
                <w:szCs w:val="18"/>
              </w:rPr>
            </w:pPr>
          </w:p>
          <w:p w14:paraId="1BC6E8D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Capsule 40 mg</w:t>
            </w:r>
          </w:p>
          <w:p w14:paraId="08D5F92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Capsule 160 mg</w:t>
            </w:r>
          </w:p>
          <w:p w14:paraId="08026E59" w14:textId="77777777" w:rsidR="004243EB" w:rsidRDefault="004243EB" w:rsidP="00B821C6">
            <w:pPr>
              <w:jc w:val="center"/>
              <w:rPr>
                <w:rFonts w:ascii="Calibri" w:hAnsi="Calibri" w:cs="Calibri"/>
                <w:color w:val="000000"/>
                <w:sz w:val="18"/>
                <w:szCs w:val="18"/>
              </w:rPr>
            </w:pPr>
          </w:p>
          <w:p w14:paraId="78DBD0F2"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Augtyro</w:t>
            </w:r>
            <w:proofErr w:type="spellEnd"/>
            <w:r w:rsidRPr="0009421C">
              <w:rPr>
                <w:rFonts w:ascii="Calibri" w:hAnsi="Calibri" w:cs="Calibri"/>
                <w:color w:val="000000"/>
                <w:sz w:val="18"/>
                <w:szCs w:val="18"/>
              </w:rPr>
              <w:t>™</w:t>
            </w:r>
          </w:p>
          <w:p w14:paraId="26C590C9" w14:textId="77777777" w:rsidR="004243EB" w:rsidRDefault="004243EB" w:rsidP="00B821C6">
            <w:pPr>
              <w:jc w:val="center"/>
              <w:rPr>
                <w:rFonts w:ascii="Calibri" w:hAnsi="Calibri" w:cs="Calibri"/>
                <w:color w:val="000000"/>
                <w:sz w:val="18"/>
                <w:szCs w:val="18"/>
              </w:rPr>
            </w:pPr>
          </w:p>
          <w:p w14:paraId="1516A7F8"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BRISTOL-MYERS SQUIBB AUSTRALIA PTY LTD</w:t>
            </w:r>
          </w:p>
          <w:p w14:paraId="476C54D1" w14:textId="77777777" w:rsidR="004243EB" w:rsidRDefault="004243EB" w:rsidP="00B821C6">
            <w:pPr>
              <w:jc w:val="center"/>
              <w:rPr>
                <w:rFonts w:ascii="Calibri" w:hAnsi="Calibri" w:cs="Calibri"/>
                <w:color w:val="000000"/>
                <w:sz w:val="18"/>
                <w:szCs w:val="18"/>
              </w:rPr>
            </w:pPr>
          </w:p>
          <w:p w14:paraId="459DC1D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6347F61B" w14:textId="21FEC379" w:rsidR="00B821C6" w:rsidRPr="0009421C" w:rsidRDefault="00B821C6" w:rsidP="00B821C6">
            <w:pPr>
              <w:jc w:val="center"/>
              <w:rPr>
                <w:rFonts w:asciiTheme="minorHAnsi" w:eastAsia="Arial" w:hAnsiTheme="minorHAnsi" w:cstheme="minorHAnsi"/>
                <w:color w:val="000000" w:themeColor="text1"/>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5CC1C477" w14:textId="6A822A3E"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Non-small cell lung cancer (NSCLC)</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D0D3E7" w14:textId="6CFD40E9"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General Schedule Authority Required (</w:t>
            </w:r>
            <w:r w:rsidR="00654B2A">
              <w:rPr>
                <w:rFonts w:ascii="Calibri" w:hAnsi="Calibri" w:cs="Calibri"/>
                <w:color w:val="000000"/>
                <w:sz w:val="18"/>
                <w:szCs w:val="18"/>
              </w:rPr>
              <w:t>Written</w:t>
            </w:r>
            <w:r w:rsidRPr="0009421C">
              <w:rPr>
                <w:rFonts w:ascii="Calibri" w:hAnsi="Calibri" w:cs="Calibri"/>
                <w:color w:val="000000"/>
                <w:sz w:val="18"/>
                <w:szCs w:val="18"/>
              </w:rPr>
              <w:t>/Online) listing for the treatment of locally advanced (Stage IIIB) or metastatic (Stage IV) ROS proto-oncogene 1 (ROS1)-positive NSCLC.</w:t>
            </w:r>
          </w:p>
        </w:tc>
        <w:tc>
          <w:tcPr>
            <w:tcW w:w="1701" w:type="dxa"/>
            <w:vAlign w:val="center"/>
          </w:tcPr>
          <w:p w14:paraId="0244BE95" w14:textId="4E61A50A"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6B6A2FC1" w14:textId="38C6BFD9"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recommended an Authority Required (</w:t>
            </w:r>
            <w:r w:rsidR="007405A3">
              <w:rPr>
                <w:rFonts w:ascii="Calibri" w:hAnsi="Calibri" w:cs="Calibri"/>
                <w:color w:val="000000"/>
                <w:sz w:val="18"/>
                <w:szCs w:val="18"/>
              </w:rPr>
              <w:t>W</w:t>
            </w:r>
            <w:r w:rsidRPr="0009421C">
              <w:rPr>
                <w:rFonts w:ascii="Calibri" w:hAnsi="Calibri" w:cs="Calibri"/>
                <w:color w:val="000000"/>
                <w:sz w:val="18"/>
                <w:szCs w:val="18"/>
              </w:rPr>
              <w:t>ritten/</w:t>
            </w:r>
            <w:r w:rsidR="007405A3">
              <w:rPr>
                <w:rFonts w:ascii="Calibri" w:hAnsi="Calibri" w:cs="Calibri"/>
                <w:color w:val="000000"/>
                <w:sz w:val="18"/>
                <w:szCs w:val="18"/>
              </w:rPr>
              <w:t>O</w:t>
            </w:r>
            <w:r w:rsidRPr="0009421C">
              <w:rPr>
                <w:rFonts w:ascii="Calibri" w:hAnsi="Calibri" w:cs="Calibri"/>
                <w:color w:val="000000"/>
                <w:sz w:val="18"/>
                <w:szCs w:val="18"/>
              </w:rPr>
              <w:t>nline) PBS listing for repotrectinib for the treatment of adult patients with locally advanced (Stage IIIB) or metastatic (Stage IV) c-ROS proto-oncogene 1 (ROS1) positive non-small cell lung cancer (NSCLC). The PBAC considered that, despite the considerable heterogeneity and the uncertainties associated with the clinical comparison, on balance it was likely repotrectinib provided similar health outcomes to entrectinib in the proposed population. The PBAC’s recommendation was based on, among other matters, its assessment that the cost effectiveness of repotrectinib would be acceptable if it were cost minimised to entrectinib.</w:t>
            </w:r>
          </w:p>
          <w:p w14:paraId="7B7F5A00" w14:textId="77777777" w:rsidR="004243EB" w:rsidRDefault="004243EB" w:rsidP="0062577D">
            <w:pPr>
              <w:rPr>
                <w:rFonts w:ascii="Calibri" w:hAnsi="Calibri" w:cs="Calibri"/>
                <w:color w:val="000000"/>
                <w:sz w:val="18"/>
                <w:szCs w:val="18"/>
              </w:rPr>
            </w:pPr>
          </w:p>
          <w:p w14:paraId="7BB98F30"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PBS listing at an equivalent cost per day based on the steady state dosing of entrectinib and repotrectinib, with the price of the repotrectinib dose reduction pack to be derived on a weighted dose approach to maintain an equivalent cost per day to the steady state pack. </w:t>
            </w:r>
          </w:p>
          <w:p w14:paraId="44E01B15" w14:textId="77777777" w:rsidR="004243EB" w:rsidRDefault="004243EB" w:rsidP="0062577D">
            <w:pPr>
              <w:rPr>
                <w:rFonts w:ascii="Calibri" w:hAnsi="Calibri" w:cs="Calibri"/>
                <w:color w:val="000000"/>
                <w:sz w:val="18"/>
                <w:szCs w:val="18"/>
              </w:rPr>
            </w:pPr>
          </w:p>
          <w:p w14:paraId="22500D62" w14:textId="18B723AB" w:rsidR="00B821C6" w:rsidRPr="0009421C" w:rsidDel="008F66B5" w:rsidRDefault="00B821C6" w:rsidP="0062577D">
            <w:pPr>
              <w:rPr>
                <w:rFonts w:asciiTheme="minorHAnsi" w:hAnsiTheme="minorHAnsi" w:cstheme="minorHAnsi"/>
                <w:sz w:val="18"/>
                <w:szCs w:val="18"/>
              </w:rPr>
            </w:pPr>
            <w:r w:rsidRPr="0009421C">
              <w:rPr>
                <w:rFonts w:ascii="Calibri" w:hAnsi="Calibri" w:cs="Calibri"/>
                <w:color w:val="000000"/>
                <w:sz w:val="18"/>
                <w:szCs w:val="18"/>
              </w:rPr>
              <w:t>The PBAC noted flow on changes to the immunotherapy listings would be required to allow ROS1 positive NSCLC patients treated with repotrectinib, entrectinib or crizotinib as their first-line therapy to access immunotherapies as a potential second-line treatment upon disease progression.</w:t>
            </w:r>
          </w:p>
        </w:tc>
      </w:tr>
      <w:tr w:rsidR="00B821C6" w:rsidRPr="0009421C" w:rsidDel="008F66B5" w14:paraId="67CC7194" w14:textId="0BCDA0ED"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39D3F2" w14:textId="77777777" w:rsidR="004243EB" w:rsidRDefault="00B821C6" w:rsidP="00B821C6">
            <w:pPr>
              <w:jc w:val="center"/>
              <w:rPr>
                <w:rFonts w:ascii="Calibri" w:hAnsi="Calibri" w:cs="Calibri"/>
                <w:color w:val="000000"/>
                <w:sz w:val="18"/>
                <w:szCs w:val="18"/>
              </w:rPr>
            </w:pPr>
            <w:bookmarkStart w:id="3" w:name="_Hlk153369578"/>
            <w:r w:rsidRPr="0009421C">
              <w:rPr>
                <w:rFonts w:ascii="Calibri" w:hAnsi="Calibri" w:cs="Calibri"/>
                <w:color w:val="000000"/>
                <w:sz w:val="18"/>
                <w:szCs w:val="18"/>
              </w:rPr>
              <w:lastRenderedPageBreak/>
              <w:t>TEPROTUMUMAB</w:t>
            </w:r>
          </w:p>
          <w:p w14:paraId="295999CA" w14:textId="77777777" w:rsidR="004243EB" w:rsidRDefault="004243EB" w:rsidP="00B821C6">
            <w:pPr>
              <w:jc w:val="center"/>
              <w:rPr>
                <w:rFonts w:ascii="Calibri" w:hAnsi="Calibri" w:cs="Calibri"/>
                <w:color w:val="000000"/>
                <w:sz w:val="18"/>
                <w:szCs w:val="18"/>
              </w:rPr>
            </w:pPr>
          </w:p>
          <w:p w14:paraId="21A5630A"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Powder for I.V. infusion 500 mg</w:t>
            </w:r>
          </w:p>
          <w:p w14:paraId="713B121C" w14:textId="77777777" w:rsidR="004243EB" w:rsidRDefault="004243EB" w:rsidP="00B821C6">
            <w:pPr>
              <w:jc w:val="center"/>
              <w:rPr>
                <w:rFonts w:ascii="Calibri" w:hAnsi="Calibri" w:cs="Calibri"/>
                <w:color w:val="000000"/>
                <w:sz w:val="18"/>
                <w:szCs w:val="18"/>
              </w:rPr>
            </w:pPr>
          </w:p>
          <w:p w14:paraId="6F8E3F53"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Tepezza</w:t>
            </w:r>
            <w:proofErr w:type="spellEnd"/>
            <w:r w:rsidRPr="0009421C">
              <w:rPr>
                <w:rFonts w:ascii="Calibri" w:hAnsi="Calibri" w:cs="Calibri"/>
                <w:color w:val="000000"/>
                <w:sz w:val="18"/>
                <w:szCs w:val="18"/>
              </w:rPr>
              <w:t>®</w:t>
            </w:r>
          </w:p>
          <w:p w14:paraId="56B78C78" w14:textId="77777777" w:rsidR="004243EB" w:rsidRDefault="004243EB" w:rsidP="00B821C6">
            <w:pPr>
              <w:jc w:val="center"/>
              <w:rPr>
                <w:rFonts w:ascii="Calibri" w:hAnsi="Calibri" w:cs="Calibri"/>
                <w:color w:val="000000"/>
                <w:sz w:val="18"/>
                <w:szCs w:val="18"/>
              </w:rPr>
            </w:pPr>
          </w:p>
          <w:p w14:paraId="1941B4A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AMGEN AUSTRALIA PTY LTD</w:t>
            </w:r>
          </w:p>
          <w:p w14:paraId="236FE052" w14:textId="77777777" w:rsidR="004243EB" w:rsidRDefault="004243EB" w:rsidP="00B821C6">
            <w:pPr>
              <w:jc w:val="center"/>
              <w:rPr>
                <w:rFonts w:ascii="Calibri" w:hAnsi="Calibri" w:cs="Calibri"/>
                <w:color w:val="000000"/>
                <w:sz w:val="18"/>
                <w:szCs w:val="18"/>
              </w:rPr>
            </w:pPr>
          </w:p>
          <w:p w14:paraId="34C761A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Early resolution</w:t>
            </w:r>
          </w:p>
          <w:p w14:paraId="6EDAE4E6" w14:textId="15FD62E3"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24D72747" w14:textId="53963CA7"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Thyroid Eye Disease (TED)</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05A936" w14:textId="45A1BE6A"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consider a resubmission for a Section 100 (Highly Specialised Drugs Program) Authority Required (STREAMLINED) listing of teprotumumab for the treatment of active, moderate-to-severe Thyroid Eye Disease (TED).</w:t>
            </w:r>
          </w:p>
        </w:tc>
        <w:tc>
          <w:tcPr>
            <w:tcW w:w="1701" w:type="dxa"/>
            <w:tcBorders>
              <w:top w:val="single" w:sz="4" w:space="0" w:color="auto"/>
              <w:left w:val="single" w:sz="4" w:space="0" w:color="auto"/>
              <w:bottom w:val="single" w:sz="4" w:space="0" w:color="auto"/>
              <w:right w:val="single" w:sz="4" w:space="0" w:color="auto"/>
            </w:tcBorders>
            <w:vAlign w:val="center"/>
          </w:tcPr>
          <w:p w14:paraId="77C907C2" w14:textId="6912C9FD"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tcBorders>
              <w:top w:val="single" w:sz="4" w:space="0" w:color="auto"/>
              <w:left w:val="single" w:sz="4" w:space="0" w:color="auto"/>
              <w:bottom w:val="single" w:sz="4" w:space="0" w:color="auto"/>
              <w:right w:val="single" w:sz="4" w:space="0" w:color="auto"/>
            </w:tcBorders>
            <w:vAlign w:val="center"/>
          </w:tcPr>
          <w:p w14:paraId="763B9B94" w14:textId="268B66F5" w:rsidR="00B821C6" w:rsidRPr="0009421C" w:rsidDel="008F66B5" w:rsidRDefault="00B821C6" w:rsidP="0062577D">
            <w:pPr>
              <w:rPr>
                <w:rFonts w:asciiTheme="minorHAnsi" w:hAnsiTheme="minorHAnsi" w:cstheme="minorHAnsi"/>
                <w:color w:val="000000"/>
                <w:sz w:val="18"/>
                <w:szCs w:val="18"/>
              </w:rPr>
            </w:pPr>
            <w:r w:rsidRPr="0009421C">
              <w:rPr>
                <w:rFonts w:ascii="Calibri" w:hAnsi="Calibri" w:cs="Calibri"/>
                <w:color w:val="000000"/>
                <w:sz w:val="18"/>
                <w:szCs w:val="18"/>
              </w:rPr>
              <w:t xml:space="preserve">The PBAC recommended the </w:t>
            </w:r>
            <w:r w:rsidR="00B60099">
              <w:rPr>
                <w:rFonts w:ascii="Calibri" w:hAnsi="Calibri" w:cs="Calibri"/>
                <w:color w:val="000000"/>
                <w:sz w:val="18"/>
                <w:szCs w:val="18"/>
              </w:rPr>
              <w:t xml:space="preserve">Section 100 (Highly Specialised Drugs Program) Authority </w:t>
            </w:r>
            <w:r w:rsidR="008026A8">
              <w:rPr>
                <w:rFonts w:ascii="Calibri" w:hAnsi="Calibri" w:cs="Calibri"/>
                <w:color w:val="000000"/>
                <w:sz w:val="18"/>
                <w:szCs w:val="18"/>
              </w:rPr>
              <w:t xml:space="preserve">Required (Streamlined) </w:t>
            </w:r>
            <w:r w:rsidRPr="0009421C">
              <w:rPr>
                <w:rFonts w:ascii="Calibri" w:hAnsi="Calibri" w:cs="Calibri"/>
                <w:color w:val="000000"/>
                <w:sz w:val="18"/>
                <w:szCs w:val="18"/>
              </w:rPr>
              <w:t>listing of teprotumumab for the treatment of active, moderate-to-severe thyroid eye disease. The PBAC reaffirmed its previous view that there is a high clinical need in the requested patient population, and that the evidence demonstrated that teprotumumab is more effective in improving proptosis and diplopia compared to current standard of care, which may also lead to a reduction in eye surgery. The PBAC considered that the economic model remained uncertain. However, the PBAC noted that changes to the economic evaluation and financial estimates had reduced uncertainty and addressed the Committee’s concerns. The PBAC considered that teprotumumab would be cost-effective at the price proposed in the resubmission. The PBAC noted that the resubmission proposed a Risk Sharing Arrangement and considered that the approach taken was reasonable, however required further revision. Overall, the PBAC considered that the resubmission had addressed the outstanding issues identified at the March 2025 PBAC meeting.</w:t>
            </w:r>
          </w:p>
        </w:tc>
      </w:tr>
      <w:bookmarkEnd w:id="3"/>
      <w:tr w:rsidR="00B821C6" w:rsidRPr="0009421C" w:rsidDel="008F66B5" w14:paraId="1D94DBFA" w14:textId="5EE2D80F"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DFB283"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TRASTUZUMAB DERUXTECAN</w:t>
            </w:r>
          </w:p>
          <w:p w14:paraId="282D40D7" w14:textId="77777777" w:rsidR="004243EB" w:rsidRDefault="004243EB" w:rsidP="00B821C6">
            <w:pPr>
              <w:jc w:val="center"/>
              <w:rPr>
                <w:rFonts w:ascii="Calibri" w:hAnsi="Calibri" w:cs="Calibri"/>
                <w:color w:val="000000"/>
                <w:sz w:val="18"/>
                <w:szCs w:val="18"/>
              </w:rPr>
            </w:pPr>
          </w:p>
          <w:p w14:paraId="5CA17C52"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Powder for I.V. infusion 100 mg</w:t>
            </w:r>
          </w:p>
          <w:p w14:paraId="27EB6CD9" w14:textId="77777777" w:rsidR="004243EB" w:rsidRDefault="004243EB" w:rsidP="00B821C6">
            <w:pPr>
              <w:jc w:val="center"/>
              <w:rPr>
                <w:rFonts w:ascii="Calibri" w:hAnsi="Calibri" w:cs="Calibri"/>
                <w:color w:val="000000"/>
                <w:sz w:val="18"/>
                <w:szCs w:val="18"/>
              </w:rPr>
            </w:pPr>
          </w:p>
          <w:p w14:paraId="6FF8D7DD"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Enhertu</w:t>
            </w:r>
            <w:proofErr w:type="spellEnd"/>
            <w:r w:rsidRPr="0009421C">
              <w:rPr>
                <w:rFonts w:ascii="Calibri" w:hAnsi="Calibri" w:cs="Calibri"/>
                <w:color w:val="000000"/>
                <w:sz w:val="18"/>
                <w:szCs w:val="18"/>
              </w:rPr>
              <w:t>®</w:t>
            </w:r>
          </w:p>
          <w:p w14:paraId="59D86B8A" w14:textId="77777777" w:rsidR="004243EB" w:rsidRDefault="004243EB" w:rsidP="00B821C6">
            <w:pPr>
              <w:jc w:val="center"/>
              <w:rPr>
                <w:rFonts w:ascii="Calibri" w:hAnsi="Calibri" w:cs="Calibri"/>
                <w:color w:val="000000"/>
                <w:sz w:val="18"/>
                <w:szCs w:val="18"/>
              </w:rPr>
            </w:pPr>
          </w:p>
          <w:p w14:paraId="1A772C0D"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ASTRAZENECA PTY LTD</w:t>
            </w:r>
          </w:p>
          <w:p w14:paraId="33322F09" w14:textId="77777777" w:rsidR="004243EB" w:rsidRDefault="004243EB" w:rsidP="00B821C6">
            <w:pPr>
              <w:jc w:val="center"/>
              <w:rPr>
                <w:rFonts w:ascii="Calibri" w:hAnsi="Calibri" w:cs="Calibri"/>
                <w:color w:val="000000"/>
                <w:sz w:val="18"/>
                <w:szCs w:val="18"/>
              </w:rPr>
            </w:pPr>
          </w:p>
          <w:p w14:paraId="5B05106B"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112CE29A" w14:textId="274346EF"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(Change to existing listing)</w:t>
            </w:r>
          </w:p>
        </w:tc>
        <w:tc>
          <w:tcPr>
            <w:tcW w:w="2082" w:type="dxa"/>
            <w:tcBorders>
              <w:top w:val="single" w:sz="4" w:space="0" w:color="auto"/>
              <w:left w:val="single" w:sz="4" w:space="0" w:color="auto"/>
              <w:bottom w:val="single" w:sz="4" w:space="0" w:color="auto"/>
              <w:right w:val="single" w:sz="4" w:space="0" w:color="auto"/>
            </w:tcBorders>
            <w:vAlign w:val="center"/>
          </w:tcPr>
          <w:p w14:paraId="78BED34E" w14:textId="37238405"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Gastric or gastroesophageal junction (G/GOJ) cancer</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2CF8D8" w14:textId="688C97FE"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Section 100 (Efficient Funding of Chemotherapy Program) Authority Required (Telephone/Online) listing for the treatment of metastatic human epidermal growth factor receptor 2-positive (HER2+) G/GOJ cancer following trastuzumab therapy.</w:t>
            </w:r>
          </w:p>
        </w:tc>
        <w:tc>
          <w:tcPr>
            <w:tcW w:w="1701" w:type="dxa"/>
            <w:tcBorders>
              <w:top w:val="single" w:sz="4" w:space="0" w:color="auto"/>
              <w:left w:val="single" w:sz="4" w:space="0" w:color="auto"/>
              <w:bottom w:val="single" w:sz="4" w:space="0" w:color="auto"/>
              <w:right w:val="single" w:sz="4" w:space="0" w:color="auto"/>
            </w:tcBorders>
            <w:vAlign w:val="center"/>
          </w:tcPr>
          <w:p w14:paraId="65AE174E" w14:textId="74AFE5DA" w:rsidR="00B821C6" w:rsidRPr="0009421C" w:rsidDel="008F66B5" w:rsidRDefault="00B821C6" w:rsidP="00402818">
            <w:pPr>
              <w:pStyle w:val="ListParagraph"/>
              <w:keepLines/>
              <w:ind w:left="0"/>
              <w:jc w:val="center"/>
              <w:rPr>
                <w:rFonts w:asciiTheme="minorHAnsi" w:hAnsiTheme="minorHAnsi" w:cstheme="minorHAnsi"/>
                <w:sz w:val="18"/>
                <w:szCs w:val="18"/>
              </w:rPr>
            </w:pPr>
            <w:r w:rsidRPr="0009421C">
              <w:rPr>
                <w:rFonts w:ascii="Calibri" w:hAnsi="Calibri" w:cs="Calibri"/>
                <w:color w:val="000000"/>
                <w:sz w:val="18"/>
                <w:szCs w:val="18"/>
              </w:rPr>
              <w:t>Deferred</w:t>
            </w:r>
          </w:p>
        </w:tc>
        <w:tc>
          <w:tcPr>
            <w:tcW w:w="5686" w:type="dxa"/>
            <w:tcBorders>
              <w:top w:val="single" w:sz="4" w:space="0" w:color="auto"/>
              <w:left w:val="single" w:sz="4" w:space="0" w:color="auto"/>
              <w:bottom w:val="single" w:sz="4" w:space="0" w:color="auto"/>
              <w:right w:val="single" w:sz="4" w:space="0" w:color="auto"/>
            </w:tcBorders>
            <w:vAlign w:val="center"/>
          </w:tcPr>
          <w:p w14:paraId="2729AE46" w14:textId="6EEBC382" w:rsidR="00B821C6" w:rsidRDefault="00B821C6" w:rsidP="0062577D">
            <w:pPr>
              <w:rPr>
                <w:rFonts w:ascii="Calibri" w:hAnsi="Calibri" w:cs="Calibri"/>
                <w:color w:val="000000"/>
                <w:sz w:val="18"/>
                <w:szCs w:val="18"/>
              </w:rPr>
            </w:pPr>
            <w:r w:rsidRPr="128117E3">
              <w:rPr>
                <w:rFonts w:ascii="Calibri" w:hAnsi="Calibri" w:cs="Calibri"/>
                <w:color w:val="000000" w:themeColor="text1"/>
                <w:sz w:val="18"/>
                <w:szCs w:val="18"/>
              </w:rPr>
              <w:t>The PBAC deferred making a recommendation for trastuzumab deruxtecan (T-</w:t>
            </w:r>
            <w:proofErr w:type="spellStart"/>
            <w:r w:rsidRPr="128117E3">
              <w:rPr>
                <w:rFonts w:ascii="Calibri" w:hAnsi="Calibri" w:cs="Calibri"/>
                <w:color w:val="000000" w:themeColor="text1"/>
                <w:sz w:val="18"/>
                <w:szCs w:val="18"/>
              </w:rPr>
              <w:t>DXd</w:t>
            </w:r>
            <w:proofErr w:type="spellEnd"/>
            <w:r w:rsidRPr="128117E3">
              <w:rPr>
                <w:rFonts w:ascii="Calibri" w:hAnsi="Calibri" w:cs="Calibri"/>
                <w:color w:val="000000" w:themeColor="text1"/>
                <w:sz w:val="18"/>
                <w:szCs w:val="18"/>
              </w:rPr>
              <w:t xml:space="preserve"> for treatment of metastatic human epidermal growth factor receptor 2-positive (HER2+) gastric or gastroesophageal junction (G/GOJ) cancer following trastuzumab therapy to allow for further consultation with the sponsor about a potential pathway forward towards PBS listing. The PBAC considered it needed more information from the sponsor to be able to make its final recommendation. The PBAC accepted standard of care chemotherapy, consisting of paclitaxel, irinotecan, docetaxel or folinic acid, fluorouracil, and irinotecan combination (FOLFIRI), as the appropriate main comparator, as proposed by the submission. The PBAC also accepted the submission’s claim, that T-</w:t>
            </w:r>
            <w:proofErr w:type="spellStart"/>
            <w:r w:rsidRPr="128117E3">
              <w:rPr>
                <w:rFonts w:ascii="Calibri" w:hAnsi="Calibri" w:cs="Calibri"/>
                <w:color w:val="000000" w:themeColor="text1"/>
                <w:sz w:val="18"/>
                <w:szCs w:val="18"/>
              </w:rPr>
              <w:t>DXd</w:t>
            </w:r>
            <w:proofErr w:type="spellEnd"/>
            <w:r w:rsidRPr="128117E3">
              <w:rPr>
                <w:rFonts w:ascii="Calibri" w:hAnsi="Calibri" w:cs="Calibri"/>
                <w:color w:val="000000" w:themeColor="text1"/>
                <w:sz w:val="18"/>
                <w:szCs w:val="18"/>
              </w:rPr>
              <w:t xml:space="preserve"> has superior efficacy and inferior but manageable safety compared to SoC in patients with metastatic HER2-positive G/GOJ adenocarcinoma who have received a prior trastuzumab-based regimen. While the PBAC considered the claim of superior efficacy compared to SoC was supported by evidence included in the submission, it considered the extent of the improvements in time without disease progression and survival which would be observed in the proposed Australian population was uncertain, which has implications for the extent of benefit assumed in the economic model. The PBAC agreed with its Economics Sub Committee’s (ESC) advice that certain amendments should be made to the economic model. The PBAC</w:t>
            </w:r>
            <w:r w:rsidR="00BB07C5"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considered that the cost-effectiveness of T-</w:t>
            </w:r>
            <w:proofErr w:type="spellStart"/>
            <w:r w:rsidR="46E9F669" w:rsidRPr="128117E3">
              <w:rPr>
                <w:rFonts w:ascii="Calibri" w:hAnsi="Calibri" w:cs="Calibri"/>
                <w:color w:val="000000" w:themeColor="text1"/>
                <w:sz w:val="18"/>
                <w:szCs w:val="18"/>
              </w:rPr>
              <w:t>DXd</w:t>
            </w:r>
            <w:proofErr w:type="spellEnd"/>
            <w:r w:rsidR="46E9F669" w:rsidRPr="128117E3">
              <w:rPr>
                <w:rFonts w:ascii="Calibri" w:hAnsi="Calibri" w:cs="Calibri"/>
                <w:color w:val="000000" w:themeColor="text1"/>
                <w:sz w:val="18"/>
                <w:szCs w:val="18"/>
              </w:rPr>
              <w:t xml:space="preserve"> </w:t>
            </w:r>
            <w:r w:rsidRPr="128117E3">
              <w:rPr>
                <w:rFonts w:ascii="Calibri" w:hAnsi="Calibri" w:cs="Calibri"/>
                <w:color w:val="000000" w:themeColor="text1"/>
                <w:sz w:val="18"/>
                <w:szCs w:val="18"/>
              </w:rPr>
              <w:t>estimated by the revised economic model which incorporates the amendments advised by ESC was still unacceptably high and uncertain at the price for T-</w:t>
            </w:r>
            <w:proofErr w:type="spellStart"/>
            <w:r w:rsidRPr="128117E3">
              <w:rPr>
                <w:rFonts w:ascii="Calibri" w:hAnsi="Calibri" w:cs="Calibri"/>
                <w:color w:val="000000" w:themeColor="text1"/>
                <w:sz w:val="18"/>
                <w:szCs w:val="18"/>
              </w:rPr>
              <w:t>DXd</w:t>
            </w:r>
            <w:proofErr w:type="spellEnd"/>
            <w:r w:rsidRPr="128117E3">
              <w:rPr>
                <w:rFonts w:ascii="Calibri" w:hAnsi="Calibri" w:cs="Calibri"/>
                <w:color w:val="000000" w:themeColor="text1"/>
                <w:sz w:val="18"/>
                <w:szCs w:val="18"/>
              </w:rPr>
              <w:t xml:space="preserve"> proposed in the submission.</w:t>
            </w:r>
          </w:p>
          <w:p w14:paraId="33333F54" w14:textId="77777777" w:rsidR="002D21F7" w:rsidRDefault="002D21F7" w:rsidP="128117E3">
            <w:pPr>
              <w:rPr>
                <w:rFonts w:asciiTheme="minorHAnsi" w:hAnsiTheme="minorHAnsi" w:cstheme="minorBidi"/>
                <w:color w:val="000000"/>
                <w:sz w:val="18"/>
                <w:szCs w:val="18"/>
              </w:rPr>
            </w:pPr>
          </w:p>
          <w:p w14:paraId="50114C50" w14:textId="77777777" w:rsidR="002D21F7" w:rsidRPr="00283BBC" w:rsidRDefault="002D21F7" w:rsidP="002D21F7">
            <w:pPr>
              <w:rPr>
                <w:rFonts w:asciiTheme="minorHAnsi" w:hAnsiTheme="minorHAnsi" w:cstheme="minorHAnsi"/>
                <w:color w:val="000000"/>
                <w:sz w:val="18"/>
                <w:szCs w:val="18"/>
                <w:u w:val="single"/>
              </w:rPr>
            </w:pPr>
            <w:r w:rsidRPr="00283BBC">
              <w:rPr>
                <w:rFonts w:asciiTheme="minorHAnsi" w:hAnsiTheme="minorHAnsi" w:cstheme="minorHAnsi"/>
                <w:color w:val="000000"/>
                <w:sz w:val="18"/>
                <w:szCs w:val="18"/>
                <w:u w:val="single"/>
              </w:rPr>
              <w:t>Sponsor’s Comment:</w:t>
            </w:r>
          </w:p>
          <w:p w14:paraId="62C0E818" w14:textId="42A967E3" w:rsidR="002D21F7" w:rsidRPr="0009421C" w:rsidDel="008F66B5" w:rsidRDefault="4286CE05" w:rsidP="128117E3">
            <w:pPr>
              <w:rPr>
                <w:rFonts w:asciiTheme="minorHAnsi" w:hAnsiTheme="minorHAnsi" w:cstheme="minorBidi"/>
                <w:sz w:val="18"/>
                <w:szCs w:val="18"/>
              </w:rPr>
            </w:pPr>
            <w:r w:rsidRPr="128117E3">
              <w:rPr>
                <w:rFonts w:asciiTheme="minorHAnsi" w:hAnsiTheme="minorHAnsi" w:cstheme="minorBidi"/>
                <w:color w:val="000000" w:themeColor="text1"/>
                <w:sz w:val="18"/>
                <w:szCs w:val="18"/>
              </w:rPr>
              <w:t>The sponsor had no comment.</w:t>
            </w:r>
          </w:p>
        </w:tc>
      </w:tr>
      <w:tr w:rsidR="00B821C6" w:rsidRPr="0009421C" w:rsidDel="008F66B5" w14:paraId="630CF50E" w14:textId="1FF3004C" w:rsidTr="128117E3">
        <w:trPr>
          <w:cantSplit/>
          <w:trHeight w:val="20"/>
          <w:jc w:val="center"/>
        </w:trPr>
        <w:tc>
          <w:tcPr>
            <w:tcW w:w="301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9EEC60"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lastRenderedPageBreak/>
              <w:t>UBLITUXIMAB</w:t>
            </w:r>
          </w:p>
          <w:p w14:paraId="7D902CC4" w14:textId="77777777" w:rsidR="004243EB" w:rsidRDefault="004243EB" w:rsidP="00B821C6">
            <w:pPr>
              <w:jc w:val="center"/>
              <w:rPr>
                <w:rFonts w:ascii="Calibri" w:hAnsi="Calibri" w:cs="Calibri"/>
                <w:color w:val="000000"/>
                <w:sz w:val="18"/>
                <w:szCs w:val="18"/>
              </w:rPr>
            </w:pPr>
          </w:p>
          <w:p w14:paraId="1C160FE1"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Solution concentrate for I.V. infusion 150 mg in 6 mL (25 mg per mL)</w:t>
            </w:r>
          </w:p>
          <w:p w14:paraId="678346C7" w14:textId="77777777" w:rsidR="004243EB" w:rsidRDefault="004243EB" w:rsidP="00B821C6">
            <w:pPr>
              <w:jc w:val="center"/>
              <w:rPr>
                <w:rFonts w:ascii="Calibri" w:hAnsi="Calibri" w:cs="Calibri"/>
                <w:color w:val="000000"/>
                <w:sz w:val="18"/>
                <w:szCs w:val="18"/>
              </w:rPr>
            </w:pPr>
          </w:p>
          <w:p w14:paraId="3D8091FE" w14:textId="77777777" w:rsidR="004243EB" w:rsidRDefault="00B821C6" w:rsidP="00B821C6">
            <w:pPr>
              <w:jc w:val="center"/>
              <w:rPr>
                <w:rFonts w:ascii="Calibri" w:hAnsi="Calibri" w:cs="Calibri"/>
                <w:color w:val="000000"/>
                <w:sz w:val="18"/>
                <w:szCs w:val="18"/>
              </w:rPr>
            </w:pPr>
            <w:proofErr w:type="spellStart"/>
            <w:r w:rsidRPr="0009421C">
              <w:rPr>
                <w:rFonts w:ascii="Calibri" w:hAnsi="Calibri" w:cs="Calibri"/>
                <w:color w:val="000000"/>
                <w:sz w:val="18"/>
                <w:szCs w:val="18"/>
              </w:rPr>
              <w:t>Briumvi</w:t>
            </w:r>
            <w:proofErr w:type="spellEnd"/>
            <w:r w:rsidRPr="0009421C">
              <w:rPr>
                <w:rFonts w:ascii="Calibri" w:hAnsi="Calibri" w:cs="Calibri"/>
                <w:color w:val="000000"/>
                <w:sz w:val="18"/>
                <w:szCs w:val="18"/>
              </w:rPr>
              <w:t>®</w:t>
            </w:r>
          </w:p>
          <w:p w14:paraId="6FBB2029" w14:textId="77777777" w:rsidR="004243EB" w:rsidRDefault="004243EB" w:rsidP="00B821C6">
            <w:pPr>
              <w:jc w:val="center"/>
              <w:rPr>
                <w:rFonts w:ascii="Calibri" w:hAnsi="Calibri" w:cs="Calibri"/>
                <w:color w:val="000000"/>
                <w:sz w:val="18"/>
                <w:szCs w:val="18"/>
              </w:rPr>
            </w:pPr>
          </w:p>
          <w:p w14:paraId="07E70F14"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KIRCHMANN ENTERPRISES PTY LTD</w:t>
            </w:r>
          </w:p>
          <w:p w14:paraId="40173813" w14:textId="77777777" w:rsidR="004243EB" w:rsidRDefault="004243EB" w:rsidP="00B821C6">
            <w:pPr>
              <w:jc w:val="center"/>
              <w:rPr>
                <w:rFonts w:ascii="Calibri" w:hAnsi="Calibri" w:cs="Calibri"/>
                <w:color w:val="000000"/>
                <w:sz w:val="18"/>
                <w:szCs w:val="18"/>
              </w:rPr>
            </w:pPr>
          </w:p>
          <w:p w14:paraId="02BF2DFE" w14:textId="77777777" w:rsidR="004243EB" w:rsidRDefault="00B821C6" w:rsidP="00B821C6">
            <w:pPr>
              <w:jc w:val="center"/>
              <w:rPr>
                <w:rFonts w:ascii="Calibri" w:hAnsi="Calibri" w:cs="Calibri"/>
                <w:color w:val="000000"/>
                <w:sz w:val="18"/>
                <w:szCs w:val="18"/>
              </w:rPr>
            </w:pPr>
            <w:r w:rsidRPr="0009421C">
              <w:rPr>
                <w:rFonts w:ascii="Calibri" w:hAnsi="Calibri" w:cs="Calibri"/>
                <w:color w:val="000000"/>
                <w:sz w:val="18"/>
                <w:szCs w:val="18"/>
              </w:rPr>
              <w:t>Category 2</w:t>
            </w:r>
          </w:p>
          <w:p w14:paraId="61B9BE2E" w14:textId="55CF09FE"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(New PBS listing)</w:t>
            </w:r>
          </w:p>
        </w:tc>
        <w:tc>
          <w:tcPr>
            <w:tcW w:w="2082" w:type="dxa"/>
            <w:tcBorders>
              <w:top w:val="single" w:sz="4" w:space="0" w:color="auto"/>
              <w:left w:val="single" w:sz="4" w:space="0" w:color="auto"/>
              <w:bottom w:val="single" w:sz="4" w:space="0" w:color="auto"/>
              <w:right w:val="single" w:sz="4" w:space="0" w:color="auto"/>
            </w:tcBorders>
            <w:vAlign w:val="center"/>
          </w:tcPr>
          <w:p w14:paraId="6FC4B365" w14:textId="63C985A5"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Relapsing-remitting multiple sclerosis (RRMS)</w:t>
            </w:r>
          </w:p>
        </w:tc>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92FBBA" w14:textId="4518F484" w:rsidR="00B821C6" w:rsidRPr="0009421C" w:rsidRDefault="00B821C6" w:rsidP="00B821C6">
            <w:pPr>
              <w:jc w:val="center"/>
              <w:rPr>
                <w:rFonts w:asciiTheme="minorHAnsi" w:hAnsiTheme="minorHAnsi" w:cstheme="minorHAnsi"/>
                <w:sz w:val="18"/>
                <w:szCs w:val="18"/>
              </w:rPr>
            </w:pPr>
            <w:r w:rsidRPr="0009421C">
              <w:rPr>
                <w:rFonts w:ascii="Calibri" w:hAnsi="Calibri" w:cs="Calibri"/>
                <w:color w:val="000000"/>
                <w:sz w:val="18"/>
                <w:szCs w:val="18"/>
              </w:rPr>
              <w:t>To request a Section 100 (Highly Specialised Drugs Program) Authority Required (STREAMLINED) listing for the treatment of RRMS.</w:t>
            </w:r>
          </w:p>
        </w:tc>
        <w:tc>
          <w:tcPr>
            <w:tcW w:w="1701" w:type="dxa"/>
            <w:vAlign w:val="center"/>
          </w:tcPr>
          <w:p w14:paraId="71509397" w14:textId="6969432B" w:rsidR="00B821C6" w:rsidRPr="0009421C" w:rsidDel="008F66B5" w:rsidRDefault="00B821C6" w:rsidP="00402818">
            <w:pPr>
              <w:pStyle w:val="ListParagraph"/>
              <w:keepLines/>
              <w:ind w:left="0"/>
              <w:jc w:val="center"/>
              <w:rPr>
                <w:rFonts w:asciiTheme="minorHAnsi" w:hAnsiTheme="minorHAnsi" w:cstheme="minorHAnsi"/>
                <w:color w:val="000000"/>
                <w:sz w:val="18"/>
                <w:szCs w:val="18"/>
              </w:rPr>
            </w:pPr>
            <w:r w:rsidRPr="0009421C">
              <w:rPr>
                <w:rFonts w:ascii="Calibri" w:hAnsi="Calibri" w:cs="Calibri"/>
                <w:color w:val="000000"/>
                <w:sz w:val="18"/>
                <w:szCs w:val="18"/>
              </w:rPr>
              <w:t>Recommended</w:t>
            </w:r>
          </w:p>
        </w:tc>
        <w:tc>
          <w:tcPr>
            <w:tcW w:w="5686" w:type="dxa"/>
            <w:vAlign w:val="center"/>
          </w:tcPr>
          <w:p w14:paraId="653BBF49" w14:textId="1A4F76E1"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 xml:space="preserve">The PBAC recommended the </w:t>
            </w:r>
            <w:r w:rsidR="00385308">
              <w:rPr>
                <w:rFonts w:ascii="Calibri" w:hAnsi="Calibri" w:cs="Calibri"/>
                <w:color w:val="000000"/>
                <w:sz w:val="18"/>
                <w:szCs w:val="18"/>
              </w:rPr>
              <w:t xml:space="preserve">Section 100 (Highly Specialised Drugs Program) Authority Required (Streamlined) </w:t>
            </w:r>
            <w:r w:rsidRPr="0009421C">
              <w:rPr>
                <w:rFonts w:ascii="Calibri" w:hAnsi="Calibri" w:cs="Calibri"/>
                <w:color w:val="000000"/>
                <w:sz w:val="18"/>
                <w:szCs w:val="18"/>
              </w:rPr>
              <w:t>listing of ublituximab for the treatment of relapsing-remitting multiple sclerosis (RRMS). The PBAC’s recommendation for listing was based on, among other matters, its assessment that the cost-effectiveness of ublituximab would be acceptable if it had a cost per patient that was no more than the least costly alternative therapy available on the PBS for RRMS within the ‘higher’ efficacy tier (fingolimod, cladribine, ozanimod, natalizumab, alemtuzumab, ocrelizumab and ofatumumab).</w:t>
            </w:r>
          </w:p>
          <w:p w14:paraId="14872A02" w14:textId="77777777" w:rsidR="004243EB" w:rsidRDefault="004243EB" w:rsidP="0062577D">
            <w:pPr>
              <w:rPr>
                <w:rFonts w:ascii="Calibri" w:hAnsi="Calibri" w:cs="Calibri"/>
                <w:color w:val="000000"/>
                <w:sz w:val="18"/>
                <w:szCs w:val="18"/>
              </w:rPr>
            </w:pPr>
          </w:p>
          <w:p w14:paraId="1E706E37" w14:textId="0F892C13"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The PBAC noted the submission claimed ublituximab was superior in effectiveness to fingolimod and at least as effective as ofatumumab and ocrelizumab. However, the Committee considered there were significant uncertainties when comparing ublituximab with fingolimod and ocrelizumab. This was because there was no clinical trial data comparing ublituximab with these treatments directly so the comparison was based on a comparison that used other studies to link the data</w:t>
            </w:r>
            <w:r w:rsidR="00E56DF6">
              <w:rPr>
                <w:rFonts w:ascii="Calibri" w:hAnsi="Calibri" w:cs="Calibri"/>
                <w:color w:val="000000"/>
                <w:sz w:val="18"/>
                <w:szCs w:val="18"/>
              </w:rPr>
              <w:t>. S</w:t>
            </w:r>
            <w:r w:rsidRPr="0009421C">
              <w:rPr>
                <w:rFonts w:ascii="Calibri" w:hAnsi="Calibri" w:cs="Calibri"/>
                <w:color w:val="000000"/>
                <w:sz w:val="18"/>
                <w:szCs w:val="18"/>
              </w:rPr>
              <w:t xml:space="preserve">ome of these other studies had issues with how they were conducted which made the results less reliable, and those linking studies had additional issues. Therefore, the PBAC was not satisfied that the claim that ublituximab has superior effectiveness over fingolimod was adequately supported. </w:t>
            </w:r>
          </w:p>
          <w:p w14:paraId="09B3E5E2" w14:textId="77777777" w:rsidR="004243EB" w:rsidRDefault="004243EB" w:rsidP="0062577D">
            <w:pPr>
              <w:rPr>
                <w:rFonts w:ascii="Calibri" w:hAnsi="Calibri" w:cs="Calibri"/>
                <w:color w:val="000000"/>
                <w:sz w:val="18"/>
                <w:szCs w:val="18"/>
              </w:rPr>
            </w:pPr>
          </w:p>
          <w:p w14:paraId="2DD7F9F5" w14:textId="77777777" w:rsidR="004243EB" w:rsidRDefault="00B821C6" w:rsidP="0062577D">
            <w:pPr>
              <w:rPr>
                <w:rFonts w:ascii="Calibri" w:hAnsi="Calibri" w:cs="Calibri"/>
                <w:color w:val="000000"/>
                <w:sz w:val="18"/>
                <w:szCs w:val="18"/>
              </w:rPr>
            </w:pPr>
            <w:r w:rsidRPr="0009421C">
              <w:rPr>
                <w:rFonts w:ascii="Calibri" w:hAnsi="Calibri" w:cs="Calibri"/>
                <w:color w:val="000000"/>
                <w:sz w:val="18"/>
                <w:szCs w:val="18"/>
              </w:rPr>
              <w:t>However, the Committee considered four factors to be key to its deliberations:</w:t>
            </w:r>
          </w:p>
          <w:p w14:paraId="0C9D67AF" w14:textId="037A45D1" w:rsidR="004243EB" w:rsidRPr="000D5520" w:rsidRDefault="00B821C6" w:rsidP="0062577D">
            <w:pPr>
              <w:pStyle w:val="ListParagraph"/>
              <w:numPr>
                <w:ilvl w:val="0"/>
                <w:numId w:val="66"/>
              </w:numPr>
              <w:ind w:left="455"/>
              <w:rPr>
                <w:rFonts w:ascii="Calibri" w:hAnsi="Calibri" w:cs="Calibri"/>
                <w:color w:val="000000"/>
                <w:sz w:val="18"/>
                <w:szCs w:val="18"/>
              </w:rPr>
            </w:pPr>
            <w:r w:rsidRPr="000D5520">
              <w:rPr>
                <w:rFonts w:ascii="Calibri" w:hAnsi="Calibri" w:cs="Calibri"/>
                <w:color w:val="000000"/>
                <w:sz w:val="18"/>
                <w:szCs w:val="18"/>
              </w:rPr>
              <w:t>That the clinical trial evidence from the pivotal ublituximab trials (ULTIMATE I/II) supported a conclusion that ublituximab is likely superior in effectiveness compared to teriflunomide (an agent in the ‘lower’ efficacy tier);</w:t>
            </w:r>
          </w:p>
          <w:p w14:paraId="3501BC65" w14:textId="04D50CAA" w:rsidR="004243EB" w:rsidRPr="000D5520" w:rsidRDefault="00B821C6" w:rsidP="0062577D">
            <w:pPr>
              <w:pStyle w:val="ListParagraph"/>
              <w:numPr>
                <w:ilvl w:val="0"/>
                <w:numId w:val="66"/>
              </w:numPr>
              <w:ind w:left="455"/>
              <w:rPr>
                <w:rFonts w:ascii="Calibri" w:hAnsi="Calibri" w:cs="Calibri"/>
                <w:color w:val="000000"/>
                <w:sz w:val="18"/>
                <w:szCs w:val="18"/>
              </w:rPr>
            </w:pPr>
            <w:r w:rsidRPr="000D5520">
              <w:rPr>
                <w:rFonts w:ascii="Calibri" w:hAnsi="Calibri" w:cs="Calibri"/>
                <w:color w:val="000000"/>
                <w:sz w:val="18"/>
                <w:szCs w:val="18"/>
              </w:rPr>
              <w:t>That the comparison of ublituximab to ofatumumab was robust and supported a conclusion that ublituximab was similarly effective to ofatumumab, as it relied on a simpler indirect treatment comparison, based on high quality data from well-run clinical trials for both ublituximab (ULTIMATE I/II) and ofatumumab (ASCLEPIOS I/II);</w:t>
            </w:r>
          </w:p>
          <w:p w14:paraId="45CB1BDB" w14:textId="0ABCE721" w:rsidR="004243EB" w:rsidRPr="000D5520" w:rsidRDefault="00B821C6" w:rsidP="0062577D">
            <w:pPr>
              <w:pStyle w:val="ListParagraph"/>
              <w:numPr>
                <w:ilvl w:val="0"/>
                <w:numId w:val="66"/>
              </w:numPr>
              <w:ind w:left="455"/>
              <w:rPr>
                <w:rFonts w:ascii="Calibri" w:hAnsi="Calibri" w:cs="Calibri"/>
                <w:color w:val="000000"/>
                <w:sz w:val="18"/>
                <w:szCs w:val="18"/>
              </w:rPr>
            </w:pPr>
            <w:r w:rsidRPr="000D5520">
              <w:rPr>
                <w:rFonts w:ascii="Calibri" w:hAnsi="Calibri" w:cs="Calibri"/>
                <w:color w:val="000000"/>
                <w:sz w:val="18"/>
                <w:szCs w:val="18"/>
              </w:rPr>
              <w:t>The PBAC recalled it had considered a submission for ofatumumab in March 2024 that</w:t>
            </w:r>
            <w:r w:rsidR="00CD751E">
              <w:rPr>
                <w:rFonts w:ascii="Calibri" w:hAnsi="Calibri" w:cs="Calibri"/>
                <w:color w:val="000000"/>
                <w:sz w:val="18"/>
                <w:szCs w:val="18"/>
              </w:rPr>
              <w:t xml:space="preserve"> claimed</w:t>
            </w:r>
            <w:r w:rsidRPr="000D5520">
              <w:rPr>
                <w:rFonts w:ascii="Calibri" w:hAnsi="Calibri" w:cs="Calibri"/>
                <w:color w:val="000000"/>
                <w:sz w:val="18"/>
                <w:szCs w:val="18"/>
              </w:rPr>
              <w:t xml:space="preserve"> superior effectiveness over fingolimod and requested the formation of a third (‘mid’) efficacy tier in RRMS and that it did not accept either of those claims/requests. The PBAC further noted the underlying fingolimod evidence and linking studies to inform the ofatumumab and ublituximab comparisons </w:t>
            </w:r>
            <w:r w:rsidRPr="000D5520">
              <w:rPr>
                <w:rFonts w:ascii="Calibri" w:hAnsi="Calibri" w:cs="Calibri"/>
                <w:color w:val="000000"/>
                <w:sz w:val="18"/>
                <w:szCs w:val="18"/>
              </w:rPr>
              <w:lastRenderedPageBreak/>
              <w:t>were essentially the same in both submissions, so the claims of superiority compared to fingolimod for both ofatumumab and ublituximab were similarly uncertain and unreliable; and</w:t>
            </w:r>
          </w:p>
          <w:p w14:paraId="2460050B" w14:textId="2CC468F6" w:rsidR="004243EB" w:rsidRPr="000D5520" w:rsidRDefault="00B821C6" w:rsidP="0062577D">
            <w:pPr>
              <w:pStyle w:val="ListParagraph"/>
              <w:numPr>
                <w:ilvl w:val="0"/>
                <w:numId w:val="66"/>
              </w:numPr>
              <w:ind w:left="455"/>
              <w:rPr>
                <w:rFonts w:ascii="Calibri" w:hAnsi="Calibri" w:cs="Calibri"/>
                <w:color w:val="000000"/>
                <w:sz w:val="18"/>
                <w:szCs w:val="18"/>
              </w:rPr>
            </w:pPr>
            <w:r w:rsidRPr="000D5520">
              <w:rPr>
                <w:rFonts w:ascii="Calibri" w:hAnsi="Calibri" w:cs="Calibri"/>
                <w:color w:val="000000"/>
                <w:sz w:val="18"/>
                <w:szCs w:val="18"/>
              </w:rPr>
              <w:t xml:space="preserve">These issues notwithstanding, the PBAC considered that as, in its view, ublituximab was similarly effective to ofatumumab, it was reasonable to extend similar therapeutic relativities for ublituximab to the other higher efficacy tier RRMS therapies consistent for those established with ofatumumab when it first recommended ofatumumab in March 2021. </w:t>
            </w:r>
          </w:p>
          <w:p w14:paraId="3FAE6979" w14:textId="77777777" w:rsidR="004243EB" w:rsidRDefault="004243EB" w:rsidP="0062577D">
            <w:pPr>
              <w:rPr>
                <w:rFonts w:ascii="Calibri" w:hAnsi="Calibri" w:cs="Calibri"/>
                <w:color w:val="000000"/>
                <w:sz w:val="18"/>
                <w:szCs w:val="18"/>
              </w:rPr>
            </w:pPr>
          </w:p>
          <w:p w14:paraId="3B3B0A75" w14:textId="12AE3185" w:rsidR="00B821C6" w:rsidRPr="0009421C" w:rsidDel="008F66B5" w:rsidRDefault="00B821C6" w:rsidP="0062577D">
            <w:pPr>
              <w:rPr>
                <w:rFonts w:asciiTheme="minorHAnsi" w:hAnsiTheme="minorHAnsi" w:cstheme="minorHAnsi"/>
                <w:sz w:val="18"/>
                <w:szCs w:val="18"/>
              </w:rPr>
            </w:pPr>
            <w:r w:rsidRPr="0009421C">
              <w:rPr>
                <w:rFonts w:ascii="Calibri" w:hAnsi="Calibri" w:cs="Calibri"/>
                <w:color w:val="000000"/>
                <w:sz w:val="18"/>
                <w:szCs w:val="18"/>
              </w:rPr>
              <w:t>Based on the above, the PBAC considered it was appropriate for ublituximab to be listed only on a cost minimisation basis with the least costly alternative higher efficacy tier therapy for RRMS, including fingolimod.</w:t>
            </w:r>
          </w:p>
        </w:tc>
      </w:tr>
    </w:tbl>
    <w:p w14:paraId="4A41EC12" w14:textId="253D6618" w:rsidR="00C04E0F" w:rsidRDefault="00C04E0F"/>
    <w:p w14:paraId="03350CEC" w14:textId="6BB6BE43" w:rsidR="00C04E0F" w:rsidRPr="004F3C8C" w:rsidRDefault="6CADB218" w:rsidP="128117E3">
      <w:pPr>
        <w:rPr>
          <w:rFonts w:ascii="Calibri" w:hAnsi="Calibri" w:cs="Calibri"/>
          <w:i/>
          <w:iCs/>
        </w:rPr>
      </w:pPr>
      <w:r w:rsidRPr="004F3C8C">
        <w:rPr>
          <w:rFonts w:ascii="Calibri" w:hAnsi="Calibri" w:cs="Calibri"/>
          <w:i/>
          <w:iCs/>
        </w:rPr>
        <w:t>Other agenda items</w:t>
      </w:r>
    </w:p>
    <w:p w14:paraId="39864CE5" w14:textId="77777777" w:rsidR="00F82211" w:rsidRDefault="00F8221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970"/>
        <w:gridCol w:w="1419"/>
        <w:gridCol w:w="2268"/>
        <w:gridCol w:w="8731"/>
      </w:tblGrid>
      <w:tr w:rsidR="00F80034" w:rsidRPr="0009421C" w:rsidDel="008F66B5" w14:paraId="4E7C7F21" w14:textId="77777777" w:rsidTr="128117E3">
        <w:trPr>
          <w:trHeight w:val="20"/>
          <w:tblHeader/>
          <w:jc w:val="center"/>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E50B82" w14:textId="539CD85F" w:rsidR="00C04E0F" w:rsidRPr="0009421C" w:rsidRDefault="0F60CC91" w:rsidP="00A169D1">
            <w:pPr>
              <w:jc w:val="center"/>
              <w:rPr>
                <w:rFonts w:ascii="Calibri" w:hAnsi="Calibri" w:cs="Calibri"/>
                <w:color w:val="000000"/>
                <w:sz w:val="18"/>
                <w:szCs w:val="18"/>
              </w:rPr>
            </w:pPr>
            <w:r w:rsidRPr="128117E3">
              <w:rPr>
                <w:rFonts w:asciiTheme="minorHAnsi" w:hAnsiTheme="minorHAnsi" w:cstheme="minorBidi"/>
                <w:b/>
                <w:bCs/>
                <w:sz w:val="18"/>
                <w:szCs w:val="18"/>
              </w:rPr>
              <w:t>AGENDA ITEM</w:t>
            </w:r>
            <w:r w:rsidR="40D30662" w:rsidRPr="128117E3">
              <w:rPr>
                <w:rFonts w:asciiTheme="minorHAnsi" w:hAnsiTheme="minorHAnsi" w:cstheme="minorBidi"/>
                <w:b/>
                <w:bCs/>
                <w:sz w:val="18"/>
                <w:szCs w:val="18"/>
              </w:rPr>
              <w:t xml:space="preserve">, FORM(S), STRENGTH(S), SPONSOR, TYPE OF </w:t>
            </w:r>
            <w:r w:rsidR="6CADB218" w:rsidRPr="128117E3">
              <w:rPr>
                <w:rFonts w:asciiTheme="minorHAnsi" w:hAnsiTheme="minorHAnsi" w:cstheme="minorBidi"/>
                <w:b/>
                <w:bCs/>
                <w:sz w:val="18"/>
                <w:szCs w:val="18"/>
              </w:rPr>
              <w:t>AGENDA ITEM</w:t>
            </w:r>
          </w:p>
        </w:tc>
        <w:tc>
          <w:tcPr>
            <w:tcW w:w="461" w:type="pct"/>
            <w:tcBorders>
              <w:top w:val="single" w:sz="4" w:space="0" w:color="auto"/>
              <w:left w:val="single" w:sz="4" w:space="0" w:color="auto"/>
              <w:bottom w:val="single" w:sz="4" w:space="0" w:color="auto"/>
              <w:right w:val="single" w:sz="4" w:space="0" w:color="auto"/>
            </w:tcBorders>
            <w:vAlign w:val="center"/>
          </w:tcPr>
          <w:p w14:paraId="0AF75DF6" w14:textId="09994774" w:rsidR="00C04E0F" w:rsidRPr="0009421C" w:rsidRDefault="00C04E0F" w:rsidP="00A169D1">
            <w:pPr>
              <w:jc w:val="center"/>
              <w:rPr>
                <w:rFonts w:ascii="Calibri" w:hAnsi="Calibri" w:cs="Calibri"/>
                <w:color w:val="000000"/>
                <w:sz w:val="18"/>
                <w:szCs w:val="18"/>
              </w:rPr>
            </w:pPr>
            <w:r w:rsidRPr="0004054A">
              <w:rPr>
                <w:rFonts w:asciiTheme="minorHAnsi" w:hAnsiTheme="minorHAnsi" w:cstheme="minorHAnsi"/>
                <w:b/>
                <w:sz w:val="18"/>
                <w:szCs w:val="18"/>
              </w:rPr>
              <w:t>DRUG TYPE AND USE</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DC67C7" w14:textId="4F8AA37C" w:rsidR="00C04E0F" w:rsidRPr="0009421C" w:rsidRDefault="40D30662" w:rsidP="00A169D1">
            <w:pPr>
              <w:jc w:val="center"/>
              <w:rPr>
                <w:rFonts w:ascii="Calibri" w:hAnsi="Calibri" w:cs="Calibri"/>
                <w:color w:val="000000"/>
                <w:sz w:val="18"/>
                <w:szCs w:val="18"/>
              </w:rPr>
            </w:pPr>
            <w:r w:rsidRPr="128117E3">
              <w:rPr>
                <w:rFonts w:asciiTheme="minorHAnsi" w:hAnsiTheme="minorHAnsi" w:cstheme="minorBidi"/>
                <w:b/>
                <w:bCs/>
                <w:sz w:val="18"/>
                <w:szCs w:val="18"/>
              </w:rPr>
              <w:t xml:space="preserve">PURPOSE OF </w:t>
            </w:r>
            <w:r w:rsidR="6CADB218" w:rsidRPr="128117E3">
              <w:rPr>
                <w:rFonts w:asciiTheme="minorHAnsi" w:hAnsiTheme="minorHAnsi" w:cstheme="minorBidi"/>
                <w:b/>
                <w:bCs/>
                <w:sz w:val="18"/>
                <w:szCs w:val="18"/>
              </w:rPr>
              <w:t>AGENDA ITEM</w:t>
            </w:r>
          </w:p>
        </w:tc>
        <w:tc>
          <w:tcPr>
            <w:tcW w:w="2837" w:type="pct"/>
            <w:vAlign w:val="center"/>
          </w:tcPr>
          <w:p w14:paraId="78862D15" w14:textId="1A3B64D2" w:rsidR="00C04E0F" w:rsidRPr="0009421C" w:rsidRDefault="00C04E0F" w:rsidP="00A169D1">
            <w:pPr>
              <w:jc w:val="both"/>
              <w:rPr>
                <w:rFonts w:ascii="Calibri" w:hAnsi="Calibri" w:cs="Calibri"/>
                <w:color w:val="000000"/>
                <w:sz w:val="18"/>
                <w:szCs w:val="18"/>
              </w:rPr>
            </w:pPr>
            <w:r w:rsidRPr="0004054A">
              <w:rPr>
                <w:rFonts w:asciiTheme="minorHAnsi" w:hAnsiTheme="minorHAnsi" w:cstheme="minorHAnsi"/>
                <w:b/>
                <w:sz w:val="18"/>
                <w:szCs w:val="18"/>
              </w:rPr>
              <w:t>PBAC OUTCOME</w:t>
            </w:r>
          </w:p>
        </w:tc>
      </w:tr>
      <w:tr w:rsidR="00F80034" w:rsidRPr="0009421C" w:rsidDel="008F66B5" w14:paraId="13225EF2" w14:textId="399D688C" w:rsidTr="128117E3">
        <w:trPr>
          <w:trHeight w:val="20"/>
          <w:jc w:val="center"/>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830B06"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ATAGI Recommendations regarding the Paediatric Pneumococcal Schedule</w:t>
            </w:r>
          </w:p>
          <w:p w14:paraId="3C94B43B" w14:textId="77777777" w:rsidR="004243EB" w:rsidRDefault="004243EB" w:rsidP="00A169D1">
            <w:pPr>
              <w:jc w:val="center"/>
              <w:rPr>
                <w:rFonts w:ascii="Calibri" w:hAnsi="Calibri" w:cs="Calibri"/>
                <w:color w:val="000000"/>
                <w:sz w:val="18"/>
                <w:szCs w:val="18"/>
              </w:rPr>
            </w:pPr>
          </w:p>
          <w:p w14:paraId="4E967F1A"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Multiple forms and strengths</w:t>
            </w:r>
          </w:p>
          <w:p w14:paraId="0008FE73" w14:textId="77777777" w:rsidR="004243EB" w:rsidRDefault="004243EB" w:rsidP="00A169D1">
            <w:pPr>
              <w:jc w:val="center"/>
              <w:rPr>
                <w:rFonts w:ascii="Calibri" w:hAnsi="Calibri" w:cs="Calibri"/>
                <w:color w:val="000000"/>
                <w:sz w:val="18"/>
                <w:szCs w:val="18"/>
              </w:rPr>
            </w:pPr>
          </w:p>
          <w:p w14:paraId="14A3BDAB"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Multiple brands</w:t>
            </w:r>
          </w:p>
          <w:p w14:paraId="41C81346" w14:textId="77777777" w:rsidR="004243EB" w:rsidRDefault="004243EB" w:rsidP="00A169D1">
            <w:pPr>
              <w:jc w:val="center"/>
              <w:rPr>
                <w:rFonts w:ascii="Calibri" w:hAnsi="Calibri" w:cs="Calibri"/>
                <w:color w:val="000000"/>
                <w:sz w:val="18"/>
                <w:szCs w:val="18"/>
              </w:rPr>
            </w:pPr>
          </w:p>
          <w:p w14:paraId="70944604"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MSD and Pfizer</w:t>
            </w:r>
          </w:p>
          <w:p w14:paraId="0602F687" w14:textId="77777777" w:rsidR="004243EB" w:rsidRDefault="004243EB" w:rsidP="00A169D1">
            <w:pPr>
              <w:jc w:val="center"/>
              <w:rPr>
                <w:rFonts w:ascii="Calibri" w:hAnsi="Calibri" w:cs="Calibri"/>
                <w:color w:val="000000"/>
                <w:sz w:val="18"/>
                <w:szCs w:val="18"/>
              </w:rPr>
            </w:pPr>
          </w:p>
          <w:p w14:paraId="52B2EFEF" w14:textId="034EEDBC"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(Other matters)</w:t>
            </w:r>
          </w:p>
        </w:tc>
        <w:tc>
          <w:tcPr>
            <w:tcW w:w="461" w:type="pct"/>
            <w:tcBorders>
              <w:top w:val="single" w:sz="4" w:space="0" w:color="auto"/>
              <w:left w:val="single" w:sz="4" w:space="0" w:color="auto"/>
              <w:bottom w:val="single" w:sz="4" w:space="0" w:color="auto"/>
              <w:right w:val="single" w:sz="4" w:space="0" w:color="auto"/>
            </w:tcBorders>
            <w:vAlign w:val="center"/>
          </w:tcPr>
          <w:p w14:paraId="08DE0F92" w14:textId="3AA43978"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Pneumococcal disease</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67762D0" w14:textId="493D8483"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To consider and endorse ATAGI recommendations for an updated Paediatric Pneumococcal Schedule.</w:t>
            </w:r>
          </w:p>
        </w:tc>
        <w:tc>
          <w:tcPr>
            <w:tcW w:w="2837" w:type="pct"/>
            <w:vAlign w:val="center"/>
          </w:tcPr>
          <w:p w14:paraId="2996D097" w14:textId="77777777" w:rsidR="002A2246"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The PBAC noted the updated Australian Technical Advisory Group on Immunisation (ATAGI) recommendations for the paediatric pneumococcal immunisation schedule on the NIP for those aged 17 years and under. The PBAC noted that its consideration of the vaccines was limited to the specific changes to the NIP schedule that were requested by the ATAGI. The PBAC recommended it would be appropriate to remove restrictions regarding location in specific states and territories in the listings for Aboriginal and Torres Strait Islander children receiving the three primary and a booster dose (3+1 schedule). The PBAC considered the changes would reduce ambiguity in the schedule, especially for patients residing close to state borders; will reduce administrative burden for prescribers; and provide equitable access to Aboriginal and Torres Strait Islander children nationally.</w:t>
            </w:r>
          </w:p>
          <w:p w14:paraId="3C33A8AF" w14:textId="77777777" w:rsidR="002A2246" w:rsidRDefault="002A2246" w:rsidP="00A169D1">
            <w:pPr>
              <w:jc w:val="both"/>
              <w:rPr>
                <w:rFonts w:ascii="Calibri" w:hAnsi="Calibri" w:cs="Calibri"/>
                <w:color w:val="000000"/>
                <w:sz w:val="18"/>
                <w:szCs w:val="18"/>
              </w:rPr>
            </w:pPr>
          </w:p>
          <w:p w14:paraId="1F9786FD" w14:textId="24DB0D8E" w:rsidR="00C04E0F" w:rsidRPr="0009421C" w:rsidDel="008F66B5" w:rsidRDefault="00C04E0F" w:rsidP="00A169D1">
            <w:pPr>
              <w:jc w:val="both"/>
              <w:rPr>
                <w:rFonts w:asciiTheme="minorHAnsi" w:hAnsiTheme="minorHAnsi" w:cstheme="minorBidi"/>
                <w:color w:val="000000"/>
                <w:sz w:val="18"/>
                <w:szCs w:val="18"/>
              </w:rPr>
            </w:pPr>
            <w:r w:rsidRPr="0009421C">
              <w:rPr>
                <w:rFonts w:ascii="Calibri" w:hAnsi="Calibri" w:cs="Calibri"/>
                <w:color w:val="000000"/>
                <w:sz w:val="18"/>
                <w:szCs w:val="18"/>
              </w:rPr>
              <w:t>The PBAC also noted the ATAGI’s advice recommending the removal of the 23-valent pneumococcal polysaccharide vaccine (23vPPV) from the paediatric pneumococcal schedule when 20-valent pneumococcal conjugate vaccine (20vPCV) is used. The PBAC considered the 20vPCV vaccine would remain suitably cost-effective should the proposed changes to the schedule recommended by the ATAGI be implemented.</w:t>
            </w:r>
          </w:p>
        </w:tc>
      </w:tr>
      <w:tr w:rsidR="00F80034" w:rsidRPr="0009421C" w:rsidDel="008F66B5" w14:paraId="22F54673" w14:textId="68264969" w:rsidTr="128117E3">
        <w:trPr>
          <w:cantSplit/>
          <w:trHeight w:val="20"/>
          <w:jc w:val="center"/>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D4DBC9C"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lastRenderedPageBreak/>
              <w:t>Review of antiepileptic drugs (AEDs)</w:t>
            </w:r>
          </w:p>
          <w:p w14:paraId="3066F086" w14:textId="77777777" w:rsidR="004243EB" w:rsidRDefault="004243EB" w:rsidP="00A169D1">
            <w:pPr>
              <w:jc w:val="center"/>
              <w:rPr>
                <w:rFonts w:ascii="Calibri" w:hAnsi="Calibri" w:cs="Calibri"/>
                <w:color w:val="000000"/>
                <w:sz w:val="18"/>
                <w:szCs w:val="18"/>
              </w:rPr>
            </w:pPr>
          </w:p>
          <w:p w14:paraId="677F3C3B"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Multiple Forms</w:t>
            </w:r>
          </w:p>
          <w:p w14:paraId="23229911" w14:textId="77777777" w:rsidR="004243EB" w:rsidRDefault="004243EB" w:rsidP="00A169D1">
            <w:pPr>
              <w:jc w:val="center"/>
              <w:rPr>
                <w:rFonts w:ascii="Calibri" w:hAnsi="Calibri" w:cs="Calibri"/>
                <w:color w:val="000000"/>
                <w:sz w:val="18"/>
                <w:szCs w:val="18"/>
              </w:rPr>
            </w:pPr>
          </w:p>
          <w:p w14:paraId="7C598EA1"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Multiple Brands</w:t>
            </w:r>
          </w:p>
          <w:p w14:paraId="2A401BF8" w14:textId="77777777" w:rsidR="004243EB" w:rsidRDefault="004243EB" w:rsidP="00A169D1">
            <w:pPr>
              <w:jc w:val="center"/>
              <w:rPr>
                <w:rFonts w:ascii="Calibri" w:hAnsi="Calibri" w:cs="Calibri"/>
                <w:color w:val="000000"/>
                <w:sz w:val="18"/>
                <w:szCs w:val="18"/>
              </w:rPr>
            </w:pPr>
          </w:p>
          <w:p w14:paraId="0E6548C0"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t>Multiple Sponsors</w:t>
            </w:r>
          </w:p>
          <w:p w14:paraId="6C120804" w14:textId="77777777" w:rsidR="004243EB" w:rsidRDefault="004243EB" w:rsidP="00A169D1">
            <w:pPr>
              <w:jc w:val="center"/>
              <w:rPr>
                <w:rFonts w:ascii="Calibri" w:hAnsi="Calibri" w:cs="Calibri"/>
                <w:color w:val="000000"/>
                <w:sz w:val="18"/>
                <w:szCs w:val="18"/>
              </w:rPr>
            </w:pPr>
          </w:p>
          <w:p w14:paraId="06EE2365" w14:textId="51A3D3F2"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 xml:space="preserve">(PBS </w:t>
            </w:r>
            <w:r w:rsidR="002371B1" w:rsidRPr="0009421C">
              <w:rPr>
                <w:rFonts w:ascii="Calibri" w:hAnsi="Calibri" w:cs="Calibri"/>
                <w:color w:val="000000"/>
                <w:sz w:val="18"/>
                <w:szCs w:val="18"/>
              </w:rPr>
              <w:t>Post-market review</w:t>
            </w:r>
            <w:r w:rsidRPr="0009421C">
              <w:rPr>
                <w:rFonts w:ascii="Calibri" w:hAnsi="Calibri" w:cs="Calibri"/>
                <w:color w:val="000000"/>
                <w:sz w:val="18"/>
                <w:szCs w:val="18"/>
              </w:rPr>
              <w:t>)</w:t>
            </w:r>
          </w:p>
        </w:tc>
        <w:tc>
          <w:tcPr>
            <w:tcW w:w="461" w:type="pct"/>
            <w:tcBorders>
              <w:top w:val="single" w:sz="4" w:space="0" w:color="auto"/>
              <w:left w:val="single" w:sz="4" w:space="0" w:color="auto"/>
              <w:bottom w:val="single" w:sz="4" w:space="0" w:color="auto"/>
              <w:right w:val="single" w:sz="4" w:space="0" w:color="auto"/>
            </w:tcBorders>
            <w:vAlign w:val="center"/>
          </w:tcPr>
          <w:p w14:paraId="299E0385" w14:textId="3801EB21"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Epilepsy</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8F7ACD" w14:textId="3CA621C3" w:rsidR="00C04E0F" w:rsidRPr="0009421C" w:rsidRDefault="00C04E0F" w:rsidP="00A169D1">
            <w:pPr>
              <w:jc w:val="center"/>
              <w:rPr>
                <w:rFonts w:asciiTheme="minorHAnsi" w:hAnsiTheme="minorHAnsi" w:cstheme="minorHAnsi"/>
                <w:sz w:val="18"/>
                <w:szCs w:val="18"/>
              </w:rPr>
            </w:pPr>
            <w:r w:rsidRPr="0009421C">
              <w:rPr>
                <w:rFonts w:ascii="Calibri" w:hAnsi="Calibri" w:cs="Calibri"/>
                <w:color w:val="000000"/>
                <w:sz w:val="18"/>
                <w:szCs w:val="18"/>
              </w:rPr>
              <w:t>To consider amending the current PBS listings for the second-line AEDs, levetiracetam (LEV) and lamotrigine (LTG), to allow their first-line use in the general Australian population with epilepsy.</w:t>
            </w:r>
          </w:p>
        </w:tc>
        <w:tc>
          <w:tcPr>
            <w:tcW w:w="2837" w:type="pct"/>
            <w:tcBorders>
              <w:top w:val="single" w:sz="4" w:space="0" w:color="auto"/>
              <w:left w:val="single" w:sz="4" w:space="0" w:color="auto"/>
              <w:bottom w:val="single" w:sz="4" w:space="0" w:color="auto"/>
              <w:right w:val="single" w:sz="4" w:space="0" w:color="auto"/>
            </w:tcBorders>
            <w:vAlign w:val="center"/>
          </w:tcPr>
          <w:p w14:paraId="44E2AC3D" w14:textId="6A4FBE20" w:rsidR="003E26E3"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 xml:space="preserve">The PBAC noted the pre-sub-committee responses and pre-PBAC responses received from sponsors, </w:t>
            </w:r>
            <w:r w:rsidR="00A12B3D" w:rsidRPr="0009421C">
              <w:rPr>
                <w:rFonts w:ascii="Calibri" w:hAnsi="Calibri" w:cs="Calibri"/>
                <w:color w:val="000000"/>
                <w:sz w:val="18"/>
                <w:szCs w:val="18"/>
              </w:rPr>
              <w:t>stakeholders,</w:t>
            </w:r>
            <w:r w:rsidRPr="0009421C">
              <w:rPr>
                <w:rFonts w:ascii="Calibri" w:hAnsi="Calibri" w:cs="Calibri"/>
                <w:color w:val="000000"/>
                <w:sz w:val="18"/>
                <w:szCs w:val="18"/>
              </w:rPr>
              <w:t xml:space="preserve"> and individual clinicians.</w:t>
            </w:r>
          </w:p>
          <w:p w14:paraId="777F83DE" w14:textId="77777777" w:rsidR="003E26E3" w:rsidRDefault="003E26E3" w:rsidP="00A169D1">
            <w:pPr>
              <w:jc w:val="both"/>
              <w:rPr>
                <w:rFonts w:ascii="Calibri" w:hAnsi="Calibri" w:cs="Calibri"/>
                <w:color w:val="000000"/>
                <w:sz w:val="18"/>
                <w:szCs w:val="18"/>
              </w:rPr>
            </w:pPr>
          </w:p>
          <w:p w14:paraId="0968344C" w14:textId="77777777" w:rsidR="003E26E3"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Overall, the PBAC accepted the key findings from the Review of AEDs including the estimates of cost to the PBS of allowing first-line use of LEV and LTG in the general Australian population with epilepsy (the “proposed listings”).</w:t>
            </w:r>
          </w:p>
          <w:p w14:paraId="21A3615C" w14:textId="77777777" w:rsidR="003E26E3" w:rsidRDefault="003E26E3" w:rsidP="00A169D1">
            <w:pPr>
              <w:jc w:val="both"/>
              <w:rPr>
                <w:rFonts w:ascii="Calibri" w:hAnsi="Calibri" w:cs="Calibri"/>
                <w:color w:val="000000"/>
                <w:sz w:val="18"/>
                <w:szCs w:val="18"/>
              </w:rPr>
            </w:pPr>
          </w:p>
          <w:p w14:paraId="39B75E67" w14:textId="77777777" w:rsidR="003E26E3"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 xml:space="preserve">The PBAC noted the findings of the review of clinical guidelines that two Australian guidelines and most international guidelines recommend LEV and/or LTG as first-line antiseizure medications in adults with focal and/or generalised seizures. </w:t>
            </w:r>
          </w:p>
          <w:p w14:paraId="6B2D1E10" w14:textId="77777777" w:rsidR="003E26E3" w:rsidRDefault="003E26E3" w:rsidP="00A169D1">
            <w:pPr>
              <w:jc w:val="both"/>
              <w:rPr>
                <w:rFonts w:ascii="Calibri" w:hAnsi="Calibri" w:cs="Calibri"/>
                <w:color w:val="000000"/>
                <w:sz w:val="18"/>
                <w:szCs w:val="18"/>
              </w:rPr>
            </w:pPr>
          </w:p>
          <w:p w14:paraId="474985DD" w14:textId="77777777" w:rsidR="003E26E3"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The PBAC considered the estimated cost to the R/PBS of allowing first-line use of LEV and LTG in the general Australian population with epilepsy was reasonable ($1.2 million in 2025 increasing to $4.4 million in 2030). In addition, the proposed listings were expected to have a minimal impact on the utilisation of the more expensive third-line antiseizure medications.</w:t>
            </w:r>
          </w:p>
          <w:p w14:paraId="0EE3B08B" w14:textId="77777777" w:rsidR="003E26E3" w:rsidRDefault="003E26E3" w:rsidP="00A169D1">
            <w:pPr>
              <w:jc w:val="both"/>
              <w:rPr>
                <w:rFonts w:ascii="Calibri" w:hAnsi="Calibri" w:cs="Calibri"/>
                <w:color w:val="000000"/>
                <w:sz w:val="18"/>
                <w:szCs w:val="18"/>
              </w:rPr>
            </w:pPr>
          </w:p>
          <w:p w14:paraId="064D7F95" w14:textId="77777777" w:rsidR="004243EB"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 xml:space="preserve">The PBAC also noted the utilisation analysis of the private market which was used to estimate the current extent of private (non-PBS) use of LEV and LTG, and agreed the private market for LTG appears to be significantly larger than LEV; likely due to LTG use in conditions such as bipolar disorder and trigeminal neuralgia. </w:t>
            </w:r>
          </w:p>
          <w:p w14:paraId="14E7E975" w14:textId="77777777" w:rsidR="004243EB"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The PBAC considered that while the cost-effectiveness of LEV and LTG as first-line agents for epilepsy had not been formally established by the Review, it was likely that these medicines now provide comparable value for money in this setting due to decreasing prices and improved safety/tolerability over older first-line antiseizure medications. The PBAC noted that the market for LEV and LTG was highly genericised which would assist in mitigating financial risk.</w:t>
            </w:r>
          </w:p>
          <w:p w14:paraId="6B5B1FB9" w14:textId="77777777" w:rsidR="004243EB" w:rsidRDefault="004243EB" w:rsidP="00A169D1">
            <w:pPr>
              <w:jc w:val="both"/>
              <w:rPr>
                <w:rFonts w:ascii="Calibri" w:hAnsi="Calibri" w:cs="Calibri"/>
                <w:color w:val="000000"/>
                <w:sz w:val="18"/>
                <w:szCs w:val="18"/>
              </w:rPr>
            </w:pPr>
          </w:p>
          <w:p w14:paraId="32766061" w14:textId="77777777" w:rsidR="004243EB"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The PBAC recommended amending the PBS restrictions for LEV (tablets and liquid forms) and LTG (tablets) to Restricted Benefit listings for “epileptic seizures” and removal of the following clinical criteria from the current listings: “The condition must have failed to be controlled satisfactorily by other anti-epileptic drugs; OR Patient must be a woman of childbearing potential.” This restriction change will allow the subsidised first-line use of these medicines in the general Australian population with epilepsy.</w:t>
            </w:r>
          </w:p>
          <w:p w14:paraId="243EF936" w14:textId="77777777" w:rsidR="004243EB" w:rsidRDefault="00C04E0F" w:rsidP="00A169D1">
            <w:pPr>
              <w:jc w:val="both"/>
              <w:rPr>
                <w:rFonts w:ascii="Calibri" w:hAnsi="Calibri" w:cs="Calibri"/>
                <w:color w:val="000000"/>
                <w:sz w:val="18"/>
                <w:szCs w:val="18"/>
              </w:rPr>
            </w:pPr>
            <w:r w:rsidRPr="0009421C">
              <w:rPr>
                <w:rFonts w:ascii="Calibri" w:hAnsi="Calibri" w:cs="Calibri"/>
                <w:color w:val="000000"/>
                <w:sz w:val="18"/>
                <w:szCs w:val="18"/>
              </w:rPr>
              <w:t>The PBAC recommended the terms “focal onset seizures” replace “partial seizures” and “antiseizure medication/s” replace "anti-epileptic drug/s” to avoid prescriber confusion, and that this change should be flowed on to the terminology used in all other PBS restrictions including second- and third-line antiseizure medications.</w:t>
            </w:r>
          </w:p>
          <w:p w14:paraId="474AE4BD" w14:textId="77777777" w:rsidR="004243EB" w:rsidRDefault="004243EB" w:rsidP="00A169D1">
            <w:pPr>
              <w:jc w:val="both"/>
              <w:rPr>
                <w:rFonts w:ascii="Calibri" w:hAnsi="Calibri" w:cs="Calibri"/>
                <w:color w:val="000000"/>
                <w:sz w:val="18"/>
                <w:szCs w:val="18"/>
              </w:rPr>
            </w:pPr>
          </w:p>
          <w:p w14:paraId="06FFEB5F" w14:textId="74690C17" w:rsidR="00C04E0F" w:rsidRPr="0009421C" w:rsidDel="008F66B5" w:rsidRDefault="00C04E0F" w:rsidP="00A169D1">
            <w:pPr>
              <w:jc w:val="both"/>
              <w:rPr>
                <w:rFonts w:asciiTheme="minorHAnsi" w:hAnsiTheme="minorHAnsi" w:cstheme="minorHAnsi"/>
                <w:color w:val="000000"/>
                <w:sz w:val="18"/>
                <w:szCs w:val="18"/>
              </w:rPr>
            </w:pPr>
            <w:r w:rsidRPr="0009421C">
              <w:rPr>
                <w:rFonts w:ascii="Calibri" w:hAnsi="Calibri" w:cs="Calibri"/>
                <w:color w:val="000000"/>
                <w:sz w:val="18"/>
                <w:szCs w:val="18"/>
              </w:rPr>
              <w:t>The PBAC considered there may be an unmet need to subsidise LTG</w:t>
            </w:r>
            <w:r w:rsidR="00BB07C5">
              <w:rPr>
                <w:rFonts w:ascii="Calibri" w:hAnsi="Calibri" w:cs="Calibri"/>
                <w:color w:val="000000"/>
                <w:sz w:val="18"/>
                <w:szCs w:val="18"/>
              </w:rPr>
              <w:t xml:space="preserve"> </w:t>
            </w:r>
            <w:r w:rsidRPr="0009421C">
              <w:rPr>
                <w:rFonts w:ascii="Calibri" w:hAnsi="Calibri" w:cs="Calibri"/>
                <w:color w:val="000000"/>
                <w:sz w:val="18"/>
                <w:szCs w:val="18"/>
              </w:rPr>
              <w:t>for mental illnesses such as bipolar disorder. The PBAC recommended in principle extending subsidy of LTG to this indication and requested that the Department undertake further work to estimate the cost to the R/PBS of a separate Restricted Benefit listing for LTG for bipolar disorder for its consideration at a future meeting.</w:t>
            </w:r>
          </w:p>
        </w:tc>
      </w:tr>
      <w:tr w:rsidR="00F80034" w:rsidRPr="0009421C" w:rsidDel="008F66B5" w14:paraId="4F8DF70B" w14:textId="24A45BCD" w:rsidTr="128117E3">
        <w:trPr>
          <w:trHeight w:val="20"/>
          <w:jc w:val="center"/>
        </w:trPr>
        <w:tc>
          <w:tcPr>
            <w:tcW w:w="96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E02799" w14:textId="77777777" w:rsidR="004243EB" w:rsidRDefault="00C04E0F" w:rsidP="00A169D1">
            <w:pPr>
              <w:jc w:val="center"/>
              <w:rPr>
                <w:rFonts w:ascii="Calibri" w:hAnsi="Calibri" w:cs="Calibri"/>
                <w:color w:val="000000"/>
                <w:sz w:val="18"/>
                <w:szCs w:val="18"/>
              </w:rPr>
            </w:pPr>
            <w:r w:rsidRPr="0009421C">
              <w:rPr>
                <w:rFonts w:ascii="Calibri" w:hAnsi="Calibri" w:cs="Calibri"/>
                <w:color w:val="000000"/>
                <w:sz w:val="18"/>
                <w:szCs w:val="18"/>
              </w:rPr>
              <w:lastRenderedPageBreak/>
              <w:t>Review of PBS Prescriber Bag</w:t>
            </w:r>
          </w:p>
          <w:p w14:paraId="7EC2C4B2" w14:textId="77777777" w:rsidR="004243EB" w:rsidRDefault="004243EB" w:rsidP="00A169D1">
            <w:pPr>
              <w:jc w:val="center"/>
              <w:rPr>
                <w:rFonts w:ascii="Calibri" w:hAnsi="Calibri" w:cs="Calibri"/>
                <w:color w:val="000000"/>
                <w:sz w:val="18"/>
                <w:szCs w:val="18"/>
              </w:rPr>
            </w:pPr>
          </w:p>
          <w:p w14:paraId="375EFF63" w14:textId="1A55080A" w:rsidR="00C04E0F" w:rsidRPr="0009421C" w:rsidRDefault="00E105B2" w:rsidP="00A169D1">
            <w:pPr>
              <w:jc w:val="center"/>
              <w:rPr>
                <w:rFonts w:asciiTheme="minorHAnsi" w:hAnsiTheme="minorHAnsi" w:cstheme="minorHAnsi"/>
                <w:sz w:val="18"/>
                <w:szCs w:val="18"/>
              </w:rPr>
            </w:pPr>
            <w:r w:rsidRPr="0009421C">
              <w:rPr>
                <w:rFonts w:ascii="Calibri" w:hAnsi="Calibri" w:cs="Calibri"/>
                <w:color w:val="000000"/>
                <w:sz w:val="18"/>
                <w:szCs w:val="18"/>
              </w:rPr>
              <w:t>(</w:t>
            </w:r>
            <w:r>
              <w:rPr>
                <w:rFonts w:ascii="Calibri" w:hAnsi="Calibri" w:cs="Calibri"/>
                <w:color w:val="000000"/>
                <w:sz w:val="18"/>
                <w:szCs w:val="18"/>
              </w:rPr>
              <w:t>PBS p</w:t>
            </w:r>
            <w:r w:rsidRPr="0009421C">
              <w:rPr>
                <w:rFonts w:ascii="Calibri" w:hAnsi="Calibri" w:cs="Calibri"/>
                <w:color w:val="000000"/>
                <w:sz w:val="18"/>
                <w:szCs w:val="18"/>
              </w:rPr>
              <w:t>ost-market review)</w:t>
            </w:r>
          </w:p>
        </w:tc>
        <w:tc>
          <w:tcPr>
            <w:tcW w:w="461" w:type="pct"/>
            <w:tcBorders>
              <w:top w:val="single" w:sz="4" w:space="0" w:color="auto"/>
              <w:left w:val="single" w:sz="4" w:space="0" w:color="auto"/>
              <w:bottom w:val="single" w:sz="4" w:space="0" w:color="auto"/>
              <w:right w:val="single" w:sz="4" w:space="0" w:color="auto"/>
            </w:tcBorders>
            <w:vAlign w:val="center"/>
          </w:tcPr>
          <w:p w14:paraId="39DF5AA7" w14:textId="7668C0CE" w:rsidR="00C04E0F" w:rsidRPr="0009421C" w:rsidRDefault="00F821F1" w:rsidP="00A169D1">
            <w:pPr>
              <w:jc w:val="center"/>
              <w:rPr>
                <w:rFonts w:asciiTheme="minorHAnsi" w:hAnsiTheme="minorHAnsi" w:cstheme="minorHAnsi"/>
                <w:sz w:val="18"/>
                <w:szCs w:val="18"/>
              </w:rPr>
            </w:pPr>
            <w:r>
              <w:rPr>
                <w:rFonts w:ascii="Calibri" w:hAnsi="Calibri" w:cs="Calibri"/>
                <w:color w:val="000000"/>
                <w:sz w:val="18"/>
                <w:szCs w:val="18"/>
              </w:rPr>
              <w:t>Multiple types and uses</w:t>
            </w:r>
          </w:p>
        </w:tc>
        <w:tc>
          <w:tcPr>
            <w:tcW w:w="73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9EAC66" w14:textId="5A02DDE1" w:rsidR="00C04E0F" w:rsidRPr="00B0521C" w:rsidRDefault="00E00F33" w:rsidP="00F80034">
            <w:pPr>
              <w:jc w:val="center"/>
              <w:rPr>
                <w:rFonts w:asciiTheme="minorHAnsi" w:hAnsiTheme="minorHAnsi" w:cstheme="minorHAnsi"/>
                <w:sz w:val="18"/>
                <w:szCs w:val="18"/>
              </w:rPr>
            </w:pPr>
            <w:r w:rsidRPr="00161B25">
              <w:rPr>
                <w:rFonts w:asciiTheme="minorHAnsi" w:hAnsiTheme="minorHAnsi" w:cstheme="minorHAnsi"/>
                <w:sz w:val="18"/>
                <w:szCs w:val="18"/>
              </w:rPr>
              <w:t xml:space="preserve">To seek </w:t>
            </w:r>
            <w:r>
              <w:rPr>
                <w:rFonts w:asciiTheme="minorHAnsi" w:hAnsiTheme="minorHAnsi" w:cstheme="minorHAnsi"/>
                <w:sz w:val="18"/>
                <w:szCs w:val="18"/>
              </w:rPr>
              <w:t xml:space="preserve">the </w:t>
            </w:r>
            <w:r w:rsidRPr="00161B25">
              <w:rPr>
                <w:rFonts w:asciiTheme="minorHAnsi" w:hAnsiTheme="minorHAnsi" w:cstheme="minorHAnsi"/>
                <w:sz w:val="18"/>
                <w:szCs w:val="18"/>
              </w:rPr>
              <w:t>PBAC's advice on the</w:t>
            </w:r>
            <w:r w:rsidR="002F3C31">
              <w:rPr>
                <w:rFonts w:asciiTheme="minorHAnsi" w:hAnsiTheme="minorHAnsi" w:cstheme="minorHAnsi"/>
                <w:sz w:val="18"/>
                <w:szCs w:val="18"/>
              </w:rPr>
              <w:t xml:space="preserve"> purpose and intent of the</w:t>
            </w:r>
            <w:r w:rsidRPr="00161B25">
              <w:rPr>
                <w:rFonts w:asciiTheme="minorHAnsi" w:hAnsiTheme="minorHAnsi" w:cstheme="minorHAnsi"/>
                <w:sz w:val="18"/>
                <w:szCs w:val="18"/>
              </w:rPr>
              <w:t xml:space="preserve"> Prescriber Bag Schedule, considering stakeholders' submissions, to ensure the listings </w:t>
            </w:r>
            <w:r>
              <w:rPr>
                <w:rFonts w:asciiTheme="minorHAnsi" w:hAnsiTheme="minorHAnsi" w:cstheme="minorHAnsi"/>
                <w:sz w:val="18"/>
                <w:szCs w:val="18"/>
              </w:rPr>
              <w:t>reflect</w:t>
            </w:r>
            <w:r w:rsidRPr="00161B25">
              <w:rPr>
                <w:rFonts w:asciiTheme="minorHAnsi" w:hAnsiTheme="minorHAnsi" w:cstheme="minorHAnsi"/>
                <w:sz w:val="18"/>
                <w:szCs w:val="18"/>
              </w:rPr>
              <w:t xml:space="preserve"> contemporary clinical need and</w:t>
            </w:r>
            <w:r>
              <w:rPr>
                <w:rFonts w:asciiTheme="minorHAnsi" w:hAnsiTheme="minorHAnsi" w:cstheme="minorHAnsi"/>
                <w:sz w:val="18"/>
                <w:szCs w:val="18"/>
              </w:rPr>
              <w:t xml:space="preserve"> to</w:t>
            </w:r>
            <w:r w:rsidRPr="00161B25">
              <w:rPr>
                <w:rFonts w:asciiTheme="minorHAnsi" w:hAnsiTheme="minorHAnsi" w:cstheme="minorHAnsi"/>
                <w:sz w:val="18"/>
                <w:szCs w:val="18"/>
              </w:rPr>
              <w:t xml:space="preserve"> inform the Department’s </w:t>
            </w:r>
            <w:r>
              <w:rPr>
                <w:rFonts w:asciiTheme="minorHAnsi" w:hAnsiTheme="minorHAnsi" w:cstheme="minorHAnsi"/>
                <w:sz w:val="18"/>
                <w:szCs w:val="18"/>
              </w:rPr>
              <w:t xml:space="preserve">Prescriber Bag </w:t>
            </w:r>
            <w:r w:rsidRPr="00161B25">
              <w:rPr>
                <w:rFonts w:asciiTheme="minorHAnsi" w:hAnsiTheme="minorHAnsi" w:cstheme="minorHAnsi"/>
                <w:sz w:val="18"/>
                <w:szCs w:val="18"/>
              </w:rPr>
              <w:t>review for</w:t>
            </w:r>
            <w:r>
              <w:rPr>
                <w:rFonts w:asciiTheme="minorHAnsi" w:hAnsiTheme="minorHAnsi" w:cstheme="minorHAnsi"/>
                <w:sz w:val="18"/>
                <w:szCs w:val="18"/>
              </w:rPr>
              <w:t xml:space="preserve"> consideration at a</w:t>
            </w:r>
            <w:r w:rsidRPr="00161B25">
              <w:rPr>
                <w:rFonts w:asciiTheme="minorHAnsi" w:hAnsiTheme="minorHAnsi" w:cstheme="minorHAnsi"/>
                <w:sz w:val="18"/>
                <w:szCs w:val="18"/>
              </w:rPr>
              <w:t xml:space="preserve"> future PBAC meeting.</w:t>
            </w:r>
          </w:p>
        </w:tc>
        <w:tc>
          <w:tcPr>
            <w:tcW w:w="2837" w:type="pct"/>
            <w:tcBorders>
              <w:top w:val="single" w:sz="4" w:space="0" w:color="auto"/>
              <w:left w:val="single" w:sz="4" w:space="0" w:color="auto"/>
              <w:bottom w:val="single" w:sz="4" w:space="0" w:color="auto"/>
              <w:right w:val="single" w:sz="4" w:space="0" w:color="auto"/>
            </w:tcBorders>
            <w:vAlign w:val="center"/>
          </w:tcPr>
          <w:p w14:paraId="59954BE8" w14:textId="7008F9B9" w:rsidR="00C04E0F" w:rsidRPr="0009421C" w:rsidDel="008F66B5" w:rsidRDefault="00C04E0F" w:rsidP="00A169D1">
            <w:pPr>
              <w:jc w:val="both"/>
              <w:rPr>
                <w:rFonts w:asciiTheme="minorHAnsi" w:hAnsiTheme="minorHAnsi" w:cstheme="minorHAnsi"/>
                <w:color w:val="000000"/>
                <w:sz w:val="18"/>
                <w:szCs w:val="18"/>
              </w:rPr>
            </w:pPr>
            <w:r w:rsidRPr="0009421C">
              <w:rPr>
                <w:rFonts w:ascii="Calibri" w:hAnsi="Calibri" w:cs="Calibri"/>
                <w:color w:val="000000"/>
                <w:sz w:val="18"/>
                <w:szCs w:val="18"/>
              </w:rPr>
              <w:t xml:space="preserve">The PBAC discussed issues raised in stakeholder submissions and reiterated that the purpose of the Prescriber Bag is to provide medicines for emergency care. The PBAC will further consider </w:t>
            </w:r>
            <w:r w:rsidR="00181612">
              <w:rPr>
                <w:rFonts w:ascii="Calibri" w:hAnsi="Calibri" w:cs="Calibri"/>
                <w:color w:val="000000"/>
                <w:sz w:val="18"/>
                <w:szCs w:val="18"/>
              </w:rPr>
              <w:t xml:space="preserve">the </w:t>
            </w:r>
            <w:r w:rsidRPr="0009421C">
              <w:rPr>
                <w:rFonts w:ascii="Calibri" w:hAnsi="Calibri" w:cs="Calibri"/>
                <w:color w:val="000000"/>
                <w:sz w:val="18"/>
                <w:szCs w:val="18"/>
              </w:rPr>
              <w:t>utilisation of Prescriber Bag medicines and stakeholder submissions at a future meeting.</w:t>
            </w:r>
          </w:p>
        </w:tc>
      </w:tr>
    </w:tbl>
    <w:p w14:paraId="235972BA" w14:textId="77777777" w:rsidR="00D63B5A" w:rsidRDefault="00D63B5A" w:rsidP="00A169D1"/>
    <w:p w14:paraId="2FD72212" w14:textId="77777777" w:rsidR="00E00F33" w:rsidRDefault="00E00F33">
      <w:pPr>
        <w:rPr>
          <w:rFonts w:ascii="Arial" w:hAnsi="Arial" w:cs="Arial"/>
          <w:b/>
          <w:bCs/>
          <w:lang w:val="en-US"/>
        </w:rPr>
      </w:pPr>
      <w:r>
        <w:rPr>
          <w:rFonts w:ascii="Arial" w:hAnsi="Arial" w:cs="Arial"/>
          <w:b/>
          <w:bCs/>
          <w:lang w:val="en-US"/>
        </w:rPr>
        <w:br w:type="page"/>
      </w:r>
    </w:p>
    <w:p w14:paraId="6B64D1DE" w14:textId="4E47B427" w:rsidR="007F48F6" w:rsidRPr="00292120" w:rsidDel="008F66B5" w:rsidRDefault="007F48F6" w:rsidP="00A94408">
      <w:pPr>
        <w:rPr>
          <w:rFonts w:ascii="Arial" w:hAnsi="Arial" w:cs="Arial"/>
          <w:b/>
          <w:bCs/>
          <w:lang w:val="en-US"/>
        </w:rPr>
      </w:pPr>
      <w:r w:rsidRPr="20381F86">
        <w:rPr>
          <w:rFonts w:ascii="Arial" w:hAnsi="Arial" w:cs="Arial"/>
          <w:b/>
          <w:bCs/>
          <w:lang w:val="en-US"/>
        </w:rPr>
        <w:lastRenderedPageBreak/>
        <w:t>Submission category types</w:t>
      </w:r>
    </w:p>
    <w:p w14:paraId="15D4233E" w14:textId="1C46F133" w:rsidR="007F48F6" w:rsidRPr="00292120" w:rsidDel="008F66B5" w:rsidRDefault="007F48F6" w:rsidP="00A94408">
      <w:pPr>
        <w:rPr>
          <w:rFonts w:ascii="Arial" w:hAnsi="Arial" w:cs="Arial"/>
          <w:b/>
          <w:bCs/>
          <w:lang w:val="en-US"/>
        </w:rPr>
      </w:pPr>
    </w:p>
    <w:tbl>
      <w:tblPr>
        <w:tblStyle w:val="TableGrid"/>
        <w:tblW w:w="14458" w:type="dxa"/>
        <w:tblInd w:w="421" w:type="dxa"/>
        <w:tblLook w:val="04A0" w:firstRow="1" w:lastRow="0" w:firstColumn="1" w:lastColumn="0" w:noHBand="0" w:noVBand="1"/>
      </w:tblPr>
      <w:tblGrid>
        <w:gridCol w:w="1984"/>
        <w:gridCol w:w="12474"/>
      </w:tblGrid>
      <w:tr w:rsidR="007F48F6" w:rsidRPr="00292120" w:rsidDel="008F66B5" w14:paraId="49C9D26F" w14:textId="501D6309" w:rsidTr="20381F86">
        <w:trPr>
          <w:trHeight w:val="300"/>
        </w:trPr>
        <w:tc>
          <w:tcPr>
            <w:tcW w:w="1984" w:type="dxa"/>
          </w:tcPr>
          <w:p w14:paraId="1640FA5D" w14:textId="5A043ED1" w:rsidR="007F48F6" w:rsidRPr="00292120" w:rsidDel="008F66B5" w:rsidRDefault="007F48F6" w:rsidP="00A94408">
            <w:pPr>
              <w:autoSpaceDE w:val="0"/>
              <w:autoSpaceDN w:val="0"/>
              <w:adjustRightInd w:val="0"/>
              <w:rPr>
                <w:rFonts w:ascii="Arial" w:hAnsi="Arial" w:cs="Arial"/>
                <w:b/>
                <w:bCs/>
                <w:lang w:val="en-US"/>
              </w:rPr>
            </w:pPr>
            <w:r w:rsidRPr="20381F86">
              <w:rPr>
                <w:rFonts w:ascii="Arial" w:hAnsi="Arial" w:cs="Arial"/>
                <w:b/>
                <w:bCs/>
                <w:color w:val="000000" w:themeColor="text1"/>
              </w:rPr>
              <w:t>Category 1</w:t>
            </w:r>
          </w:p>
        </w:tc>
        <w:tc>
          <w:tcPr>
            <w:tcW w:w="12474" w:type="dxa"/>
          </w:tcPr>
          <w:p w14:paraId="55D16D51" w14:textId="1C953CA4" w:rsidR="007F48F6" w:rsidRPr="00292120" w:rsidDel="008F66B5" w:rsidRDefault="007F48F6" w:rsidP="00A94408">
            <w:pPr>
              <w:autoSpaceDE w:val="0"/>
              <w:autoSpaceDN w:val="0"/>
              <w:adjustRightInd w:val="0"/>
              <w:rPr>
                <w:rFonts w:ascii="Arial" w:hAnsi="Arial" w:cs="Arial"/>
                <w:b/>
                <w:bCs/>
                <w:color w:val="000000"/>
              </w:rPr>
            </w:pPr>
            <w:r w:rsidRPr="20381F86">
              <w:rPr>
                <w:rFonts w:ascii="Arial" w:hAnsi="Arial" w:cs="Arial"/>
                <w:color w:val="000000" w:themeColor="text1"/>
              </w:rPr>
              <w:t xml:space="preserve">A request for PBS or NIP listing of one or more of the following: </w:t>
            </w:r>
          </w:p>
          <w:p w14:paraId="5E5BAAB8" w14:textId="64CF3868"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first in class medicine or vaccine, and/or a medicine or vaccine for a new population. OR </w:t>
            </w:r>
          </w:p>
          <w:p w14:paraId="7DB13D11" w14:textId="1D5BF29E"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A drug with a codependent technology that requires an integrated codependent submission to the PBAC and MSAC. OR </w:t>
            </w:r>
          </w:p>
          <w:p w14:paraId="1380A86B" w14:textId="5E2F1AA0" w:rsidR="007F48F6" w:rsidRPr="00292120" w:rsidDel="008F66B5" w:rsidRDefault="007F48F6" w:rsidP="00A94408">
            <w:pPr>
              <w:pStyle w:val="ListParagraph"/>
              <w:numPr>
                <w:ilvl w:val="0"/>
                <w:numId w:val="3"/>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A drug or designated vaccine with a TGA Provisional determination related to the proposed population.</w:t>
            </w:r>
          </w:p>
        </w:tc>
      </w:tr>
      <w:tr w:rsidR="007F48F6" w:rsidRPr="00292120" w:rsidDel="008F66B5" w14:paraId="55E97F75" w14:textId="03BFE596" w:rsidTr="20381F86">
        <w:trPr>
          <w:trHeight w:val="300"/>
        </w:trPr>
        <w:tc>
          <w:tcPr>
            <w:tcW w:w="1984" w:type="dxa"/>
          </w:tcPr>
          <w:p w14:paraId="5E9AC3B0" w14:textId="02795464"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2</w:t>
            </w:r>
          </w:p>
        </w:tc>
        <w:tc>
          <w:tcPr>
            <w:tcW w:w="12474" w:type="dxa"/>
          </w:tcPr>
          <w:p w14:paraId="72522F32" w14:textId="07B69D5E" w:rsidR="007F48F6" w:rsidRPr="00292120" w:rsidDel="008F66B5" w:rsidRDefault="007F48F6" w:rsidP="00A94408">
            <w:pPr>
              <w:tabs>
                <w:tab w:val="left" w:pos="5210"/>
              </w:tabs>
              <w:rPr>
                <w:rFonts w:ascii="Arial" w:hAnsi="Arial" w:cs="Arial"/>
              </w:rPr>
            </w:pPr>
            <w:r w:rsidRPr="20381F86">
              <w:rPr>
                <w:rFonts w:ascii="Arial" w:hAnsi="Arial" w:cs="Arial"/>
              </w:rPr>
              <w:t>A request for PBS or NIP listing of a new medicine or new vaccine, a new indication of a currently listed medicine or vaccine, or to make material changes to a currently listed indication and do not meet the criteria for a Category 1 submission.</w:t>
            </w:r>
          </w:p>
        </w:tc>
      </w:tr>
      <w:tr w:rsidR="007F48F6" w:rsidRPr="00292120" w:rsidDel="008F66B5" w14:paraId="2189A220" w14:textId="61A0DBC9" w:rsidTr="20381F86">
        <w:trPr>
          <w:trHeight w:val="300"/>
        </w:trPr>
        <w:tc>
          <w:tcPr>
            <w:tcW w:w="1984" w:type="dxa"/>
          </w:tcPr>
          <w:p w14:paraId="79CB93BA" w14:textId="26E7B2D7" w:rsidR="007F48F6" w:rsidRPr="00292120" w:rsidDel="008F66B5" w:rsidRDefault="007F48F6" w:rsidP="00A94408">
            <w:pPr>
              <w:tabs>
                <w:tab w:val="left" w:pos="5210"/>
              </w:tabs>
              <w:rPr>
                <w:rFonts w:ascii="Arial" w:hAnsi="Arial" w:cs="Arial"/>
                <w:b/>
                <w:bCs/>
                <w:lang w:val="en-US"/>
              </w:rPr>
            </w:pPr>
            <w:r w:rsidRPr="20381F86">
              <w:rPr>
                <w:rFonts w:ascii="Arial" w:hAnsi="Arial" w:cs="Arial"/>
                <w:b/>
                <w:bCs/>
              </w:rPr>
              <w:t>Category 3</w:t>
            </w:r>
          </w:p>
        </w:tc>
        <w:tc>
          <w:tcPr>
            <w:tcW w:w="12474" w:type="dxa"/>
          </w:tcPr>
          <w:p w14:paraId="11EF39D0" w14:textId="6C5945B9" w:rsidR="007F48F6" w:rsidRPr="00292120" w:rsidDel="008F66B5" w:rsidRDefault="007F48F6" w:rsidP="00A94408">
            <w:pPr>
              <w:tabs>
                <w:tab w:val="left" w:pos="5210"/>
              </w:tabs>
              <w:rPr>
                <w:rFonts w:ascii="Arial" w:hAnsi="Arial" w:cs="Arial"/>
              </w:rPr>
            </w:pPr>
            <w:r w:rsidRPr="20381F86">
              <w:rPr>
                <w:rFonts w:ascii="Arial" w:hAnsi="Arial" w:cs="Arial"/>
              </w:rPr>
              <w:t xml:space="preserve">Requests to change existing listings that do not change the population or </w:t>
            </w:r>
            <w:r w:rsidRPr="00292120" w:rsidDel="008F66B5">
              <w:rPr>
                <w:rFonts w:ascii="Arial" w:hAnsi="Arial" w:cs="Arial"/>
              </w:rPr>
              <w:t>cost</w:t>
            </w:r>
            <w:r w:rsidR="00884764">
              <w:rPr>
                <w:rFonts w:ascii="Arial" w:hAnsi="Arial" w:cs="Arial"/>
              </w:rPr>
              <w:t xml:space="preserve"> </w:t>
            </w:r>
            <w:r w:rsidRPr="20381F86">
              <w:rPr>
                <w:rFonts w:ascii="Arial" w:hAnsi="Arial" w:cs="Arial"/>
              </w:rPr>
              <w:t>effectiveness</w:t>
            </w:r>
            <w:r w:rsidRPr="00292120" w:rsidDel="008F66B5">
              <w:rPr>
                <w:rFonts w:ascii="Arial" w:hAnsi="Arial" w:cs="Arial"/>
              </w:rPr>
              <w:t xml:space="preserve"> of the medicine or vaccine that do not meet the criteria for a Category 4 submission.</w:t>
            </w:r>
          </w:p>
        </w:tc>
      </w:tr>
      <w:tr w:rsidR="007F48F6" w:rsidRPr="00292120" w:rsidDel="008F66B5" w14:paraId="3189B6F0" w14:textId="58D078D0" w:rsidTr="20381F86">
        <w:trPr>
          <w:trHeight w:val="300"/>
        </w:trPr>
        <w:tc>
          <w:tcPr>
            <w:tcW w:w="1984" w:type="dxa"/>
          </w:tcPr>
          <w:p w14:paraId="381D7CFE" w14:textId="2C6348C1" w:rsidR="007F48F6" w:rsidRPr="00292120" w:rsidDel="008F66B5" w:rsidRDefault="007F48F6" w:rsidP="00A94408">
            <w:pPr>
              <w:pStyle w:val="Default"/>
              <w:rPr>
                <w:rFonts w:ascii="Arial" w:hAnsi="Arial" w:cs="Arial"/>
                <w:b/>
                <w:bCs/>
                <w:sz w:val="20"/>
                <w:szCs w:val="20"/>
                <w:lang w:val="en-US"/>
              </w:rPr>
            </w:pPr>
            <w:r w:rsidRPr="20381F86">
              <w:rPr>
                <w:rFonts w:ascii="Arial" w:hAnsi="Arial" w:cs="Arial"/>
                <w:b/>
                <w:bCs/>
                <w:sz w:val="20"/>
                <w:szCs w:val="20"/>
              </w:rPr>
              <w:t xml:space="preserve">Category 4 </w:t>
            </w:r>
          </w:p>
        </w:tc>
        <w:tc>
          <w:tcPr>
            <w:tcW w:w="12474" w:type="dxa"/>
          </w:tcPr>
          <w:p w14:paraId="5E50EE2B" w14:textId="0844D782" w:rsidR="007F48F6" w:rsidRPr="00292120" w:rsidDel="008F66B5" w:rsidRDefault="007F48F6" w:rsidP="00A94408">
            <w:pPr>
              <w:pStyle w:val="Default"/>
              <w:rPr>
                <w:rFonts w:ascii="Arial" w:hAnsi="Arial" w:cs="Arial"/>
                <w:b/>
                <w:bCs/>
                <w:sz w:val="20"/>
                <w:szCs w:val="20"/>
              </w:rPr>
            </w:pPr>
            <w:r w:rsidRPr="20381F86">
              <w:rPr>
                <w:rFonts w:ascii="Arial" w:hAnsi="Arial" w:cs="Arial"/>
                <w:sz w:val="20"/>
                <w:szCs w:val="20"/>
              </w:rPr>
              <w:t xml:space="preserve">A request for one or more of the following: </w:t>
            </w:r>
          </w:p>
          <w:p w14:paraId="61CDD5EA" w14:textId="78CA352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Listing of a new pharmaceutical item of a listed medicine. </w:t>
            </w:r>
          </w:p>
          <w:p w14:paraId="30945A3C" w14:textId="40913576"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color w:val="000000" w:themeColor="text1"/>
                <w:sz w:val="20"/>
                <w:szCs w:val="20"/>
              </w:rPr>
              <w:t xml:space="preserve">Consideration as an exempt item (Exempt item as per subsection 84AH of the </w:t>
            </w:r>
            <w:r w:rsidRPr="20381F86">
              <w:rPr>
                <w:rFonts w:ascii="Arial" w:hAnsi="Arial" w:cs="Arial"/>
                <w:i/>
                <w:iCs/>
                <w:color w:val="000000" w:themeColor="text1"/>
                <w:sz w:val="20"/>
                <w:szCs w:val="20"/>
              </w:rPr>
              <w:t>National Health Act 1953</w:t>
            </w:r>
            <w:r w:rsidRPr="20381F86">
              <w:rPr>
                <w:rFonts w:ascii="Arial" w:hAnsi="Arial" w:cs="Arial"/>
                <w:color w:val="000000" w:themeColor="text1"/>
                <w:sz w:val="20"/>
                <w:szCs w:val="20"/>
              </w:rPr>
              <w:t xml:space="preserve">). </w:t>
            </w:r>
          </w:p>
          <w:p w14:paraId="46567CAC" w14:textId="0295E6C9" w:rsidR="007F48F6" w:rsidRPr="00292120" w:rsidDel="008F66B5" w:rsidRDefault="007F48F6" w:rsidP="00A94408">
            <w:pPr>
              <w:pStyle w:val="ListParagraph"/>
              <w:numPr>
                <w:ilvl w:val="0"/>
                <w:numId w:val="4"/>
              </w:numPr>
              <w:autoSpaceDE w:val="0"/>
              <w:autoSpaceDN w:val="0"/>
              <w:adjustRightInd w:val="0"/>
              <w:ind w:left="360"/>
              <w:rPr>
                <w:rFonts w:ascii="Arial" w:hAnsi="Arial" w:cs="Arial"/>
                <w:b/>
                <w:bCs/>
                <w:color w:val="000000"/>
                <w:sz w:val="20"/>
                <w:szCs w:val="20"/>
              </w:rPr>
            </w:pPr>
            <w:r w:rsidRPr="20381F86">
              <w:rPr>
                <w:rFonts w:ascii="Arial" w:hAnsi="Arial" w:cs="Arial"/>
                <w:sz w:val="20"/>
                <w:szCs w:val="20"/>
              </w:rPr>
              <w:t xml:space="preserve">Including a listed medicine on the prescriber </w:t>
            </w:r>
            <w:r w:rsidR="00222348" w:rsidRPr="20381F86">
              <w:rPr>
                <w:rFonts w:ascii="Arial" w:hAnsi="Arial" w:cs="Arial"/>
                <w:sz w:val="20"/>
                <w:szCs w:val="20"/>
              </w:rPr>
              <w:t>bag or</w:t>
            </w:r>
            <w:r w:rsidRPr="20381F86">
              <w:rPr>
                <w:rFonts w:ascii="Arial" w:hAnsi="Arial" w:cs="Arial"/>
                <w:sz w:val="20"/>
                <w:szCs w:val="20"/>
              </w:rPr>
              <w:t xml:space="preserve"> varying an existing prescriber bag listing. </w:t>
            </w:r>
          </w:p>
          <w:p w14:paraId="7EF9BA42" w14:textId="54849C05"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change/new manner of administration of a listed medicine. </w:t>
            </w:r>
          </w:p>
          <w:p w14:paraId="4D6B65C5" w14:textId="1E6FA92B"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 xml:space="preserve">A change to the maximum quantity and/or number of repeats of a listed medicine. </w:t>
            </w:r>
          </w:p>
          <w:p w14:paraId="2C2C10B5" w14:textId="34D1344F" w:rsidR="007F48F6" w:rsidRPr="00292120" w:rsidDel="008F66B5" w:rsidRDefault="007F48F6" w:rsidP="00A94408">
            <w:pPr>
              <w:pStyle w:val="ListParagraph"/>
              <w:numPr>
                <w:ilvl w:val="0"/>
                <w:numId w:val="5"/>
              </w:numPr>
              <w:autoSpaceDE w:val="0"/>
              <w:autoSpaceDN w:val="0"/>
              <w:adjustRightInd w:val="0"/>
              <w:ind w:left="360"/>
              <w:rPr>
                <w:rFonts w:ascii="Arial" w:hAnsi="Arial" w:cs="Arial"/>
                <w:b/>
                <w:bCs/>
                <w:sz w:val="20"/>
                <w:szCs w:val="20"/>
              </w:rPr>
            </w:pPr>
            <w:r w:rsidRPr="20381F86">
              <w:rPr>
                <w:rFonts w:ascii="Arial" w:hAnsi="Arial" w:cs="Arial"/>
                <w:sz w:val="20"/>
                <w:szCs w:val="20"/>
              </w:rPr>
              <w:t>A change or addition to the prescriber type(s) of a listed medicine.</w:t>
            </w:r>
          </w:p>
        </w:tc>
      </w:tr>
      <w:tr w:rsidR="009A1C75" w:rsidRPr="00292120" w:rsidDel="008F66B5" w14:paraId="5129ECF2" w14:textId="5315E1E8" w:rsidTr="20381F86">
        <w:trPr>
          <w:trHeight w:val="1026"/>
        </w:trPr>
        <w:tc>
          <w:tcPr>
            <w:tcW w:w="1984" w:type="dxa"/>
          </w:tcPr>
          <w:p w14:paraId="4FD9FAAA" w14:textId="327403AE" w:rsidR="009A1C75" w:rsidRPr="00292120" w:rsidDel="008F66B5" w:rsidRDefault="71EB8FAF" w:rsidP="00A94408">
            <w:pPr>
              <w:pStyle w:val="Default"/>
              <w:rPr>
                <w:rFonts w:ascii="Arial" w:hAnsi="Arial" w:cs="Arial"/>
                <w:sz w:val="20"/>
                <w:szCs w:val="20"/>
              </w:rPr>
            </w:pPr>
            <w:r w:rsidRPr="20381F86">
              <w:rPr>
                <w:rFonts w:ascii="Arial" w:hAnsi="Arial" w:cs="Arial"/>
                <w:b/>
                <w:bCs/>
                <w:sz w:val="20"/>
                <w:szCs w:val="20"/>
              </w:rPr>
              <w:t>Committee Secretariat</w:t>
            </w:r>
          </w:p>
        </w:tc>
        <w:tc>
          <w:tcPr>
            <w:tcW w:w="12474" w:type="dxa"/>
          </w:tcPr>
          <w:p w14:paraId="4E0E04D8" w14:textId="4029D2D5" w:rsidR="009A1C75" w:rsidRPr="00292120" w:rsidDel="008F66B5" w:rsidRDefault="71EB8FAF" w:rsidP="00A94408">
            <w:pPr>
              <w:rPr>
                <w:rFonts w:ascii="Arial" w:hAnsi="Arial" w:cs="Arial"/>
                <w:color w:val="000000"/>
              </w:rPr>
            </w:pPr>
            <w:r w:rsidRPr="20381F86">
              <w:rPr>
                <w:rFonts w:ascii="Arial" w:hAnsi="Arial" w:cs="Arial"/>
                <w:color w:val="000000" w:themeColor="text1"/>
              </w:rPr>
              <w:t>Application is not in Categories 1, 2, 3 or 4 and requests for one or more of the following:</w:t>
            </w:r>
          </w:p>
          <w:p w14:paraId="0ADCA80A" w14:textId="48EDD50B"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or varied listed drugs, medicinal preparations and designated vaccines that pose no greater risk</w:t>
            </w:r>
            <w:r w:rsidR="00CA405C">
              <w:rPr>
                <w:rFonts w:ascii="Arial" w:eastAsia="Times New Roman" w:hAnsi="Arial" w:cs="Arial"/>
                <w:sz w:val="20"/>
                <w:szCs w:val="20"/>
              </w:rPr>
              <w:t>.</w:t>
            </w:r>
          </w:p>
          <w:p w14:paraId="4E274BBE" w14:textId="6712D033"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Pharmaceutical benefits that can no longer be supplied early</w:t>
            </w:r>
            <w:r w:rsidR="00CA405C">
              <w:rPr>
                <w:rFonts w:ascii="Arial" w:eastAsia="Times New Roman" w:hAnsi="Arial" w:cs="Arial"/>
                <w:sz w:val="20"/>
                <w:szCs w:val="20"/>
              </w:rPr>
              <w:t>.</w:t>
            </w:r>
          </w:p>
          <w:p w14:paraId="78723A0D" w14:textId="76E8912A" w:rsidR="009A1C75" w:rsidRPr="00292120" w:rsidDel="008F66B5" w:rsidRDefault="71EB8FAF" w:rsidP="00A94408">
            <w:pPr>
              <w:pStyle w:val="ListParagraph"/>
              <w:numPr>
                <w:ilvl w:val="0"/>
                <w:numId w:val="8"/>
              </w:numPr>
              <w:rPr>
                <w:rFonts w:ascii="Arial" w:eastAsia="Times New Roman" w:hAnsi="Arial" w:cs="Arial"/>
                <w:sz w:val="20"/>
                <w:szCs w:val="20"/>
              </w:rPr>
            </w:pPr>
            <w:r w:rsidRPr="20381F86">
              <w:rPr>
                <w:rFonts w:ascii="Arial" w:eastAsia="Times New Roman" w:hAnsi="Arial" w:cs="Arial"/>
                <w:sz w:val="20"/>
                <w:szCs w:val="20"/>
              </w:rPr>
              <w:t>New brand of glucose indicator pharmaceutical item.</w:t>
            </w:r>
          </w:p>
        </w:tc>
      </w:tr>
    </w:tbl>
    <w:p w14:paraId="1A3326E0" w14:textId="09885F9F" w:rsidR="007F48F6" w:rsidRPr="00292120" w:rsidDel="008F66B5" w:rsidRDefault="007F48F6" w:rsidP="00A94408">
      <w:pPr>
        <w:rPr>
          <w:rFonts w:ascii="Arial" w:hAnsi="Arial" w:cs="Arial"/>
          <w:b/>
          <w:bCs/>
          <w:lang w:val="en-US"/>
        </w:rPr>
      </w:pPr>
    </w:p>
    <w:p w14:paraId="379497B6" w14:textId="3CD337BC" w:rsidR="008D62B4" w:rsidRPr="00292120" w:rsidDel="008F66B5" w:rsidRDefault="008D62B4" w:rsidP="00A94408">
      <w:pPr>
        <w:rPr>
          <w:rFonts w:ascii="Arial" w:hAnsi="Arial" w:cs="Arial"/>
          <w:b/>
          <w:bCs/>
          <w:lang w:val="en-US"/>
        </w:rPr>
      </w:pPr>
    </w:p>
    <w:p w14:paraId="749816E3" w14:textId="77777777" w:rsidR="00E00F33" w:rsidRDefault="00E00F33">
      <w:pPr>
        <w:rPr>
          <w:rFonts w:ascii="Arial" w:hAnsi="Arial" w:cs="Arial"/>
          <w:b/>
          <w:bCs/>
          <w:lang w:val="en-US"/>
        </w:rPr>
      </w:pPr>
      <w:r>
        <w:rPr>
          <w:rFonts w:ascii="Arial" w:hAnsi="Arial" w:cs="Arial"/>
          <w:b/>
          <w:bCs/>
          <w:lang w:val="en-US"/>
        </w:rPr>
        <w:br w:type="page"/>
      </w:r>
    </w:p>
    <w:p w14:paraId="6CE3C41E" w14:textId="7D6DB3CF" w:rsidR="00640C80" w:rsidRPr="00292120" w:rsidDel="008F66B5" w:rsidRDefault="005A0A21" w:rsidP="00A94408">
      <w:pPr>
        <w:rPr>
          <w:rFonts w:ascii="Arial" w:hAnsi="Arial" w:cs="Arial"/>
          <w:b/>
          <w:bCs/>
          <w:lang w:val="en-US"/>
        </w:rPr>
      </w:pPr>
      <w:r w:rsidRPr="20381F86">
        <w:rPr>
          <w:rFonts w:ascii="Arial" w:hAnsi="Arial" w:cs="Arial"/>
          <w:b/>
          <w:bCs/>
          <w:lang w:val="en-US"/>
        </w:rPr>
        <w:lastRenderedPageBreak/>
        <w:t>Resubmission pathways</w:t>
      </w:r>
    </w:p>
    <w:p w14:paraId="025CE011" w14:textId="198CC318" w:rsidR="005A0A21" w:rsidRPr="00292120" w:rsidDel="008F66B5" w:rsidRDefault="005A0A21" w:rsidP="00A94408">
      <w:pPr>
        <w:tabs>
          <w:tab w:val="left" w:pos="5210"/>
        </w:tabs>
        <w:rPr>
          <w:rFonts w:ascii="Arial" w:hAnsi="Arial" w:cs="Arial"/>
          <w:b/>
          <w:bCs/>
          <w:lang w:val="en-US"/>
        </w:rPr>
      </w:pPr>
    </w:p>
    <w:tbl>
      <w:tblPr>
        <w:tblW w:w="4701" w:type="pct"/>
        <w:tblInd w:w="416" w:type="dxa"/>
        <w:tblCellMar>
          <w:left w:w="0" w:type="dxa"/>
          <w:right w:w="0" w:type="dxa"/>
        </w:tblCellMar>
        <w:tblLook w:val="04A0" w:firstRow="1" w:lastRow="0" w:firstColumn="1" w:lastColumn="0" w:noHBand="0" w:noVBand="1"/>
      </w:tblPr>
      <w:tblGrid>
        <w:gridCol w:w="2068"/>
        <w:gridCol w:w="12390"/>
      </w:tblGrid>
      <w:tr w:rsidR="004A3371" w:rsidRPr="00292120" w:rsidDel="008F66B5" w14:paraId="1B32CA1F" w14:textId="277FF3EC" w:rsidTr="20381F86">
        <w:trPr>
          <w:cantSplit/>
          <w:trHeight w:val="300"/>
        </w:trPr>
        <w:tc>
          <w:tcPr>
            <w:tcW w:w="144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16822E31" w14:textId="5BE62756" w:rsidR="004A3371" w:rsidRPr="00292120" w:rsidDel="008F66B5" w:rsidRDefault="790B7E0C" w:rsidP="00A94408">
            <w:pPr>
              <w:rPr>
                <w:rFonts w:ascii="Arial" w:hAnsi="Arial" w:cs="Arial"/>
              </w:rPr>
            </w:pPr>
            <w:r w:rsidRPr="20381F86">
              <w:rPr>
                <w:rFonts w:ascii="Arial" w:hAnsi="Arial" w:cs="Arial"/>
                <w:color w:val="333333"/>
              </w:rPr>
              <w:t xml:space="preserve">There are four different resubmission pathways available to applicants following a ‘not recommended’ PBAC outcome. Resubmission pathways are not available for submissions that receive a positive recommendation from the PBAC. </w:t>
            </w:r>
            <w:r w:rsidRPr="20381F86">
              <w:rPr>
                <w:rFonts w:ascii="Arial" w:hAnsi="Arial" w:cs="Arial"/>
              </w:rPr>
              <w:t>The resubmission pathways are classified into the following categories:</w:t>
            </w:r>
          </w:p>
        </w:tc>
      </w:tr>
      <w:tr w:rsidR="004A3371" w:rsidRPr="00292120" w:rsidDel="008F66B5" w14:paraId="5A78A628" w14:textId="684A0CE2"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680C335" w14:textId="67B9A116" w:rsidR="004A3371" w:rsidRPr="00292120" w:rsidDel="008F66B5" w:rsidRDefault="790B7E0C" w:rsidP="00A94408">
            <w:pPr>
              <w:contextualSpacing/>
              <w:rPr>
                <w:rFonts w:ascii="Arial" w:hAnsi="Arial" w:cs="Arial"/>
                <w:b/>
                <w:bCs/>
              </w:rPr>
            </w:pPr>
            <w:r w:rsidRPr="20381F86">
              <w:rPr>
                <w:rFonts w:ascii="Arial" w:hAnsi="Arial" w:cs="Arial"/>
                <w:b/>
                <w:bCs/>
              </w:rPr>
              <w:t>Standard re-entry</w:t>
            </w:r>
          </w:p>
          <w:p w14:paraId="14CD87B9" w14:textId="5765AC1F" w:rsidR="004A3371" w:rsidRPr="00292120" w:rsidDel="008F66B5" w:rsidRDefault="004A3371" w:rsidP="00A94408">
            <w:pPr>
              <w:rPr>
                <w:rFonts w:ascii="Arial" w:hAnsi="Arial" w:cs="Arial"/>
                <w:b/>
                <w:bCs/>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2BDC71EA" w14:textId="0DDEF18F"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The Standard Re-entry Pathway is the default pathway for resubmissions and also applies where: </w:t>
            </w:r>
          </w:p>
          <w:p w14:paraId="430AF034" w14:textId="51DD2338"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chooses not to accept the PBAC nominated resubmission pathway; or </w:t>
            </w:r>
          </w:p>
          <w:p w14:paraId="15ADDEB3" w14:textId="4C3EDDB6"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Early Re-entry or Early Resolution Pathway has been nominated by the PBAC and an applicant decides to address issues other than those identified by the PBAC (including a subset of issues); or </w:t>
            </w:r>
          </w:p>
          <w:p w14:paraId="4A452A68" w14:textId="18E019CA" w:rsidR="004A3371" w:rsidRPr="00292120" w:rsidDel="008F66B5" w:rsidRDefault="790B7E0C" w:rsidP="00A94408">
            <w:pPr>
              <w:pStyle w:val="ListParagraph"/>
              <w:numPr>
                <w:ilvl w:val="0"/>
                <w:numId w:val="1"/>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an applicant decides to lodge later than the allowable timelines for the other pathways. </w:t>
            </w:r>
          </w:p>
        </w:tc>
      </w:tr>
      <w:tr w:rsidR="004A3371" w:rsidRPr="00292120" w:rsidDel="008F66B5" w14:paraId="46BDFCAF" w14:textId="3FB447C8"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618B2638" w14:textId="6DC57A07" w:rsidR="004A3371" w:rsidRPr="00292120" w:rsidDel="008F66B5" w:rsidRDefault="790B7E0C" w:rsidP="00A94408">
            <w:pPr>
              <w:contextualSpacing/>
              <w:rPr>
                <w:rFonts w:ascii="Arial" w:hAnsi="Arial" w:cs="Arial"/>
                <w:b/>
                <w:bCs/>
                <w:lang w:eastAsia="en-US"/>
              </w:rPr>
            </w:pPr>
            <w:r w:rsidRPr="20381F86">
              <w:rPr>
                <w:rFonts w:ascii="Arial" w:hAnsi="Arial" w:cs="Arial"/>
                <w:b/>
                <w:bCs/>
              </w:rPr>
              <w:t>Early re-entry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32461C72" w14:textId="1FCABCA8" w:rsidR="004A3371" w:rsidRPr="00292120" w:rsidDel="008F66B5" w:rsidRDefault="790B7E0C" w:rsidP="00A94408">
            <w:pPr>
              <w:contextualSpacing/>
              <w:rPr>
                <w:rFonts w:ascii="Arial" w:hAnsi="Arial" w:cs="Arial"/>
                <w:color w:val="000000"/>
              </w:rPr>
            </w:pPr>
            <w:r w:rsidRPr="20381F86">
              <w:rPr>
                <w:rFonts w:ascii="Arial" w:hAnsi="Arial" w:cs="Arial"/>
              </w:rPr>
              <w:t xml:space="preserve">An Early Re-entry Pathway may be nominated by the PBAC where the PBAC considers that the remaining issues could be easily resolved and the medicine or vaccine does not represent </w:t>
            </w:r>
            <w:r w:rsidR="64EC2FDB" w:rsidRPr="20381F86">
              <w:rPr>
                <w:rFonts w:ascii="Arial" w:hAnsi="Arial" w:cs="Arial"/>
                <w:color w:val="000000" w:themeColor="text1"/>
              </w:rPr>
              <w:t xml:space="preserve">High Added Therapeutic Value (HATV) </w:t>
            </w:r>
            <w:r w:rsidRPr="20381F86">
              <w:rPr>
                <w:rFonts w:ascii="Arial" w:hAnsi="Arial" w:cs="Arial"/>
              </w:rPr>
              <w:t>for the proposed population. Applicants who accept this pathway are eligible for PBAC consideration at the immediate next meeting.</w:t>
            </w:r>
          </w:p>
        </w:tc>
      </w:tr>
      <w:tr w:rsidR="004A3371" w:rsidRPr="00292120" w:rsidDel="008F66B5" w14:paraId="1A2475F2" w14:textId="4E349E5C"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0193930E" w14:textId="6A440925" w:rsidR="004A3371" w:rsidRPr="00292120" w:rsidDel="008F66B5" w:rsidRDefault="790B7E0C" w:rsidP="00A94408">
            <w:pPr>
              <w:rPr>
                <w:rFonts w:ascii="Arial" w:hAnsi="Arial" w:cs="Arial"/>
                <w:b/>
                <w:bCs/>
                <w:lang w:eastAsia="en-US"/>
              </w:rPr>
            </w:pPr>
            <w:r w:rsidRPr="20381F86">
              <w:rPr>
                <w:rFonts w:ascii="Arial" w:hAnsi="Arial" w:cs="Arial"/>
                <w:b/>
                <w:bCs/>
              </w:rPr>
              <w:t>Early resolution pathway</w:t>
            </w:r>
          </w:p>
          <w:p w14:paraId="157D2C85" w14:textId="4F1FB3F3" w:rsidR="004A3371" w:rsidRPr="00292120" w:rsidDel="008F66B5" w:rsidRDefault="004A3371" w:rsidP="00A94408">
            <w:pPr>
              <w:rPr>
                <w:rFonts w:ascii="Arial" w:hAnsi="Arial" w:cs="Arial"/>
              </w:rPr>
            </w:pP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21B924" w14:textId="5F0E3B99" w:rsidR="004A3371" w:rsidRPr="00292120" w:rsidDel="008F66B5" w:rsidRDefault="790B7E0C" w:rsidP="00A94408">
            <w:pPr>
              <w:autoSpaceDE w:val="0"/>
              <w:autoSpaceDN w:val="0"/>
              <w:rPr>
                <w:rFonts w:ascii="Arial" w:hAnsi="Arial" w:cs="Arial"/>
                <w:color w:val="000000"/>
              </w:rPr>
            </w:pPr>
            <w:r w:rsidRPr="20381F86">
              <w:rPr>
                <w:rFonts w:ascii="Arial" w:hAnsi="Arial" w:cs="Arial"/>
                <w:color w:val="000000" w:themeColor="text1"/>
              </w:rPr>
              <w:t xml:space="preserve">For medicines or vaccines deemed by the PBAC to represent HATV AND where the PBAC considers that the remaining issues could be easily resolved, including when: </w:t>
            </w:r>
          </w:p>
          <w:p w14:paraId="6EC882B7" w14:textId="521376DF"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new clinical study data requiring evaluation is not considered necessary by the PBAC to support new clinical claims to be made in the resubmission; and </w:t>
            </w:r>
          </w:p>
          <w:p w14:paraId="1D4B869E" w14:textId="7AD29ACC" w:rsidR="004A3371" w:rsidRPr="00292120" w:rsidDel="008F66B5" w:rsidRDefault="790B7E0C" w:rsidP="00A94408">
            <w:pPr>
              <w:pStyle w:val="ListParagraph"/>
              <w:numPr>
                <w:ilvl w:val="0"/>
                <w:numId w:val="2"/>
              </w:numPr>
              <w:autoSpaceDE w:val="0"/>
              <w:autoSpaceDN w:val="0"/>
              <w:rPr>
                <w:rFonts w:ascii="Arial" w:hAnsi="Arial" w:cs="Arial"/>
                <w:color w:val="000000"/>
                <w:sz w:val="20"/>
                <w:szCs w:val="20"/>
              </w:rPr>
            </w:pPr>
            <w:r w:rsidRPr="20381F86">
              <w:rPr>
                <w:rFonts w:ascii="Arial" w:hAnsi="Arial" w:cs="Arial"/>
                <w:color w:val="000000" w:themeColor="text1"/>
                <w:sz w:val="20"/>
                <w:szCs w:val="20"/>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4323C475" w:rsidR="004A3371" w:rsidRPr="00292120" w:rsidDel="008F66B5" w:rsidRDefault="790B7E0C" w:rsidP="00A94408">
            <w:pPr>
              <w:pStyle w:val="NormalWeb"/>
              <w:spacing w:before="0" w:beforeAutospacing="0" w:after="0" w:afterAutospacing="0"/>
              <w:rPr>
                <w:rFonts w:ascii="Arial" w:hAnsi="Arial" w:cs="Arial"/>
                <w:sz w:val="20"/>
                <w:szCs w:val="20"/>
              </w:rPr>
            </w:pPr>
            <w:r w:rsidRPr="20381F86">
              <w:rPr>
                <w:rFonts w:ascii="Arial" w:hAnsi="Arial" w:cs="Arial"/>
                <w:sz w:val="20"/>
                <w:szCs w:val="20"/>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292120" w:rsidDel="008F66B5" w14:paraId="1CF59836" w14:textId="2232F166" w:rsidTr="20381F86">
        <w:trPr>
          <w:cantSplit/>
          <w:trHeight w:val="300"/>
        </w:trPr>
        <w:tc>
          <w:tcPr>
            <w:tcW w:w="206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hideMark/>
          </w:tcPr>
          <w:p w14:paraId="03CD8847" w14:textId="0B33D246" w:rsidR="004A3371" w:rsidRPr="00292120" w:rsidDel="008F66B5" w:rsidRDefault="790B7E0C" w:rsidP="00A94408">
            <w:pPr>
              <w:rPr>
                <w:rFonts w:ascii="Arial" w:hAnsi="Arial" w:cs="Arial"/>
              </w:rPr>
            </w:pPr>
            <w:r w:rsidRPr="20381F86">
              <w:rPr>
                <w:rFonts w:ascii="Arial" w:hAnsi="Arial" w:cs="Arial"/>
                <w:b/>
                <w:bCs/>
              </w:rPr>
              <w:t>Facilitated resolution pathway</w:t>
            </w:r>
          </w:p>
        </w:tc>
        <w:tc>
          <w:tcPr>
            <w:tcW w:w="12390"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hideMark/>
          </w:tcPr>
          <w:p w14:paraId="7EF1CA94" w14:textId="3681875E" w:rsidR="004A3371" w:rsidRPr="00292120" w:rsidDel="008F66B5" w:rsidRDefault="790B7E0C" w:rsidP="00A94408">
            <w:pPr>
              <w:autoSpaceDE w:val="0"/>
              <w:autoSpaceDN w:val="0"/>
              <w:rPr>
                <w:rFonts w:ascii="Arial" w:hAnsi="Arial" w:cs="Arial"/>
                <w:b/>
                <w:bCs/>
                <w:highlight w:val="green"/>
              </w:rPr>
            </w:pPr>
            <w:r w:rsidRPr="20381F86">
              <w:rPr>
                <w:rFonts w:ascii="Arial" w:hAnsi="Arial" w:cs="Arial"/>
                <w:color w:val="000000" w:themeColor="text1"/>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6C9BA0D5" w14:textId="77777777" w:rsidR="00461045" w:rsidRPr="00292120" w:rsidRDefault="00461045" w:rsidP="00A94408">
      <w:pPr>
        <w:tabs>
          <w:tab w:val="left" w:pos="5210"/>
        </w:tabs>
        <w:rPr>
          <w:rFonts w:ascii="Arial" w:hAnsi="Arial" w:cs="Arial"/>
          <w:lang w:val="en-US"/>
        </w:rPr>
      </w:pPr>
    </w:p>
    <w:sectPr w:rsidR="00461045" w:rsidRPr="00292120" w:rsidSect="00257615">
      <w:headerReference w:type="default" r:id="rId11"/>
      <w:footerReference w:type="even" r:id="rId12"/>
      <w:footerReference w:type="defaul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7AEC" w14:textId="77777777" w:rsidR="00F51B58" w:rsidRDefault="00F51B58">
      <w:r>
        <w:separator/>
      </w:r>
    </w:p>
  </w:endnote>
  <w:endnote w:type="continuationSeparator" w:id="0">
    <w:p w14:paraId="50EDC132" w14:textId="77777777" w:rsidR="00F51B58" w:rsidRDefault="00F51B58">
      <w:r>
        <w:continuationSeparator/>
      </w:r>
    </w:p>
  </w:endnote>
  <w:endnote w:type="continuationNotice" w:id="1">
    <w:p w14:paraId="062C2A3D" w14:textId="77777777" w:rsidR="00F51B58" w:rsidRDefault="00F5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7BCB" w14:textId="77777777" w:rsidR="00E902E8" w:rsidRDefault="00E902E8"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E902E8" w:rsidRDefault="00E902E8"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80A" w14:textId="5E3AFE6F" w:rsidR="00E902E8" w:rsidRPr="00B46EE7" w:rsidRDefault="00E902E8" w:rsidP="00FE2A81">
    <w:pPr>
      <w:pStyle w:val="Footer"/>
      <w:framePr w:wrap="around" w:vAnchor="text" w:hAnchor="margin" w:xAlign="right" w:y="1"/>
      <w:rPr>
        <w:rStyle w:val="PageNumber"/>
        <w:rFonts w:ascii="Arial" w:hAnsi="Arial" w:cs="Arial"/>
        <w:b/>
        <w:bCs/>
      </w:rPr>
    </w:pPr>
    <w:r w:rsidRPr="00B46EE7">
      <w:rPr>
        <w:rStyle w:val="PageNumber"/>
        <w:rFonts w:ascii="Arial" w:hAnsi="Arial" w:cs="Arial"/>
        <w:b/>
        <w:bCs/>
      </w:rPr>
      <w:fldChar w:fldCharType="begin"/>
    </w:r>
    <w:r w:rsidRPr="00B0521C">
      <w:rPr>
        <w:rStyle w:val="PageNumber"/>
        <w:rFonts w:ascii="Arial" w:hAnsi="Arial" w:cs="Arial"/>
        <w:b/>
        <w:bCs/>
      </w:rPr>
      <w:instrText xml:space="preserve">PAGE  </w:instrText>
    </w:r>
    <w:r w:rsidRPr="00B46EE7">
      <w:rPr>
        <w:rStyle w:val="PageNumber"/>
        <w:rFonts w:ascii="Arial" w:hAnsi="Arial" w:cs="Arial"/>
        <w:b/>
        <w:bCs/>
      </w:rPr>
      <w:fldChar w:fldCharType="separate"/>
    </w:r>
    <w:r w:rsidRPr="00B0521C">
      <w:rPr>
        <w:rStyle w:val="PageNumber"/>
        <w:rFonts w:ascii="Arial" w:hAnsi="Arial" w:cs="Arial"/>
        <w:b/>
        <w:bCs/>
        <w:noProof/>
      </w:rPr>
      <w:t>65</w:t>
    </w:r>
    <w:r w:rsidRPr="00B46EE7">
      <w:rPr>
        <w:rStyle w:val="PageNumber"/>
        <w:rFonts w:ascii="Arial" w:hAnsi="Arial" w:cs="Arial"/>
        <w:b/>
        <w:bCs/>
      </w:rPr>
      <w:fldChar w:fldCharType="end"/>
    </w:r>
  </w:p>
  <w:p w14:paraId="429295B6" w14:textId="77777777" w:rsidR="00E902E8" w:rsidRDefault="00E902E8" w:rsidP="00B46EE7">
    <w:pPr>
      <w:pStyle w:val="Footer"/>
      <w:ind w:right="360"/>
    </w:pPr>
  </w:p>
  <w:p w14:paraId="56206A08" w14:textId="77777777" w:rsidR="00BA4987" w:rsidRDefault="00BA4987" w:rsidP="00B46E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DE2F" w14:textId="77777777" w:rsidR="00F51B58" w:rsidRDefault="00F51B58">
      <w:r>
        <w:separator/>
      </w:r>
    </w:p>
  </w:footnote>
  <w:footnote w:type="continuationSeparator" w:id="0">
    <w:p w14:paraId="7F216502" w14:textId="77777777" w:rsidR="00F51B58" w:rsidRDefault="00F51B58">
      <w:r>
        <w:continuationSeparator/>
      </w:r>
    </w:p>
  </w:footnote>
  <w:footnote w:type="continuationNotice" w:id="1">
    <w:p w14:paraId="3B306F8E" w14:textId="77777777" w:rsidR="00F51B58" w:rsidRDefault="00F51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6D89" w14:textId="77777777" w:rsidR="00E902E8" w:rsidRPr="00571206" w:rsidRDefault="00E902E8" w:rsidP="00571206">
    <w:pPr>
      <w:autoSpaceDE w:val="0"/>
      <w:autoSpaceDN w:val="0"/>
      <w:adjustRightInd w:val="0"/>
      <w:rPr>
        <w:rFonts w:ascii="Arial" w:hAnsi="Arial" w:cs="Arial"/>
        <w:color w:val="000000"/>
        <w:sz w:val="24"/>
        <w:szCs w:val="24"/>
      </w:rPr>
    </w:pPr>
  </w:p>
  <w:p w14:paraId="117035EF" w14:textId="1E14CCFB" w:rsidR="00E902E8" w:rsidRDefault="00E902E8"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1EC826D6" w:rsidR="00E902E8" w:rsidRDefault="003D69CD" w:rsidP="00571206">
    <w:pPr>
      <w:pStyle w:val="Header"/>
      <w:jc w:val="center"/>
      <w:rPr>
        <w:rFonts w:ascii="Arial" w:hAnsi="Arial" w:cs="Arial"/>
        <w:b/>
      </w:rPr>
    </w:pPr>
    <w:r>
      <w:rPr>
        <w:rFonts w:ascii="Arial" w:hAnsi="Arial" w:cs="Arial"/>
        <w:b/>
      </w:rPr>
      <w:t xml:space="preserve">MAY </w:t>
    </w:r>
    <w:r w:rsidR="00375520">
      <w:rPr>
        <w:rFonts w:ascii="Arial" w:hAnsi="Arial" w:cs="Arial"/>
        <w:b/>
      </w:rPr>
      <w:t>202</w:t>
    </w:r>
    <w:r w:rsidR="004F3DAC">
      <w:rPr>
        <w:rFonts w:ascii="Arial" w:hAnsi="Arial" w:cs="Arial"/>
        <w:b/>
      </w:rPr>
      <w:t>5</w:t>
    </w:r>
    <w:r w:rsidR="00E902E8">
      <w:rPr>
        <w:rFonts w:ascii="Arial" w:hAnsi="Arial" w:cs="Arial"/>
        <w:b/>
      </w:rPr>
      <w:t xml:space="preserve"> PBAC MEETING</w:t>
    </w:r>
  </w:p>
  <w:p w14:paraId="0E28AC1B" w14:textId="77777777" w:rsidR="00E902E8" w:rsidRPr="0071356F" w:rsidRDefault="00E902E8"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57C"/>
    <w:multiLevelType w:val="hybridMultilevel"/>
    <w:tmpl w:val="9DFA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DF7"/>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D2057"/>
    <w:multiLevelType w:val="hybridMultilevel"/>
    <w:tmpl w:val="B6A2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74855"/>
    <w:multiLevelType w:val="hybridMultilevel"/>
    <w:tmpl w:val="5F92E2E8"/>
    <w:lvl w:ilvl="0" w:tplc="95705C56">
      <w:start w:val="1"/>
      <w:numFmt w:val="bullet"/>
      <w:lvlText w:val=""/>
      <w:lvlJc w:val="left"/>
      <w:pPr>
        <w:ind w:left="1440" w:hanging="360"/>
      </w:pPr>
      <w:rPr>
        <w:rFonts w:ascii="Symbol" w:hAnsi="Symbol"/>
      </w:rPr>
    </w:lvl>
    <w:lvl w:ilvl="1" w:tplc="DE4E0ADA">
      <w:start w:val="1"/>
      <w:numFmt w:val="bullet"/>
      <w:lvlText w:val=""/>
      <w:lvlJc w:val="left"/>
      <w:pPr>
        <w:ind w:left="1440" w:hanging="360"/>
      </w:pPr>
      <w:rPr>
        <w:rFonts w:ascii="Symbol" w:hAnsi="Symbol"/>
      </w:rPr>
    </w:lvl>
    <w:lvl w:ilvl="2" w:tplc="CEE476C8">
      <w:start w:val="1"/>
      <w:numFmt w:val="bullet"/>
      <w:lvlText w:val=""/>
      <w:lvlJc w:val="left"/>
      <w:pPr>
        <w:ind w:left="1440" w:hanging="360"/>
      </w:pPr>
      <w:rPr>
        <w:rFonts w:ascii="Symbol" w:hAnsi="Symbol"/>
      </w:rPr>
    </w:lvl>
    <w:lvl w:ilvl="3" w:tplc="687CFBD4">
      <w:start w:val="1"/>
      <w:numFmt w:val="bullet"/>
      <w:lvlText w:val=""/>
      <w:lvlJc w:val="left"/>
      <w:pPr>
        <w:ind w:left="1440" w:hanging="360"/>
      </w:pPr>
      <w:rPr>
        <w:rFonts w:ascii="Symbol" w:hAnsi="Symbol"/>
      </w:rPr>
    </w:lvl>
    <w:lvl w:ilvl="4" w:tplc="B7CED7FC">
      <w:start w:val="1"/>
      <w:numFmt w:val="bullet"/>
      <w:lvlText w:val=""/>
      <w:lvlJc w:val="left"/>
      <w:pPr>
        <w:ind w:left="1440" w:hanging="360"/>
      </w:pPr>
      <w:rPr>
        <w:rFonts w:ascii="Symbol" w:hAnsi="Symbol"/>
      </w:rPr>
    </w:lvl>
    <w:lvl w:ilvl="5" w:tplc="8EB8D116">
      <w:start w:val="1"/>
      <w:numFmt w:val="bullet"/>
      <w:lvlText w:val=""/>
      <w:lvlJc w:val="left"/>
      <w:pPr>
        <w:ind w:left="1440" w:hanging="360"/>
      </w:pPr>
      <w:rPr>
        <w:rFonts w:ascii="Symbol" w:hAnsi="Symbol"/>
      </w:rPr>
    </w:lvl>
    <w:lvl w:ilvl="6" w:tplc="F4D403D4">
      <w:start w:val="1"/>
      <w:numFmt w:val="bullet"/>
      <w:lvlText w:val=""/>
      <w:lvlJc w:val="left"/>
      <w:pPr>
        <w:ind w:left="1440" w:hanging="360"/>
      </w:pPr>
      <w:rPr>
        <w:rFonts w:ascii="Symbol" w:hAnsi="Symbol"/>
      </w:rPr>
    </w:lvl>
    <w:lvl w:ilvl="7" w:tplc="55F869F0">
      <w:start w:val="1"/>
      <w:numFmt w:val="bullet"/>
      <w:lvlText w:val=""/>
      <w:lvlJc w:val="left"/>
      <w:pPr>
        <w:ind w:left="1440" w:hanging="360"/>
      </w:pPr>
      <w:rPr>
        <w:rFonts w:ascii="Symbol" w:hAnsi="Symbol"/>
      </w:rPr>
    </w:lvl>
    <w:lvl w:ilvl="8" w:tplc="AC942B20">
      <w:start w:val="1"/>
      <w:numFmt w:val="bullet"/>
      <w:lvlText w:val=""/>
      <w:lvlJc w:val="left"/>
      <w:pPr>
        <w:ind w:left="1440" w:hanging="360"/>
      </w:pPr>
      <w:rPr>
        <w:rFonts w:ascii="Symbol" w:hAnsi="Symbol"/>
      </w:rPr>
    </w:lvl>
  </w:abstractNum>
  <w:abstractNum w:abstractNumId="4" w15:restartNumberingAfterBreak="0">
    <w:nsid w:val="0F5E2F98"/>
    <w:multiLevelType w:val="hybridMultilevel"/>
    <w:tmpl w:val="0710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123E8"/>
    <w:multiLevelType w:val="hybridMultilevel"/>
    <w:tmpl w:val="81C00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172B47"/>
    <w:multiLevelType w:val="hybridMultilevel"/>
    <w:tmpl w:val="DFA08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2004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E75F17"/>
    <w:multiLevelType w:val="hybridMultilevel"/>
    <w:tmpl w:val="A22AC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542D2"/>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F32422"/>
    <w:multiLevelType w:val="hybridMultilevel"/>
    <w:tmpl w:val="A3629898"/>
    <w:lvl w:ilvl="0" w:tplc="0AD036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F4823"/>
    <w:multiLevelType w:val="hybridMultilevel"/>
    <w:tmpl w:val="A2EEF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D30749"/>
    <w:multiLevelType w:val="hybridMultilevel"/>
    <w:tmpl w:val="33ACD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7523A"/>
    <w:multiLevelType w:val="hybridMultilevel"/>
    <w:tmpl w:val="67B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F0D99"/>
    <w:multiLevelType w:val="hybridMultilevel"/>
    <w:tmpl w:val="3110C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3C4470"/>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385B2A"/>
    <w:multiLevelType w:val="hybridMultilevel"/>
    <w:tmpl w:val="41E42586"/>
    <w:lvl w:ilvl="0" w:tplc="CF3846C0">
      <w:start w:val="1"/>
      <w:numFmt w:val="bullet"/>
      <w:lvlText w:val=""/>
      <w:lvlJc w:val="left"/>
      <w:pPr>
        <w:ind w:left="1440" w:hanging="360"/>
      </w:pPr>
      <w:rPr>
        <w:rFonts w:ascii="Symbol" w:hAnsi="Symbol"/>
      </w:rPr>
    </w:lvl>
    <w:lvl w:ilvl="1" w:tplc="B53C3900">
      <w:start w:val="1"/>
      <w:numFmt w:val="bullet"/>
      <w:lvlText w:val=""/>
      <w:lvlJc w:val="left"/>
      <w:pPr>
        <w:ind w:left="1440" w:hanging="360"/>
      </w:pPr>
      <w:rPr>
        <w:rFonts w:ascii="Symbol" w:hAnsi="Symbol"/>
      </w:rPr>
    </w:lvl>
    <w:lvl w:ilvl="2" w:tplc="3DBA6542">
      <w:start w:val="1"/>
      <w:numFmt w:val="bullet"/>
      <w:lvlText w:val=""/>
      <w:lvlJc w:val="left"/>
      <w:pPr>
        <w:ind w:left="1440" w:hanging="360"/>
      </w:pPr>
      <w:rPr>
        <w:rFonts w:ascii="Symbol" w:hAnsi="Symbol"/>
      </w:rPr>
    </w:lvl>
    <w:lvl w:ilvl="3" w:tplc="F0EC15F8">
      <w:start w:val="1"/>
      <w:numFmt w:val="bullet"/>
      <w:lvlText w:val=""/>
      <w:lvlJc w:val="left"/>
      <w:pPr>
        <w:ind w:left="1440" w:hanging="360"/>
      </w:pPr>
      <w:rPr>
        <w:rFonts w:ascii="Symbol" w:hAnsi="Symbol"/>
      </w:rPr>
    </w:lvl>
    <w:lvl w:ilvl="4" w:tplc="3482D43C">
      <w:start w:val="1"/>
      <w:numFmt w:val="bullet"/>
      <w:lvlText w:val=""/>
      <w:lvlJc w:val="left"/>
      <w:pPr>
        <w:ind w:left="1440" w:hanging="360"/>
      </w:pPr>
      <w:rPr>
        <w:rFonts w:ascii="Symbol" w:hAnsi="Symbol"/>
      </w:rPr>
    </w:lvl>
    <w:lvl w:ilvl="5" w:tplc="8D16FCD8">
      <w:start w:val="1"/>
      <w:numFmt w:val="bullet"/>
      <w:lvlText w:val=""/>
      <w:lvlJc w:val="left"/>
      <w:pPr>
        <w:ind w:left="1440" w:hanging="360"/>
      </w:pPr>
      <w:rPr>
        <w:rFonts w:ascii="Symbol" w:hAnsi="Symbol"/>
      </w:rPr>
    </w:lvl>
    <w:lvl w:ilvl="6" w:tplc="B0DA1F34">
      <w:start w:val="1"/>
      <w:numFmt w:val="bullet"/>
      <w:lvlText w:val=""/>
      <w:lvlJc w:val="left"/>
      <w:pPr>
        <w:ind w:left="1440" w:hanging="360"/>
      </w:pPr>
      <w:rPr>
        <w:rFonts w:ascii="Symbol" w:hAnsi="Symbol"/>
      </w:rPr>
    </w:lvl>
    <w:lvl w:ilvl="7" w:tplc="8B441676">
      <w:start w:val="1"/>
      <w:numFmt w:val="bullet"/>
      <w:lvlText w:val=""/>
      <w:lvlJc w:val="left"/>
      <w:pPr>
        <w:ind w:left="1440" w:hanging="360"/>
      </w:pPr>
      <w:rPr>
        <w:rFonts w:ascii="Symbol" w:hAnsi="Symbol"/>
      </w:rPr>
    </w:lvl>
    <w:lvl w:ilvl="8" w:tplc="ED8CD9E0">
      <w:start w:val="1"/>
      <w:numFmt w:val="bullet"/>
      <w:lvlText w:val=""/>
      <w:lvlJc w:val="left"/>
      <w:pPr>
        <w:ind w:left="1440" w:hanging="360"/>
      </w:pPr>
      <w:rPr>
        <w:rFonts w:ascii="Symbol" w:hAnsi="Symbol"/>
      </w:rPr>
    </w:lvl>
  </w:abstractNum>
  <w:abstractNum w:abstractNumId="17" w15:restartNumberingAfterBreak="0">
    <w:nsid w:val="26CF0056"/>
    <w:multiLevelType w:val="hybridMultilevel"/>
    <w:tmpl w:val="A414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8" w15:restartNumberingAfterBreak="0">
    <w:nsid w:val="2959726F"/>
    <w:multiLevelType w:val="hybridMultilevel"/>
    <w:tmpl w:val="6EEAA5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FD6A05"/>
    <w:multiLevelType w:val="hybridMultilevel"/>
    <w:tmpl w:val="3494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A3B8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5A5B0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5C1725"/>
    <w:multiLevelType w:val="hybridMultilevel"/>
    <w:tmpl w:val="F0688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0F6FA3"/>
    <w:multiLevelType w:val="hybridMultilevel"/>
    <w:tmpl w:val="282ECA06"/>
    <w:lvl w:ilvl="0" w:tplc="CEF8AB5A">
      <w:start w:val="1"/>
      <w:numFmt w:val="bullet"/>
      <w:lvlText w:val=""/>
      <w:lvlJc w:val="left"/>
      <w:pPr>
        <w:ind w:left="720" w:hanging="360"/>
      </w:pPr>
      <w:rPr>
        <w:rFonts w:ascii="Symbol" w:hAnsi="Symbol"/>
      </w:rPr>
    </w:lvl>
    <w:lvl w:ilvl="1" w:tplc="2040BF9A">
      <w:start w:val="1"/>
      <w:numFmt w:val="bullet"/>
      <w:lvlText w:val=""/>
      <w:lvlJc w:val="left"/>
      <w:pPr>
        <w:ind w:left="720" w:hanging="360"/>
      </w:pPr>
      <w:rPr>
        <w:rFonts w:ascii="Symbol" w:hAnsi="Symbol"/>
      </w:rPr>
    </w:lvl>
    <w:lvl w:ilvl="2" w:tplc="088AE166">
      <w:start w:val="1"/>
      <w:numFmt w:val="bullet"/>
      <w:lvlText w:val=""/>
      <w:lvlJc w:val="left"/>
      <w:pPr>
        <w:ind w:left="720" w:hanging="360"/>
      </w:pPr>
      <w:rPr>
        <w:rFonts w:ascii="Symbol" w:hAnsi="Symbol"/>
      </w:rPr>
    </w:lvl>
    <w:lvl w:ilvl="3" w:tplc="B93EF51C">
      <w:start w:val="1"/>
      <w:numFmt w:val="bullet"/>
      <w:lvlText w:val=""/>
      <w:lvlJc w:val="left"/>
      <w:pPr>
        <w:ind w:left="720" w:hanging="360"/>
      </w:pPr>
      <w:rPr>
        <w:rFonts w:ascii="Symbol" w:hAnsi="Symbol"/>
      </w:rPr>
    </w:lvl>
    <w:lvl w:ilvl="4" w:tplc="E7BE2682">
      <w:start w:val="1"/>
      <w:numFmt w:val="bullet"/>
      <w:lvlText w:val=""/>
      <w:lvlJc w:val="left"/>
      <w:pPr>
        <w:ind w:left="720" w:hanging="360"/>
      </w:pPr>
      <w:rPr>
        <w:rFonts w:ascii="Symbol" w:hAnsi="Symbol"/>
      </w:rPr>
    </w:lvl>
    <w:lvl w:ilvl="5" w:tplc="8C3C55EE">
      <w:start w:val="1"/>
      <w:numFmt w:val="bullet"/>
      <w:lvlText w:val=""/>
      <w:lvlJc w:val="left"/>
      <w:pPr>
        <w:ind w:left="720" w:hanging="360"/>
      </w:pPr>
      <w:rPr>
        <w:rFonts w:ascii="Symbol" w:hAnsi="Symbol"/>
      </w:rPr>
    </w:lvl>
    <w:lvl w:ilvl="6" w:tplc="1D18998C">
      <w:start w:val="1"/>
      <w:numFmt w:val="bullet"/>
      <w:lvlText w:val=""/>
      <w:lvlJc w:val="left"/>
      <w:pPr>
        <w:ind w:left="720" w:hanging="360"/>
      </w:pPr>
      <w:rPr>
        <w:rFonts w:ascii="Symbol" w:hAnsi="Symbol"/>
      </w:rPr>
    </w:lvl>
    <w:lvl w:ilvl="7" w:tplc="F5C2C564">
      <w:start w:val="1"/>
      <w:numFmt w:val="bullet"/>
      <w:lvlText w:val=""/>
      <w:lvlJc w:val="left"/>
      <w:pPr>
        <w:ind w:left="720" w:hanging="360"/>
      </w:pPr>
      <w:rPr>
        <w:rFonts w:ascii="Symbol" w:hAnsi="Symbol"/>
      </w:rPr>
    </w:lvl>
    <w:lvl w:ilvl="8" w:tplc="1E96C5B2">
      <w:start w:val="1"/>
      <w:numFmt w:val="bullet"/>
      <w:lvlText w:val=""/>
      <w:lvlJc w:val="left"/>
      <w:pPr>
        <w:ind w:left="720" w:hanging="360"/>
      </w:pPr>
      <w:rPr>
        <w:rFonts w:ascii="Symbol" w:hAnsi="Symbol"/>
      </w:rPr>
    </w:lvl>
  </w:abstractNum>
  <w:abstractNum w:abstractNumId="25" w15:restartNumberingAfterBreak="0">
    <w:nsid w:val="341554A2"/>
    <w:multiLevelType w:val="hybridMultilevel"/>
    <w:tmpl w:val="41B2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393A4C"/>
    <w:multiLevelType w:val="hybridMultilevel"/>
    <w:tmpl w:val="8DAC99CE"/>
    <w:lvl w:ilvl="0" w:tplc="EDC895E8">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DC32C2"/>
    <w:multiLevelType w:val="hybridMultilevel"/>
    <w:tmpl w:val="A8904258"/>
    <w:lvl w:ilvl="0" w:tplc="3A82E9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2B0EF9"/>
    <w:multiLevelType w:val="hybridMultilevel"/>
    <w:tmpl w:val="274E6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4D3EC3"/>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3B13B7"/>
    <w:multiLevelType w:val="hybridMultilevel"/>
    <w:tmpl w:val="D6B45E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2" w15:restartNumberingAfterBreak="0">
    <w:nsid w:val="419E1075"/>
    <w:multiLevelType w:val="hybridMultilevel"/>
    <w:tmpl w:val="0CE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934841"/>
    <w:multiLevelType w:val="hybridMultilevel"/>
    <w:tmpl w:val="9D4C0956"/>
    <w:lvl w:ilvl="0" w:tplc="0ED2E4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510CFF"/>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344C6C"/>
    <w:multiLevelType w:val="hybridMultilevel"/>
    <w:tmpl w:val="F7263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0368AB"/>
    <w:multiLevelType w:val="hybridMultilevel"/>
    <w:tmpl w:val="96667622"/>
    <w:lvl w:ilvl="0" w:tplc="4CC6CD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8E2D82"/>
    <w:multiLevelType w:val="hybridMultilevel"/>
    <w:tmpl w:val="3F6A3322"/>
    <w:lvl w:ilvl="0" w:tplc="F036E636">
      <w:start w:val="1"/>
      <w:numFmt w:val="bullet"/>
      <w:lvlText w:val=""/>
      <w:lvlJc w:val="left"/>
      <w:pPr>
        <w:ind w:left="720" w:hanging="360"/>
      </w:pPr>
      <w:rPr>
        <w:rFonts w:ascii="Symbol" w:hAnsi="Symbol"/>
      </w:rPr>
    </w:lvl>
    <w:lvl w:ilvl="1" w:tplc="43882EFC">
      <w:start w:val="1"/>
      <w:numFmt w:val="bullet"/>
      <w:lvlText w:val=""/>
      <w:lvlJc w:val="left"/>
      <w:pPr>
        <w:ind w:left="720" w:hanging="360"/>
      </w:pPr>
      <w:rPr>
        <w:rFonts w:ascii="Symbol" w:hAnsi="Symbol"/>
      </w:rPr>
    </w:lvl>
    <w:lvl w:ilvl="2" w:tplc="CD54969C">
      <w:start w:val="1"/>
      <w:numFmt w:val="bullet"/>
      <w:lvlText w:val=""/>
      <w:lvlJc w:val="left"/>
      <w:pPr>
        <w:ind w:left="720" w:hanging="360"/>
      </w:pPr>
      <w:rPr>
        <w:rFonts w:ascii="Symbol" w:hAnsi="Symbol"/>
      </w:rPr>
    </w:lvl>
    <w:lvl w:ilvl="3" w:tplc="69E6105E">
      <w:start w:val="1"/>
      <w:numFmt w:val="bullet"/>
      <w:lvlText w:val=""/>
      <w:lvlJc w:val="left"/>
      <w:pPr>
        <w:ind w:left="720" w:hanging="360"/>
      </w:pPr>
      <w:rPr>
        <w:rFonts w:ascii="Symbol" w:hAnsi="Symbol"/>
      </w:rPr>
    </w:lvl>
    <w:lvl w:ilvl="4" w:tplc="61A68664">
      <w:start w:val="1"/>
      <w:numFmt w:val="bullet"/>
      <w:lvlText w:val=""/>
      <w:lvlJc w:val="left"/>
      <w:pPr>
        <w:ind w:left="720" w:hanging="360"/>
      </w:pPr>
      <w:rPr>
        <w:rFonts w:ascii="Symbol" w:hAnsi="Symbol"/>
      </w:rPr>
    </w:lvl>
    <w:lvl w:ilvl="5" w:tplc="460A48AE">
      <w:start w:val="1"/>
      <w:numFmt w:val="bullet"/>
      <w:lvlText w:val=""/>
      <w:lvlJc w:val="left"/>
      <w:pPr>
        <w:ind w:left="720" w:hanging="360"/>
      </w:pPr>
      <w:rPr>
        <w:rFonts w:ascii="Symbol" w:hAnsi="Symbol"/>
      </w:rPr>
    </w:lvl>
    <w:lvl w:ilvl="6" w:tplc="C696FB9E">
      <w:start w:val="1"/>
      <w:numFmt w:val="bullet"/>
      <w:lvlText w:val=""/>
      <w:lvlJc w:val="left"/>
      <w:pPr>
        <w:ind w:left="720" w:hanging="360"/>
      </w:pPr>
      <w:rPr>
        <w:rFonts w:ascii="Symbol" w:hAnsi="Symbol"/>
      </w:rPr>
    </w:lvl>
    <w:lvl w:ilvl="7" w:tplc="9190B6F4">
      <w:start w:val="1"/>
      <w:numFmt w:val="bullet"/>
      <w:lvlText w:val=""/>
      <w:lvlJc w:val="left"/>
      <w:pPr>
        <w:ind w:left="720" w:hanging="360"/>
      </w:pPr>
      <w:rPr>
        <w:rFonts w:ascii="Symbol" w:hAnsi="Symbol"/>
      </w:rPr>
    </w:lvl>
    <w:lvl w:ilvl="8" w:tplc="1C1255B6">
      <w:start w:val="1"/>
      <w:numFmt w:val="bullet"/>
      <w:lvlText w:val=""/>
      <w:lvlJc w:val="left"/>
      <w:pPr>
        <w:ind w:left="720" w:hanging="360"/>
      </w:pPr>
      <w:rPr>
        <w:rFonts w:ascii="Symbol" w:hAnsi="Symbol"/>
      </w:rPr>
    </w:lvl>
  </w:abstractNum>
  <w:abstractNum w:abstractNumId="39" w15:restartNumberingAfterBreak="0">
    <w:nsid w:val="48E5325C"/>
    <w:multiLevelType w:val="hybridMultilevel"/>
    <w:tmpl w:val="465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1" w15:restartNumberingAfterBreak="0">
    <w:nsid w:val="4B6E11C9"/>
    <w:multiLevelType w:val="hybridMultilevel"/>
    <w:tmpl w:val="DB9C7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3" w15:restartNumberingAfterBreak="0">
    <w:nsid w:val="4E94483F"/>
    <w:multiLevelType w:val="hybridMultilevel"/>
    <w:tmpl w:val="DDD6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3433AA"/>
    <w:multiLevelType w:val="hybridMultilevel"/>
    <w:tmpl w:val="2A3EE49E"/>
    <w:lvl w:ilvl="0" w:tplc="72188A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2F4FE4"/>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C97701"/>
    <w:multiLevelType w:val="hybridMultilevel"/>
    <w:tmpl w:val="522A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E617972"/>
    <w:multiLevelType w:val="hybridMultilevel"/>
    <w:tmpl w:val="CD32B0FA"/>
    <w:lvl w:ilvl="0" w:tplc="FF0899FC">
      <w:start w:val="1"/>
      <w:numFmt w:val="bullet"/>
      <w:lvlText w:val=""/>
      <w:lvlJc w:val="left"/>
      <w:pPr>
        <w:ind w:left="720" w:hanging="360"/>
      </w:pPr>
      <w:rPr>
        <w:rFonts w:ascii="Symbol" w:hAnsi="Symbol"/>
      </w:rPr>
    </w:lvl>
    <w:lvl w:ilvl="1" w:tplc="DAF69C6C">
      <w:start w:val="1"/>
      <w:numFmt w:val="bullet"/>
      <w:lvlText w:val=""/>
      <w:lvlJc w:val="left"/>
      <w:pPr>
        <w:ind w:left="720" w:hanging="360"/>
      </w:pPr>
      <w:rPr>
        <w:rFonts w:ascii="Symbol" w:hAnsi="Symbol"/>
      </w:rPr>
    </w:lvl>
    <w:lvl w:ilvl="2" w:tplc="7B8C1B16">
      <w:start w:val="1"/>
      <w:numFmt w:val="bullet"/>
      <w:lvlText w:val=""/>
      <w:lvlJc w:val="left"/>
      <w:pPr>
        <w:ind w:left="720" w:hanging="360"/>
      </w:pPr>
      <w:rPr>
        <w:rFonts w:ascii="Symbol" w:hAnsi="Symbol"/>
      </w:rPr>
    </w:lvl>
    <w:lvl w:ilvl="3" w:tplc="6DF85986">
      <w:start w:val="1"/>
      <w:numFmt w:val="bullet"/>
      <w:lvlText w:val=""/>
      <w:lvlJc w:val="left"/>
      <w:pPr>
        <w:ind w:left="720" w:hanging="360"/>
      </w:pPr>
      <w:rPr>
        <w:rFonts w:ascii="Symbol" w:hAnsi="Symbol"/>
      </w:rPr>
    </w:lvl>
    <w:lvl w:ilvl="4" w:tplc="E6226CE6">
      <w:start w:val="1"/>
      <w:numFmt w:val="bullet"/>
      <w:lvlText w:val=""/>
      <w:lvlJc w:val="left"/>
      <w:pPr>
        <w:ind w:left="720" w:hanging="360"/>
      </w:pPr>
      <w:rPr>
        <w:rFonts w:ascii="Symbol" w:hAnsi="Symbol"/>
      </w:rPr>
    </w:lvl>
    <w:lvl w:ilvl="5" w:tplc="4B846BD2">
      <w:start w:val="1"/>
      <w:numFmt w:val="bullet"/>
      <w:lvlText w:val=""/>
      <w:lvlJc w:val="left"/>
      <w:pPr>
        <w:ind w:left="720" w:hanging="360"/>
      </w:pPr>
      <w:rPr>
        <w:rFonts w:ascii="Symbol" w:hAnsi="Symbol"/>
      </w:rPr>
    </w:lvl>
    <w:lvl w:ilvl="6" w:tplc="C66CAB50">
      <w:start w:val="1"/>
      <w:numFmt w:val="bullet"/>
      <w:lvlText w:val=""/>
      <w:lvlJc w:val="left"/>
      <w:pPr>
        <w:ind w:left="720" w:hanging="360"/>
      </w:pPr>
      <w:rPr>
        <w:rFonts w:ascii="Symbol" w:hAnsi="Symbol"/>
      </w:rPr>
    </w:lvl>
    <w:lvl w:ilvl="7" w:tplc="CE4610C0">
      <w:start w:val="1"/>
      <w:numFmt w:val="bullet"/>
      <w:lvlText w:val=""/>
      <w:lvlJc w:val="left"/>
      <w:pPr>
        <w:ind w:left="720" w:hanging="360"/>
      </w:pPr>
      <w:rPr>
        <w:rFonts w:ascii="Symbol" w:hAnsi="Symbol"/>
      </w:rPr>
    </w:lvl>
    <w:lvl w:ilvl="8" w:tplc="119E41B6">
      <w:start w:val="1"/>
      <w:numFmt w:val="bullet"/>
      <w:lvlText w:val=""/>
      <w:lvlJc w:val="left"/>
      <w:pPr>
        <w:ind w:left="720" w:hanging="360"/>
      </w:pPr>
      <w:rPr>
        <w:rFonts w:ascii="Symbol" w:hAnsi="Symbol"/>
      </w:rPr>
    </w:lvl>
  </w:abstractNum>
  <w:abstractNum w:abstractNumId="48" w15:restartNumberingAfterBreak="0">
    <w:nsid w:val="62910E89"/>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2B1460"/>
    <w:multiLevelType w:val="hybridMultilevel"/>
    <w:tmpl w:val="B0A08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EB7BA9"/>
    <w:multiLevelType w:val="hybridMultilevel"/>
    <w:tmpl w:val="A756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8321CCF"/>
    <w:multiLevelType w:val="hybridMultilevel"/>
    <w:tmpl w:val="F5D0E7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DD1F31"/>
    <w:multiLevelType w:val="hybridMultilevel"/>
    <w:tmpl w:val="979EF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E6F75A3"/>
    <w:multiLevelType w:val="hybridMultilevel"/>
    <w:tmpl w:val="617420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5D4EDC"/>
    <w:multiLevelType w:val="hybridMultilevel"/>
    <w:tmpl w:val="7968F776"/>
    <w:lvl w:ilvl="0" w:tplc="B92670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E0726B"/>
    <w:multiLevelType w:val="hybridMultilevel"/>
    <w:tmpl w:val="643A8A08"/>
    <w:lvl w:ilvl="0" w:tplc="B7C6AC5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0A3D01"/>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F15BEB"/>
    <w:multiLevelType w:val="hybridMultilevel"/>
    <w:tmpl w:val="1D34A118"/>
    <w:lvl w:ilvl="0" w:tplc="97181EEA">
      <w:start w:val="1"/>
      <w:numFmt w:val="bullet"/>
      <w:lvlText w:val=""/>
      <w:lvlJc w:val="left"/>
      <w:pPr>
        <w:ind w:left="1440" w:hanging="360"/>
      </w:pPr>
      <w:rPr>
        <w:rFonts w:ascii="Symbol" w:hAnsi="Symbol"/>
      </w:rPr>
    </w:lvl>
    <w:lvl w:ilvl="1" w:tplc="54884C16">
      <w:start w:val="1"/>
      <w:numFmt w:val="bullet"/>
      <w:lvlText w:val=""/>
      <w:lvlJc w:val="left"/>
      <w:pPr>
        <w:ind w:left="1440" w:hanging="360"/>
      </w:pPr>
      <w:rPr>
        <w:rFonts w:ascii="Symbol" w:hAnsi="Symbol"/>
      </w:rPr>
    </w:lvl>
    <w:lvl w:ilvl="2" w:tplc="3C9A4136">
      <w:start w:val="1"/>
      <w:numFmt w:val="bullet"/>
      <w:lvlText w:val=""/>
      <w:lvlJc w:val="left"/>
      <w:pPr>
        <w:ind w:left="1440" w:hanging="360"/>
      </w:pPr>
      <w:rPr>
        <w:rFonts w:ascii="Symbol" w:hAnsi="Symbol"/>
      </w:rPr>
    </w:lvl>
    <w:lvl w:ilvl="3" w:tplc="1B0E6CEC">
      <w:start w:val="1"/>
      <w:numFmt w:val="bullet"/>
      <w:lvlText w:val=""/>
      <w:lvlJc w:val="left"/>
      <w:pPr>
        <w:ind w:left="1440" w:hanging="360"/>
      </w:pPr>
      <w:rPr>
        <w:rFonts w:ascii="Symbol" w:hAnsi="Symbol"/>
      </w:rPr>
    </w:lvl>
    <w:lvl w:ilvl="4" w:tplc="11B4A37A">
      <w:start w:val="1"/>
      <w:numFmt w:val="bullet"/>
      <w:lvlText w:val=""/>
      <w:lvlJc w:val="left"/>
      <w:pPr>
        <w:ind w:left="1440" w:hanging="360"/>
      </w:pPr>
      <w:rPr>
        <w:rFonts w:ascii="Symbol" w:hAnsi="Symbol"/>
      </w:rPr>
    </w:lvl>
    <w:lvl w:ilvl="5" w:tplc="E73EC97E">
      <w:start w:val="1"/>
      <w:numFmt w:val="bullet"/>
      <w:lvlText w:val=""/>
      <w:lvlJc w:val="left"/>
      <w:pPr>
        <w:ind w:left="1440" w:hanging="360"/>
      </w:pPr>
      <w:rPr>
        <w:rFonts w:ascii="Symbol" w:hAnsi="Symbol"/>
      </w:rPr>
    </w:lvl>
    <w:lvl w:ilvl="6" w:tplc="6FA8F2E0">
      <w:start w:val="1"/>
      <w:numFmt w:val="bullet"/>
      <w:lvlText w:val=""/>
      <w:lvlJc w:val="left"/>
      <w:pPr>
        <w:ind w:left="1440" w:hanging="360"/>
      </w:pPr>
      <w:rPr>
        <w:rFonts w:ascii="Symbol" w:hAnsi="Symbol"/>
      </w:rPr>
    </w:lvl>
    <w:lvl w:ilvl="7" w:tplc="2C38D8A6">
      <w:start w:val="1"/>
      <w:numFmt w:val="bullet"/>
      <w:lvlText w:val=""/>
      <w:lvlJc w:val="left"/>
      <w:pPr>
        <w:ind w:left="1440" w:hanging="360"/>
      </w:pPr>
      <w:rPr>
        <w:rFonts w:ascii="Symbol" w:hAnsi="Symbol"/>
      </w:rPr>
    </w:lvl>
    <w:lvl w:ilvl="8" w:tplc="1588712E">
      <w:start w:val="1"/>
      <w:numFmt w:val="bullet"/>
      <w:lvlText w:val=""/>
      <w:lvlJc w:val="left"/>
      <w:pPr>
        <w:ind w:left="1440" w:hanging="360"/>
      </w:pPr>
      <w:rPr>
        <w:rFonts w:ascii="Symbol" w:hAnsi="Symbol"/>
      </w:rPr>
    </w:lvl>
  </w:abstractNum>
  <w:abstractNum w:abstractNumId="58" w15:restartNumberingAfterBreak="0">
    <w:nsid w:val="73234DD2"/>
    <w:multiLevelType w:val="hybridMultilevel"/>
    <w:tmpl w:val="9402B6BC"/>
    <w:lvl w:ilvl="0" w:tplc="E2D82A90">
      <w:start w:val="1"/>
      <w:numFmt w:val="bullet"/>
      <w:lvlText w:val=""/>
      <w:lvlJc w:val="left"/>
      <w:pPr>
        <w:ind w:left="720" w:hanging="360"/>
      </w:pPr>
      <w:rPr>
        <w:rFonts w:ascii="Symbol" w:hAnsi="Symbol"/>
      </w:rPr>
    </w:lvl>
    <w:lvl w:ilvl="1" w:tplc="5D782C0E">
      <w:start w:val="1"/>
      <w:numFmt w:val="bullet"/>
      <w:lvlText w:val=""/>
      <w:lvlJc w:val="left"/>
      <w:pPr>
        <w:ind w:left="720" w:hanging="360"/>
      </w:pPr>
      <w:rPr>
        <w:rFonts w:ascii="Symbol" w:hAnsi="Symbol"/>
      </w:rPr>
    </w:lvl>
    <w:lvl w:ilvl="2" w:tplc="6248DDC0">
      <w:start w:val="1"/>
      <w:numFmt w:val="bullet"/>
      <w:lvlText w:val=""/>
      <w:lvlJc w:val="left"/>
      <w:pPr>
        <w:ind w:left="720" w:hanging="360"/>
      </w:pPr>
      <w:rPr>
        <w:rFonts w:ascii="Symbol" w:hAnsi="Symbol"/>
      </w:rPr>
    </w:lvl>
    <w:lvl w:ilvl="3" w:tplc="CF1E3504">
      <w:start w:val="1"/>
      <w:numFmt w:val="bullet"/>
      <w:lvlText w:val=""/>
      <w:lvlJc w:val="left"/>
      <w:pPr>
        <w:ind w:left="720" w:hanging="360"/>
      </w:pPr>
      <w:rPr>
        <w:rFonts w:ascii="Symbol" w:hAnsi="Symbol"/>
      </w:rPr>
    </w:lvl>
    <w:lvl w:ilvl="4" w:tplc="47723E1E">
      <w:start w:val="1"/>
      <w:numFmt w:val="bullet"/>
      <w:lvlText w:val=""/>
      <w:lvlJc w:val="left"/>
      <w:pPr>
        <w:ind w:left="720" w:hanging="360"/>
      </w:pPr>
      <w:rPr>
        <w:rFonts w:ascii="Symbol" w:hAnsi="Symbol"/>
      </w:rPr>
    </w:lvl>
    <w:lvl w:ilvl="5" w:tplc="61A8C094">
      <w:start w:val="1"/>
      <w:numFmt w:val="bullet"/>
      <w:lvlText w:val=""/>
      <w:lvlJc w:val="left"/>
      <w:pPr>
        <w:ind w:left="720" w:hanging="360"/>
      </w:pPr>
      <w:rPr>
        <w:rFonts w:ascii="Symbol" w:hAnsi="Symbol"/>
      </w:rPr>
    </w:lvl>
    <w:lvl w:ilvl="6" w:tplc="731EDD8A">
      <w:start w:val="1"/>
      <w:numFmt w:val="bullet"/>
      <w:lvlText w:val=""/>
      <w:lvlJc w:val="left"/>
      <w:pPr>
        <w:ind w:left="720" w:hanging="360"/>
      </w:pPr>
      <w:rPr>
        <w:rFonts w:ascii="Symbol" w:hAnsi="Symbol"/>
      </w:rPr>
    </w:lvl>
    <w:lvl w:ilvl="7" w:tplc="7D908074">
      <w:start w:val="1"/>
      <w:numFmt w:val="bullet"/>
      <w:lvlText w:val=""/>
      <w:lvlJc w:val="left"/>
      <w:pPr>
        <w:ind w:left="720" w:hanging="360"/>
      </w:pPr>
      <w:rPr>
        <w:rFonts w:ascii="Symbol" w:hAnsi="Symbol"/>
      </w:rPr>
    </w:lvl>
    <w:lvl w:ilvl="8" w:tplc="6A6638C4">
      <w:start w:val="1"/>
      <w:numFmt w:val="bullet"/>
      <w:lvlText w:val=""/>
      <w:lvlJc w:val="left"/>
      <w:pPr>
        <w:ind w:left="720" w:hanging="360"/>
      </w:pPr>
      <w:rPr>
        <w:rFonts w:ascii="Symbol" w:hAnsi="Symbol"/>
      </w:rPr>
    </w:lvl>
  </w:abstractNum>
  <w:abstractNum w:abstractNumId="59" w15:restartNumberingAfterBreak="0">
    <w:nsid w:val="7390380D"/>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49763E"/>
    <w:multiLevelType w:val="hybridMultilevel"/>
    <w:tmpl w:val="88049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F9586D"/>
    <w:multiLevelType w:val="hybridMultilevel"/>
    <w:tmpl w:val="142C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087ED8"/>
    <w:multiLevelType w:val="hybridMultilevel"/>
    <w:tmpl w:val="D3FE6A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3" w15:restartNumberingAfterBreak="0">
    <w:nsid w:val="784D033C"/>
    <w:multiLevelType w:val="multilevel"/>
    <w:tmpl w:val="CC92A716"/>
    <w:lvl w:ilvl="0">
      <w:start w:val="1"/>
      <w:numFmt w:val="decimal"/>
      <w:pStyle w:val="2-SectionHeading"/>
      <w:lvlText w:val="%1"/>
      <w:lvlJc w:val="left"/>
      <w:pPr>
        <w:ind w:left="720" w:hanging="720"/>
      </w:pPr>
      <w:rPr>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78AE75E8"/>
    <w:multiLevelType w:val="hybridMultilevel"/>
    <w:tmpl w:val="F7263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6B2804"/>
    <w:multiLevelType w:val="hybridMultilevel"/>
    <w:tmpl w:val="9D6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021DBB"/>
    <w:multiLevelType w:val="hybridMultilevel"/>
    <w:tmpl w:val="7E5CF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184386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50695">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367">
    <w:abstractNumId w:val="53"/>
  </w:num>
  <w:num w:numId="4" w16cid:durableId="1955818708">
    <w:abstractNumId w:val="12"/>
  </w:num>
  <w:num w:numId="5" w16cid:durableId="1762793081">
    <w:abstractNumId w:val="17"/>
  </w:num>
  <w:num w:numId="6" w16cid:durableId="1063870176">
    <w:abstractNumId w:val="8"/>
  </w:num>
  <w:num w:numId="7" w16cid:durableId="17202420">
    <w:abstractNumId w:val="21"/>
  </w:num>
  <w:num w:numId="8" w16cid:durableId="1042025453">
    <w:abstractNumId w:val="46"/>
  </w:num>
  <w:num w:numId="9" w16cid:durableId="6538040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588150">
    <w:abstractNumId w:val="30"/>
  </w:num>
  <w:num w:numId="11" w16cid:durableId="1146433718">
    <w:abstractNumId w:val="14"/>
  </w:num>
  <w:num w:numId="12" w16cid:durableId="403258695">
    <w:abstractNumId w:val="60"/>
  </w:num>
  <w:num w:numId="13" w16cid:durableId="1862627038">
    <w:abstractNumId w:val="65"/>
  </w:num>
  <w:num w:numId="14" w16cid:durableId="1933540907">
    <w:abstractNumId w:val="19"/>
  </w:num>
  <w:num w:numId="15" w16cid:durableId="410933758">
    <w:abstractNumId w:val="27"/>
  </w:num>
  <w:num w:numId="16" w16cid:durableId="1277060000">
    <w:abstractNumId w:val="35"/>
  </w:num>
  <w:num w:numId="17" w16cid:durableId="932201648">
    <w:abstractNumId w:val="63"/>
  </w:num>
  <w:num w:numId="18" w16cid:durableId="871497882">
    <w:abstractNumId w:val="11"/>
  </w:num>
  <w:num w:numId="19" w16cid:durableId="2057124610">
    <w:abstractNumId w:val="52"/>
  </w:num>
  <w:num w:numId="20" w16cid:durableId="174879048">
    <w:abstractNumId w:val="26"/>
  </w:num>
  <w:num w:numId="21" w16cid:durableId="258415052">
    <w:abstractNumId w:val="51"/>
  </w:num>
  <w:num w:numId="22" w16cid:durableId="1753772491">
    <w:abstractNumId w:val="55"/>
  </w:num>
  <w:num w:numId="23" w16cid:durableId="701518877">
    <w:abstractNumId w:val="49"/>
  </w:num>
  <w:num w:numId="24" w16cid:durableId="1493136778">
    <w:abstractNumId w:val="33"/>
  </w:num>
  <w:num w:numId="25" w16cid:durableId="527648721">
    <w:abstractNumId w:val="10"/>
  </w:num>
  <w:num w:numId="26" w16cid:durableId="753933244">
    <w:abstractNumId w:val="44"/>
  </w:num>
  <w:num w:numId="27" w16cid:durableId="1139153049">
    <w:abstractNumId w:val="36"/>
  </w:num>
  <w:num w:numId="28" w16cid:durableId="699205066">
    <w:abstractNumId w:val="22"/>
  </w:num>
  <w:num w:numId="29" w16cid:durableId="1951667345">
    <w:abstractNumId w:val="9"/>
  </w:num>
  <w:num w:numId="30" w16cid:durableId="860750086">
    <w:abstractNumId w:val="48"/>
  </w:num>
  <w:num w:numId="31" w16cid:durableId="2092240650">
    <w:abstractNumId w:val="1"/>
  </w:num>
  <w:num w:numId="32" w16cid:durableId="20669193">
    <w:abstractNumId w:val="7"/>
  </w:num>
  <w:num w:numId="33" w16cid:durableId="602032988">
    <w:abstractNumId w:val="34"/>
  </w:num>
  <w:num w:numId="34" w16cid:durableId="795491393">
    <w:abstractNumId w:val="20"/>
  </w:num>
  <w:num w:numId="35" w16cid:durableId="1371421239">
    <w:abstractNumId w:val="59"/>
  </w:num>
  <w:num w:numId="36" w16cid:durableId="495536337">
    <w:abstractNumId w:val="64"/>
  </w:num>
  <w:num w:numId="37" w16cid:durableId="508719203">
    <w:abstractNumId w:val="15"/>
  </w:num>
  <w:num w:numId="38" w16cid:durableId="258568966">
    <w:abstractNumId w:val="29"/>
  </w:num>
  <w:num w:numId="39" w16cid:durableId="1399867477">
    <w:abstractNumId w:val="45"/>
  </w:num>
  <w:num w:numId="40" w16cid:durableId="1150096549">
    <w:abstractNumId w:val="56"/>
  </w:num>
  <w:num w:numId="41" w16cid:durableId="1847667302">
    <w:abstractNumId w:val="32"/>
  </w:num>
  <w:num w:numId="42" w16cid:durableId="1178958632">
    <w:abstractNumId w:val="61"/>
  </w:num>
  <w:num w:numId="43" w16cid:durableId="764303977">
    <w:abstractNumId w:val="37"/>
  </w:num>
  <w:num w:numId="44" w16cid:durableId="645934640">
    <w:abstractNumId w:val="6"/>
  </w:num>
  <w:num w:numId="45" w16cid:durableId="1871991393">
    <w:abstractNumId w:val="4"/>
  </w:num>
  <w:num w:numId="46" w16cid:durableId="1059479469">
    <w:abstractNumId w:val="25"/>
  </w:num>
  <w:num w:numId="47" w16cid:durableId="2069498770">
    <w:abstractNumId w:val="13"/>
  </w:num>
  <w:num w:numId="48" w16cid:durableId="722487997">
    <w:abstractNumId w:val="2"/>
  </w:num>
  <w:num w:numId="49" w16cid:durableId="1622765155">
    <w:abstractNumId w:val="50"/>
  </w:num>
  <w:num w:numId="50" w16cid:durableId="1981885625">
    <w:abstractNumId w:val="66"/>
  </w:num>
  <w:num w:numId="51" w16cid:durableId="1588225749">
    <w:abstractNumId w:val="39"/>
  </w:num>
  <w:num w:numId="52" w16cid:durableId="1233615601">
    <w:abstractNumId w:val="57"/>
  </w:num>
  <w:num w:numId="53" w16cid:durableId="1957903164">
    <w:abstractNumId w:val="16"/>
  </w:num>
  <w:num w:numId="54" w16cid:durableId="113528507">
    <w:abstractNumId w:val="58"/>
  </w:num>
  <w:num w:numId="55" w16cid:durableId="609044352">
    <w:abstractNumId w:val="47"/>
  </w:num>
  <w:num w:numId="56" w16cid:durableId="1704600303">
    <w:abstractNumId w:val="24"/>
  </w:num>
  <w:num w:numId="57" w16cid:durableId="1602568203">
    <w:abstractNumId w:val="38"/>
  </w:num>
  <w:num w:numId="58" w16cid:durableId="1486430306">
    <w:abstractNumId w:val="0"/>
  </w:num>
  <w:num w:numId="59" w16cid:durableId="234127176">
    <w:abstractNumId w:val="31"/>
  </w:num>
  <w:num w:numId="60" w16cid:durableId="2103794336">
    <w:abstractNumId w:val="62"/>
  </w:num>
  <w:num w:numId="61" w16cid:durableId="1903590950">
    <w:abstractNumId w:val="28"/>
  </w:num>
  <w:num w:numId="62" w16cid:durableId="1809662724">
    <w:abstractNumId w:val="3"/>
  </w:num>
  <w:num w:numId="63" w16cid:durableId="1377510151">
    <w:abstractNumId w:val="23"/>
  </w:num>
  <w:num w:numId="64" w16cid:durableId="1755781740">
    <w:abstractNumId w:val="43"/>
  </w:num>
  <w:num w:numId="65" w16cid:durableId="74058971">
    <w:abstractNumId w:val="54"/>
  </w:num>
  <w:num w:numId="66" w16cid:durableId="369300931">
    <w:abstractNumId w:val="5"/>
  </w:num>
  <w:num w:numId="67" w16cid:durableId="1781758842">
    <w:abstractNumId w:val="18"/>
  </w:num>
  <w:num w:numId="68" w16cid:durableId="172316847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B27"/>
    <w:rsid w:val="00000C2B"/>
    <w:rsid w:val="00001364"/>
    <w:rsid w:val="0000162D"/>
    <w:rsid w:val="000017CE"/>
    <w:rsid w:val="0000217D"/>
    <w:rsid w:val="00002288"/>
    <w:rsid w:val="00002868"/>
    <w:rsid w:val="00002E16"/>
    <w:rsid w:val="00002E7D"/>
    <w:rsid w:val="0000304C"/>
    <w:rsid w:val="000034C3"/>
    <w:rsid w:val="00003584"/>
    <w:rsid w:val="00004628"/>
    <w:rsid w:val="0000462B"/>
    <w:rsid w:val="00004D33"/>
    <w:rsid w:val="00004D75"/>
    <w:rsid w:val="00004F9D"/>
    <w:rsid w:val="000053F8"/>
    <w:rsid w:val="0000554D"/>
    <w:rsid w:val="00005B5B"/>
    <w:rsid w:val="00005DD2"/>
    <w:rsid w:val="00005EC6"/>
    <w:rsid w:val="00005F17"/>
    <w:rsid w:val="00005FA7"/>
    <w:rsid w:val="000063DB"/>
    <w:rsid w:val="000065C9"/>
    <w:rsid w:val="000068DD"/>
    <w:rsid w:val="00006BB1"/>
    <w:rsid w:val="00006E1B"/>
    <w:rsid w:val="0000733C"/>
    <w:rsid w:val="000074BD"/>
    <w:rsid w:val="00007932"/>
    <w:rsid w:val="00007BAD"/>
    <w:rsid w:val="00007D69"/>
    <w:rsid w:val="000102AF"/>
    <w:rsid w:val="000102C6"/>
    <w:rsid w:val="00010379"/>
    <w:rsid w:val="000104B9"/>
    <w:rsid w:val="00010886"/>
    <w:rsid w:val="00010920"/>
    <w:rsid w:val="00010B32"/>
    <w:rsid w:val="00010EF9"/>
    <w:rsid w:val="00011394"/>
    <w:rsid w:val="00011420"/>
    <w:rsid w:val="0001152D"/>
    <w:rsid w:val="000118E3"/>
    <w:rsid w:val="00011DBF"/>
    <w:rsid w:val="00011EA7"/>
    <w:rsid w:val="000120D3"/>
    <w:rsid w:val="000128E9"/>
    <w:rsid w:val="000129ED"/>
    <w:rsid w:val="00012DEC"/>
    <w:rsid w:val="00013238"/>
    <w:rsid w:val="00013284"/>
    <w:rsid w:val="0001362E"/>
    <w:rsid w:val="000136A0"/>
    <w:rsid w:val="00013785"/>
    <w:rsid w:val="00014746"/>
    <w:rsid w:val="000147E4"/>
    <w:rsid w:val="00014B96"/>
    <w:rsid w:val="00014DC1"/>
    <w:rsid w:val="00014FF8"/>
    <w:rsid w:val="00015091"/>
    <w:rsid w:val="00015520"/>
    <w:rsid w:val="000155A7"/>
    <w:rsid w:val="00015748"/>
    <w:rsid w:val="00015DFE"/>
    <w:rsid w:val="00016092"/>
    <w:rsid w:val="0001617C"/>
    <w:rsid w:val="00016211"/>
    <w:rsid w:val="0001634D"/>
    <w:rsid w:val="00016386"/>
    <w:rsid w:val="00016707"/>
    <w:rsid w:val="00016960"/>
    <w:rsid w:val="00016F44"/>
    <w:rsid w:val="00017050"/>
    <w:rsid w:val="000171D6"/>
    <w:rsid w:val="00017870"/>
    <w:rsid w:val="000179CE"/>
    <w:rsid w:val="00017CDE"/>
    <w:rsid w:val="00020127"/>
    <w:rsid w:val="00020764"/>
    <w:rsid w:val="00020827"/>
    <w:rsid w:val="000209C6"/>
    <w:rsid w:val="00020D50"/>
    <w:rsid w:val="00020EB1"/>
    <w:rsid w:val="000210EB"/>
    <w:rsid w:val="0002174C"/>
    <w:rsid w:val="00021B23"/>
    <w:rsid w:val="000220E8"/>
    <w:rsid w:val="00022361"/>
    <w:rsid w:val="000223D3"/>
    <w:rsid w:val="00022435"/>
    <w:rsid w:val="00022686"/>
    <w:rsid w:val="000228B1"/>
    <w:rsid w:val="00022BDB"/>
    <w:rsid w:val="00022BF5"/>
    <w:rsid w:val="0002300F"/>
    <w:rsid w:val="0002305C"/>
    <w:rsid w:val="000231EA"/>
    <w:rsid w:val="00023228"/>
    <w:rsid w:val="00023422"/>
    <w:rsid w:val="000235A6"/>
    <w:rsid w:val="00023817"/>
    <w:rsid w:val="0002401C"/>
    <w:rsid w:val="00024248"/>
    <w:rsid w:val="000245BC"/>
    <w:rsid w:val="0002470A"/>
    <w:rsid w:val="00024B49"/>
    <w:rsid w:val="00024CE2"/>
    <w:rsid w:val="0002564D"/>
    <w:rsid w:val="00025967"/>
    <w:rsid w:val="00025F56"/>
    <w:rsid w:val="00026187"/>
    <w:rsid w:val="0002655C"/>
    <w:rsid w:val="00026954"/>
    <w:rsid w:val="0002716D"/>
    <w:rsid w:val="00027346"/>
    <w:rsid w:val="00027672"/>
    <w:rsid w:val="00027773"/>
    <w:rsid w:val="00027845"/>
    <w:rsid w:val="00027AB0"/>
    <w:rsid w:val="0002DC56"/>
    <w:rsid w:val="0003017D"/>
    <w:rsid w:val="00030263"/>
    <w:rsid w:val="00030320"/>
    <w:rsid w:val="00030887"/>
    <w:rsid w:val="00030A03"/>
    <w:rsid w:val="00030A49"/>
    <w:rsid w:val="000311AC"/>
    <w:rsid w:val="0003160F"/>
    <w:rsid w:val="00031946"/>
    <w:rsid w:val="00031FAB"/>
    <w:rsid w:val="00032078"/>
    <w:rsid w:val="00032180"/>
    <w:rsid w:val="00032226"/>
    <w:rsid w:val="0003225B"/>
    <w:rsid w:val="000322EC"/>
    <w:rsid w:val="00032403"/>
    <w:rsid w:val="000324DA"/>
    <w:rsid w:val="00032AB9"/>
    <w:rsid w:val="00032CE5"/>
    <w:rsid w:val="00033178"/>
    <w:rsid w:val="00033A72"/>
    <w:rsid w:val="00033AE2"/>
    <w:rsid w:val="00033D0B"/>
    <w:rsid w:val="00033D40"/>
    <w:rsid w:val="00034086"/>
    <w:rsid w:val="00034121"/>
    <w:rsid w:val="00034321"/>
    <w:rsid w:val="00034AE8"/>
    <w:rsid w:val="00034CCA"/>
    <w:rsid w:val="000350A9"/>
    <w:rsid w:val="00035472"/>
    <w:rsid w:val="0003551E"/>
    <w:rsid w:val="00035622"/>
    <w:rsid w:val="00035C4A"/>
    <w:rsid w:val="00035CFA"/>
    <w:rsid w:val="00036501"/>
    <w:rsid w:val="00036531"/>
    <w:rsid w:val="000365B0"/>
    <w:rsid w:val="00036CF7"/>
    <w:rsid w:val="00037175"/>
    <w:rsid w:val="00037F52"/>
    <w:rsid w:val="0004019D"/>
    <w:rsid w:val="0004054A"/>
    <w:rsid w:val="000407E0"/>
    <w:rsid w:val="00040C0F"/>
    <w:rsid w:val="000412FE"/>
    <w:rsid w:val="00041467"/>
    <w:rsid w:val="0004160D"/>
    <w:rsid w:val="00041F3D"/>
    <w:rsid w:val="00042017"/>
    <w:rsid w:val="0004257E"/>
    <w:rsid w:val="00042593"/>
    <w:rsid w:val="00042704"/>
    <w:rsid w:val="000428E8"/>
    <w:rsid w:val="00042970"/>
    <w:rsid w:val="000433CA"/>
    <w:rsid w:val="00043755"/>
    <w:rsid w:val="00043C1D"/>
    <w:rsid w:val="00044146"/>
    <w:rsid w:val="0004459D"/>
    <w:rsid w:val="0004479C"/>
    <w:rsid w:val="00044BB4"/>
    <w:rsid w:val="00045450"/>
    <w:rsid w:val="00045AE5"/>
    <w:rsid w:val="00045BFA"/>
    <w:rsid w:val="00046725"/>
    <w:rsid w:val="000468C0"/>
    <w:rsid w:val="00046DA2"/>
    <w:rsid w:val="000470CA"/>
    <w:rsid w:val="000478B3"/>
    <w:rsid w:val="00047C23"/>
    <w:rsid w:val="0005008F"/>
    <w:rsid w:val="00050762"/>
    <w:rsid w:val="000507B9"/>
    <w:rsid w:val="00050DA9"/>
    <w:rsid w:val="000510F0"/>
    <w:rsid w:val="0005132F"/>
    <w:rsid w:val="0005150B"/>
    <w:rsid w:val="00051AF5"/>
    <w:rsid w:val="00051F8F"/>
    <w:rsid w:val="00052E3F"/>
    <w:rsid w:val="00053AB1"/>
    <w:rsid w:val="000548C7"/>
    <w:rsid w:val="00054B8B"/>
    <w:rsid w:val="00054EA7"/>
    <w:rsid w:val="00055866"/>
    <w:rsid w:val="00055A01"/>
    <w:rsid w:val="000563D8"/>
    <w:rsid w:val="0005661F"/>
    <w:rsid w:val="00057006"/>
    <w:rsid w:val="000575B4"/>
    <w:rsid w:val="000601EA"/>
    <w:rsid w:val="000603A0"/>
    <w:rsid w:val="000603CB"/>
    <w:rsid w:val="000605F9"/>
    <w:rsid w:val="0006084C"/>
    <w:rsid w:val="000608FE"/>
    <w:rsid w:val="00060E7B"/>
    <w:rsid w:val="000615B0"/>
    <w:rsid w:val="000617D0"/>
    <w:rsid w:val="00061C73"/>
    <w:rsid w:val="00061E01"/>
    <w:rsid w:val="0006239E"/>
    <w:rsid w:val="0006295A"/>
    <w:rsid w:val="00062AF3"/>
    <w:rsid w:val="00062DBE"/>
    <w:rsid w:val="00062EE7"/>
    <w:rsid w:val="00062F87"/>
    <w:rsid w:val="00062FEE"/>
    <w:rsid w:val="0006305A"/>
    <w:rsid w:val="00063210"/>
    <w:rsid w:val="0006339E"/>
    <w:rsid w:val="000634F5"/>
    <w:rsid w:val="0006357B"/>
    <w:rsid w:val="00063B11"/>
    <w:rsid w:val="00063D17"/>
    <w:rsid w:val="000643D0"/>
    <w:rsid w:val="000648E2"/>
    <w:rsid w:val="000650C3"/>
    <w:rsid w:val="00065195"/>
    <w:rsid w:val="00065350"/>
    <w:rsid w:val="00065584"/>
    <w:rsid w:val="00065C22"/>
    <w:rsid w:val="00066645"/>
    <w:rsid w:val="000666A9"/>
    <w:rsid w:val="00066CF6"/>
    <w:rsid w:val="0006717D"/>
    <w:rsid w:val="000672D3"/>
    <w:rsid w:val="0006744F"/>
    <w:rsid w:val="00067A06"/>
    <w:rsid w:val="00067E91"/>
    <w:rsid w:val="00070204"/>
    <w:rsid w:val="00070550"/>
    <w:rsid w:val="00070612"/>
    <w:rsid w:val="0007061C"/>
    <w:rsid w:val="00070D59"/>
    <w:rsid w:val="00071230"/>
    <w:rsid w:val="000714CE"/>
    <w:rsid w:val="00071D67"/>
    <w:rsid w:val="0007221C"/>
    <w:rsid w:val="0007257C"/>
    <w:rsid w:val="00072584"/>
    <w:rsid w:val="000726C3"/>
    <w:rsid w:val="000728AC"/>
    <w:rsid w:val="00072E3B"/>
    <w:rsid w:val="00072F02"/>
    <w:rsid w:val="00072F85"/>
    <w:rsid w:val="0007309C"/>
    <w:rsid w:val="00073432"/>
    <w:rsid w:val="00073C49"/>
    <w:rsid w:val="00074126"/>
    <w:rsid w:val="00074BFE"/>
    <w:rsid w:val="00074D5B"/>
    <w:rsid w:val="00074E67"/>
    <w:rsid w:val="0007567B"/>
    <w:rsid w:val="00075B7E"/>
    <w:rsid w:val="00076287"/>
    <w:rsid w:val="00076297"/>
    <w:rsid w:val="00076AED"/>
    <w:rsid w:val="00076BC0"/>
    <w:rsid w:val="00077533"/>
    <w:rsid w:val="00077555"/>
    <w:rsid w:val="00077A40"/>
    <w:rsid w:val="00077D5C"/>
    <w:rsid w:val="00077F45"/>
    <w:rsid w:val="00080510"/>
    <w:rsid w:val="000809F7"/>
    <w:rsid w:val="00081153"/>
    <w:rsid w:val="00081DCD"/>
    <w:rsid w:val="00082053"/>
    <w:rsid w:val="00082507"/>
    <w:rsid w:val="0008274B"/>
    <w:rsid w:val="000827F9"/>
    <w:rsid w:val="00082A9D"/>
    <w:rsid w:val="00082ED9"/>
    <w:rsid w:val="000834C8"/>
    <w:rsid w:val="00083789"/>
    <w:rsid w:val="00083792"/>
    <w:rsid w:val="000839D5"/>
    <w:rsid w:val="00083A63"/>
    <w:rsid w:val="00083BE8"/>
    <w:rsid w:val="00083E6A"/>
    <w:rsid w:val="00084012"/>
    <w:rsid w:val="00084017"/>
    <w:rsid w:val="0008415A"/>
    <w:rsid w:val="00084264"/>
    <w:rsid w:val="000842BB"/>
    <w:rsid w:val="00084B20"/>
    <w:rsid w:val="00084CED"/>
    <w:rsid w:val="00084D37"/>
    <w:rsid w:val="00084E9F"/>
    <w:rsid w:val="000855C9"/>
    <w:rsid w:val="0008574F"/>
    <w:rsid w:val="00085A38"/>
    <w:rsid w:val="00085F9C"/>
    <w:rsid w:val="00086013"/>
    <w:rsid w:val="0008619D"/>
    <w:rsid w:val="0008687E"/>
    <w:rsid w:val="000868A3"/>
    <w:rsid w:val="00086D66"/>
    <w:rsid w:val="000872FA"/>
    <w:rsid w:val="0008737D"/>
    <w:rsid w:val="000879A5"/>
    <w:rsid w:val="00090385"/>
    <w:rsid w:val="000908F9"/>
    <w:rsid w:val="00090D21"/>
    <w:rsid w:val="00090E77"/>
    <w:rsid w:val="00090F42"/>
    <w:rsid w:val="00091262"/>
    <w:rsid w:val="00091269"/>
    <w:rsid w:val="000921BC"/>
    <w:rsid w:val="00092523"/>
    <w:rsid w:val="0009260A"/>
    <w:rsid w:val="00093960"/>
    <w:rsid w:val="00093FE9"/>
    <w:rsid w:val="0009421C"/>
    <w:rsid w:val="0009470A"/>
    <w:rsid w:val="00095C30"/>
    <w:rsid w:val="000968AD"/>
    <w:rsid w:val="00096AAC"/>
    <w:rsid w:val="00096B9F"/>
    <w:rsid w:val="00096E39"/>
    <w:rsid w:val="0009704F"/>
    <w:rsid w:val="000972AC"/>
    <w:rsid w:val="00097C0E"/>
    <w:rsid w:val="00097D99"/>
    <w:rsid w:val="00097ED4"/>
    <w:rsid w:val="000A0004"/>
    <w:rsid w:val="000A0466"/>
    <w:rsid w:val="000A06D9"/>
    <w:rsid w:val="000A084E"/>
    <w:rsid w:val="000A1188"/>
    <w:rsid w:val="000A1E1C"/>
    <w:rsid w:val="000A1F85"/>
    <w:rsid w:val="000A2697"/>
    <w:rsid w:val="000A26EE"/>
    <w:rsid w:val="000A29FA"/>
    <w:rsid w:val="000A2A86"/>
    <w:rsid w:val="000A2C2D"/>
    <w:rsid w:val="000A2DE4"/>
    <w:rsid w:val="000A2DFF"/>
    <w:rsid w:val="000A2FEC"/>
    <w:rsid w:val="000A30CC"/>
    <w:rsid w:val="000A3BB7"/>
    <w:rsid w:val="000A4187"/>
    <w:rsid w:val="000A418B"/>
    <w:rsid w:val="000A46FC"/>
    <w:rsid w:val="000A4955"/>
    <w:rsid w:val="000A4C9A"/>
    <w:rsid w:val="000A570D"/>
    <w:rsid w:val="000A59CC"/>
    <w:rsid w:val="000A5D40"/>
    <w:rsid w:val="000A6103"/>
    <w:rsid w:val="000A636F"/>
    <w:rsid w:val="000A647F"/>
    <w:rsid w:val="000A64C7"/>
    <w:rsid w:val="000A6654"/>
    <w:rsid w:val="000A6C92"/>
    <w:rsid w:val="000A7C8A"/>
    <w:rsid w:val="000A7F23"/>
    <w:rsid w:val="000B060D"/>
    <w:rsid w:val="000B0C47"/>
    <w:rsid w:val="000B1170"/>
    <w:rsid w:val="000B1811"/>
    <w:rsid w:val="000B1A6E"/>
    <w:rsid w:val="000B21DD"/>
    <w:rsid w:val="000B2F97"/>
    <w:rsid w:val="000B2FF6"/>
    <w:rsid w:val="000B3004"/>
    <w:rsid w:val="000B3043"/>
    <w:rsid w:val="000B3252"/>
    <w:rsid w:val="000B34FA"/>
    <w:rsid w:val="000B3688"/>
    <w:rsid w:val="000B36FE"/>
    <w:rsid w:val="000B372D"/>
    <w:rsid w:val="000B38D3"/>
    <w:rsid w:val="000B47CF"/>
    <w:rsid w:val="000B4A8E"/>
    <w:rsid w:val="000B5120"/>
    <w:rsid w:val="000B588A"/>
    <w:rsid w:val="000B5B24"/>
    <w:rsid w:val="000B5B51"/>
    <w:rsid w:val="000B5D32"/>
    <w:rsid w:val="000B624B"/>
    <w:rsid w:val="000B6487"/>
    <w:rsid w:val="000B6824"/>
    <w:rsid w:val="000B6DBE"/>
    <w:rsid w:val="000B7528"/>
    <w:rsid w:val="000B771A"/>
    <w:rsid w:val="000B7A91"/>
    <w:rsid w:val="000B7F45"/>
    <w:rsid w:val="000C0114"/>
    <w:rsid w:val="000C0211"/>
    <w:rsid w:val="000C040A"/>
    <w:rsid w:val="000C0497"/>
    <w:rsid w:val="000C0C31"/>
    <w:rsid w:val="000C0E21"/>
    <w:rsid w:val="000C11B0"/>
    <w:rsid w:val="000C147A"/>
    <w:rsid w:val="000C158C"/>
    <w:rsid w:val="000C15DB"/>
    <w:rsid w:val="000C1963"/>
    <w:rsid w:val="000C1A94"/>
    <w:rsid w:val="000C1BA1"/>
    <w:rsid w:val="000C1DF3"/>
    <w:rsid w:val="000C219D"/>
    <w:rsid w:val="000C22B0"/>
    <w:rsid w:val="000C2786"/>
    <w:rsid w:val="000C294C"/>
    <w:rsid w:val="000C2E72"/>
    <w:rsid w:val="000C2FFA"/>
    <w:rsid w:val="000C3369"/>
    <w:rsid w:val="000C339F"/>
    <w:rsid w:val="000C3428"/>
    <w:rsid w:val="000C34BA"/>
    <w:rsid w:val="000C3841"/>
    <w:rsid w:val="000C3CAA"/>
    <w:rsid w:val="000C3F2C"/>
    <w:rsid w:val="000C3FC1"/>
    <w:rsid w:val="000C45E3"/>
    <w:rsid w:val="000C4805"/>
    <w:rsid w:val="000C494F"/>
    <w:rsid w:val="000C4B6C"/>
    <w:rsid w:val="000C5084"/>
    <w:rsid w:val="000C545B"/>
    <w:rsid w:val="000C56B4"/>
    <w:rsid w:val="000C586F"/>
    <w:rsid w:val="000C5A78"/>
    <w:rsid w:val="000C5B48"/>
    <w:rsid w:val="000C661A"/>
    <w:rsid w:val="000C77A9"/>
    <w:rsid w:val="000D04DB"/>
    <w:rsid w:val="000D0D8B"/>
    <w:rsid w:val="000D1292"/>
    <w:rsid w:val="000D14F1"/>
    <w:rsid w:val="000D1785"/>
    <w:rsid w:val="000D17E0"/>
    <w:rsid w:val="000D1C61"/>
    <w:rsid w:val="000D20F2"/>
    <w:rsid w:val="000D2AFE"/>
    <w:rsid w:val="000D2BC3"/>
    <w:rsid w:val="000D2D84"/>
    <w:rsid w:val="000D3190"/>
    <w:rsid w:val="000D3239"/>
    <w:rsid w:val="000D3BC0"/>
    <w:rsid w:val="000D3DA7"/>
    <w:rsid w:val="000D3ECA"/>
    <w:rsid w:val="000D400D"/>
    <w:rsid w:val="000D418F"/>
    <w:rsid w:val="000D420F"/>
    <w:rsid w:val="000D4551"/>
    <w:rsid w:val="000D53FC"/>
    <w:rsid w:val="000D5520"/>
    <w:rsid w:val="000D5763"/>
    <w:rsid w:val="000D5D71"/>
    <w:rsid w:val="000D5EFB"/>
    <w:rsid w:val="000D6416"/>
    <w:rsid w:val="000D66F5"/>
    <w:rsid w:val="000D7005"/>
    <w:rsid w:val="000D7661"/>
    <w:rsid w:val="000D79EB"/>
    <w:rsid w:val="000D7E0C"/>
    <w:rsid w:val="000D7E79"/>
    <w:rsid w:val="000D7F3B"/>
    <w:rsid w:val="000E055E"/>
    <w:rsid w:val="000E08A5"/>
    <w:rsid w:val="000E0C55"/>
    <w:rsid w:val="000E1259"/>
    <w:rsid w:val="000E12D5"/>
    <w:rsid w:val="000E15F8"/>
    <w:rsid w:val="000E18FB"/>
    <w:rsid w:val="000E1E84"/>
    <w:rsid w:val="000E2097"/>
    <w:rsid w:val="000E21D8"/>
    <w:rsid w:val="000E2360"/>
    <w:rsid w:val="000E2C73"/>
    <w:rsid w:val="000E2C8F"/>
    <w:rsid w:val="000E2CCD"/>
    <w:rsid w:val="000E2CD7"/>
    <w:rsid w:val="000E2EA3"/>
    <w:rsid w:val="000E31F7"/>
    <w:rsid w:val="000E3B38"/>
    <w:rsid w:val="000E3BFC"/>
    <w:rsid w:val="000E4B3E"/>
    <w:rsid w:val="000E4C15"/>
    <w:rsid w:val="000E539F"/>
    <w:rsid w:val="000E5563"/>
    <w:rsid w:val="000E5739"/>
    <w:rsid w:val="000E58C5"/>
    <w:rsid w:val="000E5D90"/>
    <w:rsid w:val="000E6793"/>
    <w:rsid w:val="000E6CF9"/>
    <w:rsid w:val="000E7005"/>
    <w:rsid w:val="000E72B8"/>
    <w:rsid w:val="000E73BD"/>
    <w:rsid w:val="000E76F0"/>
    <w:rsid w:val="000F0297"/>
    <w:rsid w:val="000F069C"/>
    <w:rsid w:val="000F0A1A"/>
    <w:rsid w:val="000F0B27"/>
    <w:rsid w:val="000F0D4C"/>
    <w:rsid w:val="000F0D73"/>
    <w:rsid w:val="000F0DFC"/>
    <w:rsid w:val="000F0E95"/>
    <w:rsid w:val="000F14EE"/>
    <w:rsid w:val="000F18F2"/>
    <w:rsid w:val="000F1D4F"/>
    <w:rsid w:val="000F26BE"/>
    <w:rsid w:val="000F2E82"/>
    <w:rsid w:val="000F305F"/>
    <w:rsid w:val="000F3A4F"/>
    <w:rsid w:val="000F3D50"/>
    <w:rsid w:val="000F4952"/>
    <w:rsid w:val="000F56C3"/>
    <w:rsid w:val="000F5D35"/>
    <w:rsid w:val="000F5DDE"/>
    <w:rsid w:val="000F67B1"/>
    <w:rsid w:val="000F69EF"/>
    <w:rsid w:val="000F6F0D"/>
    <w:rsid w:val="000F71CE"/>
    <w:rsid w:val="000F7390"/>
    <w:rsid w:val="000F7D67"/>
    <w:rsid w:val="001000EA"/>
    <w:rsid w:val="00100A53"/>
    <w:rsid w:val="00100B0B"/>
    <w:rsid w:val="001025E7"/>
    <w:rsid w:val="0010275F"/>
    <w:rsid w:val="001029B4"/>
    <w:rsid w:val="0010316E"/>
    <w:rsid w:val="001033CF"/>
    <w:rsid w:val="001038BB"/>
    <w:rsid w:val="00103D55"/>
    <w:rsid w:val="00103E13"/>
    <w:rsid w:val="00103F76"/>
    <w:rsid w:val="00104326"/>
    <w:rsid w:val="0010469E"/>
    <w:rsid w:val="001049E3"/>
    <w:rsid w:val="00104A50"/>
    <w:rsid w:val="00104C50"/>
    <w:rsid w:val="00105880"/>
    <w:rsid w:val="001059F0"/>
    <w:rsid w:val="001060A3"/>
    <w:rsid w:val="00106615"/>
    <w:rsid w:val="001067CF"/>
    <w:rsid w:val="00107038"/>
    <w:rsid w:val="00107219"/>
    <w:rsid w:val="00107405"/>
    <w:rsid w:val="001074AC"/>
    <w:rsid w:val="00107D47"/>
    <w:rsid w:val="001101E1"/>
    <w:rsid w:val="00110379"/>
    <w:rsid w:val="001103CF"/>
    <w:rsid w:val="00110471"/>
    <w:rsid w:val="001108E0"/>
    <w:rsid w:val="00111F4C"/>
    <w:rsid w:val="001122F9"/>
    <w:rsid w:val="00112358"/>
    <w:rsid w:val="0011254F"/>
    <w:rsid w:val="00112561"/>
    <w:rsid w:val="001129E8"/>
    <w:rsid w:val="00112BA9"/>
    <w:rsid w:val="0011385A"/>
    <w:rsid w:val="00113C3D"/>
    <w:rsid w:val="00113C76"/>
    <w:rsid w:val="00114588"/>
    <w:rsid w:val="001149B9"/>
    <w:rsid w:val="00114A58"/>
    <w:rsid w:val="00114D12"/>
    <w:rsid w:val="00115257"/>
    <w:rsid w:val="00115629"/>
    <w:rsid w:val="001158B6"/>
    <w:rsid w:val="00115966"/>
    <w:rsid w:val="00115B67"/>
    <w:rsid w:val="00115C32"/>
    <w:rsid w:val="0011605A"/>
    <w:rsid w:val="00116222"/>
    <w:rsid w:val="001165DD"/>
    <w:rsid w:val="001171CB"/>
    <w:rsid w:val="00117210"/>
    <w:rsid w:val="0011744C"/>
    <w:rsid w:val="001178A1"/>
    <w:rsid w:val="00117AF4"/>
    <w:rsid w:val="00120070"/>
    <w:rsid w:val="0012010D"/>
    <w:rsid w:val="00120A89"/>
    <w:rsid w:val="00120F0F"/>
    <w:rsid w:val="00120FAC"/>
    <w:rsid w:val="00121311"/>
    <w:rsid w:val="00121A8E"/>
    <w:rsid w:val="00121BF6"/>
    <w:rsid w:val="00122A1C"/>
    <w:rsid w:val="00123810"/>
    <w:rsid w:val="00123872"/>
    <w:rsid w:val="00123C91"/>
    <w:rsid w:val="001242F1"/>
    <w:rsid w:val="00124585"/>
    <w:rsid w:val="00124CFC"/>
    <w:rsid w:val="00124D80"/>
    <w:rsid w:val="00125074"/>
    <w:rsid w:val="00125CB8"/>
    <w:rsid w:val="001261A9"/>
    <w:rsid w:val="001267DB"/>
    <w:rsid w:val="001275A6"/>
    <w:rsid w:val="001276FB"/>
    <w:rsid w:val="00127B37"/>
    <w:rsid w:val="00130019"/>
    <w:rsid w:val="001302D0"/>
    <w:rsid w:val="00130C57"/>
    <w:rsid w:val="00130D30"/>
    <w:rsid w:val="00131290"/>
    <w:rsid w:val="0013141F"/>
    <w:rsid w:val="00131431"/>
    <w:rsid w:val="001317A0"/>
    <w:rsid w:val="001317E4"/>
    <w:rsid w:val="00131CB1"/>
    <w:rsid w:val="00131D1A"/>
    <w:rsid w:val="00132052"/>
    <w:rsid w:val="0013211B"/>
    <w:rsid w:val="0013270B"/>
    <w:rsid w:val="001329B7"/>
    <w:rsid w:val="001329EA"/>
    <w:rsid w:val="00132A3A"/>
    <w:rsid w:val="00132DAB"/>
    <w:rsid w:val="00132FA5"/>
    <w:rsid w:val="001334F9"/>
    <w:rsid w:val="001335DA"/>
    <w:rsid w:val="001337E6"/>
    <w:rsid w:val="00133B4C"/>
    <w:rsid w:val="00133D7F"/>
    <w:rsid w:val="00133E15"/>
    <w:rsid w:val="00134057"/>
    <w:rsid w:val="0013455E"/>
    <w:rsid w:val="001345C4"/>
    <w:rsid w:val="00134DF5"/>
    <w:rsid w:val="00134E9B"/>
    <w:rsid w:val="00134ECB"/>
    <w:rsid w:val="00134F08"/>
    <w:rsid w:val="00134F98"/>
    <w:rsid w:val="001356BD"/>
    <w:rsid w:val="001357A1"/>
    <w:rsid w:val="0013580B"/>
    <w:rsid w:val="0013587F"/>
    <w:rsid w:val="00135E47"/>
    <w:rsid w:val="001360BD"/>
    <w:rsid w:val="001362A6"/>
    <w:rsid w:val="0013630E"/>
    <w:rsid w:val="00136B1E"/>
    <w:rsid w:val="00136B3F"/>
    <w:rsid w:val="00136D64"/>
    <w:rsid w:val="00136DF8"/>
    <w:rsid w:val="0013745F"/>
    <w:rsid w:val="00137472"/>
    <w:rsid w:val="001374F4"/>
    <w:rsid w:val="001377FA"/>
    <w:rsid w:val="00137894"/>
    <w:rsid w:val="00137CB8"/>
    <w:rsid w:val="00140035"/>
    <w:rsid w:val="00140465"/>
    <w:rsid w:val="00140E09"/>
    <w:rsid w:val="0014101A"/>
    <w:rsid w:val="00141116"/>
    <w:rsid w:val="0014142D"/>
    <w:rsid w:val="0014148A"/>
    <w:rsid w:val="00141FEB"/>
    <w:rsid w:val="00142347"/>
    <w:rsid w:val="00142693"/>
    <w:rsid w:val="001426D3"/>
    <w:rsid w:val="00142EED"/>
    <w:rsid w:val="00143382"/>
    <w:rsid w:val="00143743"/>
    <w:rsid w:val="001437D5"/>
    <w:rsid w:val="0014392F"/>
    <w:rsid w:val="00143E66"/>
    <w:rsid w:val="00143EB0"/>
    <w:rsid w:val="00143FEE"/>
    <w:rsid w:val="0014495D"/>
    <w:rsid w:val="00144CCA"/>
    <w:rsid w:val="00145D66"/>
    <w:rsid w:val="00146059"/>
    <w:rsid w:val="00146A19"/>
    <w:rsid w:val="00146F0E"/>
    <w:rsid w:val="00146FF4"/>
    <w:rsid w:val="001476A2"/>
    <w:rsid w:val="0014776D"/>
    <w:rsid w:val="00147845"/>
    <w:rsid w:val="00147FC1"/>
    <w:rsid w:val="001500C8"/>
    <w:rsid w:val="001502B0"/>
    <w:rsid w:val="00150357"/>
    <w:rsid w:val="00150381"/>
    <w:rsid w:val="0015080E"/>
    <w:rsid w:val="0015100D"/>
    <w:rsid w:val="001511D3"/>
    <w:rsid w:val="0015153E"/>
    <w:rsid w:val="00151705"/>
    <w:rsid w:val="00151C88"/>
    <w:rsid w:val="00151D35"/>
    <w:rsid w:val="00152387"/>
    <w:rsid w:val="00152A0C"/>
    <w:rsid w:val="00153424"/>
    <w:rsid w:val="0015377C"/>
    <w:rsid w:val="0015395A"/>
    <w:rsid w:val="00153ABE"/>
    <w:rsid w:val="00153C15"/>
    <w:rsid w:val="00153EE1"/>
    <w:rsid w:val="0015402E"/>
    <w:rsid w:val="00154487"/>
    <w:rsid w:val="00154524"/>
    <w:rsid w:val="001546E8"/>
    <w:rsid w:val="00154828"/>
    <w:rsid w:val="0015484C"/>
    <w:rsid w:val="00155698"/>
    <w:rsid w:val="00155809"/>
    <w:rsid w:val="00155BC9"/>
    <w:rsid w:val="00155C11"/>
    <w:rsid w:val="001568EE"/>
    <w:rsid w:val="00157509"/>
    <w:rsid w:val="0015782B"/>
    <w:rsid w:val="00157D22"/>
    <w:rsid w:val="00157F62"/>
    <w:rsid w:val="001600EB"/>
    <w:rsid w:val="00160327"/>
    <w:rsid w:val="00160423"/>
    <w:rsid w:val="00160AB7"/>
    <w:rsid w:val="0016107D"/>
    <w:rsid w:val="00161177"/>
    <w:rsid w:val="00161841"/>
    <w:rsid w:val="00161B25"/>
    <w:rsid w:val="00161C25"/>
    <w:rsid w:val="00161CC6"/>
    <w:rsid w:val="00161CD7"/>
    <w:rsid w:val="001628AD"/>
    <w:rsid w:val="0016312E"/>
    <w:rsid w:val="00163182"/>
    <w:rsid w:val="0016341E"/>
    <w:rsid w:val="001634CE"/>
    <w:rsid w:val="00163694"/>
    <w:rsid w:val="00163826"/>
    <w:rsid w:val="00163ABE"/>
    <w:rsid w:val="0016414D"/>
    <w:rsid w:val="00164303"/>
    <w:rsid w:val="00164617"/>
    <w:rsid w:val="00164D3D"/>
    <w:rsid w:val="00164EA4"/>
    <w:rsid w:val="001654A9"/>
    <w:rsid w:val="001656ED"/>
    <w:rsid w:val="00165A05"/>
    <w:rsid w:val="00165E5D"/>
    <w:rsid w:val="00166263"/>
    <w:rsid w:val="00166279"/>
    <w:rsid w:val="00166297"/>
    <w:rsid w:val="001663D5"/>
    <w:rsid w:val="0016683E"/>
    <w:rsid w:val="00166EDA"/>
    <w:rsid w:val="00166F24"/>
    <w:rsid w:val="00167277"/>
    <w:rsid w:val="0016782D"/>
    <w:rsid w:val="00167AC7"/>
    <w:rsid w:val="0017025D"/>
    <w:rsid w:val="00170573"/>
    <w:rsid w:val="001707C4"/>
    <w:rsid w:val="001711A9"/>
    <w:rsid w:val="001712DE"/>
    <w:rsid w:val="00171570"/>
    <w:rsid w:val="0017186C"/>
    <w:rsid w:val="00171AD7"/>
    <w:rsid w:val="00171B2D"/>
    <w:rsid w:val="00171BE6"/>
    <w:rsid w:val="00171DC1"/>
    <w:rsid w:val="00171E1D"/>
    <w:rsid w:val="00171EF7"/>
    <w:rsid w:val="00172EAB"/>
    <w:rsid w:val="00172EDD"/>
    <w:rsid w:val="00173940"/>
    <w:rsid w:val="00173B32"/>
    <w:rsid w:val="00174067"/>
    <w:rsid w:val="0017449B"/>
    <w:rsid w:val="00174944"/>
    <w:rsid w:val="00175139"/>
    <w:rsid w:val="00175BA1"/>
    <w:rsid w:val="00176067"/>
    <w:rsid w:val="00176100"/>
    <w:rsid w:val="00176645"/>
    <w:rsid w:val="001766A8"/>
    <w:rsid w:val="0017687A"/>
    <w:rsid w:val="00176E59"/>
    <w:rsid w:val="001772D4"/>
    <w:rsid w:val="001772F0"/>
    <w:rsid w:val="0017743E"/>
    <w:rsid w:val="001774BD"/>
    <w:rsid w:val="00177845"/>
    <w:rsid w:val="00177965"/>
    <w:rsid w:val="00177D01"/>
    <w:rsid w:val="00180261"/>
    <w:rsid w:val="0018063A"/>
    <w:rsid w:val="001806A2"/>
    <w:rsid w:val="001807A5"/>
    <w:rsid w:val="00180A1D"/>
    <w:rsid w:val="001810C8"/>
    <w:rsid w:val="001812AE"/>
    <w:rsid w:val="00181612"/>
    <w:rsid w:val="001820AF"/>
    <w:rsid w:val="0018238C"/>
    <w:rsid w:val="001828A4"/>
    <w:rsid w:val="00182B3C"/>
    <w:rsid w:val="00182E45"/>
    <w:rsid w:val="00182E99"/>
    <w:rsid w:val="001839B0"/>
    <w:rsid w:val="00183DEE"/>
    <w:rsid w:val="0018419E"/>
    <w:rsid w:val="001849E7"/>
    <w:rsid w:val="00184DA1"/>
    <w:rsid w:val="00184E8A"/>
    <w:rsid w:val="0018519A"/>
    <w:rsid w:val="00185571"/>
    <w:rsid w:val="00185989"/>
    <w:rsid w:val="00186C46"/>
    <w:rsid w:val="00186EE5"/>
    <w:rsid w:val="0019025F"/>
    <w:rsid w:val="00190272"/>
    <w:rsid w:val="00190B36"/>
    <w:rsid w:val="00190B9C"/>
    <w:rsid w:val="00190D52"/>
    <w:rsid w:val="00190E20"/>
    <w:rsid w:val="0019138B"/>
    <w:rsid w:val="001917DA"/>
    <w:rsid w:val="001919D3"/>
    <w:rsid w:val="00191E1A"/>
    <w:rsid w:val="00191E84"/>
    <w:rsid w:val="00192157"/>
    <w:rsid w:val="001925E9"/>
    <w:rsid w:val="00192900"/>
    <w:rsid w:val="00192D91"/>
    <w:rsid w:val="00192F48"/>
    <w:rsid w:val="0019395E"/>
    <w:rsid w:val="00193C35"/>
    <w:rsid w:val="00194255"/>
    <w:rsid w:val="0019441C"/>
    <w:rsid w:val="001950D9"/>
    <w:rsid w:val="00195379"/>
    <w:rsid w:val="00195430"/>
    <w:rsid w:val="00195A6E"/>
    <w:rsid w:val="00196144"/>
    <w:rsid w:val="00196284"/>
    <w:rsid w:val="00196644"/>
    <w:rsid w:val="00196994"/>
    <w:rsid w:val="001971B1"/>
    <w:rsid w:val="001971EA"/>
    <w:rsid w:val="001976B3"/>
    <w:rsid w:val="00197975"/>
    <w:rsid w:val="001A0090"/>
    <w:rsid w:val="001A0295"/>
    <w:rsid w:val="001A06F5"/>
    <w:rsid w:val="001A0765"/>
    <w:rsid w:val="001A093C"/>
    <w:rsid w:val="001A0DC8"/>
    <w:rsid w:val="001A0F43"/>
    <w:rsid w:val="001A110B"/>
    <w:rsid w:val="001A118B"/>
    <w:rsid w:val="001A14F5"/>
    <w:rsid w:val="001A1777"/>
    <w:rsid w:val="001A1A8A"/>
    <w:rsid w:val="001A1EF5"/>
    <w:rsid w:val="001A2649"/>
    <w:rsid w:val="001A2B45"/>
    <w:rsid w:val="001A2C5C"/>
    <w:rsid w:val="001A307D"/>
    <w:rsid w:val="001A3986"/>
    <w:rsid w:val="001A3E19"/>
    <w:rsid w:val="001A4242"/>
    <w:rsid w:val="001A4389"/>
    <w:rsid w:val="001A48FD"/>
    <w:rsid w:val="001A63A3"/>
    <w:rsid w:val="001A6A97"/>
    <w:rsid w:val="001A6DEF"/>
    <w:rsid w:val="001A7A6A"/>
    <w:rsid w:val="001A7A87"/>
    <w:rsid w:val="001A7FE7"/>
    <w:rsid w:val="001B049D"/>
    <w:rsid w:val="001B04E4"/>
    <w:rsid w:val="001B0553"/>
    <w:rsid w:val="001B0636"/>
    <w:rsid w:val="001B07B0"/>
    <w:rsid w:val="001B0E41"/>
    <w:rsid w:val="001B1577"/>
    <w:rsid w:val="001B15BA"/>
    <w:rsid w:val="001B16C3"/>
    <w:rsid w:val="001B16C6"/>
    <w:rsid w:val="001B1838"/>
    <w:rsid w:val="001B1C15"/>
    <w:rsid w:val="001B1C67"/>
    <w:rsid w:val="001B1D5D"/>
    <w:rsid w:val="001B2234"/>
    <w:rsid w:val="001B22B4"/>
    <w:rsid w:val="001B2C7D"/>
    <w:rsid w:val="001B322D"/>
    <w:rsid w:val="001B33F0"/>
    <w:rsid w:val="001B344B"/>
    <w:rsid w:val="001B3984"/>
    <w:rsid w:val="001B3C3B"/>
    <w:rsid w:val="001B3E1C"/>
    <w:rsid w:val="001B3FE9"/>
    <w:rsid w:val="001B46AE"/>
    <w:rsid w:val="001B5009"/>
    <w:rsid w:val="001B54F0"/>
    <w:rsid w:val="001B5950"/>
    <w:rsid w:val="001B5DCE"/>
    <w:rsid w:val="001B61CA"/>
    <w:rsid w:val="001B653E"/>
    <w:rsid w:val="001B6AAD"/>
    <w:rsid w:val="001B6EB1"/>
    <w:rsid w:val="001B71B5"/>
    <w:rsid w:val="001B76C4"/>
    <w:rsid w:val="001B77E9"/>
    <w:rsid w:val="001B77FC"/>
    <w:rsid w:val="001B78E2"/>
    <w:rsid w:val="001B7BF2"/>
    <w:rsid w:val="001B7EED"/>
    <w:rsid w:val="001C00A8"/>
    <w:rsid w:val="001C0289"/>
    <w:rsid w:val="001C0B71"/>
    <w:rsid w:val="001C11E4"/>
    <w:rsid w:val="001C181C"/>
    <w:rsid w:val="001C1C01"/>
    <w:rsid w:val="001C1E19"/>
    <w:rsid w:val="001C246E"/>
    <w:rsid w:val="001C27AF"/>
    <w:rsid w:val="001C3033"/>
    <w:rsid w:val="001C30BA"/>
    <w:rsid w:val="001C3403"/>
    <w:rsid w:val="001C342C"/>
    <w:rsid w:val="001C3A40"/>
    <w:rsid w:val="001C3AAA"/>
    <w:rsid w:val="001C3D80"/>
    <w:rsid w:val="001C3FED"/>
    <w:rsid w:val="001C4100"/>
    <w:rsid w:val="001C41DA"/>
    <w:rsid w:val="001C43B3"/>
    <w:rsid w:val="001C457D"/>
    <w:rsid w:val="001C4834"/>
    <w:rsid w:val="001C4C95"/>
    <w:rsid w:val="001C4FF2"/>
    <w:rsid w:val="001C56EB"/>
    <w:rsid w:val="001C5905"/>
    <w:rsid w:val="001C5BA6"/>
    <w:rsid w:val="001C5EAD"/>
    <w:rsid w:val="001C5F74"/>
    <w:rsid w:val="001C5FC4"/>
    <w:rsid w:val="001C68B6"/>
    <w:rsid w:val="001C69C7"/>
    <w:rsid w:val="001C7079"/>
    <w:rsid w:val="001C7181"/>
    <w:rsid w:val="001D0229"/>
    <w:rsid w:val="001D028A"/>
    <w:rsid w:val="001D0868"/>
    <w:rsid w:val="001D1636"/>
    <w:rsid w:val="001D181F"/>
    <w:rsid w:val="001D1A42"/>
    <w:rsid w:val="001D2755"/>
    <w:rsid w:val="001D2F4D"/>
    <w:rsid w:val="001D30A0"/>
    <w:rsid w:val="001D3816"/>
    <w:rsid w:val="001D39E8"/>
    <w:rsid w:val="001D3B1F"/>
    <w:rsid w:val="001D3ECA"/>
    <w:rsid w:val="001D4075"/>
    <w:rsid w:val="001D4E5E"/>
    <w:rsid w:val="001D548F"/>
    <w:rsid w:val="001D5714"/>
    <w:rsid w:val="001D600F"/>
    <w:rsid w:val="001D604E"/>
    <w:rsid w:val="001D6843"/>
    <w:rsid w:val="001D7299"/>
    <w:rsid w:val="001D7641"/>
    <w:rsid w:val="001D79BC"/>
    <w:rsid w:val="001E0221"/>
    <w:rsid w:val="001E0711"/>
    <w:rsid w:val="001E092F"/>
    <w:rsid w:val="001E0947"/>
    <w:rsid w:val="001E095D"/>
    <w:rsid w:val="001E152C"/>
    <w:rsid w:val="001E17F9"/>
    <w:rsid w:val="001E1ABD"/>
    <w:rsid w:val="001E24EA"/>
    <w:rsid w:val="001E25FF"/>
    <w:rsid w:val="001E267D"/>
    <w:rsid w:val="001E2A5D"/>
    <w:rsid w:val="001E2CF5"/>
    <w:rsid w:val="001E35D6"/>
    <w:rsid w:val="001E389C"/>
    <w:rsid w:val="001E3B0A"/>
    <w:rsid w:val="001E3ED8"/>
    <w:rsid w:val="001E411C"/>
    <w:rsid w:val="001E4950"/>
    <w:rsid w:val="001E5979"/>
    <w:rsid w:val="001E5C38"/>
    <w:rsid w:val="001E605F"/>
    <w:rsid w:val="001E6EC5"/>
    <w:rsid w:val="001E70C9"/>
    <w:rsid w:val="001E776D"/>
    <w:rsid w:val="001E777A"/>
    <w:rsid w:val="001E77D9"/>
    <w:rsid w:val="001E79E9"/>
    <w:rsid w:val="001E7D4E"/>
    <w:rsid w:val="001E7D86"/>
    <w:rsid w:val="001F0D67"/>
    <w:rsid w:val="001F1A00"/>
    <w:rsid w:val="001F1A90"/>
    <w:rsid w:val="001F1B8A"/>
    <w:rsid w:val="001F1C06"/>
    <w:rsid w:val="001F2058"/>
    <w:rsid w:val="001F23BC"/>
    <w:rsid w:val="001F265C"/>
    <w:rsid w:val="001F29C8"/>
    <w:rsid w:val="001F2E04"/>
    <w:rsid w:val="001F2FC5"/>
    <w:rsid w:val="001F3167"/>
    <w:rsid w:val="001F3474"/>
    <w:rsid w:val="001F391D"/>
    <w:rsid w:val="001F49C4"/>
    <w:rsid w:val="001F524C"/>
    <w:rsid w:val="001F5561"/>
    <w:rsid w:val="001F5939"/>
    <w:rsid w:val="001F5B96"/>
    <w:rsid w:val="001F659C"/>
    <w:rsid w:val="001F67F2"/>
    <w:rsid w:val="001F6895"/>
    <w:rsid w:val="001F6A3C"/>
    <w:rsid w:val="001F6DCB"/>
    <w:rsid w:val="001F7055"/>
    <w:rsid w:val="001F716B"/>
    <w:rsid w:val="001F7437"/>
    <w:rsid w:val="001F7B95"/>
    <w:rsid w:val="001F7E44"/>
    <w:rsid w:val="001F7FE1"/>
    <w:rsid w:val="0020062A"/>
    <w:rsid w:val="00200673"/>
    <w:rsid w:val="002010D3"/>
    <w:rsid w:val="00201311"/>
    <w:rsid w:val="002017E3"/>
    <w:rsid w:val="00201885"/>
    <w:rsid w:val="00201CF2"/>
    <w:rsid w:val="002024B2"/>
    <w:rsid w:val="002028FF"/>
    <w:rsid w:val="0020322B"/>
    <w:rsid w:val="002032C8"/>
    <w:rsid w:val="00203A75"/>
    <w:rsid w:val="00203BD7"/>
    <w:rsid w:val="0020401B"/>
    <w:rsid w:val="0020409B"/>
    <w:rsid w:val="00204875"/>
    <w:rsid w:val="00204F68"/>
    <w:rsid w:val="00205337"/>
    <w:rsid w:val="00205C7C"/>
    <w:rsid w:val="002060A5"/>
    <w:rsid w:val="0020622C"/>
    <w:rsid w:val="002065A8"/>
    <w:rsid w:val="00206636"/>
    <w:rsid w:val="002068F5"/>
    <w:rsid w:val="002070E4"/>
    <w:rsid w:val="002070E6"/>
    <w:rsid w:val="002071F1"/>
    <w:rsid w:val="0020721C"/>
    <w:rsid w:val="002072C3"/>
    <w:rsid w:val="002077A1"/>
    <w:rsid w:val="00207813"/>
    <w:rsid w:val="0020790A"/>
    <w:rsid w:val="00207C47"/>
    <w:rsid w:val="00207E86"/>
    <w:rsid w:val="00210594"/>
    <w:rsid w:val="00210CDB"/>
    <w:rsid w:val="00210F65"/>
    <w:rsid w:val="002110F2"/>
    <w:rsid w:val="002114F0"/>
    <w:rsid w:val="00211DD3"/>
    <w:rsid w:val="002122A5"/>
    <w:rsid w:val="00212939"/>
    <w:rsid w:val="002129AB"/>
    <w:rsid w:val="00212B8B"/>
    <w:rsid w:val="00212BEC"/>
    <w:rsid w:val="00213388"/>
    <w:rsid w:val="002133B8"/>
    <w:rsid w:val="0021371C"/>
    <w:rsid w:val="002139E7"/>
    <w:rsid w:val="00213C4D"/>
    <w:rsid w:val="00213C5E"/>
    <w:rsid w:val="00213F04"/>
    <w:rsid w:val="002144A1"/>
    <w:rsid w:val="002147A6"/>
    <w:rsid w:val="00214D4B"/>
    <w:rsid w:val="00214DAE"/>
    <w:rsid w:val="00215739"/>
    <w:rsid w:val="002157B5"/>
    <w:rsid w:val="0021638C"/>
    <w:rsid w:val="00216869"/>
    <w:rsid w:val="00216C6E"/>
    <w:rsid w:val="0021720D"/>
    <w:rsid w:val="002175EB"/>
    <w:rsid w:val="00217D17"/>
    <w:rsid w:val="00217F0B"/>
    <w:rsid w:val="0022016A"/>
    <w:rsid w:val="00220CFF"/>
    <w:rsid w:val="00220F03"/>
    <w:rsid w:val="00221057"/>
    <w:rsid w:val="002212CB"/>
    <w:rsid w:val="002213D8"/>
    <w:rsid w:val="00221B4C"/>
    <w:rsid w:val="00222077"/>
    <w:rsid w:val="00222348"/>
    <w:rsid w:val="002226A9"/>
    <w:rsid w:val="0022277E"/>
    <w:rsid w:val="00223034"/>
    <w:rsid w:val="0022322D"/>
    <w:rsid w:val="002234F2"/>
    <w:rsid w:val="00223614"/>
    <w:rsid w:val="002238E6"/>
    <w:rsid w:val="00223A10"/>
    <w:rsid w:val="00223D63"/>
    <w:rsid w:val="00225534"/>
    <w:rsid w:val="00225597"/>
    <w:rsid w:val="00225CB8"/>
    <w:rsid w:val="00226E88"/>
    <w:rsid w:val="00226F8B"/>
    <w:rsid w:val="0022715D"/>
    <w:rsid w:val="0023053A"/>
    <w:rsid w:val="00230AF7"/>
    <w:rsid w:val="00230B76"/>
    <w:rsid w:val="00230BA9"/>
    <w:rsid w:val="00231068"/>
    <w:rsid w:val="00231F8F"/>
    <w:rsid w:val="00231FCB"/>
    <w:rsid w:val="00232552"/>
    <w:rsid w:val="0023358A"/>
    <w:rsid w:val="0023444B"/>
    <w:rsid w:val="00234DBA"/>
    <w:rsid w:val="00234F6C"/>
    <w:rsid w:val="00234FCD"/>
    <w:rsid w:val="00234FD9"/>
    <w:rsid w:val="0023596F"/>
    <w:rsid w:val="00235BAB"/>
    <w:rsid w:val="00235FB4"/>
    <w:rsid w:val="00236374"/>
    <w:rsid w:val="00236F49"/>
    <w:rsid w:val="002371B1"/>
    <w:rsid w:val="002379E2"/>
    <w:rsid w:val="00237E07"/>
    <w:rsid w:val="00237F8D"/>
    <w:rsid w:val="002400A1"/>
    <w:rsid w:val="00240222"/>
    <w:rsid w:val="00240568"/>
    <w:rsid w:val="002410B4"/>
    <w:rsid w:val="002410D8"/>
    <w:rsid w:val="002411C9"/>
    <w:rsid w:val="002418BB"/>
    <w:rsid w:val="00241AD9"/>
    <w:rsid w:val="0024218B"/>
    <w:rsid w:val="002425FE"/>
    <w:rsid w:val="00242CD9"/>
    <w:rsid w:val="002433D7"/>
    <w:rsid w:val="0024349D"/>
    <w:rsid w:val="00243967"/>
    <w:rsid w:val="00244034"/>
    <w:rsid w:val="002440F8"/>
    <w:rsid w:val="002441C4"/>
    <w:rsid w:val="0024424C"/>
    <w:rsid w:val="002444C2"/>
    <w:rsid w:val="00244BE9"/>
    <w:rsid w:val="0024523D"/>
    <w:rsid w:val="0024530D"/>
    <w:rsid w:val="00245393"/>
    <w:rsid w:val="0024566E"/>
    <w:rsid w:val="00245729"/>
    <w:rsid w:val="00245A74"/>
    <w:rsid w:val="00246A8F"/>
    <w:rsid w:val="00247085"/>
    <w:rsid w:val="0024723D"/>
    <w:rsid w:val="0024727D"/>
    <w:rsid w:val="0024736F"/>
    <w:rsid w:val="002475AF"/>
    <w:rsid w:val="00247783"/>
    <w:rsid w:val="00247EAA"/>
    <w:rsid w:val="00250208"/>
    <w:rsid w:val="0025050D"/>
    <w:rsid w:val="00250912"/>
    <w:rsid w:val="00250A5D"/>
    <w:rsid w:val="00250DBA"/>
    <w:rsid w:val="00251087"/>
    <w:rsid w:val="00251294"/>
    <w:rsid w:val="002518F5"/>
    <w:rsid w:val="00251AD5"/>
    <w:rsid w:val="00251E7D"/>
    <w:rsid w:val="00252179"/>
    <w:rsid w:val="002523E5"/>
    <w:rsid w:val="00252CD6"/>
    <w:rsid w:val="00253058"/>
    <w:rsid w:val="00253764"/>
    <w:rsid w:val="0025420C"/>
    <w:rsid w:val="0025423D"/>
    <w:rsid w:val="002548E8"/>
    <w:rsid w:val="00254E89"/>
    <w:rsid w:val="002550D8"/>
    <w:rsid w:val="00255896"/>
    <w:rsid w:val="00256078"/>
    <w:rsid w:val="0025615D"/>
    <w:rsid w:val="002564FB"/>
    <w:rsid w:val="00256907"/>
    <w:rsid w:val="00256AD5"/>
    <w:rsid w:val="00257387"/>
    <w:rsid w:val="00257461"/>
    <w:rsid w:val="002575E2"/>
    <w:rsid w:val="00257615"/>
    <w:rsid w:val="00257660"/>
    <w:rsid w:val="00257EB8"/>
    <w:rsid w:val="0026049B"/>
    <w:rsid w:val="0026071E"/>
    <w:rsid w:val="002607D3"/>
    <w:rsid w:val="00260820"/>
    <w:rsid w:val="002609CC"/>
    <w:rsid w:val="00260EFA"/>
    <w:rsid w:val="00261377"/>
    <w:rsid w:val="00261714"/>
    <w:rsid w:val="00261D8F"/>
    <w:rsid w:val="00261EFF"/>
    <w:rsid w:val="00261FF1"/>
    <w:rsid w:val="00262160"/>
    <w:rsid w:val="002621EA"/>
    <w:rsid w:val="0026262F"/>
    <w:rsid w:val="00262814"/>
    <w:rsid w:val="002629E0"/>
    <w:rsid w:val="00262A95"/>
    <w:rsid w:val="00262E2E"/>
    <w:rsid w:val="00263457"/>
    <w:rsid w:val="00263727"/>
    <w:rsid w:val="00263EF4"/>
    <w:rsid w:val="00264650"/>
    <w:rsid w:val="00264A64"/>
    <w:rsid w:val="00265312"/>
    <w:rsid w:val="00265C87"/>
    <w:rsid w:val="00265D31"/>
    <w:rsid w:val="00265E8F"/>
    <w:rsid w:val="00265FE9"/>
    <w:rsid w:val="00266CB9"/>
    <w:rsid w:val="00266D5F"/>
    <w:rsid w:val="00266F46"/>
    <w:rsid w:val="0026709A"/>
    <w:rsid w:val="0026773E"/>
    <w:rsid w:val="00267F1F"/>
    <w:rsid w:val="0027062D"/>
    <w:rsid w:val="00270AEE"/>
    <w:rsid w:val="00270E18"/>
    <w:rsid w:val="00271BEB"/>
    <w:rsid w:val="0027218C"/>
    <w:rsid w:val="002723FD"/>
    <w:rsid w:val="002728FE"/>
    <w:rsid w:val="00272E01"/>
    <w:rsid w:val="00272F1D"/>
    <w:rsid w:val="00273015"/>
    <w:rsid w:val="0027301B"/>
    <w:rsid w:val="00273042"/>
    <w:rsid w:val="00274171"/>
    <w:rsid w:val="0027463A"/>
    <w:rsid w:val="00274815"/>
    <w:rsid w:val="0027487A"/>
    <w:rsid w:val="00274AB7"/>
    <w:rsid w:val="00274D0D"/>
    <w:rsid w:val="00274D8B"/>
    <w:rsid w:val="00275318"/>
    <w:rsid w:val="00275FB7"/>
    <w:rsid w:val="00276041"/>
    <w:rsid w:val="0027657E"/>
    <w:rsid w:val="002766B0"/>
    <w:rsid w:val="00277572"/>
    <w:rsid w:val="00277812"/>
    <w:rsid w:val="00277AA7"/>
    <w:rsid w:val="002802A1"/>
    <w:rsid w:val="002803B8"/>
    <w:rsid w:val="002805C4"/>
    <w:rsid w:val="0028078F"/>
    <w:rsid w:val="002808CA"/>
    <w:rsid w:val="00280926"/>
    <w:rsid w:val="00281269"/>
    <w:rsid w:val="002812F7"/>
    <w:rsid w:val="00281303"/>
    <w:rsid w:val="00281922"/>
    <w:rsid w:val="00281B0A"/>
    <w:rsid w:val="00281FE4"/>
    <w:rsid w:val="0028257E"/>
    <w:rsid w:val="00282720"/>
    <w:rsid w:val="00282CDE"/>
    <w:rsid w:val="00282D03"/>
    <w:rsid w:val="00283073"/>
    <w:rsid w:val="00283273"/>
    <w:rsid w:val="0028348A"/>
    <w:rsid w:val="00283C7F"/>
    <w:rsid w:val="00283E5C"/>
    <w:rsid w:val="00284142"/>
    <w:rsid w:val="0028456B"/>
    <w:rsid w:val="00284579"/>
    <w:rsid w:val="00285478"/>
    <w:rsid w:val="00285792"/>
    <w:rsid w:val="0028663C"/>
    <w:rsid w:val="00287329"/>
    <w:rsid w:val="00287C89"/>
    <w:rsid w:val="00287EC6"/>
    <w:rsid w:val="002905B5"/>
    <w:rsid w:val="002911D8"/>
    <w:rsid w:val="00292120"/>
    <w:rsid w:val="0029294F"/>
    <w:rsid w:val="00292A15"/>
    <w:rsid w:val="00293203"/>
    <w:rsid w:val="0029322C"/>
    <w:rsid w:val="0029329A"/>
    <w:rsid w:val="00293A15"/>
    <w:rsid w:val="00293D58"/>
    <w:rsid w:val="00294048"/>
    <w:rsid w:val="00295693"/>
    <w:rsid w:val="00295727"/>
    <w:rsid w:val="00295B54"/>
    <w:rsid w:val="00295BCF"/>
    <w:rsid w:val="002960C3"/>
    <w:rsid w:val="00296781"/>
    <w:rsid w:val="002969C0"/>
    <w:rsid w:val="0029707F"/>
    <w:rsid w:val="002972D4"/>
    <w:rsid w:val="002978B6"/>
    <w:rsid w:val="002979D2"/>
    <w:rsid w:val="002979E1"/>
    <w:rsid w:val="00297AEF"/>
    <w:rsid w:val="00297F02"/>
    <w:rsid w:val="002A039A"/>
    <w:rsid w:val="002A0622"/>
    <w:rsid w:val="002A06E1"/>
    <w:rsid w:val="002A0D05"/>
    <w:rsid w:val="002A1108"/>
    <w:rsid w:val="002A1520"/>
    <w:rsid w:val="002A21E8"/>
    <w:rsid w:val="002A2246"/>
    <w:rsid w:val="002A2863"/>
    <w:rsid w:val="002A29B6"/>
    <w:rsid w:val="002A2DC2"/>
    <w:rsid w:val="002A3220"/>
    <w:rsid w:val="002A3596"/>
    <w:rsid w:val="002A37BE"/>
    <w:rsid w:val="002A39E5"/>
    <w:rsid w:val="002A39FC"/>
    <w:rsid w:val="002A3AA9"/>
    <w:rsid w:val="002A570E"/>
    <w:rsid w:val="002A58F4"/>
    <w:rsid w:val="002A5AA2"/>
    <w:rsid w:val="002A5C85"/>
    <w:rsid w:val="002A5C87"/>
    <w:rsid w:val="002A5D50"/>
    <w:rsid w:val="002A5DE5"/>
    <w:rsid w:val="002A6503"/>
    <w:rsid w:val="002A659A"/>
    <w:rsid w:val="002A7096"/>
    <w:rsid w:val="002A7542"/>
    <w:rsid w:val="002A7BE8"/>
    <w:rsid w:val="002A7EE2"/>
    <w:rsid w:val="002B0474"/>
    <w:rsid w:val="002B04C5"/>
    <w:rsid w:val="002B0534"/>
    <w:rsid w:val="002B0687"/>
    <w:rsid w:val="002B09C6"/>
    <w:rsid w:val="002B09E1"/>
    <w:rsid w:val="002B0C43"/>
    <w:rsid w:val="002B0F52"/>
    <w:rsid w:val="002B1071"/>
    <w:rsid w:val="002B129B"/>
    <w:rsid w:val="002B1ABF"/>
    <w:rsid w:val="002B1B49"/>
    <w:rsid w:val="002B1C33"/>
    <w:rsid w:val="002B29E2"/>
    <w:rsid w:val="002B2C11"/>
    <w:rsid w:val="002B2CCE"/>
    <w:rsid w:val="002B3708"/>
    <w:rsid w:val="002B396D"/>
    <w:rsid w:val="002B3DA7"/>
    <w:rsid w:val="002B42DE"/>
    <w:rsid w:val="002B47FB"/>
    <w:rsid w:val="002B4D46"/>
    <w:rsid w:val="002B4FB2"/>
    <w:rsid w:val="002B519A"/>
    <w:rsid w:val="002B5625"/>
    <w:rsid w:val="002B5F00"/>
    <w:rsid w:val="002B5F9C"/>
    <w:rsid w:val="002B6147"/>
    <w:rsid w:val="002B6282"/>
    <w:rsid w:val="002B63E7"/>
    <w:rsid w:val="002B6BB5"/>
    <w:rsid w:val="002B7BFD"/>
    <w:rsid w:val="002B7E81"/>
    <w:rsid w:val="002B7F35"/>
    <w:rsid w:val="002B7F98"/>
    <w:rsid w:val="002C0170"/>
    <w:rsid w:val="002C0278"/>
    <w:rsid w:val="002C0857"/>
    <w:rsid w:val="002C0B1F"/>
    <w:rsid w:val="002C0E18"/>
    <w:rsid w:val="002C180D"/>
    <w:rsid w:val="002C1F7B"/>
    <w:rsid w:val="002C2427"/>
    <w:rsid w:val="002C2773"/>
    <w:rsid w:val="002C2A4F"/>
    <w:rsid w:val="002C2A5F"/>
    <w:rsid w:val="002C2DB9"/>
    <w:rsid w:val="002C2E50"/>
    <w:rsid w:val="002C3502"/>
    <w:rsid w:val="002C35B9"/>
    <w:rsid w:val="002C397B"/>
    <w:rsid w:val="002C3B01"/>
    <w:rsid w:val="002C3BA0"/>
    <w:rsid w:val="002C436C"/>
    <w:rsid w:val="002C47C4"/>
    <w:rsid w:val="002C5357"/>
    <w:rsid w:val="002C5B67"/>
    <w:rsid w:val="002C5CD2"/>
    <w:rsid w:val="002C65DE"/>
    <w:rsid w:val="002C666E"/>
    <w:rsid w:val="002C6BD4"/>
    <w:rsid w:val="002C6D72"/>
    <w:rsid w:val="002C6E41"/>
    <w:rsid w:val="002C7181"/>
    <w:rsid w:val="002C748E"/>
    <w:rsid w:val="002C7BFF"/>
    <w:rsid w:val="002C7D3C"/>
    <w:rsid w:val="002D01E4"/>
    <w:rsid w:val="002D04DB"/>
    <w:rsid w:val="002D0B00"/>
    <w:rsid w:val="002D0DDF"/>
    <w:rsid w:val="002D17A5"/>
    <w:rsid w:val="002D1AC7"/>
    <w:rsid w:val="002D1D54"/>
    <w:rsid w:val="002D21F7"/>
    <w:rsid w:val="002D2926"/>
    <w:rsid w:val="002D347E"/>
    <w:rsid w:val="002D37D6"/>
    <w:rsid w:val="002D3C72"/>
    <w:rsid w:val="002D3D17"/>
    <w:rsid w:val="002D3DB2"/>
    <w:rsid w:val="002D42A0"/>
    <w:rsid w:val="002D4367"/>
    <w:rsid w:val="002D43E8"/>
    <w:rsid w:val="002D440D"/>
    <w:rsid w:val="002D4C8C"/>
    <w:rsid w:val="002D4EF6"/>
    <w:rsid w:val="002D52D4"/>
    <w:rsid w:val="002D5367"/>
    <w:rsid w:val="002D545A"/>
    <w:rsid w:val="002D550B"/>
    <w:rsid w:val="002D59E5"/>
    <w:rsid w:val="002D5BC8"/>
    <w:rsid w:val="002D5C23"/>
    <w:rsid w:val="002D5C3B"/>
    <w:rsid w:val="002D5CBC"/>
    <w:rsid w:val="002D5DC3"/>
    <w:rsid w:val="002D6635"/>
    <w:rsid w:val="002D6B4D"/>
    <w:rsid w:val="002D759A"/>
    <w:rsid w:val="002D774E"/>
    <w:rsid w:val="002D79CA"/>
    <w:rsid w:val="002E0FD6"/>
    <w:rsid w:val="002E1388"/>
    <w:rsid w:val="002E13B3"/>
    <w:rsid w:val="002E16E6"/>
    <w:rsid w:val="002E17C5"/>
    <w:rsid w:val="002E1AD3"/>
    <w:rsid w:val="002E1B83"/>
    <w:rsid w:val="002E1C1F"/>
    <w:rsid w:val="002E1EA3"/>
    <w:rsid w:val="002E2688"/>
    <w:rsid w:val="002E28A0"/>
    <w:rsid w:val="002E2DBC"/>
    <w:rsid w:val="002E3036"/>
    <w:rsid w:val="002E307D"/>
    <w:rsid w:val="002E34A3"/>
    <w:rsid w:val="002E36E1"/>
    <w:rsid w:val="002E39FE"/>
    <w:rsid w:val="002E3BF5"/>
    <w:rsid w:val="002E3E6F"/>
    <w:rsid w:val="002E3F75"/>
    <w:rsid w:val="002E45B7"/>
    <w:rsid w:val="002E4721"/>
    <w:rsid w:val="002E486A"/>
    <w:rsid w:val="002E4DC4"/>
    <w:rsid w:val="002E5281"/>
    <w:rsid w:val="002E5E0E"/>
    <w:rsid w:val="002E5E2F"/>
    <w:rsid w:val="002E5E35"/>
    <w:rsid w:val="002E5F1C"/>
    <w:rsid w:val="002E5F3E"/>
    <w:rsid w:val="002E62ED"/>
    <w:rsid w:val="002E6325"/>
    <w:rsid w:val="002E6BF6"/>
    <w:rsid w:val="002E6D48"/>
    <w:rsid w:val="002E7003"/>
    <w:rsid w:val="002E736D"/>
    <w:rsid w:val="002E7754"/>
    <w:rsid w:val="002E78AC"/>
    <w:rsid w:val="002F0875"/>
    <w:rsid w:val="002F0884"/>
    <w:rsid w:val="002F1A5B"/>
    <w:rsid w:val="002F1B87"/>
    <w:rsid w:val="002F1C7E"/>
    <w:rsid w:val="002F2228"/>
    <w:rsid w:val="002F2C95"/>
    <w:rsid w:val="002F3470"/>
    <w:rsid w:val="002F3532"/>
    <w:rsid w:val="002F3A0F"/>
    <w:rsid w:val="002F3C31"/>
    <w:rsid w:val="002F4C7E"/>
    <w:rsid w:val="002F4CA2"/>
    <w:rsid w:val="002F51B3"/>
    <w:rsid w:val="002F527B"/>
    <w:rsid w:val="002F5306"/>
    <w:rsid w:val="002F5570"/>
    <w:rsid w:val="002F55A4"/>
    <w:rsid w:val="002F5792"/>
    <w:rsid w:val="002F5C9A"/>
    <w:rsid w:val="002F6157"/>
    <w:rsid w:val="002F6254"/>
    <w:rsid w:val="002F6315"/>
    <w:rsid w:val="002F6432"/>
    <w:rsid w:val="002F64A0"/>
    <w:rsid w:val="002F69EB"/>
    <w:rsid w:val="002F6A64"/>
    <w:rsid w:val="002F6D11"/>
    <w:rsid w:val="002F6D57"/>
    <w:rsid w:val="002F6FC4"/>
    <w:rsid w:val="002F7255"/>
    <w:rsid w:val="002F7427"/>
    <w:rsid w:val="002F7D6F"/>
    <w:rsid w:val="002F7DAA"/>
    <w:rsid w:val="00300450"/>
    <w:rsid w:val="003005AA"/>
    <w:rsid w:val="0030078C"/>
    <w:rsid w:val="00300E4E"/>
    <w:rsid w:val="00300EA5"/>
    <w:rsid w:val="00301004"/>
    <w:rsid w:val="0030148D"/>
    <w:rsid w:val="0030194F"/>
    <w:rsid w:val="00301F15"/>
    <w:rsid w:val="003020B4"/>
    <w:rsid w:val="003022B8"/>
    <w:rsid w:val="003023C4"/>
    <w:rsid w:val="003023EB"/>
    <w:rsid w:val="003026B9"/>
    <w:rsid w:val="00302883"/>
    <w:rsid w:val="00302C73"/>
    <w:rsid w:val="003035B2"/>
    <w:rsid w:val="00303697"/>
    <w:rsid w:val="00303733"/>
    <w:rsid w:val="003037A9"/>
    <w:rsid w:val="00303A2F"/>
    <w:rsid w:val="00303C94"/>
    <w:rsid w:val="00303E84"/>
    <w:rsid w:val="00304BF7"/>
    <w:rsid w:val="00304CF9"/>
    <w:rsid w:val="00304F0A"/>
    <w:rsid w:val="00304FE8"/>
    <w:rsid w:val="0030527B"/>
    <w:rsid w:val="00305FA4"/>
    <w:rsid w:val="00306076"/>
    <w:rsid w:val="003060BB"/>
    <w:rsid w:val="0030617A"/>
    <w:rsid w:val="00306989"/>
    <w:rsid w:val="00307214"/>
    <w:rsid w:val="0030755C"/>
    <w:rsid w:val="00310015"/>
    <w:rsid w:val="0031005D"/>
    <w:rsid w:val="00310992"/>
    <w:rsid w:val="00311387"/>
    <w:rsid w:val="00311820"/>
    <w:rsid w:val="00311883"/>
    <w:rsid w:val="003119DF"/>
    <w:rsid w:val="003119F0"/>
    <w:rsid w:val="00311D7D"/>
    <w:rsid w:val="00311EEA"/>
    <w:rsid w:val="00312151"/>
    <w:rsid w:val="00312593"/>
    <w:rsid w:val="00312763"/>
    <w:rsid w:val="00312BDD"/>
    <w:rsid w:val="00312C06"/>
    <w:rsid w:val="00313177"/>
    <w:rsid w:val="0031351E"/>
    <w:rsid w:val="00313537"/>
    <w:rsid w:val="003135CD"/>
    <w:rsid w:val="003138AC"/>
    <w:rsid w:val="00313C59"/>
    <w:rsid w:val="00314373"/>
    <w:rsid w:val="00314425"/>
    <w:rsid w:val="003146EE"/>
    <w:rsid w:val="003149BA"/>
    <w:rsid w:val="00314C28"/>
    <w:rsid w:val="00314DFA"/>
    <w:rsid w:val="003153EA"/>
    <w:rsid w:val="00315536"/>
    <w:rsid w:val="00315A29"/>
    <w:rsid w:val="003160B4"/>
    <w:rsid w:val="0031641C"/>
    <w:rsid w:val="00316745"/>
    <w:rsid w:val="00316CCF"/>
    <w:rsid w:val="00316D1E"/>
    <w:rsid w:val="003177C4"/>
    <w:rsid w:val="00317FE3"/>
    <w:rsid w:val="00320015"/>
    <w:rsid w:val="00320263"/>
    <w:rsid w:val="003209C7"/>
    <w:rsid w:val="00320A02"/>
    <w:rsid w:val="00320AB2"/>
    <w:rsid w:val="003219EA"/>
    <w:rsid w:val="003225D5"/>
    <w:rsid w:val="0032265B"/>
    <w:rsid w:val="0032271E"/>
    <w:rsid w:val="0032293A"/>
    <w:rsid w:val="003229A0"/>
    <w:rsid w:val="00322BC4"/>
    <w:rsid w:val="00323247"/>
    <w:rsid w:val="003232F1"/>
    <w:rsid w:val="003233CF"/>
    <w:rsid w:val="0032378E"/>
    <w:rsid w:val="00323C12"/>
    <w:rsid w:val="00323C80"/>
    <w:rsid w:val="00323CB9"/>
    <w:rsid w:val="00323D04"/>
    <w:rsid w:val="003243CB"/>
    <w:rsid w:val="003245FB"/>
    <w:rsid w:val="0032477D"/>
    <w:rsid w:val="00324BA0"/>
    <w:rsid w:val="003250E2"/>
    <w:rsid w:val="0032569E"/>
    <w:rsid w:val="00325BC7"/>
    <w:rsid w:val="00326522"/>
    <w:rsid w:val="003270BF"/>
    <w:rsid w:val="003270C2"/>
    <w:rsid w:val="00327308"/>
    <w:rsid w:val="003277B3"/>
    <w:rsid w:val="00327A0C"/>
    <w:rsid w:val="003301A3"/>
    <w:rsid w:val="00330353"/>
    <w:rsid w:val="0033063D"/>
    <w:rsid w:val="0033094F"/>
    <w:rsid w:val="00330C46"/>
    <w:rsid w:val="00330D77"/>
    <w:rsid w:val="00330FFD"/>
    <w:rsid w:val="00331186"/>
    <w:rsid w:val="0033149A"/>
    <w:rsid w:val="00331B79"/>
    <w:rsid w:val="00331DCA"/>
    <w:rsid w:val="00332129"/>
    <w:rsid w:val="00332736"/>
    <w:rsid w:val="0033322F"/>
    <w:rsid w:val="003332EC"/>
    <w:rsid w:val="0033399A"/>
    <w:rsid w:val="003347EC"/>
    <w:rsid w:val="00334912"/>
    <w:rsid w:val="00335779"/>
    <w:rsid w:val="00335A70"/>
    <w:rsid w:val="0033637A"/>
    <w:rsid w:val="00336CE8"/>
    <w:rsid w:val="00336FF2"/>
    <w:rsid w:val="0033709A"/>
    <w:rsid w:val="00337375"/>
    <w:rsid w:val="003376B5"/>
    <w:rsid w:val="003376DF"/>
    <w:rsid w:val="003402DF"/>
    <w:rsid w:val="003405F6"/>
    <w:rsid w:val="00340A89"/>
    <w:rsid w:val="00340D16"/>
    <w:rsid w:val="00340D94"/>
    <w:rsid w:val="00340EB5"/>
    <w:rsid w:val="00341361"/>
    <w:rsid w:val="003415C8"/>
    <w:rsid w:val="00341AD8"/>
    <w:rsid w:val="00342A29"/>
    <w:rsid w:val="00342CF5"/>
    <w:rsid w:val="00343AF7"/>
    <w:rsid w:val="00343D26"/>
    <w:rsid w:val="00343D77"/>
    <w:rsid w:val="00343E1B"/>
    <w:rsid w:val="00343F18"/>
    <w:rsid w:val="00344CBB"/>
    <w:rsid w:val="00345308"/>
    <w:rsid w:val="003455FE"/>
    <w:rsid w:val="00345652"/>
    <w:rsid w:val="00345B4F"/>
    <w:rsid w:val="0034620F"/>
    <w:rsid w:val="00346216"/>
    <w:rsid w:val="0034643D"/>
    <w:rsid w:val="0034672E"/>
    <w:rsid w:val="00346BB9"/>
    <w:rsid w:val="00346CED"/>
    <w:rsid w:val="00346E74"/>
    <w:rsid w:val="00347577"/>
    <w:rsid w:val="0034782B"/>
    <w:rsid w:val="00347C46"/>
    <w:rsid w:val="00347FAD"/>
    <w:rsid w:val="00350DDB"/>
    <w:rsid w:val="00351A7F"/>
    <w:rsid w:val="00352465"/>
    <w:rsid w:val="003524B1"/>
    <w:rsid w:val="003525C0"/>
    <w:rsid w:val="0035262D"/>
    <w:rsid w:val="00352CFB"/>
    <w:rsid w:val="00352F20"/>
    <w:rsid w:val="0035309E"/>
    <w:rsid w:val="003530B9"/>
    <w:rsid w:val="00353174"/>
    <w:rsid w:val="003533E6"/>
    <w:rsid w:val="00353798"/>
    <w:rsid w:val="0035396F"/>
    <w:rsid w:val="003541D1"/>
    <w:rsid w:val="003541DB"/>
    <w:rsid w:val="00354278"/>
    <w:rsid w:val="003548D7"/>
    <w:rsid w:val="003548F0"/>
    <w:rsid w:val="00354D71"/>
    <w:rsid w:val="00354D94"/>
    <w:rsid w:val="00354DF4"/>
    <w:rsid w:val="003550C7"/>
    <w:rsid w:val="003559AA"/>
    <w:rsid w:val="00355E80"/>
    <w:rsid w:val="00355FEC"/>
    <w:rsid w:val="003564E7"/>
    <w:rsid w:val="003565C4"/>
    <w:rsid w:val="003566E9"/>
    <w:rsid w:val="00356F11"/>
    <w:rsid w:val="00357214"/>
    <w:rsid w:val="003577EB"/>
    <w:rsid w:val="00357869"/>
    <w:rsid w:val="0035791D"/>
    <w:rsid w:val="003607A0"/>
    <w:rsid w:val="00360CBD"/>
    <w:rsid w:val="00360D4F"/>
    <w:rsid w:val="00360D68"/>
    <w:rsid w:val="00361072"/>
    <w:rsid w:val="00361163"/>
    <w:rsid w:val="003613A9"/>
    <w:rsid w:val="00361851"/>
    <w:rsid w:val="00361D52"/>
    <w:rsid w:val="00362461"/>
    <w:rsid w:val="003628AA"/>
    <w:rsid w:val="00362D37"/>
    <w:rsid w:val="003632EB"/>
    <w:rsid w:val="00363DA3"/>
    <w:rsid w:val="00363F13"/>
    <w:rsid w:val="0036400A"/>
    <w:rsid w:val="00364B18"/>
    <w:rsid w:val="00364D63"/>
    <w:rsid w:val="00365105"/>
    <w:rsid w:val="0036579C"/>
    <w:rsid w:val="003657E7"/>
    <w:rsid w:val="00365E78"/>
    <w:rsid w:val="00366857"/>
    <w:rsid w:val="00370449"/>
    <w:rsid w:val="003708DD"/>
    <w:rsid w:val="003709D4"/>
    <w:rsid w:val="00370DAC"/>
    <w:rsid w:val="00370EE0"/>
    <w:rsid w:val="003713B0"/>
    <w:rsid w:val="003714A5"/>
    <w:rsid w:val="00371726"/>
    <w:rsid w:val="0037177B"/>
    <w:rsid w:val="003717F5"/>
    <w:rsid w:val="00371B3D"/>
    <w:rsid w:val="00372850"/>
    <w:rsid w:val="00372888"/>
    <w:rsid w:val="003728FE"/>
    <w:rsid w:val="00372E17"/>
    <w:rsid w:val="00372F44"/>
    <w:rsid w:val="0037362F"/>
    <w:rsid w:val="0037380C"/>
    <w:rsid w:val="00374783"/>
    <w:rsid w:val="00374ACD"/>
    <w:rsid w:val="00374DD9"/>
    <w:rsid w:val="003750B5"/>
    <w:rsid w:val="00375135"/>
    <w:rsid w:val="00375165"/>
    <w:rsid w:val="00375520"/>
    <w:rsid w:val="00375687"/>
    <w:rsid w:val="00375C71"/>
    <w:rsid w:val="003763FF"/>
    <w:rsid w:val="00377224"/>
    <w:rsid w:val="00377360"/>
    <w:rsid w:val="0037737B"/>
    <w:rsid w:val="003774D1"/>
    <w:rsid w:val="003774E1"/>
    <w:rsid w:val="003777B8"/>
    <w:rsid w:val="00377A8B"/>
    <w:rsid w:val="00377BAD"/>
    <w:rsid w:val="003809D0"/>
    <w:rsid w:val="0038138B"/>
    <w:rsid w:val="0038196D"/>
    <w:rsid w:val="00381DCB"/>
    <w:rsid w:val="00381F87"/>
    <w:rsid w:val="00382161"/>
    <w:rsid w:val="003821D7"/>
    <w:rsid w:val="00382EFE"/>
    <w:rsid w:val="003834EB"/>
    <w:rsid w:val="00383971"/>
    <w:rsid w:val="00383A59"/>
    <w:rsid w:val="00383FF3"/>
    <w:rsid w:val="00384485"/>
    <w:rsid w:val="00384800"/>
    <w:rsid w:val="00384833"/>
    <w:rsid w:val="00384B1C"/>
    <w:rsid w:val="00384B1D"/>
    <w:rsid w:val="00384CD4"/>
    <w:rsid w:val="00384EA5"/>
    <w:rsid w:val="0038505C"/>
    <w:rsid w:val="00385308"/>
    <w:rsid w:val="003853A1"/>
    <w:rsid w:val="00385599"/>
    <w:rsid w:val="0038574F"/>
    <w:rsid w:val="00385BBE"/>
    <w:rsid w:val="00385D5C"/>
    <w:rsid w:val="00386843"/>
    <w:rsid w:val="00386C4E"/>
    <w:rsid w:val="00386E5D"/>
    <w:rsid w:val="00387E97"/>
    <w:rsid w:val="003902AD"/>
    <w:rsid w:val="003902C1"/>
    <w:rsid w:val="00390619"/>
    <w:rsid w:val="00390919"/>
    <w:rsid w:val="00390A7C"/>
    <w:rsid w:val="00390A91"/>
    <w:rsid w:val="00390AFB"/>
    <w:rsid w:val="0039142B"/>
    <w:rsid w:val="00391A35"/>
    <w:rsid w:val="00391E07"/>
    <w:rsid w:val="00392721"/>
    <w:rsid w:val="00392A6F"/>
    <w:rsid w:val="00393110"/>
    <w:rsid w:val="00393B0C"/>
    <w:rsid w:val="00393DB1"/>
    <w:rsid w:val="00393DD4"/>
    <w:rsid w:val="003946AC"/>
    <w:rsid w:val="003947C0"/>
    <w:rsid w:val="00394F17"/>
    <w:rsid w:val="00395338"/>
    <w:rsid w:val="00395600"/>
    <w:rsid w:val="00395B97"/>
    <w:rsid w:val="0039698D"/>
    <w:rsid w:val="00396CE3"/>
    <w:rsid w:val="00397340"/>
    <w:rsid w:val="00397572"/>
    <w:rsid w:val="003A02FD"/>
    <w:rsid w:val="003A03EF"/>
    <w:rsid w:val="003A05C7"/>
    <w:rsid w:val="003A0717"/>
    <w:rsid w:val="003A074E"/>
    <w:rsid w:val="003A126C"/>
    <w:rsid w:val="003A1531"/>
    <w:rsid w:val="003A1CFF"/>
    <w:rsid w:val="003A2BB7"/>
    <w:rsid w:val="003A312D"/>
    <w:rsid w:val="003A37BF"/>
    <w:rsid w:val="003A4216"/>
    <w:rsid w:val="003A4AB4"/>
    <w:rsid w:val="003A4C61"/>
    <w:rsid w:val="003A4D4A"/>
    <w:rsid w:val="003A4F09"/>
    <w:rsid w:val="003A546F"/>
    <w:rsid w:val="003A565B"/>
    <w:rsid w:val="003A5962"/>
    <w:rsid w:val="003A5C29"/>
    <w:rsid w:val="003A5D24"/>
    <w:rsid w:val="003A5DEB"/>
    <w:rsid w:val="003A5F75"/>
    <w:rsid w:val="003A61D4"/>
    <w:rsid w:val="003A6240"/>
    <w:rsid w:val="003A63B8"/>
    <w:rsid w:val="003A648B"/>
    <w:rsid w:val="003A6592"/>
    <w:rsid w:val="003A6A14"/>
    <w:rsid w:val="003A6A20"/>
    <w:rsid w:val="003A6FDD"/>
    <w:rsid w:val="003A72E4"/>
    <w:rsid w:val="003A7535"/>
    <w:rsid w:val="003A7616"/>
    <w:rsid w:val="003A799B"/>
    <w:rsid w:val="003A7CBB"/>
    <w:rsid w:val="003A7D18"/>
    <w:rsid w:val="003B00C2"/>
    <w:rsid w:val="003B017F"/>
    <w:rsid w:val="003B07D1"/>
    <w:rsid w:val="003B0A3B"/>
    <w:rsid w:val="003B0DFF"/>
    <w:rsid w:val="003B12DB"/>
    <w:rsid w:val="003B166A"/>
    <w:rsid w:val="003B1AF6"/>
    <w:rsid w:val="003B1B1B"/>
    <w:rsid w:val="003B1B75"/>
    <w:rsid w:val="003B1C8A"/>
    <w:rsid w:val="003B2A4D"/>
    <w:rsid w:val="003B2E0C"/>
    <w:rsid w:val="003B2EEF"/>
    <w:rsid w:val="003B2FBC"/>
    <w:rsid w:val="003B32CC"/>
    <w:rsid w:val="003B35CB"/>
    <w:rsid w:val="003B497D"/>
    <w:rsid w:val="003B4BD8"/>
    <w:rsid w:val="003B4DA2"/>
    <w:rsid w:val="003B4DDF"/>
    <w:rsid w:val="003B4E68"/>
    <w:rsid w:val="003B4EE8"/>
    <w:rsid w:val="003B50C0"/>
    <w:rsid w:val="003B545C"/>
    <w:rsid w:val="003B5571"/>
    <w:rsid w:val="003B57B7"/>
    <w:rsid w:val="003B5E19"/>
    <w:rsid w:val="003B64D8"/>
    <w:rsid w:val="003B6D36"/>
    <w:rsid w:val="003B76F4"/>
    <w:rsid w:val="003B78AC"/>
    <w:rsid w:val="003B7FDD"/>
    <w:rsid w:val="003C0428"/>
    <w:rsid w:val="003C08BD"/>
    <w:rsid w:val="003C1A62"/>
    <w:rsid w:val="003C1E2C"/>
    <w:rsid w:val="003C27F3"/>
    <w:rsid w:val="003C2F43"/>
    <w:rsid w:val="003C32FC"/>
    <w:rsid w:val="003C3793"/>
    <w:rsid w:val="003C3ABE"/>
    <w:rsid w:val="003C3FD4"/>
    <w:rsid w:val="003C457C"/>
    <w:rsid w:val="003C49A9"/>
    <w:rsid w:val="003C4EBE"/>
    <w:rsid w:val="003C5564"/>
    <w:rsid w:val="003C558C"/>
    <w:rsid w:val="003C5807"/>
    <w:rsid w:val="003C5A3A"/>
    <w:rsid w:val="003C5CC4"/>
    <w:rsid w:val="003C6367"/>
    <w:rsid w:val="003C66C3"/>
    <w:rsid w:val="003C6F87"/>
    <w:rsid w:val="003C7429"/>
    <w:rsid w:val="003C75BD"/>
    <w:rsid w:val="003C7E0E"/>
    <w:rsid w:val="003D07CE"/>
    <w:rsid w:val="003D0802"/>
    <w:rsid w:val="003D098A"/>
    <w:rsid w:val="003D0B7A"/>
    <w:rsid w:val="003D1303"/>
    <w:rsid w:val="003D1634"/>
    <w:rsid w:val="003D17E4"/>
    <w:rsid w:val="003D1982"/>
    <w:rsid w:val="003D1A6C"/>
    <w:rsid w:val="003D1AE5"/>
    <w:rsid w:val="003D1AEC"/>
    <w:rsid w:val="003D1BA0"/>
    <w:rsid w:val="003D23D5"/>
    <w:rsid w:val="003D2533"/>
    <w:rsid w:val="003D295D"/>
    <w:rsid w:val="003D2F1C"/>
    <w:rsid w:val="003D2FE6"/>
    <w:rsid w:val="003D384C"/>
    <w:rsid w:val="003D3C58"/>
    <w:rsid w:val="003D3CD1"/>
    <w:rsid w:val="003D4417"/>
    <w:rsid w:val="003D489A"/>
    <w:rsid w:val="003D4AED"/>
    <w:rsid w:val="003D4EA6"/>
    <w:rsid w:val="003D4FB9"/>
    <w:rsid w:val="003D5944"/>
    <w:rsid w:val="003D5C91"/>
    <w:rsid w:val="003D5D05"/>
    <w:rsid w:val="003D5ECA"/>
    <w:rsid w:val="003D5FB6"/>
    <w:rsid w:val="003D63D1"/>
    <w:rsid w:val="003D66AA"/>
    <w:rsid w:val="003D69CD"/>
    <w:rsid w:val="003D6CBF"/>
    <w:rsid w:val="003D6F2B"/>
    <w:rsid w:val="003D72CC"/>
    <w:rsid w:val="003D7618"/>
    <w:rsid w:val="003D7BFD"/>
    <w:rsid w:val="003D7D05"/>
    <w:rsid w:val="003D7FA5"/>
    <w:rsid w:val="003E03C3"/>
    <w:rsid w:val="003E064B"/>
    <w:rsid w:val="003E067B"/>
    <w:rsid w:val="003E0E09"/>
    <w:rsid w:val="003E11A4"/>
    <w:rsid w:val="003E1613"/>
    <w:rsid w:val="003E1AD1"/>
    <w:rsid w:val="003E2244"/>
    <w:rsid w:val="003E230A"/>
    <w:rsid w:val="003E236D"/>
    <w:rsid w:val="003E2512"/>
    <w:rsid w:val="003E26E3"/>
    <w:rsid w:val="003E2CFE"/>
    <w:rsid w:val="003E2E8C"/>
    <w:rsid w:val="003E2F75"/>
    <w:rsid w:val="003E3009"/>
    <w:rsid w:val="003E308A"/>
    <w:rsid w:val="003E367A"/>
    <w:rsid w:val="003E37A4"/>
    <w:rsid w:val="003E3DEA"/>
    <w:rsid w:val="003E3E23"/>
    <w:rsid w:val="003E4075"/>
    <w:rsid w:val="003E4136"/>
    <w:rsid w:val="003E4338"/>
    <w:rsid w:val="003E4E45"/>
    <w:rsid w:val="003E5E1C"/>
    <w:rsid w:val="003E5F82"/>
    <w:rsid w:val="003E61CB"/>
    <w:rsid w:val="003E652F"/>
    <w:rsid w:val="003E6E90"/>
    <w:rsid w:val="003E731F"/>
    <w:rsid w:val="003E7AFC"/>
    <w:rsid w:val="003E7C04"/>
    <w:rsid w:val="003E7C95"/>
    <w:rsid w:val="003E7FDA"/>
    <w:rsid w:val="003F01F7"/>
    <w:rsid w:val="003F0570"/>
    <w:rsid w:val="003F0D15"/>
    <w:rsid w:val="003F1283"/>
    <w:rsid w:val="003F13F6"/>
    <w:rsid w:val="003F148F"/>
    <w:rsid w:val="003F174E"/>
    <w:rsid w:val="003F1A53"/>
    <w:rsid w:val="003F1F13"/>
    <w:rsid w:val="003F2454"/>
    <w:rsid w:val="003F29E1"/>
    <w:rsid w:val="003F2DAF"/>
    <w:rsid w:val="003F2ED2"/>
    <w:rsid w:val="003F335A"/>
    <w:rsid w:val="003F3772"/>
    <w:rsid w:val="003F3A1B"/>
    <w:rsid w:val="003F3ED2"/>
    <w:rsid w:val="003F40B6"/>
    <w:rsid w:val="003F4627"/>
    <w:rsid w:val="003F4850"/>
    <w:rsid w:val="003F4ABA"/>
    <w:rsid w:val="003F53B6"/>
    <w:rsid w:val="003F54D5"/>
    <w:rsid w:val="003F6169"/>
    <w:rsid w:val="003F6645"/>
    <w:rsid w:val="003F72D7"/>
    <w:rsid w:val="003F747C"/>
    <w:rsid w:val="003F77A6"/>
    <w:rsid w:val="003F77DA"/>
    <w:rsid w:val="003F7B2D"/>
    <w:rsid w:val="003F7C7A"/>
    <w:rsid w:val="003F7F3F"/>
    <w:rsid w:val="0040065E"/>
    <w:rsid w:val="00400954"/>
    <w:rsid w:val="00400BA3"/>
    <w:rsid w:val="00400C08"/>
    <w:rsid w:val="00400C8E"/>
    <w:rsid w:val="00400D40"/>
    <w:rsid w:val="0040144A"/>
    <w:rsid w:val="004014C9"/>
    <w:rsid w:val="00401B46"/>
    <w:rsid w:val="00401D0F"/>
    <w:rsid w:val="00401DDB"/>
    <w:rsid w:val="0040244D"/>
    <w:rsid w:val="00402818"/>
    <w:rsid w:val="00402889"/>
    <w:rsid w:val="004028FD"/>
    <w:rsid w:val="00402B5F"/>
    <w:rsid w:val="00402C3D"/>
    <w:rsid w:val="00403087"/>
    <w:rsid w:val="00403A5F"/>
    <w:rsid w:val="00403D81"/>
    <w:rsid w:val="00403EDA"/>
    <w:rsid w:val="00403F44"/>
    <w:rsid w:val="0040409C"/>
    <w:rsid w:val="00404A45"/>
    <w:rsid w:val="00405576"/>
    <w:rsid w:val="004058B8"/>
    <w:rsid w:val="00405B3F"/>
    <w:rsid w:val="00406113"/>
    <w:rsid w:val="004063C4"/>
    <w:rsid w:val="0040647F"/>
    <w:rsid w:val="00406928"/>
    <w:rsid w:val="004072FC"/>
    <w:rsid w:val="004074CB"/>
    <w:rsid w:val="004078F5"/>
    <w:rsid w:val="00407D7D"/>
    <w:rsid w:val="00407EDD"/>
    <w:rsid w:val="0041010F"/>
    <w:rsid w:val="0041014C"/>
    <w:rsid w:val="00410247"/>
    <w:rsid w:val="00410B00"/>
    <w:rsid w:val="00410B21"/>
    <w:rsid w:val="00410B24"/>
    <w:rsid w:val="00410E12"/>
    <w:rsid w:val="00410E3B"/>
    <w:rsid w:val="004115C8"/>
    <w:rsid w:val="004118DA"/>
    <w:rsid w:val="0041208E"/>
    <w:rsid w:val="00413975"/>
    <w:rsid w:val="00413B36"/>
    <w:rsid w:val="00413BE9"/>
    <w:rsid w:val="00413E03"/>
    <w:rsid w:val="004143DB"/>
    <w:rsid w:val="00414E73"/>
    <w:rsid w:val="00415330"/>
    <w:rsid w:val="00415367"/>
    <w:rsid w:val="004161C2"/>
    <w:rsid w:val="004170A6"/>
    <w:rsid w:val="004174CB"/>
    <w:rsid w:val="004176BC"/>
    <w:rsid w:val="004176EB"/>
    <w:rsid w:val="004177A1"/>
    <w:rsid w:val="00417CB0"/>
    <w:rsid w:val="00417E9D"/>
    <w:rsid w:val="00417F47"/>
    <w:rsid w:val="00417FB8"/>
    <w:rsid w:val="00420584"/>
    <w:rsid w:val="004207B4"/>
    <w:rsid w:val="00420A61"/>
    <w:rsid w:val="00421048"/>
    <w:rsid w:val="00421449"/>
    <w:rsid w:val="0042164F"/>
    <w:rsid w:val="00421E8E"/>
    <w:rsid w:val="0042203D"/>
    <w:rsid w:val="00422084"/>
    <w:rsid w:val="004220E5"/>
    <w:rsid w:val="00422A93"/>
    <w:rsid w:val="00422BB1"/>
    <w:rsid w:val="00422C9F"/>
    <w:rsid w:val="00422E7D"/>
    <w:rsid w:val="0042314F"/>
    <w:rsid w:val="0042315B"/>
    <w:rsid w:val="00423EA1"/>
    <w:rsid w:val="004243EB"/>
    <w:rsid w:val="004247A9"/>
    <w:rsid w:val="00424D21"/>
    <w:rsid w:val="00424F1F"/>
    <w:rsid w:val="00424F3C"/>
    <w:rsid w:val="00425333"/>
    <w:rsid w:val="00425C24"/>
    <w:rsid w:val="0042640D"/>
    <w:rsid w:val="0042646A"/>
    <w:rsid w:val="00426BBC"/>
    <w:rsid w:val="00427238"/>
    <w:rsid w:val="004273BF"/>
    <w:rsid w:val="0042760E"/>
    <w:rsid w:val="0042767A"/>
    <w:rsid w:val="00427E91"/>
    <w:rsid w:val="004311FF"/>
    <w:rsid w:val="00431211"/>
    <w:rsid w:val="004314B6"/>
    <w:rsid w:val="00432185"/>
    <w:rsid w:val="00432447"/>
    <w:rsid w:val="00432B50"/>
    <w:rsid w:val="00432D97"/>
    <w:rsid w:val="00432F21"/>
    <w:rsid w:val="004332A0"/>
    <w:rsid w:val="004336D1"/>
    <w:rsid w:val="004337DF"/>
    <w:rsid w:val="004338BE"/>
    <w:rsid w:val="00433964"/>
    <w:rsid w:val="004342CE"/>
    <w:rsid w:val="004343AD"/>
    <w:rsid w:val="004349D9"/>
    <w:rsid w:val="00434C7F"/>
    <w:rsid w:val="004353AE"/>
    <w:rsid w:val="0043544F"/>
    <w:rsid w:val="004362C0"/>
    <w:rsid w:val="00436425"/>
    <w:rsid w:val="004364E6"/>
    <w:rsid w:val="00436B27"/>
    <w:rsid w:val="00436DBE"/>
    <w:rsid w:val="00437069"/>
    <w:rsid w:val="0043712E"/>
    <w:rsid w:val="00437E12"/>
    <w:rsid w:val="004400BC"/>
    <w:rsid w:val="00440B54"/>
    <w:rsid w:val="00440B81"/>
    <w:rsid w:val="00440F39"/>
    <w:rsid w:val="004412E8"/>
    <w:rsid w:val="00441947"/>
    <w:rsid w:val="0044296C"/>
    <w:rsid w:val="00442E85"/>
    <w:rsid w:val="00443331"/>
    <w:rsid w:val="00443561"/>
    <w:rsid w:val="00443591"/>
    <w:rsid w:val="00444859"/>
    <w:rsid w:val="00444A0A"/>
    <w:rsid w:val="00444BA5"/>
    <w:rsid w:val="00444C04"/>
    <w:rsid w:val="0044501E"/>
    <w:rsid w:val="0044580B"/>
    <w:rsid w:val="00445B35"/>
    <w:rsid w:val="00445DFA"/>
    <w:rsid w:val="004462BD"/>
    <w:rsid w:val="004462FA"/>
    <w:rsid w:val="0044692E"/>
    <w:rsid w:val="0044732A"/>
    <w:rsid w:val="0044747E"/>
    <w:rsid w:val="00447CBD"/>
    <w:rsid w:val="00450BC1"/>
    <w:rsid w:val="00451103"/>
    <w:rsid w:val="0045165E"/>
    <w:rsid w:val="004519C6"/>
    <w:rsid w:val="00451E6D"/>
    <w:rsid w:val="00451F2C"/>
    <w:rsid w:val="0045203F"/>
    <w:rsid w:val="004520DB"/>
    <w:rsid w:val="004521E8"/>
    <w:rsid w:val="00452550"/>
    <w:rsid w:val="004525A5"/>
    <w:rsid w:val="004526B0"/>
    <w:rsid w:val="00453228"/>
    <w:rsid w:val="004534FB"/>
    <w:rsid w:val="00453553"/>
    <w:rsid w:val="00453DB2"/>
    <w:rsid w:val="00453E81"/>
    <w:rsid w:val="00453F45"/>
    <w:rsid w:val="0045442E"/>
    <w:rsid w:val="00454471"/>
    <w:rsid w:val="00454829"/>
    <w:rsid w:val="00454D4D"/>
    <w:rsid w:val="00454F1D"/>
    <w:rsid w:val="00455817"/>
    <w:rsid w:val="00455982"/>
    <w:rsid w:val="00455AE4"/>
    <w:rsid w:val="004569E8"/>
    <w:rsid w:val="00456BD9"/>
    <w:rsid w:val="00457034"/>
    <w:rsid w:val="0045771B"/>
    <w:rsid w:val="00457BAA"/>
    <w:rsid w:val="00460981"/>
    <w:rsid w:val="004609DE"/>
    <w:rsid w:val="00461045"/>
    <w:rsid w:val="00461A3E"/>
    <w:rsid w:val="00461DC0"/>
    <w:rsid w:val="00462516"/>
    <w:rsid w:val="00462699"/>
    <w:rsid w:val="00462787"/>
    <w:rsid w:val="004628F0"/>
    <w:rsid w:val="00462AAF"/>
    <w:rsid w:val="00462D54"/>
    <w:rsid w:val="00462D63"/>
    <w:rsid w:val="004636BC"/>
    <w:rsid w:val="00463731"/>
    <w:rsid w:val="00463886"/>
    <w:rsid w:val="004638A7"/>
    <w:rsid w:val="00463AF8"/>
    <w:rsid w:val="004644E4"/>
    <w:rsid w:val="00464C70"/>
    <w:rsid w:val="00464E03"/>
    <w:rsid w:val="00464F36"/>
    <w:rsid w:val="00464F3A"/>
    <w:rsid w:val="0046507A"/>
    <w:rsid w:val="0046528B"/>
    <w:rsid w:val="0046568B"/>
    <w:rsid w:val="0046569B"/>
    <w:rsid w:val="00466121"/>
    <w:rsid w:val="00466912"/>
    <w:rsid w:val="00466CD1"/>
    <w:rsid w:val="004670C3"/>
    <w:rsid w:val="00467686"/>
    <w:rsid w:val="00467792"/>
    <w:rsid w:val="004679AB"/>
    <w:rsid w:val="004705A6"/>
    <w:rsid w:val="00470B06"/>
    <w:rsid w:val="00471665"/>
    <w:rsid w:val="0047195F"/>
    <w:rsid w:val="00471A9E"/>
    <w:rsid w:val="00471B86"/>
    <w:rsid w:val="00472227"/>
    <w:rsid w:val="00472E0B"/>
    <w:rsid w:val="00472E9C"/>
    <w:rsid w:val="0047312A"/>
    <w:rsid w:val="004732E6"/>
    <w:rsid w:val="00473E2B"/>
    <w:rsid w:val="00473FF9"/>
    <w:rsid w:val="00474927"/>
    <w:rsid w:val="00474E6B"/>
    <w:rsid w:val="00474FBE"/>
    <w:rsid w:val="00475122"/>
    <w:rsid w:val="0047540F"/>
    <w:rsid w:val="00475438"/>
    <w:rsid w:val="00476260"/>
    <w:rsid w:val="00476822"/>
    <w:rsid w:val="00476F8F"/>
    <w:rsid w:val="004772FF"/>
    <w:rsid w:val="00477324"/>
    <w:rsid w:val="00480310"/>
    <w:rsid w:val="0048048A"/>
    <w:rsid w:val="004807FF"/>
    <w:rsid w:val="004808F6"/>
    <w:rsid w:val="00480984"/>
    <w:rsid w:val="00481705"/>
    <w:rsid w:val="00481966"/>
    <w:rsid w:val="00482044"/>
    <w:rsid w:val="00482254"/>
    <w:rsid w:val="004823C6"/>
    <w:rsid w:val="0048252E"/>
    <w:rsid w:val="00482F51"/>
    <w:rsid w:val="00483166"/>
    <w:rsid w:val="0048333B"/>
    <w:rsid w:val="0048365C"/>
    <w:rsid w:val="004837B4"/>
    <w:rsid w:val="00483AAB"/>
    <w:rsid w:val="00483E46"/>
    <w:rsid w:val="00484915"/>
    <w:rsid w:val="00484EEF"/>
    <w:rsid w:val="004853D8"/>
    <w:rsid w:val="0048589F"/>
    <w:rsid w:val="00486552"/>
    <w:rsid w:val="00486844"/>
    <w:rsid w:val="00486AEA"/>
    <w:rsid w:val="00486B59"/>
    <w:rsid w:val="00486DA8"/>
    <w:rsid w:val="00486EEE"/>
    <w:rsid w:val="0048735B"/>
    <w:rsid w:val="004875E6"/>
    <w:rsid w:val="004877B0"/>
    <w:rsid w:val="0048786C"/>
    <w:rsid w:val="00487AD4"/>
    <w:rsid w:val="00487BF3"/>
    <w:rsid w:val="00490275"/>
    <w:rsid w:val="004904BA"/>
    <w:rsid w:val="00490518"/>
    <w:rsid w:val="00490628"/>
    <w:rsid w:val="0049071D"/>
    <w:rsid w:val="0049103F"/>
    <w:rsid w:val="00491532"/>
    <w:rsid w:val="00491F80"/>
    <w:rsid w:val="0049239D"/>
    <w:rsid w:val="004925C9"/>
    <w:rsid w:val="004929E0"/>
    <w:rsid w:val="00492B52"/>
    <w:rsid w:val="00493577"/>
    <w:rsid w:val="00493767"/>
    <w:rsid w:val="00493EB8"/>
    <w:rsid w:val="0049405F"/>
    <w:rsid w:val="004941F1"/>
    <w:rsid w:val="004942A0"/>
    <w:rsid w:val="00494307"/>
    <w:rsid w:val="00494B3B"/>
    <w:rsid w:val="00495178"/>
    <w:rsid w:val="004954A4"/>
    <w:rsid w:val="00495665"/>
    <w:rsid w:val="0049596B"/>
    <w:rsid w:val="0049608C"/>
    <w:rsid w:val="004963FE"/>
    <w:rsid w:val="00496996"/>
    <w:rsid w:val="00496DD8"/>
    <w:rsid w:val="00497692"/>
    <w:rsid w:val="00497AE7"/>
    <w:rsid w:val="004A020A"/>
    <w:rsid w:val="004A022A"/>
    <w:rsid w:val="004A036F"/>
    <w:rsid w:val="004A04FE"/>
    <w:rsid w:val="004A0859"/>
    <w:rsid w:val="004A0C71"/>
    <w:rsid w:val="004A0CF6"/>
    <w:rsid w:val="004A15D4"/>
    <w:rsid w:val="004A18E6"/>
    <w:rsid w:val="004A18FA"/>
    <w:rsid w:val="004A1B4E"/>
    <w:rsid w:val="004A1D8E"/>
    <w:rsid w:val="004A20DA"/>
    <w:rsid w:val="004A2509"/>
    <w:rsid w:val="004A294E"/>
    <w:rsid w:val="004A2E67"/>
    <w:rsid w:val="004A326C"/>
    <w:rsid w:val="004A3371"/>
    <w:rsid w:val="004A3391"/>
    <w:rsid w:val="004A398C"/>
    <w:rsid w:val="004A3AC0"/>
    <w:rsid w:val="004A3C39"/>
    <w:rsid w:val="004A3FAE"/>
    <w:rsid w:val="004A4291"/>
    <w:rsid w:val="004A4728"/>
    <w:rsid w:val="004A4AC3"/>
    <w:rsid w:val="004A4D02"/>
    <w:rsid w:val="004A4F2D"/>
    <w:rsid w:val="004A5AFA"/>
    <w:rsid w:val="004A5B38"/>
    <w:rsid w:val="004B0AF1"/>
    <w:rsid w:val="004B1545"/>
    <w:rsid w:val="004B1768"/>
    <w:rsid w:val="004B17CE"/>
    <w:rsid w:val="004B18CE"/>
    <w:rsid w:val="004B1903"/>
    <w:rsid w:val="004B1A9C"/>
    <w:rsid w:val="004B1B15"/>
    <w:rsid w:val="004B1C6F"/>
    <w:rsid w:val="004B1CB3"/>
    <w:rsid w:val="004B1F96"/>
    <w:rsid w:val="004B21DA"/>
    <w:rsid w:val="004B2241"/>
    <w:rsid w:val="004B25FA"/>
    <w:rsid w:val="004B27D6"/>
    <w:rsid w:val="004B2EBB"/>
    <w:rsid w:val="004B3507"/>
    <w:rsid w:val="004B36DF"/>
    <w:rsid w:val="004B36F4"/>
    <w:rsid w:val="004B3C81"/>
    <w:rsid w:val="004B3CA4"/>
    <w:rsid w:val="004B47F4"/>
    <w:rsid w:val="004B4C18"/>
    <w:rsid w:val="004B4E4F"/>
    <w:rsid w:val="004B50CC"/>
    <w:rsid w:val="004B5825"/>
    <w:rsid w:val="004B5D8E"/>
    <w:rsid w:val="004B61C8"/>
    <w:rsid w:val="004B622F"/>
    <w:rsid w:val="004B6415"/>
    <w:rsid w:val="004B64FA"/>
    <w:rsid w:val="004B6C14"/>
    <w:rsid w:val="004B746F"/>
    <w:rsid w:val="004B758A"/>
    <w:rsid w:val="004B7F9F"/>
    <w:rsid w:val="004C03EA"/>
    <w:rsid w:val="004C0683"/>
    <w:rsid w:val="004C06CE"/>
    <w:rsid w:val="004C099B"/>
    <w:rsid w:val="004C0BAC"/>
    <w:rsid w:val="004C0DB4"/>
    <w:rsid w:val="004C10A2"/>
    <w:rsid w:val="004C13F1"/>
    <w:rsid w:val="004C16F5"/>
    <w:rsid w:val="004C1A4B"/>
    <w:rsid w:val="004C20D0"/>
    <w:rsid w:val="004C24B2"/>
    <w:rsid w:val="004C2E64"/>
    <w:rsid w:val="004C33E8"/>
    <w:rsid w:val="004C34AD"/>
    <w:rsid w:val="004C366F"/>
    <w:rsid w:val="004C3B71"/>
    <w:rsid w:val="004C3DE2"/>
    <w:rsid w:val="004C44DD"/>
    <w:rsid w:val="004C4A96"/>
    <w:rsid w:val="004C4BB6"/>
    <w:rsid w:val="004C4E5F"/>
    <w:rsid w:val="004C51A0"/>
    <w:rsid w:val="004C52E7"/>
    <w:rsid w:val="004C5875"/>
    <w:rsid w:val="004C5F28"/>
    <w:rsid w:val="004C5FCF"/>
    <w:rsid w:val="004C664B"/>
    <w:rsid w:val="004C66F8"/>
    <w:rsid w:val="004C6736"/>
    <w:rsid w:val="004C68C6"/>
    <w:rsid w:val="004C6997"/>
    <w:rsid w:val="004C6CDB"/>
    <w:rsid w:val="004C723F"/>
    <w:rsid w:val="004C72C2"/>
    <w:rsid w:val="004C750E"/>
    <w:rsid w:val="004C7872"/>
    <w:rsid w:val="004C7933"/>
    <w:rsid w:val="004C7C36"/>
    <w:rsid w:val="004C7D16"/>
    <w:rsid w:val="004D0132"/>
    <w:rsid w:val="004D051C"/>
    <w:rsid w:val="004D080F"/>
    <w:rsid w:val="004D08E7"/>
    <w:rsid w:val="004D0D87"/>
    <w:rsid w:val="004D138E"/>
    <w:rsid w:val="004D185E"/>
    <w:rsid w:val="004D1EEB"/>
    <w:rsid w:val="004D2556"/>
    <w:rsid w:val="004D25D9"/>
    <w:rsid w:val="004D29F9"/>
    <w:rsid w:val="004D32FF"/>
    <w:rsid w:val="004D367C"/>
    <w:rsid w:val="004D3701"/>
    <w:rsid w:val="004D3753"/>
    <w:rsid w:val="004D4B61"/>
    <w:rsid w:val="004D4CE4"/>
    <w:rsid w:val="004D59A5"/>
    <w:rsid w:val="004D5B84"/>
    <w:rsid w:val="004D606D"/>
    <w:rsid w:val="004D636D"/>
    <w:rsid w:val="004D67CB"/>
    <w:rsid w:val="004D6B20"/>
    <w:rsid w:val="004D6C2F"/>
    <w:rsid w:val="004D71FE"/>
    <w:rsid w:val="004D72CE"/>
    <w:rsid w:val="004D73C0"/>
    <w:rsid w:val="004D73EF"/>
    <w:rsid w:val="004D7407"/>
    <w:rsid w:val="004D7745"/>
    <w:rsid w:val="004D7964"/>
    <w:rsid w:val="004D7A80"/>
    <w:rsid w:val="004D7CA3"/>
    <w:rsid w:val="004E0388"/>
    <w:rsid w:val="004E04C7"/>
    <w:rsid w:val="004E0894"/>
    <w:rsid w:val="004E0C77"/>
    <w:rsid w:val="004E135A"/>
    <w:rsid w:val="004E1AA0"/>
    <w:rsid w:val="004E1C50"/>
    <w:rsid w:val="004E1D36"/>
    <w:rsid w:val="004E20EE"/>
    <w:rsid w:val="004E23BB"/>
    <w:rsid w:val="004E251F"/>
    <w:rsid w:val="004E2B23"/>
    <w:rsid w:val="004E2E72"/>
    <w:rsid w:val="004E2FB9"/>
    <w:rsid w:val="004E3390"/>
    <w:rsid w:val="004E37C8"/>
    <w:rsid w:val="004E416F"/>
    <w:rsid w:val="004E424D"/>
    <w:rsid w:val="004E4439"/>
    <w:rsid w:val="004E4DBF"/>
    <w:rsid w:val="004E5BF9"/>
    <w:rsid w:val="004E5F45"/>
    <w:rsid w:val="004E64DC"/>
    <w:rsid w:val="004E674C"/>
    <w:rsid w:val="004E6F86"/>
    <w:rsid w:val="004E706A"/>
    <w:rsid w:val="004F02D7"/>
    <w:rsid w:val="004F0671"/>
    <w:rsid w:val="004F0C01"/>
    <w:rsid w:val="004F126D"/>
    <w:rsid w:val="004F1E92"/>
    <w:rsid w:val="004F234E"/>
    <w:rsid w:val="004F23A2"/>
    <w:rsid w:val="004F24B5"/>
    <w:rsid w:val="004F28A5"/>
    <w:rsid w:val="004F2B02"/>
    <w:rsid w:val="004F2D1B"/>
    <w:rsid w:val="004F2E11"/>
    <w:rsid w:val="004F2E17"/>
    <w:rsid w:val="004F2E33"/>
    <w:rsid w:val="004F31BD"/>
    <w:rsid w:val="004F378C"/>
    <w:rsid w:val="004F3B34"/>
    <w:rsid w:val="004F3C8C"/>
    <w:rsid w:val="004F3DAC"/>
    <w:rsid w:val="004F3E23"/>
    <w:rsid w:val="004F4722"/>
    <w:rsid w:val="004F4767"/>
    <w:rsid w:val="004F498A"/>
    <w:rsid w:val="004F4D86"/>
    <w:rsid w:val="004F505C"/>
    <w:rsid w:val="004F51B2"/>
    <w:rsid w:val="004F52AA"/>
    <w:rsid w:val="004F59C4"/>
    <w:rsid w:val="004F5D65"/>
    <w:rsid w:val="004F626E"/>
    <w:rsid w:val="004F6A63"/>
    <w:rsid w:val="004F705A"/>
    <w:rsid w:val="004F70F8"/>
    <w:rsid w:val="004F7230"/>
    <w:rsid w:val="004F7468"/>
    <w:rsid w:val="004F7BCD"/>
    <w:rsid w:val="004F7D65"/>
    <w:rsid w:val="004F7D7B"/>
    <w:rsid w:val="00500199"/>
    <w:rsid w:val="00501519"/>
    <w:rsid w:val="00501659"/>
    <w:rsid w:val="00501733"/>
    <w:rsid w:val="00501B75"/>
    <w:rsid w:val="00501C39"/>
    <w:rsid w:val="00502203"/>
    <w:rsid w:val="00502549"/>
    <w:rsid w:val="005026D4"/>
    <w:rsid w:val="005027B8"/>
    <w:rsid w:val="00503286"/>
    <w:rsid w:val="00503C6D"/>
    <w:rsid w:val="00503F42"/>
    <w:rsid w:val="0050449C"/>
    <w:rsid w:val="00504D6F"/>
    <w:rsid w:val="00505147"/>
    <w:rsid w:val="00505378"/>
    <w:rsid w:val="00505A66"/>
    <w:rsid w:val="00505C57"/>
    <w:rsid w:val="00505DD2"/>
    <w:rsid w:val="00505F9F"/>
    <w:rsid w:val="005060A2"/>
    <w:rsid w:val="00506192"/>
    <w:rsid w:val="00506576"/>
    <w:rsid w:val="00506710"/>
    <w:rsid w:val="00506DA6"/>
    <w:rsid w:val="00506E86"/>
    <w:rsid w:val="0050702C"/>
    <w:rsid w:val="0050722E"/>
    <w:rsid w:val="0050723E"/>
    <w:rsid w:val="005072DD"/>
    <w:rsid w:val="00507403"/>
    <w:rsid w:val="00507430"/>
    <w:rsid w:val="005077BC"/>
    <w:rsid w:val="005101E5"/>
    <w:rsid w:val="00510472"/>
    <w:rsid w:val="00510D5A"/>
    <w:rsid w:val="00511D75"/>
    <w:rsid w:val="00511FF2"/>
    <w:rsid w:val="005121CE"/>
    <w:rsid w:val="00512232"/>
    <w:rsid w:val="00512CD5"/>
    <w:rsid w:val="005135C0"/>
    <w:rsid w:val="00513B7E"/>
    <w:rsid w:val="005140F7"/>
    <w:rsid w:val="00514326"/>
    <w:rsid w:val="00514597"/>
    <w:rsid w:val="00514F8E"/>
    <w:rsid w:val="005150AB"/>
    <w:rsid w:val="0051520F"/>
    <w:rsid w:val="0051557F"/>
    <w:rsid w:val="005159F9"/>
    <w:rsid w:val="00516164"/>
    <w:rsid w:val="005164CC"/>
    <w:rsid w:val="0051666B"/>
    <w:rsid w:val="00516C90"/>
    <w:rsid w:val="0051769B"/>
    <w:rsid w:val="00517D26"/>
    <w:rsid w:val="0052052F"/>
    <w:rsid w:val="00520571"/>
    <w:rsid w:val="00520FBB"/>
    <w:rsid w:val="005212B6"/>
    <w:rsid w:val="00522C8A"/>
    <w:rsid w:val="00523AF8"/>
    <w:rsid w:val="00523B83"/>
    <w:rsid w:val="00523BFF"/>
    <w:rsid w:val="00523F57"/>
    <w:rsid w:val="00523F8F"/>
    <w:rsid w:val="005242BC"/>
    <w:rsid w:val="005248F8"/>
    <w:rsid w:val="00524E1E"/>
    <w:rsid w:val="00524E25"/>
    <w:rsid w:val="00524F92"/>
    <w:rsid w:val="0052565F"/>
    <w:rsid w:val="00525D71"/>
    <w:rsid w:val="00525D92"/>
    <w:rsid w:val="0052654A"/>
    <w:rsid w:val="00526D56"/>
    <w:rsid w:val="00526E9C"/>
    <w:rsid w:val="005278F8"/>
    <w:rsid w:val="00527D11"/>
    <w:rsid w:val="005300ED"/>
    <w:rsid w:val="00530374"/>
    <w:rsid w:val="005306B9"/>
    <w:rsid w:val="005314D8"/>
    <w:rsid w:val="00531656"/>
    <w:rsid w:val="00531706"/>
    <w:rsid w:val="00531F66"/>
    <w:rsid w:val="00532121"/>
    <w:rsid w:val="00532350"/>
    <w:rsid w:val="00532429"/>
    <w:rsid w:val="00532850"/>
    <w:rsid w:val="005328A9"/>
    <w:rsid w:val="00532C7A"/>
    <w:rsid w:val="00532DEF"/>
    <w:rsid w:val="00532E23"/>
    <w:rsid w:val="005331D3"/>
    <w:rsid w:val="005331DA"/>
    <w:rsid w:val="005332FA"/>
    <w:rsid w:val="00533317"/>
    <w:rsid w:val="005334C9"/>
    <w:rsid w:val="005335ED"/>
    <w:rsid w:val="0053446A"/>
    <w:rsid w:val="00534668"/>
    <w:rsid w:val="005346BF"/>
    <w:rsid w:val="0053472D"/>
    <w:rsid w:val="00534E23"/>
    <w:rsid w:val="00535189"/>
    <w:rsid w:val="005356B6"/>
    <w:rsid w:val="00535D75"/>
    <w:rsid w:val="00535FF9"/>
    <w:rsid w:val="0053609B"/>
    <w:rsid w:val="0053655A"/>
    <w:rsid w:val="00536ECF"/>
    <w:rsid w:val="00537355"/>
    <w:rsid w:val="0053740F"/>
    <w:rsid w:val="005406D0"/>
    <w:rsid w:val="00540B60"/>
    <w:rsid w:val="00540D9E"/>
    <w:rsid w:val="0054171A"/>
    <w:rsid w:val="005419E2"/>
    <w:rsid w:val="00541B9A"/>
    <w:rsid w:val="005420CF"/>
    <w:rsid w:val="005420D6"/>
    <w:rsid w:val="005423CF"/>
    <w:rsid w:val="00542B75"/>
    <w:rsid w:val="00542C2A"/>
    <w:rsid w:val="0054337D"/>
    <w:rsid w:val="005434CF"/>
    <w:rsid w:val="005438E3"/>
    <w:rsid w:val="005439A8"/>
    <w:rsid w:val="00543CAC"/>
    <w:rsid w:val="00543CCD"/>
    <w:rsid w:val="00543E51"/>
    <w:rsid w:val="005440E4"/>
    <w:rsid w:val="00544497"/>
    <w:rsid w:val="005447D7"/>
    <w:rsid w:val="005448FE"/>
    <w:rsid w:val="0054544C"/>
    <w:rsid w:val="00545BEC"/>
    <w:rsid w:val="005460BB"/>
    <w:rsid w:val="005468A5"/>
    <w:rsid w:val="00546A1D"/>
    <w:rsid w:val="00546C8E"/>
    <w:rsid w:val="00546CB9"/>
    <w:rsid w:val="00546E83"/>
    <w:rsid w:val="00546ED1"/>
    <w:rsid w:val="005471C3"/>
    <w:rsid w:val="00547725"/>
    <w:rsid w:val="00547886"/>
    <w:rsid w:val="0054795A"/>
    <w:rsid w:val="00550292"/>
    <w:rsid w:val="0055066D"/>
    <w:rsid w:val="005506E5"/>
    <w:rsid w:val="00550B6D"/>
    <w:rsid w:val="00551309"/>
    <w:rsid w:val="00551BDC"/>
    <w:rsid w:val="00551C79"/>
    <w:rsid w:val="00551D80"/>
    <w:rsid w:val="00552426"/>
    <w:rsid w:val="00552604"/>
    <w:rsid w:val="00552DCE"/>
    <w:rsid w:val="00552F1A"/>
    <w:rsid w:val="0055363B"/>
    <w:rsid w:val="00553693"/>
    <w:rsid w:val="005536D5"/>
    <w:rsid w:val="00553848"/>
    <w:rsid w:val="00553934"/>
    <w:rsid w:val="00553B71"/>
    <w:rsid w:val="00553D3C"/>
    <w:rsid w:val="00554596"/>
    <w:rsid w:val="00554664"/>
    <w:rsid w:val="005547BB"/>
    <w:rsid w:val="00554999"/>
    <w:rsid w:val="00554C4D"/>
    <w:rsid w:val="00554DC4"/>
    <w:rsid w:val="00555241"/>
    <w:rsid w:val="00555C08"/>
    <w:rsid w:val="0055622C"/>
    <w:rsid w:val="005564BE"/>
    <w:rsid w:val="00556541"/>
    <w:rsid w:val="00556A43"/>
    <w:rsid w:val="00556A63"/>
    <w:rsid w:val="0055727C"/>
    <w:rsid w:val="00557836"/>
    <w:rsid w:val="00557AA4"/>
    <w:rsid w:val="00557FCE"/>
    <w:rsid w:val="0056087F"/>
    <w:rsid w:val="00560D8A"/>
    <w:rsid w:val="0056121A"/>
    <w:rsid w:val="005617BD"/>
    <w:rsid w:val="00561B79"/>
    <w:rsid w:val="00561E1F"/>
    <w:rsid w:val="00562195"/>
    <w:rsid w:val="0056261D"/>
    <w:rsid w:val="005627AA"/>
    <w:rsid w:val="005627E1"/>
    <w:rsid w:val="005627E6"/>
    <w:rsid w:val="005627F2"/>
    <w:rsid w:val="00562918"/>
    <w:rsid w:val="00562C78"/>
    <w:rsid w:val="00563269"/>
    <w:rsid w:val="00563DD0"/>
    <w:rsid w:val="00564169"/>
    <w:rsid w:val="00564369"/>
    <w:rsid w:val="00564643"/>
    <w:rsid w:val="00564772"/>
    <w:rsid w:val="005654CF"/>
    <w:rsid w:val="00566518"/>
    <w:rsid w:val="005669DA"/>
    <w:rsid w:val="00566B0A"/>
    <w:rsid w:val="0056700C"/>
    <w:rsid w:val="00567613"/>
    <w:rsid w:val="00567D48"/>
    <w:rsid w:val="00567E50"/>
    <w:rsid w:val="005702D2"/>
    <w:rsid w:val="00570A77"/>
    <w:rsid w:val="00570C88"/>
    <w:rsid w:val="005711BF"/>
    <w:rsid w:val="00571206"/>
    <w:rsid w:val="00571228"/>
    <w:rsid w:val="00571295"/>
    <w:rsid w:val="00571640"/>
    <w:rsid w:val="00571678"/>
    <w:rsid w:val="00571902"/>
    <w:rsid w:val="0057194C"/>
    <w:rsid w:val="00571D62"/>
    <w:rsid w:val="005720AF"/>
    <w:rsid w:val="00572150"/>
    <w:rsid w:val="00572283"/>
    <w:rsid w:val="00572F6B"/>
    <w:rsid w:val="00573604"/>
    <w:rsid w:val="00573952"/>
    <w:rsid w:val="00573B3D"/>
    <w:rsid w:val="00573DE2"/>
    <w:rsid w:val="00573F29"/>
    <w:rsid w:val="00574693"/>
    <w:rsid w:val="00574949"/>
    <w:rsid w:val="00574AD1"/>
    <w:rsid w:val="00574FF7"/>
    <w:rsid w:val="0057501B"/>
    <w:rsid w:val="00575F52"/>
    <w:rsid w:val="00575F8F"/>
    <w:rsid w:val="00575F94"/>
    <w:rsid w:val="005762C9"/>
    <w:rsid w:val="0057666F"/>
    <w:rsid w:val="005767F1"/>
    <w:rsid w:val="00576A92"/>
    <w:rsid w:val="00577417"/>
    <w:rsid w:val="005779BD"/>
    <w:rsid w:val="00577E60"/>
    <w:rsid w:val="00577F36"/>
    <w:rsid w:val="00580009"/>
    <w:rsid w:val="00580850"/>
    <w:rsid w:val="00580912"/>
    <w:rsid w:val="00580D6B"/>
    <w:rsid w:val="00580D71"/>
    <w:rsid w:val="00580F14"/>
    <w:rsid w:val="005812AE"/>
    <w:rsid w:val="0058144C"/>
    <w:rsid w:val="0058159E"/>
    <w:rsid w:val="00581F46"/>
    <w:rsid w:val="00581F5D"/>
    <w:rsid w:val="00582234"/>
    <w:rsid w:val="005824FB"/>
    <w:rsid w:val="00582686"/>
    <w:rsid w:val="00582706"/>
    <w:rsid w:val="005829C4"/>
    <w:rsid w:val="00582D45"/>
    <w:rsid w:val="00582E8D"/>
    <w:rsid w:val="00582FA1"/>
    <w:rsid w:val="00582FFE"/>
    <w:rsid w:val="0058313D"/>
    <w:rsid w:val="005843DF"/>
    <w:rsid w:val="00584640"/>
    <w:rsid w:val="005846E8"/>
    <w:rsid w:val="0058513F"/>
    <w:rsid w:val="00585620"/>
    <w:rsid w:val="005860BC"/>
    <w:rsid w:val="005862AF"/>
    <w:rsid w:val="00586CD8"/>
    <w:rsid w:val="00587129"/>
    <w:rsid w:val="0058724D"/>
    <w:rsid w:val="0058725A"/>
    <w:rsid w:val="005872C8"/>
    <w:rsid w:val="00587746"/>
    <w:rsid w:val="005879CE"/>
    <w:rsid w:val="00587D77"/>
    <w:rsid w:val="0059000C"/>
    <w:rsid w:val="00590136"/>
    <w:rsid w:val="00590B24"/>
    <w:rsid w:val="00590B6C"/>
    <w:rsid w:val="00590E74"/>
    <w:rsid w:val="00591392"/>
    <w:rsid w:val="005913B9"/>
    <w:rsid w:val="00591429"/>
    <w:rsid w:val="005915E6"/>
    <w:rsid w:val="00591A74"/>
    <w:rsid w:val="00591BEC"/>
    <w:rsid w:val="00591C20"/>
    <w:rsid w:val="005921E8"/>
    <w:rsid w:val="005924E3"/>
    <w:rsid w:val="00592DE3"/>
    <w:rsid w:val="00593E27"/>
    <w:rsid w:val="00593F41"/>
    <w:rsid w:val="00594948"/>
    <w:rsid w:val="00594ACF"/>
    <w:rsid w:val="005950B2"/>
    <w:rsid w:val="00595154"/>
    <w:rsid w:val="00595296"/>
    <w:rsid w:val="0059551E"/>
    <w:rsid w:val="00595917"/>
    <w:rsid w:val="00595C91"/>
    <w:rsid w:val="005963AF"/>
    <w:rsid w:val="0059665C"/>
    <w:rsid w:val="005969F6"/>
    <w:rsid w:val="00596FAA"/>
    <w:rsid w:val="00596FEB"/>
    <w:rsid w:val="005976CA"/>
    <w:rsid w:val="00597A00"/>
    <w:rsid w:val="00597AB3"/>
    <w:rsid w:val="00597DBB"/>
    <w:rsid w:val="005A050E"/>
    <w:rsid w:val="005A0A21"/>
    <w:rsid w:val="005A0A74"/>
    <w:rsid w:val="005A118A"/>
    <w:rsid w:val="005A1897"/>
    <w:rsid w:val="005A252B"/>
    <w:rsid w:val="005A2738"/>
    <w:rsid w:val="005A2898"/>
    <w:rsid w:val="005A3B97"/>
    <w:rsid w:val="005A4017"/>
    <w:rsid w:val="005A45EC"/>
    <w:rsid w:val="005A4A89"/>
    <w:rsid w:val="005A55F6"/>
    <w:rsid w:val="005A57CE"/>
    <w:rsid w:val="005A57D4"/>
    <w:rsid w:val="005A5C31"/>
    <w:rsid w:val="005A5DB4"/>
    <w:rsid w:val="005A600A"/>
    <w:rsid w:val="005A6CA2"/>
    <w:rsid w:val="005A706F"/>
    <w:rsid w:val="005A74D9"/>
    <w:rsid w:val="005A7C39"/>
    <w:rsid w:val="005A7E88"/>
    <w:rsid w:val="005A7F92"/>
    <w:rsid w:val="005B01F4"/>
    <w:rsid w:val="005B05BE"/>
    <w:rsid w:val="005B0692"/>
    <w:rsid w:val="005B07C7"/>
    <w:rsid w:val="005B104E"/>
    <w:rsid w:val="005B14C2"/>
    <w:rsid w:val="005B1B4F"/>
    <w:rsid w:val="005B1E76"/>
    <w:rsid w:val="005B20C4"/>
    <w:rsid w:val="005B2237"/>
    <w:rsid w:val="005B22FC"/>
    <w:rsid w:val="005B2520"/>
    <w:rsid w:val="005B2564"/>
    <w:rsid w:val="005B2D65"/>
    <w:rsid w:val="005B2E53"/>
    <w:rsid w:val="005B2F26"/>
    <w:rsid w:val="005B3076"/>
    <w:rsid w:val="005B334E"/>
    <w:rsid w:val="005B360B"/>
    <w:rsid w:val="005B389B"/>
    <w:rsid w:val="005B3B79"/>
    <w:rsid w:val="005B3DA8"/>
    <w:rsid w:val="005B4224"/>
    <w:rsid w:val="005B426C"/>
    <w:rsid w:val="005B467F"/>
    <w:rsid w:val="005B4732"/>
    <w:rsid w:val="005B4B88"/>
    <w:rsid w:val="005B4C25"/>
    <w:rsid w:val="005B4E45"/>
    <w:rsid w:val="005B52D8"/>
    <w:rsid w:val="005B5602"/>
    <w:rsid w:val="005B57E9"/>
    <w:rsid w:val="005B583D"/>
    <w:rsid w:val="005B5A63"/>
    <w:rsid w:val="005B5DAD"/>
    <w:rsid w:val="005B6035"/>
    <w:rsid w:val="005B659A"/>
    <w:rsid w:val="005B65CA"/>
    <w:rsid w:val="005B79C6"/>
    <w:rsid w:val="005C04C0"/>
    <w:rsid w:val="005C07DF"/>
    <w:rsid w:val="005C0912"/>
    <w:rsid w:val="005C1160"/>
    <w:rsid w:val="005C1821"/>
    <w:rsid w:val="005C1912"/>
    <w:rsid w:val="005C1B15"/>
    <w:rsid w:val="005C1B46"/>
    <w:rsid w:val="005C1DE2"/>
    <w:rsid w:val="005C1F7E"/>
    <w:rsid w:val="005C2057"/>
    <w:rsid w:val="005C20A0"/>
    <w:rsid w:val="005C299A"/>
    <w:rsid w:val="005C2DD0"/>
    <w:rsid w:val="005C2EF2"/>
    <w:rsid w:val="005C311F"/>
    <w:rsid w:val="005C31EC"/>
    <w:rsid w:val="005C3234"/>
    <w:rsid w:val="005C34D5"/>
    <w:rsid w:val="005C3AE2"/>
    <w:rsid w:val="005C3DA9"/>
    <w:rsid w:val="005C4F09"/>
    <w:rsid w:val="005C511C"/>
    <w:rsid w:val="005C523E"/>
    <w:rsid w:val="005C5258"/>
    <w:rsid w:val="005C57F7"/>
    <w:rsid w:val="005C5E6A"/>
    <w:rsid w:val="005C63C2"/>
    <w:rsid w:val="005C64B4"/>
    <w:rsid w:val="005C6589"/>
    <w:rsid w:val="005C671A"/>
    <w:rsid w:val="005C694E"/>
    <w:rsid w:val="005C7159"/>
    <w:rsid w:val="005C76FD"/>
    <w:rsid w:val="005C7A6D"/>
    <w:rsid w:val="005C7DC3"/>
    <w:rsid w:val="005D027B"/>
    <w:rsid w:val="005D09FF"/>
    <w:rsid w:val="005D0C0B"/>
    <w:rsid w:val="005D0DAF"/>
    <w:rsid w:val="005D0E2B"/>
    <w:rsid w:val="005D13FE"/>
    <w:rsid w:val="005D14A4"/>
    <w:rsid w:val="005D1A50"/>
    <w:rsid w:val="005D1D83"/>
    <w:rsid w:val="005D2B25"/>
    <w:rsid w:val="005D2D12"/>
    <w:rsid w:val="005D2E2B"/>
    <w:rsid w:val="005D3633"/>
    <w:rsid w:val="005D3D10"/>
    <w:rsid w:val="005D4BA6"/>
    <w:rsid w:val="005D5A3A"/>
    <w:rsid w:val="005D63D9"/>
    <w:rsid w:val="005D65C7"/>
    <w:rsid w:val="005D6947"/>
    <w:rsid w:val="005D6BA6"/>
    <w:rsid w:val="005D6E2B"/>
    <w:rsid w:val="005D71BB"/>
    <w:rsid w:val="005D7565"/>
    <w:rsid w:val="005D7D0E"/>
    <w:rsid w:val="005E01C9"/>
    <w:rsid w:val="005E07F3"/>
    <w:rsid w:val="005E0823"/>
    <w:rsid w:val="005E0D53"/>
    <w:rsid w:val="005E1008"/>
    <w:rsid w:val="005E10B7"/>
    <w:rsid w:val="005E11E2"/>
    <w:rsid w:val="005E11E9"/>
    <w:rsid w:val="005E170E"/>
    <w:rsid w:val="005E1717"/>
    <w:rsid w:val="005E1941"/>
    <w:rsid w:val="005E1DDB"/>
    <w:rsid w:val="005E1F3B"/>
    <w:rsid w:val="005E1F3F"/>
    <w:rsid w:val="005E23F5"/>
    <w:rsid w:val="005E250E"/>
    <w:rsid w:val="005E2883"/>
    <w:rsid w:val="005E2961"/>
    <w:rsid w:val="005E2FF7"/>
    <w:rsid w:val="005E30A9"/>
    <w:rsid w:val="005E34F0"/>
    <w:rsid w:val="005E35A9"/>
    <w:rsid w:val="005E3769"/>
    <w:rsid w:val="005E3811"/>
    <w:rsid w:val="005E3B68"/>
    <w:rsid w:val="005E4148"/>
    <w:rsid w:val="005E4455"/>
    <w:rsid w:val="005E4538"/>
    <w:rsid w:val="005E4674"/>
    <w:rsid w:val="005E4AF5"/>
    <w:rsid w:val="005E4F30"/>
    <w:rsid w:val="005E511D"/>
    <w:rsid w:val="005E5675"/>
    <w:rsid w:val="005E56C4"/>
    <w:rsid w:val="005E5BEB"/>
    <w:rsid w:val="005E6369"/>
    <w:rsid w:val="005E652A"/>
    <w:rsid w:val="005E68B2"/>
    <w:rsid w:val="005E6C14"/>
    <w:rsid w:val="005E6F87"/>
    <w:rsid w:val="005E7035"/>
    <w:rsid w:val="005E7038"/>
    <w:rsid w:val="005E79FE"/>
    <w:rsid w:val="005E7ADA"/>
    <w:rsid w:val="005F043C"/>
    <w:rsid w:val="005F0593"/>
    <w:rsid w:val="005F117A"/>
    <w:rsid w:val="005F156A"/>
    <w:rsid w:val="005F1AE6"/>
    <w:rsid w:val="005F1BE8"/>
    <w:rsid w:val="005F1C1F"/>
    <w:rsid w:val="005F20C7"/>
    <w:rsid w:val="005F267F"/>
    <w:rsid w:val="005F29BA"/>
    <w:rsid w:val="005F2ABB"/>
    <w:rsid w:val="005F3375"/>
    <w:rsid w:val="005F354A"/>
    <w:rsid w:val="005F3FBF"/>
    <w:rsid w:val="005F405A"/>
    <w:rsid w:val="005F4391"/>
    <w:rsid w:val="005F570C"/>
    <w:rsid w:val="005F5922"/>
    <w:rsid w:val="005F5BD0"/>
    <w:rsid w:val="005F725D"/>
    <w:rsid w:val="005F74BD"/>
    <w:rsid w:val="005F7D2F"/>
    <w:rsid w:val="006003A9"/>
    <w:rsid w:val="006003EE"/>
    <w:rsid w:val="00600E8E"/>
    <w:rsid w:val="0060145D"/>
    <w:rsid w:val="006017B8"/>
    <w:rsid w:val="006018CA"/>
    <w:rsid w:val="006019E6"/>
    <w:rsid w:val="00601AA5"/>
    <w:rsid w:val="006021EE"/>
    <w:rsid w:val="0060270D"/>
    <w:rsid w:val="00602A5A"/>
    <w:rsid w:val="006034A7"/>
    <w:rsid w:val="006037C0"/>
    <w:rsid w:val="006037CC"/>
    <w:rsid w:val="00603A6B"/>
    <w:rsid w:val="00603DCD"/>
    <w:rsid w:val="006040F2"/>
    <w:rsid w:val="0060449A"/>
    <w:rsid w:val="00604805"/>
    <w:rsid w:val="00604919"/>
    <w:rsid w:val="00604C62"/>
    <w:rsid w:val="00604D61"/>
    <w:rsid w:val="00604EA9"/>
    <w:rsid w:val="00605279"/>
    <w:rsid w:val="0060529E"/>
    <w:rsid w:val="00605384"/>
    <w:rsid w:val="00605829"/>
    <w:rsid w:val="006059CE"/>
    <w:rsid w:val="00605BA8"/>
    <w:rsid w:val="0060601A"/>
    <w:rsid w:val="00606CD7"/>
    <w:rsid w:val="00606FBC"/>
    <w:rsid w:val="006072E8"/>
    <w:rsid w:val="00607C2D"/>
    <w:rsid w:val="00607E71"/>
    <w:rsid w:val="00610178"/>
    <w:rsid w:val="006103A4"/>
    <w:rsid w:val="00610837"/>
    <w:rsid w:val="00610922"/>
    <w:rsid w:val="00610D06"/>
    <w:rsid w:val="00610EC4"/>
    <w:rsid w:val="00611250"/>
    <w:rsid w:val="00611B57"/>
    <w:rsid w:val="00611D8D"/>
    <w:rsid w:val="00612075"/>
    <w:rsid w:val="006122E2"/>
    <w:rsid w:val="006125AA"/>
    <w:rsid w:val="00612638"/>
    <w:rsid w:val="00612C78"/>
    <w:rsid w:val="0061367E"/>
    <w:rsid w:val="00613821"/>
    <w:rsid w:val="00613E9D"/>
    <w:rsid w:val="0061423C"/>
    <w:rsid w:val="0061427C"/>
    <w:rsid w:val="0061444C"/>
    <w:rsid w:val="006147F4"/>
    <w:rsid w:val="00614D83"/>
    <w:rsid w:val="00615053"/>
    <w:rsid w:val="006150FD"/>
    <w:rsid w:val="00615136"/>
    <w:rsid w:val="00615427"/>
    <w:rsid w:val="006154F0"/>
    <w:rsid w:val="006155C4"/>
    <w:rsid w:val="00615DED"/>
    <w:rsid w:val="00615FAB"/>
    <w:rsid w:val="00616105"/>
    <w:rsid w:val="006161F8"/>
    <w:rsid w:val="006169BB"/>
    <w:rsid w:val="00616B50"/>
    <w:rsid w:val="00616F11"/>
    <w:rsid w:val="006177F0"/>
    <w:rsid w:val="0062005F"/>
    <w:rsid w:val="00620165"/>
    <w:rsid w:val="006201DC"/>
    <w:rsid w:val="0062039B"/>
    <w:rsid w:val="00620985"/>
    <w:rsid w:val="00620BD5"/>
    <w:rsid w:val="006211AA"/>
    <w:rsid w:val="00621B17"/>
    <w:rsid w:val="00622289"/>
    <w:rsid w:val="00622344"/>
    <w:rsid w:val="00622543"/>
    <w:rsid w:val="0062261D"/>
    <w:rsid w:val="00622643"/>
    <w:rsid w:val="00622676"/>
    <w:rsid w:val="00623312"/>
    <w:rsid w:val="0062351E"/>
    <w:rsid w:val="00623D80"/>
    <w:rsid w:val="00623E92"/>
    <w:rsid w:val="00623E93"/>
    <w:rsid w:val="00624322"/>
    <w:rsid w:val="00624406"/>
    <w:rsid w:val="006248E3"/>
    <w:rsid w:val="00625685"/>
    <w:rsid w:val="0062577D"/>
    <w:rsid w:val="00625AE0"/>
    <w:rsid w:val="00625D3D"/>
    <w:rsid w:val="00625DB6"/>
    <w:rsid w:val="00626280"/>
    <w:rsid w:val="00626CAC"/>
    <w:rsid w:val="006276ED"/>
    <w:rsid w:val="00627AD4"/>
    <w:rsid w:val="00630F33"/>
    <w:rsid w:val="006312A4"/>
    <w:rsid w:val="006312F8"/>
    <w:rsid w:val="006313C9"/>
    <w:rsid w:val="006317D2"/>
    <w:rsid w:val="00631C0F"/>
    <w:rsid w:val="0063210D"/>
    <w:rsid w:val="0063261C"/>
    <w:rsid w:val="006326BD"/>
    <w:rsid w:val="00632B09"/>
    <w:rsid w:val="006337EA"/>
    <w:rsid w:val="00634871"/>
    <w:rsid w:val="006348ED"/>
    <w:rsid w:val="00634DF1"/>
    <w:rsid w:val="006355E6"/>
    <w:rsid w:val="0063593A"/>
    <w:rsid w:val="00635EFB"/>
    <w:rsid w:val="006366F8"/>
    <w:rsid w:val="00636A18"/>
    <w:rsid w:val="00636A48"/>
    <w:rsid w:val="00636C14"/>
    <w:rsid w:val="00636C52"/>
    <w:rsid w:val="0063771E"/>
    <w:rsid w:val="006401D2"/>
    <w:rsid w:val="0064038A"/>
    <w:rsid w:val="006406A6"/>
    <w:rsid w:val="006409F7"/>
    <w:rsid w:val="00640A17"/>
    <w:rsid w:val="00640A5A"/>
    <w:rsid w:val="00640BE3"/>
    <w:rsid w:val="00640C80"/>
    <w:rsid w:val="00640E6C"/>
    <w:rsid w:val="00641820"/>
    <w:rsid w:val="00641F77"/>
    <w:rsid w:val="00642351"/>
    <w:rsid w:val="006424F7"/>
    <w:rsid w:val="00642A2C"/>
    <w:rsid w:val="00642B51"/>
    <w:rsid w:val="00642C32"/>
    <w:rsid w:val="0064314E"/>
    <w:rsid w:val="006433D0"/>
    <w:rsid w:val="00643467"/>
    <w:rsid w:val="00643A31"/>
    <w:rsid w:val="00643AAE"/>
    <w:rsid w:val="00643FAF"/>
    <w:rsid w:val="00644394"/>
    <w:rsid w:val="006443DD"/>
    <w:rsid w:val="006446AE"/>
    <w:rsid w:val="006446DF"/>
    <w:rsid w:val="006447B3"/>
    <w:rsid w:val="00644A9F"/>
    <w:rsid w:val="00645EB1"/>
    <w:rsid w:val="00646037"/>
    <w:rsid w:val="0064660F"/>
    <w:rsid w:val="00646BA0"/>
    <w:rsid w:val="00646E09"/>
    <w:rsid w:val="00646F54"/>
    <w:rsid w:val="006476B0"/>
    <w:rsid w:val="00647DF9"/>
    <w:rsid w:val="0065002D"/>
    <w:rsid w:val="0065014C"/>
    <w:rsid w:val="00650254"/>
    <w:rsid w:val="006502BB"/>
    <w:rsid w:val="006511BF"/>
    <w:rsid w:val="0065159E"/>
    <w:rsid w:val="006515EF"/>
    <w:rsid w:val="00651FCE"/>
    <w:rsid w:val="0065219E"/>
    <w:rsid w:val="00652202"/>
    <w:rsid w:val="0065227F"/>
    <w:rsid w:val="0065234B"/>
    <w:rsid w:val="006530E2"/>
    <w:rsid w:val="006535DE"/>
    <w:rsid w:val="006538F2"/>
    <w:rsid w:val="006542B9"/>
    <w:rsid w:val="00654342"/>
    <w:rsid w:val="0065453F"/>
    <w:rsid w:val="00654758"/>
    <w:rsid w:val="00654B2A"/>
    <w:rsid w:val="00656256"/>
    <w:rsid w:val="006563FC"/>
    <w:rsid w:val="00656422"/>
    <w:rsid w:val="00656777"/>
    <w:rsid w:val="00656796"/>
    <w:rsid w:val="006569AF"/>
    <w:rsid w:val="006569B1"/>
    <w:rsid w:val="00656D11"/>
    <w:rsid w:val="00656EAE"/>
    <w:rsid w:val="00656F61"/>
    <w:rsid w:val="00657269"/>
    <w:rsid w:val="00657344"/>
    <w:rsid w:val="00657AE2"/>
    <w:rsid w:val="00660186"/>
    <w:rsid w:val="006602CF"/>
    <w:rsid w:val="00660F20"/>
    <w:rsid w:val="00660FB0"/>
    <w:rsid w:val="00661356"/>
    <w:rsid w:val="00661FA9"/>
    <w:rsid w:val="0066228C"/>
    <w:rsid w:val="006622CF"/>
    <w:rsid w:val="00662399"/>
    <w:rsid w:val="006628D0"/>
    <w:rsid w:val="0066292F"/>
    <w:rsid w:val="00662D68"/>
    <w:rsid w:val="006631BA"/>
    <w:rsid w:val="00663205"/>
    <w:rsid w:val="00663E53"/>
    <w:rsid w:val="00664A30"/>
    <w:rsid w:val="00664B40"/>
    <w:rsid w:val="00664C5D"/>
    <w:rsid w:val="006652C0"/>
    <w:rsid w:val="006652FD"/>
    <w:rsid w:val="006653DF"/>
    <w:rsid w:val="006654BB"/>
    <w:rsid w:val="00665679"/>
    <w:rsid w:val="0066568C"/>
    <w:rsid w:val="0066590A"/>
    <w:rsid w:val="00665937"/>
    <w:rsid w:val="00665DB7"/>
    <w:rsid w:val="00666038"/>
    <w:rsid w:val="006662DF"/>
    <w:rsid w:val="0066633F"/>
    <w:rsid w:val="00666370"/>
    <w:rsid w:val="0066646F"/>
    <w:rsid w:val="00666775"/>
    <w:rsid w:val="00666A5B"/>
    <w:rsid w:val="00666C67"/>
    <w:rsid w:val="00666CB8"/>
    <w:rsid w:val="00667306"/>
    <w:rsid w:val="0066768F"/>
    <w:rsid w:val="00667BEA"/>
    <w:rsid w:val="006701F6"/>
    <w:rsid w:val="00670532"/>
    <w:rsid w:val="00670AA7"/>
    <w:rsid w:val="00670EFB"/>
    <w:rsid w:val="00671380"/>
    <w:rsid w:val="00671391"/>
    <w:rsid w:val="006713F9"/>
    <w:rsid w:val="006715DC"/>
    <w:rsid w:val="006715FF"/>
    <w:rsid w:val="00671C24"/>
    <w:rsid w:val="006720A4"/>
    <w:rsid w:val="00672F3E"/>
    <w:rsid w:val="00672FF4"/>
    <w:rsid w:val="00673BF2"/>
    <w:rsid w:val="00673C58"/>
    <w:rsid w:val="0067494B"/>
    <w:rsid w:val="00674DB0"/>
    <w:rsid w:val="00675296"/>
    <w:rsid w:val="006758C3"/>
    <w:rsid w:val="006761BE"/>
    <w:rsid w:val="006766B8"/>
    <w:rsid w:val="00677143"/>
    <w:rsid w:val="0067717D"/>
    <w:rsid w:val="006807E1"/>
    <w:rsid w:val="006809A0"/>
    <w:rsid w:val="00680C81"/>
    <w:rsid w:val="00680C9A"/>
    <w:rsid w:val="00680DE4"/>
    <w:rsid w:val="0068116A"/>
    <w:rsid w:val="00681353"/>
    <w:rsid w:val="00681663"/>
    <w:rsid w:val="006819C2"/>
    <w:rsid w:val="00681EF3"/>
    <w:rsid w:val="006823D9"/>
    <w:rsid w:val="00682434"/>
    <w:rsid w:val="00682741"/>
    <w:rsid w:val="006827CF"/>
    <w:rsid w:val="00683235"/>
    <w:rsid w:val="00683367"/>
    <w:rsid w:val="00683B8F"/>
    <w:rsid w:val="006841B1"/>
    <w:rsid w:val="006841F4"/>
    <w:rsid w:val="0068436A"/>
    <w:rsid w:val="0068454F"/>
    <w:rsid w:val="00684A55"/>
    <w:rsid w:val="00684E30"/>
    <w:rsid w:val="0068523F"/>
    <w:rsid w:val="006855A0"/>
    <w:rsid w:val="00685BE5"/>
    <w:rsid w:val="006861C4"/>
    <w:rsid w:val="00686494"/>
    <w:rsid w:val="006864D8"/>
    <w:rsid w:val="00686525"/>
    <w:rsid w:val="0068674B"/>
    <w:rsid w:val="00686C10"/>
    <w:rsid w:val="00686C23"/>
    <w:rsid w:val="00686EE5"/>
    <w:rsid w:val="00687033"/>
    <w:rsid w:val="0068762F"/>
    <w:rsid w:val="00687774"/>
    <w:rsid w:val="00687D28"/>
    <w:rsid w:val="00687EC6"/>
    <w:rsid w:val="00690AC8"/>
    <w:rsid w:val="00690CCF"/>
    <w:rsid w:val="00690E24"/>
    <w:rsid w:val="00691626"/>
    <w:rsid w:val="0069167D"/>
    <w:rsid w:val="00692A7E"/>
    <w:rsid w:val="00692F2B"/>
    <w:rsid w:val="00693053"/>
    <w:rsid w:val="00693166"/>
    <w:rsid w:val="006936CD"/>
    <w:rsid w:val="0069391C"/>
    <w:rsid w:val="00693EA8"/>
    <w:rsid w:val="00694188"/>
    <w:rsid w:val="00694430"/>
    <w:rsid w:val="00694731"/>
    <w:rsid w:val="0069493D"/>
    <w:rsid w:val="00694C13"/>
    <w:rsid w:val="00694FF9"/>
    <w:rsid w:val="0069620B"/>
    <w:rsid w:val="00696363"/>
    <w:rsid w:val="0069659F"/>
    <w:rsid w:val="00696801"/>
    <w:rsid w:val="00696F04"/>
    <w:rsid w:val="0069709C"/>
    <w:rsid w:val="0069758F"/>
    <w:rsid w:val="0069767A"/>
    <w:rsid w:val="006978DB"/>
    <w:rsid w:val="00697989"/>
    <w:rsid w:val="006979EF"/>
    <w:rsid w:val="006A049D"/>
    <w:rsid w:val="006A0623"/>
    <w:rsid w:val="006A0DCE"/>
    <w:rsid w:val="006A12AE"/>
    <w:rsid w:val="006A12E9"/>
    <w:rsid w:val="006A1BC6"/>
    <w:rsid w:val="006A272F"/>
    <w:rsid w:val="006A2842"/>
    <w:rsid w:val="006A2855"/>
    <w:rsid w:val="006A2B81"/>
    <w:rsid w:val="006A300A"/>
    <w:rsid w:val="006A32FB"/>
    <w:rsid w:val="006A393F"/>
    <w:rsid w:val="006A4443"/>
    <w:rsid w:val="006A4976"/>
    <w:rsid w:val="006A4B14"/>
    <w:rsid w:val="006A54EF"/>
    <w:rsid w:val="006A58A2"/>
    <w:rsid w:val="006A5A39"/>
    <w:rsid w:val="006A5C7F"/>
    <w:rsid w:val="006A5F5C"/>
    <w:rsid w:val="006A6263"/>
    <w:rsid w:val="006A6484"/>
    <w:rsid w:val="006A652E"/>
    <w:rsid w:val="006A67D8"/>
    <w:rsid w:val="006A6D0A"/>
    <w:rsid w:val="006A745D"/>
    <w:rsid w:val="006A7C98"/>
    <w:rsid w:val="006A7DAA"/>
    <w:rsid w:val="006A7EA3"/>
    <w:rsid w:val="006B022C"/>
    <w:rsid w:val="006B06CD"/>
    <w:rsid w:val="006B07D8"/>
    <w:rsid w:val="006B0CEB"/>
    <w:rsid w:val="006B13C1"/>
    <w:rsid w:val="006B1707"/>
    <w:rsid w:val="006B1B45"/>
    <w:rsid w:val="006B1CE8"/>
    <w:rsid w:val="006B1F80"/>
    <w:rsid w:val="006B2194"/>
    <w:rsid w:val="006B2489"/>
    <w:rsid w:val="006B271B"/>
    <w:rsid w:val="006B2E64"/>
    <w:rsid w:val="006B3215"/>
    <w:rsid w:val="006B3348"/>
    <w:rsid w:val="006B3448"/>
    <w:rsid w:val="006B35F1"/>
    <w:rsid w:val="006B4346"/>
    <w:rsid w:val="006B4A1E"/>
    <w:rsid w:val="006B4F5C"/>
    <w:rsid w:val="006B5062"/>
    <w:rsid w:val="006B50A3"/>
    <w:rsid w:val="006B554A"/>
    <w:rsid w:val="006B5725"/>
    <w:rsid w:val="006B6BDE"/>
    <w:rsid w:val="006B6CBE"/>
    <w:rsid w:val="006B71E4"/>
    <w:rsid w:val="006B721B"/>
    <w:rsid w:val="006B721D"/>
    <w:rsid w:val="006B7256"/>
    <w:rsid w:val="006B7364"/>
    <w:rsid w:val="006C00B5"/>
    <w:rsid w:val="006C04B0"/>
    <w:rsid w:val="006C062E"/>
    <w:rsid w:val="006C0AD7"/>
    <w:rsid w:val="006C1170"/>
    <w:rsid w:val="006C17D4"/>
    <w:rsid w:val="006C1A53"/>
    <w:rsid w:val="006C1D88"/>
    <w:rsid w:val="006C2506"/>
    <w:rsid w:val="006C2793"/>
    <w:rsid w:val="006C2952"/>
    <w:rsid w:val="006C3343"/>
    <w:rsid w:val="006C348B"/>
    <w:rsid w:val="006C34C1"/>
    <w:rsid w:val="006C374C"/>
    <w:rsid w:val="006C3974"/>
    <w:rsid w:val="006C441B"/>
    <w:rsid w:val="006C4B43"/>
    <w:rsid w:val="006C4E73"/>
    <w:rsid w:val="006C4EB7"/>
    <w:rsid w:val="006C5014"/>
    <w:rsid w:val="006C565B"/>
    <w:rsid w:val="006C5D35"/>
    <w:rsid w:val="006C6470"/>
    <w:rsid w:val="006C6633"/>
    <w:rsid w:val="006C75FA"/>
    <w:rsid w:val="006C7FAC"/>
    <w:rsid w:val="006D002D"/>
    <w:rsid w:val="006D040A"/>
    <w:rsid w:val="006D0421"/>
    <w:rsid w:val="006D047B"/>
    <w:rsid w:val="006D05BF"/>
    <w:rsid w:val="006D0655"/>
    <w:rsid w:val="006D0F86"/>
    <w:rsid w:val="006D13C5"/>
    <w:rsid w:val="006D1480"/>
    <w:rsid w:val="006D1D18"/>
    <w:rsid w:val="006D2413"/>
    <w:rsid w:val="006D2594"/>
    <w:rsid w:val="006D2BD4"/>
    <w:rsid w:val="006D2F2E"/>
    <w:rsid w:val="006D3530"/>
    <w:rsid w:val="006D36C9"/>
    <w:rsid w:val="006D3BF4"/>
    <w:rsid w:val="006D407D"/>
    <w:rsid w:val="006D4343"/>
    <w:rsid w:val="006D4721"/>
    <w:rsid w:val="006D477F"/>
    <w:rsid w:val="006D47BC"/>
    <w:rsid w:val="006D4ACA"/>
    <w:rsid w:val="006D4B0A"/>
    <w:rsid w:val="006D4E9E"/>
    <w:rsid w:val="006D4F07"/>
    <w:rsid w:val="006D5843"/>
    <w:rsid w:val="006D6871"/>
    <w:rsid w:val="006D6CA2"/>
    <w:rsid w:val="006D71D3"/>
    <w:rsid w:val="006E02F2"/>
    <w:rsid w:val="006E1BA4"/>
    <w:rsid w:val="006E1FB4"/>
    <w:rsid w:val="006E23E0"/>
    <w:rsid w:val="006E24D7"/>
    <w:rsid w:val="006E3415"/>
    <w:rsid w:val="006E3962"/>
    <w:rsid w:val="006E3A8F"/>
    <w:rsid w:val="006E3F3C"/>
    <w:rsid w:val="006E404F"/>
    <w:rsid w:val="006E464C"/>
    <w:rsid w:val="006E4970"/>
    <w:rsid w:val="006E4A6B"/>
    <w:rsid w:val="006E4CCB"/>
    <w:rsid w:val="006E4CCC"/>
    <w:rsid w:val="006E516B"/>
    <w:rsid w:val="006E559F"/>
    <w:rsid w:val="006E60E1"/>
    <w:rsid w:val="006E64FC"/>
    <w:rsid w:val="006E6536"/>
    <w:rsid w:val="006E6A28"/>
    <w:rsid w:val="006E6B1D"/>
    <w:rsid w:val="006E7542"/>
    <w:rsid w:val="006E77E5"/>
    <w:rsid w:val="006E78A4"/>
    <w:rsid w:val="006E7A04"/>
    <w:rsid w:val="006E7B89"/>
    <w:rsid w:val="006E7E43"/>
    <w:rsid w:val="006F065D"/>
    <w:rsid w:val="006F0B1D"/>
    <w:rsid w:val="006F0C10"/>
    <w:rsid w:val="006F14B1"/>
    <w:rsid w:val="006F2860"/>
    <w:rsid w:val="006F290B"/>
    <w:rsid w:val="006F29B4"/>
    <w:rsid w:val="006F350F"/>
    <w:rsid w:val="006F36F0"/>
    <w:rsid w:val="006F3AB8"/>
    <w:rsid w:val="006F3C48"/>
    <w:rsid w:val="006F3F45"/>
    <w:rsid w:val="006F46FC"/>
    <w:rsid w:val="006F533D"/>
    <w:rsid w:val="006F6D3E"/>
    <w:rsid w:val="006F6DDA"/>
    <w:rsid w:val="006F6FFA"/>
    <w:rsid w:val="006F7041"/>
    <w:rsid w:val="006F726F"/>
    <w:rsid w:val="006F77A9"/>
    <w:rsid w:val="006F7BBD"/>
    <w:rsid w:val="006F7CBA"/>
    <w:rsid w:val="0070068B"/>
    <w:rsid w:val="00700990"/>
    <w:rsid w:val="00700AB3"/>
    <w:rsid w:val="00700CF4"/>
    <w:rsid w:val="00701179"/>
    <w:rsid w:val="007016BE"/>
    <w:rsid w:val="00701816"/>
    <w:rsid w:val="00702038"/>
    <w:rsid w:val="007025A3"/>
    <w:rsid w:val="00702A5C"/>
    <w:rsid w:val="007030B9"/>
    <w:rsid w:val="00703181"/>
    <w:rsid w:val="007034E5"/>
    <w:rsid w:val="00703505"/>
    <w:rsid w:val="00703713"/>
    <w:rsid w:val="00703B08"/>
    <w:rsid w:val="00704001"/>
    <w:rsid w:val="007042E7"/>
    <w:rsid w:val="007044EC"/>
    <w:rsid w:val="00704571"/>
    <w:rsid w:val="007048F0"/>
    <w:rsid w:val="00705209"/>
    <w:rsid w:val="00705362"/>
    <w:rsid w:val="00705793"/>
    <w:rsid w:val="00705FAD"/>
    <w:rsid w:val="0070604E"/>
    <w:rsid w:val="00706227"/>
    <w:rsid w:val="00706DF0"/>
    <w:rsid w:val="00706F63"/>
    <w:rsid w:val="0070718C"/>
    <w:rsid w:val="00707670"/>
    <w:rsid w:val="00707E44"/>
    <w:rsid w:val="0071016B"/>
    <w:rsid w:val="00710339"/>
    <w:rsid w:val="00710630"/>
    <w:rsid w:val="00710C71"/>
    <w:rsid w:val="00710F4A"/>
    <w:rsid w:val="00711526"/>
    <w:rsid w:val="0071165C"/>
    <w:rsid w:val="00711CAD"/>
    <w:rsid w:val="0071201B"/>
    <w:rsid w:val="007128F7"/>
    <w:rsid w:val="00712915"/>
    <w:rsid w:val="0071320C"/>
    <w:rsid w:val="0071356F"/>
    <w:rsid w:val="00713BCB"/>
    <w:rsid w:val="00713DC8"/>
    <w:rsid w:val="00714166"/>
    <w:rsid w:val="007153F0"/>
    <w:rsid w:val="007154CF"/>
    <w:rsid w:val="007159A1"/>
    <w:rsid w:val="00715CFE"/>
    <w:rsid w:val="00716550"/>
    <w:rsid w:val="007167FF"/>
    <w:rsid w:val="00716812"/>
    <w:rsid w:val="00716B78"/>
    <w:rsid w:val="00716C0F"/>
    <w:rsid w:val="007171DB"/>
    <w:rsid w:val="00717651"/>
    <w:rsid w:val="0071796A"/>
    <w:rsid w:val="00717A8D"/>
    <w:rsid w:val="00717BF6"/>
    <w:rsid w:val="00717C21"/>
    <w:rsid w:val="00717F9F"/>
    <w:rsid w:val="00720493"/>
    <w:rsid w:val="007209F2"/>
    <w:rsid w:val="00720B9E"/>
    <w:rsid w:val="0072128E"/>
    <w:rsid w:val="00721514"/>
    <w:rsid w:val="007217CB"/>
    <w:rsid w:val="00721887"/>
    <w:rsid w:val="00721962"/>
    <w:rsid w:val="00721CC5"/>
    <w:rsid w:val="00721D7F"/>
    <w:rsid w:val="00721DE0"/>
    <w:rsid w:val="007224ED"/>
    <w:rsid w:val="00722FBB"/>
    <w:rsid w:val="00722FD8"/>
    <w:rsid w:val="0072366C"/>
    <w:rsid w:val="00723865"/>
    <w:rsid w:val="00723B9D"/>
    <w:rsid w:val="00724291"/>
    <w:rsid w:val="007247A1"/>
    <w:rsid w:val="007247A6"/>
    <w:rsid w:val="007247DD"/>
    <w:rsid w:val="00724D0C"/>
    <w:rsid w:val="00725190"/>
    <w:rsid w:val="0072590A"/>
    <w:rsid w:val="00725996"/>
    <w:rsid w:val="00725BAC"/>
    <w:rsid w:val="00726886"/>
    <w:rsid w:val="0072724E"/>
    <w:rsid w:val="00727381"/>
    <w:rsid w:val="00727566"/>
    <w:rsid w:val="00727924"/>
    <w:rsid w:val="00730896"/>
    <w:rsid w:val="00731044"/>
    <w:rsid w:val="007310CE"/>
    <w:rsid w:val="007314BA"/>
    <w:rsid w:val="007319B3"/>
    <w:rsid w:val="00732303"/>
    <w:rsid w:val="00732A2D"/>
    <w:rsid w:val="00732D06"/>
    <w:rsid w:val="0073377D"/>
    <w:rsid w:val="00733D78"/>
    <w:rsid w:val="00733E70"/>
    <w:rsid w:val="00733FFC"/>
    <w:rsid w:val="0073438B"/>
    <w:rsid w:val="007343F1"/>
    <w:rsid w:val="00734428"/>
    <w:rsid w:val="007347C7"/>
    <w:rsid w:val="00734864"/>
    <w:rsid w:val="0073490E"/>
    <w:rsid w:val="00734F75"/>
    <w:rsid w:val="00734FE8"/>
    <w:rsid w:val="0073536C"/>
    <w:rsid w:val="007357EC"/>
    <w:rsid w:val="007359A2"/>
    <w:rsid w:val="007359BD"/>
    <w:rsid w:val="007360A9"/>
    <w:rsid w:val="0073699B"/>
    <w:rsid w:val="0073710F"/>
    <w:rsid w:val="00737362"/>
    <w:rsid w:val="00737707"/>
    <w:rsid w:val="00737753"/>
    <w:rsid w:val="00737882"/>
    <w:rsid w:val="00737D49"/>
    <w:rsid w:val="007405A3"/>
    <w:rsid w:val="007409AA"/>
    <w:rsid w:val="00740E1B"/>
    <w:rsid w:val="00740EE3"/>
    <w:rsid w:val="007410D2"/>
    <w:rsid w:val="007411F4"/>
    <w:rsid w:val="007413BF"/>
    <w:rsid w:val="00741968"/>
    <w:rsid w:val="00741BDD"/>
    <w:rsid w:val="007423E9"/>
    <w:rsid w:val="00742530"/>
    <w:rsid w:val="00742F63"/>
    <w:rsid w:val="007438D0"/>
    <w:rsid w:val="00743A58"/>
    <w:rsid w:val="00743D1C"/>
    <w:rsid w:val="00743D29"/>
    <w:rsid w:val="00744024"/>
    <w:rsid w:val="0074406C"/>
    <w:rsid w:val="00744146"/>
    <w:rsid w:val="0074472C"/>
    <w:rsid w:val="00744B1B"/>
    <w:rsid w:val="00745023"/>
    <w:rsid w:val="00745153"/>
    <w:rsid w:val="00745844"/>
    <w:rsid w:val="0074589E"/>
    <w:rsid w:val="00745D64"/>
    <w:rsid w:val="007460ED"/>
    <w:rsid w:val="0074661C"/>
    <w:rsid w:val="007467B0"/>
    <w:rsid w:val="00746A2F"/>
    <w:rsid w:val="00746B1E"/>
    <w:rsid w:val="007472EF"/>
    <w:rsid w:val="00747669"/>
    <w:rsid w:val="0074771E"/>
    <w:rsid w:val="007478AF"/>
    <w:rsid w:val="00747A9A"/>
    <w:rsid w:val="00747AFE"/>
    <w:rsid w:val="00750922"/>
    <w:rsid w:val="00751097"/>
    <w:rsid w:val="007519F6"/>
    <w:rsid w:val="00751E1F"/>
    <w:rsid w:val="0075296E"/>
    <w:rsid w:val="00752C51"/>
    <w:rsid w:val="00752F33"/>
    <w:rsid w:val="00753046"/>
    <w:rsid w:val="0075319C"/>
    <w:rsid w:val="007531A5"/>
    <w:rsid w:val="007535E3"/>
    <w:rsid w:val="00753FCB"/>
    <w:rsid w:val="007542B1"/>
    <w:rsid w:val="007545D7"/>
    <w:rsid w:val="00754A0F"/>
    <w:rsid w:val="007550FE"/>
    <w:rsid w:val="00755EE8"/>
    <w:rsid w:val="0075603B"/>
    <w:rsid w:val="00756609"/>
    <w:rsid w:val="007566A7"/>
    <w:rsid w:val="007567D2"/>
    <w:rsid w:val="00756E30"/>
    <w:rsid w:val="0075707E"/>
    <w:rsid w:val="00757941"/>
    <w:rsid w:val="0076005C"/>
    <w:rsid w:val="007606E7"/>
    <w:rsid w:val="007606EC"/>
    <w:rsid w:val="00760C28"/>
    <w:rsid w:val="007615C0"/>
    <w:rsid w:val="0076181E"/>
    <w:rsid w:val="00761948"/>
    <w:rsid w:val="00761F21"/>
    <w:rsid w:val="00762FCA"/>
    <w:rsid w:val="007639A5"/>
    <w:rsid w:val="00763DE8"/>
    <w:rsid w:val="00763EE9"/>
    <w:rsid w:val="00764375"/>
    <w:rsid w:val="007653BF"/>
    <w:rsid w:val="00765630"/>
    <w:rsid w:val="00765919"/>
    <w:rsid w:val="00765CA3"/>
    <w:rsid w:val="007661BB"/>
    <w:rsid w:val="0076653E"/>
    <w:rsid w:val="00766647"/>
    <w:rsid w:val="0076786D"/>
    <w:rsid w:val="007700F8"/>
    <w:rsid w:val="007701D4"/>
    <w:rsid w:val="00770685"/>
    <w:rsid w:val="0077094D"/>
    <w:rsid w:val="00770E63"/>
    <w:rsid w:val="00771D61"/>
    <w:rsid w:val="00771EC7"/>
    <w:rsid w:val="00772964"/>
    <w:rsid w:val="00772D0D"/>
    <w:rsid w:val="0077319D"/>
    <w:rsid w:val="0077372B"/>
    <w:rsid w:val="00773C06"/>
    <w:rsid w:val="00774311"/>
    <w:rsid w:val="00774469"/>
    <w:rsid w:val="007744B2"/>
    <w:rsid w:val="00774752"/>
    <w:rsid w:val="00774913"/>
    <w:rsid w:val="00774DD2"/>
    <w:rsid w:val="00775291"/>
    <w:rsid w:val="0077594E"/>
    <w:rsid w:val="00775FB9"/>
    <w:rsid w:val="00776268"/>
    <w:rsid w:val="00776DD3"/>
    <w:rsid w:val="00776E9E"/>
    <w:rsid w:val="00777495"/>
    <w:rsid w:val="00777C2C"/>
    <w:rsid w:val="00777F38"/>
    <w:rsid w:val="0078016F"/>
    <w:rsid w:val="007804B1"/>
    <w:rsid w:val="007805EC"/>
    <w:rsid w:val="007807E9"/>
    <w:rsid w:val="007807EA"/>
    <w:rsid w:val="007808A4"/>
    <w:rsid w:val="00780928"/>
    <w:rsid w:val="00780B0E"/>
    <w:rsid w:val="00781689"/>
    <w:rsid w:val="00781F85"/>
    <w:rsid w:val="00782394"/>
    <w:rsid w:val="00782848"/>
    <w:rsid w:val="007829B1"/>
    <w:rsid w:val="00782C5A"/>
    <w:rsid w:val="00782D28"/>
    <w:rsid w:val="007834C1"/>
    <w:rsid w:val="00783873"/>
    <w:rsid w:val="00783F1A"/>
    <w:rsid w:val="007847D1"/>
    <w:rsid w:val="00784924"/>
    <w:rsid w:val="00785B0C"/>
    <w:rsid w:val="00785D82"/>
    <w:rsid w:val="00785DE4"/>
    <w:rsid w:val="0078647B"/>
    <w:rsid w:val="00786627"/>
    <w:rsid w:val="007866B1"/>
    <w:rsid w:val="0078695B"/>
    <w:rsid w:val="00786ED4"/>
    <w:rsid w:val="0078716F"/>
    <w:rsid w:val="00787256"/>
    <w:rsid w:val="007873C8"/>
    <w:rsid w:val="007878EA"/>
    <w:rsid w:val="0078793D"/>
    <w:rsid w:val="00787F80"/>
    <w:rsid w:val="00790F50"/>
    <w:rsid w:val="00791374"/>
    <w:rsid w:val="007921C7"/>
    <w:rsid w:val="007922D1"/>
    <w:rsid w:val="0079263D"/>
    <w:rsid w:val="00792712"/>
    <w:rsid w:val="007929C5"/>
    <w:rsid w:val="00792B66"/>
    <w:rsid w:val="0079301E"/>
    <w:rsid w:val="0079352C"/>
    <w:rsid w:val="007937E7"/>
    <w:rsid w:val="00793B34"/>
    <w:rsid w:val="00793B84"/>
    <w:rsid w:val="00793CBC"/>
    <w:rsid w:val="00793D87"/>
    <w:rsid w:val="00794795"/>
    <w:rsid w:val="007949E6"/>
    <w:rsid w:val="00794C18"/>
    <w:rsid w:val="00794CC2"/>
    <w:rsid w:val="00794D98"/>
    <w:rsid w:val="00794F29"/>
    <w:rsid w:val="007954BD"/>
    <w:rsid w:val="0079563E"/>
    <w:rsid w:val="00795767"/>
    <w:rsid w:val="00795A2A"/>
    <w:rsid w:val="00795E7E"/>
    <w:rsid w:val="007964B5"/>
    <w:rsid w:val="00796A67"/>
    <w:rsid w:val="007972BC"/>
    <w:rsid w:val="007972FB"/>
    <w:rsid w:val="007977AD"/>
    <w:rsid w:val="007978FC"/>
    <w:rsid w:val="00797DEC"/>
    <w:rsid w:val="007A02BC"/>
    <w:rsid w:val="007A099F"/>
    <w:rsid w:val="007A0ADA"/>
    <w:rsid w:val="007A0D27"/>
    <w:rsid w:val="007A0F0F"/>
    <w:rsid w:val="007A16EB"/>
    <w:rsid w:val="007A17E2"/>
    <w:rsid w:val="007A1B78"/>
    <w:rsid w:val="007A26C4"/>
    <w:rsid w:val="007A2742"/>
    <w:rsid w:val="007A2790"/>
    <w:rsid w:val="007A2A9C"/>
    <w:rsid w:val="007A2F96"/>
    <w:rsid w:val="007A33C4"/>
    <w:rsid w:val="007A4096"/>
    <w:rsid w:val="007A42DA"/>
    <w:rsid w:val="007A46DC"/>
    <w:rsid w:val="007A49D9"/>
    <w:rsid w:val="007A5620"/>
    <w:rsid w:val="007A595E"/>
    <w:rsid w:val="007A5F49"/>
    <w:rsid w:val="007A5F96"/>
    <w:rsid w:val="007A740A"/>
    <w:rsid w:val="007A7605"/>
    <w:rsid w:val="007A79B4"/>
    <w:rsid w:val="007A7E4C"/>
    <w:rsid w:val="007B01E7"/>
    <w:rsid w:val="007B0810"/>
    <w:rsid w:val="007B0DC2"/>
    <w:rsid w:val="007B1021"/>
    <w:rsid w:val="007B104F"/>
    <w:rsid w:val="007B120B"/>
    <w:rsid w:val="007B1418"/>
    <w:rsid w:val="007B1C29"/>
    <w:rsid w:val="007B2177"/>
    <w:rsid w:val="007B23E6"/>
    <w:rsid w:val="007B25A2"/>
    <w:rsid w:val="007B2FF1"/>
    <w:rsid w:val="007B3347"/>
    <w:rsid w:val="007B3503"/>
    <w:rsid w:val="007B3584"/>
    <w:rsid w:val="007B3BDC"/>
    <w:rsid w:val="007B3E48"/>
    <w:rsid w:val="007B3F86"/>
    <w:rsid w:val="007B404F"/>
    <w:rsid w:val="007B41BE"/>
    <w:rsid w:val="007B4745"/>
    <w:rsid w:val="007B477A"/>
    <w:rsid w:val="007B482A"/>
    <w:rsid w:val="007B4D65"/>
    <w:rsid w:val="007B4F7F"/>
    <w:rsid w:val="007B52BB"/>
    <w:rsid w:val="007B56E1"/>
    <w:rsid w:val="007B5C49"/>
    <w:rsid w:val="007B6828"/>
    <w:rsid w:val="007B71D9"/>
    <w:rsid w:val="007B7BB1"/>
    <w:rsid w:val="007B7E03"/>
    <w:rsid w:val="007C03F6"/>
    <w:rsid w:val="007C0B47"/>
    <w:rsid w:val="007C107C"/>
    <w:rsid w:val="007C1229"/>
    <w:rsid w:val="007C136F"/>
    <w:rsid w:val="007C17AB"/>
    <w:rsid w:val="007C1DFF"/>
    <w:rsid w:val="007C1E1D"/>
    <w:rsid w:val="007C2145"/>
    <w:rsid w:val="007C21A1"/>
    <w:rsid w:val="007C2349"/>
    <w:rsid w:val="007C27BF"/>
    <w:rsid w:val="007C2A41"/>
    <w:rsid w:val="007C2AE7"/>
    <w:rsid w:val="007C33A0"/>
    <w:rsid w:val="007C33D6"/>
    <w:rsid w:val="007C377C"/>
    <w:rsid w:val="007C378F"/>
    <w:rsid w:val="007C3815"/>
    <w:rsid w:val="007C3849"/>
    <w:rsid w:val="007C3B7F"/>
    <w:rsid w:val="007C3F35"/>
    <w:rsid w:val="007C4A9F"/>
    <w:rsid w:val="007C4E9B"/>
    <w:rsid w:val="007C5A9A"/>
    <w:rsid w:val="007C5B20"/>
    <w:rsid w:val="007C65FA"/>
    <w:rsid w:val="007C685F"/>
    <w:rsid w:val="007C7513"/>
    <w:rsid w:val="007C775D"/>
    <w:rsid w:val="007C7A9E"/>
    <w:rsid w:val="007C7F59"/>
    <w:rsid w:val="007D069C"/>
    <w:rsid w:val="007D090A"/>
    <w:rsid w:val="007D0F10"/>
    <w:rsid w:val="007D14FF"/>
    <w:rsid w:val="007D186C"/>
    <w:rsid w:val="007D19F4"/>
    <w:rsid w:val="007D1AFD"/>
    <w:rsid w:val="007D1E73"/>
    <w:rsid w:val="007D23C4"/>
    <w:rsid w:val="007D25E6"/>
    <w:rsid w:val="007D298F"/>
    <w:rsid w:val="007D2FC8"/>
    <w:rsid w:val="007D310A"/>
    <w:rsid w:val="007D408D"/>
    <w:rsid w:val="007D4CA7"/>
    <w:rsid w:val="007D4CD5"/>
    <w:rsid w:val="007D5019"/>
    <w:rsid w:val="007D52A7"/>
    <w:rsid w:val="007D5BD5"/>
    <w:rsid w:val="007D619D"/>
    <w:rsid w:val="007D658F"/>
    <w:rsid w:val="007D68AD"/>
    <w:rsid w:val="007D6B04"/>
    <w:rsid w:val="007D6D6F"/>
    <w:rsid w:val="007D6E6D"/>
    <w:rsid w:val="007D6F1A"/>
    <w:rsid w:val="007D6F5D"/>
    <w:rsid w:val="007D7604"/>
    <w:rsid w:val="007D7642"/>
    <w:rsid w:val="007D7729"/>
    <w:rsid w:val="007D7AA9"/>
    <w:rsid w:val="007D7F8B"/>
    <w:rsid w:val="007E075D"/>
    <w:rsid w:val="007E0803"/>
    <w:rsid w:val="007E0D86"/>
    <w:rsid w:val="007E0E53"/>
    <w:rsid w:val="007E1099"/>
    <w:rsid w:val="007E13CF"/>
    <w:rsid w:val="007E16CE"/>
    <w:rsid w:val="007E170B"/>
    <w:rsid w:val="007E1720"/>
    <w:rsid w:val="007E18BA"/>
    <w:rsid w:val="007E18FA"/>
    <w:rsid w:val="007E1CD8"/>
    <w:rsid w:val="007E1DF2"/>
    <w:rsid w:val="007E2170"/>
    <w:rsid w:val="007E25D0"/>
    <w:rsid w:val="007E2888"/>
    <w:rsid w:val="007E29B7"/>
    <w:rsid w:val="007E2BA4"/>
    <w:rsid w:val="007E3026"/>
    <w:rsid w:val="007E32D4"/>
    <w:rsid w:val="007E349F"/>
    <w:rsid w:val="007E3514"/>
    <w:rsid w:val="007E3829"/>
    <w:rsid w:val="007E402B"/>
    <w:rsid w:val="007E4167"/>
    <w:rsid w:val="007E495E"/>
    <w:rsid w:val="007E4DF6"/>
    <w:rsid w:val="007E50F1"/>
    <w:rsid w:val="007E5172"/>
    <w:rsid w:val="007E5767"/>
    <w:rsid w:val="007E5FF3"/>
    <w:rsid w:val="007E6257"/>
    <w:rsid w:val="007E65FE"/>
    <w:rsid w:val="007E6782"/>
    <w:rsid w:val="007E6B64"/>
    <w:rsid w:val="007E6F9A"/>
    <w:rsid w:val="007E7679"/>
    <w:rsid w:val="007E7683"/>
    <w:rsid w:val="007E7980"/>
    <w:rsid w:val="007E79F5"/>
    <w:rsid w:val="007E7AF0"/>
    <w:rsid w:val="007F02BF"/>
    <w:rsid w:val="007F0A9A"/>
    <w:rsid w:val="007F10B5"/>
    <w:rsid w:val="007F10D0"/>
    <w:rsid w:val="007F1B16"/>
    <w:rsid w:val="007F1BC2"/>
    <w:rsid w:val="007F1C7A"/>
    <w:rsid w:val="007F1CCC"/>
    <w:rsid w:val="007F1F15"/>
    <w:rsid w:val="007F25B4"/>
    <w:rsid w:val="007F2B31"/>
    <w:rsid w:val="007F2C38"/>
    <w:rsid w:val="007F2EFF"/>
    <w:rsid w:val="007F3244"/>
    <w:rsid w:val="007F3395"/>
    <w:rsid w:val="007F3639"/>
    <w:rsid w:val="007F3683"/>
    <w:rsid w:val="007F36F2"/>
    <w:rsid w:val="007F39D7"/>
    <w:rsid w:val="007F3A04"/>
    <w:rsid w:val="007F48F6"/>
    <w:rsid w:val="007F51FF"/>
    <w:rsid w:val="007F5557"/>
    <w:rsid w:val="007F57D6"/>
    <w:rsid w:val="007F5CD4"/>
    <w:rsid w:val="007F61AB"/>
    <w:rsid w:val="007F61E2"/>
    <w:rsid w:val="007F6460"/>
    <w:rsid w:val="007F6C16"/>
    <w:rsid w:val="007F6C74"/>
    <w:rsid w:val="007F730F"/>
    <w:rsid w:val="007F7527"/>
    <w:rsid w:val="007F753A"/>
    <w:rsid w:val="007F7563"/>
    <w:rsid w:val="007F759F"/>
    <w:rsid w:val="007F7903"/>
    <w:rsid w:val="007F7A54"/>
    <w:rsid w:val="007F7AB8"/>
    <w:rsid w:val="00800125"/>
    <w:rsid w:val="0080026A"/>
    <w:rsid w:val="00800338"/>
    <w:rsid w:val="00800FCD"/>
    <w:rsid w:val="00801057"/>
    <w:rsid w:val="00801387"/>
    <w:rsid w:val="008014DE"/>
    <w:rsid w:val="00801A60"/>
    <w:rsid w:val="00801B3F"/>
    <w:rsid w:val="00801BFF"/>
    <w:rsid w:val="0080250E"/>
    <w:rsid w:val="008026A8"/>
    <w:rsid w:val="0080281E"/>
    <w:rsid w:val="0080288E"/>
    <w:rsid w:val="00803DDF"/>
    <w:rsid w:val="00804121"/>
    <w:rsid w:val="00804C27"/>
    <w:rsid w:val="00804DCD"/>
    <w:rsid w:val="0080505E"/>
    <w:rsid w:val="00805261"/>
    <w:rsid w:val="0080563D"/>
    <w:rsid w:val="008056BE"/>
    <w:rsid w:val="008059F4"/>
    <w:rsid w:val="00805F75"/>
    <w:rsid w:val="00806071"/>
    <w:rsid w:val="00806DB1"/>
    <w:rsid w:val="008070F2"/>
    <w:rsid w:val="00807692"/>
    <w:rsid w:val="00807730"/>
    <w:rsid w:val="00807C1B"/>
    <w:rsid w:val="00807E3E"/>
    <w:rsid w:val="0081006B"/>
    <w:rsid w:val="00810489"/>
    <w:rsid w:val="008107E7"/>
    <w:rsid w:val="00810B18"/>
    <w:rsid w:val="00810D65"/>
    <w:rsid w:val="00810F2E"/>
    <w:rsid w:val="00811024"/>
    <w:rsid w:val="00811026"/>
    <w:rsid w:val="0081143A"/>
    <w:rsid w:val="00811816"/>
    <w:rsid w:val="008118CF"/>
    <w:rsid w:val="00811982"/>
    <w:rsid w:val="00811B7A"/>
    <w:rsid w:val="00811E77"/>
    <w:rsid w:val="0081206F"/>
    <w:rsid w:val="00812466"/>
    <w:rsid w:val="00812638"/>
    <w:rsid w:val="00812656"/>
    <w:rsid w:val="00812720"/>
    <w:rsid w:val="00812AE2"/>
    <w:rsid w:val="00812CD4"/>
    <w:rsid w:val="0081303A"/>
    <w:rsid w:val="008130B9"/>
    <w:rsid w:val="008133C0"/>
    <w:rsid w:val="0081342A"/>
    <w:rsid w:val="00814892"/>
    <w:rsid w:val="00814D78"/>
    <w:rsid w:val="00815167"/>
    <w:rsid w:val="008151B0"/>
    <w:rsid w:val="0081596C"/>
    <w:rsid w:val="00815F87"/>
    <w:rsid w:val="00816161"/>
    <w:rsid w:val="0081641E"/>
    <w:rsid w:val="00816744"/>
    <w:rsid w:val="0081696D"/>
    <w:rsid w:val="00816A62"/>
    <w:rsid w:val="00816B36"/>
    <w:rsid w:val="00817452"/>
    <w:rsid w:val="0081758D"/>
    <w:rsid w:val="00817C39"/>
    <w:rsid w:val="00817C8A"/>
    <w:rsid w:val="0082098B"/>
    <w:rsid w:val="008209DF"/>
    <w:rsid w:val="008214EB"/>
    <w:rsid w:val="00821601"/>
    <w:rsid w:val="00821923"/>
    <w:rsid w:val="00821E84"/>
    <w:rsid w:val="00822005"/>
    <w:rsid w:val="0082256B"/>
    <w:rsid w:val="00822609"/>
    <w:rsid w:val="00822901"/>
    <w:rsid w:val="00822B0C"/>
    <w:rsid w:val="00822C45"/>
    <w:rsid w:val="00822F66"/>
    <w:rsid w:val="0082368A"/>
    <w:rsid w:val="00823764"/>
    <w:rsid w:val="008240F0"/>
    <w:rsid w:val="008241E4"/>
    <w:rsid w:val="00824394"/>
    <w:rsid w:val="00824912"/>
    <w:rsid w:val="00824F1A"/>
    <w:rsid w:val="00825B07"/>
    <w:rsid w:val="008265E8"/>
    <w:rsid w:val="00826634"/>
    <w:rsid w:val="00826BAC"/>
    <w:rsid w:val="00826C0C"/>
    <w:rsid w:val="0082711A"/>
    <w:rsid w:val="00827A68"/>
    <w:rsid w:val="00827E75"/>
    <w:rsid w:val="00827ED8"/>
    <w:rsid w:val="0083008D"/>
    <w:rsid w:val="00830273"/>
    <w:rsid w:val="00830304"/>
    <w:rsid w:val="00830810"/>
    <w:rsid w:val="00830817"/>
    <w:rsid w:val="008309CF"/>
    <w:rsid w:val="00830AF8"/>
    <w:rsid w:val="00830B5F"/>
    <w:rsid w:val="00830DC0"/>
    <w:rsid w:val="00831427"/>
    <w:rsid w:val="00831C09"/>
    <w:rsid w:val="00831C68"/>
    <w:rsid w:val="00831E01"/>
    <w:rsid w:val="008322FB"/>
    <w:rsid w:val="0083272D"/>
    <w:rsid w:val="00832E6A"/>
    <w:rsid w:val="0083351E"/>
    <w:rsid w:val="00833A86"/>
    <w:rsid w:val="00833E4E"/>
    <w:rsid w:val="0083473D"/>
    <w:rsid w:val="00834AF4"/>
    <w:rsid w:val="00834BEC"/>
    <w:rsid w:val="00834D47"/>
    <w:rsid w:val="00834DC9"/>
    <w:rsid w:val="00834DE5"/>
    <w:rsid w:val="00834EC7"/>
    <w:rsid w:val="00835389"/>
    <w:rsid w:val="00835459"/>
    <w:rsid w:val="008356D1"/>
    <w:rsid w:val="00835819"/>
    <w:rsid w:val="008358DA"/>
    <w:rsid w:val="0083644D"/>
    <w:rsid w:val="00836F1C"/>
    <w:rsid w:val="00837060"/>
    <w:rsid w:val="008373F3"/>
    <w:rsid w:val="008375EA"/>
    <w:rsid w:val="00837AFA"/>
    <w:rsid w:val="00837C5C"/>
    <w:rsid w:val="00837CD5"/>
    <w:rsid w:val="00840350"/>
    <w:rsid w:val="00840409"/>
    <w:rsid w:val="0084055F"/>
    <w:rsid w:val="00840983"/>
    <w:rsid w:val="0084098C"/>
    <w:rsid w:val="0084108B"/>
    <w:rsid w:val="008411FD"/>
    <w:rsid w:val="008412C1"/>
    <w:rsid w:val="0084138C"/>
    <w:rsid w:val="008419BC"/>
    <w:rsid w:val="0084240D"/>
    <w:rsid w:val="00842584"/>
    <w:rsid w:val="008429DB"/>
    <w:rsid w:val="00842BA8"/>
    <w:rsid w:val="008430F2"/>
    <w:rsid w:val="0084324E"/>
    <w:rsid w:val="00843E4B"/>
    <w:rsid w:val="0084416C"/>
    <w:rsid w:val="00844AA3"/>
    <w:rsid w:val="00844B2A"/>
    <w:rsid w:val="00844ED2"/>
    <w:rsid w:val="0084562E"/>
    <w:rsid w:val="00845780"/>
    <w:rsid w:val="008467D6"/>
    <w:rsid w:val="00846FC0"/>
    <w:rsid w:val="00846FFE"/>
    <w:rsid w:val="008470E8"/>
    <w:rsid w:val="0084736D"/>
    <w:rsid w:val="0084770D"/>
    <w:rsid w:val="008479BC"/>
    <w:rsid w:val="00847C79"/>
    <w:rsid w:val="008503F8"/>
    <w:rsid w:val="00850565"/>
    <w:rsid w:val="00850680"/>
    <w:rsid w:val="0085083F"/>
    <w:rsid w:val="008508CC"/>
    <w:rsid w:val="00850923"/>
    <w:rsid w:val="00850A19"/>
    <w:rsid w:val="00850AFC"/>
    <w:rsid w:val="00850C7E"/>
    <w:rsid w:val="00850DA6"/>
    <w:rsid w:val="0085106C"/>
    <w:rsid w:val="008514EC"/>
    <w:rsid w:val="00851AFC"/>
    <w:rsid w:val="00851F31"/>
    <w:rsid w:val="0085233E"/>
    <w:rsid w:val="008524F7"/>
    <w:rsid w:val="00852A9A"/>
    <w:rsid w:val="00852C73"/>
    <w:rsid w:val="00852ED2"/>
    <w:rsid w:val="00852F34"/>
    <w:rsid w:val="008534FA"/>
    <w:rsid w:val="00853616"/>
    <w:rsid w:val="00853704"/>
    <w:rsid w:val="00853C23"/>
    <w:rsid w:val="00853EFD"/>
    <w:rsid w:val="00854020"/>
    <w:rsid w:val="0085413E"/>
    <w:rsid w:val="008542C1"/>
    <w:rsid w:val="00854546"/>
    <w:rsid w:val="00854674"/>
    <w:rsid w:val="00854784"/>
    <w:rsid w:val="008549C0"/>
    <w:rsid w:val="00854C48"/>
    <w:rsid w:val="00854C8E"/>
    <w:rsid w:val="008557F4"/>
    <w:rsid w:val="00855D65"/>
    <w:rsid w:val="00856542"/>
    <w:rsid w:val="008567FE"/>
    <w:rsid w:val="00856B56"/>
    <w:rsid w:val="00856FEF"/>
    <w:rsid w:val="0085729A"/>
    <w:rsid w:val="008575ED"/>
    <w:rsid w:val="008577A7"/>
    <w:rsid w:val="00857A8B"/>
    <w:rsid w:val="00857BC1"/>
    <w:rsid w:val="00857F3D"/>
    <w:rsid w:val="008601AC"/>
    <w:rsid w:val="008608B0"/>
    <w:rsid w:val="00860EF1"/>
    <w:rsid w:val="00860F08"/>
    <w:rsid w:val="008610DA"/>
    <w:rsid w:val="008611C8"/>
    <w:rsid w:val="008612F5"/>
    <w:rsid w:val="00861376"/>
    <w:rsid w:val="00861D5B"/>
    <w:rsid w:val="00861E55"/>
    <w:rsid w:val="00861F9D"/>
    <w:rsid w:val="00862B4C"/>
    <w:rsid w:val="0086307F"/>
    <w:rsid w:val="008639AD"/>
    <w:rsid w:val="00863C1F"/>
    <w:rsid w:val="00863E22"/>
    <w:rsid w:val="0086425E"/>
    <w:rsid w:val="0086488A"/>
    <w:rsid w:val="00864991"/>
    <w:rsid w:val="00865ACA"/>
    <w:rsid w:val="00866BCC"/>
    <w:rsid w:val="00866D92"/>
    <w:rsid w:val="00870856"/>
    <w:rsid w:val="00870F6E"/>
    <w:rsid w:val="00871326"/>
    <w:rsid w:val="0087157B"/>
    <w:rsid w:val="00871C4C"/>
    <w:rsid w:val="00871E03"/>
    <w:rsid w:val="008725E5"/>
    <w:rsid w:val="00873845"/>
    <w:rsid w:val="008748D1"/>
    <w:rsid w:val="00874E52"/>
    <w:rsid w:val="00875652"/>
    <w:rsid w:val="00876400"/>
    <w:rsid w:val="00876522"/>
    <w:rsid w:val="00876AE3"/>
    <w:rsid w:val="00876E87"/>
    <w:rsid w:val="0087726E"/>
    <w:rsid w:val="008775DB"/>
    <w:rsid w:val="008777A8"/>
    <w:rsid w:val="008778A9"/>
    <w:rsid w:val="00877B07"/>
    <w:rsid w:val="00877B7A"/>
    <w:rsid w:val="0088031D"/>
    <w:rsid w:val="008805AE"/>
    <w:rsid w:val="0088093C"/>
    <w:rsid w:val="00880C59"/>
    <w:rsid w:val="00880EFA"/>
    <w:rsid w:val="008815A9"/>
    <w:rsid w:val="00881BC8"/>
    <w:rsid w:val="00881E65"/>
    <w:rsid w:val="00881EBC"/>
    <w:rsid w:val="0088248D"/>
    <w:rsid w:val="008828DF"/>
    <w:rsid w:val="00882C23"/>
    <w:rsid w:val="00882E43"/>
    <w:rsid w:val="00882E91"/>
    <w:rsid w:val="00882EA8"/>
    <w:rsid w:val="00883EE1"/>
    <w:rsid w:val="0088421A"/>
    <w:rsid w:val="00884764"/>
    <w:rsid w:val="00884ED2"/>
    <w:rsid w:val="00885317"/>
    <w:rsid w:val="0088567D"/>
    <w:rsid w:val="008857CE"/>
    <w:rsid w:val="00885969"/>
    <w:rsid w:val="00885D0E"/>
    <w:rsid w:val="00885E1B"/>
    <w:rsid w:val="008863EC"/>
    <w:rsid w:val="008865CF"/>
    <w:rsid w:val="00886995"/>
    <w:rsid w:val="00886BEE"/>
    <w:rsid w:val="00887227"/>
    <w:rsid w:val="008872A5"/>
    <w:rsid w:val="00887457"/>
    <w:rsid w:val="00887672"/>
    <w:rsid w:val="008900AA"/>
    <w:rsid w:val="00890211"/>
    <w:rsid w:val="00890427"/>
    <w:rsid w:val="008905B4"/>
    <w:rsid w:val="0089096B"/>
    <w:rsid w:val="00890A1F"/>
    <w:rsid w:val="00891014"/>
    <w:rsid w:val="008914D6"/>
    <w:rsid w:val="008919D4"/>
    <w:rsid w:val="00892157"/>
    <w:rsid w:val="0089225A"/>
    <w:rsid w:val="00892AC0"/>
    <w:rsid w:val="008934FE"/>
    <w:rsid w:val="00893B5D"/>
    <w:rsid w:val="00893E2F"/>
    <w:rsid w:val="008944DB"/>
    <w:rsid w:val="00894AB9"/>
    <w:rsid w:val="00895260"/>
    <w:rsid w:val="00895570"/>
    <w:rsid w:val="0089594E"/>
    <w:rsid w:val="00895EAD"/>
    <w:rsid w:val="008968C4"/>
    <w:rsid w:val="00896951"/>
    <w:rsid w:val="00896E93"/>
    <w:rsid w:val="00897463"/>
    <w:rsid w:val="0089753B"/>
    <w:rsid w:val="00897911"/>
    <w:rsid w:val="00897B11"/>
    <w:rsid w:val="00897FAC"/>
    <w:rsid w:val="008A03BE"/>
    <w:rsid w:val="008A0D76"/>
    <w:rsid w:val="008A0E5A"/>
    <w:rsid w:val="008A0FD5"/>
    <w:rsid w:val="008A100E"/>
    <w:rsid w:val="008A10EF"/>
    <w:rsid w:val="008A1715"/>
    <w:rsid w:val="008A17AC"/>
    <w:rsid w:val="008A1C8E"/>
    <w:rsid w:val="008A2377"/>
    <w:rsid w:val="008A272F"/>
    <w:rsid w:val="008A273F"/>
    <w:rsid w:val="008A29E5"/>
    <w:rsid w:val="008A2A21"/>
    <w:rsid w:val="008A2AA5"/>
    <w:rsid w:val="008A2E17"/>
    <w:rsid w:val="008A344E"/>
    <w:rsid w:val="008A3721"/>
    <w:rsid w:val="008A382F"/>
    <w:rsid w:val="008A39A0"/>
    <w:rsid w:val="008A39AD"/>
    <w:rsid w:val="008A3A06"/>
    <w:rsid w:val="008A3A1E"/>
    <w:rsid w:val="008A3DB6"/>
    <w:rsid w:val="008A4715"/>
    <w:rsid w:val="008A56ED"/>
    <w:rsid w:val="008A5BE4"/>
    <w:rsid w:val="008A5CA8"/>
    <w:rsid w:val="008A5F0F"/>
    <w:rsid w:val="008A6E7F"/>
    <w:rsid w:val="008A719B"/>
    <w:rsid w:val="008A7E3B"/>
    <w:rsid w:val="008B0364"/>
    <w:rsid w:val="008B0379"/>
    <w:rsid w:val="008B0D70"/>
    <w:rsid w:val="008B0EA7"/>
    <w:rsid w:val="008B0FC7"/>
    <w:rsid w:val="008B18C5"/>
    <w:rsid w:val="008B1C9A"/>
    <w:rsid w:val="008B256F"/>
    <w:rsid w:val="008B258A"/>
    <w:rsid w:val="008B2977"/>
    <w:rsid w:val="008B29B7"/>
    <w:rsid w:val="008B3220"/>
    <w:rsid w:val="008B480A"/>
    <w:rsid w:val="008B4F76"/>
    <w:rsid w:val="008B58D9"/>
    <w:rsid w:val="008B5C98"/>
    <w:rsid w:val="008B5F66"/>
    <w:rsid w:val="008B64DC"/>
    <w:rsid w:val="008B6935"/>
    <w:rsid w:val="008B6AFD"/>
    <w:rsid w:val="008B6B42"/>
    <w:rsid w:val="008B70D9"/>
    <w:rsid w:val="008B7209"/>
    <w:rsid w:val="008B7236"/>
    <w:rsid w:val="008B72F5"/>
    <w:rsid w:val="008B7B54"/>
    <w:rsid w:val="008C0396"/>
    <w:rsid w:val="008C07A9"/>
    <w:rsid w:val="008C0944"/>
    <w:rsid w:val="008C0A39"/>
    <w:rsid w:val="008C15D6"/>
    <w:rsid w:val="008C17C0"/>
    <w:rsid w:val="008C1814"/>
    <w:rsid w:val="008C18D1"/>
    <w:rsid w:val="008C1D3E"/>
    <w:rsid w:val="008C3B84"/>
    <w:rsid w:val="008C3CCC"/>
    <w:rsid w:val="008C4084"/>
    <w:rsid w:val="008C4116"/>
    <w:rsid w:val="008C4162"/>
    <w:rsid w:val="008C43A5"/>
    <w:rsid w:val="008C4C1B"/>
    <w:rsid w:val="008C57DA"/>
    <w:rsid w:val="008C5C81"/>
    <w:rsid w:val="008C5CDF"/>
    <w:rsid w:val="008C6469"/>
    <w:rsid w:val="008C6580"/>
    <w:rsid w:val="008C66A9"/>
    <w:rsid w:val="008C66B7"/>
    <w:rsid w:val="008C703F"/>
    <w:rsid w:val="008C714B"/>
    <w:rsid w:val="008C7162"/>
    <w:rsid w:val="008C7375"/>
    <w:rsid w:val="008C79F3"/>
    <w:rsid w:val="008D021C"/>
    <w:rsid w:val="008D0267"/>
    <w:rsid w:val="008D04D0"/>
    <w:rsid w:val="008D1097"/>
    <w:rsid w:val="008D11A8"/>
    <w:rsid w:val="008D1417"/>
    <w:rsid w:val="008D16BE"/>
    <w:rsid w:val="008D1DF5"/>
    <w:rsid w:val="008D1F27"/>
    <w:rsid w:val="008D2EFD"/>
    <w:rsid w:val="008D2F95"/>
    <w:rsid w:val="008D33E7"/>
    <w:rsid w:val="008D384C"/>
    <w:rsid w:val="008D3EF5"/>
    <w:rsid w:val="008D43B3"/>
    <w:rsid w:val="008D46BF"/>
    <w:rsid w:val="008D483E"/>
    <w:rsid w:val="008D4B98"/>
    <w:rsid w:val="008D4BD7"/>
    <w:rsid w:val="008D5469"/>
    <w:rsid w:val="008D56F1"/>
    <w:rsid w:val="008D57A8"/>
    <w:rsid w:val="008D62B4"/>
    <w:rsid w:val="008D6331"/>
    <w:rsid w:val="008D6375"/>
    <w:rsid w:val="008D65B8"/>
    <w:rsid w:val="008D7523"/>
    <w:rsid w:val="008D7D36"/>
    <w:rsid w:val="008E02E0"/>
    <w:rsid w:val="008E0670"/>
    <w:rsid w:val="008E0B71"/>
    <w:rsid w:val="008E114F"/>
    <w:rsid w:val="008E1153"/>
    <w:rsid w:val="008E1D76"/>
    <w:rsid w:val="008E2425"/>
    <w:rsid w:val="008E2594"/>
    <w:rsid w:val="008E2DD0"/>
    <w:rsid w:val="008E3455"/>
    <w:rsid w:val="008E3BFB"/>
    <w:rsid w:val="008E4349"/>
    <w:rsid w:val="008E4E94"/>
    <w:rsid w:val="008E50B3"/>
    <w:rsid w:val="008E50BD"/>
    <w:rsid w:val="008E52DB"/>
    <w:rsid w:val="008E5693"/>
    <w:rsid w:val="008E5755"/>
    <w:rsid w:val="008E5A64"/>
    <w:rsid w:val="008E5FCE"/>
    <w:rsid w:val="008E6356"/>
    <w:rsid w:val="008E6529"/>
    <w:rsid w:val="008E664D"/>
    <w:rsid w:val="008E6910"/>
    <w:rsid w:val="008E6C31"/>
    <w:rsid w:val="008E6C51"/>
    <w:rsid w:val="008E6F7A"/>
    <w:rsid w:val="008E6FA3"/>
    <w:rsid w:val="008E7734"/>
    <w:rsid w:val="008E7B49"/>
    <w:rsid w:val="008F04B2"/>
    <w:rsid w:val="008F0541"/>
    <w:rsid w:val="008F07ED"/>
    <w:rsid w:val="008F0AE8"/>
    <w:rsid w:val="008F142D"/>
    <w:rsid w:val="008F1674"/>
    <w:rsid w:val="008F192D"/>
    <w:rsid w:val="008F19D3"/>
    <w:rsid w:val="008F234D"/>
    <w:rsid w:val="008F2535"/>
    <w:rsid w:val="008F2699"/>
    <w:rsid w:val="008F282A"/>
    <w:rsid w:val="008F329F"/>
    <w:rsid w:val="008F345A"/>
    <w:rsid w:val="008F3C10"/>
    <w:rsid w:val="008F3E07"/>
    <w:rsid w:val="008F3FE5"/>
    <w:rsid w:val="008F42D7"/>
    <w:rsid w:val="008F4382"/>
    <w:rsid w:val="008F4CE7"/>
    <w:rsid w:val="008F4D2E"/>
    <w:rsid w:val="008F4E16"/>
    <w:rsid w:val="008F5536"/>
    <w:rsid w:val="008F62BC"/>
    <w:rsid w:val="008F6537"/>
    <w:rsid w:val="008F6671"/>
    <w:rsid w:val="008F66B5"/>
    <w:rsid w:val="00900416"/>
    <w:rsid w:val="00900590"/>
    <w:rsid w:val="00901459"/>
    <w:rsid w:val="00901C47"/>
    <w:rsid w:val="00902190"/>
    <w:rsid w:val="00902C9D"/>
    <w:rsid w:val="0090328B"/>
    <w:rsid w:val="009032E9"/>
    <w:rsid w:val="009034C6"/>
    <w:rsid w:val="00903D57"/>
    <w:rsid w:val="00903EFE"/>
    <w:rsid w:val="009040EB"/>
    <w:rsid w:val="0090437C"/>
    <w:rsid w:val="0090472D"/>
    <w:rsid w:val="0090518E"/>
    <w:rsid w:val="0090563D"/>
    <w:rsid w:val="00905EA5"/>
    <w:rsid w:val="00906758"/>
    <w:rsid w:val="009067E1"/>
    <w:rsid w:val="00906EF4"/>
    <w:rsid w:val="00907057"/>
    <w:rsid w:val="00907779"/>
    <w:rsid w:val="00910287"/>
    <w:rsid w:val="00910C5F"/>
    <w:rsid w:val="00910D9D"/>
    <w:rsid w:val="00910F33"/>
    <w:rsid w:val="009110BA"/>
    <w:rsid w:val="009111A4"/>
    <w:rsid w:val="00911691"/>
    <w:rsid w:val="00911869"/>
    <w:rsid w:val="009118B0"/>
    <w:rsid w:val="009119AC"/>
    <w:rsid w:val="00912000"/>
    <w:rsid w:val="009120D7"/>
    <w:rsid w:val="009124E6"/>
    <w:rsid w:val="00913944"/>
    <w:rsid w:val="00913EF4"/>
    <w:rsid w:val="009144CF"/>
    <w:rsid w:val="00914CD6"/>
    <w:rsid w:val="00915AC6"/>
    <w:rsid w:val="00915B92"/>
    <w:rsid w:val="00915F1E"/>
    <w:rsid w:val="00916440"/>
    <w:rsid w:val="009166E5"/>
    <w:rsid w:val="00916748"/>
    <w:rsid w:val="00917332"/>
    <w:rsid w:val="009173BA"/>
    <w:rsid w:val="0091742D"/>
    <w:rsid w:val="009177FA"/>
    <w:rsid w:val="009202C5"/>
    <w:rsid w:val="009205FD"/>
    <w:rsid w:val="00920773"/>
    <w:rsid w:val="009209C5"/>
    <w:rsid w:val="009212AC"/>
    <w:rsid w:val="0092160C"/>
    <w:rsid w:val="00921817"/>
    <w:rsid w:val="00922327"/>
    <w:rsid w:val="0092265F"/>
    <w:rsid w:val="00922C3B"/>
    <w:rsid w:val="00922F1A"/>
    <w:rsid w:val="0092359E"/>
    <w:rsid w:val="0092372F"/>
    <w:rsid w:val="009238DB"/>
    <w:rsid w:val="00923EA0"/>
    <w:rsid w:val="00924224"/>
    <w:rsid w:val="0092474D"/>
    <w:rsid w:val="00924C0E"/>
    <w:rsid w:val="00925637"/>
    <w:rsid w:val="0092565E"/>
    <w:rsid w:val="0092593A"/>
    <w:rsid w:val="0092598F"/>
    <w:rsid w:val="00925FF9"/>
    <w:rsid w:val="009265E4"/>
    <w:rsid w:val="00927787"/>
    <w:rsid w:val="009277FA"/>
    <w:rsid w:val="00927BAA"/>
    <w:rsid w:val="00927E94"/>
    <w:rsid w:val="009305AF"/>
    <w:rsid w:val="009306DB"/>
    <w:rsid w:val="00930743"/>
    <w:rsid w:val="00930B6B"/>
    <w:rsid w:val="00930F7C"/>
    <w:rsid w:val="00931282"/>
    <w:rsid w:val="00931457"/>
    <w:rsid w:val="009315B3"/>
    <w:rsid w:val="0093167B"/>
    <w:rsid w:val="0093175E"/>
    <w:rsid w:val="00931B23"/>
    <w:rsid w:val="00932026"/>
    <w:rsid w:val="009322CA"/>
    <w:rsid w:val="00932333"/>
    <w:rsid w:val="00932567"/>
    <w:rsid w:val="009326C6"/>
    <w:rsid w:val="009327D1"/>
    <w:rsid w:val="00932CA2"/>
    <w:rsid w:val="00933665"/>
    <w:rsid w:val="00933695"/>
    <w:rsid w:val="009336DB"/>
    <w:rsid w:val="00933A7E"/>
    <w:rsid w:val="00933B5C"/>
    <w:rsid w:val="00933C2B"/>
    <w:rsid w:val="00933CF4"/>
    <w:rsid w:val="00933F52"/>
    <w:rsid w:val="00933FB6"/>
    <w:rsid w:val="009344EF"/>
    <w:rsid w:val="00934513"/>
    <w:rsid w:val="0093469B"/>
    <w:rsid w:val="00934BAB"/>
    <w:rsid w:val="00935A11"/>
    <w:rsid w:val="009361C0"/>
    <w:rsid w:val="0093661E"/>
    <w:rsid w:val="00936789"/>
    <w:rsid w:val="009369A1"/>
    <w:rsid w:val="00936E0F"/>
    <w:rsid w:val="00936EF5"/>
    <w:rsid w:val="009372E1"/>
    <w:rsid w:val="00937755"/>
    <w:rsid w:val="00937ACA"/>
    <w:rsid w:val="00937FBA"/>
    <w:rsid w:val="00940FF1"/>
    <w:rsid w:val="009417AC"/>
    <w:rsid w:val="00942550"/>
    <w:rsid w:val="0094325C"/>
    <w:rsid w:val="009440A5"/>
    <w:rsid w:val="009440B0"/>
    <w:rsid w:val="0094420F"/>
    <w:rsid w:val="0094565D"/>
    <w:rsid w:val="00945766"/>
    <w:rsid w:val="009457AC"/>
    <w:rsid w:val="0094587A"/>
    <w:rsid w:val="00945B1E"/>
    <w:rsid w:val="0094609D"/>
    <w:rsid w:val="0094617D"/>
    <w:rsid w:val="00946309"/>
    <w:rsid w:val="00946484"/>
    <w:rsid w:val="00946970"/>
    <w:rsid w:val="009469D5"/>
    <w:rsid w:val="00946B28"/>
    <w:rsid w:val="00947447"/>
    <w:rsid w:val="00947B1C"/>
    <w:rsid w:val="0095008E"/>
    <w:rsid w:val="00950331"/>
    <w:rsid w:val="009510F9"/>
    <w:rsid w:val="009516DD"/>
    <w:rsid w:val="00951D77"/>
    <w:rsid w:val="00951F1A"/>
    <w:rsid w:val="00952283"/>
    <w:rsid w:val="0095255B"/>
    <w:rsid w:val="009529F9"/>
    <w:rsid w:val="00952F06"/>
    <w:rsid w:val="00953586"/>
    <w:rsid w:val="0095377C"/>
    <w:rsid w:val="00953A0D"/>
    <w:rsid w:val="009543B3"/>
    <w:rsid w:val="00954532"/>
    <w:rsid w:val="00954C5C"/>
    <w:rsid w:val="00954D4A"/>
    <w:rsid w:val="009552E3"/>
    <w:rsid w:val="009558BE"/>
    <w:rsid w:val="00955ADE"/>
    <w:rsid w:val="00955E1B"/>
    <w:rsid w:val="00955F37"/>
    <w:rsid w:val="0095668C"/>
    <w:rsid w:val="00956DBA"/>
    <w:rsid w:val="0095706B"/>
    <w:rsid w:val="009570F9"/>
    <w:rsid w:val="009573EB"/>
    <w:rsid w:val="009575BF"/>
    <w:rsid w:val="00957F66"/>
    <w:rsid w:val="00960092"/>
    <w:rsid w:val="00960276"/>
    <w:rsid w:val="00960671"/>
    <w:rsid w:val="0096083A"/>
    <w:rsid w:val="009609E5"/>
    <w:rsid w:val="00960AF9"/>
    <w:rsid w:val="009610B1"/>
    <w:rsid w:val="009618CD"/>
    <w:rsid w:val="00961953"/>
    <w:rsid w:val="00961C4C"/>
    <w:rsid w:val="00961C83"/>
    <w:rsid w:val="00961F2F"/>
    <w:rsid w:val="009621E4"/>
    <w:rsid w:val="00962429"/>
    <w:rsid w:val="00963644"/>
    <w:rsid w:val="0096451A"/>
    <w:rsid w:val="00964583"/>
    <w:rsid w:val="00964775"/>
    <w:rsid w:val="00964ACE"/>
    <w:rsid w:val="00964B2B"/>
    <w:rsid w:val="009659F8"/>
    <w:rsid w:val="009660FF"/>
    <w:rsid w:val="0096616D"/>
    <w:rsid w:val="009664CB"/>
    <w:rsid w:val="00966CC0"/>
    <w:rsid w:val="009671A1"/>
    <w:rsid w:val="009714A3"/>
    <w:rsid w:val="00971675"/>
    <w:rsid w:val="0097179C"/>
    <w:rsid w:val="0097191C"/>
    <w:rsid w:val="0097198A"/>
    <w:rsid w:val="00971B84"/>
    <w:rsid w:val="00971FC8"/>
    <w:rsid w:val="009734BF"/>
    <w:rsid w:val="009735EC"/>
    <w:rsid w:val="00973612"/>
    <w:rsid w:val="009737F3"/>
    <w:rsid w:val="00973917"/>
    <w:rsid w:val="00973C3E"/>
    <w:rsid w:val="0097420B"/>
    <w:rsid w:val="00974ACC"/>
    <w:rsid w:val="00974C49"/>
    <w:rsid w:val="00974EE4"/>
    <w:rsid w:val="009754CE"/>
    <w:rsid w:val="009756B6"/>
    <w:rsid w:val="00975BF2"/>
    <w:rsid w:val="00975EF7"/>
    <w:rsid w:val="00976A74"/>
    <w:rsid w:val="009774BE"/>
    <w:rsid w:val="009774FC"/>
    <w:rsid w:val="00977A70"/>
    <w:rsid w:val="00980140"/>
    <w:rsid w:val="009801D6"/>
    <w:rsid w:val="0098027F"/>
    <w:rsid w:val="009802D1"/>
    <w:rsid w:val="0098050A"/>
    <w:rsid w:val="00980592"/>
    <w:rsid w:val="009806B0"/>
    <w:rsid w:val="009807B8"/>
    <w:rsid w:val="00981876"/>
    <w:rsid w:val="00981E56"/>
    <w:rsid w:val="00981EE2"/>
    <w:rsid w:val="00982064"/>
    <w:rsid w:val="00982142"/>
    <w:rsid w:val="00982267"/>
    <w:rsid w:val="00982639"/>
    <w:rsid w:val="00982BCF"/>
    <w:rsid w:val="00982C1F"/>
    <w:rsid w:val="00982EEA"/>
    <w:rsid w:val="00982F82"/>
    <w:rsid w:val="009831E2"/>
    <w:rsid w:val="00983255"/>
    <w:rsid w:val="0098331C"/>
    <w:rsid w:val="00983427"/>
    <w:rsid w:val="00983D12"/>
    <w:rsid w:val="00983E5F"/>
    <w:rsid w:val="00984B42"/>
    <w:rsid w:val="00984B7C"/>
    <w:rsid w:val="00985051"/>
    <w:rsid w:val="00985723"/>
    <w:rsid w:val="00985C80"/>
    <w:rsid w:val="00985DA2"/>
    <w:rsid w:val="0098660C"/>
    <w:rsid w:val="00986765"/>
    <w:rsid w:val="009867E7"/>
    <w:rsid w:val="00987028"/>
    <w:rsid w:val="009870A3"/>
    <w:rsid w:val="00987CFA"/>
    <w:rsid w:val="00987DBC"/>
    <w:rsid w:val="00987DF4"/>
    <w:rsid w:val="00987FDA"/>
    <w:rsid w:val="00990175"/>
    <w:rsid w:val="0099071B"/>
    <w:rsid w:val="009909FC"/>
    <w:rsid w:val="00990CAE"/>
    <w:rsid w:val="00990D38"/>
    <w:rsid w:val="00990FEA"/>
    <w:rsid w:val="00991031"/>
    <w:rsid w:val="009919E9"/>
    <w:rsid w:val="00991ED6"/>
    <w:rsid w:val="00991FED"/>
    <w:rsid w:val="009920A0"/>
    <w:rsid w:val="009928F7"/>
    <w:rsid w:val="00992E8A"/>
    <w:rsid w:val="00992E8D"/>
    <w:rsid w:val="009932CD"/>
    <w:rsid w:val="009937FD"/>
    <w:rsid w:val="00994F29"/>
    <w:rsid w:val="00994F4D"/>
    <w:rsid w:val="0099561B"/>
    <w:rsid w:val="0099563A"/>
    <w:rsid w:val="0099582B"/>
    <w:rsid w:val="00995CC9"/>
    <w:rsid w:val="00995DAF"/>
    <w:rsid w:val="00995E94"/>
    <w:rsid w:val="00995FC3"/>
    <w:rsid w:val="00996A01"/>
    <w:rsid w:val="00996AA6"/>
    <w:rsid w:val="009970AD"/>
    <w:rsid w:val="00997230"/>
    <w:rsid w:val="0099737B"/>
    <w:rsid w:val="009973C7"/>
    <w:rsid w:val="009A0274"/>
    <w:rsid w:val="009A035E"/>
    <w:rsid w:val="009A0B9D"/>
    <w:rsid w:val="009A0C64"/>
    <w:rsid w:val="009A0C84"/>
    <w:rsid w:val="009A0CD8"/>
    <w:rsid w:val="009A0E15"/>
    <w:rsid w:val="009A142F"/>
    <w:rsid w:val="009A18AB"/>
    <w:rsid w:val="009A1C75"/>
    <w:rsid w:val="009A2387"/>
    <w:rsid w:val="009A2533"/>
    <w:rsid w:val="009A2D7C"/>
    <w:rsid w:val="009A2F67"/>
    <w:rsid w:val="009A30CD"/>
    <w:rsid w:val="009A30FE"/>
    <w:rsid w:val="009A3FE3"/>
    <w:rsid w:val="009A4644"/>
    <w:rsid w:val="009A468E"/>
    <w:rsid w:val="009A48A4"/>
    <w:rsid w:val="009A4908"/>
    <w:rsid w:val="009A4A3E"/>
    <w:rsid w:val="009A4F87"/>
    <w:rsid w:val="009A5023"/>
    <w:rsid w:val="009A50FD"/>
    <w:rsid w:val="009A5306"/>
    <w:rsid w:val="009A53F8"/>
    <w:rsid w:val="009A5A31"/>
    <w:rsid w:val="009A5D03"/>
    <w:rsid w:val="009A6258"/>
    <w:rsid w:val="009A6B3A"/>
    <w:rsid w:val="009A6F01"/>
    <w:rsid w:val="009A7442"/>
    <w:rsid w:val="009A75FB"/>
    <w:rsid w:val="009A76F7"/>
    <w:rsid w:val="009B01CF"/>
    <w:rsid w:val="009B02DB"/>
    <w:rsid w:val="009B04BE"/>
    <w:rsid w:val="009B0A50"/>
    <w:rsid w:val="009B12FB"/>
    <w:rsid w:val="009B15C6"/>
    <w:rsid w:val="009B1DA0"/>
    <w:rsid w:val="009B1F5D"/>
    <w:rsid w:val="009B2407"/>
    <w:rsid w:val="009B2D5B"/>
    <w:rsid w:val="009B34FC"/>
    <w:rsid w:val="009B3BC3"/>
    <w:rsid w:val="009B3BEA"/>
    <w:rsid w:val="009B41BA"/>
    <w:rsid w:val="009B44F0"/>
    <w:rsid w:val="009B545D"/>
    <w:rsid w:val="009B5786"/>
    <w:rsid w:val="009B5957"/>
    <w:rsid w:val="009B59B1"/>
    <w:rsid w:val="009B5C0B"/>
    <w:rsid w:val="009B5C8C"/>
    <w:rsid w:val="009B6013"/>
    <w:rsid w:val="009B6D5D"/>
    <w:rsid w:val="009B7273"/>
    <w:rsid w:val="009B72B7"/>
    <w:rsid w:val="009B7356"/>
    <w:rsid w:val="009B76DB"/>
    <w:rsid w:val="009B7FAC"/>
    <w:rsid w:val="009C0126"/>
    <w:rsid w:val="009C03C5"/>
    <w:rsid w:val="009C0C99"/>
    <w:rsid w:val="009C0FF4"/>
    <w:rsid w:val="009C1122"/>
    <w:rsid w:val="009C14F1"/>
    <w:rsid w:val="009C1840"/>
    <w:rsid w:val="009C1B99"/>
    <w:rsid w:val="009C1DC2"/>
    <w:rsid w:val="009C213F"/>
    <w:rsid w:val="009C223F"/>
    <w:rsid w:val="009C315D"/>
    <w:rsid w:val="009C323A"/>
    <w:rsid w:val="009C3A70"/>
    <w:rsid w:val="009C3AE8"/>
    <w:rsid w:val="009C4087"/>
    <w:rsid w:val="009C4959"/>
    <w:rsid w:val="009C49E0"/>
    <w:rsid w:val="009C4CFF"/>
    <w:rsid w:val="009C5961"/>
    <w:rsid w:val="009C6203"/>
    <w:rsid w:val="009C674C"/>
    <w:rsid w:val="009C6BE9"/>
    <w:rsid w:val="009C6DB6"/>
    <w:rsid w:val="009C76A3"/>
    <w:rsid w:val="009C79E5"/>
    <w:rsid w:val="009C7ACB"/>
    <w:rsid w:val="009C7C85"/>
    <w:rsid w:val="009D03F6"/>
    <w:rsid w:val="009D0701"/>
    <w:rsid w:val="009D1227"/>
    <w:rsid w:val="009D138A"/>
    <w:rsid w:val="009D141B"/>
    <w:rsid w:val="009D1578"/>
    <w:rsid w:val="009D1CA0"/>
    <w:rsid w:val="009D1E86"/>
    <w:rsid w:val="009D1FC3"/>
    <w:rsid w:val="009D2372"/>
    <w:rsid w:val="009D292C"/>
    <w:rsid w:val="009D317D"/>
    <w:rsid w:val="009D366D"/>
    <w:rsid w:val="009D3833"/>
    <w:rsid w:val="009D439A"/>
    <w:rsid w:val="009D485D"/>
    <w:rsid w:val="009D517E"/>
    <w:rsid w:val="009D5416"/>
    <w:rsid w:val="009D6353"/>
    <w:rsid w:val="009D65D1"/>
    <w:rsid w:val="009D6627"/>
    <w:rsid w:val="009D6B28"/>
    <w:rsid w:val="009D6CF0"/>
    <w:rsid w:val="009D6E21"/>
    <w:rsid w:val="009D6E22"/>
    <w:rsid w:val="009D71D1"/>
    <w:rsid w:val="009D7591"/>
    <w:rsid w:val="009D75A9"/>
    <w:rsid w:val="009D7906"/>
    <w:rsid w:val="009D7B53"/>
    <w:rsid w:val="009E0A40"/>
    <w:rsid w:val="009E12F6"/>
    <w:rsid w:val="009E153F"/>
    <w:rsid w:val="009E19AE"/>
    <w:rsid w:val="009E1E60"/>
    <w:rsid w:val="009E1F86"/>
    <w:rsid w:val="009E2AAB"/>
    <w:rsid w:val="009E30B5"/>
    <w:rsid w:val="009E3112"/>
    <w:rsid w:val="009E34B7"/>
    <w:rsid w:val="009E399D"/>
    <w:rsid w:val="009E3BA8"/>
    <w:rsid w:val="009E3EC5"/>
    <w:rsid w:val="009E434B"/>
    <w:rsid w:val="009E4653"/>
    <w:rsid w:val="009E480B"/>
    <w:rsid w:val="009E4986"/>
    <w:rsid w:val="009E4C2E"/>
    <w:rsid w:val="009E5205"/>
    <w:rsid w:val="009E5772"/>
    <w:rsid w:val="009E5BAE"/>
    <w:rsid w:val="009E5BF5"/>
    <w:rsid w:val="009E5D18"/>
    <w:rsid w:val="009E5EC1"/>
    <w:rsid w:val="009E5F8E"/>
    <w:rsid w:val="009E6485"/>
    <w:rsid w:val="009E648E"/>
    <w:rsid w:val="009E65CA"/>
    <w:rsid w:val="009E699D"/>
    <w:rsid w:val="009E7A68"/>
    <w:rsid w:val="009F057A"/>
    <w:rsid w:val="009F0C2F"/>
    <w:rsid w:val="009F112D"/>
    <w:rsid w:val="009F18D5"/>
    <w:rsid w:val="009F1904"/>
    <w:rsid w:val="009F1B8A"/>
    <w:rsid w:val="009F209E"/>
    <w:rsid w:val="009F21A0"/>
    <w:rsid w:val="009F2446"/>
    <w:rsid w:val="009F2450"/>
    <w:rsid w:val="009F2455"/>
    <w:rsid w:val="009F2516"/>
    <w:rsid w:val="009F259C"/>
    <w:rsid w:val="009F29FF"/>
    <w:rsid w:val="009F2BF4"/>
    <w:rsid w:val="009F2C12"/>
    <w:rsid w:val="009F2CB2"/>
    <w:rsid w:val="009F2F47"/>
    <w:rsid w:val="009F385D"/>
    <w:rsid w:val="009F3AB9"/>
    <w:rsid w:val="009F48AF"/>
    <w:rsid w:val="009F4B7F"/>
    <w:rsid w:val="009F555E"/>
    <w:rsid w:val="009F5A8C"/>
    <w:rsid w:val="009F5C78"/>
    <w:rsid w:val="009F5E9D"/>
    <w:rsid w:val="009F5F56"/>
    <w:rsid w:val="009F65C9"/>
    <w:rsid w:val="009F697A"/>
    <w:rsid w:val="009F6AE8"/>
    <w:rsid w:val="009F6C47"/>
    <w:rsid w:val="009F6DAC"/>
    <w:rsid w:val="009F6E4C"/>
    <w:rsid w:val="009F7274"/>
    <w:rsid w:val="009F7309"/>
    <w:rsid w:val="009F763F"/>
    <w:rsid w:val="009F7748"/>
    <w:rsid w:val="009F7802"/>
    <w:rsid w:val="009F78B7"/>
    <w:rsid w:val="009F791B"/>
    <w:rsid w:val="009F79D5"/>
    <w:rsid w:val="009F7D96"/>
    <w:rsid w:val="00A0058F"/>
    <w:rsid w:val="00A007E7"/>
    <w:rsid w:val="00A00F2E"/>
    <w:rsid w:val="00A0109E"/>
    <w:rsid w:val="00A0110C"/>
    <w:rsid w:val="00A0126A"/>
    <w:rsid w:val="00A016A7"/>
    <w:rsid w:val="00A01E64"/>
    <w:rsid w:val="00A0211D"/>
    <w:rsid w:val="00A02992"/>
    <w:rsid w:val="00A03470"/>
    <w:rsid w:val="00A035DE"/>
    <w:rsid w:val="00A035EA"/>
    <w:rsid w:val="00A03E2D"/>
    <w:rsid w:val="00A04331"/>
    <w:rsid w:val="00A047B7"/>
    <w:rsid w:val="00A04DC5"/>
    <w:rsid w:val="00A04F59"/>
    <w:rsid w:val="00A0551F"/>
    <w:rsid w:val="00A05597"/>
    <w:rsid w:val="00A05997"/>
    <w:rsid w:val="00A05B20"/>
    <w:rsid w:val="00A05CC6"/>
    <w:rsid w:val="00A06B95"/>
    <w:rsid w:val="00A06BCD"/>
    <w:rsid w:val="00A06DAE"/>
    <w:rsid w:val="00A070DE"/>
    <w:rsid w:val="00A0718D"/>
    <w:rsid w:val="00A07468"/>
    <w:rsid w:val="00A0797A"/>
    <w:rsid w:val="00A07FED"/>
    <w:rsid w:val="00A100A1"/>
    <w:rsid w:val="00A105EC"/>
    <w:rsid w:val="00A10896"/>
    <w:rsid w:val="00A10C0A"/>
    <w:rsid w:val="00A10D95"/>
    <w:rsid w:val="00A10F86"/>
    <w:rsid w:val="00A11019"/>
    <w:rsid w:val="00A114E5"/>
    <w:rsid w:val="00A115CB"/>
    <w:rsid w:val="00A116B1"/>
    <w:rsid w:val="00A11742"/>
    <w:rsid w:val="00A117F7"/>
    <w:rsid w:val="00A11A73"/>
    <w:rsid w:val="00A11A7E"/>
    <w:rsid w:val="00A11C67"/>
    <w:rsid w:val="00A11F1D"/>
    <w:rsid w:val="00A121D9"/>
    <w:rsid w:val="00A1253F"/>
    <w:rsid w:val="00A12ACB"/>
    <w:rsid w:val="00A12B3D"/>
    <w:rsid w:val="00A13C4A"/>
    <w:rsid w:val="00A13C50"/>
    <w:rsid w:val="00A142CF"/>
    <w:rsid w:val="00A14331"/>
    <w:rsid w:val="00A14551"/>
    <w:rsid w:val="00A145EB"/>
    <w:rsid w:val="00A14987"/>
    <w:rsid w:val="00A14AB2"/>
    <w:rsid w:val="00A14AC9"/>
    <w:rsid w:val="00A15928"/>
    <w:rsid w:val="00A159CA"/>
    <w:rsid w:val="00A15E4C"/>
    <w:rsid w:val="00A169D1"/>
    <w:rsid w:val="00A175A7"/>
    <w:rsid w:val="00A17608"/>
    <w:rsid w:val="00A177D9"/>
    <w:rsid w:val="00A1787D"/>
    <w:rsid w:val="00A17C76"/>
    <w:rsid w:val="00A17D5B"/>
    <w:rsid w:val="00A20573"/>
    <w:rsid w:val="00A206E0"/>
    <w:rsid w:val="00A207FA"/>
    <w:rsid w:val="00A20C94"/>
    <w:rsid w:val="00A21374"/>
    <w:rsid w:val="00A21C4C"/>
    <w:rsid w:val="00A220B7"/>
    <w:rsid w:val="00A22171"/>
    <w:rsid w:val="00A227D6"/>
    <w:rsid w:val="00A227E7"/>
    <w:rsid w:val="00A22A71"/>
    <w:rsid w:val="00A22D55"/>
    <w:rsid w:val="00A22F6E"/>
    <w:rsid w:val="00A23736"/>
    <w:rsid w:val="00A239DB"/>
    <w:rsid w:val="00A23F28"/>
    <w:rsid w:val="00A24008"/>
    <w:rsid w:val="00A24070"/>
    <w:rsid w:val="00A24078"/>
    <w:rsid w:val="00A2475E"/>
    <w:rsid w:val="00A24A31"/>
    <w:rsid w:val="00A251F2"/>
    <w:rsid w:val="00A258E0"/>
    <w:rsid w:val="00A25FCF"/>
    <w:rsid w:val="00A26928"/>
    <w:rsid w:val="00A269B5"/>
    <w:rsid w:val="00A26A3F"/>
    <w:rsid w:val="00A2726D"/>
    <w:rsid w:val="00A27ADC"/>
    <w:rsid w:val="00A30627"/>
    <w:rsid w:val="00A3079F"/>
    <w:rsid w:val="00A30AB2"/>
    <w:rsid w:val="00A30B6C"/>
    <w:rsid w:val="00A31498"/>
    <w:rsid w:val="00A31D99"/>
    <w:rsid w:val="00A31F37"/>
    <w:rsid w:val="00A3244C"/>
    <w:rsid w:val="00A32555"/>
    <w:rsid w:val="00A32C96"/>
    <w:rsid w:val="00A32E59"/>
    <w:rsid w:val="00A33017"/>
    <w:rsid w:val="00A330CD"/>
    <w:rsid w:val="00A333C1"/>
    <w:rsid w:val="00A33D5D"/>
    <w:rsid w:val="00A33E4D"/>
    <w:rsid w:val="00A346A1"/>
    <w:rsid w:val="00A346EE"/>
    <w:rsid w:val="00A34995"/>
    <w:rsid w:val="00A34B14"/>
    <w:rsid w:val="00A34C32"/>
    <w:rsid w:val="00A34DDE"/>
    <w:rsid w:val="00A34EAB"/>
    <w:rsid w:val="00A350EA"/>
    <w:rsid w:val="00A35948"/>
    <w:rsid w:val="00A3594F"/>
    <w:rsid w:val="00A35BF0"/>
    <w:rsid w:val="00A35D94"/>
    <w:rsid w:val="00A362F7"/>
    <w:rsid w:val="00A36940"/>
    <w:rsid w:val="00A36990"/>
    <w:rsid w:val="00A36EBD"/>
    <w:rsid w:val="00A37269"/>
    <w:rsid w:val="00A37C51"/>
    <w:rsid w:val="00A40F98"/>
    <w:rsid w:val="00A4174E"/>
    <w:rsid w:val="00A42519"/>
    <w:rsid w:val="00A42AD8"/>
    <w:rsid w:val="00A4350C"/>
    <w:rsid w:val="00A43813"/>
    <w:rsid w:val="00A439B7"/>
    <w:rsid w:val="00A43D47"/>
    <w:rsid w:val="00A44090"/>
    <w:rsid w:val="00A440A6"/>
    <w:rsid w:val="00A44A4B"/>
    <w:rsid w:val="00A44C30"/>
    <w:rsid w:val="00A45121"/>
    <w:rsid w:val="00A45B00"/>
    <w:rsid w:val="00A4618D"/>
    <w:rsid w:val="00A464E1"/>
    <w:rsid w:val="00A46C4E"/>
    <w:rsid w:val="00A46D95"/>
    <w:rsid w:val="00A46F53"/>
    <w:rsid w:val="00A47081"/>
    <w:rsid w:val="00A47480"/>
    <w:rsid w:val="00A47AE0"/>
    <w:rsid w:val="00A47E8C"/>
    <w:rsid w:val="00A50F9A"/>
    <w:rsid w:val="00A51299"/>
    <w:rsid w:val="00A51BC0"/>
    <w:rsid w:val="00A526FF"/>
    <w:rsid w:val="00A5298C"/>
    <w:rsid w:val="00A52AD0"/>
    <w:rsid w:val="00A52CE8"/>
    <w:rsid w:val="00A53497"/>
    <w:rsid w:val="00A535A7"/>
    <w:rsid w:val="00A536CB"/>
    <w:rsid w:val="00A542F8"/>
    <w:rsid w:val="00A54524"/>
    <w:rsid w:val="00A54A95"/>
    <w:rsid w:val="00A54EFB"/>
    <w:rsid w:val="00A55A47"/>
    <w:rsid w:val="00A55AE0"/>
    <w:rsid w:val="00A566CF"/>
    <w:rsid w:val="00A56DF0"/>
    <w:rsid w:val="00A56E78"/>
    <w:rsid w:val="00A574BF"/>
    <w:rsid w:val="00A5790F"/>
    <w:rsid w:val="00A579F8"/>
    <w:rsid w:val="00A57EB9"/>
    <w:rsid w:val="00A57F7B"/>
    <w:rsid w:val="00A605E1"/>
    <w:rsid w:val="00A60C15"/>
    <w:rsid w:val="00A60F08"/>
    <w:rsid w:val="00A6101C"/>
    <w:rsid w:val="00A61C56"/>
    <w:rsid w:val="00A61FFB"/>
    <w:rsid w:val="00A6204A"/>
    <w:rsid w:val="00A62093"/>
    <w:rsid w:val="00A62439"/>
    <w:rsid w:val="00A624F8"/>
    <w:rsid w:val="00A6310C"/>
    <w:rsid w:val="00A6316B"/>
    <w:rsid w:val="00A631ED"/>
    <w:rsid w:val="00A633C2"/>
    <w:rsid w:val="00A63460"/>
    <w:rsid w:val="00A63679"/>
    <w:rsid w:val="00A639BE"/>
    <w:rsid w:val="00A63A8F"/>
    <w:rsid w:val="00A63D6F"/>
    <w:rsid w:val="00A64389"/>
    <w:rsid w:val="00A64797"/>
    <w:rsid w:val="00A64817"/>
    <w:rsid w:val="00A658C2"/>
    <w:rsid w:val="00A65EC3"/>
    <w:rsid w:val="00A6691A"/>
    <w:rsid w:val="00A66BE3"/>
    <w:rsid w:val="00A67102"/>
    <w:rsid w:val="00A67F2A"/>
    <w:rsid w:val="00A70347"/>
    <w:rsid w:val="00A718A6"/>
    <w:rsid w:val="00A71CDE"/>
    <w:rsid w:val="00A72100"/>
    <w:rsid w:val="00A72306"/>
    <w:rsid w:val="00A7252E"/>
    <w:rsid w:val="00A725D0"/>
    <w:rsid w:val="00A72BBC"/>
    <w:rsid w:val="00A72E18"/>
    <w:rsid w:val="00A730F3"/>
    <w:rsid w:val="00A73C89"/>
    <w:rsid w:val="00A73FED"/>
    <w:rsid w:val="00A74143"/>
    <w:rsid w:val="00A743DC"/>
    <w:rsid w:val="00A746A3"/>
    <w:rsid w:val="00A7486D"/>
    <w:rsid w:val="00A74BE6"/>
    <w:rsid w:val="00A7541E"/>
    <w:rsid w:val="00A754C4"/>
    <w:rsid w:val="00A7557C"/>
    <w:rsid w:val="00A758A4"/>
    <w:rsid w:val="00A75A61"/>
    <w:rsid w:val="00A75BA0"/>
    <w:rsid w:val="00A75FDF"/>
    <w:rsid w:val="00A768A2"/>
    <w:rsid w:val="00A769F0"/>
    <w:rsid w:val="00A76A55"/>
    <w:rsid w:val="00A770EF"/>
    <w:rsid w:val="00A77164"/>
    <w:rsid w:val="00A773B4"/>
    <w:rsid w:val="00A77464"/>
    <w:rsid w:val="00A77575"/>
    <w:rsid w:val="00A77868"/>
    <w:rsid w:val="00A803FA"/>
    <w:rsid w:val="00A80733"/>
    <w:rsid w:val="00A80917"/>
    <w:rsid w:val="00A80948"/>
    <w:rsid w:val="00A81723"/>
    <w:rsid w:val="00A81811"/>
    <w:rsid w:val="00A8234E"/>
    <w:rsid w:val="00A82518"/>
    <w:rsid w:val="00A82548"/>
    <w:rsid w:val="00A82CC3"/>
    <w:rsid w:val="00A833A3"/>
    <w:rsid w:val="00A835E5"/>
    <w:rsid w:val="00A83768"/>
    <w:rsid w:val="00A84373"/>
    <w:rsid w:val="00A8456A"/>
    <w:rsid w:val="00A845ED"/>
    <w:rsid w:val="00A84CB3"/>
    <w:rsid w:val="00A85435"/>
    <w:rsid w:val="00A85579"/>
    <w:rsid w:val="00A859F5"/>
    <w:rsid w:val="00A85B73"/>
    <w:rsid w:val="00A867C8"/>
    <w:rsid w:val="00A867CD"/>
    <w:rsid w:val="00A86F87"/>
    <w:rsid w:val="00A8702E"/>
    <w:rsid w:val="00A87161"/>
    <w:rsid w:val="00A874D6"/>
    <w:rsid w:val="00A878E9"/>
    <w:rsid w:val="00A87C01"/>
    <w:rsid w:val="00A902A7"/>
    <w:rsid w:val="00A90327"/>
    <w:rsid w:val="00A904AB"/>
    <w:rsid w:val="00A907C1"/>
    <w:rsid w:val="00A90DEF"/>
    <w:rsid w:val="00A90E27"/>
    <w:rsid w:val="00A913D1"/>
    <w:rsid w:val="00A91FE5"/>
    <w:rsid w:val="00A92ABA"/>
    <w:rsid w:val="00A92F34"/>
    <w:rsid w:val="00A92F66"/>
    <w:rsid w:val="00A93101"/>
    <w:rsid w:val="00A93154"/>
    <w:rsid w:val="00A93214"/>
    <w:rsid w:val="00A93ABB"/>
    <w:rsid w:val="00A93C27"/>
    <w:rsid w:val="00A93C2B"/>
    <w:rsid w:val="00A94408"/>
    <w:rsid w:val="00A9462F"/>
    <w:rsid w:val="00A94865"/>
    <w:rsid w:val="00A94D8C"/>
    <w:rsid w:val="00A9542F"/>
    <w:rsid w:val="00A9568E"/>
    <w:rsid w:val="00A9598F"/>
    <w:rsid w:val="00A95A81"/>
    <w:rsid w:val="00A95B4F"/>
    <w:rsid w:val="00A964F1"/>
    <w:rsid w:val="00A967F4"/>
    <w:rsid w:val="00A96A4E"/>
    <w:rsid w:val="00A96FC0"/>
    <w:rsid w:val="00A97BFA"/>
    <w:rsid w:val="00AA007C"/>
    <w:rsid w:val="00AA0953"/>
    <w:rsid w:val="00AA0B30"/>
    <w:rsid w:val="00AA1168"/>
    <w:rsid w:val="00AA1EB2"/>
    <w:rsid w:val="00AA20ED"/>
    <w:rsid w:val="00AA24F3"/>
    <w:rsid w:val="00AA25C9"/>
    <w:rsid w:val="00AA3676"/>
    <w:rsid w:val="00AA3726"/>
    <w:rsid w:val="00AA40AA"/>
    <w:rsid w:val="00AA4F09"/>
    <w:rsid w:val="00AA513C"/>
    <w:rsid w:val="00AA62A1"/>
    <w:rsid w:val="00AA64E9"/>
    <w:rsid w:val="00AA67F0"/>
    <w:rsid w:val="00AA7897"/>
    <w:rsid w:val="00AA78AF"/>
    <w:rsid w:val="00AA7A72"/>
    <w:rsid w:val="00AA7DCE"/>
    <w:rsid w:val="00AA7F8C"/>
    <w:rsid w:val="00AA7FA5"/>
    <w:rsid w:val="00AB0058"/>
    <w:rsid w:val="00AB0725"/>
    <w:rsid w:val="00AB0807"/>
    <w:rsid w:val="00AB096B"/>
    <w:rsid w:val="00AB0C5B"/>
    <w:rsid w:val="00AB0FB2"/>
    <w:rsid w:val="00AB0FFB"/>
    <w:rsid w:val="00AB10E3"/>
    <w:rsid w:val="00AB120F"/>
    <w:rsid w:val="00AB18AB"/>
    <w:rsid w:val="00AB1CBF"/>
    <w:rsid w:val="00AB1FAD"/>
    <w:rsid w:val="00AB23F9"/>
    <w:rsid w:val="00AB26FB"/>
    <w:rsid w:val="00AB2AF8"/>
    <w:rsid w:val="00AB32A1"/>
    <w:rsid w:val="00AB3387"/>
    <w:rsid w:val="00AB37FD"/>
    <w:rsid w:val="00AB41AF"/>
    <w:rsid w:val="00AB42BB"/>
    <w:rsid w:val="00AB4316"/>
    <w:rsid w:val="00AB4B6A"/>
    <w:rsid w:val="00AB502F"/>
    <w:rsid w:val="00AB50C3"/>
    <w:rsid w:val="00AB520F"/>
    <w:rsid w:val="00AB562B"/>
    <w:rsid w:val="00AB572D"/>
    <w:rsid w:val="00AB57D9"/>
    <w:rsid w:val="00AB5F8B"/>
    <w:rsid w:val="00AB6AB1"/>
    <w:rsid w:val="00AB6F61"/>
    <w:rsid w:val="00AB7408"/>
    <w:rsid w:val="00AB7601"/>
    <w:rsid w:val="00AB7957"/>
    <w:rsid w:val="00AB7A15"/>
    <w:rsid w:val="00AC0BD8"/>
    <w:rsid w:val="00AC1E53"/>
    <w:rsid w:val="00AC1E69"/>
    <w:rsid w:val="00AC2F56"/>
    <w:rsid w:val="00AC3669"/>
    <w:rsid w:val="00AC37F0"/>
    <w:rsid w:val="00AC40D8"/>
    <w:rsid w:val="00AC42FA"/>
    <w:rsid w:val="00AC455C"/>
    <w:rsid w:val="00AC45CA"/>
    <w:rsid w:val="00AC4B72"/>
    <w:rsid w:val="00AC4D66"/>
    <w:rsid w:val="00AC58DE"/>
    <w:rsid w:val="00AC5C0E"/>
    <w:rsid w:val="00AC5D6D"/>
    <w:rsid w:val="00AC5FCE"/>
    <w:rsid w:val="00AC615E"/>
    <w:rsid w:val="00AC62B7"/>
    <w:rsid w:val="00AC692A"/>
    <w:rsid w:val="00AC6BDA"/>
    <w:rsid w:val="00AC6E20"/>
    <w:rsid w:val="00AC749B"/>
    <w:rsid w:val="00AC7A38"/>
    <w:rsid w:val="00AC7D16"/>
    <w:rsid w:val="00AD0404"/>
    <w:rsid w:val="00AD07F1"/>
    <w:rsid w:val="00AD1F02"/>
    <w:rsid w:val="00AD20E0"/>
    <w:rsid w:val="00AD250D"/>
    <w:rsid w:val="00AD280C"/>
    <w:rsid w:val="00AD2BE1"/>
    <w:rsid w:val="00AD3477"/>
    <w:rsid w:val="00AD3491"/>
    <w:rsid w:val="00AD38D9"/>
    <w:rsid w:val="00AD3C49"/>
    <w:rsid w:val="00AD3D21"/>
    <w:rsid w:val="00AD50C8"/>
    <w:rsid w:val="00AD5B51"/>
    <w:rsid w:val="00AD68F8"/>
    <w:rsid w:val="00AD692B"/>
    <w:rsid w:val="00AD741A"/>
    <w:rsid w:val="00AD74BD"/>
    <w:rsid w:val="00AD7E1C"/>
    <w:rsid w:val="00AE08FD"/>
    <w:rsid w:val="00AE0B68"/>
    <w:rsid w:val="00AE0CA2"/>
    <w:rsid w:val="00AE10CD"/>
    <w:rsid w:val="00AE13BB"/>
    <w:rsid w:val="00AE1457"/>
    <w:rsid w:val="00AE1499"/>
    <w:rsid w:val="00AE2A87"/>
    <w:rsid w:val="00AE2D0A"/>
    <w:rsid w:val="00AE31AF"/>
    <w:rsid w:val="00AE3725"/>
    <w:rsid w:val="00AE3E89"/>
    <w:rsid w:val="00AE4169"/>
    <w:rsid w:val="00AE42B3"/>
    <w:rsid w:val="00AE448F"/>
    <w:rsid w:val="00AE4A88"/>
    <w:rsid w:val="00AE4E58"/>
    <w:rsid w:val="00AE4F14"/>
    <w:rsid w:val="00AE5139"/>
    <w:rsid w:val="00AE54FA"/>
    <w:rsid w:val="00AE5AE9"/>
    <w:rsid w:val="00AE5C8B"/>
    <w:rsid w:val="00AE5EFC"/>
    <w:rsid w:val="00AE64DD"/>
    <w:rsid w:val="00AE65CA"/>
    <w:rsid w:val="00AE6800"/>
    <w:rsid w:val="00AE6CDA"/>
    <w:rsid w:val="00AE72FC"/>
    <w:rsid w:val="00AE7389"/>
    <w:rsid w:val="00AE751E"/>
    <w:rsid w:val="00AE7A67"/>
    <w:rsid w:val="00AE7E09"/>
    <w:rsid w:val="00AF000E"/>
    <w:rsid w:val="00AF135D"/>
    <w:rsid w:val="00AF159F"/>
    <w:rsid w:val="00AF16A0"/>
    <w:rsid w:val="00AF17A5"/>
    <w:rsid w:val="00AF1E36"/>
    <w:rsid w:val="00AF239F"/>
    <w:rsid w:val="00AF23AA"/>
    <w:rsid w:val="00AF23C2"/>
    <w:rsid w:val="00AF2C34"/>
    <w:rsid w:val="00AF2D35"/>
    <w:rsid w:val="00AF3040"/>
    <w:rsid w:val="00AF31DB"/>
    <w:rsid w:val="00AF31E8"/>
    <w:rsid w:val="00AF39BC"/>
    <w:rsid w:val="00AF3AAA"/>
    <w:rsid w:val="00AF44E0"/>
    <w:rsid w:val="00AF4979"/>
    <w:rsid w:val="00AF4D7A"/>
    <w:rsid w:val="00AF51E5"/>
    <w:rsid w:val="00AF52E7"/>
    <w:rsid w:val="00AF575D"/>
    <w:rsid w:val="00AF5B14"/>
    <w:rsid w:val="00AF5C8B"/>
    <w:rsid w:val="00AF5D55"/>
    <w:rsid w:val="00AF605B"/>
    <w:rsid w:val="00AF62CE"/>
    <w:rsid w:val="00AF6749"/>
    <w:rsid w:val="00AF7011"/>
    <w:rsid w:val="00AF71AA"/>
    <w:rsid w:val="00AF741B"/>
    <w:rsid w:val="00AF7453"/>
    <w:rsid w:val="00AF7C3D"/>
    <w:rsid w:val="00AF7E72"/>
    <w:rsid w:val="00AF7F12"/>
    <w:rsid w:val="00B00223"/>
    <w:rsid w:val="00B00C97"/>
    <w:rsid w:val="00B00E2D"/>
    <w:rsid w:val="00B00EE8"/>
    <w:rsid w:val="00B0115C"/>
    <w:rsid w:val="00B012B5"/>
    <w:rsid w:val="00B01F83"/>
    <w:rsid w:val="00B01FA9"/>
    <w:rsid w:val="00B0219D"/>
    <w:rsid w:val="00B0239F"/>
    <w:rsid w:val="00B02BD8"/>
    <w:rsid w:val="00B02E29"/>
    <w:rsid w:val="00B0328C"/>
    <w:rsid w:val="00B0338C"/>
    <w:rsid w:val="00B036CF"/>
    <w:rsid w:val="00B0396C"/>
    <w:rsid w:val="00B03F9B"/>
    <w:rsid w:val="00B0432F"/>
    <w:rsid w:val="00B043ED"/>
    <w:rsid w:val="00B0521C"/>
    <w:rsid w:val="00B054FF"/>
    <w:rsid w:val="00B05CB6"/>
    <w:rsid w:val="00B06078"/>
    <w:rsid w:val="00B0619C"/>
    <w:rsid w:val="00B0633F"/>
    <w:rsid w:val="00B06DE5"/>
    <w:rsid w:val="00B070A0"/>
    <w:rsid w:val="00B075B2"/>
    <w:rsid w:val="00B07600"/>
    <w:rsid w:val="00B07CC0"/>
    <w:rsid w:val="00B07FC9"/>
    <w:rsid w:val="00B102F5"/>
    <w:rsid w:val="00B103E9"/>
    <w:rsid w:val="00B1060C"/>
    <w:rsid w:val="00B10BEF"/>
    <w:rsid w:val="00B10C2E"/>
    <w:rsid w:val="00B11539"/>
    <w:rsid w:val="00B11586"/>
    <w:rsid w:val="00B11E6D"/>
    <w:rsid w:val="00B11FA4"/>
    <w:rsid w:val="00B1220A"/>
    <w:rsid w:val="00B12242"/>
    <w:rsid w:val="00B12B99"/>
    <w:rsid w:val="00B13427"/>
    <w:rsid w:val="00B138DA"/>
    <w:rsid w:val="00B1393B"/>
    <w:rsid w:val="00B140D2"/>
    <w:rsid w:val="00B1462C"/>
    <w:rsid w:val="00B14CD1"/>
    <w:rsid w:val="00B15491"/>
    <w:rsid w:val="00B15580"/>
    <w:rsid w:val="00B1562F"/>
    <w:rsid w:val="00B15740"/>
    <w:rsid w:val="00B16C77"/>
    <w:rsid w:val="00B16D0D"/>
    <w:rsid w:val="00B16D63"/>
    <w:rsid w:val="00B172E7"/>
    <w:rsid w:val="00B174AB"/>
    <w:rsid w:val="00B17629"/>
    <w:rsid w:val="00B2135F"/>
    <w:rsid w:val="00B214E4"/>
    <w:rsid w:val="00B21799"/>
    <w:rsid w:val="00B21A4D"/>
    <w:rsid w:val="00B21D6E"/>
    <w:rsid w:val="00B222B5"/>
    <w:rsid w:val="00B22C39"/>
    <w:rsid w:val="00B22D8C"/>
    <w:rsid w:val="00B22DE0"/>
    <w:rsid w:val="00B230F8"/>
    <w:rsid w:val="00B2352F"/>
    <w:rsid w:val="00B23D2D"/>
    <w:rsid w:val="00B24380"/>
    <w:rsid w:val="00B24FEA"/>
    <w:rsid w:val="00B25328"/>
    <w:rsid w:val="00B2540B"/>
    <w:rsid w:val="00B25426"/>
    <w:rsid w:val="00B258B5"/>
    <w:rsid w:val="00B25B94"/>
    <w:rsid w:val="00B25DAF"/>
    <w:rsid w:val="00B25FE6"/>
    <w:rsid w:val="00B2603E"/>
    <w:rsid w:val="00B26397"/>
    <w:rsid w:val="00B26407"/>
    <w:rsid w:val="00B26CD6"/>
    <w:rsid w:val="00B27166"/>
    <w:rsid w:val="00B27255"/>
    <w:rsid w:val="00B2749B"/>
    <w:rsid w:val="00B2763A"/>
    <w:rsid w:val="00B27783"/>
    <w:rsid w:val="00B27A0A"/>
    <w:rsid w:val="00B27BEE"/>
    <w:rsid w:val="00B30160"/>
    <w:rsid w:val="00B301E2"/>
    <w:rsid w:val="00B302B8"/>
    <w:rsid w:val="00B304C0"/>
    <w:rsid w:val="00B3068C"/>
    <w:rsid w:val="00B30DD2"/>
    <w:rsid w:val="00B314D4"/>
    <w:rsid w:val="00B317DC"/>
    <w:rsid w:val="00B31A2F"/>
    <w:rsid w:val="00B31E48"/>
    <w:rsid w:val="00B321D4"/>
    <w:rsid w:val="00B324A8"/>
    <w:rsid w:val="00B327F4"/>
    <w:rsid w:val="00B32D08"/>
    <w:rsid w:val="00B32F4E"/>
    <w:rsid w:val="00B32F61"/>
    <w:rsid w:val="00B3322F"/>
    <w:rsid w:val="00B334B1"/>
    <w:rsid w:val="00B339CE"/>
    <w:rsid w:val="00B33E53"/>
    <w:rsid w:val="00B34131"/>
    <w:rsid w:val="00B3426C"/>
    <w:rsid w:val="00B34524"/>
    <w:rsid w:val="00B346E2"/>
    <w:rsid w:val="00B35631"/>
    <w:rsid w:val="00B3586B"/>
    <w:rsid w:val="00B3587C"/>
    <w:rsid w:val="00B358CF"/>
    <w:rsid w:val="00B35902"/>
    <w:rsid w:val="00B35B04"/>
    <w:rsid w:val="00B36259"/>
    <w:rsid w:val="00B36C52"/>
    <w:rsid w:val="00B36DA6"/>
    <w:rsid w:val="00B36E10"/>
    <w:rsid w:val="00B36E89"/>
    <w:rsid w:val="00B37246"/>
    <w:rsid w:val="00B3733C"/>
    <w:rsid w:val="00B37409"/>
    <w:rsid w:val="00B37423"/>
    <w:rsid w:val="00B37654"/>
    <w:rsid w:val="00B3775E"/>
    <w:rsid w:val="00B37810"/>
    <w:rsid w:val="00B37B94"/>
    <w:rsid w:val="00B37E95"/>
    <w:rsid w:val="00B37FC0"/>
    <w:rsid w:val="00B4097F"/>
    <w:rsid w:val="00B410B3"/>
    <w:rsid w:val="00B417BB"/>
    <w:rsid w:val="00B4190C"/>
    <w:rsid w:val="00B41956"/>
    <w:rsid w:val="00B427F5"/>
    <w:rsid w:val="00B42A22"/>
    <w:rsid w:val="00B43539"/>
    <w:rsid w:val="00B43B71"/>
    <w:rsid w:val="00B43F67"/>
    <w:rsid w:val="00B44257"/>
    <w:rsid w:val="00B45359"/>
    <w:rsid w:val="00B45535"/>
    <w:rsid w:val="00B4553C"/>
    <w:rsid w:val="00B4572C"/>
    <w:rsid w:val="00B4592A"/>
    <w:rsid w:val="00B459C8"/>
    <w:rsid w:val="00B45B2A"/>
    <w:rsid w:val="00B45BAB"/>
    <w:rsid w:val="00B45F55"/>
    <w:rsid w:val="00B461A4"/>
    <w:rsid w:val="00B461B0"/>
    <w:rsid w:val="00B462B3"/>
    <w:rsid w:val="00B46739"/>
    <w:rsid w:val="00B46811"/>
    <w:rsid w:val="00B46975"/>
    <w:rsid w:val="00B46AA2"/>
    <w:rsid w:val="00B46EE7"/>
    <w:rsid w:val="00B472EC"/>
    <w:rsid w:val="00B4777F"/>
    <w:rsid w:val="00B47A25"/>
    <w:rsid w:val="00B50BAA"/>
    <w:rsid w:val="00B51611"/>
    <w:rsid w:val="00B518C6"/>
    <w:rsid w:val="00B52046"/>
    <w:rsid w:val="00B5259A"/>
    <w:rsid w:val="00B52C06"/>
    <w:rsid w:val="00B52CB1"/>
    <w:rsid w:val="00B5315C"/>
    <w:rsid w:val="00B53A25"/>
    <w:rsid w:val="00B53A95"/>
    <w:rsid w:val="00B53B6D"/>
    <w:rsid w:val="00B53C9A"/>
    <w:rsid w:val="00B53D31"/>
    <w:rsid w:val="00B54F0D"/>
    <w:rsid w:val="00B553DF"/>
    <w:rsid w:val="00B5563C"/>
    <w:rsid w:val="00B55939"/>
    <w:rsid w:val="00B55C63"/>
    <w:rsid w:val="00B56301"/>
    <w:rsid w:val="00B56F23"/>
    <w:rsid w:val="00B57469"/>
    <w:rsid w:val="00B575D4"/>
    <w:rsid w:val="00B57CDA"/>
    <w:rsid w:val="00B57D54"/>
    <w:rsid w:val="00B60099"/>
    <w:rsid w:val="00B6051C"/>
    <w:rsid w:val="00B60946"/>
    <w:rsid w:val="00B609C3"/>
    <w:rsid w:val="00B609D4"/>
    <w:rsid w:val="00B60A2D"/>
    <w:rsid w:val="00B60C95"/>
    <w:rsid w:val="00B60FB5"/>
    <w:rsid w:val="00B62014"/>
    <w:rsid w:val="00B629C9"/>
    <w:rsid w:val="00B63426"/>
    <w:rsid w:val="00B63656"/>
    <w:rsid w:val="00B63F21"/>
    <w:rsid w:val="00B63FB6"/>
    <w:rsid w:val="00B6401C"/>
    <w:rsid w:val="00B64086"/>
    <w:rsid w:val="00B64519"/>
    <w:rsid w:val="00B64541"/>
    <w:rsid w:val="00B6456D"/>
    <w:rsid w:val="00B64BD0"/>
    <w:rsid w:val="00B64DCA"/>
    <w:rsid w:val="00B64FCD"/>
    <w:rsid w:val="00B65C38"/>
    <w:rsid w:val="00B65C86"/>
    <w:rsid w:val="00B65CBD"/>
    <w:rsid w:val="00B660D9"/>
    <w:rsid w:val="00B667B1"/>
    <w:rsid w:val="00B66802"/>
    <w:rsid w:val="00B6727D"/>
    <w:rsid w:val="00B67453"/>
    <w:rsid w:val="00B675F7"/>
    <w:rsid w:val="00B677EA"/>
    <w:rsid w:val="00B67A78"/>
    <w:rsid w:val="00B7013C"/>
    <w:rsid w:val="00B707BA"/>
    <w:rsid w:val="00B7086A"/>
    <w:rsid w:val="00B70A5F"/>
    <w:rsid w:val="00B70C27"/>
    <w:rsid w:val="00B70E97"/>
    <w:rsid w:val="00B712EE"/>
    <w:rsid w:val="00B715DC"/>
    <w:rsid w:val="00B71ACD"/>
    <w:rsid w:val="00B722FE"/>
    <w:rsid w:val="00B72597"/>
    <w:rsid w:val="00B729F1"/>
    <w:rsid w:val="00B7300C"/>
    <w:rsid w:val="00B73222"/>
    <w:rsid w:val="00B74648"/>
    <w:rsid w:val="00B74D56"/>
    <w:rsid w:val="00B753EA"/>
    <w:rsid w:val="00B75CCA"/>
    <w:rsid w:val="00B7657E"/>
    <w:rsid w:val="00B768A5"/>
    <w:rsid w:val="00B768A7"/>
    <w:rsid w:val="00B76970"/>
    <w:rsid w:val="00B769B5"/>
    <w:rsid w:val="00B76F65"/>
    <w:rsid w:val="00B76FAA"/>
    <w:rsid w:val="00B7738B"/>
    <w:rsid w:val="00B775CD"/>
    <w:rsid w:val="00B77E12"/>
    <w:rsid w:val="00B77E9E"/>
    <w:rsid w:val="00B80406"/>
    <w:rsid w:val="00B80645"/>
    <w:rsid w:val="00B80A5E"/>
    <w:rsid w:val="00B80F1F"/>
    <w:rsid w:val="00B813C8"/>
    <w:rsid w:val="00B8146F"/>
    <w:rsid w:val="00B8167D"/>
    <w:rsid w:val="00B82095"/>
    <w:rsid w:val="00B821C6"/>
    <w:rsid w:val="00B823DE"/>
    <w:rsid w:val="00B824A1"/>
    <w:rsid w:val="00B82C49"/>
    <w:rsid w:val="00B82D90"/>
    <w:rsid w:val="00B82FB4"/>
    <w:rsid w:val="00B83432"/>
    <w:rsid w:val="00B83B69"/>
    <w:rsid w:val="00B83DFC"/>
    <w:rsid w:val="00B83F10"/>
    <w:rsid w:val="00B8406A"/>
    <w:rsid w:val="00B84439"/>
    <w:rsid w:val="00B84B85"/>
    <w:rsid w:val="00B86207"/>
    <w:rsid w:val="00B8654A"/>
    <w:rsid w:val="00B86589"/>
    <w:rsid w:val="00B865EE"/>
    <w:rsid w:val="00B86A86"/>
    <w:rsid w:val="00B86B7E"/>
    <w:rsid w:val="00B87173"/>
    <w:rsid w:val="00B87449"/>
    <w:rsid w:val="00B8769D"/>
    <w:rsid w:val="00B87BE1"/>
    <w:rsid w:val="00B87DD5"/>
    <w:rsid w:val="00B90282"/>
    <w:rsid w:val="00B90B1B"/>
    <w:rsid w:val="00B90F96"/>
    <w:rsid w:val="00B9219F"/>
    <w:rsid w:val="00B926CB"/>
    <w:rsid w:val="00B92BB9"/>
    <w:rsid w:val="00B92FBB"/>
    <w:rsid w:val="00B933B2"/>
    <w:rsid w:val="00B936CB"/>
    <w:rsid w:val="00B93BDF"/>
    <w:rsid w:val="00B93CAF"/>
    <w:rsid w:val="00B941B6"/>
    <w:rsid w:val="00B94A06"/>
    <w:rsid w:val="00B94DCA"/>
    <w:rsid w:val="00B952E7"/>
    <w:rsid w:val="00B95B2F"/>
    <w:rsid w:val="00B95B37"/>
    <w:rsid w:val="00B95E21"/>
    <w:rsid w:val="00B95E9C"/>
    <w:rsid w:val="00B96ECF"/>
    <w:rsid w:val="00B97356"/>
    <w:rsid w:val="00B97A6D"/>
    <w:rsid w:val="00BA0391"/>
    <w:rsid w:val="00BA060B"/>
    <w:rsid w:val="00BA0710"/>
    <w:rsid w:val="00BA0D90"/>
    <w:rsid w:val="00BA0DCD"/>
    <w:rsid w:val="00BA22BB"/>
    <w:rsid w:val="00BA2423"/>
    <w:rsid w:val="00BA249D"/>
    <w:rsid w:val="00BA34B1"/>
    <w:rsid w:val="00BA382E"/>
    <w:rsid w:val="00BA3830"/>
    <w:rsid w:val="00BA41DF"/>
    <w:rsid w:val="00BA41E7"/>
    <w:rsid w:val="00BA42E0"/>
    <w:rsid w:val="00BA4630"/>
    <w:rsid w:val="00BA48C1"/>
    <w:rsid w:val="00BA4987"/>
    <w:rsid w:val="00BA5792"/>
    <w:rsid w:val="00BA6028"/>
    <w:rsid w:val="00BA6F67"/>
    <w:rsid w:val="00BA738A"/>
    <w:rsid w:val="00BA7618"/>
    <w:rsid w:val="00BA7701"/>
    <w:rsid w:val="00BA7A25"/>
    <w:rsid w:val="00BA7AF1"/>
    <w:rsid w:val="00BA7BAB"/>
    <w:rsid w:val="00BA7C02"/>
    <w:rsid w:val="00BA7C73"/>
    <w:rsid w:val="00BB00C3"/>
    <w:rsid w:val="00BB01F3"/>
    <w:rsid w:val="00BB043A"/>
    <w:rsid w:val="00BB073E"/>
    <w:rsid w:val="00BB0741"/>
    <w:rsid w:val="00BB07C5"/>
    <w:rsid w:val="00BB09ED"/>
    <w:rsid w:val="00BB10E2"/>
    <w:rsid w:val="00BB17AD"/>
    <w:rsid w:val="00BB1D2F"/>
    <w:rsid w:val="00BB2428"/>
    <w:rsid w:val="00BB292D"/>
    <w:rsid w:val="00BB300F"/>
    <w:rsid w:val="00BB309F"/>
    <w:rsid w:val="00BB3198"/>
    <w:rsid w:val="00BB369B"/>
    <w:rsid w:val="00BB3919"/>
    <w:rsid w:val="00BB3A56"/>
    <w:rsid w:val="00BB3ABF"/>
    <w:rsid w:val="00BB3C9D"/>
    <w:rsid w:val="00BB3E2E"/>
    <w:rsid w:val="00BB42AC"/>
    <w:rsid w:val="00BB49CB"/>
    <w:rsid w:val="00BB4CAE"/>
    <w:rsid w:val="00BB4E7B"/>
    <w:rsid w:val="00BB57B7"/>
    <w:rsid w:val="00BB57C7"/>
    <w:rsid w:val="00BB6087"/>
    <w:rsid w:val="00BB67F1"/>
    <w:rsid w:val="00BB6A14"/>
    <w:rsid w:val="00BB79C2"/>
    <w:rsid w:val="00BB7E42"/>
    <w:rsid w:val="00BB7F0F"/>
    <w:rsid w:val="00BC0B1A"/>
    <w:rsid w:val="00BC0EC7"/>
    <w:rsid w:val="00BC117C"/>
    <w:rsid w:val="00BC11C6"/>
    <w:rsid w:val="00BC1722"/>
    <w:rsid w:val="00BC17DF"/>
    <w:rsid w:val="00BC194A"/>
    <w:rsid w:val="00BC1B69"/>
    <w:rsid w:val="00BC2214"/>
    <w:rsid w:val="00BC247C"/>
    <w:rsid w:val="00BC2825"/>
    <w:rsid w:val="00BC2E96"/>
    <w:rsid w:val="00BC2F35"/>
    <w:rsid w:val="00BC2F8E"/>
    <w:rsid w:val="00BC365F"/>
    <w:rsid w:val="00BC3A31"/>
    <w:rsid w:val="00BC406F"/>
    <w:rsid w:val="00BC4164"/>
    <w:rsid w:val="00BC426A"/>
    <w:rsid w:val="00BC4428"/>
    <w:rsid w:val="00BC4C86"/>
    <w:rsid w:val="00BC4C88"/>
    <w:rsid w:val="00BC4DFB"/>
    <w:rsid w:val="00BC544F"/>
    <w:rsid w:val="00BC59CA"/>
    <w:rsid w:val="00BC5D67"/>
    <w:rsid w:val="00BC63F0"/>
    <w:rsid w:val="00BC6940"/>
    <w:rsid w:val="00BC6970"/>
    <w:rsid w:val="00BC6BA8"/>
    <w:rsid w:val="00BC6D81"/>
    <w:rsid w:val="00BC6F87"/>
    <w:rsid w:val="00BC733D"/>
    <w:rsid w:val="00BC734E"/>
    <w:rsid w:val="00BC7713"/>
    <w:rsid w:val="00BC7C93"/>
    <w:rsid w:val="00BD0286"/>
    <w:rsid w:val="00BD0308"/>
    <w:rsid w:val="00BD08F6"/>
    <w:rsid w:val="00BD0A29"/>
    <w:rsid w:val="00BD18E4"/>
    <w:rsid w:val="00BD1B3F"/>
    <w:rsid w:val="00BD2120"/>
    <w:rsid w:val="00BD28CF"/>
    <w:rsid w:val="00BD2AC0"/>
    <w:rsid w:val="00BD31E5"/>
    <w:rsid w:val="00BD33A9"/>
    <w:rsid w:val="00BD33BE"/>
    <w:rsid w:val="00BD3623"/>
    <w:rsid w:val="00BD3792"/>
    <w:rsid w:val="00BD3C72"/>
    <w:rsid w:val="00BD4397"/>
    <w:rsid w:val="00BD4412"/>
    <w:rsid w:val="00BD4548"/>
    <w:rsid w:val="00BD4E12"/>
    <w:rsid w:val="00BD4F07"/>
    <w:rsid w:val="00BD56F8"/>
    <w:rsid w:val="00BD5C57"/>
    <w:rsid w:val="00BD5D4E"/>
    <w:rsid w:val="00BD5F37"/>
    <w:rsid w:val="00BD5F7E"/>
    <w:rsid w:val="00BD6811"/>
    <w:rsid w:val="00BD7991"/>
    <w:rsid w:val="00BD7C45"/>
    <w:rsid w:val="00BD7E30"/>
    <w:rsid w:val="00BE0BB5"/>
    <w:rsid w:val="00BE0BDD"/>
    <w:rsid w:val="00BE118B"/>
    <w:rsid w:val="00BE1359"/>
    <w:rsid w:val="00BE1789"/>
    <w:rsid w:val="00BE1C4F"/>
    <w:rsid w:val="00BE21E3"/>
    <w:rsid w:val="00BE305B"/>
    <w:rsid w:val="00BE4D13"/>
    <w:rsid w:val="00BE5C0F"/>
    <w:rsid w:val="00BE5C9E"/>
    <w:rsid w:val="00BE5F4E"/>
    <w:rsid w:val="00BE618A"/>
    <w:rsid w:val="00BE62B2"/>
    <w:rsid w:val="00BE6350"/>
    <w:rsid w:val="00BE67F1"/>
    <w:rsid w:val="00BE7287"/>
    <w:rsid w:val="00BE7964"/>
    <w:rsid w:val="00BE7C93"/>
    <w:rsid w:val="00BF0362"/>
    <w:rsid w:val="00BF0479"/>
    <w:rsid w:val="00BF0CDC"/>
    <w:rsid w:val="00BF0D73"/>
    <w:rsid w:val="00BF1069"/>
    <w:rsid w:val="00BF17E1"/>
    <w:rsid w:val="00BF1A87"/>
    <w:rsid w:val="00BF1D23"/>
    <w:rsid w:val="00BF1F82"/>
    <w:rsid w:val="00BF2520"/>
    <w:rsid w:val="00BF25B1"/>
    <w:rsid w:val="00BF2B78"/>
    <w:rsid w:val="00BF2FC3"/>
    <w:rsid w:val="00BF3470"/>
    <w:rsid w:val="00BF34B7"/>
    <w:rsid w:val="00BF3885"/>
    <w:rsid w:val="00BF393B"/>
    <w:rsid w:val="00BF3B94"/>
    <w:rsid w:val="00BF3FF8"/>
    <w:rsid w:val="00BF43F7"/>
    <w:rsid w:val="00BF4C53"/>
    <w:rsid w:val="00BF50AF"/>
    <w:rsid w:val="00BF54DC"/>
    <w:rsid w:val="00BF5748"/>
    <w:rsid w:val="00BF5B81"/>
    <w:rsid w:val="00BF606F"/>
    <w:rsid w:val="00BF6270"/>
    <w:rsid w:val="00BF67B7"/>
    <w:rsid w:val="00BF69FD"/>
    <w:rsid w:val="00BF6A3C"/>
    <w:rsid w:val="00BF703E"/>
    <w:rsid w:val="00BF7450"/>
    <w:rsid w:val="00BF770B"/>
    <w:rsid w:val="00BF7802"/>
    <w:rsid w:val="00C005F7"/>
    <w:rsid w:val="00C007A6"/>
    <w:rsid w:val="00C00FA3"/>
    <w:rsid w:val="00C0116D"/>
    <w:rsid w:val="00C01510"/>
    <w:rsid w:val="00C01CEB"/>
    <w:rsid w:val="00C01F6E"/>
    <w:rsid w:val="00C021D2"/>
    <w:rsid w:val="00C023A3"/>
    <w:rsid w:val="00C02B42"/>
    <w:rsid w:val="00C02BED"/>
    <w:rsid w:val="00C02D3C"/>
    <w:rsid w:val="00C03249"/>
    <w:rsid w:val="00C036F7"/>
    <w:rsid w:val="00C03978"/>
    <w:rsid w:val="00C04BA2"/>
    <w:rsid w:val="00C04BAE"/>
    <w:rsid w:val="00C04E0F"/>
    <w:rsid w:val="00C05362"/>
    <w:rsid w:val="00C05537"/>
    <w:rsid w:val="00C05896"/>
    <w:rsid w:val="00C0599A"/>
    <w:rsid w:val="00C05D89"/>
    <w:rsid w:val="00C06A3F"/>
    <w:rsid w:val="00C06A43"/>
    <w:rsid w:val="00C06C42"/>
    <w:rsid w:val="00C06D80"/>
    <w:rsid w:val="00C06EB2"/>
    <w:rsid w:val="00C073DA"/>
    <w:rsid w:val="00C078C1"/>
    <w:rsid w:val="00C079DB"/>
    <w:rsid w:val="00C07A40"/>
    <w:rsid w:val="00C07C15"/>
    <w:rsid w:val="00C1092B"/>
    <w:rsid w:val="00C10A65"/>
    <w:rsid w:val="00C10B9B"/>
    <w:rsid w:val="00C10C30"/>
    <w:rsid w:val="00C1104C"/>
    <w:rsid w:val="00C11577"/>
    <w:rsid w:val="00C11990"/>
    <w:rsid w:val="00C119DA"/>
    <w:rsid w:val="00C11BFF"/>
    <w:rsid w:val="00C11DC5"/>
    <w:rsid w:val="00C11F13"/>
    <w:rsid w:val="00C11F39"/>
    <w:rsid w:val="00C11F55"/>
    <w:rsid w:val="00C12249"/>
    <w:rsid w:val="00C1250E"/>
    <w:rsid w:val="00C1262D"/>
    <w:rsid w:val="00C138E7"/>
    <w:rsid w:val="00C139A1"/>
    <w:rsid w:val="00C13B36"/>
    <w:rsid w:val="00C13D15"/>
    <w:rsid w:val="00C1448C"/>
    <w:rsid w:val="00C145BD"/>
    <w:rsid w:val="00C145FD"/>
    <w:rsid w:val="00C149A6"/>
    <w:rsid w:val="00C14D7A"/>
    <w:rsid w:val="00C14D92"/>
    <w:rsid w:val="00C15028"/>
    <w:rsid w:val="00C153BC"/>
    <w:rsid w:val="00C15BE4"/>
    <w:rsid w:val="00C15FAD"/>
    <w:rsid w:val="00C16490"/>
    <w:rsid w:val="00C168E7"/>
    <w:rsid w:val="00C16CCB"/>
    <w:rsid w:val="00C17059"/>
    <w:rsid w:val="00C17174"/>
    <w:rsid w:val="00C171C5"/>
    <w:rsid w:val="00C178C4"/>
    <w:rsid w:val="00C17B44"/>
    <w:rsid w:val="00C17ED6"/>
    <w:rsid w:val="00C17F63"/>
    <w:rsid w:val="00C20025"/>
    <w:rsid w:val="00C2041C"/>
    <w:rsid w:val="00C20869"/>
    <w:rsid w:val="00C20DC6"/>
    <w:rsid w:val="00C2113D"/>
    <w:rsid w:val="00C21363"/>
    <w:rsid w:val="00C215D1"/>
    <w:rsid w:val="00C21AE1"/>
    <w:rsid w:val="00C22141"/>
    <w:rsid w:val="00C223D1"/>
    <w:rsid w:val="00C227C6"/>
    <w:rsid w:val="00C22816"/>
    <w:rsid w:val="00C22B32"/>
    <w:rsid w:val="00C230F6"/>
    <w:rsid w:val="00C23686"/>
    <w:rsid w:val="00C23F8A"/>
    <w:rsid w:val="00C244B3"/>
    <w:rsid w:val="00C247E6"/>
    <w:rsid w:val="00C24B05"/>
    <w:rsid w:val="00C24B26"/>
    <w:rsid w:val="00C24D07"/>
    <w:rsid w:val="00C24D29"/>
    <w:rsid w:val="00C24EA5"/>
    <w:rsid w:val="00C25052"/>
    <w:rsid w:val="00C2580C"/>
    <w:rsid w:val="00C25846"/>
    <w:rsid w:val="00C25D31"/>
    <w:rsid w:val="00C262C1"/>
    <w:rsid w:val="00C265D0"/>
    <w:rsid w:val="00C26FE5"/>
    <w:rsid w:val="00C27077"/>
    <w:rsid w:val="00C27F07"/>
    <w:rsid w:val="00C3022B"/>
    <w:rsid w:val="00C30723"/>
    <w:rsid w:val="00C30778"/>
    <w:rsid w:val="00C30AE9"/>
    <w:rsid w:val="00C3137D"/>
    <w:rsid w:val="00C31756"/>
    <w:rsid w:val="00C31F7F"/>
    <w:rsid w:val="00C32186"/>
    <w:rsid w:val="00C323EC"/>
    <w:rsid w:val="00C32893"/>
    <w:rsid w:val="00C32934"/>
    <w:rsid w:val="00C3336D"/>
    <w:rsid w:val="00C334A3"/>
    <w:rsid w:val="00C335AE"/>
    <w:rsid w:val="00C33AB3"/>
    <w:rsid w:val="00C34197"/>
    <w:rsid w:val="00C3427B"/>
    <w:rsid w:val="00C34645"/>
    <w:rsid w:val="00C34E1F"/>
    <w:rsid w:val="00C34F09"/>
    <w:rsid w:val="00C3515D"/>
    <w:rsid w:val="00C356DD"/>
    <w:rsid w:val="00C357CE"/>
    <w:rsid w:val="00C35C70"/>
    <w:rsid w:val="00C35E26"/>
    <w:rsid w:val="00C361F0"/>
    <w:rsid w:val="00C3626A"/>
    <w:rsid w:val="00C36684"/>
    <w:rsid w:val="00C36DCC"/>
    <w:rsid w:val="00C36F0A"/>
    <w:rsid w:val="00C36F4F"/>
    <w:rsid w:val="00C372CB"/>
    <w:rsid w:val="00C37B23"/>
    <w:rsid w:val="00C37EC3"/>
    <w:rsid w:val="00C400F0"/>
    <w:rsid w:val="00C4067A"/>
    <w:rsid w:val="00C40F21"/>
    <w:rsid w:val="00C411BF"/>
    <w:rsid w:val="00C412AE"/>
    <w:rsid w:val="00C41480"/>
    <w:rsid w:val="00C417F1"/>
    <w:rsid w:val="00C41B33"/>
    <w:rsid w:val="00C41F94"/>
    <w:rsid w:val="00C439E0"/>
    <w:rsid w:val="00C44052"/>
    <w:rsid w:val="00C44368"/>
    <w:rsid w:val="00C44D1E"/>
    <w:rsid w:val="00C44D4E"/>
    <w:rsid w:val="00C4531F"/>
    <w:rsid w:val="00C46111"/>
    <w:rsid w:val="00C46816"/>
    <w:rsid w:val="00C46822"/>
    <w:rsid w:val="00C468CE"/>
    <w:rsid w:val="00C46C3E"/>
    <w:rsid w:val="00C46CE5"/>
    <w:rsid w:val="00C4706F"/>
    <w:rsid w:val="00C4754A"/>
    <w:rsid w:val="00C47CFC"/>
    <w:rsid w:val="00C50206"/>
    <w:rsid w:val="00C50260"/>
    <w:rsid w:val="00C5065D"/>
    <w:rsid w:val="00C50A99"/>
    <w:rsid w:val="00C512B5"/>
    <w:rsid w:val="00C51395"/>
    <w:rsid w:val="00C51553"/>
    <w:rsid w:val="00C518A5"/>
    <w:rsid w:val="00C51A60"/>
    <w:rsid w:val="00C51FC3"/>
    <w:rsid w:val="00C520E4"/>
    <w:rsid w:val="00C52334"/>
    <w:rsid w:val="00C5261F"/>
    <w:rsid w:val="00C5279F"/>
    <w:rsid w:val="00C52C65"/>
    <w:rsid w:val="00C53110"/>
    <w:rsid w:val="00C53B12"/>
    <w:rsid w:val="00C53B6C"/>
    <w:rsid w:val="00C5406E"/>
    <w:rsid w:val="00C541AB"/>
    <w:rsid w:val="00C541B2"/>
    <w:rsid w:val="00C542C4"/>
    <w:rsid w:val="00C5477D"/>
    <w:rsid w:val="00C54928"/>
    <w:rsid w:val="00C54A44"/>
    <w:rsid w:val="00C54E2A"/>
    <w:rsid w:val="00C54E49"/>
    <w:rsid w:val="00C54FAF"/>
    <w:rsid w:val="00C550C8"/>
    <w:rsid w:val="00C55222"/>
    <w:rsid w:val="00C553E2"/>
    <w:rsid w:val="00C558CE"/>
    <w:rsid w:val="00C56403"/>
    <w:rsid w:val="00C5661F"/>
    <w:rsid w:val="00C56FD2"/>
    <w:rsid w:val="00C57085"/>
    <w:rsid w:val="00C575AF"/>
    <w:rsid w:val="00C576FC"/>
    <w:rsid w:val="00C579F3"/>
    <w:rsid w:val="00C57EE1"/>
    <w:rsid w:val="00C60361"/>
    <w:rsid w:val="00C60738"/>
    <w:rsid w:val="00C608D7"/>
    <w:rsid w:val="00C60D9F"/>
    <w:rsid w:val="00C61943"/>
    <w:rsid w:val="00C620BA"/>
    <w:rsid w:val="00C627C5"/>
    <w:rsid w:val="00C62FAB"/>
    <w:rsid w:val="00C635B8"/>
    <w:rsid w:val="00C6395F"/>
    <w:rsid w:val="00C63C3D"/>
    <w:rsid w:val="00C644BF"/>
    <w:rsid w:val="00C64A43"/>
    <w:rsid w:val="00C65163"/>
    <w:rsid w:val="00C65728"/>
    <w:rsid w:val="00C658F4"/>
    <w:rsid w:val="00C65B6B"/>
    <w:rsid w:val="00C65F2D"/>
    <w:rsid w:val="00C66492"/>
    <w:rsid w:val="00C664AB"/>
    <w:rsid w:val="00C66584"/>
    <w:rsid w:val="00C665A9"/>
    <w:rsid w:val="00C66705"/>
    <w:rsid w:val="00C6747B"/>
    <w:rsid w:val="00C67754"/>
    <w:rsid w:val="00C67895"/>
    <w:rsid w:val="00C67D16"/>
    <w:rsid w:val="00C70254"/>
    <w:rsid w:val="00C703C0"/>
    <w:rsid w:val="00C706D1"/>
    <w:rsid w:val="00C70A4F"/>
    <w:rsid w:val="00C70FAE"/>
    <w:rsid w:val="00C7113D"/>
    <w:rsid w:val="00C71284"/>
    <w:rsid w:val="00C719C3"/>
    <w:rsid w:val="00C724F5"/>
    <w:rsid w:val="00C726F6"/>
    <w:rsid w:val="00C72987"/>
    <w:rsid w:val="00C72BA3"/>
    <w:rsid w:val="00C72DD5"/>
    <w:rsid w:val="00C733A6"/>
    <w:rsid w:val="00C737B0"/>
    <w:rsid w:val="00C73D39"/>
    <w:rsid w:val="00C744A3"/>
    <w:rsid w:val="00C744D7"/>
    <w:rsid w:val="00C75E95"/>
    <w:rsid w:val="00C760ED"/>
    <w:rsid w:val="00C76282"/>
    <w:rsid w:val="00C76750"/>
    <w:rsid w:val="00C7675A"/>
    <w:rsid w:val="00C76BB2"/>
    <w:rsid w:val="00C76D5D"/>
    <w:rsid w:val="00C76E9D"/>
    <w:rsid w:val="00C77906"/>
    <w:rsid w:val="00C800A2"/>
    <w:rsid w:val="00C80E18"/>
    <w:rsid w:val="00C816DF"/>
    <w:rsid w:val="00C820EE"/>
    <w:rsid w:val="00C82C1E"/>
    <w:rsid w:val="00C82CD4"/>
    <w:rsid w:val="00C835B6"/>
    <w:rsid w:val="00C84475"/>
    <w:rsid w:val="00C84713"/>
    <w:rsid w:val="00C84758"/>
    <w:rsid w:val="00C853AB"/>
    <w:rsid w:val="00C856EF"/>
    <w:rsid w:val="00C85CAC"/>
    <w:rsid w:val="00C85D45"/>
    <w:rsid w:val="00C85F72"/>
    <w:rsid w:val="00C85FB3"/>
    <w:rsid w:val="00C862C3"/>
    <w:rsid w:val="00C86896"/>
    <w:rsid w:val="00C8732D"/>
    <w:rsid w:val="00C8736D"/>
    <w:rsid w:val="00C875CF"/>
    <w:rsid w:val="00C876E1"/>
    <w:rsid w:val="00C90162"/>
    <w:rsid w:val="00C905DB"/>
    <w:rsid w:val="00C908A9"/>
    <w:rsid w:val="00C908BE"/>
    <w:rsid w:val="00C91507"/>
    <w:rsid w:val="00C9203A"/>
    <w:rsid w:val="00C9230B"/>
    <w:rsid w:val="00C929E1"/>
    <w:rsid w:val="00C92B88"/>
    <w:rsid w:val="00C92F67"/>
    <w:rsid w:val="00C93C36"/>
    <w:rsid w:val="00C93D97"/>
    <w:rsid w:val="00C940C2"/>
    <w:rsid w:val="00C9433A"/>
    <w:rsid w:val="00C944D1"/>
    <w:rsid w:val="00C948D6"/>
    <w:rsid w:val="00C952E2"/>
    <w:rsid w:val="00C952E9"/>
    <w:rsid w:val="00C95AC8"/>
    <w:rsid w:val="00C95AF0"/>
    <w:rsid w:val="00C95E95"/>
    <w:rsid w:val="00C962BE"/>
    <w:rsid w:val="00C9639C"/>
    <w:rsid w:val="00C96514"/>
    <w:rsid w:val="00C96D4F"/>
    <w:rsid w:val="00C9721E"/>
    <w:rsid w:val="00C972A5"/>
    <w:rsid w:val="00C9760B"/>
    <w:rsid w:val="00C976E0"/>
    <w:rsid w:val="00C9796B"/>
    <w:rsid w:val="00C97C19"/>
    <w:rsid w:val="00CA0174"/>
    <w:rsid w:val="00CA018B"/>
    <w:rsid w:val="00CA05EE"/>
    <w:rsid w:val="00CA0C53"/>
    <w:rsid w:val="00CA0FB8"/>
    <w:rsid w:val="00CA105A"/>
    <w:rsid w:val="00CA1AE4"/>
    <w:rsid w:val="00CA1BC5"/>
    <w:rsid w:val="00CA1E0C"/>
    <w:rsid w:val="00CA1FA7"/>
    <w:rsid w:val="00CA20E3"/>
    <w:rsid w:val="00CA2143"/>
    <w:rsid w:val="00CA245C"/>
    <w:rsid w:val="00CA24C5"/>
    <w:rsid w:val="00CA26EC"/>
    <w:rsid w:val="00CA3591"/>
    <w:rsid w:val="00CA3AC7"/>
    <w:rsid w:val="00CA405C"/>
    <w:rsid w:val="00CA423D"/>
    <w:rsid w:val="00CA4AAC"/>
    <w:rsid w:val="00CA4DB5"/>
    <w:rsid w:val="00CA4F70"/>
    <w:rsid w:val="00CA5989"/>
    <w:rsid w:val="00CA5AF9"/>
    <w:rsid w:val="00CA5D0C"/>
    <w:rsid w:val="00CA5E13"/>
    <w:rsid w:val="00CA6101"/>
    <w:rsid w:val="00CA625D"/>
    <w:rsid w:val="00CA642E"/>
    <w:rsid w:val="00CA69FF"/>
    <w:rsid w:val="00CA6F73"/>
    <w:rsid w:val="00CA7A1F"/>
    <w:rsid w:val="00CA7DAF"/>
    <w:rsid w:val="00CB017E"/>
    <w:rsid w:val="00CB0226"/>
    <w:rsid w:val="00CB02C7"/>
    <w:rsid w:val="00CB0717"/>
    <w:rsid w:val="00CB0A65"/>
    <w:rsid w:val="00CB0B17"/>
    <w:rsid w:val="00CB0DC8"/>
    <w:rsid w:val="00CB0FDE"/>
    <w:rsid w:val="00CB1177"/>
    <w:rsid w:val="00CB1618"/>
    <w:rsid w:val="00CB1A88"/>
    <w:rsid w:val="00CB277F"/>
    <w:rsid w:val="00CB2809"/>
    <w:rsid w:val="00CB328B"/>
    <w:rsid w:val="00CB3318"/>
    <w:rsid w:val="00CB357D"/>
    <w:rsid w:val="00CB3628"/>
    <w:rsid w:val="00CB3BC7"/>
    <w:rsid w:val="00CB407C"/>
    <w:rsid w:val="00CB4204"/>
    <w:rsid w:val="00CB46B4"/>
    <w:rsid w:val="00CB4940"/>
    <w:rsid w:val="00CB4A70"/>
    <w:rsid w:val="00CB5D5B"/>
    <w:rsid w:val="00CB68D2"/>
    <w:rsid w:val="00CB6A52"/>
    <w:rsid w:val="00CB6DC0"/>
    <w:rsid w:val="00CB6E94"/>
    <w:rsid w:val="00CB7060"/>
    <w:rsid w:val="00CB763C"/>
    <w:rsid w:val="00CB77F2"/>
    <w:rsid w:val="00CB7B98"/>
    <w:rsid w:val="00CB7D1A"/>
    <w:rsid w:val="00CB7DD6"/>
    <w:rsid w:val="00CC0438"/>
    <w:rsid w:val="00CC0563"/>
    <w:rsid w:val="00CC0C66"/>
    <w:rsid w:val="00CC119E"/>
    <w:rsid w:val="00CC13ED"/>
    <w:rsid w:val="00CC140D"/>
    <w:rsid w:val="00CC1E56"/>
    <w:rsid w:val="00CC1EB1"/>
    <w:rsid w:val="00CC2001"/>
    <w:rsid w:val="00CC2270"/>
    <w:rsid w:val="00CC2EC5"/>
    <w:rsid w:val="00CC3277"/>
    <w:rsid w:val="00CC385B"/>
    <w:rsid w:val="00CC3EBF"/>
    <w:rsid w:val="00CC4207"/>
    <w:rsid w:val="00CC51BD"/>
    <w:rsid w:val="00CC5222"/>
    <w:rsid w:val="00CC55CB"/>
    <w:rsid w:val="00CC5775"/>
    <w:rsid w:val="00CC5E22"/>
    <w:rsid w:val="00CC62CD"/>
    <w:rsid w:val="00CC6C6A"/>
    <w:rsid w:val="00CC6E9D"/>
    <w:rsid w:val="00CC6F07"/>
    <w:rsid w:val="00CC702B"/>
    <w:rsid w:val="00CC7881"/>
    <w:rsid w:val="00CC78E6"/>
    <w:rsid w:val="00CC7971"/>
    <w:rsid w:val="00CC7ADD"/>
    <w:rsid w:val="00CC7FEA"/>
    <w:rsid w:val="00CD0422"/>
    <w:rsid w:val="00CD083E"/>
    <w:rsid w:val="00CD0982"/>
    <w:rsid w:val="00CD0FFA"/>
    <w:rsid w:val="00CD104F"/>
    <w:rsid w:val="00CD124B"/>
    <w:rsid w:val="00CD134C"/>
    <w:rsid w:val="00CD164D"/>
    <w:rsid w:val="00CD19CF"/>
    <w:rsid w:val="00CD265B"/>
    <w:rsid w:val="00CD26D0"/>
    <w:rsid w:val="00CD2987"/>
    <w:rsid w:val="00CD2A22"/>
    <w:rsid w:val="00CD2A3D"/>
    <w:rsid w:val="00CD2EE0"/>
    <w:rsid w:val="00CD3B99"/>
    <w:rsid w:val="00CD3DD5"/>
    <w:rsid w:val="00CD3E12"/>
    <w:rsid w:val="00CD400D"/>
    <w:rsid w:val="00CD40C7"/>
    <w:rsid w:val="00CD41DB"/>
    <w:rsid w:val="00CD4F38"/>
    <w:rsid w:val="00CD5885"/>
    <w:rsid w:val="00CD5BBC"/>
    <w:rsid w:val="00CD5D11"/>
    <w:rsid w:val="00CD5D93"/>
    <w:rsid w:val="00CD6321"/>
    <w:rsid w:val="00CD63D3"/>
    <w:rsid w:val="00CD6924"/>
    <w:rsid w:val="00CD6FAD"/>
    <w:rsid w:val="00CD7055"/>
    <w:rsid w:val="00CD7340"/>
    <w:rsid w:val="00CD73E8"/>
    <w:rsid w:val="00CD751E"/>
    <w:rsid w:val="00CD77A8"/>
    <w:rsid w:val="00CD7839"/>
    <w:rsid w:val="00CD78B1"/>
    <w:rsid w:val="00CE047A"/>
    <w:rsid w:val="00CE052C"/>
    <w:rsid w:val="00CE06B1"/>
    <w:rsid w:val="00CE0944"/>
    <w:rsid w:val="00CE0A76"/>
    <w:rsid w:val="00CE13D2"/>
    <w:rsid w:val="00CE166B"/>
    <w:rsid w:val="00CE1B36"/>
    <w:rsid w:val="00CE2362"/>
    <w:rsid w:val="00CE29F4"/>
    <w:rsid w:val="00CE3120"/>
    <w:rsid w:val="00CE32D8"/>
    <w:rsid w:val="00CE37A8"/>
    <w:rsid w:val="00CE3C60"/>
    <w:rsid w:val="00CE42DB"/>
    <w:rsid w:val="00CE4C6F"/>
    <w:rsid w:val="00CE52CC"/>
    <w:rsid w:val="00CE53F4"/>
    <w:rsid w:val="00CE5510"/>
    <w:rsid w:val="00CE5897"/>
    <w:rsid w:val="00CE5B5C"/>
    <w:rsid w:val="00CE5B69"/>
    <w:rsid w:val="00CE5CA9"/>
    <w:rsid w:val="00CE6071"/>
    <w:rsid w:val="00CE66E3"/>
    <w:rsid w:val="00CE6719"/>
    <w:rsid w:val="00CE6C67"/>
    <w:rsid w:val="00CE734B"/>
    <w:rsid w:val="00CE793F"/>
    <w:rsid w:val="00CE7CCC"/>
    <w:rsid w:val="00CE7E6F"/>
    <w:rsid w:val="00CF0055"/>
    <w:rsid w:val="00CF0499"/>
    <w:rsid w:val="00CF054E"/>
    <w:rsid w:val="00CF15DD"/>
    <w:rsid w:val="00CF1A82"/>
    <w:rsid w:val="00CF2112"/>
    <w:rsid w:val="00CF223D"/>
    <w:rsid w:val="00CF2703"/>
    <w:rsid w:val="00CF2824"/>
    <w:rsid w:val="00CF3526"/>
    <w:rsid w:val="00CF3A33"/>
    <w:rsid w:val="00CF3B3E"/>
    <w:rsid w:val="00CF3C7D"/>
    <w:rsid w:val="00CF3EFD"/>
    <w:rsid w:val="00CF4388"/>
    <w:rsid w:val="00CF45BF"/>
    <w:rsid w:val="00CF51C1"/>
    <w:rsid w:val="00CF548B"/>
    <w:rsid w:val="00CF5B47"/>
    <w:rsid w:val="00CF5B54"/>
    <w:rsid w:val="00CF5EE3"/>
    <w:rsid w:val="00CF6821"/>
    <w:rsid w:val="00CF6C01"/>
    <w:rsid w:val="00CF6EB7"/>
    <w:rsid w:val="00CF6FDD"/>
    <w:rsid w:val="00CF7105"/>
    <w:rsid w:val="00CF7271"/>
    <w:rsid w:val="00CF72A2"/>
    <w:rsid w:val="00CF7305"/>
    <w:rsid w:val="00D003E5"/>
    <w:rsid w:val="00D005E0"/>
    <w:rsid w:val="00D00AD1"/>
    <w:rsid w:val="00D00C4A"/>
    <w:rsid w:val="00D00FF7"/>
    <w:rsid w:val="00D012FF"/>
    <w:rsid w:val="00D0157B"/>
    <w:rsid w:val="00D015D7"/>
    <w:rsid w:val="00D01CC4"/>
    <w:rsid w:val="00D01E6B"/>
    <w:rsid w:val="00D03045"/>
    <w:rsid w:val="00D0354D"/>
    <w:rsid w:val="00D0439B"/>
    <w:rsid w:val="00D0497C"/>
    <w:rsid w:val="00D04E4D"/>
    <w:rsid w:val="00D04F45"/>
    <w:rsid w:val="00D04FAA"/>
    <w:rsid w:val="00D050C0"/>
    <w:rsid w:val="00D0534B"/>
    <w:rsid w:val="00D0548B"/>
    <w:rsid w:val="00D05AEE"/>
    <w:rsid w:val="00D05D6E"/>
    <w:rsid w:val="00D0648D"/>
    <w:rsid w:val="00D06DEE"/>
    <w:rsid w:val="00D06EB9"/>
    <w:rsid w:val="00D079ED"/>
    <w:rsid w:val="00D07EE6"/>
    <w:rsid w:val="00D106F8"/>
    <w:rsid w:val="00D10853"/>
    <w:rsid w:val="00D1099B"/>
    <w:rsid w:val="00D11417"/>
    <w:rsid w:val="00D1153F"/>
    <w:rsid w:val="00D11995"/>
    <w:rsid w:val="00D11CFD"/>
    <w:rsid w:val="00D12432"/>
    <w:rsid w:val="00D126CF"/>
    <w:rsid w:val="00D12AD9"/>
    <w:rsid w:val="00D1368B"/>
    <w:rsid w:val="00D13808"/>
    <w:rsid w:val="00D13E91"/>
    <w:rsid w:val="00D14317"/>
    <w:rsid w:val="00D146FE"/>
    <w:rsid w:val="00D151E1"/>
    <w:rsid w:val="00D1581E"/>
    <w:rsid w:val="00D15B75"/>
    <w:rsid w:val="00D15D19"/>
    <w:rsid w:val="00D15D93"/>
    <w:rsid w:val="00D15DA1"/>
    <w:rsid w:val="00D15EEC"/>
    <w:rsid w:val="00D162CB"/>
    <w:rsid w:val="00D1635E"/>
    <w:rsid w:val="00D16380"/>
    <w:rsid w:val="00D163FF"/>
    <w:rsid w:val="00D1643C"/>
    <w:rsid w:val="00D166B5"/>
    <w:rsid w:val="00D167D0"/>
    <w:rsid w:val="00D16E87"/>
    <w:rsid w:val="00D17211"/>
    <w:rsid w:val="00D17335"/>
    <w:rsid w:val="00D174ED"/>
    <w:rsid w:val="00D1797A"/>
    <w:rsid w:val="00D17BA1"/>
    <w:rsid w:val="00D17BF1"/>
    <w:rsid w:val="00D2079E"/>
    <w:rsid w:val="00D20EB2"/>
    <w:rsid w:val="00D21356"/>
    <w:rsid w:val="00D216EE"/>
    <w:rsid w:val="00D220B5"/>
    <w:rsid w:val="00D223EF"/>
    <w:rsid w:val="00D224CF"/>
    <w:rsid w:val="00D230C1"/>
    <w:rsid w:val="00D230FC"/>
    <w:rsid w:val="00D232D8"/>
    <w:rsid w:val="00D232DC"/>
    <w:rsid w:val="00D233CD"/>
    <w:rsid w:val="00D23500"/>
    <w:rsid w:val="00D23AD3"/>
    <w:rsid w:val="00D23FC0"/>
    <w:rsid w:val="00D23FCE"/>
    <w:rsid w:val="00D2401D"/>
    <w:rsid w:val="00D24364"/>
    <w:rsid w:val="00D24478"/>
    <w:rsid w:val="00D2469E"/>
    <w:rsid w:val="00D2649E"/>
    <w:rsid w:val="00D264D3"/>
    <w:rsid w:val="00D26E62"/>
    <w:rsid w:val="00D27201"/>
    <w:rsid w:val="00D27300"/>
    <w:rsid w:val="00D27875"/>
    <w:rsid w:val="00D307FD"/>
    <w:rsid w:val="00D30A3B"/>
    <w:rsid w:val="00D30DAC"/>
    <w:rsid w:val="00D313FB"/>
    <w:rsid w:val="00D3141B"/>
    <w:rsid w:val="00D319AB"/>
    <w:rsid w:val="00D31A8D"/>
    <w:rsid w:val="00D31E2D"/>
    <w:rsid w:val="00D321E8"/>
    <w:rsid w:val="00D325D0"/>
    <w:rsid w:val="00D328E1"/>
    <w:rsid w:val="00D329D8"/>
    <w:rsid w:val="00D32E01"/>
    <w:rsid w:val="00D33079"/>
    <w:rsid w:val="00D33975"/>
    <w:rsid w:val="00D33A8C"/>
    <w:rsid w:val="00D34057"/>
    <w:rsid w:val="00D34630"/>
    <w:rsid w:val="00D3523D"/>
    <w:rsid w:val="00D35597"/>
    <w:rsid w:val="00D35689"/>
    <w:rsid w:val="00D35D55"/>
    <w:rsid w:val="00D35E06"/>
    <w:rsid w:val="00D365FA"/>
    <w:rsid w:val="00D369BC"/>
    <w:rsid w:val="00D37093"/>
    <w:rsid w:val="00D377E8"/>
    <w:rsid w:val="00D37AAC"/>
    <w:rsid w:val="00D40425"/>
    <w:rsid w:val="00D40BC3"/>
    <w:rsid w:val="00D40D6B"/>
    <w:rsid w:val="00D4129E"/>
    <w:rsid w:val="00D418A3"/>
    <w:rsid w:val="00D41AB6"/>
    <w:rsid w:val="00D42946"/>
    <w:rsid w:val="00D42DEC"/>
    <w:rsid w:val="00D435AE"/>
    <w:rsid w:val="00D43984"/>
    <w:rsid w:val="00D44105"/>
    <w:rsid w:val="00D4459D"/>
    <w:rsid w:val="00D446B5"/>
    <w:rsid w:val="00D44AEB"/>
    <w:rsid w:val="00D4541B"/>
    <w:rsid w:val="00D45A14"/>
    <w:rsid w:val="00D45A36"/>
    <w:rsid w:val="00D4614C"/>
    <w:rsid w:val="00D46189"/>
    <w:rsid w:val="00D4648C"/>
    <w:rsid w:val="00D46BE9"/>
    <w:rsid w:val="00D46FA2"/>
    <w:rsid w:val="00D47391"/>
    <w:rsid w:val="00D47451"/>
    <w:rsid w:val="00D47947"/>
    <w:rsid w:val="00D479ED"/>
    <w:rsid w:val="00D5001E"/>
    <w:rsid w:val="00D50053"/>
    <w:rsid w:val="00D50089"/>
    <w:rsid w:val="00D504FA"/>
    <w:rsid w:val="00D50974"/>
    <w:rsid w:val="00D50F10"/>
    <w:rsid w:val="00D50F83"/>
    <w:rsid w:val="00D510F8"/>
    <w:rsid w:val="00D511A0"/>
    <w:rsid w:val="00D512D8"/>
    <w:rsid w:val="00D51610"/>
    <w:rsid w:val="00D516DF"/>
    <w:rsid w:val="00D51C73"/>
    <w:rsid w:val="00D51E13"/>
    <w:rsid w:val="00D51F07"/>
    <w:rsid w:val="00D51F15"/>
    <w:rsid w:val="00D52146"/>
    <w:rsid w:val="00D52388"/>
    <w:rsid w:val="00D524AF"/>
    <w:rsid w:val="00D52A8A"/>
    <w:rsid w:val="00D52A96"/>
    <w:rsid w:val="00D52C43"/>
    <w:rsid w:val="00D5329D"/>
    <w:rsid w:val="00D533FE"/>
    <w:rsid w:val="00D534C8"/>
    <w:rsid w:val="00D53627"/>
    <w:rsid w:val="00D5372A"/>
    <w:rsid w:val="00D53B22"/>
    <w:rsid w:val="00D54B1D"/>
    <w:rsid w:val="00D54E0F"/>
    <w:rsid w:val="00D5509F"/>
    <w:rsid w:val="00D55425"/>
    <w:rsid w:val="00D55751"/>
    <w:rsid w:val="00D5578A"/>
    <w:rsid w:val="00D55BDD"/>
    <w:rsid w:val="00D5616C"/>
    <w:rsid w:val="00D56AE7"/>
    <w:rsid w:val="00D56C00"/>
    <w:rsid w:val="00D57082"/>
    <w:rsid w:val="00D576CD"/>
    <w:rsid w:val="00D577BB"/>
    <w:rsid w:val="00D57B91"/>
    <w:rsid w:val="00D57E0C"/>
    <w:rsid w:val="00D60E67"/>
    <w:rsid w:val="00D614F6"/>
    <w:rsid w:val="00D62320"/>
    <w:rsid w:val="00D6248B"/>
    <w:rsid w:val="00D62B5D"/>
    <w:rsid w:val="00D62B75"/>
    <w:rsid w:val="00D62CFC"/>
    <w:rsid w:val="00D62DC6"/>
    <w:rsid w:val="00D62E1F"/>
    <w:rsid w:val="00D6317D"/>
    <w:rsid w:val="00D6318B"/>
    <w:rsid w:val="00D63379"/>
    <w:rsid w:val="00D635B1"/>
    <w:rsid w:val="00D639C5"/>
    <w:rsid w:val="00D63B5A"/>
    <w:rsid w:val="00D63DB5"/>
    <w:rsid w:val="00D63E14"/>
    <w:rsid w:val="00D63E3D"/>
    <w:rsid w:val="00D63F98"/>
    <w:rsid w:val="00D64155"/>
    <w:rsid w:val="00D646AF"/>
    <w:rsid w:val="00D649A1"/>
    <w:rsid w:val="00D64BEA"/>
    <w:rsid w:val="00D653B9"/>
    <w:rsid w:val="00D659DC"/>
    <w:rsid w:val="00D65C02"/>
    <w:rsid w:val="00D65CC7"/>
    <w:rsid w:val="00D65D66"/>
    <w:rsid w:val="00D65E52"/>
    <w:rsid w:val="00D6603B"/>
    <w:rsid w:val="00D661D2"/>
    <w:rsid w:val="00D66410"/>
    <w:rsid w:val="00D66550"/>
    <w:rsid w:val="00D66648"/>
    <w:rsid w:val="00D66E53"/>
    <w:rsid w:val="00D66EFB"/>
    <w:rsid w:val="00D66FDA"/>
    <w:rsid w:val="00D67292"/>
    <w:rsid w:val="00D672CB"/>
    <w:rsid w:val="00D6738A"/>
    <w:rsid w:val="00D67956"/>
    <w:rsid w:val="00D7012E"/>
    <w:rsid w:val="00D70341"/>
    <w:rsid w:val="00D70412"/>
    <w:rsid w:val="00D708C4"/>
    <w:rsid w:val="00D70C38"/>
    <w:rsid w:val="00D710E5"/>
    <w:rsid w:val="00D71197"/>
    <w:rsid w:val="00D7178C"/>
    <w:rsid w:val="00D71E69"/>
    <w:rsid w:val="00D72008"/>
    <w:rsid w:val="00D72192"/>
    <w:rsid w:val="00D72D32"/>
    <w:rsid w:val="00D731D1"/>
    <w:rsid w:val="00D73645"/>
    <w:rsid w:val="00D73AC1"/>
    <w:rsid w:val="00D73BD2"/>
    <w:rsid w:val="00D73BE7"/>
    <w:rsid w:val="00D73DF6"/>
    <w:rsid w:val="00D73EFA"/>
    <w:rsid w:val="00D73FC4"/>
    <w:rsid w:val="00D73FE8"/>
    <w:rsid w:val="00D74538"/>
    <w:rsid w:val="00D749A0"/>
    <w:rsid w:val="00D749CB"/>
    <w:rsid w:val="00D74C9E"/>
    <w:rsid w:val="00D754B7"/>
    <w:rsid w:val="00D75611"/>
    <w:rsid w:val="00D75F19"/>
    <w:rsid w:val="00D767AE"/>
    <w:rsid w:val="00D77AD8"/>
    <w:rsid w:val="00D77EEB"/>
    <w:rsid w:val="00D80184"/>
    <w:rsid w:val="00D80605"/>
    <w:rsid w:val="00D80973"/>
    <w:rsid w:val="00D80B5A"/>
    <w:rsid w:val="00D80BD8"/>
    <w:rsid w:val="00D81069"/>
    <w:rsid w:val="00D810EF"/>
    <w:rsid w:val="00D82216"/>
    <w:rsid w:val="00D8261C"/>
    <w:rsid w:val="00D82A2B"/>
    <w:rsid w:val="00D8301D"/>
    <w:rsid w:val="00D84411"/>
    <w:rsid w:val="00D8473E"/>
    <w:rsid w:val="00D84CE4"/>
    <w:rsid w:val="00D85797"/>
    <w:rsid w:val="00D86255"/>
    <w:rsid w:val="00D863D1"/>
    <w:rsid w:val="00D86464"/>
    <w:rsid w:val="00D872B7"/>
    <w:rsid w:val="00D87DCF"/>
    <w:rsid w:val="00D87F5B"/>
    <w:rsid w:val="00D90125"/>
    <w:rsid w:val="00D90299"/>
    <w:rsid w:val="00D9057B"/>
    <w:rsid w:val="00D9096B"/>
    <w:rsid w:val="00D90ED1"/>
    <w:rsid w:val="00D90FFB"/>
    <w:rsid w:val="00D91A76"/>
    <w:rsid w:val="00D91C34"/>
    <w:rsid w:val="00D91F21"/>
    <w:rsid w:val="00D925C5"/>
    <w:rsid w:val="00D9279F"/>
    <w:rsid w:val="00D92BB0"/>
    <w:rsid w:val="00D92D23"/>
    <w:rsid w:val="00D92E49"/>
    <w:rsid w:val="00D9317C"/>
    <w:rsid w:val="00D935AB"/>
    <w:rsid w:val="00D936B4"/>
    <w:rsid w:val="00D947C5"/>
    <w:rsid w:val="00D94900"/>
    <w:rsid w:val="00D94E4C"/>
    <w:rsid w:val="00D953F7"/>
    <w:rsid w:val="00D95709"/>
    <w:rsid w:val="00D958D7"/>
    <w:rsid w:val="00D95DC2"/>
    <w:rsid w:val="00D95F5C"/>
    <w:rsid w:val="00D96083"/>
    <w:rsid w:val="00D96248"/>
    <w:rsid w:val="00D96AFA"/>
    <w:rsid w:val="00D96B2B"/>
    <w:rsid w:val="00D96D46"/>
    <w:rsid w:val="00D97548"/>
    <w:rsid w:val="00D97B72"/>
    <w:rsid w:val="00D97CF6"/>
    <w:rsid w:val="00DA02F5"/>
    <w:rsid w:val="00DA0B7F"/>
    <w:rsid w:val="00DA0BBE"/>
    <w:rsid w:val="00DA11AE"/>
    <w:rsid w:val="00DA16E5"/>
    <w:rsid w:val="00DA17FF"/>
    <w:rsid w:val="00DA1A59"/>
    <w:rsid w:val="00DA1BE6"/>
    <w:rsid w:val="00DA1BE9"/>
    <w:rsid w:val="00DA1DAA"/>
    <w:rsid w:val="00DA283D"/>
    <w:rsid w:val="00DA2CA6"/>
    <w:rsid w:val="00DA3E12"/>
    <w:rsid w:val="00DA3E52"/>
    <w:rsid w:val="00DA3E70"/>
    <w:rsid w:val="00DA4141"/>
    <w:rsid w:val="00DA417B"/>
    <w:rsid w:val="00DA45BD"/>
    <w:rsid w:val="00DA4B2A"/>
    <w:rsid w:val="00DA5000"/>
    <w:rsid w:val="00DA52EB"/>
    <w:rsid w:val="00DA5CD6"/>
    <w:rsid w:val="00DA6868"/>
    <w:rsid w:val="00DA6DC2"/>
    <w:rsid w:val="00DA7044"/>
    <w:rsid w:val="00DA71A0"/>
    <w:rsid w:val="00DA774A"/>
    <w:rsid w:val="00DA7866"/>
    <w:rsid w:val="00DA7A57"/>
    <w:rsid w:val="00DA7D93"/>
    <w:rsid w:val="00DB0312"/>
    <w:rsid w:val="00DB06ED"/>
    <w:rsid w:val="00DB0ED0"/>
    <w:rsid w:val="00DB10F3"/>
    <w:rsid w:val="00DB115A"/>
    <w:rsid w:val="00DB198A"/>
    <w:rsid w:val="00DB1DCE"/>
    <w:rsid w:val="00DB1EE4"/>
    <w:rsid w:val="00DB261C"/>
    <w:rsid w:val="00DB2810"/>
    <w:rsid w:val="00DB31DB"/>
    <w:rsid w:val="00DB3213"/>
    <w:rsid w:val="00DB377E"/>
    <w:rsid w:val="00DB387C"/>
    <w:rsid w:val="00DB41A7"/>
    <w:rsid w:val="00DB42F5"/>
    <w:rsid w:val="00DB4353"/>
    <w:rsid w:val="00DB43F8"/>
    <w:rsid w:val="00DB4688"/>
    <w:rsid w:val="00DB46DA"/>
    <w:rsid w:val="00DB50AE"/>
    <w:rsid w:val="00DB5186"/>
    <w:rsid w:val="00DB5A23"/>
    <w:rsid w:val="00DB5A7F"/>
    <w:rsid w:val="00DB617A"/>
    <w:rsid w:val="00DB640B"/>
    <w:rsid w:val="00DB656B"/>
    <w:rsid w:val="00DB67AB"/>
    <w:rsid w:val="00DB6A23"/>
    <w:rsid w:val="00DB75BE"/>
    <w:rsid w:val="00DB75C4"/>
    <w:rsid w:val="00DB7945"/>
    <w:rsid w:val="00DB7CD6"/>
    <w:rsid w:val="00DB7D6B"/>
    <w:rsid w:val="00DC00C2"/>
    <w:rsid w:val="00DC01DD"/>
    <w:rsid w:val="00DC02A7"/>
    <w:rsid w:val="00DC13DF"/>
    <w:rsid w:val="00DC18F5"/>
    <w:rsid w:val="00DC198F"/>
    <w:rsid w:val="00DC29D6"/>
    <w:rsid w:val="00DC2DA2"/>
    <w:rsid w:val="00DC2E62"/>
    <w:rsid w:val="00DC2F60"/>
    <w:rsid w:val="00DC2FFF"/>
    <w:rsid w:val="00DC3149"/>
    <w:rsid w:val="00DC317B"/>
    <w:rsid w:val="00DC320D"/>
    <w:rsid w:val="00DC3328"/>
    <w:rsid w:val="00DC3FB4"/>
    <w:rsid w:val="00DC3FCB"/>
    <w:rsid w:val="00DC430F"/>
    <w:rsid w:val="00DC43B0"/>
    <w:rsid w:val="00DC478C"/>
    <w:rsid w:val="00DC47BF"/>
    <w:rsid w:val="00DC4CEC"/>
    <w:rsid w:val="00DC5F0A"/>
    <w:rsid w:val="00DC6348"/>
    <w:rsid w:val="00DC6447"/>
    <w:rsid w:val="00DC6D0D"/>
    <w:rsid w:val="00DC6F43"/>
    <w:rsid w:val="00DC7686"/>
    <w:rsid w:val="00DD06D7"/>
    <w:rsid w:val="00DD086B"/>
    <w:rsid w:val="00DD0C80"/>
    <w:rsid w:val="00DD1091"/>
    <w:rsid w:val="00DD145B"/>
    <w:rsid w:val="00DD1ACD"/>
    <w:rsid w:val="00DD2409"/>
    <w:rsid w:val="00DD2798"/>
    <w:rsid w:val="00DD2A6B"/>
    <w:rsid w:val="00DD2DB6"/>
    <w:rsid w:val="00DD2FB3"/>
    <w:rsid w:val="00DD3217"/>
    <w:rsid w:val="00DD3A79"/>
    <w:rsid w:val="00DD3CF3"/>
    <w:rsid w:val="00DD3E4D"/>
    <w:rsid w:val="00DD4174"/>
    <w:rsid w:val="00DD418A"/>
    <w:rsid w:val="00DD452E"/>
    <w:rsid w:val="00DD45CC"/>
    <w:rsid w:val="00DD46EE"/>
    <w:rsid w:val="00DD4929"/>
    <w:rsid w:val="00DD4EA1"/>
    <w:rsid w:val="00DD592B"/>
    <w:rsid w:val="00DD5A5B"/>
    <w:rsid w:val="00DD6998"/>
    <w:rsid w:val="00DD6F84"/>
    <w:rsid w:val="00DD720F"/>
    <w:rsid w:val="00DD7217"/>
    <w:rsid w:val="00DD7C32"/>
    <w:rsid w:val="00DD7D9D"/>
    <w:rsid w:val="00DE00A7"/>
    <w:rsid w:val="00DE0A7D"/>
    <w:rsid w:val="00DE0DC9"/>
    <w:rsid w:val="00DE1044"/>
    <w:rsid w:val="00DE12EF"/>
    <w:rsid w:val="00DE19AA"/>
    <w:rsid w:val="00DE1BFE"/>
    <w:rsid w:val="00DE2156"/>
    <w:rsid w:val="00DE3220"/>
    <w:rsid w:val="00DE367F"/>
    <w:rsid w:val="00DE3E2A"/>
    <w:rsid w:val="00DE4014"/>
    <w:rsid w:val="00DE4973"/>
    <w:rsid w:val="00DE4E12"/>
    <w:rsid w:val="00DE4F7F"/>
    <w:rsid w:val="00DE53D0"/>
    <w:rsid w:val="00DE5469"/>
    <w:rsid w:val="00DE54CA"/>
    <w:rsid w:val="00DE5D83"/>
    <w:rsid w:val="00DE5E44"/>
    <w:rsid w:val="00DE6EC6"/>
    <w:rsid w:val="00DE704F"/>
    <w:rsid w:val="00DE7605"/>
    <w:rsid w:val="00DE7DBA"/>
    <w:rsid w:val="00DE7FB5"/>
    <w:rsid w:val="00DF02A0"/>
    <w:rsid w:val="00DF04DF"/>
    <w:rsid w:val="00DF0953"/>
    <w:rsid w:val="00DF1273"/>
    <w:rsid w:val="00DF1471"/>
    <w:rsid w:val="00DF322D"/>
    <w:rsid w:val="00DF354D"/>
    <w:rsid w:val="00DF3B05"/>
    <w:rsid w:val="00DF44BC"/>
    <w:rsid w:val="00DF46D2"/>
    <w:rsid w:val="00DF46F0"/>
    <w:rsid w:val="00DF47D6"/>
    <w:rsid w:val="00DF4C68"/>
    <w:rsid w:val="00DF4D9D"/>
    <w:rsid w:val="00DF4F63"/>
    <w:rsid w:val="00DF5115"/>
    <w:rsid w:val="00DF5209"/>
    <w:rsid w:val="00DF5300"/>
    <w:rsid w:val="00DF571D"/>
    <w:rsid w:val="00DF5724"/>
    <w:rsid w:val="00DF6443"/>
    <w:rsid w:val="00DF649D"/>
    <w:rsid w:val="00DF64D4"/>
    <w:rsid w:val="00DF6D56"/>
    <w:rsid w:val="00DF7103"/>
    <w:rsid w:val="00DF7FFB"/>
    <w:rsid w:val="00E0034E"/>
    <w:rsid w:val="00E00733"/>
    <w:rsid w:val="00E00948"/>
    <w:rsid w:val="00E00C13"/>
    <w:rsid w:val="00E00C41"/>
    <w:rsid w:val="00E00C46"/>
    <w:rsid w:val="00E00F33"/>
    <w:rsid w:val="00E01D40"/>
    <w:rsid w:val="00E024F6"/>
    <w:rsid w:val="00E0287E"/>
    <w:rsid w:val="00E02D84"/>
    <w:rsid w:val="00E037FD"/>
    <w:rsid w:val="00E040AB"/>
    <w:rsid w:val="00E04271"/>
    <w:rsid w:val="00E04F0C"/>
    <w:rsid w:val="00E04F96"/>
    <w:rsid w:val="00E053BA"/>
    <w:rsid w:val="00E05420"/>
    <w:rsid w:val="00E0562D"/>
    <w:rsid w:val="00E05C05"/>
    <w:rsid w:val="00E0606D"/>
    <w:rsid w:val="00E06510"/>
    <w:rsid w:val="00E0676D"/>
    <w:rsid w:val="00E06BD4"/>
    <w:rsid w:val="00E06FE5"/>
    <w:rsid w:val="00E072B0"/>
    <w:rsid w:val="00E07619"/>
    <w:rsid w:val="00E07C90"/>
    <w:rsid w:val="00E105B2"/>
    <w:rsid w:val="00E107D7"/>
    <w:rsid w:val="00E111E7"/>
    <w:rsid w:val="00E111F8"/>
    <w:rsid w:val="00E11DB5"/>
    <w:rsid w:val="00E12041"/>
    <w:rsid w:val="00E12618"/>
    <w:rsid w:val="00E1288F"/>
    <w:rsid w:val="00E128D7"/>
    <w:rsid w:val="00E129DF"/>
    <w:rsid w:val="00E12B5D"/>
    <w:rsid w:val="00E12C2E"/>
    <w:rsid w:val="00E13435"/>
    <w:rsid w:val="00E13A9C"/>
    <w:rsid w:val="00E13F23"/>
    <w:rsid w:val="00E143D4"/>
    <w:rsid w:val="00E14773"/>
    <w:rsid w:val="00E14E75"/>
    <w:rsid w:val="00E14EC6"/>
    <w:rsid w:val="00E14F2C"/>
    <w:rsid w:val="00E1521D"/>
    <w:rsid w:val="00E154D2"/>
    <w:rsid w:val="00E155E5"/>
    <w:rsid w:val="00E16633"/>
    <w:rsid w:val="00E16C08"/>
    <w:rsid w:val="00E16E19"/>
    <w:rsid w:val="00E1752F"/>
    <w:rsid w:val="00E1769F"/>
    <w:rsid w:val="00E17723"/>
    <w:rsid w:val="00E17930"/>
    <w:rsid w:val="00E20164"/>
    <w:rsid w:val="00E21173"/>
    <w:rsid w:val="00E2136F"/>
    <w:rsid w:val="00E21AA6"/>
    <w:rsid w:val="00E223DC"/>
    <w:rsid w:val="00E229FC"/>
    <w:rsid w:val="00E2304B"/>
    <w:rsid w:val="00E2320D"/>
    <w:rsid w:val="00E23447"/>
    <w:rsid w:val="00E234E0"/>
    <w:rsid w:val="00E23F6C"/>
    <w:rsid w:val="00E23FBF"/>
    <w:rsid w:val="00E24712"/>
    <w:rsid w:val="00E24A35"/>
    <w:rsid w:val="00E24B3E"/>
    <w:rsid w:val="00E24B61"/>
    <w:rsid w:val="00E24E2E"/>
    <w:rsid w:val="00E2501A"/>
    <w:rsid w:val="00E2523E"/>
    <w:rsid w:val="00E25549"/>
    <w:rsid w:val="00E2575D"/>
    <w:rsid w:val="00E25CC3"/>
    <w:rsid w:val="00E25ECA"/>
    <w:rsid w:val="00E264B9"/>
    <w:rsid w:val="00E267F0"/>
    <w:rsid w:val="00E26859"/>
    <w:rsid w:val="00E26DB9"/>
    <w:rsid w:val="00E26E41"/>
    <w:rsid w:val="00E26EF2"/>
    <w:rsid w:val="00E273D5"/>
    <w:rsid w:val="00E27441"/>
    <w:rsid w:val="00E274C1"/>
    <w:rsid w:val="00E277E0"/>
    <w:rsid w:val="00E27BC8"/>
    <w:rsid w:val="00E30920"/>
    <w:rsid w:val="00E309C7"/>
    <w:rsid w:val="00E30A90"/>
    <w:rsid w:val="00E30C8A"/>
    <w:rsid w:val="00E30D47"/>
    <w:rsid w:val="00E30F4F"/>
    <w:rsid w:val="00E31008"/>
    <w:rsid w:val="00E31068"/>
    <w:rsid w:val="00E3123A"/>
    <w:rsid w:val="00E312E5"/>
    <w:rsid w:val="00E31699"/>
    <w:rsid w:val="00E31B79"/>
    <w:rsid w:val="00E31CB7"/>
    <w:rsid w:val="00E320A8"/>
    <w:rsid w:val="00E32715"/>
    <w:rsid w:val="00E32844"/>
    <w:rsid w:val="00E32C72"/>
    <w:rsid w:val="00E32D36"/>
    <w:rsid w:val="00E32D82"/>
    <w:rsid w:val="00E32E13"/>
    <w:rsid w:val="00E32E22"/>
    <w:rsid w:val="00E3314E"/>
    <w:rsid w:val="00E33184"/>
    <w:rsid w:val="00E334B8"/>
    <w:rsid w:val="00E335BC"/>
    <w:rsid w:val="00E33C3F"/>
    <w:rsid w:val="00E33C76"/>
    <w:rsid w:val="00E34523"/>
    <w:rsid w:val="00E34B17"/>
    <w:rsid w:val="00E35105"/>
    <w:rsid w:val="00E3511E"/>
    <w:rsid w:val="00E35FC8"/>
    <w:rsid w:val="00E36754"/>
    <w:rsid w:val="00E36B5F"/>
    <w:rsid w:val="00E36F8A"/>
    <w:rsid w:val="00E37035"/>
    <w:rsid w:val="00E37394"/>
    <w:rsid w:val="00E37482"/>
    <w:rsid w:val="00E374E7"/>
    <w:rsid w:val="00E37A6A"/>
    <w:rsid w:val="00E37CC3"/>
    <w:rsid w:val="00E40479"/>
    <w:rsid w:val="00E405ED"/>
    <w:rsid w:val="00E408F2"/>
    <w:rsid w:val="00E40A1D"/>
    <w:rsid w:val="00E40B38"/>
    <w:rsid w:val="00E40FB5"/>
    <w:rsid w:val="00E41233"/>
    <w:rsid w:val="00E41685"/>
    <w:rsid w:val="00E41884"/>
    <w:rsid w:val="00E4192C"/>
    <w:rsid w:val="00E41DF6"/>
    <w:rsid w:val="00E420CB"/>
    <w:rsid w:val="00E4250F"/>
    <w:rsid w:val="00E4281D"/>
    <w:rsid w:val="00E42BB9"/>
    <w:rsid w:val="00E42FB9"/>
    <w:rsid w:val="00E44142"/>
    <w:rsid w:val="00E44577"/>
    <w:rsid w:val="00E446FD"/>
    <w:rsid w:val="00E451B6"/>
    <w:rsid w:val="00E454AD"/>
    <w:rsid w:val="00E455C8"/>
    <w:rsid w:val="00E458B2"/>
    <w:rsid w:val="00E45E3E"/>
    <w:rsid w:val="00E46089"/>
    <w:rsid w:val="00E4671A"/>
    <w:rsid w:val="00E46CC2"/>
    <w:rsid w:val="00E46EF6"/>
    <w:rsid w:val="00E47016"/>
    <w:rsid w:val="00E471F9"/>
    <w:rsid w:val="00E474DE"/>
    <w:rsid w:val="00E477C2"/>
    <w:rsid w:val="00E47828"/>
    <w:rsid w:val="00E47920"/>
    <w:rsid w:val="00E5019C"/>
    <w:rsid w:val="00E51087"/>
    <w:rsid w:val="00E51311"/>
    <w:rsid w:val="00E51848"/>
    <w:rsid w:val="00E51D11"/>
    <w:rsid w:val="00E52056"/>
    <w:rsid w:val="00E52222"/>
    <w:rsid w:val="00E522E3"/>
    <w:rsid w:val="00E52725"/>
    <w:rsid w:val="00E52841"/>
    <w:rsid w:val="00E52FF6"/>
    <w:rsid w:val="00E530E1"/>
    <w:rsid w:val="00E532BD"/>
    <w:rsid w:val="00E53412"/>
    <w:rsid w:val="00E53D9D"/>
    <w:rsid w:val="00E53F98"/>
    <w:rsid w:val="00E540FF"/>
    <w:rsid w:val="00E54446"/>
    <w:rsid w:val="00E54704"/>
    <w:rsid w:val="00E55623"/>
    <w:rsid w:val="00E55753"/>
    <w:rsid w:val="00E55CB7"/>
    <w:rsid w:val="00E55DC8"/>
    <w:rsid w:val="00E55DFE"/>
    <w:rsid w:val="00E56479"/>
    <w:rsid w:val="00E567C7"/>
    <w:rsid w:val="00E56821"/>
    <w:rsid w:val="00E569DE"/>
    <w:rsid w:val="00E56DF6"/>
    <w:rsid w:val="00E56F73"/>
    <w:rsid w:val="00E57111"/>
    <w:rsid w:val="00E574A7"/>
    <w:rsid w:val="00E577CB"/>
    <w:rsid w:val="00E57BEF"/>
    <w:rsid w:val="00E6019E"/>
    <w:rsid w:val="00E603AF"/>
    <w:rsid w:val="00E604FA"/>
    <w:rsid w:val="00E606F4"/>
    <w:rsid w:val="00E60FAB"/>
    <w:rsid w:val="00E6133F"/>
    <w:rsid w:val="00E615BD"/>
    <w:rsid w:val="00E61F48"/>
    <w:rsid w:val="00E620F8"/>
    <w:rsid w:val="00E62433"/>
    <w:rsid w:val="00E625AF"/>
    <w:rsid w:val="00E62A1B"/>
    <w:rsid w:val="00E62A47"/>
    <w:rsid w:val="00E62B98"/>
    <w:rsid w:val="00E62C01"/>
    <w:rsid w:val="00E62CAF"/>
    <w:rsid w:val="00E62F16"/>
    <w:rsid w:val="00E62F66"/>
    <w:rsid w:val="00E631E5"/>
    <w:rsid w:val="00E6329E"/>
    <w:rsid w:val="00E6390E"/>
    <w:rsid w:val="00E63980"/>
    <w:rsid w:val="00E63D56"/>
    <w:rsid w:val="00E63DD4"/>
    <w:rsid w:val="00E64FA9"/>
    <w:rsid w:val="00E65018"/>
    <w:rsid w:val="00E653D9"/>
    <w:rsid w:val="00E65948"/>
    <w:rsid w:val="00E659F9"/>
    <w:rsid w:val="00E66387"/>
    <w:rsid w:val="00E664A4"/>
    <w:rsid w:val="00E66BBD"/>
    <w:rsid w:val="00E66CF4"/>
    <w:rsid w:val="00E66EAB"/>
    <w:rsid w:val="00E670E6"/>
    <w:rsid w:val="00E67339"/>
    <w:rsid w:val="00E6734C"/>
    <w:rsid w:val="00E67560"/>
    <w:rsid w:val="00E67B4D"/>
    <w:rsid w:val="00E67B50"/>
    <w:rsid w:val="00E67EF0"/>
    <w:rsid w:val="00E705EE"/>
    <w:rsid w:val="00E70B72"/>
    <w:rsid w:val="00E70C4F"/>
    <w:rsid w:val="00E70E52"/>
    <w:rsid w:val="00E70FDA"/>
    <w:rsid w:val="00E7132D"/>
    <w:rsid w:val="00E713BF"/>
    <w:rsid w:val="00E71AA4"/>
    <w:rsid w:val="00E71BDD"/>
    <w:rsid w:val="00E71F04"/>
    <w:rsid w:val="00E721F6"/>
    <w:rsid w:val="00E722A2"/>
    <w:rsid w:val="00E72681"/>
    <w:rsid w:val="00E729B9"/>
    <w:rsid w:val="00E72A0F"/>
    <w:rsid w:val="00E730FA"/>
    <w:rsid w:val="00E730FF"/>
    <w:rsid w:val="00E742E4"/>
    <w:rsid w:val="00E7464A"/>
    <w:rsid w:val="00E746A4"/>
    <w:rsid w:val="00E74A37"/>
    <w:rsid w:val="00E74F8A"/>
    <w:rsid w:val="00E752A9"/>
    <w:rsid w:val="00E75529"/>
    <w:rsid w:val="00E75D96"/>
    <w:rsid w:val="00E75DC3"/>
    <w:rsid w:val="00E76B6E"/>
    <w:rsid w:val="00E76D6E"/>
    <w:rsid w:val="00E76DCC"/>
    <w:rsid w:val="00E7757E"/>
    <w:rsid w:val="00E7789E"/>
    <w:rsid w:val="00E77A75"/>
    <w:rsid w:val="00E77B23"/>
    <w:rsid w:val="00E77B96"/>
    <w:rsid w:val="00E77C14"/>
    <w:rsid w:val="00E77D56"/>
    <w:rsid w:val="00E80364"/>
    <w:rsid w:val="00E80511"/>
    <w:rsid w:val="00E80C27"/>
    <w:rsid w:val="00E8108F"/>
    <w:rsid w:val="00E81C1A"/>
    <w:rsid w:val="00E81C1F"/>
    <w:rsid w:val="00E822F5"/>
    <w:rsid w:val="00E82AA4"/>
    <w:rsid w:val="00E82F03"/>
    <w:rsid w:val="00E832CF"/>
    <w:rsid w:val="00E83C04"/>
    <w:rsid w:val="00E83F2F"/>
    <w:rsid w:val="00E843F7"/>
    <w:rsid w:val="00E846F7"/>
    <w:rsid w:val="00E84FD5"/>
    <w:rsid w:val="00E850D4"/>
    <w:rsid w:val="00E8513F"/>
    <w:rsid w:val="00E8551B"/>
    <w:rsid w:val="00E85DE8"/>
    <w:rsid w:val="00E86E7A"/>
    <w:rsid w:val="00E87263"/>
    <w:rsid w:val="00E8727C"/>
    <w:rsid w:val="00E878A3"/>
    <w:rsid w:val="00E900A4"/>
    <w:rsid w:val="00E902E8"/>
    <w:rsid w:val="00E9033D"/>
    <w:rsid w:val="00E9041B"/>
    <w:rsid w:val="00E9076C"/>
    <w:rsid w:val="00E90F41"/>
    <w:rsid w:val="00E91398"/>
    <w:rsid w:val="00E9159F"/>
    <w:rsid w:val="00E91768"/>
    <w:rsid w:val="00E91897"/>
    <w:rsid w:val="00E91BF4"/>
    <w:rsid w:val="00E91E02"/>
    <w:rsid w:val="00E92398"/>
    <w:rsid w:val="00E924C1"/>
    <w:rsid w:val="00E92777"/>
    <w:rsid w:val="00E92A74"/>
    <w:rsid w:val="00E92CBF"/>
    <w:rsid w:val="00E92E0A"/>
    <w:rsid w:val="00E935F5"/>
    <w:rsid w:val="00E9381C"/>
    <w:rsid w:val="00E93CFD"/>
    <w:rsid w:val="00E93DA6"/>
    <w:rsid w:val="00E943B7"/>
    <w:rsid w:val="00E94584"/>
    <w:rsid w:val="00E94D45"/>
    <w:rsid w:val="00E94EC8"/>
    <w:rsid w:val="00E95C26"/>
    <w:rsid w:val="00E95CEA"/>
    <w:rsid w:val="00E95D53"/>
    <w:rsid w:val="00E962EC"/>
    <w:rsid w:val="00E963CD"/>
    <w:rsid w:val="00E966B1"/>
    <w:rsid w:val="00E967F1"/>
    <w:rsid w:val="00E96F37"/>
    <w:rsid w:val="00E976D8"/>
    <w:rsid w:val="00E97FE2"/>
    <w:rsid w:val="00EA08E8"/>
    <w:rsid w:val="00EA0F7E"/>
    <w:rsid w:val="00EA13BF"/>
    <w:rsid w:val="00EA1457"/>
    <w:rsid w:val="00EA1903"/>
    <w:rsid w:val="00EA19A5"/>
    <w:rsid w:val="00EA1A5A"/>
    <w:rsid w:val="00EA1B3C"/>
    <w:rsid w:val="00EA24AE"/>
    <w:rsid w:val="00EA258D"/>
    <w:rsid w:val="00EA28DA"/>
    <w:rsid w:val="00EA2A87"/>
    <w:rsid w:val="00EA2FC0"/>
    <w:rsid w:val="00EA3085"/>
    <w:rsid w:val="00EA3446"/>
    <w:rsid w:val="00EA3CD8"/>
    <w:rsid w:val="00EA3F5C"/>
    <w:rsid w:val="00EA4397"/>
    <w:rsid w:val="00EA4816"/>
    <w:rsid w:val="00EA48E1"/>
    <w:rsid w:val="00EA499D"/>
    <w:rsid w:val="00EA4E8E"/>
    <w:rsid w:val="00EA4F02"/>
    <w:rsid w:val="00EA4FFF"/>
    <w:rsid w:val="00EA5245"/>
    <w:rsid w:val="00EA537D"/>
    <w:rsid w:val="00EA53F7"/>
    <w:rsid w:val="00EA54AD"/>
    <w:rsid w:val="00EA58A0"/>
    <w:rsid w:val="00EA5AE3"/>
    <w:rsid w:val="00EA5C8C"/>
    <w:rsid w:val="00EA5ECB"/>
    <w:rsid w:val="00EA5F70"/>
    <w:rsid w:val="00EA62F8"/>
    <w:rsid w:val="00EA6AA1"/>
    <w:rsid w:val="00EA6B56"/>
    <w:rsid w:val="00EA6D49"/>
    <w:rsid w:val="00EA73DC"/>
    <w:rsid w:val="00EA7D0C"/>
    <w:rsid w:val="00EA7F0B"/>
    <w:rsid w:val="00EB0CCF"/>
    <w:rsid w:val="00EB0DA5"/>
    <w:rsid w:val="00EB0DAE"/>
    <w:rsid w:val="00EB114C"/>
    <w:rsid w:val="00EB1720"/>
    <w:rsid w:val="00EB18C0"/>
    <w:rsid w:val="00EB1A28"/>
    <w:rsid w:val="00EB1B2E"/>
    <w:rsid w:val="00EB20F4"/>
    <w:rsid w:val="00EB2329"/>
    <w:rsid w:val="00EB2447"/>
    <w:rsid w:val="00EB2490"/>
    <w:rsid w:val="00EB2737"/>
    <w:rsid w:val="00EB2952"/>
    <w:rsid w:val="00EB3F05"/>
    <w:rsid w:val="00EB4207"/>
    <w:rsid w:val="00EB4FDF"/>
    <w:rsid w:val="00EB506D"/>
    <w:rsid w:val="00EB53CC"/>
    <w:rsid w:val="00EB56C4"/>
    <w:rsid w:val="00EB5955"/>
    <w:rsid w:val="00EB626F"/>
    <w:rsid w:val="00EB6662"/>
    <w:rsid w:val="00EB66B4"/>
    <w:rsid w:val="00EB6903"/>
    <w:rsid w:val="00EB6B3E"/>
    <w:rsid w:val="00EB6E71"/>
    <w:rsid w:val="00EB6F12"/>
    <w:rsid w:val="00EB6FF7"/>
    <w:rsid w:val="00EB7749"/>
    <w:rsid w:val="00EC05E1"/>
    <w:rsid w:val="00EC07BA"/>
    <w:rsid w:val="00EC08E4"/>
    <w:rsid w:val="00EC1003"/>
    <w:rsid w:val="00EC1186"/>
    <w:rsid w:val="00EC184E"/>
    <w:rsid w:val="00EC1D37"/>
    <w:rsid w:val="00EC20F4"/>
    <w:rsid w:val="00EC23D8"/>
    <w:rsid w:val="00EC25BB"/>
    <w:rsid w:val="00EC2FAC"/>
    <w:rsid w:val="00EC3785"/>
    <w:rsid w:val="00EC3B28"/>
    <w:rsid w:val="00EC3B2D"/>
    <w:rsid w:val="00EC3E5A"/>
    <w:rsid w:val="00EC40EB"/>
    <w:rsid w:val="00EC453E"/>
    <w:rsid w:val="00EC458A"/>
    <w:rsid w:val="00EC485C"/>
    <w:rsid w:val="00EC4DE4"/>
    <w:rsid w:val="00EC51A1"/>
    <w:rsid w:val="00EC531B"/>
    <w:rsid w:val="00EC5B57"/>
    <w:rsid w:val="00EC6178"/>
    <w:rsid w:val="00EC6288"/>
    <w:rsid w:val="00EC6320"/>
    <w:rsid w:val="00EC65DD"/>
    <w:rsid w:val="00EC6A56"/>
    <w:rsid w:val="00EC7166"/>
    <w:rsid w:val="00EC75D3"/>
    <w:rsid w:val="00EC7E78"/>
    <w:rsid w:val="00ED06AD"/>
    <w:rsid w:val="00ED0BED"/>
    <w:rsid w:val="00ED1232"/>
    <w:rsid w:val="00ED1794"/>
    <w:rsid w:val="00ED1A7F"/>
    <w:rsid w:val="00ED1C5D"/>
    <w:rsid w:val="00ED20BB"/>
    <w:rsid w:val="00ED22C5"/>
    <w:rsid w:val="00ED291F"/>
    <w:rsid w:val="00ED2CB0"/>
    <w:rsid w:val="00ED307B"/>
    <w:rsid w:val="00ED3503"/>
    <w:rsid w:val="00ED40E1"/>
    <w:rsid w:val="00ED4A2E"/>
    <w:rsid w:val="00ED4B4F"/>
    <w:rsid w:val="00ED4DFC"/>
    <w:rsid w:val="00ED4E42"/>
    <w:rsid w:val="00ED54D7"/>
    <w:rsid w:val="00ED5E54"/>
    <w:rsid w:val="00ED69D8"/>
    <w:rsid w:val="00ED6CFE"/>
    <w:rsid w:val="00ED7786"/>
    <w:rsid w:val="00ED7EA9"/>
    <w:rsid w:val="00EE00E5"/>
    <w:rsid w:val="00EE014A"/>
    <w:rsid w:val="00EE0B31"/>
    <w:rsid w:val="00EE1E9C"/>
    <w:rsid w:val="00EE200B"/>
    <w:rsid w:val="00EE2083"/>
    <w:rsid w:val="00EE20A8"/>
    <w:rsid w:val="00EE226D"/>
    <w:rsid w:val="00EE23BC"/>
    <w:rsid w:val="00EE24E1"/>
    <w:rsid w:val="00EE25D9"/>
    <w:rsid w:val="00EE2876"/>
    <w:rsid w:val="00EE3458"/>
    <w:rsid w:val="00EE36D8"/>
    <w:rsid w:val="00EE37BA"/>
    <w:rsid w:val="00EE3E87"/>
    <w:rsid w:val="00EE433B"/>
    <w:rsid w:val="00EE434D"/>
    <w:rsid w:val="00EE46D0"/>
    <w:rsid w:val="00EE476D"/>
    <w:rsid w:val="00EE49A6"/>
    <w:rsid w:val="00EE4C73"/>
    <w:rsid w:val="00EE4F2E"/>
    <w:rsid w:val="00EE54C6"/>
    <w:rsid w:val="00EE5562"/>
    <w:rsid w:val="00EE59FC"/>
    <w:rsid w:val="00EE5ACC"/>
    <w:rsid w:val="00EE5C23"/>
    <w:rsid w:val="00EE6462"/>
    <w:rsid w:val="00EE67FE"/>
    <w:rsid w:val="00EE6BDD"/>
    <w:rsid w:val="00EE703E"/>
    <w:rsid w:val="00EE7105"/>
    <w:rsid w:val="00EE76F0"/>
    <w:rsid w:val="00EE795F"/>
    <w:rsid w:val="00EE7B1C"/>
    <w:rsid w:val="00EF02BD"/>
    <w:rsid w:val="00EF070A"/>
    <w:rsid w:val="00EF0965"/>
    <w:rsid w:val="00EF0986"/>
    <w:rsid w:val="00EF123E"/>
    <w:rsid w:val="00EF1350"/>
    <w:rsid w:val="00EF13A5"/>
    <w:rsid w:val="00EF17B9"/>
    <w:rsid w:val="00EF18DA"/>
    <w:rsid w:val="00EF1EB9"/>
    <w:rsid w:val="00EF2028"/>
    <w:rsid w:val="00EF274D"/>
    <w:rsid w:val="00EF2A0D"/>
    <w:rsid w:val="00EF3436"/>
    <w:rsid w:val="00EF34F6"/>
    <w:rsid w:val="00EF355D"/>
    <w:rsid w:val="00EF3725"/>
    <w:rsid w:val="00EF37B5"/>
    <w:rsid w:val="00EF388A"/>
    <w:rsid w:val="00EF3B9C"/>
    <w:rsid w:val="00EF3CFD"/>
    <w:rsid w:val="00EF3D14"/>
    <w:rsid w:val="00EF3EEE"/>
    <w:rsid w:val="00EF3F88"/>
    <w:rsid w:val="00EF499A"/>
    <w:rsid w:val="00EF4E97"/>
    <w:rsid w:val="00EF58E5"/>
    <w:rsid w:val="00EF61FC"/>
    <w:rsid w:val="00EF7388"/>
    <w:rsid w:val="00EF75A6"/>
    <w:rsid w:val="00EF76F8"/>
    <w:rsid w:val="00EF795C"/>
    <w:rsid w:val="00EF7C48"/>
    <w:rsid w:val="00F00315"/>
    <w:rsid w:val="00F0045E"/>
    <w:rsid w:val="00F006D2"/>
    <w:rsid w:val="00F00724"/>
    <w:rsid w:val="00F00774"/>
    <w:rsid w:val="00F0081B"/>
    <w:rsid w:val="00F00A70"/>
    <w:rsid w:val="00F00B7A"/>
    <w:rsid w:val="00F01298"/>
    <w:rsid w:val="00F012A0"/>
    <w:rsid w:val="00F01968"/>
    <w:rsid w:val="00F01B3E"/>
    <w:rsid w:val="00F01F95"/>
    <w:rsid w:val="00F0256E"/>
    <w:rsid w:val="00F030DD"/>
    <w:rsid w:val="00F03408"/>
    <w:rsid w:val="00F03681"/>
    <w:rsid w:val="00F03E2F"/>
    <w:rsid w:val="00F04555"/>
    <w:rsid w:val="00F04731"/>
    <w:rsid w:val="00F0481B"/>
    <w:rsid w:val="00F04D9B"/>
    <w:rsid w:val="00F05533"/>
    <w:rsid w:val="00F0588E"/>
    <w:rsid w:val="00F05AB2"/>
    <w:rsid w:val="00F05AB5"/>
    <w:rsid w:val="00F05BC9"/>
    <w:rsid w:val="00F0608B"/>
    <w:rsid w:val="00F0659C"/>
    <w:rsid w:val="00F065FA"/>
    <w:rsid w:val="00F06776"/>
    <w:rsid w:val="00F06CDD"/>
    <w:rsid w:val="00F06D5D"/>
    <w:rsid w:val="00F103ED"/>
    <w:rsid w:val="00F10A31"/>
    <w:rsid w:val="00F1139F"/>
    <w:rsid w:val="00F113DC"/>
    <w:rsid w:val="00F11629"/>
    <w:rsid w:val="00F116E1"/>
    <w:rsid w:val="00F11AA5"/>
    <w:rsid w:val="00F11E55"/>
    <w:rsid w:val="00F11F89"/>
    <w:rsid w:val="00F1210C"/>
    <w:rsid w:val="00F128DE"/>
    <w:rsid w:val="00F129A2"/>
    <w:rsid w:val="00F12AF2"/>
    <w:rsid w:val="00F12B5D"/>
    <w:rsid w:val="00F12DF4"/>
    <w:rsid w:val="00F13400"/>
    <w:rsid w:val="00F13708"/>
    <w:rsid w:val="00F1411B"/>
    <w:rsid w:val="00F148AE"/>
    <w:rsid w:val="00F149A9"/>
    <w:rsid w:val="00F14C07"/>
    <w:rsid w:val="00F14C0C"/>
    <w:rsid w:val="00F14CD6"/>
    <w:rsid w:val="00F14CF7"/>
    <w:rsid w:val="00F14EB1"/>
    <w:rsid w:val="00F154D7"/>
    <w:rsid w:val="00F1585C"/>
    <w:rsid w:val="00F15CEA"/>
    <w:rsid w:val="00F15FFE"/>
    <w:rsid w:val="00F16901"/>
    <w:rsid w:val="00F16B69"/>
    <w:rsid w:val="00F16FA4"/>
    <w:rsid w:val="00F17085"/>
    <w:rsid w:val="00F170D8"/>
    <w:rsid w:val="00F17267"/>
    <w:rsid w:val="00F20697"/>
    <w:rsid w:val="00F20B66"/>
    <w:rsid w:val="00F20C05"/>
    <w:rsid w:val="00F20DA4"/>
    <w:rsid w:val="00F211C9"/>
    <w:rsid w:val="00F21448"/>
    <w:rsid w:val="00F215D1"/>
    <w:rsid w:val="00F21C0B"/>
    <w:rsid w:val="00F21DC0"/>
    <w:rsid w:val="00F2210C"/>
    <w:rsid w:val="00F22C32"/>
    <w:rsid w:val="00F22F2A"/>
    <w:rsid w:val="00F23087"/>
    <w:rsid w:val="00F231FB"/>
    <w:rsid w:val="00F2407D"/>
    <w:rsid w:val="00F243C4"/>
    <w:rsid w:val="00F243FF"/>
    <w:rsid w:val="00F24FF2"/>
    <w:rsid w:val="00F2515E"/>
    <w:rsid w:val="00F25199"/>
    <w:rsid w:val="00F251C3"/>
    <w:rsid w:val="00F254D8"/>
    <w:rsid w:val="00F25953"/>
    <w:rsid w:val="00F2595D"/>
    <w:rsid w:val="00F25CD3"/>
    <w:rsid w:val="00F268BF"/>
    <w:rsid w:val="00F26A46"/>
    <w:rsid w:val="00F26F86"/>
    <w:rsid w:val="00F2780A"/>
    <w:rsid w:val="00F30186"/>
    <w:rsid w:val="00F304A4"/>
    <w:rsid w:val="00F30B28"/>
    <w:rsid w:val="00F314EF"/>
    <w:rsid w:val="00F3167E"/>
    <w:rsid w:val="00F320E3"/>
    <w:rsid w:val="00F3265E"/>
    <w:rsid w:val="00F332B2"/>
    <w:rsid w:val="00F33C57"/>
    <w:rsid w:val="00F33DD2"/>
    <w:rsid w:val="00F33E94"/>
    <w:rsid w:val="00F33F0D"/>
    <w:rsid w:val="00F33F1A"/>
    <w:rsid w:val="00F34D2E"/>
    <w:rsid w:val="00F350BF"/>
    <w:rsid w:val="00F352BD"/>
    <w:rsid w:val="00F357B7"/>
    <w:rsid w:val="00F357CE"/>
    <w:rsid w:val="00F3589E"/>
    <w:rsid w:val="00F35DAE"/>
    <w:rsid w:val="00F35E2B"/>
    <w:rsid w:val="00F368F2"/>
    <w:rsid w:val="00F36C7D"/>
    <w:rsid w:val="00F36FB5"/>
    <w:rsid w:val="00F3715D"/>
    <w:rsid w:val="00F374F7"/>
    <w:rsid w:val="00F3784C"/>
    <w:rsid w:val="00F37A09"/>
    <w:rsid w:val="00F37D7C"/>
    <w:rsid w:val="00F404BF"/>
    <w:rsid w:val="00F404D3"/>
    <w:rsid w:val="00F405B4"/>
    <w:rsid w:val="00F40EB5"/>
    <w:rsid w:val="00F40F31"/>
    <w:rsid w:val="00F4102F"/>
    <w:rsid w:val="00F41380"/>
    <w:rsid w:val="00F41421"/>
    <w:rsid w:val="00F4174A"/>
    <w:rsid w:val="00F41886"/>
    <w:rsid w:val="00F419C3"/>
    <w:rsid w:val="00F41A80"/>
    <w:rsid w:val="00F41C4B"/>
    <w:rsid w:val="00F42207"/>
    <w:rsid w:val="00F422BC"/>
    <w:rsid w:val="00F4244B"/>
    <w:rsid w:val="00F42798"/>
    <w:rsid w:val="00F4311B"/>
    <w:rsid w:val="00F43206"/>
    <w:rsid w:val="00F4322A"/>
    <w:rsid w:val="00F4343F"/>
    <w:rsid w:val="00F435B6"/>
    <w:rsid w:val="00F43849"/>
    <w:rsid w:val="00F4392C"/>
    <w:rsid w:val="00F4452C"/>
    <w:rsid w:val="00F448F9"/>
    <w:rsid w:val="00F44EC7"/>
    <w:rsid w:val="00F44F4A"/>
    <w:rsid w:val="00F452E7"/>
    <w:rsid w:val="00F4596E"/>
    <w:rsid w:val="00F45E3F"/>
    <w:rsid w:val="00F46502"/>
    <w:rsid w:val="00F4670C"/>
    <w:rsid w:val="00F467C0"/>
    <w:rsid w:val="00F47C6B"/>
    <w:rsid w:val="00F5002C"/>
    <w:rsid w:val="00F503D2"/>
    <w:rsid w:val="00F505AC"/>
    <w:rsid w:val="00F505CD"/>
    <w:rsid w:val="00F50603"/>
    <w:rsid w:val="00F507D6"/>
    <w:rsid w:val="00F50C03"/>
    <w:rsid w:val="00F50C0F"/>
    <w:rsid w:val="00F50E6A"/>
    <w:rsid w:val="00F50F47"/>
    <w:rsid w:val="00F5154E"/>
    <w:rsid w:val="00F51899"/>
    <w:rsid w:val="00F5193E"/>
    <w:rsid w:val="00F51B58"/>
    <w:rsid w:val="00F51E43"/>
    <w:rsid w:val="00F51F74"/>
    <w:rsid w:val="00F52068"/>
    <w:rsid w:val="00F523D3"/>
    <w:rsid w:val="00F5253A"/>
    <w:rsid w:val="00F5325B"/>
    <w:rsid w:val="00F53585"/>
    <w:rsid w:val="00F53AF0"/>
    <w:rsid w:val="00F53C00"/>
    <w:rsid w:val="00F54084"/>
    <w:rsid w:val="00F544DD"/>
    <w:rsid w:val="00F54F4F"/>
    <w:rsid w:val="00F552F9"/>
    <w:rsid w:val="00F55337"/>
    <w:rsid w:val="00F55BB0"/>
    <w:rsid w:val="00F55F0A"/>
    <w:rsid w:val="00F560C8"/>
    <w:rsid w:val="00F562DF"/>
    <w:rsid w:val="00F5636E"/>
    <w:rsid w:val="00F5652C"/>
    <w:rsid w:val="00F568F6"/>
    <w:rsid w:val="00F56BEF"/>
    <w:rsid w:val="00F57843"/>
    <w:rsid w:val="00F578D7"/>
    <w:rsid w:val="00F57C49"/>
    <w:rsid w:val="00F57D6B"/>
    <w:rsid w:val="00F608A9"/>
    <w:rsid w:val="00F609BF"/>
    <w:rsid w:val="00F60A98"/>
    <w:rsid w:val="00F60FD9"/>
    <w:rsid w:val="00F614E1"/>
    <w:rsid w:val="00F618C5"/>
    <w:rsid w:val="00F619E0"/>
    <w:rsid w:val="00F61A38"/>
    <w:rsid w:val="00F61B4D"/>
    <w:rsid w:val="00F61B54"/>
    <w:rsid w:val="00F622E5"/>
    <w:rsid w:val="00F626FF"/>
    <w:rsid w:val="00F62A13"/>
    <w:rsid w:val="00F63036"/>
    <w:rsid w:val="00F6380C"/>
    <w:rsid w:val="00F63E23"/>
    <w:rsid w:val="00F64675"/>
    <w:rsid w:val="00F647C8"/>
    <w:rsid w:val="00F64D24"/>
    <w:rsid w:val="00F64E0F"/>
    <w:rsid w:val="00F65102"/>
    <w:rsid w:val="00F652AD"/>
    <w:rsid w:val="00F652B8"/>
    <w:rsid w:val="00F653D1"/>
    <w:rsid w:val="00F65D31"/>
    <w:rsid w:val="00F666A7"/>
    <w:rsid w:val="00F66A2E"/>
    <w:rsid w:val="00F66D0C"/>
    <w:rsid w:val="00F66D58"/>
    <w:rsid w:val="00F67F09"/>
    <w:rsid w:val="00F706A0"/>
    <w:rsid w:val="00F7077D"/>
    <w:rsid w:val="00F709F5"/>
    <w:rsid w:val="00F717BF"/>
    <w:rsid w:val="00F717CC"/>
    <w:rsid w:val="00F719D1"/>
    <w:rsid w:val="00F720A0"/>
    <w:rsid w:val="00F720B7"/>
    <w:rsid w:val="00F72139"/>
    <w:rsid w:val="00F72319"/>
    <w:rsid w:val="00F724F5"/>
    <w:rsid w:val="00F726D4"/>
    <w:rsid w:val="00F7291E"/>
    <w:rsid w:val="00F72F11"/>
    <w:rsid w:val="00F72F51"/>
    <w:rsid w:val="00F733A2"/>
    <w:rsid w:val="00F73999"/>
    <w:rsid w:val="00F73AB3"/>
    <w:rsid w:val="00F73AB7"/>
    <w:rsid w:val="00F7566A"/>
    <w:rsid w:val="00F76268"/>
    <w:rsid w:val="00F76CF3"/>
    <w:rsid w:val="00F76CF4"/>
    <w:rsid w:val="00F76DA3"/>
    <w:rsid w:val="00F7718B"/>
    <w:rsid w:val="00F77BCA"/>
    <w:rsid w:val="00F77E7B"/>
    <w:rsid w:val="00F80034"/>
    <w:rsid w:val="00F80519"/>
    <w:rsid w:val="00F805CA"/>
    <w:rsid w:val="00F807A4"/>
    <w:rsid w:val="00F8099E"/>
    <w:rsid w:val="00F809ED"/>
    <w:rsid w:val="00F80DD8"/>
    <w:rsid w:val="00F81288"/>
    <w:rsid w:val="00F81914"/>
    <w:rsid w:val="00F81B7D"/>
    <w:rsid w:val="00F8215F"/>
    <w:rsid w:val="00F821F1"/>
    <w:rsid w:val="00F82211"/>
    <w:rsid w:val="00F824D5"/>
    <w:rsid w:val="00F82625"/>
    <w:rsid w:val="00F82628"/>
    <w:rsid w:val="00F82BC6"/>
    <w:rsid w:val="00F82D8E"/>
    <w:rsid w:val="00F82DE5"/>
    <w:rsid w:val="00F8321D"/>
    <w:rsid w:val="00F83461"/>
    <w:rsid w:val="00F83825"/>
    <w:rsid w:val="00F83883"/>
    <w:rsid w:val="00F83F7C"/>
    <w:rsid w:val="00F84162"/>
    <w:rsid w:val="00F8457A"/>
    <w:rsid w:val="00F84F77"/>
    <w:rsid w:val="00F85156"/>
    <w:rsid w:val="00F85165"/>
    <w:rsid w:val="00F8517B"/>
    <w:rsid w:val="00F853BE"/>
    <w:rsid w:val="00F8675D"/>
    <w:rsid w:val="00F86E2D"/>
    <w:rsid w:val="00F870B7"/>
    <w:rsid w:val="00F875EE"/>
    <w:rsid w:val="00F87B71"/>
    <w:rsid w:val="00F87E36"/>
    <w:rsid w:val="00F87EB0"/>
    <w:rsid w:val="00F90408"/>
    <w:rsid w:val="00F9052C"/>
    <w:rsid w:val="00F90EBF"/>
    <w:rsid w:val="00F9135D"/>
    <w:rsid w:val="00F915BE"/>
    <w:rsid w:val="00F9176D"/>
    <w:rsid w:val="00F91AD8"/>
    <w:rsid w:val="00F91B71"/>
    <w:rsid w:val="00F91BA8"/>
    <w:rsid w:val="00F9207A"/>
    <w:rsid w:val="00F920DB"/>
    <w:rsid w:val="00F922F2"/>
    <w:rsid w:val="00F924E5"/>
    <w:rsid w:val="00F9260F"/>
    <w:rsid w:val="00F9308E"/>
    <w:rsid w:val="00F932BC"/>
    <w:rsid w:val="00F93740"/>
    <w:rsid w:val="00F938D1"/>
    <w:rsid w:val="00F9404B"/>
    <w:rsid w:val="00F9493C"/>
    <w:rsid w:val="00F95091"/>
    <w:rsid w:val="00F954F8"/>
    <w:rsid w:val="00F95B4E"/>
    <w:rsid w:val="00F95D20"/>
    <w:rsid w:val="00F95DF7"/>
    <w:rsid w:val="00F95E64"/>
    <w:rsid w:val="00F960B8"/>
    <w:rsid w:val="00F9649D"/>
    <w:rsid w:val="00F967C4"/>
    <w:rsid w:val="00F96A46"/>
    <w:rsid w:val="00F96BB8"/>
    <w:rsid w:val="00F973C6"/>
    <w:rsid w:val="00F97647"/>
    <w:rsid w:val="00F97724"/>
    <w:rsid w:val="00F97A19"/>
    <w:rsid w:val="00F97FB2"/>
    <w:rsid w:val="00FA068B"/>
    <w:rsid w:val="00FA112C"/>
    <w:rsid w:val="00FA1973"/>
    <w:rsid w:val="00FA1B1B"/>
    <w:rsid w:val="00FA20F0"/>
    <w:rsid w:val="00FA2534"/>
    <w:rsid w:val="00FA25D7"/>
    <w:rsid w:val="00FA2BC2"/>
    <w:rsid w:val="00FA2D57"/>
    <w:rsid w:val="00FA313D"/>
    <w:rsid w:val="00FA37EA"/>
    <w:rsid w:val="00FA381E"/>
    <w:rsid w:val="00FA3DE3"/>
    <w:rsid w:val="00FA3F50"/>
    <w:rsid w:val="00FA46AF"/>
    <w:rsid w:val="00FA4826"/>
    <w:rsid w:val="00FA48B2"/>
    <w:rsid w:val="00FA4A25"/>
    <w:rsid w:val="00FA4C5D"/>
    <w:rsid w:val="00FA52C8"/>
    <w:rsid w:val="00FA54B2"/>
    <w:rsid w:val="00FA5642"/>
    <w:rsid w:val="00FA5812"/>
    <w:rsid w:val="00FA59CD"/>
    <w:rsid w:val="00FA73E4"/>
    <w:rsid w:val="00FA7990"/>
    <w:rsid w:val="00FA79FD"/>
    <w:rsid w:val="00FA7A7E"/>
    <w:rsid w:val="00FA7CB7"/>
    <w:rsid w:val="00FA7E50"/>
    <w:rsid w:val="00FB01A1"/>
    <w:rsid w:val="00FB07FC"/>
    <w:rsid w:val="00FB1180"/>
    <w:rsid w:val="00FB15B5"/>
    <w:rsid w:val="00FB174F"/>
    <w:rsid w:val="00FB1FEB"/>
    <w:rsid w:val="00FB22AB"/>
    <w:rsid w:val="00FB22D6"/>
    <w:rsid w:val="00FB2BD9"/>
    <w:rsid w:val="00FB2C51"/>
    <w:rsid w:val="00FB3935"/>
    <w:rsid w:val="00FB4250"/>
    <w:rsid w:val="00FB440D"/>
    <w:rsid w:val="00FB47E8"/>
    <w:rsid w:val="00FB4E05"/>
    <w:rsid w:val="00FB50F4"/>
    <w:rsid w:val="00FB531B"/>
    <w:rsid w:val="00FB5638"/>
    <w:rsid w:val="00FB59AB"/>
    <w:rsid w:val="00FB5A8D"/>
    <w:rsid w:val="00FB5B8C"/>
    <w:rsid w:val="00FB603D"/>
    <w:rsid w:val="00FB64F3"/>
    <w:rsid w:val="00FB6627"/>
    <w:rsid w:val="00FB6721"/>
    <w:rsid w:val="00FB69FF"/>
    <w:rsid w:val="00FB6D70"/>
    <w:rsid w:val="00FB7318"/>
    <w:rsid w:val="00FB77DE"/>
    <w:rsid w:val="00FC0251"/>
    <w:rsid w:val="00FC0440"/>
    <w:rsid w:val="00FC05D8"/>
    <w:rsid w:val="00FC1102"/>
    <w:rsid w:val="00FC16AD"/>
    <w:rsid w:val="00FC1F94"/>
    <w:rsid w:val="00FC2E23"/>
    <w:rsid w:val="00FC3241"/>
    <w:rsid w:val="00FC374E"/>
    <w:rsid w:val="00FC3BB3"/>
    <w:rsid w:val="00FC3ED9"/>
    <w:rsid w:val="00FC4018"/>
    <w:rsid w:val="00FC48E6"/>
    <w:rsid w:val="00FC501B"/>
    <w:rsid w:val="00FC5443"/>
    <w:rsid w:val="00FC54D5"/>
    <w:rsid w:val="00FC5910"/>
    <w:rsid w:val="00FC6550"/>
    <w:rsid w:val="00FC6576"/>
    <w:rsid w:val="00FC664D"/>
    <w:rsid w:val="00FC737A"/>
    <w:rsid w:val="00FC7844"/>
    <w:rsid w:val="00FC7882"/>
    <w:rsid w:val="00FC78E5"/>
    <w:rsid w:val="00FC7EA9"/>
    <w:rsid w:val="00FD0189"/>
    <w:rsid w:val="00FD05FF"/>
    <w:rsid w:val="00FD0A8B"/>
    <w:rsid w:val="00FD0CE5"/>
    <w:rsid w:val="00FD126A"/>
    <w:rsid w:val="00FD14E5"/>
    <w:rsid w:val="00FD14F6"/>
    <w:rsid w:val="00FD1512"/>
    <w:rsid w:val="00FD1AB4"/>
    <w:rsid w:val="00FD1DDF"/>
    <w:rsid w:val="00FD20B7"/>
    <w:rsid w:val="00FD2217"/>
    <w:rsid w:val="00FD28E8"/>
    <w:rsid w:val="00FD30D5"/>
    <w:rsid w:val="00FD3330"/>
    <w:rsid w:val="00FD3355"/>
    <w:rsid w:val="00FD3CF7"/>
    <w:rsid w:val="00FD472A"/>
    <w:rsid w:val="00FD4FCC"/>
    <w:rsid w:val="00FD522F"/>
    <w:rsid w:val="00FD55AE"/>
    <w:rsid w:val="00FD5690"/>
    <w:rsid w:val="00FD5736"/>
    <w:rsid w:val="00FD5A00"/>
    <w:rsid w:val="00FD5F89"/>
    <w:rsid w:val="00FD603F"/>
    <w:rsid w:val="00FD620A"/>
    <w:rsid w:val="00FD6307"/>
    <w:rsid w:val="00FD6570"/>
    <w:rsid w:val="00FD66E5"/>
    <w:rsid w:val="00FD6EA4"/>
    <w:rsid w:val="00FD6FCC"/>
    <w:rsid w:val="00FD70CB"/>
    <w:rsid w:val="00FD728E"/>
    <w:rsid w:val="00FD79A7"/>
    <w:rsid w:val="00FD7DB9"/>
    <w:rsid w:val="00FD7E42"/>
    <w:rsid w:val="00FE0841"/>
    <w:rsid w:val="00FE08DE"/>
    <w:rsid w:val="00FE08FD"/>
    <w:rsid w:val="00FE09AB"/>
    <w:rsid w:val="00FE12A5"/>
    <w:rsid w:val="00FE1352"/>
    <w:rsid w:val="00FE1B58"/>
    <w:rsid w:val="00FE1DFA"/>
    <w:rsid w:val="00FE1EDA"/>
    <w:rsid w:val="00FE1F3B"/>
    <w:rsid w:val="00FE22CB"/>
    <w:rsid w:val="00FE25F1"/>
    <w:rsid w:val="00FE2859"/>
    <w:rsid w:val="00FE2A81"/>
    <w:rsid w:val="00FE2F6A"/>
    <w:rsid w:val="00FE303A"/>
    <w:rsid w:val="00FE324D"/>
    <w:rsid w:val="00FE345D"/>
    <w:rsid w:val="00FE35CD"/>
    <w:rsid w:val="00FE486C"/>
    <w:rsid w:val="00FE4890"/>
    <w:rsid w:val="00FE4DE4"/>
    <w:rsid w:val="00FE4E00"/>
    <w:rsid w:val="00FE516A"/>
    <w:rsid w:val="00FE5194"/>
    <w:rsid w:val="00FE53F2"/>
    <w:rsid w:val="00FE544E"/>
    <w:rsid w:val="00FE5A35"/>
    <w:rsid w:val="00FE5D77"/>
    <w:rsid w:val="00FE64A9"/>
    <w:rsid w:val="00FE66CC"/>
    <w:rsid w:val="00FE6BD7"/>
    <w:rsid w:val="00FE6C8F"/>
    <w:rsid w:val="00FE6E86"/>
    <w:rsid w:val="00FE6F0F"/>
    <w:rsid w:val="00FF0644"/>
    <w:rsid w:val="00FF0776"/>
    <w:rsid w:val="00FF094E"/>
    <w:rsid w:val="00FF0A66"/>
    <w:rsid w:val="00FF1FCE"/>
    <w:rsid w:val="00FF2234"/>
    <w:rsid w:val="00FF290B"/>
    <w:rsid w:val="00FF2B9E"/>
    <w:rsid w:val="00FF320D"/>
    <w:rsid w:val="00FF33BD"/>
    <w:rsid w:val="00FF39CB"/>
    <w:rsid w:val="00FF3B8C"/>
    <w:rsid w:val="00FF3C13"/>
    <w:rsid w:val="00FF3CEA"/>
    <w:rsid w:val="00FF3F18"/>
    <w:rsid w:val="00FF3F6C"/>
    <w:rsid w:val="00FF4169"/>
    <w:rsid w:val="00FF42CC"/>
    <w:rsid w:val="00FF4B56"/>
    <w:rsid w:val="00FF4D79"/>
    <w:rsid w:val="00FF4FD5"/>
    <w:rsid w:val="00FF57C0"/>
    <w:rsid w:val="00FF582B"/>
    <w:rsid w:val="00FF6702"/>
    <w:rsid w:val="00FF6822"/>
    <w:rsid w:val="00FF7188"/>
    <w:rsid w:val="00FF729A"/>
    <w:rsid w:val="00FF72DC"/>
    <w:rsid w:val="00FF750F"/>
    <w:rsid w:val="00FF76DE"/>
    <w:rsid w:val="00FF7785"/>
    <w:rsid w:val="00FF79FE"/>
    <w:rsid w:val="014B5628"/>
    <w:rsid w:val="01F16DA1"/>
    <w:rsid w:val="0333E670"/>
    <w:rsid w:val="041D209C"/>
    <w:rsid w:val="043128A1"/>
    <w:rsid w:val="043C57EC"/>
    <w:rsid w:val="04BB11A1"/>
    <w:rsid w:val="058FA7A4"/>
    <w:rsid w:val="06005FEE"/>
    <w:rsid w:val="078BE711"/>
    <w:rsid w:val="07F78205"/>
    <w:rsid w:val="0854CC19"/>
    <w:rsid w:val="09543A32"/>
    <w:rsid w:val="0A4C4ABD"/>
    <w:rsid w:val="0A4FC3FF"/>
    <w:rsid w:val="0B3925A0"/>
    <w:rsid w:val="0B73118C"/>
    <w:rsid w:val="0CA28577"/>
    <w:rsid w:val="0D8DE997"/>
    <w:rsid w:val="0D8F4292"/>
    <w:rsid w:val="0DEB1C25"/>
    <w:rsid w:val="0E36405D"/>
    <w:rsid w:val="0F54049D"/>
    <w:rsid w:val="0F60CC91"/>
    <w:rsid w:val="0FEBE1A2"/>
    <w:rsid w:val="100FD4F8"/>
    <w:rsid w:val="102748D8"/>
    <w:rsid w:val="1043C596"/>
    <w:rsid w:val="1126EF65"/>
    <w:rsid w:val="118A7D25"/>
    <w:rsid w:val="11953AA7"/>
    <w:rsid w:val="11AA3635"/>
    <w:rsid w:val="11E22C4A"/>
    <w:rsid w:val="11F337C5"/>
    <w:rsid w:val="12747E9C"/>
    <w:rsid w:val="128117E3"/>
    <w:rsid w:val="12BE8D48"/>
    <w:rsid w:val="12CBA767"/>
    <w:rsid w:val="12DEDF25"/>
    <w:rsid w:val="12F1B601"/>
    <w:rsid w:val="132442E3"/>
    <w:rsid w:val="1371CC57"/>
    <w:rsid w:val="137294F2"/>
    <w:rsid w:val="13DB5ACD"/>
    <w:rsid w:val="145ED399"/>
    <w:rsid w:val="149E8BF7"/>
    <w:rsid w:val="149EA8B7"/>
    <w:rsid w:val="14D2DB3D"/>
    <w:rsid w:val="14DB3CE6"/>
    <w:rsid w:val="1511856E"/>
    <w:rsid w:val="15181428"/>
    <w:rsid w:val="15AB04A8"/>
    <w:rsid w:val="15DA2B62"/>
    <w:rsid w:val="15F26844"/>
    <w:rsid w:val="15FD60EE"/>
    <w:rsid w:val="162DD8EC"/>
    <w:rsid w:val="1720DF57"/>
    <w:rsid w:val="17E8631C"/>
    <w:rsid w:val="186859BF"/>
    <w:rsid w:val="18743E28"/>
    <w:rsid w:val="187CB7B4"/>
    <w:rsid w:val="190FEA78"/>
    <w:rsid w:val="194B8983"/>
    <w:rsid w:val="194C367B"/>
    <w:rsid w:val="1A5914A4"/>
    <w:rsid w:val="1A83843F"/>
    <w:rsid w:val="1AAC271D"/>
    <w:rsid w:val="1AB06A44"/>
    <w:rsid w:val="1B32D066"/>
    <w:rsid w:val="1B5A43D5"/>
    <w:rsid w:val="1B6359C2"/>
    <w:rsid w:val="1BA1AD39"/>
    <w:rsid w:val="1C068079"/>
    <w:rsid w:val="1C4C4731"/>
    <w:rsid w:val="1CB5B124"/>
    <w:rsid w:val="1CF22A58"/>
    <w:rsid w:val="1CFA6938"/>
    <w:rsid w:val="1D99E2DB"/>
    <w:rsid w:val="1DDE3FA1"/>
    <w:rsid w:val="1DED22E3"/>
    <w:rsid w:val="1F3DEE6A"/>
    <w:rsid w:val="1FED51E6"/>
    <w:rsid w:val="1FFB7100"/>
    <w:rsid w:val="20381F86"/>
    <w:rsid w:val="2060D9EE"/>
    <w:rsid w:val="211FB854"/>
    <w:rsid w:val="2238F720"/>
    <w:rsid w:val="22E8F60B"/>
    <w:rsid w:val="24F34C19"/>
    <w:rsid w:val="251C9BC1"/>
    <w:rsid w:val="253E6860"/>
    <w:rsid w:val="259608BA"/>
    <w:rsid w:val="259F9060"/>
    <w:rsid w:val="25C6C36D"/>
    <w:rsid w:val="25DC6844"/>
    <w:rsid w:val="264A2EC2"/>
    <w:rsid w:val="270E0195"/>
    <w:rsid w:val="271192AC"/>
    <w:rsid w:val="276293CE"/>
    <w:rsid w:val="28B91B91"/>
    <w:rsid w:val="2A606745"/>
    <w:rsid w:val="2AFC99F6"/>
    <w:rsid w:val="2B6CF0CE"/>
    <w:rsid w:val="2B8D988F"/>
    <w:rsid w:val="2BCA8575"/>
    <w:rsid w:val="2BCBBC29"/>
    <w:rsid w:val="2C1EC6F0"/>
    <w:rsid w:val="2C2F3ED9"/>
    <w:rsid w:val="2C9CF068"/>
    <w:rsid w:val="2CAA50C7"/>
    <w:rsid w:val="2CABE52F"/>
    <w:rsid w:val="2D655325"/>
    <w:rsid w:val="2D6B8B6E"/>
    <w:rsid w:val="2DFA494D"/>
    <w:rsid w:val="2E199EFD"/>
    <w:rsid w:val="2EA350B3"/>
    <w:rsid w:val="2EF0BA70"/>
    <w:rsid w:val="2F7B3708"/>
    <w:rsid w:val="308A5FD7"/>
    <w:rsid w:val="310175D0"/>
    <w:rsid w:val="31AE206B"/>
    <w:rsid w:val="31D37B44"/>
    <w:rsid w:val="328C3F19"/>
    <w:rsid w:val="32A1397B"/>
    <w:rsid w:val="32CAA2FF"/>
    <w:rsid w:val="33011EE1"/>
    <w:rsid w:val="33D02BD7"/>
    <w:rsid w:val="340ACC72"/>
    <w:rsid w:val="343A7F00"/>
    <w:rsid w:val="343D9B3A"/>
    <w:rsid w:val="344F9BD2"/>
    <w:rsid w:val="34A95211"/>
    <w:rsid w:val="361FEA63"/>
    <w:rsid w:val="3636F0CC"/>
    <w:rsid w:val="36977FDB"/>
    <w:rsid w:val="369F1C3E"/>
    <w:rsid w:val="372C27B2"/>
    <w:rsid w:val="375EF10E"/>
    <w:rsid w:val="38298770"/>
    <w:rsid w:val="386A6ABE"/>
    <w:rsid w:val="38EEFBB7"/>
    <w:rsid w:val="3A07EE03"/>
    <w:rsid w:val="3A6AC0FB"/>
    <w:rsid w:val="3B23B98C"/>
    <w:rsid w:val="3B89C63E"/>
    <w:rsid w:val="3BB13E8F"/>
    <w:rsid w:val="3BD54CE3"/>
    <w:rsid w:val="3BE12563"/>
    <w:rsid w:val="3C193C93"/>
    <w:rsid w:val="3CF62062"/>
    <w:rsid w:val="3E948AA2"/>
    <w:rsid w:val="3EEB968E"/>
    <w:rsid w:val="3F4965FF"/>
    <w:rsid w:val="3F4CDCA8"/>
    <w:rsid w:val="3F6F9D44"/>
    <w:rsid w:val="3F8E8B61"/>
    <w:rsid w:val="40642A80"/>
    <w:rsid w:val="40D30662"/>
    <w:rsid w:val="417E8D10"/>
    <w:rsid w:val="4286CE05"/>
    <w:rsid w:val="429E3092"/>
    <w:rsid w:val="42AA2F68"/>
    <w:rsid w:val="42F67F0F"/>
    <w:rsid w:val="4314B946"/>
    <w:rsid w:val="435EC6A6"/>
    <w:rsid w:val="43BF5569"/>
    <w:rsid w:val="44AE419C"/>
    <w:rsid w:val="44D24BC4"/>
    <w:rsid w:val="45A20E61"/>
    <w:rsid w:val="45DD257C"/>
    <w:rsid w:val="4603E187"/>
    <w:rsid w:val="46239B8F"/>
    <w:rsid w:val="4628920D"/>
    <w:rsid w:val="46B52D7A"/>
    <w:rsid w:val="46E9F669"/>
    <w:rsid w:val="471D71A3"/>
    <w:rsid w:val="476912DF"/>
    <w:rsid w:val="47BFF314"/>
    <w:rsid w:val="4802635B"/>
    <w:rsid w:val="48CC0DEA"/>
    <w:rsid w:val="49F0DD78"/>
    <w:rsid w:val="4A9E199E"/>
    <w:rsid w:val="4A9F1032"/>
    <w:rsid w:val="4AA38B5B"/>
    <w:rsid w:val="4AB66DCB"/>
    <w:rsid w:val="4BD863BF"/>
    <w:rsid w:val="4C7F750E"/>
    <w:rsid w:val="4D38DFA3"/>
    <w:rsid w:val="4D6CD31E"/>
    <w:rsid w:val="4D980A94"/>
    <w:rsid w:val="4DF01BA3"/>
    <w:rsid w:val="4FDC6D1C"/>
    <w:rsid w:val="5091482E"/>
    <w:rsid w:val="5194121D"/>
    <w:rsid w:val="525BADD2"/>
    <w:rsid w:val="52B6A45C"/>
    <w:rsid w:val="54261B88"/>
    <w:rsid w:val="5489C485"/>
    <w:rsid w:val="54CE23F9"/>
    <w:rsid w:val="54FFF34C"/>
    <w:rsid w:val="5522D7EC"/>
    <w:rsid w:val="5528AEB3"/>
    <w:rsid w:val="552EBAE8"/>
    <w:rsid w:val="55367A82"/>
    <w:rsid w:val="5557A13B"/>
    <w:rsid w:val="5581966D"/>
    <w:rsid w:val="56B992B3"/>
    <w:rsid w:val="56D4E2DE"/>
    <w:rsid w:val="570814CE"/>
    <w:rsid w:val="5720733B"/>
    <w:rsid w:val="576A3131"/>
    <w:rsid w:val="57988337"/>
    <w:rsid w:val="57BE458E"/>
    <w:rsid w:val="580E4A0F"/>
    <w:rsid w:val="588FA029"/>
    <w:rsid w:val="58BC439C"/>
    <w:rsid w:val="58E56FDD"/>
    <w:rsid w:val="598AF337"/>
    <w:rsid w:val="5A8D3DD8"/>
    <w:rsid w:val="5BAC3085"/>
    <w:rsid w:val="5BEA6AB7"/>
    <w:rsid w:val="5BEF4AD4"/>
    <w:rsid w:val="5C23CA36"/>
    <w:rsid w:val="5C4E152B"/>
    <w:rsid w:val="5CDFBB37"/>
    <w:rsid w:val="5DF968B5"/>
    <w:rsid w:val="5E9774F5"/>
    <w:rsid w:val="5EAB35D7"/>
    <w:rsid w:val="5F073073"/>
    <w:rsid w:val="5F21F596"/>
    <w:rsid w:val="5F82A812"/>
    <w:rsid w:val="60673B36"/>
    <w:rsid w:val="607BA8A2"/>
    <w:rsid w:val="60A075E6"/>
    <w:rsid w:val="60B0D04D"/>
    <w:rsid w:val="61C73CB1"/>
    <w:rsid w:val="61E3F242"/>
    <w:rsid w:val="6205B612"/>
    <w:rsid w:val="62154131"/>
    <w:rsid w:val="6281EA96"/>
    <w:rsid w:val="62E3A98D"/>
    <w:rsid w:val="635D0810"/>
    <w:rsid w:val="6451865E"/>
    <w:rsid w:val="649329CF"/>
    <w:rsid w:val="64CCBD43"/>
    <w:rsid w:val="64EC2FDB"/>
    <w:rsid w:val="653AA482"/>
    <w:rsid w:val="65D0483C"/>
    <w:rsid w:val="65E46482"/>
    <w:rsid w:val="664E0730"/>
    <w:rsid w:val="666D0AF0"/>
    <w:rsid w:val="66E35CE6"/>
    <w:rsid w:val="6706DB5C"/>
    <w:rsid w:val="67114A1F"/>
    <w:rsid w:val="677D78A3"/>
    <w:rsid w:val="67CA1772"/>
    <w:rsid w:val="680C6DEA"/>
    <w:rsid w:val="68262080"/>
    <w:rsid w:val="68FFBEF7"/>
    <w:rsid w:val="6A1CF0C0"/>
    <w:rsid w:val="6AFE24E1"/>
    <w:rsid w:val="6B0564DD"/>
    <w:rsid w:val="6B2C8731"/>
    <w:rsid w:val="6BB325B0"/>
    <w:rsid w:val="6C4337E0"/>
    <w:rsid w:val="6CADB218"/>
    <w:rsid w:val="6D2DB8B7"/>
    <w:rsid w:val="6D4D5CA3"/>
    <w:rsid w:val="6D5B450C"/>
    <w:rsid w:val="6DCBD055"/>
    <w:rsid w:val="6E649AEF"/>
    <w:rsid w:val="6F1BAC1F"/>
    <w:rsid w:val="6F394EDD"/>
    <w:rsid w:val="6F70DD60"/>
    <w:rsid w:val="7025477E"/>
    <w:rsid w:val="7080CA85"/>
    <w:rsid w:val="7129DF85"/>
    <w:rsid w:val="715189D9"/>
    <w:rsid w:val="71C85260"/>
    <w:rsid w:val="71EB8FAF"/>
    <w:rsid w:val="7465E67C"/>
    <w:rsid w:val="75B0C150"/>
    <w:rsid w:val="75CE02CB"/>
    <w:rsid w:val="762D8BC6"/>
    <w:rsid w:val="76C327C6"/>
    <w:rsid w:val="76D9581C"/>
    <w:rsid w:val="7755DE95"/>
    <w:rsid w:val="777ABB63"/>
    <w:rsid w:val="7791A3BA"/>
    <w:rsid w:val="790B7E0C"/>
    <w:rsid w:val="79524724"/>
    <w:rsid w:val="7971D3A5"/>
    <w:rsid w:val="7975BE3C"/>
    <w:rsid w:val="7A2694D6"/>
    <w:rsid w:val="7AE6442B"/>
    <w:rsid w:val="7B667373"/>
    <w:rsid w:val="7B74C485"/>
    <w:rsid w:val="7B75FA7E"/>
    <w:rsid w:val="7BCAB92A"/>
    <w:rsid w:val="7C75D6B7"/>
    <w:rsid w:val="7CA6067A"/>
    <w:rsid w:val="7CEAA494"/>
    <w:rsid w:val="7D6B94DB"/>
    <w:rsid w:val="7DABE52D"/>
    <w:rsid w:val="7E0CF8FB"/>
    <w:rsid w:val="7F2D2D07"/>
    <w:rsid w:val="7F4506B7"/>
    <w:rsid w:val="7FEB23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1F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A055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uiPriority w:val="20"/>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rsid w:val="005C311F"/>
    <w:pPr>
      <w:spacing w:line="256" w:lineRule="auto"/>
      <w:jc w:val="both"/>
    </w:pPr>
    <w:rPr>
      <w:rFonts w:ascii="Arial" w:hAnsi="Arial"/>
      <w:u w:val="single"/>
    </w:rPr>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ody Text Bullet Points,Bullet Point,Bullet point,BulletPoints,Bulletr List Paragraph,ES Paragraph,Footnote,L,List Paragraph1,List Paragraph11,Numbered para,PBAC ES Paragraph,PBAC normal points,Recommendation,Section heading,Styl moj"/>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ody Text Bullet Points Char,Bullet Point Char,Bullet point Char,BulletPoints Char,Bulletr List Paragraph Char,ES Paragraph Char,Footnote Char,L Char,List Paragraph1 Char,List Paragraph11 Char,Numbered para Char,Recommendation Char"/>
    <w:link w:val="ListParagraph"/>
    <w:uiPriority w:val="34"/>
    <w:qFormat/>
    <w:rsid w:val="001E35D6"/>
    <w:rPr>
      <w:rFonts w:eastAsia="SimSun"/>
      <w:sz w:val="24"/>
      <w:szCs w:val="24"/>
    </w:rPr>
  </w:style>
  <w:style w:type="character" w:customStyle="1" w:styleId="CommentTextChar">
    <w:name w:val="Comment Text Char"/>
    <w:basedOn w:val="DefaultParagraphFont"/>
    <w:link w:val="CommentText"/>
    <w:uiPriority w:val="99"/>
    <w:rsid w:val="00377360"/>
  </w:style>
  <w:style w:type="paragraph" w:styleId="Revision">
    <w:name w:val="Revision"/>
    <w:hidden/>
    <w:uiPriority w:val="99"/>
    <w:semiHidden/>
    <w:rsid w:val="00DA7044"/>
  </w:style>
  <w:style w:type="character" w:customStyle="1" w:styleId="FooterChar">
    <w:name w:val="Footer Char"/>
    <w:link w:val="Footer"/>
    <w:rsid w:val="00035622"/>
  </w:style>
  <w:style w:type="paragraph" w:customStyle="1" w:styleId="3Bodytext">
    <w:name w:val="3. Body text"/>
    <w:basedOn w:val="ListParagraph"/>
    <w:link w:val="3BodytextChar"/>
    <w:qFormat/>
    <w:rsid w:val="00155809"/>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155809"/>
    <w:rPr>
      <w:rFonts w:asciiTheme="minorHAnsi" w:eastAsiaTheme="minorHAnsi" w:hAnsiTheme="minorHAnsi" w:cstheme="minorBidi"/>
      <w:sz w:val="24"/>
      <w:szCs w:val="22"/>
      <w:lang w:eastAsia="en-US"/>
    </w:rPr>
  </w:style>
  <w:style w:type="paragraph" w:customStyle="1" w:styleId="2-SectionHeading">
    <w:name w:val="2-Section Heading"/>
    <w:qFormat/>
    <w:rsid w:val="00A35BF0"/>
    <w:pPr>
      <w:keepNext/>
      <w:numPr>
        <w:numId w:val="9"/>
      </w:numPr>
      <w:snapToGrid w:val="0"/>
      <w:spacing w:before="240" w:after="120"/>
      <w:outlineLvl w:val="0"/>
    </w:pPr>
    <w:rPr>
      <w:rFonts w:asciiTheme="minorHAnsi" w:hAnsiTheme="minorHAnsi" w:cs="Arial"/>
      <w:b/>
      <w:sz w:val="32"/>
      <w:szCs w:val="32"/>
    </w:rPr>
  </w:style>
  <w:style w:type="character" w:customStyle="1" w:styleId="ExecSumBodyTextChar">
    <w:name w:val="Exec Sum Body Text Char"/>
    <w:basedOn w:val="DefaultParagraphFont"/>
    <w:link w:val="ExecSumBodyText"/>
    <w:uiPriority w:val="99"/>
    <w:locked/>
    <w:rsid w:val="00A35BF0"/>
    <w:rPr>
      <w:rFonts w:asciiTheme="minorHAnsi" w:hAnsiTheme="minorHAnsi" w:cs="Arial"/>
    </w:rPr>
  </w:style>
  <w:style w:type="paragraph" w:customStyle="1" w:styleId="ExecSumBodyText">
    <w:name w:val="Exec Sum Body Text"/>
    <w:basedOn w:val="Normal"/>
    <w:link w:val="ExecSumBodyTextChar"/>
    <w:uiPriority w:val="99"/>
    <w:qFormat/>
    <w:rsid w:val="00A35BF0"/>
    <w:pPr>
      <w:numPr>
        <w:ilvl w:val="1"/>
        <w:numId w:val="9"/>
      </w:numPr>
      <w:snapToGrid w:val="0"/>
      <w:spacing w:after="120"/>
      <w:jc w:val="both"/>
    </w:pPr>
    <w:rPr>
      <w:rFonts w:asciiTheme="minorHAnsi" w:hAnsiTheme="minorHAnsi" w:cs="Arial"/>
    </w:rPr>
  </w:style>
  <w:style w:type="character" w:styleId="FollowedHyperlink">
    <w:name w:val="FollowedHyperlink"/>
    <w:basedOn w:val="DefaultParagraphFont"/>
    <w:semiHidden/>
    <w:unhideWhenUsed/>
    <w:rsid w:val="00642B51"/>
    <w:rPr>
      <w:color w:val="800080" w:themeColor="followedHyperlink"/>
      <w:u w:val="single"/>
    </w:rPr>
  </w:style>
  <w:style w:type="paragraph" w:styleId="Quote">
    <w:name w:val="Quote"/>
    <w:basedOn w:val="Normal"/>
    <w:next w:val="Normal"/>
    <w:link w:val="QuoteChar"/>
    <w:uiPriority w:val="29"/>
    <w:qFormat/>
    <w:rsid w:val="001D30A0"/>
    <w:pPr>
      <w:spacing w:before="240" w:after="60"/>
      <w:ind w:left="142" w:right="-663" w:hanging="142"/>
    </w:pPr>
    <w:rPr>
      <w:i/>
      <w:iCs/>
      <w:color w:val="000000" w:themeColor="text1"/>
      <w:sz w:val="24"/>
      <w:szCs w:val="24"/>
      <w:lang w:eastAsia="en-US"/>
    </w:rPr>
  </w:style>
  <w:style w:type="character" w:customStyle="1" w:styleId="QuoteChar">
    <w:name w:val="Quote Char"/>
    <w:basedOn w:val="DefaultParagraphFont"/>
    <w:link w:val="Quote"/>
    <w:uiPriority w:val="29"/>
    <w:rsid w:val="001D30A0"/>
    <w:rPr>
      <w:i/>
      <w:iCs/>
      <w:color w:val="000000" w:themeColor="text1"/>
      <w:sz w:val="24"/>
      <w:szCs w:val="24"/>
      <w:lang w:eastAsia="en-US"/>
    </w:rPr>
  </w:style>
  <w:style w:type="paragraph" w:styleId="NoSpacing">
    <w:name w:val="No Spacing"/>
    <w:basedOn w:val="Normal"/>
    <w:link w:val="NoSpacingChar"/>
    <w:uiPriority w:val="1"/>
    <w:qFormat/>
    <w:rsid w:val="008D62B4"/>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8D62B4"/>
    <w:rPr>
      <w:rFonts w:asciiTheme="minorHAnsi" w:hAnsiTheme="minorHAnsi" w:cstheme="minorHAnsi"/>
      <w:sz w:val="24"/>
      <w:szCs w:val="24"/>
      <w:lang w:eastAsia="en-US"/>
    </w:rPr>
  </w:style>
  <w:style w:type="paragraph" w:customStyle="1" w:styleId="2Sections">
    <w:name w:val="2. Sections"/>
    <w:qFormat/>
    <w:rsid w:val="0061444C"/>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61444C"/>
    <w:pPr>
      <w:spacing w:after="120"/>
      <w:ind w:hanging="720"/>
      <w:contextualSpacing w:val="0"/>
      <w:jc w:val="both"/>
    </w:pPr>
    <w:rPr>
      <w:rFonts w:asciiTheme="minorHAnsi" w:eastAsiaTheme="minorHAnsi" w:hAnsiTheme="minorHAnsi" w:cstheme="minorBidi"/>
      <w:szCs w:val="22"/>
      <w:lang w:eastAsia="en-US"/>
    </w:rPr>
  </w:style>
  <w:style w:type="paragraph" w:customStyle="1" w:styleId="Tablewriting">
    <w:name w:val="Table writing"/>
    <w:basedOn w:val="Normal"/>
    <w:qFormat/>
    <w:rsid w:val="003A37BF"/>
    <w:pPr>
      <w:autoSpaceDE w:val="0"/>
      <w:autoSpaceDN w:val="0"/>
      <w:adjustRightInd w:val="0"/>
      <w:spacing w:before="60" w:after="60"/>
    </w:pPr>
    <w:rPr>
      <w:rFonts w:asciiTheme="minorHAnsi" w:eastAsiaTheme="minorEastAsia" w:hAnsiTheme="minorHAnsi" w:cs="Calibri"/>
      <w:color w:val="000000"/>
    </w:rPr>
  </w:style>
  <w:style w:type="character" w:styleId="UnresolvedMention">
    <w:name w:val="Unresolved Mention"/>
    <w:basedOn w:val="DefaultParagraphFont"/>
    <w:uiPriority w:val="99"/>
    <w:semiHidden/>
    <w:unhideWhenUsed/>
    <w:rsid w:val="00427E91"/>
    <w:rPr>
      <w:color w:val="605E5C"/>
      <w:shd w:val="clear" w:color="auto" w:fill="E1DFDD"/>
    </w:rPr>
  </w:style>
  <w:style w:type="paragraph" w:customStyle="1" w:styleId="3-BodyText">
    <w:name w:val="3-Body Text"/>
    <w:basedOn w:val="ListParagraph"/>
    <w:link w:val="3-BodyTextChar"/>
    <w:qFormat/>
    <w:rsid w:val="00120070"/>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120070"/>
    <w:rPr>
      <w:rFonts w:asciiTheme="minorHAnsi" w:hAnsiTheme="minorHAnsi" w:cs="Arial"/>
      <w:snapToGrid w:val="0"/>
      <w:sz w:val="24"/>
      <w:szCs w:val="24"/>
    </w:rPr>
  </w:style>
  <w:style w:type="character" w:styleId="FootnoteReference">
    <w:name w:val="footnote reference"/>
    <w:basedOn w:val="DefaultParagraphFont"/>
    <w:uiPriority w:val="99"/>
    <w:semiHidden/>
    <w:unhideWhenUsed/>
    <w:rsid w:val="00273042"/>
    <w:rPr>
      <w:vertAlign w:val="superscript"/>
    </w:rPr>
  </w:style>
  <w:style w:type="character" w:customStyle="1" w:styleId="normaltextrun">
    <w:name w:val="normaltextrun"/>
    <w:basedOn w:val="DefaultParagraphFont"/>
    <w:rsid w:val="003D4AED"/>
  </w:style>
  <w:style w:type="paragraph" w:customStyle="1" w:styleId="commentcontentpara">
    <w:name w:val="commentcontentpara"/>
    <w:basedOn w:val="Normal"/>
    <w:rsid w:val="001C41DA"/>
    <w:pPr>
      <w:spacing w:before="100" w:beforeAutospacing="1" w:after="100" w:afterAutospacing="1"/>
    </w:pPr>
    <w:rPr>
      <w:sz w:val="24"/>
      <w:szCs w:val="24"/>
    </w:rPr>
  </w:style>
  <w:style w:type="character" w:customStyle="1" w:styleId="cf01">
    <w:name w:val="cf01"/>
    <w:basedOn w:val="DefaultParagraphFont"/>
    <w:rsid w:val="009B3BC3"/>
    <w:rPr>
      <w:rFonts w:ascii="Segoe UI" w:hAnsi="Segoe UI" w:cs="Segoe UI" w:hint="default"/>
      <w:color w:val="FF0000"/>
      <w:sz w:val="18"/>
      <w:szCs w:val="18"/>
    </w:rPr>
  </w:style>
  <w:style w:type="character" w:customStyle="1" w:styleId="Heading2Char">
    <w:name w:val="Heading 2 Char"/>
    <w:basedOn w:val="DefaultParagraphFont"/>
    <w:link w:val="Heading2"/>
    <w:semiHidden/>
    <w:rsid w:val="00A055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904">
      <w:bodyDiv w:val="1"/>
      <w:marLeft w:val="0"/>
      <w:marRight w:val="0"/>
      <w:marTop w:val="0"/>
      <w:marBottom w:val="0"/>
      <w:divBdr>
        <w:top w:val="none" w:sz="0" w:space="0" w:color="auto"/>
        <w:left w:val="none" w:sz="0" w:space="0" w:color="auto"/>
        <w:bottom w:val="none" w:sz="0" w:space="0" w:color="auto"/>
        <w:right w:val="none" w:sz="0" w:space="0" w:color="auto"/>
      </w:divBdr>
    </w:div>
    <w:div w:id="12726310">
      <w:bodyDiv w:val="1"/>
      <w:marLeft w:val="0"/>
      <w:marRight w:val="0"/>
      <w:marTop w:val="0"/>
      <w:marBottom w:val="0"/>
      <w:divBdr>
        <w:top w:val="none" w:sz="0" w:space="0" w:color="auto"/>
        <w:left w:val="none" w:sz="0" w:space="0" w:color="auto"/>
        <w:bottom w:val="none" w:sz="0" w:space="0" w:color="auto"/>
        <w:right w:val="none" w:sz="0" w:space="0" w:color="auto"/>
      </w:divBdr>
    </w:div>
    <w:div w:id="17506909">
      <w:bodyDiv w:val="1"/>
      <w:marLeft w:val="0"/>
      <w:marRight w:val="0"/>
      <w:marTop w:val="0"/>
      <w:marBottom w:val="0"/>
      <w:divBdr>
        <w:top w:val="none" w:sz="0" w:space="0" w:color="auto"/>
        <w:left w:val="none" w:sz="0" w:space="0" w:color="auto"/>
        <w:bottom w:val="none" w:sz="0" w:space="0" w:color="auto"/>
        <w:right w:val="none" w:sz="0" w:space="0" w:color="auto"/>
      </w:divBdr>
    </w:div>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2370317">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0419117">
      <w:bodyDiv w:val="1"/>
      <w:marLeft w:val="0"/>
      <w:marRight w:val="0"/>
      <w:marTop w:val="0"/>
      <w:marBottom w:val="0"/>
      <w:divBdr>
        <w:top w:val="none" w:sz="0" w:space="0" w:color="auto"/>
        <w:left w:val="none" w:sz="0" w:space="0" w:color="auto"/>
        <w:bottom w:val="none" w:sz="0" w:space="0" w:color="auto"/>
        <w:right w:val="none" w:sz="0" w:space="0" w:color="auto"/>
      </w:divBdr>
    </w:div>
    <w:div w:id="30618514">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3932716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44527400">
      <w:bodyDiv w:val="1"/>
      <w:marLeft w:val="0"/>
      <w:marRight w:val="0"/>
      <w:marTop w:val="0"/>
      <w:marBottom w:val="0"/>
      <w:divBdr>
        <w:top w:val="none" w:sz="0" w:space="0" w:color="auto"/>
        <w:left w:val="none" w:sz="0" w:space="0" w:color="auto"/>
        <w:bottom w:val="none" w:sz="0" w:space="0" w:color="auto"/>
        <w:right w:val="none" w:sz="0" w:space="0" w:color="auto"/>
      </w:divBdr>
    </w:div>
    <w:div w:id="47262100">
      <w:bodyDiv w:val="1"/>
      <w:marLeft w:val="0"/>
      <w:marRight w:val="0"/>
      <w:marTop w:val="0"/>
      <w:marBottom w:val="0"/>
      <w:divBdr>
        <w:top w:val="none" w:sz="0" w:space="0" w:color="auto"/>
        <w:left w:val="none" w:sz="0" w:space="0" w:color="auto"/>
        <w:bottom w:val="none" w:sz="0" w:space="0" w:color="auto"/>
        <w:right w:val="none" w:sz="0" w:space="0" w:color="auto"/>
      </w:divBdr>
    </w:div>
    <w:div w:id="49698225">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5671918">
      <w:bodyDiv w:val="1"/>
      <w:marLeft w:val="0"/>
      <w:marRight w:val="0"/>
      <w:marTop w:val="0"/>
      <w:marBottom w:val="0"/>
      <w:divBdr>
        <w:top w:val="none" w:sz="0" w:space="0" w:color="auto"/>
        <w:left w:val="none" w:sz="0" w:space="0" w:color="auto"/>
        <w:bottom w:val="none" w:sz="0" w:space="0" w:color="auto"/>
        <w:right w:val="none" w:sz="0" w:space="0" w:color="auto"/>
      </w:divBdr>
    </w:div>
    <w:div w:id="61490532">
      <w:bodyDiv w:val="1"/>
      <w:marLeft w:val="0"/>
      <w:marRight w:val="0"/>
      <w:marTop w:val="0"/>
      <w:marBottom w:val="0"/>
      <w:divBdr>
        <w:top w:val="none" w:sz="0" w:space="0" w:color="auto"/>
        <w:left w:val="none" w:sz="0" w:space="0" w:color="auto"/>
        <w:bottom w:val="none" w:sz="0" w:space="0" w:color="auto"/>
        <w:right w:val="none" w:sz="0" w:space="0" w:color="auto"/>
      </w:divBdr>
    </w:div>
    <w:div w:id="65959251">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260771">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6199920">
      <w:bodyDiv w:val="1"/>
      <w:marLeft w:val="0"/>
      <w:marRight w:val="0"/>
      <w:marTop w:val="0"/>
      <w:marBottom w:val="0"/>
      <w:divBdr>
        <w:top w:val="none" w:sz="0" w:space="0" w:color="auto"/>
        <w:left w:val="none" w:sz="0" w:space="0" w:color="auto"/>
        <w:bottom w:val="none" w:sz="0" w:space="0" w:color="auto"/>
        <w:right w:val="none" w:sz="0" w:space="0" w:color="auto"/>
      </w:divBdr>
    </w:div>
    <w:div w:id="90321237">
      <w:bodyDiv w:val="1"/>
      <w:marLeft w:val="0"/>
      <w:marRight w:val="0"/>
      <w:marTop w:val="0"/>
      <w:marBottom w:val="0"/>
      <w:divBdr>
        <w:top w:val="none" w:sz="0" w:space="0" w:color="auto"/>
        <w:left w:val="none" w:sz="0" w:space="0" w:color="auto"/>
        <w:bottom w:val="none" w:sz="0" w:space="0" w:color="auto"/>
        <w:right w:val="none" w:sz="0" w:space="0" w:color="auto"/>
      </w:divBdr>
    </w:div>
    <w:div w:id="93676734">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09008514">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7360831">
      <w:bodyDiv w:val="1"/>
      <w:marLeft w:val="0"/>
      <w:marRight w:val="0"/>
      <w:marTop w:val="0"/>
      <w:marBottom w:val="0"/>
      <w:divBdr>
        <w:top w:val="none" w:sz="0" w:space="0" w:color="auto"/>
        <w:left w:val="none" w:sz="0" w:space="0" w:color="auto"/>
        <w:bottom w:val="none" w:sz="0" w:space="0" w:color="auto"/>
        <w:right w:val="none" w:sz="0" w:space="0" w:color="auto"/>
      </w:divBdr>
    </w:div>
    <w:div w:id="128784830">
      <w:bodyDiv w:val="1"/>
      <w:marLeft w:val="0"/>
      <w:marRight w:val="0"/>
      <w:marTop w:val="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sChild>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7481653">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1679611">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873735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2205467">
      <w:bodyDiv w:val="1"/>
      <w:marLeft w:val="0"/>
      <w:marRight w:val="0"/>
      <w:marTop w:val="0"/>
      <w:marBottom w:val="0"/>
      <w:divBdr>
        <w:top w:val="none" w:sz="0" w:space="0" w:color="auto"/>
        <w:left w:val="none" w:sz="0" w:space="0" w:color="auto"/>
        <w:bottom w:val="none" w:sz="0" w:space="0" w:color="auto"/>
        <w:right w:val="none" w:sz="0" w:space="0" w:color="auto"/>
      </w:divBdr>
    </w:div>
    <w:div w:id="17041301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77548251">
      <w:bodyDiv w:val="1"/>
      <w:marLeft w:val="0"/>
      <w:marRight w:val="0"/>
      <w:marTop w:val="0"/>
      <w:marBottom w:val="0"/>
      <w:divBdr>
        <w:top w:val="none" w:sz="0" w:space="0" w:color="auto"/>
        <w:left w:val="none" w:sz="0" w:space="0" w:color="auto"/>
        <w:bottom w:val="none" w:sz="0" w:space="0" w:color="auto"/>
        <w:right w:val="none" w:sz="0" w:space="0" w:color="auto"/>
      </w:divBdr>
    </w:div>
    <w:div w:id="178197588">
      <w:bodyDiv w:val="1"/>
      <w:marLeft w:val="0"/>
      <w:marRight w:val="0"/>
      <w:marTop w:val="0"/>
      <w:marBottom w:val="0"/>
      <w:divBdr>
        <w:top w:val="none" w:sz="0" w:space="0" w:color="auto"/>
        <w:left w:val="none" w:sz="0" w:space="0" w:color="auto"/>
        <w:bottom w:val="none" w:sz="0" w:space="0" w:color="auto"/>
        <w:right w:val="none" w:sz="0" w:space="0" w:color="auto"/>
      </w:divBdr>
    </w:div>
    <w:div w:id="185142543">
      <w:bodyDiv w:val="1"/>
      <w:marLeft w:val="0"/>
      <w:marRight w:val="0"/>
      <w:marTop w:val="0"/>
      <w:marBottom w:val="0"/>
      <w:divBdr>
        <w:top w:val="none" w:sz="0" w:space="0" w:color="auto"/>
        <w:left w:val="none" w:sz="0" w:space="0" w:color="auto"/>
        <w:bottom w:val="none" w:sz="0" w:space="0" w:color="auto"/>
        <w:right w:val="none" w:sz="0" w:space="0" w:color="auto"/>
      </w:divBdr>
    </w:div>
    <w:div w:id="188179665">
      <w:bodyDiv w:val="1"/>
      <w:marLeft w:val="0"/>
      <w:marRight w:val="0"/>
      <w:marTop w:val="0"/>
      <w:marBottom w:val="0"/>
      <w:divBdr>
        <w:top w:val="none" w:sz="0" w:space="0" w:color="auto"/>
        <w:left w:val="none" w:sz="0" w:space="0" w:color="auto"/>
        <w:bottom w:val="none" w:sz="0" w:space="0" w:color="auto"/>
        <w:right w:val="none" w:sz="0" w:space="0" w:color="auto"/>
      </w:divBdr>
      <w:divsChild>
        <w:div w:id="653336248">
          <w:marLeft w:val="0"/>
          <w:marRight w:val="0"/>
          <w:marTop w:val="0"/>
          <w:marBottom w:val="0"/>
          <w:divBdr>
            <w:top w:val="none" w:sz="0" w:space="0" w:color="auto"/>
            <w:left w:val="none" w:sz="0" w:space="0" w:color="auto"/>
            <w:bottom w:val="none" w:sz="0" w:space="0" w:color="auto"/>
            <w:right w:val="none" w:sz="0" w:space="0" w:color="auto"/>
          </w:divBdr>
        </w:div>
      </w:divsChild>
    </w:div>
    <w:div w:id="192882382">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5308846">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2148266">
      <w:bodyDiv w:val="1"/>
      <w:marLeft w:val="0"/>
      <w:marRight w:val="0"/>
      <w:marTop w:val="0"/>
      <w:marBottom w:val="0"/>
      <w:divBdr>
        <w:top w:val="none" w:sz="0" w:space="0" w:color="auto"/>
        <w:left w:val="none" w:sz="0" w:space="0" w:color="auto"/>
        <w:bottom w:val="none" w:sz="0" w:space="0" w:color="auto"/>
        <w:right w:val="none" w:sz="0" w:space="0" w:color="auto"/>
      </w:divBdr>
    </w:div>
    <w:div w:id="266550285">
      <w:bodyDiv w:val="1"/>
      <w:marLeft w:val="0"/>
      <w:marRight w:val="0"/>
      <w:marTop w:val="0"/>
      <w:marBottom w:val="0"/>
      <w:divBdr>
        <w:top w:val="none" w:sz="0" w:space="0" w:color="auto"/>
        <w:left w:val="none" w:sz="0" w:space="0" w:color="auto"/>
        <w:bottom w:val="none" w:sz="0" w:space="0" w:color="auto"/>
        <w:right w:val="none" w:sz="0" w:space="0" w:color="auto"/>
      </w:divBdr>
    </w:div>
    <w:div w:id="267275745">
      <w:bodyDiv w:val="1"/>
      <w:marLeft w:val="0"/>
      <w:marRight w:val="0"/>
      <w:marTop w:val="0"/>
      <w:marBottom w:val="0"/>
      <w:divBdr>
        <w:top w:val="none" w:sz="0" w:space="0" w:color="auto"/>
        <w:left w:val="none" w:sz="0" w:space="0" w:color="auto"/>
        <w:bottom w:val="none" w:sz="0" w:space="0" w:color="auto"/>
        <w:right w:val="none" w:sz="0" w:space="0" w:color="auto"/>
      </w:divBdr>
    </w:div>
    <w:div w:id="269170932">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4431974">
      <w:bodyDiv w:val="1"/>
      <w:marLeft w:val="0"/>
      <w:marRight w:val="0"/>
      <w:marTop w:val="0"/>
      <w:marBottom w:val="0"/>
      <w:divBdr>
        <w:top w:val="none" w:sz="0" w:space="0" w:color="auto"/>
        <w:left w:val="none" w:sz="0" w:space="0" w:color="auto"/>
        <w:bottom w:val="none" w:sz="0" w:space="0" w:color="auto"/>
        <w:right w:val="none" w:sz="0" w:space="0" w:color="auto"/>
      </w:divBdr>
    </w:div>
    <w:div w:id="284581089">
      <w:bodyDiv w:val="1"/>
      <w:marLeft w:val="0"/>
      <w:marRight w:val="0"/>
      <w:marTop w:val="0"/>
      <w:marBottom w:val="0"/>
      <w:divBdr>
        <w:top w:val="none" w:sz="0" w:space="0" w:color="auto"/>
        <w:left w:val="none" w:sz="0" w:space="0" w:color="auto"/>
        <w:bottom w:val="none" w:sz="0" w:space="0" w:color="auto"/>
        <w:right w:val="none" w:sz="0" w:space="0" w:color="auto"/>
      </w:divBdr>
    </w:div>
    <w:div w:id="287012127">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290595589">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12804607">
      <w:bodyDiv w:val="1"/>
      <w:marLeft w:val="0"/>
      <w:marRight w:val="0"/>
      <w:marTop w:val="0"/>
      <w:marBottom w:val="0"/>
      <w:divBdr>
        <w:top w:val="none" w:sz="0" w:space="0" w:color="auto"/>
        <w:left w:val="none" w:sz="0" w:space="0" w:color="auto"/>
        <w:bottom w:val="none" w:sz="0" w:space="0" w:color="auto"/>
        <w:right w:val="none" w:sz="0" w:space="0" w:color="auto"/>
      </w:divBdr>
    </w:div>
    <w:div w:id="331102701">
      <w:bodyDiv w:val="1"/>
      <w:marLeft w:val="0"/>
      <w:marRight w:val="0"/>
      <w:marTop w:val="0"/>
      <w:marBottom w:val="0"/>
      <w:divBdr>
        <w:top w:val="none" w:sz="0" w:space="0" w:color="auto"/>
        <w:left w:val="none" w:sz="0" w:space="0" w:color="auto"/>
        <w:bottom w:val="none" w:sz="0" w:space="0" w:color="auto"/>
        <w:right w:val="none" w:sz="0" w:space="0" w:color="auto"/>
      </w:divBdr>
    </w:div>
    <w:div w:id="336275597">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4793966">
      <w:bodyDiv w:val="1"/>
      <w:marLeft w:val="0"/>
      <w:marRight w:val="0"/>
      <w:marTop w:val="0"/>
      <w:marBottom w:val="0"/>
      <w:divBdr>
        <w:top w:val="none" w:sz="0" w:space="0" w:color="auto"/>
        <w:left w:val="none" w:sz="0" w:space="0" w:color="auto"/>
        <w:bottom w:val="none" w:sz="0" w:space="0" w:color="auto"/>
        <w:right w:val="none" w:sz="0" w:space="0" w:color="auto"/>
      </w:divBdr>
    </w:div>
    <w:div w:id="350028983">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0813506">
      <w:bodyDiv w:val="1"/>
      <w:marLeft w:val="0"/>
      <w:marRight w:val="0"/>
      <w:marTop w:val="0"/>
      <w:marBottom w:val="0"/>
      <w:divBdr>
        <w:top w:val="none" w:sz="0" w:space="0" w:color="auto"/>
        <w:left w:val="none" w:sz="0" w:space="0" w:color="auto"/>
        <w:bottom w:val="none" w:sz="0" w:space="0" w:color="auto"/>
        <w:right w:val="none" w:sz="0" w:space="0" w:color="auto"/>
      </w:divBdr>
    </w:div>
    <w:div w:id="373621871">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381639027">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9607">
      <w:bodyDiv w:val="1"/>
      <w:marLeft w:val="0"/>
      <w:marRight w:val="0"/>
      <w:marTop w:val="0"/>
      <w:marBottom w:val="0"/>
      <w:divBdr>
        <w:top w:val="none" w:sz="0" w:space="0" w:color="auto"/>
        <w:left w:val="none" w:sz="0" w:space="0" w:color="auto"/>
        <w:bottom w:val="none" w:sz="0" w:space="0" w:color="auto"/>
        <w:right w:val="none" w:sz="0" w:space="0" w:color="auto"/>
      </w:divBdr>
    </w:div>
    <w:div w:id="428045846">
      <w:bodyDiv w:val="1"/>
      <w:marLeft w:val="0"/>
      <w:marRight w:val="0"/>
      <w:marTop w:val="0"/>
      <w:marBottom w:val="0"/>
      <w:divBdr>
        <w:top w:val="none" w:sz="0" w:space="0" w:color="auto"/>
        <w:left w:val="none" w:sz="0" w:space="0" w:color="auto"/>
        <w:bottom w:val="none" w:sz="0" w:space="0" w:color="auto"/>
        <w:right w:val="none" w:sz="0" w:space="0" w:color="auto"/>
      </w:divBdr>
    </w:div>
    <w:div w:id="429351912">
      <w:bodyDiv w:val="1"/>
      <w:marLeft w:val="0"/>
      <w:marRight w:val="0"/>
      <w:marTop w:val="0"/>
      <w:marBottom w:val="0"/>
      <w:divBdr>
        <w:top w:val="none" w:sz="0" w:space="0" w:color="auto"/>
        <w:left w:val="none" w:sz="0" w:space="0" w:color="auto"/>
        <w:bottom w:val="none" w:sz="0" w:space="0" w:color="auto"/>
        <w:right w:val="none" w:sz="0" w:space="0" w:color="auto"/>
      </w:divBdr>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37986911">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3934589">
      <w:bodyDiv w:val="1"/>
      <w:marLeft w:val="0"/>
      <w:marRight w:val="0"/>
      <w:marTop w:val="0"/>
      <w:marBottom w:val="0"/>
      <w:divBdr>
        <w:top w:val="none" w:sz="0" w:space="0" w:color="auto"/>
        <w:left w:val="none" w:sz="0" w:space="0" w:color="auto"/>
        <w:bottom w:val="none" w:sz="0" w:space="0" w:color="auto"/>
        <w:right w:val="none" w:sz="0" w:space="0" w:color="auto"/>
      </w:divBdr>
      <w:divsChild>
        <w:div w:id="1413895645">
          <w:marLeft w:val="0"/>
          <w:marRight w:val="0"/>
          <w:marTop w:val="0"/>
          <w:marBottom w:val="0"/>
          <w:divBdr>
            <w:top w:val="none" w:sz="0" w:space="0" w:color="auto"/>
            <w:left w:val="none" w:sz="0" w:space="0" w:color="auto"/>
            <w:bottom w:val="none" w:sz="0" w:space="0" w:color="auto"/>
            <w:right w:val="none" w:sz="0" w:space="0" w:color="auto"/>
          </w:divBdr>
        </w:div>
      </w:divsChild>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5901268">
      <w:bodyDiv w:val="1"/>
      <w:marLeft w:val="0"/>
      <w:marRight w:val="0"/>
      <w:marTop w:val="0"/>
      <w:marBottom w:val="0"/>
      <w:divBdr>
        <w:top w:val="none" w:sz="0" w:space="0" w:color="auto"/>
        <w:left w:val="none" w:sz="0" w:space="0" w:color="auto"/>
        <w:bottom w:val="none" w:sz="0" w:space="0" w:color="auto"/>
        <w:right w:val="none" w:sz="0" w:space="0" w:color="auto"/>
      </w:divBdr>
      <w:divsChild>
        <w:div w:id="1740708259">
          <w:marLeft w:val="0"/>
          <w:marRight w:val="0"/>
          <w:marTop w:val="0"/>
          <w:marBottom w:val="0"/>
          <w:divBdr>
            <w:top w:val="none" w:sz="0" w:space="0" w:color="auto"/>
            <w:left w:val="none" w:sz="0" w:space="0" w:color="auto"/>
            <w:bottom w:val="none" w:sz="0" w:space="0" w:color="auto"/>
            <w:right w:val="none" w:sz="0" w:space="0" w:color="auto"/>
          </w:divBdr>
        </w:div>
      </w:divsChild>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496389213">
      <w:bodyDiv w:val="1"/>
      <w:marLeft w:val="0"/>
      <w:marRight w:val="0"/>
      <w:marTop w:val="0"/>
      <w:marBottom w:val="0"/>
      <w:divBdr>
        <w:top w:val="none" w:sz="0" w:space="0" w:color="auto"/>
        <w:left w:val="none" w:sz="0" w:space="0" w:color="auto"/>
        <w:bottom w:val="none" w:sz="0" w:space="0" w:color="auto"/>
        <w:right w:val="none" w:sz="0" w:space="0" w:color="auto"/>
      </w:divBdr>
    </w:div>
    <w:div w:id="497691024">
      <w:bodyDiv w:val="1"/>
      <w:marLeft w:val="0"/>
      <w:marRight w:val="0"/>
      <w:marTop w:val="0"/>
      <w:marBottom w:val="0"/>
      <w:divBdr>
        <w:top w:val="none" w:sz="0" w:space="0" w:color="auto"/>
        <w:left w:val="none" w:sz="0" w:space="0" w:color="auto"/>
        <w:bottom w:val="none" w:sz="0" w:space="0" w:color="auto"/>
        <w:right w:val="none" w:sz="0" w:space="0" w:color="auto"/>
      </w:divBdr>
    </w:div>
    <w:div w:id="499538310">
      <w:bodyDiv w:val="1"/>
      <w:marLeft w:val="0"/>
      <w:marRight w:val="0"/>
      <w:marTop w:val="0"/>
      <w:marBottom w:val="0"/>
      <w:divBdr>
        <w:top w:val="none" w:sz="0" w:space="0" w:color="auto"/>
        <w:left w:val="none" w:sz="0" w:space="0" w:color="auto"/>
        <w:bottom w:val="none" w:sz="0" w:space="0" w:color="auto"/>
        <w:right w:val="none" w:sz="0" w:space="0" w:color="auto"/>
      </w:divBdr>
    </w:div>
    <w:div w:id="49954348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9370300">
      <w:bodyDiv w:val="1"/>
      <w:marLeft w:val="0"/>
      <w:marRight w:val="0"/>
      <w:marTop w:val="0"/>
      <w:marBottom w:val="0"/>
      <w:divBdr>
        <w:top w:val="none" w:sz="0" w:space="0" w:color="auto"/>
        <w:left w:val="none" w:sz="0" w:space="0" w:color="auto"/>
        <w:bottom w:val="none" w:sz="0" w:space="0" w:color="auto"/>
        <w:right w:val="none" w:sz="0" w:space="0" w:color="auto"/>
      </w:divBdr>
    </w:div>
    <w:div w:id="515776212">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651021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6184318">
      <w:bodyDiv w:val="1"/>
      <w:marLeft w:val="0"/>
      <w:marRight w:val="0"/>
      <w:marTop w:val="0"/>
      <w:marBottom w:val="0"/>
      <w:divBdr>
        <w:top w:val="none" w:sz="0" w:space="0" w:color="auto"/>
        <w:left w:val="none" w:sz="0" w:space="0" w:color="auto"/>
        <w:bottom w:val="none" w:sz="0" w:space="0" w:color="auto"/>
        <w:right w:val="none" w:sz="0" w:space="0" w:color="auto"/>
      </w:divBdr>
    </w:div>
    <w:div w:id="546334289">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49875918">
      <w:bodyDiv w:val="1"/>
      <w:marLeft w:val="0"/>
      <w:marRight w:val="0"/>
      <w:marTop w:val="0"/>
      <w:marBottom w:val="0"/>
      <w:divBdr>
        <w:top w:val="none" w:sz="0" w:space="0" w:color="auto"/>
        <w:left w:val="none" w:sz="0" w:space="0" w:color="auto"/>
        <w:bottom w:val="none" w:sz="0" w:space="0" w:color="auto"/>
        <w:right w:val="none" w:sz="0" w:space="0" w:color="auto"/>
      </w:divBdr>
    </w:div>
    <w:div w:id="553007000">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4995703">
      <w:bodyDiv w:val="1"/>
      <w:marLeft w:val="0"/>
      <w:marRight w:val="0"/>
      <w:marTop w:val="0"/>
      <w:marBottom w:val="0"/>
      <w:divBdr>
        <w:top w:val="none" w:sz="0" w:space="0" w:color="auto"/>
        <w:left w:val="none" w:sz="0" w:space="0" w:color="auto"/>
        <w:bottom w:val="none" w:sz="0" w:space="0" w:color="auto"/>
        <w:right w:val="none" w:sz="0" w:space="0" w:color="auto"/>
      </w:divBdr>
      <w:divsChild>
        <w:div w:id="1814787995">
          <w:marLeft w:val="0"/>
          <w:marRight w:val="0"/>
          <w:marTop w:val="0"/>
          <w:marBottom w:val="0"/>
          <w:divBdr>
            <w:top w:val="none" w:sz="0" w:space="0" w:color="auto"/>
            <w:left w:val="none" w:sz="0" w:space="0" w:color="auto"/>
            <w:bottom w:val="none" w:sz="0" w:space="0" w:color="auto"/>
            <w:right w:val="none" w:sz="0" w:space="0" w:color="auto"/>
          </w:divBdr>
        </w:div>
      </w:divsChild>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572588604">
      <w:bodyDiv w:val="1"/>
      <w:marLeft w:val="0"/>
      <w:marRight w:val="0"/>
      <w:marTop w:val="0"/>
      <w:marBottom w:val="0"/>
      <w:divBdr>
        <w:top w:val="none" w:sz="0" w:space="0" w:color="auto"/>
        <w:left w:val="none" w:sz="0" w:space="0" w:color="auto"/>
        <w:bottom w:val="none" w:sz="0" w:space="0" w:color="auto"/>
        <w:right w:val="none" w:sz="0" w:space="0" w:color="auto"/>
      </w:divBdr>
    </w:div>
    <w:div w:id="580217483">
      <w:bodyDiv w:val="1"/>
      <w:marLeft w:val="0"/>
      <w:marRight w:val="0"/>
      <w:marTop w:val="0"/>
      <w:marBottom w:val="0"/>
      <w:divBdr>
        <w:top w:val="none" w:sz="0" w:space="0" w:color="auto"/>
        <w:left w:val="none" w:sz="0" w:space="0" w:color="auto"/>
        <w:bottom w:val="none" w:sz="0" w:space="0" w:color="auto"/>
        <w:right w:val="none" w:sz="0" w:space="0" w:color="auto"/>
      </w:divBdr>
    </w:div>
    <w:div w:id="59771622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0404414">
      <w:bodyDiv w:val="1"/>
      <w:marLeft w:val="0"/>
      <w:marRight w:val="0"/>
      <w:marTop w:val="0"/>
      <w:marBottom w:val="0"/>
      <w:divBdr>
        <w:top w:val="none" w:sz="0" w:space="0" w:color="auto"/>
        <w:left w:val="none" w:sz="0" w:space="0" w:color="auto"/>
        <w:bottom w:val="none" w:sz="0" w:space="0" w:color="auto"/>
        <w:right w:val="none" w:sz="0" w:space="0" w:color="auto"/>
      </w:divBdr>
      <w:divsChild>
        <w:div w:id="1329358222">
          <w:marLeft w:val="0"/>
          <w:marRight w:val="0"/>
          <w:marTop w:val="0"/>
          <w:marBottom w:val="0"/>
          <w:divBdr>
            <w:top w:val="none" w:sz="0" w:space="0" w:color="auto"/>
            <w:left w:val="none" w:sz="0" w:space="0" w:color="auto"/>
            <w:bottom w:val="none" w:sz="0" w:space="0" w:color="auto"/>
            <w:right w:val="none" w:sz="0" w:space="0" w:color="auto"/>
          </w:divBdr>
        </w:div>
      </w:divsChild>
    </w:div>
    <w:div w:id="622736795">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9169519">
      <w:bodyDiv w:val="1"/>
      <w:marLeft w:val="0"/>
      <w:marRight w:val="0"/>
      <w:marTop w:val="0"/>
      <w:marBottom w:val="0"/>
      <w:divBdr>
        <w:top w:val="none" w:sz="0" w:space="0" w:color="auto"/>
        <w:left w:val="none" w:sz="0" w:space="0" w:color="auto"/>
        <w:bottom w:val="none" w:sz="0" w:space="0" w:color="auto"/>
        <w:right w:val="none" w:sz="0" w:space="0" w:color="auto"/>
      </w:divBdr>
    </w:div>
    <w:div w:id="641345040">
      <w:bodyDiv w:val="1"/>
      <w:marLeft w:val="0"/>
      <w:marRight w:val="0"/>
      <w:marTop w:val="0"/>
      <w:marBottom w:val="0"/>
      <w:divBdr>
        <w:top w:val="none" w:sz="0" w:space="0" w:color="auto"/>
        <w:left w:val="none" w:sz="0" w:space="0" w:color="auto"/>
        <w:bottom w:val="none" w:sz="0" w:space="0" w:color="auto"/>
        <w:right w:val="none" w:sz="0" w:space="0" w:color="auto"/>
      </w:divBdr>
    </w:div>
    <w:div w:id="653946561">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7750685">
      <w:bodyDiv w:val="1"/>
      <w:marLeft w:val="0"/>
      <w:marRight w:val="0"/>
      <w:marTop w:val="0"/>
      <w:marBottom w:val="0"/>
      <w:divBdr>
        <w:top w:val="none" w:sz="0" w:space="0" w:color="auto"/>
        <w:left w:val="none" w:sz="0" w:space="0" w:color="auto"/>
        <w:bottom w:val="none" w:sz="0" w:space="0" w:color="auto"/>
        <w:right w:val="none" w:sz="0" w:space="0" w:color="auto"/>
      </w:divBdr>
    </w:div>
    <w:div w:id="689454014">
      <w:bodyDiv w:val="1"/>
      <w:marLeft w:val="0"/>
      <w:marRight w:val="0"/>
      <w:marTop w:val="0"/>
      <w:marBottom w:val="0"/>
      <w:divBdr>
        <w:top w:val="none" w:sz="0" w:space="0" w:color="auto"/>
        <w:left w:val="none" w:sz="0" w:space="0" w:color="auto"/>
        <w:bottom w:val="none" w:sz="0" w:space="0" w:color="auto"/>
        <w:right w:val="none" w:sz="0" w:space="0" w:color="auto"/>
      </w:divBdr>
    </w:div>
    <w:div w:id="689768108">
      <w:bodyDiv w:val="1"/>
      <w:marLeft w:val="0"/>
      <w:marRight w:val="0"/>
      <w:marTop w:val="0"/>
      <w:marBottom w:val="0"/>
      <w:divBdr>
        <w:top w:val="none" w:sz="0" w:space="0" w:color="auto"/>
        <w:left w:val="none" w:sz="0" w:space="0" w:color="auto"/>
        <w:bottom w:val="none" w:sz="0" w:space="0" w:color="auto"/>
        <w:right w:val="none" w:sz="0" w:space="0" w:color="auto"/>
      </w:divBdr>
    </w:div>
    <w:div w:id="695156804">
      <w:bodyDiv w:val="1"/>
      <w:marLeft w:val="0"/>
      <w:marRight w:val="0"/>
      <w:marTop w:val="0"/>
      <w:marBottom w:val="0"/>
      <w:divBdr>
        <w:top w:val="none" w:sz="0" w:space="0" w:color="auto"/>
        <w:left w:val="none" w:sz="0" w:space="0" w:color="auto"/>
        <w:bottom w:val="none" w:sz="0" w:space="0" w:color="auto"/>
        <w:right w:val="none" w:sz="0" w:space="0" w:color="auto"/>
      </w:divBdr>
    </w:div>
    <w:div w:id="71088335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9232485">
      <w:bodyDiv w:val="1"/>
      <w:marLeft w:val="0"/>
      <w:marRight w:val="0"/>
      <w:marTop w:val="0"/>
      <w:marBottom w:val="0"/>
      <w:divBdr>
        <w:top w:val="none" w:sz="0" w:space="0" w:color="auto"/>
        <w:left w:val="none" w:sz="0" w:space="0" w:color="auto"/>
        <w:bottom w:val="none" w:sz="0" w:space="0" w:color="auto"/>
        <w:right w:val="none" w:sz="0" w:space="0" w:color="auto"/>
      </w:divBdr>
    </w:div>
    <w:div w:id="754671093">
      <w:bodyDiv w:val="1"/>
      <w:marLeft w:val="0"/>
      <w:marRight w:val="0"/>
      <w:marTop w:val="0"/>
      <w:marBottom w:val="0"/>
      <w:divBdr>
        <w:top w:val="none" w:sz="0" w:space="0" w:color="auto"/>
        <w:left w:val="none" w:sz="0" w:space="0" w:color="auto"/>
        <w:bottom w:val="none" w:sz="0" w:space="0" w:color="auto"/>
        <w:right w:val="none" w:sz="0" w:space="0" w:color="auto"/>
      </w:divBdr>
      <w:divsChild>
        <w:div w:id="377634354">
          <w:marLeft w:val="0"/>
          <w:marRight w:val="0"/>
          <w:marTop w:val="0"/>
          <w:marBottom w:val="0"/>
          <w:divBdr>
            <w:top w:val="none" w:sz="0" w:space="0" w:color="auto"/>
            <w:left w:val="none" w:sz="0" w:space="0" w:color="auto"/>
            <w:bottom w:val="none" w:sz="0" w:space="0" w:color="auto"/>
            <w:right w:val="none" w:sz="0" w:space="0" w:color="auto"/>
          </w:divBdr>
        </w:div>
      </w:divsChild>
    </w:div>
    <w:div w:id="755983056">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69590192">
      <w:bodyDiv w:val="1"/>
      <w:marLeft w:val="0"/>
      <w:marRight w:val="0"/>
      <w:marTop w:val="0"/>
      <w:marBottom w:val="0"/>
      <w:divBdr>
        <w:top w:val="none" w:sz="0" w:space="0" w:color="auto"/>
        <w:left w:val="none" w:sz="0" w:space="0" w:color="auto"/>
        <w:bottom w:val="none" w:sz="0" w:space="0" w:color="auto"/>
        <w:right w:val="none" w:sz="0" w:space="0" w:color="auto"/>
      </w:divBdr>
      <w:divsChild>
        <w:div w:id="1436365972">
          <w:marLeft w:val="0"/>
          <w:marRight w:val="0"/>
          <w:marTop w:val="0"/>
          <w:marBottom w:val="0"/>
          <w:divBdr>
            <w:top w:val="none" w:sz="0" w:space="0" w:color="auto"/>
            <w:left w:val="none" w:sz="0" w:space="0" w:color="auto"/>
            <w:bottom w:val="none" w:sz="0" w:space="0" w:color="auto"/>
            <w:right w:val="none" w:sz="0" w:space="0" w:color="auto"/>
          </w:divBdr>
        </w:div>
      </w:divsChild>
    </w:div>
    <w:div w:id="77486078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1610647">
      <w:bodyDiv w:val="1"/>
      <w:marLeft w:val="0"/>
      <w:marRight w:val="0"/>
      <w:marTop w:val="0"/>
      <w:marBottom w:val="0"/>
      <w:divBdr>
        <w:top w:val="none" w:sz="0" w:space="0" w:color="auto"/>
        <w:left w:val="none" w:sz="0" w:space="0" w:color="auto"/>
        <w:bottom w:val="none" w:sz="0" w:space="0" w:color="auto"/>
        <w:right w:val="none" w:sz="0" w:space="0" w:color="auto"/>
      </w:divBdr>
    </w:div>
    <w:div w:id="791091114">
      <w:bodyDiv w:val="1"/>
      <w:marLeft w:val="0"/>
      <w:marRight w:val="0"/>
      <w:marTop w:val="0"/>
      <w:marBottom w:val="0"/>
      <w:divBdr>
        <w:top w:val="none" w:sz="0" w:space="0" w:color="auto"/>
        <w:left w:val="none" w:sz="0" w:space="0" w:color="auto"/>
        <w:bottom w:val="none" w:sz="0" w:space="0" w:color="auto"/>
        <w:right w:val="none" w:sz="0" w:space="0" w:color="auto"/>
      </w:divBdr>
    </w:div>
    <w:div w:id="80112000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930725">
      <w:bodyDiv w:val="1"/>
      <w:marLeft w:val="0"/>
      <w:marRight w:val="0"/>
      <w:marTop w:val="0"/>
      <w:marBottom w:val="0"/>
      <w:divBdr>
        <w:top w:val="none" w:sz="0" w:space="0" w:color="auto"/>
        <w:left w:val="none" w:sz="0" w:space="0" w:color="auto"/>
        <w:bottom w:val="none" w:sz="0" w:space="0" w:color="auto"/>
        <w:right w:val="none" w:sz="0" w:space="0" w:color="auto"/>
      </w:divBdr>
      <w:divsChild>
        <w:div w:id="236092809">
          <w:marLeft w:val="0"/>
          <w:marRight w:val="0"/>
          <w:marTop w:val="0"/>
          <w:marBottom w:val="0"/>
          <w:divBdr>
            <w:top w:val="none" w:sz="0" w:space="0" w:color="auto"/>
            <w:left w:val="none" w:sz="0" w:space="0" w:color="auto"/>
            <w:bottom w:val="none" w:sz="0" w:space="0" w:color="auto"/>
            <w:right w:val="none" w:sz="0" w:space="0" w:color="auto"/>
          </w:divBdr>
        </w:div>
      </w:divsChild>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3858419">
      <w:bodyDiv w:val="1"/>
      <w:marLeft w:val="0"/>
      <w:marRight w:val="0"/>
      <w:marTop w:val="0"/>
      <w:marBottom w:val="0"/>
      <w:divBdr>
        <w:top w:val="none" w:sz="0" w:space="0" w:color="auto"/>
        <w:left w:val="none" w:sz="0" w:space="0" w:color="auto"/>
        <w:bottom w:val="none" w:sz="0" w:space="0" w:color="auto"/>
        <w:right w:val="none" w:sz="0" w:space="0" w:color="auto"/>
      </w:divBdr>
    </w:div>
    <w:div w:id="831214157">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6384040">
      <w:bodyDiv w:val="1"/>
      <w:marLeft w:val="0"/>
      <w:marRight w:val="0"/>
      <w:marTop w:val="0"/>
      <w:marBottom w:val="0"/>
      <w:divBdr>
        <w:top w:val="none" w:sz="0" w:space="0" w:color="auto"/>
        <w:left w:val="none" w:sz="0" w:space="0" w:color="auto"/>
        <w:bottom w:val="none" w:sz="0" w:space="0" w:color="auto"/>
        <w:right w:val="none" w:sz="0" w:space="0" w:color="auto"/>
      </w:divBdr>
    </w:div>
    <w:div w:id="836699564">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77160054">
      <w:bodyDiv w:val="1"/>
      <w:marLeft w:val="0"/>
      <w:marRight w:val="0"/>
      <w:marTop w:val="0"/>
      <w:marBottom w:val="0"/>
      <w:divBdr>
        <w:top w:val="none" w:sz="0" w:space="0" w:color="auto"/>
        <w:left w:val="none" w:sz="0" w:space="0" w:color="auto"/>
        <w:bottom w:val="none" w:sz="0" w:space="0" w:color="auto"/>
        <w:right w:val="none" w:sz="0" w:space="0" w:color="auto"/>
      </w:divBdr>
      <w:divsChild>
        <w:div w:id="1391997316">
          <w:marLeft w:val="0"/>
          <w:marRight w:val="0"/>
          <w:marTop w:val="0"/>
          <w:marBottom w:val="0"/>
          <w:divBdr>
            <w:top w:val="none" w:sz="0" w:space="0" w:color="auto"/>
            <w:left w:val="none" w:sz="0" w:space="0" w:color="auto"/>
            <w:bottom w:val="none" w:sz="0" w:space="0" w:color="auto"/>
            <w:right w:val="none" w:sz="0" w:space="0" w:color="auto"/>
          </w:divBdr>
        </w:div>
      </w:divsChild>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7187936">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892739765">
      <w:bodyDiv w:val="1"/>
      <w:marLeft w:val="0"/>
      <w:marRight w:val="0"/>
      <w:marTop w:val="0"/>
      <w:marBottom w:val="0"/>
      <w:divBdr>
        <w:top w:val="none" w:sz="0" w:space="0" w:color="auto"/>
        <w:left w:val="none" w:sz="0" w:space="0" w:color="auto"/>
        <w:bottom w:val="none" w:sz="0" w:space="0" w:color="auto"/>
        <w:right w:val="none" w:sz="0" w:space="0" w:color="auto"/>
      </w:divBdr>
    </w:div>
    <w:div w:id="895311044">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26185447">
      <w:bodyDiv w:val="1"/>
      <w:marLeft w:val="0"/>
      <w:marRight w:val="0"/>
      <w:marTop w:val="0"/>
      <w:marBottom w:val="0"/>
      <w:divBdr>
        <w:top w:val="none" w:sz="0" w:space="0" w:color="auto"/>
        <w:left w:val="none" w:sz="0" w:space="0" w:color="auto"/>
        <w:bottom w:val="none" w:sz="0" w:space="0" w:color="auto"/>
        <w:right w:val="none" w:sz="0" w:space="0" w:color="auto"/>
      </w:divBdr>
    </w:div>
    <w:div w:id="928776361">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0430577">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5756786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sChild>
        <w:div w:id="693265229">
          <w:marLeft w:val="0"/>
          <w:marRight w:val="0"/>
          <w:marTop w:val="0"/>
          <w:marBottom w:val="0"/>
          <w:divBdr>
            <w:top w:val="none" w:sz="0" w:space="0" w:color="auto"/>
            <w:left w:val="none" w:sz="0" w:space="0" w:color="auto"/>
            <w:bottom w:val="none" w:sz="0" w:space="0" w:color="auto"/>
            <w:right w:val="none" w:sz="0" w:space="0" w:color="auto"/>
          </w:divBdr>
        </w:div>
      </w:divsChild>
    </w:div>
    <w:div w:id="965085253">
      <w:bodyDiv w:val="1"/>
      <w:marLeft w:val="0"/>
      <w:marRight w:val="0"/>
      <w:marTop w:val="0"/>
      <w:marBottom w:val="0"/>
      <w:divBdr>
        <w:top w:val="none" w:sz="0" w:space="0" w:color="auto"/>
        <w:left w:val="none" w:sz="0" w:space="0" w:color="auto"/>
        <w:bottom w:val="none" w:sz="0" w:space="0" w:color="auto"/>
        <w:right w:val="none" w:sz="0" w:space="0" w:color="auto"/>
      </w:divBdr>
    </w:div>
    <w:div w:id="967248649">
      <w:bodyDiv w:val="1"/>
      <w:marLeft w:val="0"/>
      <w:marRight w:val="0"/>
      <w:marTop w:val="0"/>
      <w:marBottom w:val="0"/>
      <w:divBdr>
        <w:top w:val="none" w:sz="0" w:space="0" w:color="auto"/>
        <w:left w:val="none" w:sz="0" w:space="0" w:color="auto"/>
        <w:bottom w:val="none" w:sz="0" w:space="0" w:color="auto"/>
        <w:right w:val="none" w:sz="0" w:space="0" w:color="auto"/>
      </w:divBdr>
    </w:div>
    <w:div w:id="97001918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9773119">
      <w:bodyDiv w:val="1"/>
      <w:marLeft w:val="0"/>
      <w:marRight w:val="0"/>
      <w:marTop w:val="0"/>
      <w:marBottom w:val="0"/>
      <w:divBdr>
        <w:top w:val="none" w:sz="0" w:space="0" w:color="auto"/>
        <w:left w:val="none" w:sz="0" w:space="0" w:color="auto"/>
        <w:bottom w:val="none" w:sz="0" w:space="0" w:color="auto"/>
        <w:right w:val="none" w:sz="0" w:space="0" w:color="auto"/>
      </w:divBdr>
    </w:div>
    <w:div w:id="980497923">
      <w:bodyDiv w:val="1"/>
      <w:marLeft w:val="0"/>
      <w:marRight w:val="0"/>
      <w:marTop w:val="0"/>
      <w:marBottom w:val="0"/>
      <w:divBdr>
        <w:top w:val="none" w:sz="0" w:space="0" w:color="auto"/>
        <w:left w:val="none" w:sz="0" w:space="0" w:color="auto"/>
        <w:bottom w:val="none" w:sz="0" w:space="0" w:color="auto"/>
        <w:right w:val="none" w:sz="0" w:space="0" w:color="auto"/>
      </w:divBdr>
    </w:div>
    <w:div w:id="985013797">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5182791">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999770621">
      <w:bodyDiv w:val="1"/>
      <w:marLeft w:val="0"/>
      <w:marRight w:val="0"/>
      <w:marTop w:val="0"/>
      <w:marBottom w:val="0"/>
      <w:divBdr>
        <w:top w:val="none" w:sz="0" w:space="0" w:color="auto"/>
        <w:left w:val="none" w:sz="0" w:space="0" w:color="auto"/>
        <w:bottom w:val="none" w:sz="0" w:space="0" w:color="auto"/>
        <w:right w:val="none" w:sz="0" w:space="0" w:color="auto"/>
      </w:divBdr>
    </w:div>
    <w:div w:id="1002244106">
      <w:bodyDiv w:val="1"/>
      <w:marLeft w:val="0"/>
      <w:marRight w:val="0"/>
      <w:marTop w:val="0"/>
      <w:marBottom w:val="0"/>
      <w:divBdr>
        <w:top w:val="none" w:sz="0" w:space="0" w:color="auto"/>
        <w:left w:val="none" w:sz="0" w:space="0" w:color="auto"/>
        <w:bottom w:val="none" w:sz="0" w:space="0" w:color="auto"/>
        <w:right w:val="none" w:sz="0" w:space="0" w:color="auto"/>
      </w:divBdr>
    </w:div>
    <w:div w:id="1002969706">
      <w:bodyDiv w:val="1"/>
      <w:marLeft w:val="0"/>
      <w:marRight w:val="0"/>
      <w:marTop w:val="0"/>
      <w:marBottom w:val="0"/>
      <w:divBdr>
        <w:top w:val="none" w:sz="0" w:space="0" w:color="auto"/>
        <w:left w:val="none" w:sz="0" w:space="0" w:color="auto"/>
        <w:bottom w:val="none" w:sz="0" w:space="0" w:color="auto"/>
        <w:right w:val="none" w:sz="0" w:space="0" w:color="auto"/>
      </w:divBdr>
    </w:div>
    <w:div w:id="1008945452">
      <w:bodyDiv w:val="1"/>
      <w:marLeft w:val="0"/>
      <w:marRight w:val="0"/>
      <w:marTop w:val="0"/>
      <w:marBottom w:val="0"/>
      <w:divBdr>
        <w:top w:val="none" w:sz="0" w:space="0" w:color="auto"/>
        <w:left w:val="none" w:sz="0" w:space="0" w:color="auto"/>
        <w:bottom w:val="none" w:sz="0" w:space="0" w:color="auto"/>
        <w:right w:val="none" w:sz="0" w:space="0" w:color="auto"/>
      </w:divBdr>
      <w:divsChild>
        <w:div w:id="1783377881">
          <w:marLeft w:val="0"/>
          <w:marRight w:val="0"/>
          <w:marTop w:val="0"/>
          <w:marBottom w:val="0"/>
          <w:divBdr>
            <w:top w:val="none" w:sz="0" w:space="0" w:color="auto"/>
            <w:left w:val="none" w:sz="0" w:space="0" w:color="auto"/>
            <w:bottom w:val="none" w:sz="0" w:space="0" w:color="auto"/>
            <w:right w:val="none" w:sz="0" w:space="0" w:color="auto"/>
          </w:divBdr>
        </w:div>
      </w:divsChild>
    </w:div>
    <w:div w:id="1010523143">
      <w:bodyDiv w:val="1"/>
      <w:marLeft w:val="0"/>
      <w:marRight w:val="0"/>
      <w:marTop w:val="0"/>
      <w:marBottom w:val="0"/>
      <w:divBdr>
        <w:top w:val="none" w:sz="0" w:space="0" w:color="auto"/>
        <w:left w:val="none" w:sz="0" w:space="0" w:color="auto"/>
        <w:bottom w:val="none" w:sz="0" w:space="0" w:color="auto"/>
        <w:right w:val="none" w:sz="0" w:space="0" w:color="auto"/>
      </w:divBdr>
    </w:div>
    <w:div w:id="1017805340">
      <w:bodyDiv w:val="1"/>
      <w:marLeft w:val="0"/>
      <w:marRight w:val="0"/>
      <w:marTop w:val="0"/>
      <w:marBottom w:val="0"/>
      <w:divBdr>
        <w:top w:val="none" w:sz="0" w:space="0" w:color="auto"/>
        <w:left w:val="none" w:sz="0" w:space="0" w:color="auto"/>
        <w:bottom w:val="none" w:sz="0" w:space="0" w:color="auto"/>
        <w:right w:val="none" w:sz="0" w:space="0" w:color="auto"/>
      </w:divBdr>
    </w:div>
    <w:div w:id="1022049353">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29843593">
      <w:bodyDiv w:val="1"/>
      <w:marLeft w:val="0"/>
      <w:marRight w:val="0"/>
      <w:marTop w:val="0"/>
      <w:marBottom w:val="0"/>
      <w:divBdr>
        <w:top w:val="none" w:sz="0" w:space="0" w:color="auto"/>
        <w:left w:val="none" w:sz="0" w:space="0" w:color="auto"/>
        <w:bottom w:val="none" w:sz="0" w:space="0" w:color="auto"/>
        <w:right w:val="none" w:sz="0" w:space="0" w:color="auto"/>
      </w:divBdr>
    </w:div>
    <w:div w:id="1036270014">
      <w:bodyDiv w:val="1"/>
      <w:marLeft w:val="0"/>
      <w:marRight w:val="0"/>
      <w:marTop w:val="0"/>
      <w:marBottom w:val="0"/>
      <w:divBdr>
        <w:top w:val="none" w:sz="0" w:space="0" w:color="auto"/>
        <w:left w:val="none" w:sz="0" w:space="0" w:color="auto"/>
        <w:bottom w:val="none" w:sz="0" w:space="0" w:color="auto"/>
        <w:right w:val="none" w:sz="0" w:space="0" w:color="auto"/>
      </w:divBdr>
    </w:div>
    <w:div w:id="1037777010">
      <w:bodyDiv w:val="1"/>
      <w:marLeft w:val="0"/>
      <w:marRight w:val="0"/>
      <w:marTop w:val="0"/>
      <w:marBottom w:val="0"/>
      <w:divBdr>
        <w:top w:val="none" w:sz="0" w:space="0" w:color="auto"/>
        <w:left w:val="none" w:sz="0" w:space="0" w:color="auto"/>
        <w:bottom w:val="none" w:sz="0" w:space="0" w:color="auto"/>
        <w:right w:val="none" w:sz="0" w:space="0" w:color="auto"/>
      </w:divBdr>
      <w:divsChild>
        <w:div w:id="1994139896">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40711693">
      <w:bodyDiv w:val="1"/>
      <w:marLeft w:val="0"/>
      <w:marRight w:val="0"/>
      <w:marTop w:val="0"/>
      <w:marBottom w:val="0"/>
      <w:divBdr>
        <w:top w:val="none" w:sz="0" w:space="0" w:color="auto"/>
        <w:left w:val="none" w:sz="0" w:space="0" w:color="auto"/>
        <w:bottom w:val="none" w:sz="0" w:space="0" w:color="auto"/>
        <w:right w:val="none" w:sz="0" w:space="0" w:color="auto"/>
      </w:divBdr>
      <w:divsChild>
        <w:div w:id="1361013642">
          <w:marLeft w:val="0"/>
          <w:marRight w:val="0"/>
          <w:marTop w:val="0"/>
          <w:marBottom w:val="0"/>
          <w:divBdr>
            <w:top w:val="none" w:sz="0" w:space="0" w:color="auto"/>
            <w:left w:val="none" w:sz="0" w:space="0" w:color="auto"/>
            <w:bottom w:val="none" w:sz="0" w:space="0" w:color="auto"/>
            <w:right w:val="none" w:sz="0" w:space="0" w:color="auto"/>
          </w:divBdr>
        </w:div>
      </w:divsChild>
    </w:div>
    <w:div w:id="1052509078">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540018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743956">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5442808">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136056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9571050">
      <w:bodyDiv w:val="1"/>
      <w:marLeft w:val="0"/>
      <w:marRight w:val="0"/>
      <w:marTop w:val="0"/>
      <w:marBottom w:val="0"/>
      <w:divBdr>
        <w:top w:val="none" w:sz="0" w:space="0" w:color="auto"/>
        <w:left w:val="none" w:sz="0" w:space="0" w:color="auto"/>
        <w:bottom w:val="none" w:sz="0" w:space="0" w:color="auto"/>
        <w:right w:val="none" w:sz="0" w:space="0" w:color="auto"/>
      </w:divBdr>
    </w:div>
    <w:div w:id="11248834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7986642">
      <w:bodyDiv w:val="1"/>
      <w:marLeft w:val="0"/>
      <w:marRight w:val="0"/>
      <w:marTop w:val="0"/>
      <w:marBottom w:val="0"/>
      <w:divBdr>
        <w:top w:val="none" w:sz="0" w:space="0" w:color="auto"/>
        <w:left w:val="none" w:sz="0" w:space="0" w:color="auto"/>
        <w:bottom w:val="none" w:sz="0" w:space="0" w:color="auto"/>
        <w:right w:val="none" w:sz="0" w:space="0" w:color="auto"/>
      </w:divBdr>
    </w:div>
    <w:div w:id="1143734990">
      <w:bodyDiv w:val="1"/>
      <w:marLeft w:val="0"/>
      <w:marRight w:val="0"/>
      <w:marTop w:val="0"/>
      <w:marBottom w:val="0"/>
      <w:divBdr>
        <w:top w:val="none" w:sz="0" w:space="0" w:color="auto"/>
        <w:left w:val="none" w:sz="0" w:space="0" w:color="auto"/>
        <w:bottom w:val="none" w:sz="0" w:space="0" w:color="auto"/>
        <w:right w:val="none" w:sz="0" w:space="0" w:color="auto"/>
      </w:divBdr>
    </w:div>
    <w:div w:id="1143893632">
      <w:bodyDiv w:val="1"/>
      <w:marLeft w:val="0"/>
      <w:marRight w:val="0"/>
      <w:marTop w:val="0"/>
      <w:marBottom w:val="0"/>
      <w:divBdr>
        <w:top w:val="none" w:sz="0" w:space="0" w:color="auto"/>
        <w:left w:val="none" w:sz="0" w:space="0" w:color="auto"/>
        <w:bottom w:val="none" w:sz="0" w:space="0" w:color="auto"/>
        <w:right w:val="none" w:sz="0" w:space="0" w:color="auto"/>
      </w:divBdr>
      <w:divsChild>
        <w:div w:id="146438971">
          <w:marLeft w:val="0"/>
          <w:marRight w:val="0"/>
          <w:marTop w:val="0"/>
          <w:marBottom w:val="0"/>
          <w:divBdr>
            <w:top w:val="none" w:sz="0" w:space="0" w:color="auto"/>
            <w:left w:val="none" w:sz="0" w:space="0" w:color="auto"/>
            <w:bottom w:val="none" w:sz="0" w:space="0" w:color="auto"/>
            <w:right w:val="none" w:sz="0" w:space="0" w:color="auto"/>
          </w:divBdr>
        </w:div>
      </w:divsChild>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86930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101674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3422993">
      <w:bodyDiv w:val="1"/>
      <w:marLeft w:val="0"/>
      <w:marRight w:val="0"/>
      <w:marTop w:val="0"/>
      <w:marBottom w:val="0"/>
      <w:divBdr>
        <w:top w:val="none" w:sz="0" w:space="0" w:color="auto"/>
        <w:left w:val="none" w:sz="0" w:space="0" w:color="auto"/>
        <w:bottom w:val="none" w:sz="0" w:space="0" w:color="auto"/>
        <w:right w:val="none" w:sz="0" w:space="0" w:color="auto"/>
      </w:divBdr>
    </w:div>
    <w:div w:id="1217857677">
      <w:bodyDiv w:val="1"/>
      <w:marLeft w:val="0"/>
      <w:marRight w:val="0"/>
      <w:marTop w:val="0"/>
      <w:marBottom w:val="0"/>
      <w:divBdr>
        <w:top w:val="none" w:sz="0" w:space="0" w:color="auto"/>
        <w:left w:val="none" w:sz="0" w:space="0" w:color="auto"/>
        <w:bottom w:val="none" w:sz="0" w:space="0" w:color="auto"/>
        <w:right w:val="none" w:sz="0" w:space="0" w:color="auto"/>
      </w:divBdr>
    </w:div>
    <w:div w:id="1219977032">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1818598">
      <w:bodyDiv w:val="1"/>
      <w:marLeft w:val="0"/>
      <w:marRight w:val="0"/>
      <w:marTop w:val="0"/>
      <w:marBottom w:val="0"/>
      <w:divBdr>
        <w:top w:val="none" w:sz="0" w:space="0" w:color="auto"/>
        <w:left w:val="none" w:sz="0" w:space="0" w:color="auto"/>
        <w:bottom w:val="none" w:sz="0" w:space="0" w:color="auto"/>
        <w:right w:val="none" w:sz="0" w:space="0" w:color="auto"/>
      </w:divBdr>
    </w:div>
    <w:div w:id="1227451257">
      <w:bodyDiv w:val="1"/>
      <w:marLeft w:val="0"/>
      <w:marRight w:val="0"/>
      <w:marTop w:val="0"/>
      <w:marBottom w:val="0"/>
      <w:divBdr>
        <w:top w:val="none" w:sz="0" w:space="0" w:color="auto"/>
        <w:left w:val="none" w:sz="0" w:space="0" w:color="auto"/>
        <w:bottom w:val="none" w:sz="0" w:space="0" w:color="auto"/>
        <w:right w:val="none" w:sz="0" w:space="0" w:color="auto"/>
      </w:divBdr>
      <w:divsChild>
        <w:div w:id="389235728">
          <w:marLeft w:val="0"/>
          <w:marRight w:val="0"/>
          <w:marTop w:val="0"/>
          <w:marBottom w:val="0"/>
          <w:divBdr>
            <w:top w:val="none" w:sz="0" w:space="0" w:color="auto"/>
            <w:left w:val="none" w:sz="0" w:space="0" w:color="auto"/>
            <w:bottom w:val="none" w:sz="0" w:space="0" w:color="auto"/>
            <w:right w:val="none" w:sz="0" w:space="0" w:color="auto"/>
          </w:divBdr>
        </w:div>
      </w:divsChild>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108308">
      <w:bodyDiv w:val="1"/>
      <w:marLeft w:val="0"/>
      <w:marRight w:val="0"/>
      <w:marTop w:val="0"/>
      <w:marBottom w:val="0"/>
      <w:divBdr>
        <w:top w:val="none" w:sz="0" w:space="0" w:color="auto"/>
        <w:left w:val="none" w:sz="0" w:space="0" w:color="auto"/>
        <w:bottom w:val="none" w:sz="0" w:space="0" w:color="auto"/>
        <w:right w:val="none" w:sz="0" w:space="0" w:color="auto"/>
      </w:divBdr>
    </w:div>
    <w:div w:id="1241450925">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2432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1083430">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78681942">
      <w:bodyDiv w:val="1"/>
      <w:marLeft w:val="0"/>
      <w:marRight w:val="0"/>
      <w:marTop w:val="0"/>
      <w:marBottom w:val="0"/>
      <w:divBdr>
        <w:top w:val="none" w:sz="0" w:space="0" w:color="auto"/>
        <w:left w:val="none" w:sz="0" w:space="0" w:color="auto"/>
        <w:bottom w:val="none" w:sz="0" w:space="0" w:color="auto"/>
        <w:right w:val="none" w:sz="0" w:space="0" w:color="auto"/>
      </w:divBdr>
    </w:div>
    <w:div w:id="1281381875">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2176392">
      <w:bodyDiv w:val="1"/>
      <w:marLeft w:val="0"/>
      <w:marRight w:val="0"/>
      <w:marTop w:val="0"/>
      <w:marBottom w:val="0"/>
      <w:divBdr>
        <w:top w:val="none" w:sz="0" w:space="0" w:color="auto"/>
        <w:left w:val="none" w:sz="0" w:space="0" w:color="auto"/>
        <w:bottom w:val="none" w:sz="0" w:space="0" w:color="auto"/>
        <w:right w:val="none" w:sz="0" w:space="0" w:color="auto"/>
      </w:divBdr>
    </w:div>
    <w:div w:id="1297250469">
      <w:bodyDiv w:val="1"/>
      <w:marLeft w:val="0"/>
      <w:marRight w:val="0"/>
      <w:marTop w:val="0"/>
      <w:marBottom w:val="0"/>
      <w:divBdr>
        <w:top w:val="none" w:sz="0" w:space="0" w:color="auto"/>
        <w:left w:val="none" w:sz="0" w:space="0" w:color="auto"/>
        <w:bottom w:val="none" w:sz="0" w:space="0" w:color="auto"/>
        <w:right w:val="none" w:sz="0" w:space="0" w:color="auto"/>
      </w:divBdr>
    </w:div>
    <w:div w:id="1304433169">
      <w:bodyDiv w:val="1"/>
      <w:marLeft w:val="0"/>
      <w:marRight w:val="0"/>
      <w:marTop w:val="0"/>
      <w:marBottom w:val="0"/>
      <w:divBdr>
        <w:top w:val="none" w:sz="0" w:space="0" w:color="auto"/>
        <w:left w:val="none" w:sz="0" w:space="0" w:color="auto"/>
        <w:bottom w:val="none" w:sz="0" w:space="0" w:color="auto"/>
        <w:right w:val="none" w:sz="0" w:space="0" w:color="auto"/>
      </w:divBdr>
    </w:div>
    <w:div w:id="1305158382">
      <w:bodyDiv w:val="1"/>
      <w:marLeft w:val="0"/>
      <w:marRight w:val="0"/>
      <w:marTop w:val="0"/>
      <w:marBottom w:val="0"/>
      <w:divBdr>
        <w:top w:val="none" w:sz="0" w:space="0" w:color="auto"/>
        <w:left w:val="none" w:sz="0" w:space="0" w:color="auto"/>
        <w:bottom w:val="none" w:sz="0" w:space="0" w:color="auto"/>
        <w:right w:val="none" w:sz="0" w:space="0" w:color="auto"/>
      </w:divBdr>
    </w:div>
    <w:div w:id="1308054223">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6277390">
      <w:bodyDiv w:val="1"/>
      <w:marLeft w:val="0"/>
      <w:marRight w:val="0"/>
      <w:marTop w:val="0"/>
      <w:marBottom w:val="0"/>
      <w:divBdr>
        <w:top w:val="none" w:sz="0" w:space="0" w:color="auto"/>
        <w:left w:val="none" w:sz="0" w:space="0" w:color="auto"/>
        <w:bottom w:val="none" w:sz="0" w:space="0" w:color="auto"/>
        <w:right w:val="none" w:sz="0" w:space="0" w:color="auto"/>
      </w:divBdr>
    </w:div>
    <w:div w:id="1327786564">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1172823">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40429973">
      <w:bodyDiv w:val="1"/>
      <w:marLeft w:val="0"/>
      <w:marRight w:val="0"/>
      <w:marTop w:val="0"/>
      <w:marBottom w:val="0"/>
      <w:divBdr>
        <w:top w:val="none" w:sz="0" w:space="0" w:color="auto"/>
        <w:left w:val="none" w:sz="0" w:space="0" w:color="auto"/>
        <w:bottom w:val="none" w:sz="0" w:space="0" w:color="auto"/>
        <w:right w:val="none" w:sz="0" w:space="0" w:color="auto"/>
      </w:divBdr>
    </w:div>
    <w:div w:id="1345791376">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2779541">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638386">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226431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77582857">
      <w:bodyDiv w:val="1"/>
      <w:marLeft w:val="0"/>
      <w:marRight w:val="0"/>
      <w:marTop w:val="0"/>
      <w:marBottom w:val="0"/>
      <w:divBdr>
        <w:top w:val="none" w:sz="0" w:space="0" w:color="auto"/>
        <w:left w:val="none" w:sz="0" w:space="0" w:color="auto"/>
        <w:bottom w:val="none" w:sz="0" w:space="0" w:color="auto"/>
        <w:right w:val="none" w:sz="0" w:space="0" w:color="auto"/>
      </w:divBdr>
    </w:div>
    <w:div w:id="1380205011">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951965">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028425">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065789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233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7576084">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55637831">
      <w:bodyDiv w:val="1"/>
      <w:marLeft w:val="0"/>
      <w:marRight w:val="0"/>
      <w:marTop w:val="0"/>
      <w:marBottom w:val="0"/>
      <w:divBdr>
        <w:top w:val="none" w:sz="0" w:space="0" w:color="auto"/>
        <w:left w:val="none" w:sz="0" w:space="0" w:color="auto"/>
        <w:bottom w:val="none" w:sz="0" w:space="0" w:color="auto"/>
        <w:right w:val="none" w:sz="0" w:space="0" w:color="auto"/>
      </w:divBdr>
      <w:divsChild>
        <w:div w:id="776564052">
          <w:marLeft w:val="0"/>
          <w:marRight w:val="0"/>
          <w:marTop w:val="0"/>
          <w:marBottom w:val="0"/>
          <w:divBdr>
            <w:top w:val="none" w:sz="0" w:space="0" w:color="auto"/>
            <w:left w:val="none" w:sz="0" w:space="0" w:color="auto"/>
            <w:bottom w:val="none" w:sz="0" w:space="0" w:color="auto"/>
            <w:right w:val="none" w:sz="0" w:space="0" w:color="auto"/>
          </w:divBdr>
        </w:div>
      </w:divsChild>
    </w:div>
    <w:div w:id="1457720304">
      <w:bodyDiv w:val="1"/>
      <w:marLeft w:val="0"/>
      <w:marRight w:val="0"/>
      <w:marTop w:val="0"/>
      <w:marBottom w:val="0"/>
      <w:divBdr>
        <w:top w:val="none" w:sz="0" w:space="0" w:color="auto"/>
        <w:left w:val="none" w:sz="0" w:space="0" w:color="auto"/>
        <w:bottom w:val="none" w:sz="0" w:space="0" w:color="auto"/>
        <w:right w:val="none" w:sz="0" w:space="0" w:color="auto"/>
      </w:divBdr>
    </w:div>
    <w:div w:id="146573563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5536029">
      <w:bodyDiv w:val="1"/>
      <w:marLeft w:val="0"/>
      <w:marRight w:val="0"/>
      <w:marTop w:val="0"/>
      <w:marBottom w:val="0"/>
      <w:divBdr>
        <w:top w:val="none" w:sz="0" w:space="0" w:color="auto"/>
        <w:left w:val="none" w:sz="0" w:space="0" w:color="auto"/>
        <w:bottom w:val="none" w:sz="0" w:space="0" w:color="auto"/>
        <w:right w:val="none" w:sz="0" w:space="0" w:color="auto"/>
      </w:divBdr>
    </w:div>
    <w:div w:id="1538666204">
      <w:bodyDiv w:val="1"/>
      <w:marLeft w:val="0"/>
      <w:marRight w:val="0"/>
      <w:marTop w:val="0"/>
      <w:marBottom w:val="0"/>
      <w:divBdr>
        <w:top w:val="none" w:sz="0" w:space="0" w:color="auto"/>
        <w:left w:val="none" w:sz="0" w:space="0" w:color="auto"/>
        <w:bottom w:val="none" w:sz="0" w:space="0" w:color="auto"/>
        <w:right w:val="none" w:sz="0" w:space="0" w:color="auto"/>
      </w:divBdr>
    </w:div>
    <w:div w:id="1539783615">
      <w:bodyDiv w:val="1"/>
      <w:marLeft w:val="0"/>
      <w:marRight w:val="0"/>
      <w:marTop w:val="0"/>
      <w:marBottom w:val="0"/>
      <w:divBdr>
        <w:top w:val="none" w:sz="0" w:space="0" w:color="auto"/>
        <w:left w:val="none" w:sz="0" w:space="0" w:color="auto"/>
        <w:bottom w:val="none" w:sz="0" w:space="0" w:color="auto"/>
        <w:right w:val="none" w:sz="0" w:space="0" w:color="auto"/>
      </w:divBdr>
    </w:div>
    <w:div w:id="1542400679">
      <w:bodyDiv w:val="1"/>
      <w:marLeft w:val="0"/>
      <w:marRight w:val="0"/>
      <w:marTop w:val="0"/>
      <w:marBottom w:val="0"/>
      <w:divBdr>
        <w:top w:val="none" w:sz="0" w:space="0" w:color="auto"/>
        <w:left w:val="none" w:sz="0" w:space="0" w:color="auto"/>
        <w:bottom w:val="none" w:sz="0" w:space="0" w:color="auto"/>
        <w:right w:val="none" w:sz="0" w:space="0" w:color="auto"/>
      </w:divBdr>
      <w:divsChild>
        <w:div w:id="821657204">
          <w:marLeft w:val="0"/>
          <w:marRight w:val="0"/>
          <w:marTop w:val="0"/>
          <w:marBottom w:val="0"/>
          <w:divBdr>
            <w:top w:val="none" w:sz="0" w:space="0" w:color="auto"/>
            <w:left w:val="none" w:sz="0" w:space="0" w:color="auto"/>
            <w:bottom w:val="none" w:sz="0" w:space="0" w:color="auto"/>
            <w:right w:val="none" w:sz="0" w:space="0" w:color="auto"/>
          </w:divBdr>
        </w:div>
      </w:divsChild>
    </w:div>
    <w:div w:id="1550414460">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5967347">
      <w:bodyDiv w:val="1"/>
      <w:marLeft w:val="0"/>
      <w:marRight w:val="0"/>
      <w:marTop w:val="0"/>
      <w:marBottom w:val="0"/>
      <w:divBdr>
        <w:top w:val="none" w:sz="0" w:space="0" w:color="auto"/>
        <w:left w:val="none" w:sz="0" w:space="0" w:color="auto"/>
        <w:bottom w:val="none" w:sz="0" w:space="0" w:color="auto"/>
        <w:right w:val="none" w:sz="0" w:space="0" w:color="auto"/>
      </w:divBdr>
    </w:div>
    <w:div w:id="1561939067">
      <w:bodyDiv w:val="1"/>
      <w:marLeft w:val="0"/>
      <w:marRight w:val="0"/>
      <w:marTop w:val="0"/>
      <w:marBottom w:val="0"/>
      <w:divBdr>
        <w:top w:val="none" w:sz="0" w:space="0" w:color="auto"/>
        <w:left w:val="none" w:sz="0" w:space="0" w:color="auto"/>
        <w:bottom w:val="none" w:sz="0" w:space="0" w:color="auto"/>
        <w:right w:val="none" w:sz="0" w:space="0" w:color="auto"/>
      </w:divBdr>
    </w:div>
    <w:div w:id="157319954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4075503">
      <w:bodyDiv w:val="1"/>
      <w:marLeft w:val="0"/>
      <w:marRight w:val="0"/>
      <w:marTop w:val="0"/>
      <w:marBottom w:val="0"/>
      <w:divBdr>
        <w:top w:val="none" w:sz="0" w:space="0" w:color="auto"/>
        <w:left w:val="none" w:sz="0" w:space="0" w:color="auto"/>
        <w:bottom w:val="none" w:sz="0" w:space="0" w:color="auto"/>
        <w:right w:val="none" w:sz="0" w:space="0" w:color="auto"/>
      </w:divBdr>
    </w:div>
    <w:div w:id="1605184751">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0258799">
      <w:bodyDiv w:val="1"/>
      <w:marLeft w:val="0"/>
      <w:marRight w:val="0"/>
      <w:marTop w:val="0"/>
      <w:marBottom w:val="0"/>
      <w:divBdr>
        <w:top w:val="none" w:sz="0" w:space="0" w:color="auto"/>
        <w:left w:val="none" w:sz="0" w:space="0" w:color="auto"/>
        <w:bottom w:val="none" w:sz="0" w:space="0" w:color="auto"/>
        <w:right w:val="none" w:sz="0" w:space="0" w:color="auto"/>
      </w:divBdr>
    </w:div>
    <w:div w:id="1646229504">
      <w:bodyDiv w:val="1"/>
      <w:marLeft w:val="0"/>
      <w:marRight w:val="0"/>
      <w:marTop w:val="0"/>
      <w:marBottom w:val="0"/>
      <w:divBdr>
        <w:top w:val="none" w:sz="0" w:space="0" w:color="auto"/>
        <w:left w:val="none" w:sz="0" w:space="0" w:color="auto"/>
        <w:bottom w:val="none" w:sz="0" w:space="0" w:color="auto"/>
        <w:right w:val="none" w:sz="0" w:space="0" w:color="auto"/>
      </w:divBdr>
    </w:div>
    <w:div w:id="1646743289">
      <w:bodyDiv w:val="1"/>
      <w:marLeft w:val="0"/>
      <w:marRight w:val="0"/>
      <w:marTop w:val="0"/>
      <w:marBottom w:val="0"/>
      <w:divBdr>
        <w:top w:val="none" w:sz="0" w:space="0" w:color="auto"/>
        <w:left w:val="none" w:sz="0" w:space="0" w:color="auto"/>
        <w:bottom w:val="none" w:sz="0" w:space="0" w:color="auto"/>
        <w:right w:val="none" w:sz="0" w:space="0" w:color="auto"/>
      </w:divBdr>
      <w:divsChild>
        <w:div w:id="1110513381">
          <w:marLeft w:val="0"/>
          <w:marRight w:val="0"/>
          <w:marTop w:val="0"/>
          <w:marBottom w:val="0"/>
          <w:divBdr>
            <w:top w:val="none" w:sz="0" w:space="0" w:color="auto"/>
            <w:left w:val="none" w:sz="0" w:space="0" w:color="auto"/>
            <w:bottom w:val="none" w:sz="0" w:space="0" w:color="auto"/>
            <w:right w:val="none" w:sz="0" w:space="0" w:color="auto"/>
          </w:divBdr>
        </w:div>
      </w:divsChild>
    </w:div>
    <w:div w:id="1648314831">
      <w:bodyDiv w:val="1"/>
      <w:marLeft w:val="0"/>
      <w:marRight w:val="0"/>
      <w:marTop w:val="0"/>
      <w:marBottom w:val="0"/>
      <w:divBdr>
        <w:top w:val="none" w:sz="0" w:space="0" w:color="auto"/>
        <w:left w:val="none" w:sz="0" w:space="0" w:color="auto"/>
        <w:bottom w:val="none" w:sz="0" w:space="0" w:color="auto"/>
        <w:right w:val="none" w:sz="0" w:space="0" w:color="auto"/>
      </w:divBdr>
    </w:div>
    <w:div w:id="1649823297">
      <w:bodyDiv w:val="1"/>
      <w:marLeft w:val="0"/>
      <w:marRight w:val="0"/>
      <w:marTop w:val="0"/>
      <w:marBottom w:val="0"/>
      <w:divBdr>
        <w:top w:val="none" w:sz="0" w:space="0" w:color="auto"/>
        <w:left w:val="none" w:sz="0" w:space="0" w:color="auto"/>
        <w:bottom w:val="none" w:sz="0" w:space="0" w:color="auto"/>
        <w:right w:val="none" w:sz="0" w:space="0" w:color="auto"/>
      </w:divBdr>
    </w:div>
    <w:div w:id="1650983473">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3662560">
      <w:bodyDiv w:val="1"/>
      <w:marLeft w:val="0"/>
      <w:marRight w:val="0"/>
      <w:marTop w:val="0"/>
      <w:marBottom w:val="0"/>
      <w:divBdr>
        <w:top w:val="none" w:sz="0" w:space="0" w:color="auto"/>
        <w:left w:val="none" w:sz="0" w:space="0" w:color="auto"/>
        <w:bottom w:val="none" w:sz="0" w:space="0" w:color="auto"/>
        <w:right w:val="none" w:sz="0" w:space="0" w:color="auto"/>
      </w:divBdr>
      <w:divsChild>
        <w:div w:id="1211962906">
          <w:marLeft w:val="0"/>
          <w:marRight w:val="0"/>
          <w:marTop w:val="0"/>
          <w:marBottom w:val="0"/>
          <w:divBdr>
            <w:top w:val="none" w:sz="0" w:space="0" w:color="auto"/>
            <w:left w:val="none" w:sz="0" w:space="0" w:color="auto"/>
            <w:bottom w:val="none" w:sz="0" w:space="0" w:color="auto"/>
            <w:right w:val="none" w:sz="0" w:space="0" w:color="auto"/>
          </w:divBdr>
        </w:div>
      </w:divsChild>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5790773">
      <w:bodyDiv w:val="1"/>
      <w:marLeft w:val="0"/>
      <w:marRight w:val="0"/>
      <w:marTop w:val="0"/>
      <w:marBottom w:val="0"/>
      <w:divBdr>
        <w:top w:val="none" w:sz="0" w:space="0" w:color="auto"/>
        <w:left w:val="none" w:sz="0" w:space="0" w:color="auto"/>
        <w:bottom w:val="none" w:sz="0" w:space="0" w:color="auto"/>
        <w:right w:val="none" w:sz="0" w:space="0" w:color="auto"/>
      </w:divBdr>
    </w:div>
    <w:div w:id="1686442675">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23863432">
      <w:bodyDiv w:val="1"/>
      <w:marLeft w:val="0"/>
      <w:marRight w:val="0"/>
      <w:marTop w:val="0"/>
      <w:marBottom w:val="0"/>
      <w:divBdr>
        <w:top w:val="none" w:sz="0" w:space="0" w:color="auto"/>
        <w:left w:val="none" w:sz="0" w:space="0" w:color="auto"/>
        <w:bottom w:val="none" w:sz="0" w:space="0" w:color="auto"/>
        <w:right w:val="none" w:sz="0" w:space="0" w:color="auto"/>
      </w:divBdr>
    </w:div>
    <w:div w:id="1725786491">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3063244">
      <w:bodyDiv w:val="1"/>
      <w:marLeft w:val="0"/>
      <w:marRight w:val="0"/>
      <w:marTop w:val="0"/>
      <w:marBottom w:val="0"/>
      <w:divBdr>
        <w:top w:val="none" w:sz="0" w:space="0" w:color="auto"/>
        <w:left w:val="none" w:sz="0" w:space="0" w:color="auto"/>
        <w:bottom w:val="none" w:sz="0" w:space="0" w:color="auto"/>
        <w:right w:val="none" w:sz="0" w:space="0" w:color="auto"/>
      </w:divBdr>
    </w:div>
    <w:div w:id="1747456718">
      <w:bodyDiv w:val="1"/>
      <w:marLeft w:val="0"/>
      <w:marRight w:val="0"/>
      <w:marTop w:val="0"/>
      <w:marBottom w:val="0"/>
      <w:divBdr>
        <w:top w:val="none" w:sz="0" w:space="0" w:color="auto"/>
        <w:left w:val="none" w:sz="0" w:space="0" w:color="auto"/>
        <w:bottom w:val="none" w:sz="0" w:space="0" w:color="auto"/>
        <w:right w:val="none" w:sz="0" w:space="0" w:color="auto"/>
      </w:divBdr>
    </w:div>
    <w:div w:id="1748960952">
      <w:bodyDiv w:val="1"/>
      <w:marLeft w:val="0"/>
      <w:marRight w:val="0"/>
      <w:marTop w:val="0"/>
      <w:marBottom w:val="0"/>
      <w:divBdr>
        <w:top w:val="none" w:sz="0" w:space="0" w:color="auto"/>
        <w:left w:val="none" w:sz="0" w:space="0" w:color="auto"/>
        <w:bottom w:val="none" w:sz="0" w:space="0" w:color="auto"/>
        <w:right w:val="none" w:sz="0" w:space="0" w:color="auto"/>
      </w:divBdr>
    </w:div>
    <w:div w:id="1749694516">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4982457">
      <w:bodyDiv w:val="1"/>
      <w:marLeft w:val="0"/>
      <w:marRight w:val="0"/>
      <w:marTop w:val="0"/>
      <w:marBottom w:val="0"/>
      <w:divBdr>
        <w:top w:val="none" w:sz="0" w:space="0" w:color="auto"/>
        <w:left w:val="none" w:sz="0" w:space="0" w:color="auto"/>
        <w:bottom w:val="none" w:sz="0" w:space="0" w:color="auto"/>
        <w:right w:val="none" w:sz="0" w:space="0" w:color="auto"/>
      </w:divBdr>
      <w:divsChild>
        <w:div w:id="1404913118">
          <w:marLeft w:val="0"/>
          <w:marRight w:val="0"/>
          <w:marTop w:val="0"/>
          <w:marBottom w:val="0"/>
          <w:divBdr>
            <w:top w:val="none" w:sz="0" w:space="0" w:color="auto"/>
            <w:left w:val="none" w:sz="0" w:space="0" w:color="auto"/>
            <w:bottom w:val="none" w:sz="0" w:space="0" w:color="auto"/>
            <w:right w:val="none" w:sz="0" w:space="0" w:color="auto"/>
          </w:divBdr>
        </w:div>
      </w:divsChild>
    </w:div>
    <w:div w:id="1780026217">
      <w:bodyDiv w:val="1"/>
      <w:marLeft w:val="0"/>
      <w:marRight w:val="0"/>
      <w:marTop w:val="0"/>
      <w:marBottom w:val="0"/>
      <w:divBdr>
        <w:top w:val="none" w:sz="0" w:space="0" w:color="auto"/>
        <w:left w:val="none" w:sz="0" w:space="0" w:color="auto"/>
        <w:bottom w:val="none" w:sz="0" w:space="0" w:color="auto"/>
        <w:right w:val="none" w:sz="0" w:space="0" w:color="auto"/>
      </w:divBdr>
      <w:divsChild>
        <w:div w:id="1045375192">
          <w:marLeft w:val="0"/>
          <w:marRight w:val="0"/>
          <w:marTop w:val="0"/>
          <w:marBottom w:val="0"/>
          <w:divBdr>
            <w:top w:val="none" w:sz="0" w:space="0" w:color="auto"/>
            <w:left w:val="none" w:sz="0" w:space="0" w:color="auto"/>
            <w:bottom w:val="none" w:sz="0" w:space="0" w:color="auto"/>
            <w:right w:val="none" w:sz="0" w:space="0" w:color="auto"/>
          </w:divBdr>
        </w:div>
      </w:divsChild>
    </w:div>
    <w:div w:id="1793862692">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0897913">
      <w:bodyDiv w:val="1"/>
      <w:marLeft w:val="0"/>
      <w:marRight w:val="0"/>
      <w:marTop w:val="0"/>
      <w:marBottom w:val="0"/>
      <w:divBdr>
        <w:top w:val="none" w:sz="0" w:space="0" w:color="auto"/>
        <w:left w:val="none" w:sz="0" w:space="0" w:color="auto"/>
        <w:bottom w:val="none" w:sz="0" w:space="0" w:color="auto"/>
        <w:right w:val="none" w:sz="0" w:space="0" w:color="auto"/>
      </w:divBdr>
      <w:divsChild>
        <w:div w:id="719205686">
          <w:marLeft w:val="0"/>
          <w:marRight w:val="0"/>
          <w:marTop w:val="0"/>
          <w:marBottom w:val="0"/>
          <w:divBdr>
            <w:top w:val="none" w:sz="0" w:space="0" w:color="auto"/>
            <w:left w:val="none" w:sz="0" w:space="0" w:color="auto"/>
            <w:bottom w:val="none" w:sz="0" w:space="0" w:color="auto"/>
            <w:right w:val="none" w:sz="0" w:space="0" w:color="auto"/>
          </w:divBdr>
        </w:div>
      </w:divsChild>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196039">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483731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1653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48472425">
      <w:bodyDiv w:val="1"/>
      <w:marLeft w:val="0"/>
      <w:marRight w:val="0"/>
      <w:marTop w:val="0"/>
      <w:marBottom w:val="0"/>
      <w:divBdr>
        <w:top w:val="none" w:sz="0" w:space="0" w:color="auto"/>
        <w:left w:val="none" w:sz="0" w:space="0" w:color="auto"/>
        <w:bottom w:val="none" w:sz="0" w:space="0" w:color="auto"/>
        <w:right w:val="none" w:sz="0" w:space="0" w:color="auto"/>
      </w:divBdr>
    </w:div>
    <w:div w:id="1848863711">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6782">
      <w:bodyDiv w:val="1"/>
      <w:marLeft w:val="0"/>
      <w:marRight w:val="0"/>
      <w:marTop w:val="0"/>
      <w:marBottom w:val="0"/>
      <w:divBdr>
        <w:top w:val="none" w:sz="0" w:space="0" w:color="auto"/>
        <w:left w:val="none" w:sz="0" w:space="0" w:color="auto"/>
        <w:bottom w:val="none" w:sz="0" w:space="0" w:color="auto"/>
        <w:right w:val="none" w:sz="0" w:space="0" w:color="auto"/>
      </w:divBdr>
    </w:div>
    <w:div w:id="1876380239">
      <w:bodyDiv w:val="1"/>
      <w:marLeft w:val="0"/>
      <w:marRight w:val="0"/>
      <w:marTop w:val="0"/>
      <w:marBottom w:val="0"/>
      <w:divBdr>
        <w:top w:val="none" w:sz="0" w:space="0" w:color="auto"/>
        <w:left w:val="none" w:sz="0" w:space="0" w:color="auto"/>
        <w:bottom w:val="none" w:sz="0" w:space="0" w:color="auto"/>
        <w:right w:val="none" w:sz="0" w:space="0" w:color="auto"/>
      </w:divBdr>
    </w:div>
    <w:div w:id="1876843568">
      <w:bodyDiv w:val="1"/>
      <w:marLeft w:val="0"/>
      <w:marRight w:val="0"/>
      <w:marTop w:val="0"/>
      <w:marBottom w:val="0"/>
      <w:divBdr>
        <w:top w:val="none" w:sz="0" w:space="0" w:color="auto"/>
        <w:left w:val="none" w:sz="0" w:space="0" w:color="auto"/>
        <w:bottom w:val="none" w:sz="0" w:space="0" w:color="auto"/>
        <w:right w:val="none" w:sz="0" w:space="0" w:color="auto"/>
      </w:divBdr>
      <w:divsChild>
        <w:div w:id="1402286760">
          <w:marLeft w:val="0"/>
          <w:marRight w:val="0"/>
          <w:marTop w:val="0"/>
          <w:marBottom w:val="0"/>
          <w:divBdr>
            <w:top w:val="none" w:sz="0" w:space="0" w:color="auto"/>
            <w:left w:val="none" w:sz="0" w:space="0" w:color="auto"/>
            <w:bottom w:val="none" w:sz="0" w:space="0" w:color="auto"/>
            <w:right w:val="none" w:sz="0" w:space="0" w:color="auto"/>
          </w:divBdr>
        </w:div>
      </w:divsChild>
    </w:div>
    <w:div w:id="1876891272">
      <w:bodyDiv w:val="1"/>
      <w:marLeft w:val="0"/>
      <w:marRight w:val="0"/>
      <w:marTop w:val="0"/>
      <w:marBottom w:val="0"/>
      <w:divBdr>
        <w:top w:val="none" w:sz="0" w:space="0" w:color="auto"/>
        <w:left w:val="none" w:sz="0" w:space="0" w:color="auto"/>
        <w:bottom w:val="none" w:sz="0" w:space="0" w:color="auto"/>
        <w:right w:val="none" w:sz="0" w:space="0" w:color="auto"/>
      </w:divBdr>
      <w:divsChild>
        <w:div w:id="299917231">
          <w:marLeft w:val="0"/>
          <w:marRight w:val="0"/>
          <w:marTop w:val="0"/>
          <w:marBottom w:val="0"/>
          <w:divBdr>
            <w:top w:val="none" w:sz="0" w:space="0" w:color="auto"/>
            <w:left w:val="none" w:sz="0" w:space="0" w:color="auto"/>
            <w:bottom w:val="none" w:sz="0" w:space="0" w:color="auto"/>
            <w:right w:val="none" w:sz="0" w:space="0" w:color="auto"/>
          </w:divBdr>
        </w:div>
      </w:divsChild>
    </w:div>
    <w:div w:id="1877305247">
      <w:bodyDiv w:val="1"/>
      <w:marLeft w:val="0"/>
      <w:marRight w:val="0"/>
      <w:marTop w:val="0"/>
      <w:marBottom w:val="0"/>
      <w:divBdr>
        <w:top w:val="none" w:sz="0" w:space="0" w:color="auto"/>
        <w:left w:val="none" w:sz="0" w:space="0" w:color="auto"/>
        <w:bottom w:val="none" w:sz="0" w:space="0" w:color="auto"/>
        <w:right w:val="none" w:sz="0" w:space="0" w:color="auto"/>
      </w:divBdr>
    </w:div>
    <w:div w:id="1886793692">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5967562">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04295893">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29268773">
      <w:bodyDiv w:val="1"/>
      <w:marLeft w:val="0"/>
      <w:marRight w:val="0"/>
      <w:marTop w:val="0"/>
      <w:marBottom w:val="0"/>
      <w:divBdr>
        <w:top w:val="none" w:sz="0" w:space="0" w:color="auto"/>
        <w:left w:val="none" w:sz="0" w:space="0" w:color="auto"/>
        <w:bottom w:val="none" w:sz="0" w:space="0" w:color="auto"/>
        <w:right w:val="none" w:sz="0" w:space="0" w:color="auto"/>
      </w:divBdr>
    </w:div>
    <w:div w:id="1932004456">
      <w:bodyDiv w:val="1"/>
      <w:marLeft w:val="0"/>
      <w:marRight w:val="0"/>
      <w:marTop w:val="0"/>
      <w:marBottom w:val="0"/>
      <w:divBdr>
        <w:top w:val="none" w:sz="0" w:space="0" w:color="auto"/>
        <w:left w:val="none" w:sz="0" w:space="0" w:color="auto"/>
        <w:bottom w:val="none" w:sz="0" w:space="0" w:color="auto"/>
        <w:right w:val="none" w:sz="0" w:space="0" w:color="auto"/>
      </w:divBdr>
    </w:div>
    <w:div w:id="1937203323">
      <w:bodyDiv w:val="1"/>
      <w:marLeft w:val="0"/>
      <w:marRight w:val="0"/>
      <w:marTop w:val="0"/>
      <w:marBottom w:val="0"/>
      <w:divBdr>
        <w:top w:val="none" w:sz="0" w:space="0" w:color="auto"/>
        <w:left w:val="none" w:sz="0" w:space="0" w:color="auto"/>
        <w:bottom w:val="none" w:sz="0" w:space="0" w:color="auto"/>
        <w:right w:val="none" w:sz="0" w:space="0" w:color="auto"/>
      </w:divBdr>
    </w:div>
    <w:div w:id="1937978242">
      <w:bodyDiv w:val="1"/>
      <w:marLeft w:val="0"/>
      <w:marRight w:val="0"/>
      <w:marTop w:val="0"/>
      <w:marBottom w:val="0"/>
      <w:divBdr>
        <w:top w:val="none" w:sz="0" w:space="0" w:color="auto"/>
        <w:left w:val="none" w:sz="0" w:space="0" w:color="auto"/>
        <w:bottom w:val="none" w:sz="0" w:space="0" w:color="auto"/>
        <w:right w:val="none" w:sz="0" w:space="0" w:color="auto"/>
      </w:divBdr>
    </w:div>
    <w:div w:id="194098643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0971545">
      <w:bodyDiv w:val="1"/>
      <w:marLeft w:val="0"/>
      <w:marRight w:val="0"/>
      <w:marTop w:val="0"/>
      <w:marBottom w:val="0"/>
      <w:divBdr>
        <w:top w:val="none" w:sz="0" w:space="0" w:color="auto"/>
        <w:left w:val="none" w:sz="0" w:space="0" w:color="auto"/>
        <w:bottom w:val="none" w:sz="0" w:space="0" w:color="auto"/>
        <w:right w:val="none" w:sz="0" w:space="0" w:color="auto"/>
      </w:divBdr>
    </w:div>
    <w:div w:id="1955554067">
      <w:bodyDiv w:val="1"/>
      <w:marLeft w:val="0"/>
      <w:marRight w:val="0"/>
      <w:marTop w:val="0"/>
      <w:marBottom w:val="0"/>
      <w:divBdr>
        <w:top w:val="none" w:sz="0" w:space="0" w:color="auto"/>
        <w:left w:val="none" w:sz="0" w:space="0" w:color="auto"/>
        <w:bottom w:val="none" w:sz="0" w:space="0" w:color="auto"/>
        <w:right w:val="none" w:sz="0" w:space="0" w:color="auto"/>
      </w:divBdr>
      <w:divsChild>
        <w:div w:id="1045914187">
          <w:marLeft w:val="0"/>
          <w:marRight w:val="0"/>
          <w:marTop w:val="0"/>
          <w:marBottom w:val="0"/>
          <w:divBdr>
            <w:top w:val="none" w:sz="0" w:space="0" w:color="auto"/>
            <w:left w:val="none" w:sz="0" w:space="0" w:color="auto"/>
            <w:bottom w:val="none" w:sz="0" w:space="0" w:color="auto"/>
            <w:right w:val="none" w:sz="0" w:space="0" w:color="auto"/>
          </w:divBdr>
        </w:div>
      </w:divsChild>
    </w:div>
    <w:div w:id="1981694127">
      <w:bodyDiv w:val="1"/>
      <w:marLeft w:val="0"/>
      <w:marRight w:val="0"/>
      <w:marTop w:val="0"/>
      <w:marBottom w:val="0"/>
      <w:divBdr>
        <w:top w:val="none" w:sz="0" w:space="0" w:color="auto"/>
        <w:left w:val="none" w:sz="0" w:space="0" w:color="auto"/>
        <w:bottom w:val="none" w:sz="0" w:space="0" w:color="auto"/>
        <w:right w:val="none" w:sz="0" w:space="0" w:color="auto"/>
      </w:divBdr>
    </w:div>
    <w:div w:id="1986929905">
      <w:bodyDiv w:val="1"/>
      <w:marLeft w:val="0"/>
      <w:marRight w:val="0"/>
      <w:marTop w:val="0"/>
      <w:marBottom w:val="0"/>
      <w:divBdr>
        <w:top w:val="none" w:sz="0" w:space="0" w:color="auto"/>
        <w:left w:val="none" w:sz="0" w:space="0" w:color="auto"/>
        <w:bottom w:val="none" w:sz="0" w:space="0" w:color="auto"/>
        <w:right w:val="none" w:sz="0" w:space="0" w:color="auto"/>
      </w:divBdr>
    </w:div>
    <w:div w:id="198851093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29599754">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48291655">
      <w:bodyDiv w:val="1"/>
      <w:marLeft w:val="0"/>
      <w:marRight w:val="0"/>
      <w:marTop w:val="0"/>
      <w:marBottom w:val="0"/>
      <w:divBdr>
        <w:top w:val="none" w:sz="0" w:space="0" w:color="auto"/>
        <w:left w:val="none" w:sz="0" w:space="0" w:color="auto"/>
        <w:bottom w:val="none" w:sz="0" w:space="0" w:color="auto"/>
        <w:right w:val="none" w:sz="0" w:space="0" w:color="auto"/>
      </w:divBdr>
    </w:div>
    <w:div w:id="2052266418">
      <w:bodyDiv w:val="1"/>
      <w:marLeft w:val="0"/>
      <w:marRight w:val="0"/>
      <w:marTop w:val="0"/>
      <w:marBottom w:val="0"/>
      <w:divBdr>
        <w:top w:val="none" w:sz="0" w:space="0" w:color="auto"/>
        <w:left w:val="none" w:sz="0" w:space="0" w:color="auto"/>
        <w:bottom w:val="none" w:sz="0" w:space="0" w:color="auto"/>
        <w:right w:val="none" w:sz="0" w:space="0" w:color="auto"/>
      </w:divBdr>
      <w:divsChild>
        <w:div w:id="1944531965">
          <w:marLeft w:val="0"/>
          <w:marRight w:val="0"/>
          <w:marTop w:val="0"/>
          <w:marBottom w:val="0"/>
          <w:divBdr>
            <w:top w:val="none" w:sz="0" w:space="0" w:color="auto"/>
            <w:left w:val="none" w:sz="0" w:space="0" w:color="auto"/>
            <w:bottom w:val="none" w:sz="0" w:space="0" w:color="auto"/>
            <w:right w:val="none" w:sz="0" w:space="0" w:color="auto"/>
          </w:divBdr>
        </w:div>
      </w:divsChild>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64987747">
      <w:bodyDiv w:val="1"/>
      <w:marLeft w:val="0"/>
      <w:marRight w:val="0"/>
      <w:marTop w:val="0"/>
      <w:marBottom w:val="0"/>
      <w:divBdr>
        <w:top w:val="none" w:sz="0" w:space="0" w:color="auto"/>
        <w:left w:val="none" w:sz="0" w:space="0" w:color="auto"/>
        <w:bottom w:val="none" w:sz="0" w:space="0" w:color="auto"/>
        <w:right w:val="none" w:sz="0" w:space="0" w:color="auto"/>
      </w:divBdr>
    </w:div>
    <w:div w:id="2065446484">
      <w:bodyDiv w:val="1"/>
      <w:marLeft w:val="0"/>
      <w:marRight w:val="0"/>
      <w:marTop w:val="0"/>
      <w:marBottom w:val="0"/>
      <w:divBdr>
        <w:top w:val="none" w:sz="0" w:space="0" w:color="auto"/>
        <w:left w:val="none" w:sz="0" w:space="0" w:color="auto"/>
        <w:bottom w:val="none" w:sz="0" w:space="0" w:color="auto"/>
        <w:right w:val="none" w:sz="0" w:space="0" w:color="auto"/>
      </w:divBdr>
    </w:div>
    <w:div w:id="2068064230">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0342078">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06534356">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76769">
      <w:bodyDiv w:val="1"/>
      <w:marLeft w:val="0"/>
      <w:marRight w:val="0"/>
      <w:marTop w:val="0"/>
      <w:marBottom w:val="0"/>
      <w:divBdr>
        <w:top w:val="none" w:sz="0" w:space="0" w:color="auto"/>
        <w:left w:val="none" w:sz="0" w:space="0" w:color="auto"/>
        <w:bottom w:val="none" w:sz="0" w:space="0" w:color="auto"/>
        <w:right w:val="none" w:sz="0" w:space="0" w:color="auto"/>
      </w:divBdr>
    </w:div>
    <w:div w:id="2132236234">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 w:id="2138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15272-871F-44B6-B5B1-415A229C190B}">
  <ds:schemaRefs>
    <ds:schemaRef ds:uri="http://schemas.microsoft.com/sharepoint/v3/contenttype/forms"/>
  </ds:schemaRefs>
</ds:datastoreItem>
</file>

<file path=customXml/itemProps2.xml><?xml version="1.0" encoding="utf-8"?>
<ds:datastoreItem xmlns:ds="http://schemas.openxmlformats.org/officeDocument/2006/customXml" ds:itemID="{736F464C-90D8-4967-9028-247A0738A97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5966C467-907A-4F8E-A6C2-57DB6BACB87F}">
  <ds:schemaRefs>
    <ds:schemaRef ds:uri="http://schemas.openxmlformats.org/officeDocument/2006/bibliography"/>
  </ds:schemaRefs>
</ds:datastoreItem>
</file>

<file path=customXml/itemProps4.xml><?xml version="1.0" encoding="utf-8"?>
<ds:datastoreItem xmlns:ds="http://schemas.openxmlformats.org/officeDocument/2006/customXml" ds:itemID="{C2020C3C-0E1C-4F6D-B7F1-BDF24ECC0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7428</Words>
  <Characters>42343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2025-06-19T00:17:00Z</dcterms:created>
  <dcterms:modified xsi:type="dcterms:W3CDTF">2025-06-19T03:10:00Z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