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B0EE" w14:textId="7CDB471C" w:rsidR="00D7136A" w:rsidRDefault="00464DA0" w:rsidP="00052897">
      <w:pPr>
        <w:contextualSpacing/>
        <w:jc w:val="both"/>
        <w:rPr>
          <w:rFonts w:ascii="Arial" w:hAnsi="Arial" w:cs="Arial"/>
          <w:b/>
          <w:szCs w:val="20"/>
          <w:lang w:eastAsia="en-AU"/>
        </w:rPr>
      </w:pPr>
      <w:r>
        <w:rPr>
          <w:rFonts w:ascii="Arial" w:hAnsi="Arial" w:cs="Arial"/>
          <w:b/>
          <w:sz w:val="28"/>
          <w:lang w:eastAsia="en-AU"/>
        </w:rPr>
        <w:t xml:space="preserve">PBAC CONSIDERATION OF THE </w:t>
      </w:r>
      <w:r w:rsidR="00D7136A">
        <w:rPr>
          <w:rFonts w:ascii="Arial" w:hAnsi="Arial" w:cs="Arial"/>
          <w:b/>
          <w:sz w:val="28"/>
          <w:lang w:eastAsia="en-AU"/>
        </w:rPr>
        <w:t>REPORT</w:t>
      </w:r>
      <w:r w:rsidR="00267A9D">
        <w:rPr>
          <w:rFonts w:ascii="Arial" w:hAnsi="Arial" w:cs="Arial"/>
          <w:b/>
          <w:sz w:val="28"/>
          <w:lang w:eastAsia="en-AU"/>
        </w:rPr>
        <w:t xml:space="preserve"> OF THE DRUG </w:t>
      </w:r>
      <w:r w:rsidR="00D7136A" w:rsidRPr="00B94022">
        <w:rPr>
          <w:rFonts w:ascii="Arial" w:hAnsi="Arial" w:cs="Arial"/>
          <w:b/>
          <w:sz w:val="28"/>
          <w:lang w:eastAsia="en-AU"/>
        </w:rPr>
        <w:t>UTILISATION SUB-COMMITTEE</w:t>
      </w:r>
    </w:p>
    <w:p w14:paraId="7F124E9C" w14:textId="77777777" w:rsidR="00D7136A" w:rsidRPr="006951BF" w:rsidRDefault="00D7136A" w:rsidP="00052897">
      <w:pPr>
        <w:jc w:val="both"/>
        <w:rPr>
          <w:rFonts w:ascii="Arial" w:hAnsi="Arial" w:cs="Arial"/>
          <w:b/>
          <w:sz w:val="28"/>
          <w:szCs w:val="20"/>
          <w:lang w:eastAsia="en-AU"/>
        </w:rPr>
      </w:pPr>
    </w:p>
    <w:p w14:paraId="2BEF9007" w14:textId="62328A4C" w:rsidR="005616CC" w:rsidRDefault="00D7136A" w:rsidP="00052897">
      <w:pPr>
        <w:contextualSpacing/>
        <w:jc w:val="both"/>
        <w:rPr>
          <w:rFonts w:ascii="Arial" w:hAnsi="Arial" w:cs="Arial"/>
          <w:sz w:val="22"/>
          <w:lang w:eastAsia="en-AU"/>
        </w:rPr>
      </w:pPr>
      <w:r w:rsidRPr="006951BF">
        <w:rPr>
          <w:rFonts w:ascii="Arial" w:hAnsi="Arial" w:cs="Arial"/>
          <w:sz w:val="22"/>
          <w:lang w:eastAsia="en-AU"/>
        </w:rPr>
        <w:t xml:space="preserve">The PBAC noted reports with associated stakeholder responses from the </w:t>
      </w:r>
      <w:r w:rsidR="009202B6">
        <w:rPr>
          <w:rFonts w:ascii="Arial" w:hAnsi="Arial" w:cs="Arial"/>
          <w:sz w:val="22"/>
          <w:lang w:eastAsia="en-AU"/>
        </w:rPr>
        <w:t>June</w:t>
      </w:r>
      <w:r w:rsidR="00A83403">
        <w:rPr>
          <w:rFonts w:ascii="Arial" w:hAnsi="Arial" w:cs="Arial"/>
          <w:sz w:val="22"/>
          <w:lang w:eastAsia="en-AU"/>
        </w:rPr>
        <w:t xml:space="preserve"> 2025 </w:t>
      </w:r>
      <w:r w:rsidR="00A31269" w:rsidRPr="006951BF">
        <w:rPr>
          <w:rFonts w:ascii="Arial" w:hAnsi="Arial" w:cs="Arial"/>
          <w:sz w:val="22"/>
          <w:lang w:eastAsia="en-AU"/>
        </w:rPr>
        <w:t xml:space="preserve">Drug Utilisation Sub-Committee (DUSC) </w:t>
      </w:r>
      <w:r w:rsidRPr="006951BF">
        <w:rPr>
          <w:rFonts w:ascii="Arial" w:hAnsi="Arial" w:cs="Arial"/>
          <w:sz w:val="22"/>
          <w:lang w:eastAsia="en-AU"/>
        </w:rPr>
        <w:t xml:space="preserve">meeting, which were provided in </w:t>
      </w:r>
      <w:r w:rsidR="00EC6408">
        <w:rPr>
          <w:rFonts w:ascii="Arial" w:hAnsi="Arial" w:cs="Arial"/>
          <w:sz w:val="22"/>
          <w:lang w:eastAsia="en-AU"/>
        </w:rPr>
        <w:t>i</w:t>
      </w:r>
      <w:r w:rsidRPr="006951BF">
        <w:rPr>
          <w:rFonts w:ascii="Arial" w:hAnsi="Arial" w:cs="Arial"/>
          <w:sz w:val="22"/>
          <w:lang w:eastAsia="en-AU"/>
        </w:rPr>
        <w:t>tem</w:t>
      </w:r>
      <w:r w:rsidR="00A31269" w:rsidRPr="006951BF">
        <w:rPr>
          <w:rFonts w:ascii="Arial" w:hAnsi="Arial" w:cs="Arial"/>
          <w:sz w:val="22"/>
          <w:lang w:eastAsia="en-AU"/>
        </w:rPr>
        <w:t>s</w:t>
      </w:r>
      <w:r w:rsidR="00D6624D">
        <w:rPr>
          <w:rFonts w:ascii="Arial" w:hAnsi="Arial" w:cs="Arial"/>
          <w:sz w:val="22"/>
          <w:lang w:eastAsia="en-AU"/>
        </w:rPr>
        <w:t xml:space="preserve"> </w:t>
      </w:r>
      <w:r w:rsidR="006354AB">
        <w:rPr>
          <w:rFonts w:ascii="Arial" w:hAnsi="Arial" w:cs="Arial"/>
          <w:sz w:val="22"/>
          <w:lang w:eastAsia="en-AU"/>
        </w:rPr>
        <w:t>10.</w:t>
      </w:r>
      <w:r w:rsidR="00E91740">
        <w:rPr>
          <w:rFonts w:ascii="Arial" w:hAnsi="Arial" w:cs="Arial"/>
          <w:sz w:val="22"/>
          <w:lang w:eastAsia="en-AU"/>
        </w:rPr>
        <w:t>0</w:t>
      </w:r>
      <w:r w:rsidR="00A83403">
        <w:rPr>
          <w:rFonts w:ascii="Arial" w:hAnsi="Arial" w:cs="Arial"/>
          <w:sz w:val="22"/>
          <w:lang w:eastAsia="en-AU"/>
        </w:rPr>
        <w:t>3</w:t>
      </w:r>
      <w:r w:rsidR="00C9267A">
        <w:rPr>
          <w:rFonts w:ascii="Arial" w:hAnsi="Arial" w:cs="Arial"/>
          <w:sz w:val="22"/>
          <w:lang w:eastAsia="en-AU"/>
        </w:rPr>
        <w:t xml:space="preserve">, </w:t>
      </w:r>
      <w:r w:rsidR="00594361">
        <w:rPr>
          <w:rFonts w:ascii="Arial" w:hAnsi="Arial" w:cs="Arial"/>
          <w:sz w:val="22"/>
          <w:lang w:eastAsia="en-AU"/>
        </w:rPr>
        <w:t>10.</w:t>
      </w:r>
      <w:r w:rsidR="00E91740">
        <w:rPr>
          <w:rFonts w:ascii="Arial" w:hAnsi="Arial" w:cs="Arial"/>
          <w:sz w:val="22"/>
          <w:lang w:eastAsia="en-AU"/>
        </w:rPr>
        <w:t>0</w:t>
      </w:r>
      <w:r w:rsidR="00A83403">
        <w:rPr>
          <w:rFonts w:ascii="Arial" w:hAnsi="Arial" w:cs="Arial"/>
          <w:sz w:val="22"/>
          <w:lang w:eastAsia="en-AU"/>
        </w:rPr>
        <w:t>4</w:t>
      </w:r>
      <w:r w:rsidR="00A47F7C">
        <w:rPr>
          <w:rFonts w:ascii="Arial" w:hAnsi="Arial" w:cs="Arial"/>
          <w:sz w:val="22"/>
          <w:lang w:eastAsia="en-AU"/>
        </w:rPr>
        <w:t xml:space="preserve">, </w:t>
      </w:r>
      <w:r w:rsidR="00C9267A">
        <w:rPr>
          <w:rFonts w:ascii="Arial" w:hAnsi="Arial" w:cs="Arial"/>
          <w:sz w:val="22"/>
          <w:lang w:eastAsia="en-AU"/>
        </w:rPr>
        <w:t>10</w:t>
      </w:r>
      <w:r w:rsidR="00053A39">
        <w:rPr>
          <w:rFonts w:ascii="Arial" w:hAnsi="Arial" w:cs="Arial"/>
          <w:sz w:val="22"/>
          <w:lang w:eastAsia="en-AU"/>
        </w:rPr>
        <w:t>.</w:t>
      </w:r>
      <w:r w:rsidR="00E91740">
        <w:rPr>
          <w:rFonts w:ascii="Arial" w:hAnsi="Arial" w:cs="Arial"/>
          <w:sz w:val="22"/>
          <w:lang w:eastAsia="en-AU"/>
        </w:rPr>
        <w:t>0</w:t>
      </w:r>
      <w:r w:rsidR="00A83403">
        <w:rPr>
          <w:rFonts w:ascii="Arial" w:hAnsi="Arial" w:cs="Arial"/>
          <w:sz w:val="22"/>
          <w:lang w:eastAsia="en-AU"/>
        </w:rPr>
        <w:t>5</w:t>
      </w:r>
      <w:r w:rsidR="00A47F7C">
        <w:rPr>
          <w:rFonts w:ascii="Arial" w:hAnsi="Arial" w:cs="Arial"/>
          <w:sz w:val="22"/>
          <w:lang w:eastAsia="en-AU"/>
        </w:rPr>
        <w:t>, and 10.06</w:t>
      </w:r>
      <w:r w:rsidR="00C229C3">
        <w:rPr>
          <w:rFonts w:ascii="Arial" w:hAnsi="Arial" w:cs="Arial"/>
          <w:sz w:val="22"/>
          <w:lang w:eastAsia="en-AU"/>
        </w:rPr>
        <w:t xml:space="preserve"> </w:t>
      </w:r>
      <w:r w:rsidRPr="006951BF">
        <w:rPr>
          <w:rFonts w:ascii="Arial" w:hAnsi="Arial" w:cs="Arial"/>
          <w:sz w:val="22"/>
          <w:lang w:eastAsia="en-AU"/>
        </w:rPr>
        <w:t xml:space="preserve">of the PBAC Agenda. </w:t>
      </w:r>
      <w:r w:rsidR="00A31269" w:rsidRPr="006951BF">
        <w:rPr>
          <w:rFonts w:ascii="Arial" w:hAnsi="Arial" w:cs="Arial"/>
          <w:sz w:val="22"/>
          <w:lang w:eastAsia="en-AU"/>
        </w:rPr>
        <w:t>DUSC minutes relating to these items were provided to the PBAC</w:t>
      </w:r>
      <w:r w:rsidR="00F8213A">
        <w:rPr>
          <w:rFonts w:ascii="Arial" w:hAnsi="Arial" w:cs="Arial"/>
          <w:sz w:val="22"/>
          <w:lang w:eastAsia="en-AU"/>
        </w:rPr>
        <w:t xml:space="preserve">. </w:t>
      </w:r>
      <w:r w:rsidR="006F6BA6" w:rsidRPr="006F6BA6">
        <w:rPr>
          <w:rFonts w:ascii="Arial" w:hAnsi="Arial" w:cs="Arial"/>
          <w:sz w:val="22"/>
          <w:lang w:eastAsia="en-AU"/>
        </w:rPr>
        <w:t xml:space="preserve">The outcomes of the DUSC consideration of these items are available in the </w:t>
      </w:r>
      <w:hyperlink r:id="rId11" w:history="1">
        <w:r w:rsidR="00A47F7C">
          <w:rPr>
            <w:rStyle w:val="Hyperlink"/>
            <w:rFonts w:ascii="Arial" w:hAnsi="Arial" w:cs="Arial"/>
            <w:sz w:val="22"/>
            <w:lang w:eastAsia="en-AU"/>
          </w:rPr>
          <w:t>June</w:t>
        </w:r>
        <w:r w:rsidR="006F6BA6" w:rsidRPr="006F6BA6">
          <w:rPr>
            <w:rStyle w:val="Hyperlink"/>
            <w:rFonts w:ascii="Arial" w:hAnsi="Arial" w:cs="Arial"/>
            <w:sz w:val="22"/>
            <w:lang w:eastAsia="en-AU"/>
          </w:rPr>
          <w:t xml:space="preserve"> 2025 DUSC outcome statement</w:t>
        </w:r>
      </w:hyperlink>
      <w:r w:rsidR="006F6BA6" w:rsidRPr="006F6BA6">
        <w:rPr>
          <w:rFonts w:ascii="Arial" w:hAnsi="Arial" w:cs="Arial"/>
          <w:sz w:val="22"/>
          <w:lang w:eastAsia="en-AU"/>
        </w:rPr>
        <w:t>.</w:t>
      </w:r>
    </w:p>
    <w:p w14:paraId="72F6215A" w14:textId="77777777" w:rsidR="00E42CE1" w:rsidRDefault="00E42CE1" w:rsidP="00052897">
      <w:pPr>
        <w:contextualSpacing/>
        <w:jc w:val="both"/>
        <w:rPr>
          <w:rFonts w:ascii="Arial" w:hAnsi="Arial" w:cs="Arial"/>
          <w:sz w:val="22"/>
          <w:lang w:eastAsia="en-AU"/>
        </w:rPr>
      </w:pPr>
    </w:p>
    <w:p w14:paraId="2CB97716" w14:textId="2403059D" w:rsidR="00E42CE1" w:rsidRDefault="00A47F7C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  <w:r w:rsidRPr="00A47F7C">
        <w:rPr>
          <w:rFonts w:ascii="Arial" w:eastAsia="Calibri" w:hAnsi="Arial" w:cs="Arial"/>
          <w:b/>
          <w:caps/>
          <w:sz w:val="22"/>
          <w:szCs w:val="22"/>
        </w:rPr>
        <w:t xml:space="preserve">Cemiplimab for </w:t>
      </w:r>
      <w:r w:rsidR="00031B90">
        <w:rPr>
          <w:rFonts w:ascii="Arial" w:eastAsia="Calibri" w:hAnsi="Arial" w:cs="Arial"/>
          <w:b/>
          <w:caps/>
          <w:sz w:val="22"/>
          <w:szCs w:val="22"/>
        </w:rPr>
        <w:t xml:space="preserve">the treatment of </w:t>
      </w:r>
      <w:r w:rsidRPr="00A47F7C">
        <w:rPr>
          <w:rFonts w:ascii="Arial" w:eastAsia="Calibri" w:hAnsi="Arial" w:cs="Arial"/>
          <w:b/>
          <w:caps/>
          <w:sz w:val="22"/>
          <w:szCs w:val="22"/>
        </w:rPr>
        <w:t>cutaneous squamous cell carcinoma</w:t>
      </w:r>
    </w:p>
    <w:p w14:paraId="1269DA16" w14:textId="77777777" w:rsidR="00A807F2" w:rsidRDefault="00A807F2" w:rsidP="00A807F2">
      <w:pPr>
        <w:contextualSpacing/>
        <w:jc w:val="both"/>
        <w:rPr>
          <w:rFonts w:ascii="Arial" w:eastAsia="Calibri" w:hAnsi="Arial" w:cs="Arial"/>
          <w:bCs/>
          <w:i/>
          <w:iCs/>
          <w:sz w:val="22"/>
          <w:szCs w:val="22"/>
        </w:rPr>
      </w:pPr>
    </w:p>
    <w:p w14:paraId="4820ECEF" w14:textId="382584F1" w:rsidR="00A807F2" w:rsidRDefault="00A807F2" w:rsidP="00A807F2">
      <w:pPr>
        <w:contextualSpacing/>
        <w:jc w:val="both"/>
        <w:rPr>
          <w:rFonts w:ascii="Arial" w:eastAsia="Calibri" w:hAnsi="Arial" w:cs="Arial"/>
          <w:bCs/>
          <w:i/>
          <w:iCs/>
          <w:sz w:val="22"/>
          <w:szCs w:val="22"/>
        </w:rPr>
      </w:pPr>
      <w:r w:rsidRPr="004F6F8F">
        <w:rPr>
          <w:rFonts w:ascii="Arial" w:eastAsia="Calibri" w:hAnsi="Arial" w:cs="Arial"/>
          <w:bCs/>
          <w:i/>
          <w:iCs/>
          <w:sz w:val="22"/>
          <w:szCs w:val="22"/>
        </w:rPr>
        <w:t>Outcome</w:t>
      </w:r>
    </w:p>
    <w:p w14:paraId="2DE0C294" w14:textId="318786EC" w:rsidR="00A47F7C" w:rsidRDefault="00E9718A" w:rsidP="00E9718A">
      <w:pPr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E9718A">
        <w:rPr>
          <w:rFonts w:ascii="Arial" w:eastAsia="Calibri" w:hAnsi="Arial" w:cs="Arial"/>
          <w:bCs/>
          <w:sz w:val="22"/>
          <w:szCs w:val="22"/>
        </w:rPr>
        <w:t xml:space="preserve">The PBAC noted that there was potential use outside the restriction. </w:t>
      </w:r>
      <w:r>
        <w:rPr>
          <w:rFonts w:ascii="Arial" w:eastAsia="Calibri" w:hAnsi="Arial" w:cs="Arial"/>
          <w:bCs/>
          <w:sz w:val="22"/>
          <w:szCs w:val="22"/>
        </w:rPr>
        <w:t>T</w:t>
      </w:r>
      <w:r w:rsidRPr="00E9718A">
        <w:rPr>
          <w:rFonts w:ascii="Arial" w:eastAsia="Calibri" w:hAnsi="Arial" w:cs="Arial"/>
          <w:bCs/>
          <w:sz w:val="22"/>
          <w:szCs w:val="22"/>
        </w:rPr>
        <w:t xml:space="preserve">he PBAC </w:t>
      </w:r>
      <w:r>
        <w:rPr>
          <w:rFonts w:ascii="Arial" w:eastAsia="Calibri" w:hAnsi="Arial" w:cs="Arial"/>
          <w:bCs/>
          <w:sz w:val="22"/>
          <w:szCs w:val="22"/>
        </w:rPr>
        <w:t xml:space="preserve">also </w:t>
      </w:r>
      <w:r w:rsidRPr="00E9718A">
        <w:rPr>
          <w:rFonts w:ascii="Arial" w:eastAsia="Calibri" w:hAnsi="Arial" w:cs="Arial"/>
          <w:bCs/>
          <w:sz w:val="22"/>
          <w:szCs w:val="22"/>
        </w:rPr>
        <w:t>noted that the number of incident patients was still rising and had not yet stabilised</w:t>
      </w:r>
      <w:r>
        <w:rPr>
          <w:rFonts w:ascii="Arial" w:eastAsia="Calibri" w:hAnsi="Arial" w:cs="Arial"/>
          <w:bCs/>
          <w:sz w:val="22"/>
          <w:szCs w:val="22"/>
        </w:rPr>
        <w:t xml:space="preserve"> but </w:t>
      </w:r>
      <w:r w:rsidRPr="00E9718A">
        <w:rPr>
          <w:rFonts w:ascii="Arial" w:eastAsia="Calibri" w:hAnsi="Arial" w:cs="Arial"/>
          <w:bCs/>
          <w:sz w:val="22"/>
          <w:szCs w:val="22"/>
        </w:rPr>
        <w:t xml:space="preserve">that the risk share arrangement mitigated any </w:t>
      </w:r>
      <w:r>
        <w:rPr>
          <w:rFonts w:ascii="Arial" w:eastAsia="Calibri" w:hAnsi="Arial" w:cs="Arial"/>
          <w:bCs/>
          <w:sz w:val="22"/>
          <w:szCs w:val="22"/>
        </w:rPr>
        <w:t xml:space="preserve">potential </w:t>
      </w:r>
      <w:r w:rsidR="0064310D">
        <w:rPr>
          <w:rFonts w:ascii="Arial" w:eastAsia="Calibri" w:hAnsi="Arial" w:cs="Arial"/>
          <w:bCs/>
          <w:sz w:val="22"/>
          <w:szCs w:val="22"/>
        </w:rPr>
        <w:t>use beyond expectations</w:t>
      </w:r>
      <w:r w:rsidRPr="00E9718A">
        <w:rPr>
          <w:rFonts w:ascii="Arial" w:eastAsia="Calibri" w:hAnsi="Arial" w:cs="Arial"/>
          <w:bCs/>
          <w:sz w:val="22"/>
          <w:szCs w:val="22"/>
        </w:rPr>
        <w:t>.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B9F8AA6" w14:textId="77777777" w:rsidR="00E9718A" w:rsidRPr="00E9718A" w:rsidRDefault="00E9718A" w:rsidP="00E9718A">
      <w:pPr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7207C89" w14:textId="6103EFD8" w:rsidR="00406EAB" w:rsidRDefault="00A47F7C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  <w:r w:rsidRPr="00A47F7C">
        <w:rPr>
          <w:rFonts w:ascii="Arial" w:eastAsia="Calibri" w:hAnsi="Arial" w:cs="Arial"/>
          <w:b/>
          <w:caps/>
          <w:sz w:val="22"/>
          <w:szCs w:val="22"/>
        </w:rPr>
        <w:t xml:space="preserve">Nivolumab for </w:t>
      </w:r>
      <w:r w:rsidR="00031B90">
        <w:rPr>
          <w:rFonts w:ascii="Arial" w:eastAsia="Calibri" w:hAnsi="Arial" w:cs="Arial"/>
          <w:b/>
          <w:caps/>
          <w:sz w:val="22"/>
          <w:szCs w:val="22"/>
        </w:rPr>
        <w:t xml:space="preserve">the treatment of </w:t>
      </w:r>
      <w:r w:rsidRPr="00A47F7C">
        <w:rPr>
          <w:rFonts w:ascii="Arial" w:eastAsia="Calibri" w:hAnsi="Arial" w:cs="Arial"/>
          <w:b/>
          <w:caps/>
          <w:sz w:val="22"/>
          <w:szCs w:val="22"/>
        </w:rPr>
        <w:t>gastro-oesophageal cancers</w:t>
      </w:r>
    </w:p>
    <w:p w14:paraId="16961968" w14:textId="77777777" w:rsidR="00406EAB" w:rsidRDefault="00406EAB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</w:p>
    <w:p w14:paraId="41E1DD76" w14:textId="77777777" w:rsidR="00406EAB" w:rsidRDefault="00406EAB" w:rsidP="00406EAB">
      <w:pPr>
        <w:contextualSpacing/>
        <w:jc w:val="both"/>
        <w:rPr>
          <w:rFonts w:ascii="Arial" w:eastAsia="Calibri" w:hAnsi="Arial" w:cs="Arial"/>
          <w:bCs/>
          <w:i/>
          <w:iCs/>
          <w:sz w:val="22"/>
          <w:szCs w:val="22"/>
        </w:rPr>
      </w:pPr>
      <w:r w:rsidRPr="004F6F8F">
        <w:rPr>
          <w:rFonts w:ascii="Arial" w:eastAsia="Calibri" w:hAnsi="Arial" w:cs="Arial"/>
          <w:bCs/>
          <w:i/>
          <w:iCs/>
          <w:sz w:val="22"/>
          <w:szCs w:val="22"/>
        </w:rPr>
        <w:t>Outcome</w:t>
      </w:r>
    </w:p>
    <w:p w14:paraId="5CC0C1C8" w14:textId="2E8168EA" w:rsidR="00406EAB" w:rsidRPr="00406EAB" w:rsidRDefault="00406EAB" w:rsidP="00052897">
      <w:pPr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406EAB">
        <w:rPr>
          <w:rFonts w:ascii="Arial" w:eastAsia="Calibri" w:hAnsi="Arial" w:cs="Arial"/>
          <w:bCs/>
          <w:sz w:val="22"/>
          <w:szCs w:val="22"/>
        </w:rPr>
        <w:t>The PBAC noted the number of prevalent patients ha</w:t>
      </w:r>
      <w:r w:rsidR="00D63C11">
        <w:rPr>
          <w:rFonts w:ascii="Arial" w:eastAsia="Calibri" w:hAnsi="Arial" w:cs="Arial"/>
          <w:bCs/>
          <w:sz w:val="22"/>
          <w:szCs w:val="22"/>
        </w:rPr>
        <w:t>d</w:t>
      </w:r>
      <w:r w:rsidRPr="00406EAB">
        <w:rPr>
          <w:rFonts w:ascii="Arial" w:eastAsia="Calibri" w:hAnsi="Arial" w:cs="Arial"/>
          <w:bCs/>
          <w:sz w:val="22"/>
          <w:szCs w:val="22"/>
        </w:rPr>
        <w:t xml:space="preserve"> increased steadily from 589 in the first quarter of listing to 1,029 by 2025Q1 while the number of initiating patients ha</w:t>
      </w:r>
      <w:r w:rsidR="00D63C11">
        <w:rPr>
          <w:rFonts w:ascii="Arial" w:eastAsia="Calibri" w:hAnsi="Arial" w:cs="Arial"/>
          <w:bCs/>
          <w:sz w:val="22"/>
          <w:szCs w:val="22"/>
        </w:rPr>
        <w:t>d</w:t>
      </w:r>
      <w:r w:rsidRPr="00406EAB">
        <w:rPr>
          <w:rFonts w:ascii="Arial" w:eastAsia="Calibri" w:hAnsi="Arial" w:cs="Arial"/>
          <w:bCs/>
          <w:sz w:val="22"/>
          <w:szCs w:val="22"/>
        </w:rPr>
        <w:t xml:space="preserve"> been approximately 280-300 per quarter from the second quarter of listing. Both the number of prevalent patients and prescriptions per quarter </w:t>
      </w:r>
      <w:r w:rsidR="00D63C11" w:rsidRPr="00406EAB">
        <w:rPr>
          <w:rFonts w:ascii="Arial" w:eastAsia="Calibri" w:hAnsi="Arial" w:cs="Arial"/>
          <w:bCs/>
          <w:sz w:val="22"/>
          <w:szCs w:val="22"/>
        </w:rPr>
        <w:t>ha</w:t>
      </w:r>
      <w:r w:rsidR="00D63C11">
        <w:rPr>
          <w:rFonts w:ascii="Arial" w:eastAsia="Calibri" w:hAnsi="Arial" w:cs="Arial"/>
          <w:bCs/>
          <w:sz w:val="22"/>
          <w:szCs w:val="22"/>
        </w:rPr>
        <w:t>d</w:t>
      </w:r>
      <w:r w:rsidR="00D63C11" w:rsidRPr="00406EAB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406EAB">
        <w:rPr>
          <w:rFonts w:ascii="Arial" w:eastAsia="Calibri" w:hAnsi="Arial" w:cs="Arial"/>
          <w:bCs/>
          <w:sz w:val="22"/>
          <w:szCs w:val="22"/>
        </w:rPr>
        <w:t>appeared to plateau.</w:t>
      </w:r>
    </w:p>
    <w:p w14:paraId="5871CAF5" w14:textId="77777777" w:rsidR="00A47F7C" w:rsidRDefault="00A47F7C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</w:p>
    <w:p w14:paraId="06C47296" w14:textId="2C893675" w:rsidR="00D7176E" w:rsidRDefault="00D7176E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  <w:r w:rsidRPr="00D7176E">
        <w:rPr>
          <w:rFonts w:ascii="Arial" w:eastAsia="Calibri" w:hAnsi="Arial" w:cs="Arial"/>
          <w:b/>
          <w:caps/>
          <w:sz w:val="22"/>
          <w:szCs w:val="22"/>
        </w:rPr>
        <w:t xml:space="preserve">Nusinersen for </w:t>
      </w:r>
      <w:r w:rsidR="00031B90">
        <w:rPr>
          <w:rFonts w:ascii="Arial" w:eastAsia="Calibri" w:hAnsi="Arial" w:cs="Arial"/>
          <w:b/>
          <w:caps/>
          <w:sz w:val="22"/>
          <w:szCs w:val="22"/>
        </w:rPr>
        <w:t xml:space="preserve">the treatment of </w:t>
      </w:r>
      <w:r w:rsidRPr="00D7176E">
        <w:rPr>
          <w:rFonts w:ascii="Arial" w:eastAsia="Calibri" w:hAnsi="Arial" w:cs="Arial"/>
          <w:b/>
          <w:caps/>
          <w:sz w:val="22"/>
          <w:szCs w:val="22"/>
        </w:rPr>
        <w:t xml:space="preserve">spinal muscular atrophy </w:t>
      </w:r>
      <w:r w:rsidR="00031B90">
        <w:rPr>
          <w:rFonts w:ascii="Arial" w:eastAsia="Calibri" w:hAnsi="Arial" w:cs="Arial"/>
          <w:b/>
          <w:caps/>
          <w:sz w:val="22"/>
          <w:szCs w:val="22"/>
        </w:rPr>
        <w:t xml:space="preserve">in </w:t>
      </w:r>
      <w:r w:rsidRPr="00D7176E">
        <w:rPr>
          <w:rFonts w:ascii="Arial" w:eastAsia="Calibri" w:hAnsi="Arial" w:cs="Arial"/>
          <w:b/>
          <w:caps/>
          <w:sz w:val="22"/>
          <w:szCs w:val="22"/>
        </w:rPr>
        <w:t>adults</w:t>
      </w:r>
    </w:p>
    <w:p w14:paraId="54A7367E" w14:textId="77777777" w:rsidR="00026370" w:rsidRDefault="00026370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</w:p>
    <w:p w14:paraId="6143DA4E" w14:textId="5D8A903B" w:rsidR="00026370" w:rsidRDefault="00026370" w:rsidP="00052897">
      <w:pPr>
        <w:contextualSpacing/>
        <w:jc w:val="both"/>
        <w:rPr>
          <w:rFonts w:ascii="Arial" w:eastAsia="Calibri" w:hAnsi="Arial" w:cs="Arial"/>
          <w:bCs/>
          <w:i/>
          <w:iCs/>
          <w:sz w:val="22"/>
          <w:szCs w:val="22"/>
        </w:rPr>
      </w:pPr>
      <w:r w:rsidRPr="00026370">
        <w:rPr>
          <w:rFonts w:ascii="Arial" w:eastAsia="Calibri" w:hAnsi="Arial" w:cs="Arial"/>
          <w:bCs/>
          <w:i/>
          <w:iCs/>
          <w:caps/>
          <w:sz w:val="22"/>
          <w:szCs w:val="22"/>
        </w:rPr>
        <w:t>O</w:t>
      </w:r>
      <w:r w:rsidRPr="00026370">
        <w:rPr>
          <w:rFonts w:ascii="Arial" w:eastAsia="Calibri" w:hAnsi="Arial" w:cs="Arial"/>
          <w:bCs/>
          <w:i/>
          <w:iCs/>
          <w:sz w:val="22"/>
          <w:szCs w:val="22"/>
        </w:rPr>
        <w:t>utcome</w:t>
      </w:r>
    </w:p>
    <w:p w14:paraId="72EEB04C" w14:textId="0D659154" w:rsidR="00517290" w:rsidRPr="00517290" w:rsidRDefault="00026370" w:rsidP="00517290">
      <w:pPr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The PBAC noted </w:t>
      </w:r>
      <w:r w:rsidR="00517290">
        <w:rPr>
          <w:rFonts w:ascii="Arial" w:eastAsia="Calibri" w:hAnsi="Arial" w:cs="Arial"/>
          <w:bCs/>
          <w:sz w:val="22"/>
          <w:szCs w:val="22"/>
        </w:rPr>
        <w:t>i</w:t>
      </w:r>
      <w:r w:rsidR="00517290" w:rsidRPr="00517290">
        <w:rPr>
          <w:rFonts w:ascii="Arial" w:eastAsia="Calibri" w:hAnsi="Arial" w:cs="Arial"/>
          <w:bCs/>
          <w:sz w:val="22"/>
          <w:szCs w:val="22"/>
        </w:rPr>
        <w:t xml:space="preserve">n 2024, 80 adult patients were supplied 230 prescriptions for the treatment of </w:t>
      </w:r>
      <w:r w:rsidR="00517290">
        <w:rPr>
          <w:rFonts w:ascii="Arial" w:eastAsia="Calibri" w:hAnsi="Arial" w:cs="Arial"/>
          <w:bCs/>
          <w:sz w:val="22"/>
          <w:szCs w:val="22"/>
        </w:rPr>
        <w:t>SMA</w:t>
      </w:r>
      <w:r w:rsidR="00517290" w:rsidRPr="00517290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517290">
        <w:rPr>
          <w:rFonts w:ascii="Arial" w:eastAsia="Calibri" w:hAnsi="Arial" w:cs="Arial"/>
          <w:bCs/>
          <w:sz w:val="22"/>
          <w:szCs w:val="22"/>
        </w:rPr>
        <w:t>The PBAC noted a</w:t>
      </w:r>
      <w:r w:rsidR="00517290" w:rsidRPr="00517290">
        <w:rPr>
          <w:rFonts w:ascii="Arial" w:eastAsia="Calibri" w:hAnsi="Arial" w:cs="Arial"/>
          <w:bCs/>
          <w:sz w:val="22"/>
          <w:szCs w:val="22"/>
        </w:rPr>
        <w:t xml:space="preserve"> greater number of adult patients </w:t>
      </w:r>
      <w:r w:rsidR="00D63C11" w:rsidRPr="00517290">
        <w:rPr>
          <w:rFonts w:ascii="Arial" w:eastAsia="Calibri" w:hAnsi="Arial" w:cs="Arial"/>
          <w:bCs/>
          <w:sz w:val="22"/>
          <w:szCs w:val="22"/>
        </w:rPr>
        <w:t>ha</w:t>
      </w:r>
      <w:r w:rsidR="00D63C11">
        <w:rPr>
          <w:rFonts w:ascii="Arial" w:eastAsia="Calibri" w:hAnsi="Arial" w:cs="Arial"/>
          <w:bCs/>
          <w:sz w:val="22"/>
          <w:szCs w:val="22"/>
        </w:rPr>
        <w:t>d</w:t>
      </w:r>
      <w:r w:rsidR="00D63C11" w:rsidRPr="0051729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17290" w:rsidRPr="00517290">
        <w:rPr>
          <w:rFonts w:ascii="Arial" w:eastAsia="Calibri" w:hAnsi="Arial" w:cs="Arial"/>
          <w:bCs/>
          <w:sz w:val="22"/>
          <w:szCs w:val="22"/>
        </w:rPr>
        <w:t xml:space="preserve">been treated with </w:t>
      </w:r>
      <w:proofErr w:type="spellStart"/>
      <w:r w:rsidR="00517290" w:rsidRPr="00517290">
        <w:rPr>
          <w:rFonts w:ascii="Arial" w:eastAsia="Calibri" w:hAnsi="Arial" w:cs="Arial"/>
          <w:bCs/>
          <w:sz w:val="22"/>
          <w:szCs w:val="22"/>
        </w:rPr>
        <w:t>risdiplam</w:t>
      </w:r>
      <w:proofErr w:type="spellEnd"/>
      <w:r w:rsidR="00517290" w:rsidRPr="00517290">
        <w:rPr>
          <w:rFonts w:ascii="Arial" w:eastAsia="Calibri" w:hAnsi="Arial" w:cs="Arial"/>
          <w:bCs/>
          <w:sz w:val="22"/>
          <w:szCs w:val="22"/>
        </w:rPr>
        <w:t xml:space="preserve"> compared to </w:t>
      </w:r>
      <w:proofErr w:type="spellStart"/>
      <w:r w:rsidR="00517290" w:rsidRPr="00517290">
        <w:rPr>
          <w:rFonts w:ascii="Arial" w:eastAsia="Calibri" w:hAnsi="Arial" w:cs="Arial"/>
          <w:bCs/>
          <w:sz w:val="22"/>
          <w:szCs w:val="22"/>
        </w:rPr>
        <w:t>nusinersen</w:t>
      </w:r>
      <w:proofErr w:type="spellEnd"/>
      <w:r w:rsidR="00517290" w:rsidRPr="00517290">
        <w:rPr>
          <w:rFonts w:ascii="Arial" w:eastAsia="Calibri" w:hAnsi="Arial" w:cs="Arial"/>
          <w:bCs/>
          <w:sz w:val="22"/>
          <w:szCs w:val="22"/>
        </w:rPr>
        <w:t>.</w:t>
      </w:r>
    </w:p>
    <w:p w14:paraId="6B0C7592" w14:textId="77777777" w:rsidR="00D7176E" w:rsidRDefault="00D7176E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</w:p>
    <w:p w14:paraId="2A208696" w14:textId="7CE8015E" w:rsidR="00D7176E" w:rsidRDefault="00D7176E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  <w:r w:rsidRPr="00D7176E">
        <w:rPr>
          <w:rFonts w:ascii="Arial" w:eastAsia="Calibri" w:hAnsi="Arial" w:cs="Arial"/>
          <w:b/>
          <w:caps/>
          <w:sz w:val="22"/>
          <w:szCs w:val="22"/>
        </w:rPr>
        <w:t xml:space="preserve">Atezolizumab for </w:t>
      </w:r>
      <w:r w:rsidR="00031B90">
        <w:rPr>
          <w:rFonts w:ascii="Arial" w:eastAsia="Calibri" w:hAnsi="Arial" w:cs="Arial"/>
          <w:b/>
          <w:caps/>
          <w:sz w:val="22"/>
          <w:szCs w:val="22"/>
        </w:rPr>
        <w:t xml:space="preserve">the treatment of </w:t>
      </w:r>
      <w:r w:rsidRPr="00D7176E">
        <w:rPr>
          <w:rFonts w:ascii="Arial" w:eastAsia="Calibri" w:hAnsi="Arial" w:cs="Arial"/>
          <w:b/>
          <w:caps/>
          <w:sz w:val="22"/>
          <w:szCs w:val="22"/>
        </w:rPr>
        <w:t>hepatocellular carcinoma</w:t>
      </w:r>
    </w:p>
    <w:p w14:paraId="0016A502" w14:textId="77777777" w:rsidR="00A47F7C" w:rsidRDefault="00A47F7C" w:rsidP="00052897">
      <w:pPr>
        <w:contextualSpacing/>
        <w:jc w:val="both"/>
        <w:rPr>
          <w:rFonts w:ascii="Arial" w:eastAsia="Calibri" w:hAnsi="Arial" w:cs="Arial"/>
          <w:b/>
          <w:caps/>
          <w:sz w:val="22"/>
          <w:szCs w:val="22"/>
        </w:rPr>
      </w:pPr>
    </w:p>
    <w:p w14:paraId="6458F563" w14:textId="0540195B" w:rsidR="004F6F8F" w:rsidRDefault="004F6F8F" w:rsidP="00052897">
      <w:pPr>
        <w:contextualSpacing/>
        <w:jc w:val="both"/>
        <w:rPr>
          <w:rFonts w:ascii="Arial" w:eastAsia="Calibri" w:hAnsi="Arial" w:cs="Arial"/>
          <w:bCs/>
          <w:i/>
          <w:iCs/>
          <w:sz w:val="22"/>
          <w:szCs w:val="22"/>
        </w:rPr>
      </w:pPr>
      <w:r w:rsidRPr="004F6F8F">
        <w:rPr>
          <w:rFonts w:ascii="Arial" w:eastAsia="Calibri" w:hAnsi="Arial" w:cs="Arial"/>
          <w:bCs/>
          <w:i/>
          <w:iCs/>
          <w:sz w:val="22"/>
          <w:szCs w:val="22"/>
        </w:rPr>
        <w:t>Outcome</w:t>
      </w:r>
    </w:p>
    <w:p w14:paraId="73706D43" w14:textId="4A4AADDD" w:rsidR="004F6F8F" w:rsidRPr="004F6F8F" w:rsidRDefault="004F6F8F" w:rsidP="00517290">
      <w:pPr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The PBAC noted the variance between the predicted and actual number of scripts</w:t>
      </w:r>
      <w:r w:rsidR="00AD20C9">
        <w:rPr>
          <w:rFonts w:ascii="Arial" w:eastAsia="Calibri" w:hAnsi="Arial" w:cs="Arial"/>
          <w:bCs/>
          <w:sz w:val="22"/>
          <w:szCs w:val="22"/>
        </w:rPr>
        <w:t>. The PBAC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B1715">
        <w:rPr>
          <w:rFonts w:ascii="Arial" w:eastAsia="Calibri" w:hAnsi="Arial" w:cs="Arial"/>
          <w:bCs/>
          <w:sz w:val="22"/>
          <w:szCs w:val="22"/>
        </w:rPr>
        <w:t xml:space="preserve">considered that this </w:t>
      </w:r>
      <w:r>
        <w:rPr>
          <w:rFonts w:ascii="Arial" w:eastAsia="Calibri" w:hAnsi="Arial" w:cs="Arial"/>
          <w:bCs/>
          <w:sz w:val="22"/>
          <w:szCs w:val="22"/>
        </w:rPr>
        <w:t>was</w:t>
      </w:r>
      <w:r w:rsidR="007B1715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the result of </w:t>
      </w:r>
      <w:r w:rsidR="00D113EF">
        <w:rPr>
          <w:rFonts w:ascii="Arial" w:eastAsia="Calibri" w:hAnsi="Arial" w:cs="Arial"/>
          <w:bCs/>
          <w:sz w:val="22"/>
          <w:szCs w:val="22"/>
        </w:rPr>
        <w:t xml:space="preserve">the </w:t>
      </w:r>
      <w:r>
        <w:rPr>
          <w:rFonts w:ascii="Arial" w:eastAsia="Calibri" w:hAnsi="Arial" w:cs="Arial"/>
          <w:bCs/>
          <w:sz w:val="22"/>
          <w:szCs w:val="22"/>
        </w:rPr>
        <w:t xml:space="preserve">difference in the assumed and actual duration of treatment and </w:t>
      </w:r>
      <w:bookmarkStart w:id="0" w:name="_Hlk203127687"/>
      <w:r>
        <w:rPr>
          <w:rFonts w:ascii="Arial" w:eastAsia="Calibri" w:hAnsi="Arial" w:cs="Arial"/>
          <w:bCs/>
          <w:sz w:val="22"/>
          <w:szCs w:val="22"/>
        </w:rPr>
        <w:t>that t</w:t>
      </w:r>
      <w:r w:rsidRPr="004F6F8F">
        <w:rPr>
          <w:rFonts w:ascii="Arial" w:eastAsia="Calibri" w:hAnsi="Arial" w:cs="Arial"/>
          <w:bCs/>
          <w:sz w:val="22"/>
          <w:szCs w:val="22"/>
        </w:rPr>
        <w:t>herapy with lenvatinib or sorafenib for hepatocellular carcinoma ha</w:t>
      </w:r>
      <w:r w:rsidR="00AD20C9">
        <w:rPr>
          <w:rFonts w:ascii="Arial" w:eastAsia="Calibri" w:hAnsi="Arial" w:cs="Arial"/>
          <w:bCs/>
          <w:sz w:val="22"/>
          <w:szCs w:val="22"/>
        </w:rPr>
        <w:t>d</w:t>
      </w:r>
      <w:r w:rsidRPr="004F6F8F">
        <w:rPr>
          <w:rFonts w:ascii="Arial" w:eastAsia="Calibri" w:hAnsi="Arial" w:cs="Arial"/>
          <w:bCs/>
          <w:sz w:val="22"/>
          <w:szCs w:val="22"/>
        </w:rPr>
        <w:t xml:space="preserve"> been displaced to older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B1715">
        <w:rPr>
          <w:rFonts w:ascii="Arial" w:eastAsia="Calibri" w:hAnsi="Arial" w:cs="Arial"/>
          <w:bCs/>
          <w:sz w:val="22"/>
          <w:szCs w:val="22"/>
        </w:rPr>
        <w:t>populations</w:t>
      </w:r>
      <w:r>
        <w:rPr>
          <w:rFonts w:ascii="Arial" w:eastAsia="Calibri" w:hAnsi="Arial" w:cs="Arial"/>
          <w:bCs/>
          <w:sz w:val="22"/>
          <w:szCs w:val="22"/>
        </w:rPr>
        <w:t>.</w:t>
      </w:r>
      <w:bookmarkEnd w:id="0"/>
    </w:p>
    <w:sectPr w:rsidR="004F6F8F" w:rsidRPr="004F6F8F" w:rsidSect="007A2421">
      <w:headerReference w:type="default" r:id="rId12"/>
      <w:footerReference w:type="default" r:id="rId13"/>
      <w:pgSz w:w="11906" w:h="16838"/>
      <w:pgMar w:top="1440" w:right="1800" w:bottom="1440" w:left="180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B4D7" w14:textId="77777777" w:rsidR="001F3D96" w:rsidRDefault="001F3D96">
      <w:r>
        <w:separator/>
      </w:r>
    </w:p>
  </w:endnote>
  <w:endnote w:type="continuationSeparator" w:id="0">
    <w:p w14:paraId="353627B7" w14:textId="77777777" w:rsidR="001F3D96" w:rsidRDefault="001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F5BA" w14:textId="77777777" w:rsidR="001F312C" w:rsidRPr="004630FE" w:rsidRDefault="001F312C">
    <w:pPr>
      <w:pStyle w:val="Footer"/>
      <w:jc w:val="center"/>
      <w:rPr>
        <w:rFonts w:ascii="Arial" w:hAnsi="Arial" w:cs="Arial"/>
        <w:sz w:val="22"/>
      </w:rPr>
    </w:pPr>
  </w:p>
  <w:p w14:paraId="0A6D77EE" w14:textId="1328933C" w:rsidR="001F312C" w:rsidRPr="00EC37B4" w:rsidRDefault="001F312C" w:rsidP="00EC37B4">
    <w:pPr>
      <w:pStyle w:val="Footer"/>
      <w:jc w:val="center"/>
      <w:rPr>
        <w:rFonts w:ascii="Arial" w:hAnsi="Arial" w:cs="Arial"/>
        <w:sz w:val="22"/>
      </w:rPr>
    </w:pPr>
    <w:r w:rsidRPr="004630FE">
      <w:rPr>
        <w:rFonts w:ascii="Arial" w:hAnsi="Arial" w:cs="Arial"/>
        <w:sz w:val="22"/>
      </w:rPr>
      <w:fldChar w:fldCharType="begin"/>
    </w:r>
    <w:r w:rsidRPr="004630FE">
      <w:rPr>
        <w:rFonts w:ascii="Arial" w:hAnsi="Arial" w:cs="Arial"/>
        <w:sz w:val="22"/>
      </w:rPr>
      <w:instrText xml:space="preserve"> PAGE   \* MERGEFORMAT </w:instrText>
    </w:r>
    <w:r w:rsidRPr="004630FE">
      <w:rPr>
        <w:rFonts w:ascii="Arial" w:hAnsi="Arial" w:cs="Arial"/>
        <w:sz w:val="22"/>
      </w:rPr>
      <w:fldChar w:fldCharType="separate"/>
    </w:r>
    <w:r w:rsidR="00B84143">
      <w:rPr>
        <w:rFonts w:ascii="Arial" w:hAnsi="Arial" w:cs="Arial"/>
        <w:noProof/>
        <w:sz w:val="22"/>
      </w:rPr>
      <w:t>3</w:t>
    </w:r>
    <w:r w:rsidRPr="004630FE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E276" w14:textId="77777777" w:rsidR="001F3D96" w:rsidRDefault="001F3D96">
      <w:r>
        <w:separator/>
      </w:r>
    </w:p>
  </w:footnote>
  <w:footnote w:type="continuationSeparator" w:id="0">
    <w:p w14:paraId="2AEFCA73" w14:textId="77777777" w:rsidR="001F3D96" w:rsidRDefault="001F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87D6" w14:textId="4A496BB5" w:rsidR="001F312C" w:rsidRPr="00A47F7C" w:rsidRDefault="00A47F7C" w:rsidP="00A47F7C">
    <w:pPr>
      <w:tabs>
        <w:tab w:val="center" w:pos="4153"/>
        <w:tab w:val="right" w:pos="8306"/>
      </w:tabs>
      <w:jc w:val="center"/>
      <w:rPr>
        <w:rFonts w:ascii="Arial" w:hAnsi="Arial" w:cs="Arial"/>
        <w:b/>
        <w:caps/>
        <w:sz w:val="20"/>
      </w:rPr>
    </w:pPr>
    <w:r>
      <w:rPr>
        <w:rFonts w:ascii="Arial" w:hAnsi="Arial" w:cs="Arial"/>
        <w:b/>
        <w:caps/>
        <w:sz w:val="20"/>
      </w:rPr>
      <w:t>JULY</w:t>
    </w:r>
    <w:r w:rsidR="00A83403">
      <w:rPr>
        <w:rFonts w:ascii="Arial" w:hAnsi="Arial" w:cs="Arial"/>
        <w:b/>
        <w:caps/>
        <w:sz w:val="20"/>
      </w:rPr>
      <w:t xml:space="preserve"> 2025</w:t>
    </w:r>
    <w:r w:rsidR="001F312C" w:rsidRPr="00341E66">
      <w:rPr>
        <w:rFonts w:ascii="Arial" w:hAnsi="Arial" w:cs="Arial"/>
        <w:b/>
        <w:sz w:val="20"/>
      </w:rPr>
      <w:t xml:space="preserve"> </w:t>
    </w:r>
    <w:r w:rsidR="001F312C" w:rsidRPr="00520B6E">
      <w:rPr>
        <w:rFonts w:ascii="Arial" w:hAnsi="Arial" w:cs="Arial"/>
        <w:b/>
        <w:sz w:val="20"/>
      </w:rPr>
      <w:t>PBAC M</w:t>
    </w:r>
    <w:r w:rsidR="001F312C">
      <w:rPr>
        <w:rFonts w:ascii="Arial" w:hAnsi="Arial" w:cs="Arial"/>
        <w:b/>
        <w:sz w:val="20"/>
      </w:rPr>
      <w:t>EETING – CONSIDERATION OF THE</w:t>
    </w:r>
    <w:r w:rsidR="001F312C" w:rsidRPr="00520B6E">
      <w:rPr>
        <w:rFonts w:ascii="Arial" w:hAnsi="Arial" w:cs="Arial"/>
        <w:b/>
        <w:sz w:val="20"/>
      </w:rPr>
      <w:t xml:space="preserve"> </w:t>
    </w:r>
    <w:r w:rsidR="001F312C">
      <w:rPr>
        <w:rFonts w:ascii="Arial" w:hAnsi="Arial" w:cs="Arial"/>
        <w:b/>
        <w:sz w:val="20"/>
      </w:rPr>
      <w:t>REPORT OF THE DRUG UTILISATION SUB</w:t>
    </w:r>
    <w:r w:rsidR="001F312C">
      <w:rPr>
        <w:rFonts w:ascii="Arial" w:hAnsi="Arial" w:cs="Arial"/>
        <w:b/>
        <w:sz w:val="20"/>
      </w:rPr>
      <w:noBreakHyphen/>
      <w:t>COMMITTEE</w:t>
    </w:r>
  </w:p>
  <w:p w14:paraId="6758E2CC" w14:textId="77777777" w:rsidR="001F312C" w:rsidRDefault="001F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68F"/>
    <w:multiLevelType w:val="hybridMultilevel"/>
    <w:tmpl w:val="8FEA9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0536"/>
    <w:multiLevelType w:val="multilevel"/>
    <w:tmpl w:val="2A8A6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E9208E"/>
    <w:multiLevelType w:val="hybridMultilevel"/>
    <w:tmpl w:val="28E061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B16DE"/>
    <w:multiLevelType w:val="multilevel"/>
    <w:tmpl w:val="51AA4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B031B9"/>
    <w:multiLevelType w:val="multilevel"/>
    <w:tmpl w:val="6A0E1B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4C1A3A"/>
    <w:multiLevelType w:val="hybridMultilevel"/>
    <w:tmpl w:val="C1B245C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8DD109F"/>
    <w:multiLevelType w:val="multilevel"/>
    <w:tmpl w:val="95D6B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48DD1D32"/>
    <w:multiLevelType w:val="hybridMultilevel"/>
    <w:tmpl w:val="97CE3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0041"/>
    <w:multiLevelType w:val="multilevel"/>
    <w:tmpl w:val="5CB87B6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0FC76BD"/>
    <w:multiLevelType w:val="hybridMultilevel"/>
    <w:tmpl w:val="F474C00E"/>
    <w:lvl w:ilvl="0" w:tplc="BF768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E65A0"/>
    <w:multiLevelType w:val="hybridMultilevel"/>
    <w:tmpl w:val="D016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522C5"/>
    <w:multiLevelType w:val="multilevel"/>
    <w:tmpl w:val="4E1A9C7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84D757A"/>
    <w:multiLevelType w:val="hybridMultilevel"/>
    <w:tmpl w:val="ABC2A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74411"/>
    <w:multiLevelType w:val="multilevel"/>
    <w:tmpl w:val="29F890D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8199203">
    <w:abstractNumId w:val="13"/>
  </w:num>
  <w:num w:numId="2" w16cid:durableId="1589389630">
    <w:abstractNumId w:val="8"/>
  </w:num>
  <w:num w:numId="3" w16cid:durableId="1547256440">
    <w:abstractNumId w:val="4"/>
  </w:num>
  <w:num w:numId="4" w16cid:durableId="405959758">
    <w:abstractNumId w:val="9"/>
  </w:num>
  <w:num w:numId="5" w16cid:durableId="95175730">
    <w:abstractNumId w:val="6"/>
  </w:num>
  <w:num w:numId="6" w16cid:durableId="1082995549">
    <w:abstractNumId w:val="11"/>
  </w:num>
  <w:num w:numId="7" w16cid:durableId="1388995512">
    <w:abstractNumId w:val="3"/>
  </w:num>
  <w:num w:numId="8" w16cid:durableId="2034452257">
    <w:abstractNumId w:val="5"/>
  </w:num>
  <w:num w:numId="9" w16cid:durableId="2011633779">
    <w:abstractNumId w:val="12"/>
  </w:num>
  <w:num w:numId="10" w16cid:durableId="1838376336">
    <w:abstractNumId w:val="10"/>
  </w:num>
  <w:num w:numId="11" w16cid:durableId="301230094">
    <w:abstractNumId w:val="0"/>
  </w:num>
  <w:num w:numId="12" w16cid:durableId="763184617">
    <w:abstractNumId w:val="7"/>
  </w:num>
  <w:num w:numId="13" w16cid:durableId="1905749045">
    <w:abstractNumId w:val="1"/>
  </w:num>
  <w:num w:numId="14" w16cid:durableId="195378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6A"/>
    <w:rsid w:val="0000028F"/>
    <w:rsid w:val="00015D78"/>
    <w:rsid w:val="00016CBD"/>
    <w:rsid w:val="0002143A"/>
    <w:rsid w:val="00022BF9"/>
    <w:rsid w:val="00026370"/>
    <w:rsid w:val="00027CEB"/>
    <w:rsid w:val="00031B90"/>
    <w:rsid w:val="00034F16"/>
    <w:rsid w:val="0003556F"/>
    <w:rsid w:val="000413ED"/>
    <w:rsid w:val="000437B9"/>
    <w:rsid w:val="00046F5C"/>
    <w:rsid w:val="00047A4B"/>
    <w:rsid w:val="00050E03"/>
    <w:rsid w:val="000510DE"/>
    <w:rsid w:val="00052897"/>
    <w:rsid w:val="00053A39"/>
    <w:rsid w:val="00053F80"/>
    <w:rsid w:val="0006056A"/>
    <w:rsid w:val="000606D4"/>
    <w:rsid w:val="00060A45"/>
    <w:rsid w:val="000663E7"/>
    <w:rsid w:val="0007306F"/>
    <w:rsid w:val="00080336"/>
    <w:rsid w:val="00084B66"/>
    <w:rsid w:val="0008741B"/>
    <w:rsid w:val="00092D31"/>
    <w:rsid w:val="00095F78"/>
    <w:rsid w:val="000A160F"/>
    <w:rsid w:val="000A2CDC"/>
    <w:rsid w:val="000A37FB"/>
    <w:rsid w:val="000B2DD0"/>
    <w:rsid w:val="000B3012"/>
    <w:rsid w:val="000C0053"/>
    <w:rsid w:val="000C5770"/>
    <w:rsid w:val="000C6902"/>
    <w:rsid w:val="000E2791"/>
    <w:rsid w:val="000E4B3A"/>
    <w:rsid w:val="000F1997"/>
    <w:rsid w:val="000F1D2B"/>
    <w:rsid w:val="0010257C"/>
    <w:rsid w:val="0012151C"/>
    <w:rsid w:val="00132A6A"/>
    <w:rsid w:val="00132DA2"/>
    <w:rsid w:val="0014056F"/>
    <w:rsid w:val="001416A4"/>
    <w:rsid w:val="00150970"/>
    <w:rsid w:val="00156D69"/>
    <w:rsid w:val="00164CD2"/>
    <w:rsid w:val="00171A7A"/>
    <w:rsid w:val="00176F11"/>
    <w:rsid w:val="0018016B"/>
    <w:rsid w:val="00180E7D"/>
    <w:rsid w:val="001B2984"/>
    <w:rsid w:val="001B5725"/>
    <w:rsid w:val="001B5726"/>
    <w:rsid w:val="001B648D"/>
    <w:rsid w:val="001C658A"/>
    <w:rsid w:val="001D0ACE"/>
    <w:rsid w:val="001D0B69"/>
    <w:rsid w:val="001D1F90"/>
    <w:rsid w:val="001D38C7"/>
    <w:rsid w:val="001D42A8"/>
    <w:rsid w:val="001D45AF"/>
    <w:rsid w:val="001E1951"/>
    <w:rsid w:val="001E7E86"/>
    <w:rsid w:val="001F0355"/>
    <w:rsid w:val="001F312C"/>
    <w:rsid w:val="001F3D96"/>
    <w:rsid w:val="001F4B84"/>
    <w:rsid w:val="0020695E"/>
    <w:rsid w:val="00215203"/>
    <w:rsid w:val="00215DE5"/>
    <w:rsid w:val="00216E50"/>
    <w:rsid w:val="0022150A"/>
    <w:rsid w:val="00222E8B"/>
    <w:rsid w:val="002374AC"/>
    <w:rsid w:val="00244B20"/>
    <w:rsid w:val="00250A1C"/>
    <w:rsid w:val="00250D4C"/>
    <w:rsid w:val="00251848"/>
    <w:rsid w:val="00265781"/>
    <w:rsid w:val="00267819"/>
    <w:rsid w:val="00267932"/>
    <w:rsid w:val="00267A9D"/>
    <w:rsid w:val="00271216"/>
    <w:rsid w:val="002754CF"/>
    <w:rsid w:val="002756E4"/>
    <w:rsid w:val="0028590B"/>
    <w:rsid w:val="002879B4"/>
    <w:rsid w:val="00293F23"/>
    <w:rsid w:val="002A0EF1"/>
    <w:rsid w:val="002D4006"/>
    <w:rsid w:val="002D7178"/>
    <w:rsid w:val="002E5D73"/>
    <w:rsid w:val="002E7273"/>
    <w:rsid w:val="002F3398"/>
    <w:rsid w:val="002F7591"/>
    <w:rsid w:val="002F775E"/>
    <w:rsid w:val="00301E55"/>
    <w:rsid w:val="00310423"/>
    <w:rsid w:val="0031133D"/>
    <w:rsid w:val="003172AB"/>
    <w:rsid w:val="003211BA"/>
    <w:rsid w:val="003232E1"/>
    <w:rsid w:val="00326328"/>
    <w:rsid w:val="00332BA2"/>
    <w:rsid w:val="0034025C"/>
    <w:rsid w:val="00341334"/>
    <w:rsid w:val="00341E66"/>
    <w:rsid w:val="00347C95"/>
    <w:rsid w:val="00350620"/>
    <w:rsid w:val="003603AD"/>
    <w:rsid w:val="00362AC3"/>
    <w:rsid w:val="003637C8"/>
    <w:rsid w:val="0037227B"/>
    <w:rsid w:val="00383568"/>
    <w:rsid w:val="00385940"/>
    <w:rsid w:val="00397836"/>
    <w:rsid w:val="003A0382"/>
    <w:rsid w:val="003A5212"/>
    <w:rsid w:val="003B0BEA"/>
    <w:rsid w:val="003B695E"/>
    <w:rsid w:val="003B79EE"/>
    <w:rsid w:val="003C2B83"/>
    <w:rsid w:val="003D43E0"/>
    <w:rsid w:val="003D52DC"/>
    <w:rsid w:val="003E4F94"/>
    <w:rsid w:val="003E55CB"/>
    <w:rsid w:val="003F07CB"/>
    <w:rsid w:val="00400159"/>
    <w:rsid w:val="0040140B"/>
    <w:rsid w:val="004048D8"/>
    <w:rsid w:val="00406EAB"/>
    <w:rsid w:val="00407FAA"/>
    <w:rsid w:val="00417600"/>
    <w:rsid w:val="00425CC6"/>
    <w:rsid w:val="00433DFA"/>
    <w:rsid w:val="0043596C"/>
    <w:rsid w:val="00446CF7"/>
    <w:rsid w:val="004566CA"/>
    <w:rsid w:val="004630FE"/>
    <w:rsid w:val="00464B70"/>
    <w:rsid w:val="00464DA0"/>
    <w:rsid w:val="004669DB"/>
    <w:rsid w:val="004709EF"/>
    <w:rsid w:val="00486875"/>
    <w:rsid w:val="004A1627"/>
    <w:rsid w:val="004B1F3C"/>
    <w:rsid w:val="004B2A39"/>
    <w:rsid w:val="004C295B"/>
    <w:rsid w:val="004C3CD0"/>
    <w:rsid w:val="004C435C"/>
    <w:rsid w:val="004C4C12"/>
    <w:rsid w:val="004D49EF"/>
    <w:rsid w:val="004D4DEE"/>
    <w:rsid w:val="004E1867"/>
    <w:rsid w:val="004E3D28"/>
    <w:rsid w:val="004E76AE"/>
    <w:rsid w:val="004F2C21"/>
    <w:rsid w:val="004F6F8F"/>
    <w:rsid w:val="005018C1"/>
    <w:rsid w:val="00504298"/>
    <w:rsid w:val="00507F23"/>
    <w:rsid w:val="00514593"/>
    <w:rsid w:val="005166A6"/>
    <w:rsid w:val="00517290"/>
    <w:rsid w:val="00520024"/>
    <w:rsid w:val="00533BC7"/>
    <w:rsid w:val="005402AB"/>
    <w:rsid w:val="0054067A"/>
    <w:rsid w:val="0054217F"/>
    <w:rsid w:val="005433E2"/>
    <w:rsid w:val="00550F01"/>
    <w:rsid w:val="0055106A"/>
    <w:rsid w:val="00553E58"/>
    <w:rsid w:val="0055669D"/>
    <w:rsid w:val="005616CC"/>
    <w:rsid w:val="005639BA"/>
    <w:rsid w:val="005642B3"/>
    <w:rsid w:val="00565336"/>
    <w:rsid w:val="005732A3"/>
    <w:rsid w:val="00575B2C"/>
    <w:rsid w:val="00582F85"/>
    <w:rsid w:val="00593867"/>
    <w:rsid w:val="00594361"/>
    <w:rsid w:val="00597564"/>
    <w:rsid w:val="005A209F"/>
    <w:rsid w:val="005A71CE"/>
    <w:rsid w:val="005B0BA9"/>
    <w:rsid w:val="005C202C"/>
    <w:rsid w:val="005D081A"/>
    <w:rsid w:val="005D1506"/>
    <w:rsid w:val="005D4115"/>
    <w:rsid w:val="005D774C"/>
    <w:rsid w:val="005E2846"/>
    <w:rsid w:val="005F2273"/>
    <w:rsid w:val="005F5574"/>
    <w:rsid w:val="006102C6"/>
    <w:rsid w:val="00614F10"/>
    <w:rsid w:val="00625C2B"/>
    <w:rsid w:val="006354AB"/>
    <w:rsid w:val="00641F0C"/>
    <w:rsid w:val="0064310D"/>
    <w:rsid w:val="00647788"/>
    <w:rsid w:val="00652D57"/>
    <w:rsid w:val="00664A75"/>
    <w:rsid w:val="006658CC"/>
    <w:rsid w:val="00666368"/>
    <w:rsid w:val="00666863"/>
    <w:rsid w:val="00666881"/>
    <w:rsid w:val="0067208B"/>
    <w:rsid w:val="00677683"/>
    <w:rsid w:val="00677983"/>
    <w:rsid w:val="00683251"/>
    <w:rsid w:val="006847AC"/>
    <w:rsid w:val="00692238"/>
    <w:rsid w:val="006951BF"/>
    <w:rsid w:val="006A0F20"/>
    <w:rsid w:val="006A2EB2"/>
    <w:rsid w:val="006A5F26"/>
    <w:rsid w:val="006B5034"/>
    <w:rsid w:val="006C41DA"/>
    <w:rsid w:val="006D0A58"/>
    <w:rsid w:val="006D316F"/>
    <w:rsid w:val="006D36DC"/>
    <w:rsid w:val="006D4A9B"/>
    <w:rsid w:val="006D4C23"/>
    <w:rsid w:val="006D4F54"/>
    <w:rsid w:val="006D50A0"/>
    <w:rsid w:val="006D593A"/>
    <w:rsid w:val="006D7E0B"/>
    <w:rsid w:val="006E57A3"/>
    <w:rsid w:val="006F6BA6"/>
    <w:rsid w:val="006F6F34"/>
    <w:rsid w:val="0070348A"/>
    <w:rsid w:val="00707145"/>
    <w:rsid w:val="007178BA"/>
    <w:rsid w:val="00732885"/>
    <w:rsid w:val="0073297F"/>
    <w:rsid w:val="0074603E"/>
    <w:rsid w:val="0075366B"/>
    <w:rsid w:val="00775A8D"/>
    <w:rsid w:val="007844F2"/>
    <w:rsid w:val="00793AF0"/>
    <w:rsid w:val="007A2421"/>
    <w:rsid w:val="007A4968"/>
    <w:rsid w:val="007B1715"/>
    <w:rsid w:val="007B7F4C"/>
    <w:rsid w:val="007C1098"/>
    <w:rsid w:val="007C758A"/>
    <w:rsid w:val="007C75EE"/>
    <w:rsid w:val="007D7263"/>
    <w:rsid w:val="007E275C"/>
    <w:rsid w:val="007E7A1B"/>
    <w:rsid w:val="007F2CE8"/>
    <w:rsid w:val="007F4E20"/>
    <w:rsid w:val="00801B19"/>
    <w:rsid w:val="00813997"/>
    <w:rsid w:val="00814987"/>
    <w:rsid w:val="00816A6C"/>
    <w:rsid w:val="008177B6"/>
    <w:rsid w:val="00820EAA"/>
    <w:rsid w:val="0082199A"/>
    <w:rsid w:val="00821B15"/>
    <w:rsid w:val="0082288D"/>
    <w:rsid w:val="0083082B"/>
    <w:rsid w:val="0083210F"/>
    <w:rsid w:val="008361CD"/>
    <w:rsid w:val="00843EFF"/>
    <w:rsid w:val="00845B30"/>
    <w:rsid w:val="008479A0"/>
    <w:rsid w:val="008545D1"/>
    <w:rsid w:val="00854810"/>
    <w:rsid w:val="008571DE"/>
    <w:rsid w:val="00857B3B"/>
    <w:rsid w:val="008613B3"/>
    <w:rsid w:val="008621E7"/>
    <w:rsid w:val="00866D71"/>
    <w:rsid w:val="00871936"/>
    <w:rsid w:val="008842CE"/>
    <w:rsid w:val="008866E8"/>
    <w:rsid w:val="00890D53"/>
    <w:rsid w:val="0089331D"/>
    <w:rsid w:val="008934F5"/>
    <w:rsid w:val="008A2CFE"/>
    <w:rsid w:val="008A4311"/>
    <w:rsid w:val="008A4B6F"/>
    <w:rsid w:val="008A651A"/>
    <w:rsid w:val="008A71D8"/>
    <w:rsid w:val="008B279B"/>
    <w:rsid w:val="008B4388"/>
    <w:rsid w:val="008B6009"/>
    <w:rsid w:val="008B69CF"/>
    <w:rsid w:val="008C2EAD"/>
    <w:rsid w:val="008D020C"/>
    <w:rsid w:val="008E354F"/>
    <w:rsid w:val="008F5691"/>
    <w:rsid w:val="008F5977"/>
    <w:rsid w:val="00916187"/>
    <w:rsid w:val="009202B6"/>
    <w:rsid w:val="009203A6"/>
    <w:rsid w:val="00921543"/>
    <w:rsid w:val="00922279"/>
    <w:rsid w:val="00922E47"/>
    <w:rsid w:val="00923A78"/>
    <w:rsid w:val="00925E21"/>
    <w:rsid w:val="00933952"/>
    <w:rsid w:val="00940D5C"/>
    <w:rsid w:val="009445C2"/>
    <w:rsid w:val="00955964"/>
    <w:rsid w:val="00955CD6"/>
    <w:rsid w:val="009611CD"/>
    <w:rsid w:val="009618D4"/>
    <w:rsid w:val="00964E5C"/>
    <w:rsid w:val="00971160"/>
    <w:rsid w:val="00973009"/>
    <w:rsid w:val="00984270"/>
    <w:rsid w:val="00996049"/>
    <w:rsid w:val="00997EA7"/>
    <w:rsid w:val="009A1ACC"/>
    <w:rsid w:val="009B339D"/>
    <w:rsid w:val="009E121B"/>
    <w:rsid w:val="009E143F"/>
    <w:rsid w:val="009E20A4"/>
    <w:rsid w:val="009E253D"/>
    <w:rsid w:val="009E60AF"/>
    <w:rsid w:val="009E6EA9"/>
    <w:rsid w:val="009E7E00"/>
    <w:rsid w:val="009F55CE"/>
    <w:rsid w:val="009F5908"/>
    <w:rsid w:val="009F5FE2"/>
    <w:rsid w:val="00A03E25"/>
    <w:rsid w:val="00A0539F"/>
    <w:rsid w:val="00A06B54"/>
    <w:rsid w:val="00A101AB"/>
    <w:rsid w:val="00A152EE"/>
    <w:rsid w:val="00A1560D"/>
    <w:rsid w:val="00A2489B"/>
    <w:rsid w:val="00A25973"/>
    <w:rsid w:val="00A31269"/>
    <w:rsid w:val="00A32269"/>
    <w:rsid w:val="00A3346B"/>
    <w:rsid w:val="00A36F7E"/>
    <w:rsid w:val="00A4098E"/>
    <w:rsid w:val="00A425E5"/>
    <w:rsid w:val="00A45D82"/>
    <w:rsid w:val="00A45FA1"/>
    <w:rsid w:val="00A47E2F"/>
    <w:rsid w:val="00A47F7C"/>
    <w:rsid w:val="00A50253"/>
    <w:rsid w:val="00A56266"/>
    <w:rsid w:val="00A570BF"/>
    <w:rsid w:val="00A70179"/>
    <w:rsid w:val="00A71C64"/>
    <w:rsid w:val="00A74CCD"/>
    <w:rsid w:val="00A76D1B"/>
    <w:rsid w:val="00A807F2"/>
    <w:rsid w:val="00A83403"/>
    <w:rsid w:val="00A925D7"/>
    <w:rsid w:val="00A9331B"/>
    <w:rsid w:val="00A93361"/>
    <w:rsid w:val="00AA5E4E"/>
    <w:rsid w:val="00AB23B4"/>
    <w:rsid w:val="00AB5403"/>
    <w:rsid w:val="00AC0FC5"/>
    <w:rsid w:val="00AC0FFB"/>
    <w:rsid w:val="00AC2CB7"/>
    <w:rsid w:val="00AC3B55"/>
    <w:rsid w:val="00AC4352"/>
    <w:rsid w:val="00AC78CB"/>
    <w:rsid w:val="00AD20C9"/>
    <w:rsid w:val="00AD2551"/>
    <w:rsid w:val="00AD3542"/>
    <w:rsid w:val="00AD37E5"/>
    <w:rsid w:val="00AD4267"/>
    <w:rsid w:val="00AE5FF1"/>
    <w:rsid w:val="00AE77DB"/>
    <w:rsid w:val="00AF144F"/>
    <w:rsid w:val="00AF2F79"/>
    <w:rsid w:val="00AF3B3E"/>
    <w:rsid w:val="00AF669A"/>
    <w:rsid w:val="00AF6DA0"/>
    <w:rsid w:val="00B03643"/>
    <w:rsid w:val="00B06BB8"/>
    <w:rsid w:val="00B139EF"/>
    <w:rsid w:val="00B13AD3"/>
    <w:rsid w:val="00B1491D"/>
    <w:rsid w:val="00B1693A"/>
    <w:rsid w:val="00B170F6"/>
    <w:rsid w:val="00B20C0D"/>
    <w:rsid w:val="00B26B58"/>
    <w:rsid w:val="00B27383"/>
    <w:rsid w:val="00B275E3"/>
    <w:rsid w:val="00B31433"/>
    <w:rsid w:val="00B35E96"/>
    <w:rsid w:val="00B36F4A"/>
    <w:rsid w:val="00B41635"/>
    <w:rsid w:val="00B445D9"/>
    <w:rsid w:val="00B47632"/>
    <w:rsid w:val="00B50A69"/>
    <w:rsid w:val="00B52928"/>
    <w:rsid w:val="00B532C3"/>
    <w:rsid w:val="00B60CCA"/>
    <w:rsid w:val="00B62228"/>
    <w:rsid w:val="00B725E4"/>
    <w:rsid w:val="00B736E4"/>
    <w:rsid w:val="00B74C7C"/>
    <w:rsid w:val="00B754AD"/>
    <w:rsid w:val="00B8335A"/>
    <w:rsid w:val="00B84143"/>
    <w:rsid w:val="00B860B5"/>
    <w:rsid w:val="00B94AFC"/>
    <w:rsid w:val="00B95F3B"/>
    <w:rsid w:val="00B96629"/>
    <w:rsid w:val="00BA0860"/>
    <w:rsid w:val="00BA0ED1"/>
    <w:rsid w:val="00BA4D95"/>
    <w:rsid w:val="00BA5A6C"/>
    <w:rsid w:val="00BB24D0"/>
    <w:rsid w:val="00BB5497"/>
    <w:rsid w:val="00BC3BE5"/>
    <w:rsid w:val="00BD0BA3"/>
    <w:rsid w:val="00BD4745"/>
    <w:rsid w:val="00BD6B3E"/>
    <w:rsid w:val="00BE182E"/>
    <w:rsid w:val="00BE4405"/>
    <w:rsid w:val="00BF3DA1"/>
    <w:rsid w:val="00BF5B32"/>
    <w:rsid w:val="00C06010"/>
    <w:rsid w:val="00C20FE7"/>
    <w:rsid w:val="00C22340"/>
    <w:rsid w:val="00C229C3"/>
    <w:rsid w:val="00C22AB9"/>
    <w:rsid w:val="00C375F9"/>
    <w:rsid w:val="00C37771"/>
    <w:rsid w:val="00C405E9"/>
    <w:rsid w:val="00C411AA"/>
    <w:rsid w:val="00C47D24"/>
    <w:rsid w:val="00C62ED6"/>
    <w:rsid w:val="00C636C2"/>
    <w:rsid w:val="00C6535C"/>
    <w:rsid w:val="00C71A4B"/>
    <w:rsid w:val="00C811BA"/>
    <w:rsid w:val="00C87A6B"/>
    <w:rsid w:val="00C9267A"/>
    <w:rsid w:val="00C96A3F"/>
    <w:rsid w:val="00CB56CD"/>
    <w:rsid w:val="00CB6BC5"/>
    <w:rsid w:val="00CB79AF"/>
    <w:rsid w:val="00CC0199"/>
    <w:rsid w:val="00CC0C6D"/>
    <w:rsid w:val="00CD04DF"/>
    <w:rsid w:val="00CD2ADF"/>
    <w:rsid w:val="00CD3BA9"/>
    <w:rsid w:val="00CD401E"/>
    <w:rsid w:val="00CD4158"/>
    <w:rsid w:val="00CE2298"/>
    <w:rsid w:val="00D01D56"/>
    <w:rsid w:val="00D03290"/>
    <w:rsid w:val="00D04F41"/>
    <w:rsid w:val="00D068D4"/>
    <w:rsid w:val="00D108DB"/>
    <w:rsid w:val="00D113EF"/>
    <w:rsid w:val="00D14FAD"/>
    <w:rsid w:val="00D24B42"/>
    <w:rsid w:val="00D33531"/>
    <w:rsid w:val="00D43DA6"/>
    <w:rsid w:val="00D47451"/>
    <w:rsid w:val="00D51F57"/>
    <w:rsid w:val="00D60E82"/>
    <w:rsid w:val="00D61A27"/>
    <w:rsid w:val="00D63C11"/>
    <w:rsid w:val="00D6624D"/>
    <w:rsid w:val="00D7136A"/>
    <w:rsid w:val="00D7176E"/>
    <w:rsid w:val="00D72D36"/>
    <w:rsid w:val="00D82194"/>
    <w:rsid w:val="00D82D67"/>
    <w:rsid w:val="00D943D6"/>
    <w:rsid w:val="00D96895"/>
    <w:rsid w:val="00DA25F6"/>
    <w:rsid w:val="00DA2A81"/>
    <w:rsid w:val="00DA2C46"/>
    <w:rsid w:val="00DB4B4C"/>
    <w:rsid w:val="00DB58B1"/>
    <w:rsid w:val="00DC0E0A"/>
    <w:rsid w:val="00DC7A41"/>
    <w:rsid w:val="00DD315C"/>
    <w:rsid w:val="00DD4060"/>
    <w:rsid w:val="00DE22A0"/>
    <w:rsid w:val="00DE6CA5"/>
    <w:rsid w:val="00DE7389"/>
    <w:rsid w:val="00DF5F6F"/>
    <w:rsid w:val="00E11B1E"/>
    <w:rsid w:val="00E14009"/>
    <w:rsid w:val="00E149F0"/>
    <w:rsid w:val="00E16015"/>
    <w:rsid w:val="00E24412"/>
    <w:rsid w:val="00E25A33"/>
    <w:rsid w:val="00E37984"/>
    <w:rsid w:val="00E37FD3"/>
    <w:rsid w:val="00E42CE1"/>
    <w:rsid w:val="00E474DF"/>
    <w:rsid w:val="00E51B48"/>
    <w:rsid w:val="00E64B09"/>
    <w:rsid w:val="00E659DB"/>
    <w:rsid w:val="00E65BFD"/>
    <w:rsid w:val="00E74222"/>
    <w:rsid w:val="00E75D86"/>
    <w:rsid w:val="00E86AE7"/>
    <w:rsid w:val="00E91740"/>
    <w:rsid w:val="00E91EAD"/>
    <w:rsid w:val="00E92B64"/>
    <w:rsid w:val="00E96DB2"/>
    <w:rsid w:val="00E9718A"/>
    <w:rsid w:val="00EA1C83"/>
    <w:rsid w:val="00EA43F8"/>
    <w:rsid w:val="00EA6A0A"/>
    <w:rsid w:val="00EB38E2"/>
    <w:rsid w:val="00EC18FC"/>
    <w:rsid w:val="00EC2B0C"/>
    <w:rsid w:val="00EC37B4"/>
    <w:rsid w:val="00EC6408"/>
    <w:rsid w:val="00ED0E5B"/>
    <w:rsid w:val="00ED1C3D"/>
    <w:rsid w:val="00ED66F3"/>
    <w:rsid w:val="00ED7A68"/>
    <w:rsid w:val="00EE12C0"/>
    <w:rsid w:val="00EE523C"/>
    <w:rsid w:val="00EE6509"/>
    <w:rsid w:val="00EE68E4"/>
    <w:rsid w:val="00EF3FE6"/>
    <w:rsid w:val="00EF7DF2"/>
    <w:rsid w:val="00F046B8"/>
    <w:rsid w:val="00F04ECB"/>
    <w:rsid w:val="00F159FC"/>
    <w:rsid w:val="00F2009D"/>
    <w:rsid w:val="00F32FEB"/>
    <w:rsid w:val="00F3543C"/>
    <w:rsid w:val="00F514E4"/>
    <w:rsid w:val="00F51922"/>
    <w:rsid w:val="00F53FA7"/>
    <w:rsid w:val="00F55E20"/>
    <w:rsid w:val="00F628C7"/>
    <w:rsid w:val="00F66E50"/>
    <w:rsid w:val="00F67C46"/>
    <w:rsid w:val="00F71F01"/>
    <w:rsid w:val="00F73897"/>
    <w:rsid w:val="00F77445"/>
    <w:rsid w:val="00F8213A"/>
    <w:rsid w:val="00F85F30"/>
    <w:rsid w:val="00F87883"/>
    <w:rsid w:val="00FA12CB"/>
    <w:rsid w:val="00FA1648"/>
    <w:rsid w:val="00FA20C0"/>
    <w:rsid w:val="00FA4D8A"/>
    <w:rsid w:val="00FB0B10"/>
    <w:rsid w:val="00FB1FCA"/>
    <w:rsid w:val="00FB34DE"/>
    <w:rsid w:val="00FB5E27"/>
    <w:rsid w:val="00FC15A2"/>
    <w:rsid w:val="00FC2585"/>
    <w:rsid w:val="00FC47CC"/>
    <w:rsid w:val="00FD0680"/>
    <w:rsid w:val="00FD0DE4"/>
    <w:rsid w:val="00FD3A6D"/>
    <w:rsid w:val="00FD4A60"/>
    <w:rsid w:val="00FE3BDD"/>
    <w:rsid w:val="00FF52C8"/>
    <w:rsid w:val="00FF7990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B9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6A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3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136A"/>
    <w:rPr>
      <w:rFonts w:eastAsia="Times New Roman" w:cs="Times New Roman"/>
      <w:szCs w:val="24"/>
      <w:lang w:val="en-US"/>
    </w:rPr>
  </w:style>
  <w:style w:type="paragraph" w:customStyle="1" w:styleId="DepartmentalHeading2">
    <w:name w:val="Departmental Heading 2"/>
    <w:basedOn w:val="Heading2"/>
    <w:rsid w:val="00D7136A"/>
    <w:pPr>
      <w:keepLines w:val="0"/>
      <w:spacing w:before="240" w:after="60"/>
    </w:pPr>
    <w:rPr>
      <w:rFonts w:ascii="Arial" w:hAnsi="Arial"/>
      <w:bCs w:val="0"/>
      <w:color w:val="auto"/>
      <w:sz w:val="24"/>
      <w:szCs w:val="20"/>
      <w:lang w:eastAsia="en-AU"/>
    </w:rPr>
  </w:style>
  <w:style w:type="character" w:styleId="Hyperlink">
    <w:name w:val="Hyperlink"/>
    <w:rsid w:val="00D7136A"/>
    <w:rPr>
      <w:color w:val="0000FF"/>
      <w:u w:val="single"/>
    </w:rPr>
  </w:style>
  <w:style w:type="character" w:styleId="CommentReference">
    <w:name w:val="annotation reference"/>
    <w:rsid w:val="00D713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136A"/>
    <w:rPr>
      <w:sz w:val="20"/>
      <w:szCs w:val="20"/>
    </w:rPr>
  </w:style>
  <w:style w:type="character" w:customStyle="1" w:styleId="CommentTextChar">
    <w:name w:val="Comment Text Char"/>
    <w:link w:val="CommentText"/>
    <w:rsid w:val="00D7136A"/>
    <w:rPr>
      <w:rFonts w:eastAsia="Times New Roman" w:cs="Times New Roman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D7136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7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136A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0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30FE"/>
    <w:rPr>
      <w:rFonts w:eastAsia="Times New Roman" w:cs="Times New Roman"/>
      <w:szCs w:val="24"/>
      <w:lang w:val="en-US"/>
    </w:rPr>
  </w:style>
  <w:style w:type="paragraph" w:styleId="ListParagraph">
    <w:name w:val="List Paragraph"/>
    <w:aliases w:val="BulletPoints,Bullet point,List Paragraph1,List Paragraph11,Recommendation,Numbered para,#List Paragraph,L,Bullet Level 1,Bullet Point,Bulletr List Paragraph,Content descriptions,FooterText,List Bullet 1,List Paragraph2,List Paragraph21,列"/>
    <w:basedOn w:val="Normal"/>
    <w:link w:val="ListParagraphChar"/>
    <w:uiPriority w:val="72"/>
    <w:qFormat/>
    <w:rsid w:val="00A31269"/>
    <w:pPr>
      <w:ind w:left="720" w:hanging="720"/>
      <w:contextualSpacing/>
    </w:pPr>
    <w:rPr>
      <w:rFonts w:ascii="Arial" w:hAnsi="Arial"/>
      <w:sz w:val="2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AB"/>
    <w:rPr>
      <w:rFonts w:eastAsia="Times New Roman" w:cs="Times New Roman"/>
      <w:b/>
      <w:bCs/>
      <w:sz w:val="20"/>
      <w:szCs w:val="20"/>
      <w:lang w:val="en-US" w:eastAsia="en-US"/>
    </w:rPr>
  </w:style>
  <w:style w:type="character" w:customStyle="1" w:styleId="ListParagraphChar">
    <w:name w:val="List Paragraph Char"/>
    <w:aliases w:val="BulletPoints Char,Bullet point Char,List Paragraph1 Char,List Paragraph11 Char,Recommendation Char,Numbered para Char,#List Paragraph Char,L Char,Bullet Level 1 Char,Bullet Point Char,Bulletr List Paragraph Char,FooterText Char"/>
    <w:link w:val="ListParagraph"/>
    <w:uiPriority w:val="72"/>
    <w:qFormat/>
    <w:locked/>
    <w:rsid w:val="00A70179"/>
    <w:rPr>
      <w:rFonts w:ascii="Arial" w:eastAsia="Times New Roman" w:hAnsi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12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4B66"/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E275C"/>
    <w:pPr>
      <w:spacing w:before="100" w:beforeAutospacing="1" w:after="100" w:afterAutospacing="1"/>
    </w:pPr>
    <w:rPr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ED1C3D"/>
    <w:rPr>
      <w:rFonts w:ascii="Calibri" w:eastAsiaTheme="minorHAns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C3D"/>
    <w:rPr>
      <w:rFonts w:ascii="Calibri" w:eastAsiaTheme="minorHAnsi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D1C3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info/industry/listing/elements/dusc-meetings/do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56f8d-13b3-495a-9a4b-41f8182eda4c">
      <Terms xmlns="http://schemas.microsoft.com/office/infopath/2007/PartnerControls"/>
    </lcf76f155ced4ddcb4097134ff3c332f>
    <TaxCatchAll xmlns="72f95629-adac-4ec1-8738-e1cec852b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D174C5281F747A8037A05221D6DBD" ma:contentTypeVersion="13" ma:contentTypeDescription="Create a new document." ma:contentTypeScope="" ma:versionID="0730fa184c152dc19f29f37236936f13">
  <xsd:schema xmlns:xsd="http://www.w3.org/2001/XMLSchema" xmlns:xs="http://www.w3.org/2001/XMLSchema" xmlns:p="http://schemas.microsoft.com/office/2006/metadata/properties" xmlns:ns2="7f856f8d-13b3-495a-9a4b-41f8182eda4c" xmlns:ns3="72f95629-adac-4ec1-8738-e1cec852b92b" targetNamespace="http://schemas.microsoft.com/office/2006/metadata/properties" ma:root="true" ma:fieldsID="45bac0a8dc5ab927fa8d2d08c91d10f3" ns2:_="" ns3:_="">
    <xsd:import namespace="7f856f8d-13b3-495a-9a4b-41f8182eda4c"/>
    <xsd:import namespace="72f95629-adac-4ec1-8738-e1cec852b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6f8d-13b3-495a-9a4b-41f8182e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5629-adac-4ec1-8738-e1cec852b9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ae0e28-eb5b-45a0-b45a-3f44301ba7c5}" ma:internalName="TaxCatchAll" ma:showField="CatchAllData" ma:web="72f95629-adac-4ec1-8738-e1cec852b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F229-D4DF-4CC7-B5B1-3EFEF8BBA75F}">
  <ds:schemaRefs>
    <ds:schemaRef ds:uri="http://schemas.microsoft.com/office/2006/metadata/properties"/>
    <ds:schemaRef ds:uri="http://schemas.microsoft.com/office/infopath/2007/PartnerControls"/>
    <ds:schemaRef ds:uri="7f856f8d-13b3-495a-9a4b-41f8182eda4c"/>
    <ds:schemaRef ds:uri="72f95629-adac-4ec1-8738-e1cec852b92b"/>
  </ds:schemaRefs>
</ds:datastoreItem>
</file>

<file path=customXml/itemProps2.xml><?xml version="1.0" encoding="utf-8"?>
<ds:datastoreItem xmlns:ds="http://schemas.openxmlformats.org/officeDocument/2006/customXml" ds:itemID="{3414B16B-068F-4C42-A612-F2B13AC4C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53634-F3F1-4A80-8A50-B59A4AA1F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56f8d-13b3-495a-9a4b-41f8182eda4c"/>
    <ds:schemaRef ds:uri="72f95629-adac-4ec1-8738-e1cec852b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0BE58-614A-4570-82B5-5A52B7B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2025-07-31T03:49:00Z</dcterms:created>
  <dcterms:modified xsi:type="dcterms:W3CDTF">2025-07-31T03:49:00Z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0x0101007FED174C5281F747A8037A05221D6DBD</vt:lpwstr>
  </property>
  <property fmtid="{D5CDD505-2E9C-101B-9397-08002B2CF9AE}" pid="3" name="MediaServiceImageTags">
    <vt:lpwstr/>
  </property>
</Properties>
</file>