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951C4" w14:textId="765710E9" w:rsidR="007567D2" w:rsidRPr="00E33C76" w:rsidRDefault="007567D2" w:rsidP="00A94408">
      <w:pPr>
        <w:pStyle w:val="Default"/>
        <w:ind w:right="656"/>
        <w:jc w:val="both"/>
        <w:rPr>
          <w:rFonts w:ascii="Arial" w:hAnsi="Arial" w:cs="Arial"/>
          <w:sz w:val="20"/>
          <w:szCs w:val="20"/>
        </w:rPr>
      </w:pPr>
      <w:r w:rsidRPr="00292120">
        <w:rPr>
          <w:rFonts w:ascii="Arial" w:hAnsi="Arial" w:cs="Arial"/>
          <w:sz w:val="20"/>
          <w:szCs w:val="20"/>
        </w:rPr>
        <w:t xml:space="preserve">The </w:t>
      </w:r>
      <w:r w:rsidR="009E648E" w:rsidRPr="00292120">
        <w:rPr>
          <w:rFonts w:ascii="Arial" w:hAnsi="Arial" w:cs="Arial"/>
          <w:sz w:val="20"/>
          <w:szCs w:val="20"/>
        </w:rPr>
        <w:t>PBAC outcomes and recommendations are presented</w:t>
      </w:r>
      <w:r w:rsidRPr="00292120">
        <w:rPr>
          <w:rFonts w:ascii="Arial" w:hAnsi="Arial" w:cs="Arial"/>
          <w:sz w:val="20"/>
          <w:szCs w:val="20"/>
        </w:rPr>
        <w:t xml:space="preserve"> in alphabetical order by drug name</w:t>
      </w:r>
      <w:r w:rsidR="00D97548">
        <w:rPr>
          <w:rFonts w:ascii="Arial" w:hAnsi="Arial" w:cs="Arial"/>
          <w:sz w:val="20"/>
          <w:szCs w:val="20"/>
        </w:rPr>
        <w:t>.</w:t>
      </w:r>
    </w:p>
    <w:tbl>
      <w:tblPr>
        <w:tblpPr w:leftFromText="180" w:rightFromText="180" w:vertAnchor="text" w:tblpXSpec="center" w:tblpY="1"/>
        <w:tblOverlap w:val="never"/>
        <w:tblW w:w="15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8" w:type="dxa"/>
        </w:tblCellMar>
        <w:tblLook w:val="01E0" w:firstRow="1" w:lastRow="1" w:firstColumn="1" w:lastColumn="1" w:noHBand="0" w:noVBand="0"/>
      </w:tblPr>
      <w:tblGrid>
        <w:gridCol w:w="3016"/>
        <w:gridCol w:w="2767"/>
        <w:gridCol w:w="2976"/>
        <w:gridCol w:w="1584"/>
        <w:gridCol w:w="4836"/>
      </w:tblGrid>
      <w:tr w:rsidR="00F374F7" w:rsidRPr="008059F4" w14:paraId="2F780D8A" w14:textId="77777777" w:rsidTr="09589B60">
        <w:trPr>
          <w:cantSplit/>
          <w:trHeight w:val="300"/>
          <w:tblHeader/>
        </w:trPr>
        <w:tc>
          <w:tcPr>
            <w:tcW w:w="3016" w:type="dxa"/>
            <w:tcMar>
              <w:top w:w="28" w:type="dxa"/>
              <w:bottom w:w="28" w:type="dxa"/>
            </w:tcMar>
            <w:vAlign w:val="center"/>
          </w:tcPr>
          <w:p w14:paraId="58BB41E5" w14:textId="46F847AB" w:rsidR="00F374F7" w:rsidRPr="008059F4" w:rsidRDefault="00F374F7" w:rsidP="00DC3166">
            <w:pPr>
              <w:keepLines/>
              <w:widowControl w:val="0"/>
              <w:ind w:right="-106"/>
              <w:jc w:val="center"/>
              <w:rPr>
                <w:rFonts w:asciiTheme="minorHAnsi" w:hAnsiTheme="minorHAnsi" w:cstheme="minorHAnsi"/>
                <w:b/>
                <w:sz w:val="18"/>
                <w:szCs w:val="18"/>
              </w:rPr>
            </w:pPr>
            <w:bookmarkStart w:id="0" w:name="_Hlk143070631"/>
            <w:bookmarkStart w:id="1" w:name="_Hlk164175861"/>
            <w:r w:rsidRPr="008059F4">
              <w:rPr>
                <w:rFonts w:asciiTheme="minorHAnsi" w:hAnsiTheme="minorHAnsi" w:cstheme="minorHAnsi"/>
                <w:b/>
                <w:sz w:val="18"/>
                <w:szCs w:val="18"/>
              </w:rPr>
              <w:t>DRUG NAME, FORM(S), STRENGTH(S), SPONSOR, TYPE OF SUBMISSION</w:t>
            </w:r>
          </w:p>
        </w:tc>
        <w:tc>
          <w:tcPr>
            <w:tcW w:w="2767" w:type="dxa"/>
            <w:tcMar>
              <w:top w:w="28" w:type="dxa"/>
              <w:bottom w:w="28" w:type="dxa"/>
            </w:tcMar>
            <w:vAlign w:val="center"/>
          </w:tcPr>
          <w:p w14:paraId="64FD3362" w14:textId="3DF64AED" w:rsidR="00F374F7" w:rsidRPr="008059F4" w:rsidRDefault="00F374F7" w:rsidP="00DC3166">
            <w:pPr>
              <w:keepLines/>
              <w:widowControl w:val="0"/>
              <w:jc w:val="center"/>
              <w:rPr>
                <w:rFonts w:asciiTheme="minorHAnsi" w:hAnsiTheme="minorHAnsi" w:cstheme="minorHAnsi"/>
                <w:b/>
                <w:snapToGrid w:val="0"/>
                <w:sz w:val="18"/>
                <w:szCs w:val="18"/>
                <w:lang w:eastAsia="en-US"/>
              </w:rPr>
            </w:pPr>
            <w:r w:rsidRPr="008059F4">
              <w:rPr>
                <w:rFonts w:asciiTheme="minorHAnsi" w:hAnsiTheme="minorHAnsi" w:cstheme="minorHAnsi"/>
                <w:b/>
                <w:snapToGrid w:val="0"/>
                <w:sz w:val="18"/>
                <w:szCs w:val="18"/>
                <w:lang w:eastAsia="en-US"/>
              </w:rPr>
              <w:t>DRUG TYPE AND USE</w:t>
            </w:r>
          </w:p>
        </w:tc>
        <w:tc>
          <w:tcPr>
            <w:tcW w:w="2976" w:type="dxa"/>
            <w:tcMar>
              <w:top w:w="28" w:type="dxa"/>
              <w:bottom w:w="28" w:type="dxa"/>
            </w:tcMar>
            <w:vAlign w:val="center"/>
          </w:tcPr>
          <w:p w14:paraId="60A9336E" w14:textId="77777777" w:rsidR="00F374F7" w:rsidRPr="008059F4" w:rsidRDefault="00F374F7" w:rsidP="00DC3166">
            <w:pPr>
              <w:keepLines/>
              <w:widowControl w:val="0"/>
              <w:jc w:val="center"/>
              <w:rPr>
                <w:rFonts w:asciiTheme="minorHAnsi" w:hAnsiTheme="minorHAnsi" w:cstheme="minorHAnsi"/>
                <w:b/>
                <w:snapToGrid w:val="0"/>
                <w:sz w:val="18"/>
                <w:szCs w:val="18"/>
                <w:lang w:eastAsia="en-US"/>
              </w:rPr>
            </w:pPr>
            <w:r w:rsidRPr="008059F4">
              <w:rPr>
                <w:rFonts w:asciiTheme="minorHAnsi" w:hAnsiTheme="minorHAnsi" w:cstheme="minorHAnsi"/>
                <w:b/>
                <w:snapToGrid w:val="0"/>
                <w:sz w:val="18"/>
                <w:szCs w:val="18"/>
                <w:lang w:eastAsia="en-US"/>
              </w:rPr>
              <w:t>LISTING REQUESTED BY SPONSOR / PURPOSE OF SUBMISSION</w:t>
            </w:r>
          </w:p>
        </w:tc>
        <w:tc>
          <w:tcPr>
            <w:tcW w:w="6420" w:type="dxa"/>
            <w:gridSpan w:val="2"/>
            <w:vAlign w:val="center"/>
          </w:tcPr>
          <w:p w14:paraId="5626F454" w14:textId="255B5DC5" w:rsidR="00F374F7" w:rsidRPr="001033CF" w:rsidRDefault="00F374F7" w:rsidP="00DC3166">
            <w:pPr>
              <w:pStyle w:val="Header"/>
              <w:keepLines/>
              <w:jc w:val="center"/>
              <w:rPr>
                <w:rFonts w:asciiTheme="minorHAnsi" w:hAnsiTheme="minorHAnsi" w:cstheme="minorBidi"/>
                <w:b/>
                <w:bCs/>
                <w:snapToGrid w:val="0"/>
                <w:sz w:val="18"/>
                <w:szCs w:val="18"/>
                <w:lang w:eastAsia="en-US"/>
              </w:rPr>
            </w:pPr>
            <w:r w:rsidRPr="20381F86">
              <w:rPr>
                <w:rFonts w:asciiTheme="minorHAnsi" w:hAnsiTheme="minorHAnsi" w:cstheme="minorBidi"/>
                <w:b/>
                <w:bCs/>
                <w:snapToGrid w:val="0"/>
                <w:sz w:val="18"/>
                <w:szCs w:val="18"/>
                <w:lang w:eastAsia="en-US"/>
              </w:rPr>
              <w:t>PBAC OUTCOME</w:t>
            </w:r>
            <w:bookmarkEnd w:id="0"/>
          </w:p>
        </w:tc>
      </w:tr>
      <w:tr w:rsidR="004C67EE" w:rsidRPr="008059F4" w:rsidDel="008F66B5" w14:paraId="59456C9B" w14:textId="11C3513F" w:rsidTr="09589B60">
        <w:trPr>
          <w:cantSplit/>
          <w:trHeight w:val="2948"/>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E88BC11" w14:textId="77777777" w:rsidR="004C67EE" w:rsidRPr="006A5A05" w:rsidRDefault="004C67EE" w:rsidP="00DC3166">
            <w:pPr>
              <w:jc w:val="center"/>
              <w:rPr>
                <w:rFonts w:asciiTheme="minorHAnsi" w:eastAsia="Calibri" w:hAnsiTheme="minorHAnsi" w:cstheme="minorHAnsi"/>
                <w:color w:val="000000" w:themeColor="text1"/>
                <w:sz w:val="18"/>
                <w:szCs w:val="18"/>
              </w:rPr>
            </w:pPr>
            <w:r w:rsidRPr="00F657EC">
              <w:rPr>
                <w:rFonts w:asciiTheme="minorHAnsi" w:eastAsia="Calibri" w:hAnsiTheme="minorHAnsi" w:cstheme="minorHAnsi"/>
                <w:color w:val="000000" w:themeColor="text1"/>
                <w:sz w:val="18"/>
                <w:szCs w:val="18"/>
              </w:rPr>
              <w:t>ABALOPARATIDE</w:t>
            </w:r>
          </w:p>
          <w:p w14:paraId="2EA388E1" w14:textId="77777777" w:rsidR="004C67EE" w:rsidRPr="006A5A05" w:rsidRDefault="004C67EE" w:rsidP="00DC3166">
            <w:pPr>
              <w:jc w:val="center"/>
              <w:rPr>
                <w:rFonts w:asciiTheme="minorHAnsi" w:eastAsia="Calibri" w:hAnsiTheme="minorHAnsi" w:cstheme="minorHAnsi"/>
                <w:color w:val="000000" w:themeColor="text1"/>
                <w:sz w:val="18"/>
                <w:szCs w:val="18"/>
              </w:rPr>
            </w:pPr>
          </w:p>
          <w:p w14:paraId="52C6FC20" w14:textId="77777777" w:rsidR="004C67EE" w:rsidRPr="006A5A05" w:rsidRDefault="004C67EE" w:rsidP="00DC3166">
            <w:pPr>
              <w:jc w:val="center"/>
              <w:rPr>
                <w:rFonts w:asciiTheme="minorHAnsi" w:eastAsia="Calibri" w:hAnsiTheme="minorHAnsi" w:cstheme="minorHAnsi"/>
                <w:color w:val="000000" w:themeColor="text1"/>
                <w:sz w:val="18"/>
                <w:szCs w:val="18"/>
              </w:rPr>
            </w:pPr>
            <w:r w:rsidRPr="006A5A05">
              <w:rPr>
                <w:rFonts w:asciiTheme="minorHAnsi" w:eastAsia="Calibri" w:hAnsiTheme="minorHAnsi" w:cstheme="minorHAnsi"/>
                <w:color w:val="000000" w:themeColor="text1"/>
                <w:sz w:val="18"/>
                <w:szCs w:val="18"/>
              </w:rPr>
              <w:t>Solution for injection 3 mg in 1.5 mL pre-filled pen</w:t>
            </w:r>
          </w:p>
          <w:p w14:paraId="36C3300B" w14:textId="77777777" w:rsidR="004C67EE" w:rsidRPr="006A5A05" w:rsidRDefault="004C67EE" w:rsidP="00DC3166">
            <w:pPr>
              <w:jc w:val="center"/>
              <w:rPr>
                <w:rFonts w:asciiTheme="minorHAnsi" w:eastAsia="Calibri" w:hAnsiTheme="minorHAnsi" w:cstheme="minorHAnsi"/>
                <w:color w:val="000000" w:themeColor="text1"/>
                <w:sz w:val="18"/>
                <w:szCs w:val="18"/>
              </w:rPr>
            </w:pPr>
          </w:p>
          <w:p w14:paraId="7916D65B" w14:textId="77777777" w:rsidR="004C67EE" w:rsidRPr="006A5A05" w:rsidRDefault="004C67EE" w:rsidP="00DC3166">
            <w:pPr>
              <w:jc w:val="center"/>
              <w:rPr>
                <w:rFonts w:asciiTheme="minorHAnsi" w:eastAsia="Calibri" w:hAnsiTheme="minorHAnsi" w:cstheme="minorHAnsi"/>
                <w:color w:val="000000" w:themeColor="text1"/>
                <w:sz w:val="18"/>
                <w:szCs w:val="18"/>
              </w:rPr>
            </w:pPr>
            <w:proofErr w:type="spellStart"/>
            <w:r w:rsidRPr="006A5A05">
              <w:rPr>
                <w:rFonts w:asciiTheme="minorHAnsi" w:eastAsia="Calibri" w:hAnsiTheme="minorHAnsi" w:cstheme="minorHAnsi"/>
                <w:color w:val="000000" w:themeColor="text1"/>
                <w:sz w:val="18"/>
                <w:szCs w:val="18"/>
              </w:rPr>
              <w:t>Eladynos</w:t>
            </w:r>
            <w:proofErr w:type="spellEnd"/>
            <w:r w:rsidRPr="006A5A05">
              <w:rPr>
                <w:rFonts w:asciiTheme="minorHAnsi" w:eastAsia="Calibri" w:hAnsiTheme="minorHAnsi" w:cstheme="minorHAnsi"/>
                <w:color w:val="000000" w:themeColor="text1"/>
                <w:sz w:val="18"/>
                <w:szCs w:val="18"/>
              </w:rPr>
              <w:t>®</w:t>
            </w:r>
          </w:p>
          <w:p w14:paraId="7C2A6262" w14:textId="77777777" w:rsidR="004C67EE" w:rsidRPr="006A5A05" w:rsidRDefault="004C67EE" w:rsidP="00DC3166">
            <w:pPr>
              <w:jc w:val="center"/>
              <w:rPr>
                <w:rFonts w:asciiTheme="minorHAnsi" w:eastAsia="Calibri" w:hAnsiTheme="minorHAnsi" w:cstheme="minorHAnsi"/>
                <w:color w:val="000000" w:themeColor="text1"/>
                <w:sz w:val="18"/>
                <w:szCs w:val="18"/>
              </w:rPr>
            </w:pPr>
          </w:p>
          <w:p w14:paraId="010D373A" w14:textId="77777777" w:rsidR="004C67EE" w:rsidRPr="006A5A05" w:rsidRDefault="004C67EE" w:rsidP="00DC3166">
            <w:pPr>
              <w:jc w:val="center"/>
              <w:rPr>
                <w:rFonts w:asciiTheme="minorHAnsi" w:eastAsia="Calibri" w:hAnsiTheme="minorHAnsi" w:cstheme="minorHAnsi"/>
                <w:color w:val="000000" w:themeColor="text1"/>
                <w:sz w:val="18"/>
                <w:szCs w:val="18"/>
              </w:rPr>
            </w:pPr>
            <w:r w:rsidRPr="006A5A05">
              <w:rPr>
                <w:rFonts w:asciiTheme="minorHAnsi" w:eastAsia="Calibri" w:hAnsiTheme="minorHAnsi" w:cstheme="minorHAnsi"/>
                <w:color w:val="000000" w:themeColor="text1"/>
                <w:sz w:val="18"/>
                <w:szCs w:val="18"/>
              </w:rPr>
              <w:t>THERAMEX AUSTRALIA PTY LTD</w:t>
            </w:r>
          </w:p>
          <w:p w14:paraId="3C9F104E" w14:textId="77777777" w:rsidR="004C67EE" w:rsidRPr="006A5A05" w:rsidRDefault="004C67EE" w:rsidP="00DC3166">
            <w:pPr>
              <w:jc w:val="center"/>
              <w:rPr>
                <w:rFonts w:asciiTheme="minorHAnsi" w:eastAsia="Calibri" w:hAnsiTheme="minorHAnsi" w:cstheme="minorHAnsi"/>
                <w:color w:val="000000" w:themeColor="text1"/>
                <w:sz w:val="18"/>
                <w:szCs w:val="18"/>
              </w:rPr>
            </w:pPr>
          </w:p>
          <w:p w14:paraId="730C55A7" w14:textId="6B9B8781" w:rsidR="004C67EE" w:rsidRPr="006A5A05" w:rsidRDefault="004C67EE" w:rsidP="00DC3166">
            <w:pPr>
              <w:jc w:val="center"/>
              <w:rPr>
                <w:rFonts w:asciiTheme="minorHAnsi" w:eastAsia="Calibri" w:hAnsiTheme="minorHAnsi" w:cstheme="minorHAnsi"/>
                <w:color w:val="000000" w:themeColor="text1"/>
                <w:sz w:val="18"/>
                <w:szCs w:val="18"/>
              </w:rPr>
            </w:pPr>
            <w:r w:rsidRPr="006A5A05">
              <w:rPr>
                <w:rFonts w:asciiTheme="minorHAnsi" w:eastAsia="Calibri" w:hAnsiTheme="minorHAnsi" w:cstheme="minorHAnsi"/>
                <w:color w:val="000000" w:themeColor="text1"/>
                <w:sz w:val="18"/>
                <w:szCs w:val="18"/>
              </w:rPr>
              <w:t xml:space="preserve">Category </w:t>
            </w:r>
            <w:r w:rsidR="004D14C8">
              <w:rPr>
                <w:rFonts w:asciiTheme="minorHAnsi" w:eastAsia="Calibri" w:hAnsiTheme="minorHAnsi" w:cstheme="minorHAnsi"/>
                <w:color w:val="000000" w:themeColor="text1"/>
                <w:sz w:val="18"/>
                <w:szCs w:val="18"/>
              </w:rPr>
              <w:t>2</w:t>
            </w:r>
          </w:p>
          <w:p w14:paraId="74814FF5" w14:textId="3B3EE09B" w:rsidR="004C67EE" w:rsidRPr="006A5A05" w:rsidRDefault="004C67EE" w:rsidP="00DC3166">
            <w:pPr>
              <w:jc w:val="center"/>
              <w:rPr>
                <w:rFonts w:asciiTheme="minorHAnsi" w:hAnsiTheme="minorHAnsi" w:cstheme="minorHAnsi"/>
                <w:sz w:val="18"/>
                <w:szCs w:val="18"/>
              </w:rPr>
            </w:pPr>
            <w:r w:rsidRPr="006A5A05">
              <w:rPr>
                <w:rFonts w:asciiTheme="minorHAnsi" w:eastAsia="Calibri" w:hAnsiTheme="minorHAnsi" w:cstheme="minorHAnsi"/>
                <w:color w:val="000000" w:themeColor="text1"/>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vAlign w:val="center"/>
          </w:tcPr>
          <w:p w14:paraId="456051AC" w14:textId="753533E9" w:rsidR="004C67EE" w:rsidRPr="006A5A05" w:rsidRDefault="004C67EE" w:rsidP="00DC3166">
            <w:pPr>
              <w:jc w:val="center"/>
              <w:rPr>
                <w:rFonts w:asciiTheme="minorHAnsi" w:eastAsia="Arial" w:hAnsiTheme="minorHAnsi" w:cstheme="minorHAnsi"/>
                <w:color w:val="000000" w:themeColor="text1"/>
                <w:sz w:val="18"/>
                <w:szCs w:val="18"/>
              </w:rPr>
            </w:pPr>
            <w:r w:rsidRPr="006A5A05">
              <w:rPr>
                <w:rFonts w:asciiTheme="minorHAnsi" w:eastAsia="Calibri" w:hAnsiTheme="minorHAnsi" w:cstheme="minorHAnsi"/>
                <w:color w:val="000000" w:themeColor="text1"/>
                <w:sz w:val="18"/>
                <w:szCs w:val="18"/>
              </w:rPr>
              <w:t>Osteoporosis</w:t>
            </w:r>
          </w:p>
        </w:tc>
        <w:tc>
          <w:tcPr>
            <w:tcW w:w="29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5AD9C28" w14:textId="6EBB31D2" w:rsidR="004C67EE" w:rsidRPr="006A5A05" w:rsidRDefault="004C67EE" w:rsidP="00DC3166">
            <w:pPr>
              <w:jc w:val="center"/>
              <w:rPr>
                <w:rFonts w:asciiTheme="minorHAnsi" w:hAnsiTheme="minorHAnsi" w:cstheme="minorHAnsi"/>
                <w:sz w:val="18"/>
                <w:szCs w:val="18"/>
              </w:rPr>
            </w:pPr>
            <w:r w:rsidRPr="006A5A05">
              <w:rPr>
                <w:rFonts w:asciiTheme="minorHAnsi" w:eastAsia="Calibri" w:hAnsiTheme="minorHAnsi" w:cstheme="minorHAnsi"/>
                <w:color w:val="000000" w:themeColor="text1"/>
                <w:sz w:val="18"/>
                <w:szCs w:val="18"/>
              </w:rPr>
              <w:t>To request a General Schedule Authority Required (Telephone/Online) listing for the first line treatment of severe established osteoporosis.</w:t>
            </w:r>
          </w:p>
        </w:tc>
        <w:tc>
          <w:tcPr>
            <w:tcW w:w="1584" w:type="dxa"/>
            <w:vAlign w:val="center"/>
          </w:tcPr>
          <w:p w14:paraId="2316FD21" w14:textId="6A1AA8D3" w:rsidR="004C67EE" w:rsidRPr="006A5A05" w:rsidDel="008F66B5" w:rsidRDefault="00BF5C35" w:rsidP="00DC3166">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Recommended</w:t>
            </w:r>
          </w:p>
        </w:tc>
        <w:tc>
          <w:tcPr>
            <w:tcW w:w="4836" w:type="dxa"/>
            <w:vAlign w:val="center"/>
          </w:tcPr>
          <w:p w14:paraId="5B86D89B" w14:textId="77777777" w:rsidR="00463ADC" w:rsidRDefault="001B5F62" w:rsidP="00DC3166">
            <w:pPr>
              <w:jc w:val="both"/>
              <w:rPr>
                <w:rFonts w:asciiTheme="minorHAnsi" w:eastAsiaTheme="minorHAnsi" w:hAnsiTheme="minorHAnsi" w:cstheme="minorBidi"/>
                <w:sz w:val="18"/>
                <w:szCs w:val="18"/>
              </w:rPr>
            </w:pPr>
            <w:r w:rsidRPr="001B5F62">
              <w:rPr>
                <w:rFonts w:asciiTheme="minorHAnsi" w:eastAsiaTheme="minorHAnsi" w:hAnsiTheme="minorHAnsi" w:cstheme="minorBidi"/>
                <w:sz w:val="18"/>
                <w:szCs w:val="18"/>
              </w:rPr>
              <w:t xml:space="preserve">The PBAC recommended </w:t>
            </w:r>
            <w:proofErr w:type="spellStart"/>
            <w:r w:rsidRPr="001B5F62">
              <w:rPr>
                <w:rFonts w:asciiTheme="minorHAnsi" w:eastAsiaTheme="minorHAnsi" w:hAnsiTheme="minorHAnsi" w:cstheme="minorBidi"/>
                <w:sz w:val="18"/>
                <w:szCs w:val="18"/>
              </w:rPr>
              <w:t>abaloparatide</w:t>
            </w:r>
            <w:proofErr w:type="spellEnd"/>
            <w:r w:rsidRPr="001B5F62">
              <w:rPr>
                <w:rFonts w:asciiTheme="minorHAnsi" w:eastAsiaTheme="minorHAnsi" w:hAnsiTheme="minorHAnsi" w:cstheme="minorBidi"/>
                <w:sz w:val="18"/>
                <w:szCs w:val="18"/>
              </w:rPr>
              <w:t xml:space="preserve"> for the treatment of patients with severe established osteoporosis and very high risk of fracture. </w:t>
            </w:r>
          </w:p>
          <w:p w14:paraId="510BFA4A" w14:textId="77777777" w:rsidR="00463ADC" w:rsidRDefault="00463ADC" w:rsidP="00DC3166">
            <w:pPr>
              <w:jc w:val="both"/>
              <w:rPr>
                <w:rFonts w:asciiTheme="minorHAnsi" w:eastAsiaTheme="minorHAnsi" w:hAnsiTheme="minorHAnsi" w:cstheme="minorBidi"/>
                <w:sz w:val="18"/>
                <w:szCs w:val="18"/>
              </w:rPr>
            </w:pPr>
          </w:p>
          <w:p w14:paraId="28C951B9" w14:textId="504DBB01" w:rsidR="00A61669" w:rsidRDefault="001B5F62" w:rsidP="00DC3166">
            <w:pPr>
              <w:jc w:val="both"/>
              <w:rPr>
                <w:rFonts w:asciiTheme="minorHAnsi" w:eastAsiaTheme="minorHAnsi" w:hAnsiTheme="minorHAnsi" w:cstheme="minorBidi"/>
                <w:sz w:val="18"/>
                <w:szCs w:val="18"/>
              </w:rPr>
            </w:pPr>
            <w:r w:rsidRPr="001B5F62">
              <w:rPr>
                <w:rFonts w:asciiTheme="minorHAnsi" w:eastAsiaTheme="minorHAnsi" w:hAnsiTheme="minorHAnsi" w:cstheme="minorBidi"/>
                <w:sz w:val="18"/>
                <w:szCs w:val="18"/>
              </w:rPr>
              <w:t xml:space="preserve">The PBAC noted and welcomed input from health care professionals and consumers. The PBAC noted there was a need for alternative anabolic treatment for osteoporosis on the PBS, </w:t>
            </w:r>
            <w:proofErr w:type="gramStart"/>
            <w:r w:rsidRPr="001B5F62">
              <w:rPr>
                <w:rFonts w:asciiTheme="minorHAnsi" w:eastAsiaTheme="minorHAnsi" w:hAnsiTheme="minorHAnsi" w:cstheme="minorBidi"/>
                <w:sz w:val="18"/>
                <w:szCs w:val="18"/>
              </w:rPr>
              <w:t>in particular for</w:t>
            </w:r>
            <w:proofErr w:type="gramEnd"/>
            <w:r w:rsidRPr="001B5F62">
              <w:rPr>
                <w:rFonts w:asciiTheme="minorHAnsi" w:eastAsiaTheme="minorHAnsi" w:hAnsiTheme="minorHAnsi" w:cstheme="minorBidi"/>
                <w:sz w:val="18"/>
                <w:szCs w:val="18"/>
              </w:rPr>
              <w:t xml:space="preserve"> patients unable to tolerate or who have a contraindication to </w:t>
            </w:r>
            <w:proofErr w:type="spellStart"/>
            <w:r w:rsidRPr="001B5F62">
              <w:rPr>
                <w:rFonts w:asciiTheme="minorHAnsi" w:eastAsiaTheme="minorHAnsi" w:hAnsiTheme="minorHAnsi" w:cstheme="minorBidi"/>
                <w:sz w:val="18"/>
                <w:szCs w:val="18"/>
              </w:rPr>
              <w:t>romosozumab</w:t>
            </w:r>
            <w:proofErr w:type="spellEnd"/>
            <w:r w:rsidRPr="001B5F62">
              <w:rPr>
                <w:rFonts w:asciiTheme="minorHAnsi" w:eastAsiaTheme="minorHAnsi" w:hAnsiTheme="minorHAnsi" w:cstheme="minorBidi"/>
                <w:sz w:val="18"/>
                <w:szCs w:val="18"/>
              </w:rPr>
              <w:t xml:space="preserve">. The PBAC acknowledged the increasing evidence to suggest that anabolic agents should be used first-line to build new bone, yet some patients do not have access to first-line anabolic treatment due to cardiovascular contraindications. </w:t>
            </w:r>
          </w:p>
          <w:p w14:paraId="5097017C" w14:textId="77777777" w:rsidR="00A61669" w:rsidRDefault="00A61669" w:rsidP="00DC3166">
            <w:pPr>
              <w:jc w:val="both"/>
              <w:rPr>
                <w:rFonts w:asciiTheme="minorHAnsi" w:eastAsiaTheme="minorHAnsi" w:hAnsiTheme="minorHAnsi" w:cstheme="minorBidi"/>
                <w:sz w:val="18"/>
                <w:szCs w:val="18"/>
              </w:rPr>
            </w:pPr>
          </w:p>
          <w:p w14:paraId="32000AD0" w14:textId="77777777" w:rsidR="00463ADC" w:rsidRDefault="001B5F62" w:rsidP="00DC3166">
            <w:pPr>
              <w:jc w:val="both"/>
              <w:rPr>
                <w:rFonts w:asciiTheme="minorHAnsi" w:eastAsiaTheme="minorEastAsia" w:hAnsiTheme="minorHAnsi" w:cstheme="minorBidi"/>
                <w:sz w:val="18"/>
                <w:szCs w:val="18"/>
              </w:rPr>
            </w:pPr>
            <w:r w:rsidRPr="6E371D26">
              <w:rPr>
                <w:rFonts w:asciiTheme="minorHAnsi" w:eastAsiaTheme="minorEastAsia" w:hAnsiTheme="minorHAnsi" w:cstheme="minorBidi"/>
                <w:sz w:val="18"/>
                <w:szCs w:val="18"/>
              </w:rPr>
              <w:t xml:space="preserve">The PBAC accepted that the evidence presented in the submission indicated that </w:t>
            </w:r>
            <w:proofErr w:type="spellStart"/>
            <w:r w:rsidRPr="6E371D26">
              <w:rPr>
                <w:rFonts w:asciiTheme="minorHAnsi" w:eastAsiaTheme="minorEastAsia" w:hAnsiTheme="minorHAnsi" w:cstheme="minorBidi"/>
                <w:sz w:val="18"/>
                <w:szCs w:val="18"/>
              </w:rPr>
              <w:t>abaloparatide</w:t>
            </w:r>
            <w:proofErr w:type="spellEnd"/>
            <w:r w:rsidRPr="6E371D26">
              <w:rPr>
                <w:rFonts w:asciiTheme="minorHAnsi" w:eastAsiaTheme="minorEastAsia" w:hAnsiTheme="minorHAnsi" w:cstheme="minorBidi"/>
                <w:sz w:val="18"/>
                <w:szCs w:val="18"/>
              </w:rPr>
              <w:t xml:space="preserve"> is as effective as </w:t>
            </w:r>
            <w:proofErr w:type="spellStart"/>
            <w:r w:rsidRPr="6E371D26">
              <w:rPr>
                <w:rFonts w:asciiTheme="minorHAnsi" w:eastAsiaTheme="minorEastAsia" w:hAnsiTheme="minorHAnsi" w:cstheme="minorBidi"/>
                <w:sz w:val="18"/>
                <w:szCs w:val="18"/>
              </w:rPr>
              <w:t>romosozumab</w:t>
            </w:r>
            <w:proofErr w:type="spellEnd"/>
            <w:r w:rsidRPr="6E371D26">
              <w:rPr>
                <w:rFonts w:asciiTheme="minorHAnsi" w:eastAsiaTheme="minorEastAsia" w:hAnsiTheme="minorHAnsi" w:cstheme="minorBidi"/>
                <w:sz w:val="18"/>
                <w:szCs w:val="18"/>
              </w:rPr>
              <w:t xml:space="preserve"> and teriparatide at preventing fractures. The evidence also suggested </w:t>
            </w:r>
            <w:proofErr w:type="spellStart"/>
            <w:r w:rsidRPr="6E371D26">
              <w:rPr>
                <w:rFonts w:asciiTheme="minorHAnsi" w:eastAsiaTheme="minorEastAsia" w:hAnsiTheme="minorHAnsi" w:cstheme="minorBidi"/>
                <w:sz w:val="18"/>
                <w:szCs w:val="18"/>
              </w:rPr>
              <w:t>abaloparatide</w:t>
            </w:r>
            <w:proofErr w:type="spellEnd"/>
            <w:r w:rsidRPr="6E371D26">
              <w:rPr>
                <w:rFonts w:asciiTheme="minorHAnsi" w:eastAsiaTheme="minorEastAsia" w:hAnsiTheme="minorHAnsi" w:cstheme="minorBidi"/>
                <w:sz w:val="18"/>
                <w:szCs w:val="18"/>
              </w:rPr>
              <w:t xml:space="preserve"> had similar</w:t>
            </w:r>
            <w:r w:rsidRPr="6E371D26" w:rsidDel="00301FB4">
              <w:rPr>
                <w:rFonts w:asciiTheme="minorHAnsi" w:eastAsiaTheme="minorEastAsia" w:hAnsiTheme="minorHAnsi" w:cstheme="minorBidi"/>
                <w:sz w:val="18"/>
                <w:szCs w:val="18"/>
              </w:rPr>
              <w:t xml:space="preserve"> </w:t>
            </w:r>
            <w:r w:rsidRPr="6E371D26">
              <w:rPr>
                <w:rFonts w:asciiTheme="minorHAnsi" w:eastAsiaTheme="minorEastAsia" w:hAnsiTheme="minorHAnsi" w:cstheme="minorBidi"/>
                <w:sz w:val="18"/>
                <w:szCs w:val="18"/>
              </w:rPr>
              <w:t xml:space="preserve">safety to teriparatide and was not likely to cause the severe cardiovascular events associated with use of </w:t>
            </w:r>
            <w:proofErr w:type="spellStart"/>
            <w:r w:rsidRPr="6E371D26">
              <w:rPr>
                <w:rFonts w:asciiTheme="minorHAnsi" w:eastAsiaTheme="minorEastAsia" w:hAnsiTheme="minorHAnsi" w:cstheme="minorBidi"/>
                <w:sz w:val="18"/>
                <w:szCs w:val="18"/>
              </w:rPr>
              <w:t>romosozumab</w:t>
            </w:r>
            <w:proofErr w:type="spellEnd"/>
            <w:r w:rsidRPr="6E371D26">
              <w:rPr>
                <w:rFonts w:asciiTheme="minorHAnsi" w:eastAsiaTheme="minorEastAsia" w:hAnsiTheme="minorHAnsi" w:cstheme="minorBidi"/>
                <w:sz w:val="18"/>
                <w:szCs w:val="18"/>
              </w:rPr>
              <w:t xml:space="preserve">. The PBAC considered that it would be appropriate for the PBS listings for </w:t>
            </w:r>
            <w:proofErr w:type="spellStart"/>
            <w:r w:rsidRPr="6E371D26">
              <w:rPr>
                <w:rFonts w:asciiTheme="minorHAnsi" w:eastAsiaTheme="minorEastAsia" w:hAnsiTheme="minorHAnsi" w:cstheme="minorBidi"/>
                <w:sz w:val="18"/>
                <w:szCs w:val="18"/>
              </w:rPr>
              <w:t>abaloparatide</w:t>
            </w:r>
            <w:proofErr w:type="spellEnd"/>
            <w:r w:rsidRPr="6E371D26">
              <w:rPr>
                <w:rFonts w:asciiTheme="minorHAnsi" w:eastAsiaTheme="minorEastAsia" w:hAnsiTheme="minorHAnsi" w:cstheme="minorBidi"/>
                <w:sz w:val="18"/>
                <w:szCs w:val="18"/>
              </w:rPr>
              <w:t xml:space="preserve"> to allow use in either the first or second-line settings, consistent with the PBS listings for </w:t>
            </w:r>
            <w:proofErr w:type="spellStart"/>
            <w:r w:rsidRPr="6E371D26">
              <w:rPr>
                <w:rFonts w:asciiTheme="minorHAnsi" w:eastAsiaTheme="minorEastAsia" w:hAnsiTheme="minorHAnsi" w:cstheme="minorBidi"/>
                <w:sz w:val="18"/>
                <w:szCs w:val="18"/>
              </w:rPr>
              <w:t>romosozumab</w:t>
            </w:r>
            <w:proofErr w:type="spellEnd"/>
            <w:r w:rsidRPr="6E371D26">
              <w:rPr>
                <w:rFonts w:asciiTheme="minorHAnsi" w:eastAsiaTheme="minorEastAsia" w:hAnsiTheme="minorHAnsi" w:cstheme="minorBidi"/>
                <w:sz w:val="18"/>
                <w:szCs w:val="18"/>
              </w:rPr>
              <w:t xml:space="preserve">. </w:t>
            </w:r>
          </w:p>
          <w:p w14:paraId="52AE3C23" w14:textId="77777777" w:rsidR="00463ADC" w:rsidRDefault="00463ADC" w:rsidP="00DC3166">
            <w:pPr>
              <w:jc w:val="both"/>
              <w:rPr>
                <w:rFonts w:asciiTheme="minorHAnsi" w:eastAsiaTheme="minorHAnsi" w:hAnsiTheme="minorHAnsi" w:cstheme="minorBidi"/>
                <w:sz w:val="18"/>
                <w:szCs w:val="18"/>
                <w:lang w:val="en-GB"/>
              </w:rPr>
            </w:pPr>
          </w:p>
          <w:p w14:paraId="43F997E8" w14:textId="38892819" w:rsidR="004C67EE" w:rsidRPr="00C76BB2" w:rsidDel="008F66B5" w:rsidRDefault="001B5F62" w:rsidP="00DC3166">
            <w:pPr>
              <w:jc w:val="both"/>
              <w:rPr>
                <w:rFonts w:asciiTheme="minorHAnsi" w:eastAsiaTheme="minorHAnsi" w:hAnsiTheme="minorHAnsi" w:cstheme="minorBidi"/>
                <w:sz w:val="18"/>
                <w:szCs w:val="18"/>
              </w:rPr>
            </w:pPr>
            <w:r w:rsidRPr="001B5F62">
              <w:rPr>
                <w:rFonts w:asciiTheme="minorHAnsi" w:eastAsiaTheme="minorHAnsi" w:hAnsiTheme="minorHAnsi" w:cstheme="minorBidi"/>
                <w:sz w:val="18"/>
                <w:szCs w:val="18"/>
                <w:lang w:val="en-GB"/>
              </w:rPr>
              <w:t xml:space="preserve">The PBAC advised that the cost of </w:t>
            </w:r>
            <w:proofErr w:type="spellStart"/>
            <w:r w:rsidRPr="001B5F62">
              <w:rPr>
                <w:rFonts w:asciiTheme="minorHAnsi" w:eastAsiaTheme="minorHAnsi" w:hAnsiTheme="minorHAnsi" w:cstheme="minorBidi"/>
                <w:sz w:val="18"/>
                <w:szCs w:val="18"/>
                <w:lang w:val="en-GB"/>
              </w:rPr>
              <w:t>abaloparatide</w:t>
            </w:r>
            <w:proofErr w:type="spellEnd"/>
            <w:r w:rsidRPr="001B5F62">
              <w:rPr>
                <w:rFonts w:asciiTheme="minorHAnsi" w:eastAsiaTheme="minorHAnsi" w:hAnsiTheme="minorHAnsi" w:cstheme="minorBidi"/>
                <w:sz w:val="18"/>
                <w:szCs w:val="18"/>
                <w:lang w:val="en-GB"/>
              </w:rPr>
              <w:t xml:space="preserve"> would be acceptable if the overall cost per course of treatment was not higher than that of </w:t>
            </w:r>
            <w:proofErr w:type="spellStart"/>
            <w:r w:rsidRPr="001B5F62">
              <w:rPr>
                <w:rFonts w:asciiTheme="minorHAnsi" w:eastAsiaTheme="minorHAnsi" w:hAnsiTheme="minorHAnsi" w:cstheme="minorBidi"/>
                <w:sz w:val="18"/>
                <w:szCs w:val="18"/>
                <w:lang w:val="en-GB"/>
              </w:rPr>
              <w:t>romosozumab</w:t>
            </w:r>
            <w:proofErr w:type="spellEnd"/>
            <w:r w:rsidRPr="001B5F62">
              <w:rPr>
                <w:rFonts w:asciiTheme="minorHAnsi" w:eastAsiaTheme="minorHAnsi" w:hAnsiTheme="minorHAnsi" w:cstheme="minorBidi"/>
                <w:sz w:val="18"/>
                <w:szCs w:val="18"/>
                <w:lang w:val="en-GB"/>
              </w:rPr>
              <w:t xml:space="preserve"> or teriparatide.  The PBAC noted that flow-on changes would be required to the restrictions for </w:t>
            </w:r>
            <w:proofErr w:type="spellStart"/>
            <w:r w:rsidRPr="001B5F62">
              <w:rPr>
                <w:rFonts w:asciiTheme="minorHAnsi" w:eastAsiaTheme="minorHAnsi" w:hAnsiTheme="minorHAnsi" w:cstheme="minorBidi"/>
                <w:sz w:val="18"/>
                <w:szCs w:val="18"/>
                <w:lang w:val="en-GB"/>
              </w:rPr>
              <w:t>romosozumab</w:t>
            </w:r>
            <w:proofErr w:type="spellEnd"/>
            <w:r w:rsidRPr="001B5F62">
              <w:rPr>
                <w:rFonts w:asciiTheme="minorHAnsi" w:eastAsiaTheme="minorHAnsi" w:hAnsiTheme="minorHAnsi" w:cstheme="minorBidi"/>
                <w:sz w:val="18"/>
                <w:szCs w:val="18"/>
                <w:lang w:val="en-GB"/>
              </w:rPr>
              <w:t xml:space="preserve"> and teriparatide to preclude sequential treatment in patients who had previously been treated with </w:t>
            </w:r>
            <w:proofErr w:type="spellStart"/>
            <w:r w:rsidRPr="001B5F62">
              <w:rPr>
                <w:rFonts w:asciiTheme="minorHAnsi" w:eastAsiaTheme="minorHAnsi" w:hAnsiTheme="minorHAnsi" w:cstheme="minorBidi"/>
                <w:sz w:val="18"/>
                <w:szCs w:val="18"/>
                <w:lang w:val="en-GB"/>
              </w:rPr>
              <w:t>abaloparatide</w:t>
            </w:r>
            <w:proofErr w:type="spellEnd"/>
            <w:r w:rsidRPr="001B5F62">
              <w:rPr>
                <w:rFonts w:asciiTheme="minorHAnsi" w:eastAsiaTheme="minorHAnsi" w:hAnsiTheme="minorHAnsi" w:cstheme="minorBidi"/>
                <w:sz w:val="18"/>
                <w:szCs w:val="18"/>
                <w:lang w:val="en-GB"/>
              </w:rPr>
              <w:t>.</w:t>
            </w:r>
          </w:p>
        </w:tc>
      </w:tr>
      <w:bookmarkEnd w:id="1"/>
      <w:tr w:rsidR="008513FD" w:rsidRPr="008059F4" w:rsidDel="008F66B5" w14:paraId="41369496" w14:textId="7EF7CEE9" w:rsidTr="09589B60">
        <w:trPr>
          <w:cantSplit/>
          <w:trHeight w:val="2948"/>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46F9659" w14:textId="747A5567" w:rsidR="00B167B7" w:rsidRDefault="00B24C61" w:rsidP="00DC3166">
            <w:pPr>
              <w:jc w:val="center"/>
              <w:rPr>
                <w:rFonts w:asciiTheme="minorHAnsi" w:hAnsiTheme="minorHAnsi" w:cstheme="minorHAnsi"/>
                <w:color w:val="000000"/>
                <w:sz w:val="18"/>
                <w:szCs w:val="18"/>
              </w:rPr>
            </w:pPr>
            <w:r w:rsidRPr="006A5A05">
              <w:rPr>
                <w:rFonts w:asciiTheme="minorHAnsi" w:hAnsiTheme="minorHAnsi" w:cstheme="minorHAnsi"/>
                <w:color w:val="000000"/>
                <w:sz w:val="18"/>
                <w:szCs w:val="18"/>
              </w:rPr>
              <w:lastRenderedPageBreak/>
              <w:t>ABIRATERONE ACETATE AND PREDNISOLONE</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Pack containing 56 tablets abiraterone acetate 500 mg and 56 tablets prednisolone 5 mg</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Andriga-10</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ACTOR PHARMACEUTICALS PTY LTD</w:t>
            </w:r>
            <w:r w:rsidRPr="006A5A05">
              <w:rPr>
                <w:rFonts w:asciiTheme="minorHAnsi" w:hAnsiTheme="minorHAnsi" w:cstheme="minorHAnsi"/>
                <w:color w:val="000000"/>
                <w:sz w:val="18"/>
                <w:szCs w:val="18"/>
              </w:rPr>
              <w:br/>
            </w:r>
          </w:p>
          <w:p w14:paraId="679D0420" w14:textId="7C4D53DC" w:rsidR="00B167B7" w:rsidRPr="006A5A05" w:rsidRDefault="00B167B7" w:rsidP="00DC3166">
            <w:pPr>
              <w:jc w:val="center"/>
              <w:rPr>
                <w:rFonts w:asciiTheme="minorHAnsi" w:eastAsia="Calibri" w:hAnsiTheme="minorHAnsi" w:cstheme="minorHAnsi"/>
                <w:color w:val="000000" w:themeColor="text1"/>
                <w:sz w:val="18"/>
                <w:szCs w:val="18"/>
              </w:rPr>
            </w:pPr>
            <w:r w:rsidRPr="006A5A05">
              <w:rPr>
                <w:rFonts w:asciiTheme="minorHAnsi" w:eastAsia="Calibri" w:hAnsiTheme="minorHAnsi" w:cstheme="minorHAnsi"/>
                <w:color w:val="000000" w:themeColor="text1"/>
                <w:sz w:val="18"/>
                <w:szCs w:val="18"/>
              </w:rPr>
              <w:t xml:space="preserve">Category </w:t>
            </w:r>
            <w:r w:rsidR="00600FD2">
              <w:rPr>
                <w:rFonts w:asciiTheme="minorHAnsi" w:eastAsia="Calibri" w:hAnsiTheme="minorHAnsi" w:cstheme="minorHAnsi"/>
                <w:color w:val="000000" w:themeColor="text1"/>
                <w:sz w:val="18"/>
                <w:szCs w:val="18"/>
              </w:rPr>
              <w:t>3</w:t>
            </w:r>
          </w:p>
          <w:p w14:paraId="01C26252" w14:textId="6644A429" w:rsidR="00B24C61" w:rsidRPr="006A5A05" w:rsidRDefault="00B24C61"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vAlign w:val="center"/>
          </w:tcPr>
          <w:p w14:paraId="500A95A7" w14:textId="29D05E94" w:rsidR="00B24C61" w:rsidRPr="006A5A05" w:rsidRDefault="00B24C61"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Castration resistant metastatic carcinoma of the prostate (</w:t>
            </w:r>
            <w:proofErr w:type="spellStart"/>
            <w:r w:rsidRPr="006A5A05">
              <w:rPr>
                <w:rFonts w:asciiTheme="minorHAnsi" w:hAnsiTheme="minorHAnsi" w:cstheme="minorHAnsi"/>
                <w:color w:val="000000"/>
                <w:sz w:val="18"/>
                <w:szCs w:val="18"/>
              </w:rPr>
              <w:t>mCRPC</w:t>
            </w:r>
            <w:proofErr w:type="spellEnd"/>
            <w:r w:rsidRPr="006A5A05">
              <w:rPr>
                <w:rFonts w:asciiTheme="minorHAnsi" w:hAnsiTheme="minorHAnsi" w:cstheme="minorHAnsi"/>
                <w:color w:val="000000"/>
                <w:sz w:val="18"/>
                <w:szCs w:val="18"/>
              </w:rPr>
              <w:t>)</w:t>
            </w:r>
          </w:p>
        </w:tc>
        <w:tc>
          <w:tcPr>
            <w:tcW w:w="29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32C3EE4" w14:textId="62DF4113" w:rsidR="00B24C61" w:rsidRPr="006A5A05" w:rsidRDefault="00B24C61"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 xml:space="preserve">To request a General Schedule Authority Required (Telephone/Online) listing of a composite pack containing abiraterone acetate and prednisolone for the treatment of patients with </w:t>
            </w:r>
            <w:proofErr w:type="spellStart"/>
            <w:r w:rsidRPr="006A5A05">
              <w:rPr>
                <w:rFonts w:asciiTheme="minorHAnsi" w:hAnsiTheme="minorHAnsi" w:cstheme="minorHAnsi"/>
                <w:color w:val="000000"/>
                <w:sz w:val="18"/>
                <w:szCs w:val="18"/>
              </w:rPr>
              <w:t>mCRPC</w:t>
            </w:r>
            <w:proofErr w:type="spellEnd"/>
            <w:r w:rsidRPr="006A5A05">
              <w:rPr>
                <w:rFonts w:asciiTheme="minorHAnsi" w:hAnsiTheme="minorHAnsi" w:cstheme="minorHAnsi"/>
                <w:color w:val="000000"/>
                <w:sz w:val="18"/>
                <w:szCs w:val="18"/>
              </w:rPr>
              <w:t>.</w:t>
            </w:r>
          </w:p>
        </w:tc>
        <w:tc>
          <w:tcPr>
            <w:tcW w:w="1584" w:type="dxa"/>
            <w:vAlign w:val="center"/>
          </w:tcPr>
          <w:p w14:paraId="6FB45133" w14:textId="6FB6AEAF" w:rsidR="00B24C61" w:rsidRPr="006A5A05" w:rsidDel="008F66B5" w:rsidRDefault="00A42EA7" w:rsidP="00DC3166">
            <w:pPr>
              <w:pStyle w:val="ListParagraph"/>
              <w:keepLines/>
              <w:ind w:left="0"/>
              <w:jc w:val="center"/>
              <w:rPr>
                <w:rFonts w:asciiTheme="minorHAnsi" w:hAnsiTheme="minorHAnsi" w:cstheme="minorHAnsi"/>
                <w:color w:val="000000"/>
                <w:sz w:val="18"/>
                <w:szCs w:val="18"/>
              </w:rPr>
            </w:pPr>
            <w:r w:rsidRPr="00A42EA7">
              <w:rPr>
                <w:rFonts w:asciiTheme="minorHAnsi" w:hAnsiTheme="minorHAnsi" w:cstheme="minorHAnsi"/>
                <w:color w:val="000000"/>
                <w:sz w:val="18"/>
                <w:szCs w:val="18"/>
              </w:rPr>
              <w:t>Recommended</w:t>
            </w:r>
          </w:p>
        </w:tc>
        <w:tc>
          <w:tcPr>
            <w:tcW w:w="4836" w:type="dxa"/>
            <w:vAlign w:val="center"/>
          </w:tcPr>
          <w:p w14:paraId="145DB1B6" w14:textId="4647505A" w:rsidR="0058215E" w:rsidRPr="002E2DA1" w:rsidRDefault="0058215E" w:rsidP="00DC3166">
            <w:pPr>
              <w:ind w:left="11"/>
              <w:contextualSpacing/>
              <w:jc w:val="both"/>
              <w:rPr>
                <w:rFonts w:asciiTheme="minorHAnsi" w:hAnsiTheme="minorHAnsi" w:cstheme="minorHAnsi"/>
                <w:color w:val="000000" w:themeColor="text1"/>
                <w:sz w:val="18"/>
                <w:szCs w:val="18"/>
              </w:rPr>
            </w:pPr>
            <w:r w:rsidRPr="002E2DA1">
              <w:rPr>
                <w:rFonts w:asciiTheme="minorHAnsi" w:hAnsiTheme="minorHAnsi" w:cstheme="minorHAnsi"/>
                <w:color w:val="000000" w:themeColor="text1"/>
                <w:sz w:val="18"/>
                <w:szCs w:val="18"/>
              </w:rPr>
              <w:t xml:space="preserve">The PBAC recommended listing a new composite pack containing abiraterone acetate 500 mg tablets and prednisolone 5 mg tablets (ANDRIGA-10) for the treatment of patients with </w:t>
            </w:r>
            <w:proofErr w:type="spellStart"/>
            <w:r w:rsidRPr="002E2DA1">
              <w:rPr>
                <w:rFonts w:asciiTheme="minorHAnsi" w:hAnsiTheme="minorHAnsi" w:cstheme="minorHAnsi"/>
                <w:color w:val="000000" w:themeColor="text1"/>
                <w:sz w:val="18"/>
                <w:szCs w:val="18"/>
              </w:rPr>
              <w:t>mCRPC</w:t>
            </w:r>
            <w:proofErr w:type="spellEnd"/>
            <w:r w:rsidRPr="002E2DA1">
              <w:rPr>
                <w:rFonts w:asciiTheme="minorHAnsi" w:hAnsiTheme="minorHAnsi" w:cstheme="minorHAnsi"/>
                <w:color w:val="000000" w:themeColor="text1"/>
                <w:sz w:val="18"/>
                <w:szCs w:val="18"/>
              </w:rPr>
              <w:t>. The PBAC’s recommendation for listing was based on, among other matters, its assessment that the cost</w:t>
            </w:r>
            <w:r w:rsidR="00706927">
              <w:rPr>
                <w:rFonts w:asciiTheme="minorHAnsi" w:hAnsiTheme="minorHAnsi" w:cstheme="minorHAnsi"/>
                <w:color w:val="000000" w:themeColor="text1"/>
                <w:sz w:val="18"/>
                <w:szCs w:val="18"/>
              </w:rPr>
              <w:t>-</w:t>
            </w:r>
            <w:r w:rsidRPr="002E2DA1">
              <w:rPr>
                <w:rFonts w:asciiTheme="minorHAnsi" w:hAnsiTheme="minorHAnsi" w:cstheme="minorHAnsi"/>
                <w:color w:val="000000" w:themeColor="text1"/>
                <w:sz w:val="18"/>
                <w:szCs w:val="18"/>
              </w:rPr>
              <w:t xml:space="preserve">effectiveness for ANDRIGA-10 would be acceptable if it </w:t>
            </w:r>
            <w:r w:rsidR="0089615D">
              <w:rPr>
                <w:rFonts w:asciiTheme="minorHAnsi" w:hAnsiTheme="minorHAnsi" w:cstheme="minorHAnsi"/>
                <w:color w:val="000000" w:themeColor="text1"/>
                <w:sz w:val="18"/>
                <w:szCs w:val="18"/>
              </w:rPr>
              <w:t xml:space="preserve">cost no more than the </w:t>
            </w:r>
            <w:r w:rsidRPr="002E2DA1">
              <w:rPr>
                <w:rFonts w:asciiTheme="minorHAnsi" w:hAnsiTheme="minorHAnsi" w:cstheme="minorHAnsi"/>
                <w:color w:val="000000" w:themeColor="text1"/>
                <w:sz w:val="18"/>
                <w:szCs w:val="18"/>
              </w:rPr>
              <w:t xml:space="preserve">least costly alternative therapy for </w:t>
            </w:r>
            <w:proofErr w:type="spellStart"/>
            <w:r w:rsidRPr="002E2DA1">
              <w:rPr>
                <w:rFonts w:asciiTheme="minorHAnsi" w:hAnsiTheme="minorHAnsi" w:cstheme="minorHAnsi"/>
                <w:color w:val="000000" w:themeColor="text1"/>
                <w:sz w:val="18"/>
                <w:szCs w:val="18"/>
              </w:rPr>
              <w:t>mCRPC</w:t>
            </w:r>
            <w:proofErr w:type="spellEnd"/>
            <w:r w:rsidRPr="002E2DA1">
              <w:rPr>
                <w:rFonts w:asciiTheme="minorHAnsi" w:hAnsiTheme="minorHAnsi" w:cstheme="minorHAnsi"/>
                <w:color w:val="000000" w:themeColor="text1"/>
                <w:sz w:val="18"/>
                <w:szCs w:val="18"/>
              </w:rPr>
              <w:t xml:space="preserve">. </w:t>
            </w:r>
          </w:p>
          <w:p w14:paraId="158F383C" w14:textId="77777777" w:rsidR="0089615D" w:rsidRPr="002E2DA1" w:rsidRDefault="0089615D" w:rsidP="00DC3166">
            <w:pPr>
              <w:ind w:left="11"/>
              <w:contextualSpacing/>
              <w:jc w:val="both"/>
              <w:rPr>
                <w:rFonts w:asciiTheme="minorHAnsi" w:hAnsiTheme="minorHAnsi" w:cstheme="minorHAnsi"/>
                <w:color w:val="000000" w:themeColor="text1"/>
                <w:sz w:val="18"/>
                <w:szCs w:val="18"/>
              </w:rPr>
            </w:pPr>
          </w:p>
          <w:p w14:paraId="1F690C11" w14:textId="77777777" w:rsidR="0058215E" w:rsidRPr="0058215E" w:rsidRDefault="0058215E" w:rsidP="00DC3166">
            <w:pPr>
              <w:ind w:left="11"/>
              <w:contextualSpacing/>
              <w:jc w:val="both"/>
              <w:rPr>
                <w:rFonts w:asciiTheme="minorHAnsi" w:hAnsiTheme="minorHAnsi" w:cstheme="minorHAnsi"/>
                <w:color w:val="000000" w:themeColor="text1"/>
                <w:sz w:val="18"/>
                <w:szCs w:val="18"/>
                <w:u w:val="single"/>
              </w:rPr>
            </w:pPr>
            <w:r w:rsidRPr="002E2DA1">
              <w:rPr>
                <w:rFonts w:asciiTheme="minorHAnsi" w:hAnsiTheme="minorHAnsi" w:cstheme="minorHAnsi"/>
                <w:color w:val="000000" w:themeColor="text1"/>
                <w:sz w:val="18"/>
                <w:szCs w:val="18"/>
              </w:rPr>
              <w:t>The PBAC advised the equi-effective doses of ANDRIGA-10 and the alternative therapies were:</w:t>
            </w:r>
            <w:r w:rsidRPr="0058215E">
              <w:rPr>
                <w:rFonts w:asciiTheme="minorHAnsi" w:hAnsiTheme="minorHAnsi" w:cstheme="minorHAnsi"/>
                <w:color w:val="000000" w:themeColor="text1"/>
                <w:sz w:val="18"/>
                <w:szCs w:val="18"/>
                <w:u w:val="single"/>
              </w:rPr>
              <w:t xml:space="preserve"> </w:t>
            </w:r>
          </w:p>
          <w:p w14:paraId="1C00A698" w14:textId="77777777" w:rsidR="0058215E" w:rsidRPr="002E2DA1" w:rsidRDefault="0058215E" w:rsidP="00DC3166">
            <w:pPr>
              <w:numPr>
                <w:ilvl w:val="0"/>
                <w:numId w:val="65"/>
              </w:numPr>
              <w:contextualSpacing/>
              <w:jc w:val="both"/>
              <w:rPr>
                <w:rFonts w:asciiTheme="minorHAnsi" w:hAnsiTheme="minorHAnsi" w:cstheme="minorHAnsi"/>
                <w:color w:val="000000" w:themeColor="text1"/>
                <w:sz w:val="18"/>
                <w:szCs w:val="18"/>
              </w:rPr>
            </w:pPr>
            <w:r w:rsidRPr="002E2DA1">
              <w:rPr>
                <w:rFonts w:asciiTheme="minorHAnsi" w:hAnsiTheme="minorHAnsi" w:cstheme="minorHAnsi"/>
                <w:color w:val="000000" w:themeColor="text1"/>
                <w:sz w:val="18"/>
                <w:szCs w:val="18"/>
              </w:rPr>
              <w:t>ANDRIGA-10 abiraterone 1000 mg (500 mg tablet x 2) and prednisolone 10 mg (5 mg tablet x 2) is equivalent to abiraterone 1000 mg (500 mg tablet x 2 or 250 mg tablet x 4) and prednisolone 10 mg (5 mg tablet x 2)</w:t>
            </w:r>
          </w:p>
          <w:p w14:paraId="6003D475" w14:textId="77777777" w:rsidR="0058215E" w:rsidRPr="002E2DA1" w:rsidRDefault="0058215E" w:rsidP="00DC3166">
            <w:pPr>
              <w:numPr>
                <w:ilvl w:val="0"/>
                <w:numId w:val="65"/>
              </w:numPr>
              <w:contextualSpacing/>
              <w:jc w:val="both"/>
              <w:rPr>
                <w:rFonts w:asciiTheme="minorHAnsi" w:hAnsiTheme="minorHAnsi" w:cstheme="minorHAnsi"/>
                <w:color w:val="000000" w:themeColor="text1"/>
                <w:sz w:val="18"/>
                <w:szCs w:val="18"/>
              </w:rPr>
            </w:pPr>
            <w:proofErr w:type="spellStart"/>
            <w:r w:rsidRPr="002E2DA1">
              <w:rPr>
                <w:rFonts w:asciiTheme="minorHAnsi" w:hAnsiTheme="minorHAnsi" w:cstheme="minorHAnsi"/>
                <w:color w:val="000000" w:themeColor="text1"/>
                <w:sz w:val="18"/>
                <w:szCs w:val="18"/>
              </w:rPr>
              <w:t>Yonsa</w:t>
            </w:r>
            <w:proofErr w:type="spellEnd"/>
            <w:r w:rsidRPr="002E2DA1">
              <w:rPr>
                <w:rFonts w:asciiTheme="minorHAnsi" w:hAnsiTheme="minorHAnsi" w:cstheme="minorHAnsi"/>
                <w:color w:val="000000" w:themeColor="text1"/>
                <w:sz w:val="18"/>
                <w:szCs w:val="18"/>
              </w:rPr>
              <w:t xml:space="preserve"> </w:t>
            </w:r>
            <w:proofErr w:type="spellStart"/>
            <w:r w:rsidRPr="002E2DA1">
              <w:rPr>
                <w:rFonts w:asciiTheme="minorHAnsi" w:hAnsiTheme="minorHAnsi" w:cstheme="minorHAnsi"/>
                <w:color w:val="000000" w:themeColor="text1"/>
                <w:sz w:val="18"/>
                <w:szCs w:val="18"/>
              </w:rPr>
              <w:t>Mpred</w:t>
            </w:r>
            <w:proofErr w:type="spellEnd"/>
            <w:r w:rsidRPr="002E2DA1">
              <w:rPr>
                <w:rFonts w:asciiTheme="minorHAnsi" w:hAnsiTheme="minorHAnsi" w:cstheme="minorHAnsi"/>
                <w:color w:val="000000" w:themeColor="text1"/>
                <w:sz w:val="18"/>
                <w:szCs w:val="18"/>
              </w:rPr>
              <w:t xml:space="preserve"> abiraterone acetate tablets (fine particle formulation) 500 mg + methylprednisolone 8 mg is equivalent to abiraterone acetate 1000 mg + prednisolone/prednisone 10 mg</w:t>
            </w:r>
          </w:p>
          <w:p w14:paraId="0DFA7209" w14:textId="77777777" w:rsidR="0058215E" w:rsidRDefault="0058215E" w:rsidP="00DC3166">
            <w:pPr>
              <w:numPr>
                <w:ilvl w:val="0"/>
                <w:numId w:val="65"/>
              </w:numPr>
              <w:contextualSpacing/>
              <w:jc w:val="both"/>
              <w:rPr>
                <w:rFonts w:asciiTheme="minorHAnsi" w:hAnsiTheme="minorHAnsi" w:cstheme="minorHAnsi"/>
                <w:color w:val="000000" w:themeColor="text1"/>
                <w:sz w:val="18"/>
                <w:szCs w:val="18"/>
              </w:rPr>
            </w:pPr>
            <w:r w:rsidRPr="002E2DA1">
              <w:rPr>
                <w:rFonts w:asciiTheme="minorHAnsi" w:hAnsiTheme="minorHAnsi" w:cstheme="minorHAnsi"/>
                <w:color w:val="000000" w:themeColor="text1"/>
                <w:sz w:val="18"/>
                <w:szCs w:val="18"/>
              </w:rPr>
              <w:t>enzalutamide 160 mg is equivalent to abiraterone 1000 mg</w:t>
            </w:r>
          </w:p>
          <w:p w14:paraId="036E0C2A" w14:textId="77777777" w:rsidR="006112E9" w:rsidRPr="002E2DA1" w:rsidRDefault="006112E9" w:rsidP="00DC3166">
            <w:pPr>
              <w:ind w:left="371"/>
              <w:contextualSpacing/>
              <w:jc w:val="both"/>
              <w:rPr>
                <w:rFonts w:asciiTheme="minorHAnsi" w:hAnsiTheme="minorHAnsi" w:cstheme="minorHAnsi"/>
                <w:color w:val="000000" w:themeColor="text1"/>
                <w:sz w:val="18"/>
                <w:szCs w:val="18"/>
              </w:rPr>
            </w:pPr>
          </w:p>
          <w:p w14:paraId="738E66E9" w14:textId="77777777" w:rsidR="0058215E" w:rsidRPr="002E2DA1" w:rsidRDefault="0058215E" w:rsidP="00DC3166">
            <w:pPr>
              <w:ind w:left="11"/>
              <w:contextualSpacing/>
              <w:jc w:val="both"/>
              <w:rPr>
                <w:rFonts w:asciiTheme="minorHAnsi" w:hAnsiTheme="minorHAnsi" w:cstheme="minorHAnsi"/>
                <w:color w:val="000000" w:themeColor="text1"/>
                <w:sz w:val="18"/>
                <w:szCs w:val="18"/>
              </w:rPr>
            </w:pPr>
            <w:r w:rsidRPr="002E2DA1">
              <w:rPr>
                <w:rFonts w:asciiTheme="minorHAnsi" w:hAnsiTheme="minorHAnsi" w:cstheme="minorHAnsi"/>
                <w:color w:val="000000" w:themeColor="text1"/>
                <w:sz w:val="18"/>
                <w:szCs w:val="18"/>
              </w:rPr>
              <w:t xml:space="preserve">The PBAC </w:t>
            </w:r>
            <w:r w:rsidRPr="002E2DA1">
              <w:rPr>
                <w:rFonts w:asciiTheme="minorHAnsi" w:hAnsiTheme="minorHAnsi" w:cstheme="minorHAnsi"/>
                <w:bCs/>
                <w:color w:val="000000" w:themeColor="text1"/>
                <w:sz w:val="18"/>
                <w:szCs w:val="18"/>
                <w:lang w:val="en-GB"/>
              </w:rPr>
              <w:t>recommended the following flow-on changes:</w:t>
            </w:r>
          </w:p>
          <w:p w14:paraId="390EDAF4" w14:textId="77777777" w:rsidR="0058215E" w:rsidRPr="002E2DA1" w:rsidRDefault="0058215E" w:rsidP="00DC3166">
            <w:pPr>
              <w:numPr>
                <w:ilvl w:val="0"/>
                <w:numId w:val="66"/>
              </w:numPr>
              <w:contextualSpacing/>
              <w:jc w:val="both"/>
              <w:rPr>
                <w:rFonts w:asciiTheme="minorHAnsi" w:hAnsiTheme="minorHAnsi" w:cstheme="minorHAnsi"/>
                <w:color w:val="000000" w:themeColor="text1"/>
                <w:sz w:val="18"/>
                <w:szCs w:val="18"/>
              </w:rPr>
            </w:pPr>
            <w:r w:rsidRPr="002E2DA1">
              <w:rPr>
                <w:rFonts w:asciiTheme="minorHAnsi" w:hAnsiTheme="minorHAnsi" w:cstheme="minorHAnsi"/>
                <w:color w:val="000000" w:themeColor="text1"/>
                <w:sz w:val="18"/>
                <w:szCs w:val="18"/>
              </w:rPr>
              <w:t xml:space="preserve">For </w:t>
            </w:r>
            <w:r w:rsidRPr="002E2DA1">
              <w:rPr>
                <w:rFonts w:asciiTheme="minorHAnsi" w:hAnsiTheme="minorHAnsi" w:cstheme="minorHAnsi"/>
                <w:bCs/>
                <w:color w:val="000000" w:themeColor="text1"/>
                <w:sz w:val="18"/>
                <w:szCs w:val="18"/>
                <w:lang w:val="en-GB"/>
              </w:rPr>
              <w:t>abiraterone &amp; methylprednisolone</w:t>
            </w:r>
            <w:r w:rsidRPr="002E2DA1">
              <w:rPr>
                <w:rFonts w:asciiTheme="minorHAnsi" w:hAnsiTheme="minorHAnsi" w:cstheme="minorHAnsi"/>
                <w:color w:val="000000" w:themeColor="text1"/>
                <w:sz w:val="18"/>
                <w:szCs w:val="18"/>
              </w:rPr>
              <w:t xml:space="preserve">: update the caution note to exercise caution in explaining correct dosing directions to the patients when changing between </w:t>
            </w:r>
            <w:proofErr w:type="spellStart"/>
            <w:r w:rsidRPr="002E2DA1">
              <w:rPr>
                <w:rFonts w:asciiTheme="minorHAnsi" w:hAnsiTheme="minorHAnsi" w:cstheme="minorHAnsi"/>
                <w:color w:val="000000" w:themeColor="text1"/>
                <w:sz w:val="18"/>
                <w:szCs w:val="18"/>
              </w:rPr>
              <w:t>Yonsa</w:t>
            </w:r>
            <w:proofErr w:type="spellEnd"/>
            <w:r w:rsidRPr="002E2DA1">
              <w:rPr>
                <w:rFonts w:asciiTheme="minorHAnsi" w:hAnsiTheme="minorHAnsi" w:cstheme="minorHAnsi"/>
                <w:color w:val="000000" w:themeColor="text1"/>
                <w:sz w:val="18"/>
                <w:szCs w:val="18"/>
              </w:rPr>
              <w:t xml:space="preserve"> </w:t>
            </w:r>
            <w:proofErr w:type="spellStart"/>
            <w:r w:rsidRPr="002E2DA1">
              <w:rPr>
                <w:rFonts w:asciiTheme="minorHAnsi" w:hAnsiTheme="minorHAnsi" w:cstheme="minorHAnsi"/>
                <w:color w:val="000000" w:themeColor="text1"/>
                <w:sz w:val="18"/>
                <w:szCs w:val="18"/>
              </w:rPr>
              <w:t>Mpred</w:t>
            </w:r>
            <w:proofErr w:type="spellEnd"/>
            <w:r w:rsidRPr="002E2DA1">
              <w:rPr>
                <w:rFonts w:asciiTheme="minorHAnsi" w:hAnsiTheme="minorHAnsi" w:cstheme="minorHAnsi"/>
                <w:color w:val="000000" w:themeColor="text1"/>
                <w:sz w:val="18"/>
                <w:szCs w:val="18"/>
              </w:rPr>
              <w:t xml:space="preserve"> and ANDRIGA-10 or single abiraterone acetate products.</w:t>
            </w:r>
          </w:p>
          <w:p w14:paraId="739BF5EE" w14:textId="5B7BFC37" w:rsidR="00B24C61" w:rsidRPr="00606C28" w:rsidDel="008F66B5" w:rsidRDefault="0058215E" w:rsidP="00DC3166">
            <w:pPr>
              <w:numPr>
                <w:ilvl w:val="0"/>
                <w:numId w:val="66"/>
              </w:numPr>
              <w:contextualSpacing/>
              <w:jc w:val="both"/>
              <w:rPr>
                <w:rFonts w:asciiTheme="minorHAnsi" w:hAnsiTheme="minorHAnsi" w:cstheme="minorHAnsi"/>
                <w:color w:val="000000" w:themeColor="text1"/>
                <w:sz w:val="18"/>
                <w:szCs w:val="18"/>
              </w:rPr>
            </w:pPr>
            <w:r w:rsidRPr="002E2DA1">
              <w:rPr>
                <w:rFonts w:asciiTheme="minorHAnsi" w:hAnsiTheme="minorHAnsi" w:cstheme="minorHAnsi"/>
                <w:bCs/>
                <w:color w:val="000000" w:themeColor="text1"/>
                <w:sz w:val="18"/>
                <w:szCs w:val="18"/>
                <w:lang w:val="en-GB"/>
              </w:rPr>
              <w:t xml:space="preserve">For abiraterone, abiraterone &amp; methylprednisolone, apalutamide, </w:t>
            </w:r>
            <w:proofErr w:type="spellStart"/>
            <w:r w:rsidRPr="002E2DA1">
              <w:rPr>
                <w:rFonts w:asciiTheme="minorHAnsi" w:hAnsiTheme="minorHAnsi" w:cstheme="minorHAnsi"/>
                <w:bCs/>
                <w:color w:val="000000" w:themeColor="text1"/>
                <w:sz w:val="18"/>
                <w:szCs w:val="18"/>
                <w:lang w:val="en-GB"/>
              </w:rPr>
              <w:t>cabazitaxel</w:t>
            </w:r>
            <w:proofErr w:type="spellEnd"/>
            <w:r w:rsidRPr="002E2DA1">
              <w:rPr>
                <w:rFonts w:asciiTheme="minorHAnsi" w:hAnsiTheme="minorHAnsi" w:cstheme="minorHAnsi"/>
                <w:bCs/>
                <w:color w:val="000000" w:themeColor="text1"/>
                <w:sz w:val="18"/>
                <w:szCs w:val="18"/>
                <w:lang w:val="en-GB"/>
              </w:rPr>
              <w:t xml:space="preserve">, </w:t>
            </w:r>
            <w:proofErr w:type="spellStart"/>
            <w:r w:rsidRPr="002E2DA1">
              <w:rPr>
                <w:rFonts w:asciiTheme="minorHAnsi" w:hAnsiTheme="minorHAnsi" w:cstheme="minorHAnsi"/>
                <w:bCs/>
                <w:color w:val="000000" w:themeColor="text1"/>
                <w:sz w:val="18"/>
                <w:szCs w:val="18"/>
                <w:lang w:val="en-GB"/>
              </w:rPr>
              <w:t>darolutamide</w:t>
            </w:r>
            <w:proofErr w:type="spellEnd"/>
            <w:r w:rsidRPr="002E2DA1">
              <w:rPr>
                <w:rFonts w:asciiTheme="minorHAnsi" w:hAnsiTheme="minorHAnsi" w:cstheme="minorHAnsi"/>
                <w:bCs/>
                <w:color w:val="000000" w:themeColor="text1"/>
                <w:sz w:val="18"/>
                <w:szCs w:val="18"/>
                <w:lang w:val="en-GB"/>
              </w:rPr>
              <w:t xml:space="preserve">, enzalutamide, olaparib, </w:t>
            </w:r>
            <w:proofErr w:type="spellStart"/>
            <w:r w:rsidRPr="002E2DA1">
              <w:rPr>
                <w:rFonts w:asciiTheme="minorHAnsi" w:hAnsiTheme="minorHAnsi" w:cstheme="minorHAnsi"/>
                <w:bCs/>
                <w:color w:val="000000" w:themeColor="text1"/>
                <w:sz w:val="18"/>
                <w:szCs w:val="18"/>
                <w:lang w:val="en-GB"/>
              </w:rPr>
              <w:t>talazoparib</w:t>
            </w:r>
            <w:proofErr w:type="spellEnd"/>
            <w:r w:rsidRPr="002E2DA1">
              <w:rPr>
                <w:rFonts w:asciiTheme="minorHAnsi" w:hAnsiTheme="minorHAnsi" w:cstheme="minorHAnsi"/>
                <w:bCs/>
                <w:color w:val="000000" w:themeColor="text1"/>
                <w:sz w:val="18"/>
                <w:szCs w:val="18"/>
                <w:lang w:val="en-GB"/>
              </w:rPr>
              <w:t xml:space="preserve">: add </w:t>
            </w:r>
            <w:r w:rsidRPr="002E2DA1">
              <w:rPr>
                <w:rFonts w:asciiTheme="minorHAnsi" w:hAnsiTheme="minorHAnsi" w:cstheme="minorHAnsi"/>
                <w:color w:val="000000" w:themeColor="text1"/>
                <w:sz w:val="18"/>
                <w:szCs w:val="18"/>
              </w:rPr>
              <w:t>‘abiraterone and prednisolone’ to the administrative advice so that it is included in the list of subsidised novel hormonal drugs for prostate cancer.</w:t>
            </w:r>
          </w:p>
        </w:tc>
      </w:tr>
      <w:tr w:rsidR="00405A09" w:rsidRPr="008059F4" w:rsidDel="008F66B5" w14:paraId="354C63DC" w14:textId="77777777" w:rsidTr="09589B60">
        <w:trPr>
          <w:cantSplit/>
          <w:trHeight w:val="2315"/>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5F57FB2" w14:textId="4DA20F96" w:rsidR="00B167B7" w:rsidRPr="006A5A05" w:rsidRDefault="00405A09" w:rsidP="00DC3166">
            <w:pPr>
              <w:jc w:val="center"/>
              <w:rPr>
                <w:rFonts w:asciiTheme="minorHAnsi" w:eastAsia="Calibri" w:hAnsiTheme="minorHAnsi" w:cstheme="minorHAnsi"/>
                <w:color w:val="000000" w:themeColor="text1"/>
                <w:sz w:val="18"/>
                <w:szCs w:val="18"/>
              </w:rPr>
            </w:pPr>
            <w:r w:rsidRPr="00F657EC">
              <w:rPr>
                <w:rFonts w:asciiTheme="minorHAnsi" w:hAnsiTheme="minorHAnsi" w:cstheme="minorHAnsi"/>
                <w:color w:val="000000"/>
                <w:sz w:val="18"/>
                <w:szCs w:val="18"/>
              </w:rPr>
              <w:lastRenderedPageBreak/>
              <w:t>ACALABRUTINIB</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Tablet 100 mg</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r>
            <w:proofErr w:type="spellStart"/>
            <w:r w:rsidRPr="006A5A05">
              <w:rPr>
                <w:rFonts w:asciiTheme="minorHAnsi" w:hAnsiTheme="minorHAnsi" w:cstheme="minorHAnsi"/>
                <w:color w:val="000000"/>
                <w:sz w:val="18"/>
                <w:szCs w:val="18"/>
              </w:rPr>
              <w:t>Calquence</w:t>
            </w:r>
            <w:proofErr w:type="spellEnd"/>
            <w:r w:rsidRPr="006A5A05">
              <w:rPr>
                <w:rFonts w:asciiTheme="minorHAnsi" w:hAnsiTheme="minorHAnsi" w:cstheme="minorHAnsi"/>
                <w:color w:val="000000"/>
                <w:sz w:val="18"/>
                <w:szCs w:val="18"/>
                <w:vertAlign w:val="superscript"/>
              </w:rPr>
              <w:t>®</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ASTRAZENECA PTY LTD</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r>
            <w:r w:rsidR="00B167B7" w:rsidRPr="006A5A05">
              <w:rPr>
                <w:rFonts w:asciiTheme="minorHAnsi" w:eastAsia="Calibri" w:hAnsiTheme="minorHAnsi" w:cstheme="minorHAnsi"/>
                <w:color w:val="000000" w:themeColor="text1"/>
                <w:sz w:val="18"/>
                <w:szCs w:val="18"/>
              </w:rPr>
              <w:t xml:space="preserve">Category </w:t>
            </w:r>
            <w:r w:rsidR="004D14C8">
              <w:rPr>
                <w:rFonts w:asciiTheme="minorHAnsi" w:eastAsia="Calibri" w:hAnsiTheme="minorHAnsi" w:cstheme="minorHAnsi"/>
                <w:color w:val="000000" w:themeColor="text1"/>
                <w:sz w:val="18"/>
                <w:szCs w:val="18"/>
              </w:rPr>
              <w:t>2</w:t>
            </w:r>
          </w:p>
          <w:p w14:paraId="06CA7BB6" w14:textId="22F459E2" w:rsidR="00405A09" w:rsidRPr="006A5A05" w:rsidRDefault="00405A09" w:rsidP="00DC3166">
            <w:pPr>
              <w:jc w:val="center"/>
              <w:rPr>
                <w:rFonts w:asciiTheme="minorHAnsi" w:eastAsia="Calibri" w:hAnsiTheme="minorHAnsi" w:cstheme="minorHAnsi"/>
                <w:color w:val="000000" w:themeColor="text1"/>
                <w:sz w:val="18"/>
                <w:szCs w:val="18"/>
              </w:rPr>
            </w:pPr>
            <w:r w:rsidRPr="006A5A05">
              <w:rPr>
                <w:rFonts w:asciiTheme="minorHAnsi" w:hAnsiTheme="minorHAnsi" w:cstheme="minorHAnsi"/>
                <w:color w:val="000000"/>
                <w:sz w:val="18"/>
                <w:szCs w:val="18"/>
              </w:rPr>
              <w:t>(Change to existing listing)</w:t>
            </w:r>
          </w:p>
        </w:tc>
        <w:tc>
          <w:tcPr>
            <w:tcW w:w="2767" w:type="dxa"/>
            <w:tcBorders>
              <w:top w:val="single" w:sz="4" w:space="0" w:color="auto"/>
              <w:left w:val="single" w:sz="4" w:space="0" w:color="auto"/>
              <w:bottom w:val="single" w:sz="4" w:space="0" w:color="auto"/>
              <w:right w:val="single" w:sz="4" w:space="0" w:color="auto"/>
            </w:tcBorders>
            <w:vAlign w:val="center"/>
          </w:tcPr>
          <w:p w14:paraId="20F89FE7" w14:textId="5FFE4D46" w:rsidR="00405A09" w:rsidRPr="006A5A05" w:rsidRDefault="00405A09" w:rsidP="00DC3166">
            <w:pPr>
              <w:jc w:val="center"/>
              <w:rPr>
                <w:rFonts w:asciiTheme="minorHAnsi" w:eastAsia="Calibri" w:hAnsiTheme="minorHAnsi" w:cstheme="minorHAnsi"/>
                <w:color w:val="000000" w:themeColor="text1"/>
                <w:sz w:val="18"/>
                <w:szCs w:val="18"/>
              </w:rPr>
            </w:pPr>
            <w:r w:rsidRPr="006A5A05">
              <w:rPr>
                <w:rFonts w:asciiTheme="minorHAnsi" w:hAnsiTheme="minorHAnsi" w:cstheme="minorHAnsi"/>
                <w:color w:val="000000"/>
                <w:sz w:val="18"/>
                <w:szCs w:val="18"/>
              </w:rPr>
              <w:t>Mantle cell lymphoma (MCL)</w:t>
            </w:r>
          </w:p>
        </w:tc>
        <w:tc>
          <w:tcPr>
            <w:tcW w:w="29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D1B2FE4" w14:textId="39E7597C" w:rsidR="00405A09" w:rsidRPr="006A5A05" w:rsidRDefault="00405A09" w:rsidP="00DC3166">
            <w:pPr>
              <w:jc w:val="center"/>
              <w:rPr>
                <w:rFonts w:asciiTheme="minorHAnsi" w:eastAsia="Calibri" w:hAnsiTheme="minorHAnsi" w:cstheme="minorHAnsi"/>
                <w:color w:val="000000" w:themeColor="text1"/>
                <w:sz w:val="18"/>
                <w:szCs w:val="18"/>
              </w:rPr>
            </w:pPr>
            <w:r w:rsidRPr="006A5A05">
              <w:rPr>
                <w:rFonts w:asciiTheme="minorHAnsi" w:hAnsiTheme="minorHAnsi" w:cstheme="minorHAnsi"/>
                <w:color w:val="000000"/>
                <w:sz w:val="18"/>
                <w:szCs w:val="18"/>
              </w:rPr>
              <w:t xml:space="preserve">To request a General Schedule Authority Required (Telephone/Online) listing in combination with </w:t>
            </w:r>
            <w:proofErr w:type="spellStart"/>
            <w:r w:rsidRPr="006A5A05">
              <w:rPr>
                <w:rFonts w:asciiTheme="minorHAnsi" w:hAnsiTheme="minorHAnsi" w:cstheme="minorHAnsi"/>
                <w:color w:val="000000"/>
                <w:sz w:val="18"/>
                <w:szCs w:val="18"/>
              </w:rPr>
              <w:t>bendamustine</w:t>
            </w:r>
            <w:proofErr w:type="spellEnd"/>
            <w:r w:rsidRPr="006A5A05">
              <w:rPr>
                <w:rFonts w:asciiTheme="minorHAnsi" w:hAnsiTheme="minorHAnsi" w:cstheme="minorHAnsi"/>
                <w:color w:val="000000"/>
                <w:sz w:val="18"/>
                <w:szCs w:val="18"/>
              </w:rPr>
              <w:t xml:space="preserve"> and rituximab for patients with previously untreated Stage III or IV MCL who are ineligible for stem cell transplantation.</w:t>
            </w:r>
          </w:p>
        </w:tc>
        <w:tc>
          <w:tcPr>
            <w:tcW w:w="1584" w:type="dxa"/>
            <w:vAlign w:val="center"/>
          </w:tcPr>
          <w:p w14:paraId="170928E7" w14:textId="62BFAD40" w:rsidR="00405A09" w:rsidRPr="006A5A05" w:rsidRDefault="004360C4" w:rsidP="00DC3166">
            <w:pPr>
              <w:pStyle w:val="ListParagraph"/>
              <w:keepLines/>
              <w:ind w:left="0"/>
              <w:jc w:val="center"/>
              <w:rPr>
                <w:rFonts w:asciiTheme="minorHAnsi" w:hAnsiTheme="minorHAnsi" w:cstheme="minorHAnsi"/>
                <w:color w:val="000000"/>
                <w:sz w:val="18"/>
                <w:szCs w:val="18"/>
              </w:rPr>
            </w:pPr>
            <w:r w:rsidRPr="004360C4">
              <w:rPr>
                <w:rFonts w:asciiTheme="minorHAnsi" w:hAnsiTheme="minorHAnsi" w:cstheme="minorHAnsi"/>
                <w:color w:val="000000"/>
                <w:sz w:val="18"/>
                <w:szCs w:val="18"/>
              </w:rPr>
              <w:t>Recommended</w:t>
            </w:r>
          </w:p>
        </w:tc>
        <w:tc>
          <w:tcPr>
            <w:tcW w:w="4836" w:type="dxa"/>
          </w:tcPr>
          <w:p w14:paraId="63F568A3" w14:textId="0C6DFC41" w:rsidR="0020188A" w:rsidRPr="0020188A" w:rsidRDefault="0020188A" w:rsidP="00DC3166">
            <w:pPr>
              <w:jc w:val="both"/>
              <w:rPr>
                <w:rFonts w:asciiTheme="minorHAnsi" w:hAnsiTheme="minorHAnsi" w:cstheme="minorHAnsi"/>
                <w:color w:val="000000" w:themeColor="text1"/>
                <w:sz w:val="18"/>
                <w:szCs w:val="18"/>
              </w:rPr>
            </w:pPr>
            <w:r w:rsidRPr="0020188A">
              <w:rPr>
                <w:rFonts w:asciiTheme="minorHAnsi" w:hAnsiTheme="minorHAnsi" w:cstheme="minorHAnsi"/>
                <w:color w:val="000000" w:themeColor="text1"/>
                <w:sz w:val="18"/>
                <w:szCs w:val="18"/>
              </w:rPr>
              <w:t xml:space="preserve">The PBAC recommended acalabrutinib (in combination with </w:t>
            </w:r>
            <w:proofErr w:type="spellStart"/>
            <w:r w:rsidRPr="0020188A">
              <w:rPr>
                <w:rFonts w:asciiTheme="minorHAnsi" w:hAnsiTheme="minorHAnsi" w:cstheme="minorHAnsi"/>
                <w:color w:val="000000" w:themeColor="text1"/>
                <w:sz w:val="18"/>
                <w:szCs w:val="18"/>
              </w:rPr>
              <w:t>bendamustine</w:t>
            </w:r>
            <w:proofErr w:type="spellEnd"/>
            <w:r w:rsidRPr="0020188A">
              <w:rPr>
                <w:rFonts w:asciiTheme="minorHAnsi" w:hAnsiTheme="minorHAnsi" w:cstheme="minorHAnsi"/>
                <w:color w:val="000000" w:themeColor="text1"/>
                <w:sz w:val="18"/>
                <w:szCs w:val="18"/>
              </w:rPr>
              <w:t xml:space="preserve"> and rituximab</w:t>
            </w:r>
            <w:r w:rsidR="00BE3C0C">
              <w:rPr>
                <w:rFonts w:asciiTheme="minorHAnsi" w:hAnsiTheme="minorHAnsi" w:cstheme="minorHAnsi"/>
                <w:color w:val="000000" w:themeColor="text1"/>
                <w:sz w:val="18"/>
                <w:szCs w:val="18"/>
              </w:rPr>
              <w:t>,</w:t>
            </w:r>
            <w:r w:rsidRPr="0020188A">
              <w:rPr>
                <w:rFonts w:asciiTheme="minorHAnsi" w:hAnsiTheme="minorHAnsi" w:cstheme="minorHAnsi"/>
                <w:color w:val="000000" w:themeColor="text1"/>
                <w:sz w:val="18"/>
                <w:szCs w:val="18"/>
              </w:rPr>
              <w:t xml:space="preserve"> ABR) for the first line treatment of Stage III or IV MCL in patients who are ineligible for stem cell transplantation.</w:t>
            </w:r>
            <w:r w:rsidRPr="0020188A" w:rsidDel="00EB624A">
              <w:rPr>
                <w:rFonts w:asciiTheme="minorHAnsi" w:hAnsiTheme="minorHAnsi" w:cstheme="minorHAnsi"/>
                <w:color w:val="000000" w:themeColor="text1"/>
                <w:sz w:val="18"/>
                <w:szCs w:val="18"/>
              </w:rPr>
              <w:t xml:space="preserve"> </w:t>
            </w:r>
          </w:p>
          <w:p w14:paraId="58BC211C" w14:textId="77777777" w:rsidR="0020188A" w:rsidRPr="0020188A" w:rsidRDefault="0020188A" w:rsidP="00DC3166">
            <w:pPr>
              <w:jc w:val="both"/>
              <w:rPr>
                <w:rFonts w:asciiTheme="minorHAnsi" w:hAnsiTheme="minorHAnsi" w:cstheme="minorHAnsi"/>
                <w:color w:val="000000" w:themeColor="text1"/>
                <w:sz w:val="18"/>
                <w:szCs w:val="18"/>
              </w:rPr>
            </w:pPr>
          </w:p>
          <w:p w14:paraId="444F1E97" w14:textId="77777777" w:rsidR="0020188A" w:rsidRPr="0020188A" w:rsidRDefault="0020188A" w:rsidP="00DC3166">
            <w:pPr>
              <w:jc w:val="both"/>
              <w:rPr>
                <w:rFonts w:asciiTheme="minorHAnsi" w:hAnsiTheme="minorHAnsi" w:cstheme="minorHAnsi"/>
                <w:bCs/>
                <w:iCs/>
                <w:color w:val="000000" w:themeColor="text1"/>
                <w:sz w:val="18"/>
                <w:szCs w:val="18"/>
              </w:rPr>
            </w:pPr>
            <w:r w:rsidRPr="0020188A">
              <w:rPr>
                <w:rFonts w:asciiTheme="minorHAnsi" w:hAnsiTheme="minorHAnsi" w:cstheme="minorHAnsi"/>
                <w:color w:val="000000" w:themeColor="text1"/>
                <w:sz w:val="18"/>
                <w:szCs w:val="18"/>
              </w:rPr>
              <w:t xml:space="preserve">The PBAC welcomed the input received via the Consumer Comments facility on the PBS website which outlined the rare and incurable nature of MCL and described the clinical need for </w:t>
            </w:r>
            <w:r w:rsidRPr="0020188A">
              <w:rPr>
                <w:rFonts w:asciiTheme="minorHAnsi" w:hAnsiTheme="minorHAnsi" w:cstheme="minorHAnsi"/>
                <w:bCs/>
                <w:iCs/>
                <w:color w:val="000000" w:themeColor="text1"/>
                <w:sz w:val="18"/>
                <w:szCs w:val="18"/>
              </w:rPr>
              <w:t xml:space="preserve">more effective treatment options for transplant ineligible patients in the first line setting </w:t>
            </w:r>
            <w:r w:rsidRPr="0020188A">
              <w:rPr>
                <w:rFonts w:asciiTheme="minorHAnsi" w:hAnsiTheme="minorHAnsi" w:cstheme="minorHAnsi"/>
                <w:color w:val="000000" w:themeColor="text1"/>
                <w:sz w:val="18"/>
                <w:szCs w:val="18"/>
              </w:rPr>
              <w:t>who have a poor prognosis with existing therapies</w:t>
            </w:r>
            <w:r w:rsidRPr="0020188A">
              <w:rPr>
                <w:rFonts w:asciiTheme="minorHAnsi" w:hAnsiTheme="minorHAnsi" w:cstheme="minorHAnsi"/>
                <w:bCs/>
                <w:iCs/>
                <w:color w:val="000000" w:themeColor="text1"/>
                <w:sz w:val="18"/>
                <w:szCs w:val="18"/>
              </w:rPr>
              <w:t xml:space="preserve">. The PBAC acknowledged the high need for new treatment options in this setting. </w:t>
            </w:r>
          </w:p>
          <w:p w14:paraId="2A556484" w14:textId="77777777" w:rsidR="0020188A" w:rsidRPr="0020188A" w:rsidRDefault="0020188A" w:rsidP="00DC3166">
            <w:pPr>
              <w:jc w:val="both"/>
              <w:rPr>
                <w:rFonts w:asciiTheme="minorHAnsi" w:hAnsiTheme="minorHAnsi" w:cstheme="minorHAnsi"/>
                <w:bCs/>
                <w:iCs/>
                <w:color w:val="000000" w:themeColor="text1"/>
                <w:sz w:val="18"/>
                <w:szCs w:val="18"/>
              </w:rPr>
            </w:pPr>
          </w:p>
          <w:p w14:paraId="28FDF7BE" w14:textId="77777777" w:rsidR="0020188A" w:rsidRPr="0020188A" w:rsidRDefault="0020188A" w:rsidP="00DC3166">
            <w:pPr>
              <w:jc w:val="both"/>
              <w:rPr>
                <w:rFonts w:asciiTheme="minorHAnsi" w:hAnsiTheme="minorHAnsi" w:cstheme="minorHAnsi"/>
                <w:color w:val="000000" w:themeColor="text1"/>
                <w:sz w:val="18"/>
                <w:szCs w:val="18"/>
              </w:rPr>
            </w:pPr>
            <w:r w:rsidRPr="0020188A">
              <w:rPr>
                <w:rFonts w:asciiTheme="minorHAnsi" w:hAnsiTheme="minorHAnsi" w:cstheme="minorHAnsi"/>
                <w:color w:val="000000" w:themeColor="text1"/>
                <w:sz w:val="18"/>
                <w:szCs w:val="18"/>
              </w:rPr>
              <w:t xml:space="preserve">Based on the clinical evidence presented in the submission, the PBAC was satisfied that use of acalabrutinib in combination with </w:t>
            </w:r>
            <w:proofErr w:type="spellStart"/>
            <w:r w:rsidRPr="0020188A">
              <w:rPr>
                <w:rFonts w:asciiTheme="minorHAnsi" w:hAnsiTheme="minorHAnsi" w:cstheme="minorHAnsi"/>
                <w:color w:val="000000" w:themeColor="text1"/>
                <w:sz w:val="18"/>
                <w:szCs w:val="18"/>
              </w:rPr>
              <w:t>bendamustine</w:t>
            </w:r>
            <w:proofErr w:type="spellEnd"/>
            <w:r w:rsidRPr="0020188A">
              <w:rPr>
                <w:rFonts w:asciiTheme="minorHAnsi" w:hAnsiTheme="minorHAnsi" w:cstheme="minorHAnsi"/>
                <w:color w:val="000000" w:themeColor="text1"/>
                <w:sz w:val="18"/>
                <w:szCs w:val="18"/>
              </w:rPr>
              <w:t xml:space="preserve"> and rituximab was more effective at preventing progression of MCL for some patients than treatment with </w:t>
            </w:r>
            <w:proofErr w:type="spellStart"/>
            <w:r w:rsidRPr="0020188A">
              <w:rPr>
                <w:rFonts w:asciiTheme="minorHAnsi" w:hAnsiTheme="minorHAnsi" w:cstheme="minorHAnsi"/>
                <w:color w:val="000000" w:themeColor="text1"/>
                <w:sz w:val="18"/>
                <w:szCs w:val="18"/>
              </w:rPr>
              <w:t>bendamustine</w:t>
            </w:r>
            <w:proofErr w:type="spellEnd"/>
            <w:r w:rsidRPr="0020188A">
              <w:rPr>
                <w:rFonts w:asciiTheme="minorHAnsi" w:hAnsiTheme="minorHAnsi" w:cstheme="minorHAnsi"/>
                <w:color w:val="000000" w:themeColor="text1"/>
                <w:sz w:val="18"/>
                <w:szCs w:val="18"/>
              </w:rPr>
              <w:t xml:space="preserve"> and rituximab alone. The PBAC noted that use of acalabrutinib was also associated with an increased risk of infections and concluded it was less safe than treatment with </w:t>
            </w:r>
            <w:proofErr w:type="spellStart"/>
            <w:r w:rsidRPr="0020188A">
              <w:rPr>
                <w:rFonts w:asciiTheme="minorHAnsi" w:hAnsiTheme="minorHAnsi" w:cstheme="minorHAnsi"/>
                <w:color w:val="000000" w:themeColor="text1"/>
                <w:sz w:val="18"/>
                <w:szCs w:val="18"/>
              </w:rPr>
              <w:t>bendamustine</w:t>
            </w:r>
            <w:proofErr w:type="spellEnd"/>
            <w:r w:rsidRPr="0020188A">
              <w:rPr>
                <w:rFonts w:asciiTheme="minorHAnsi" w:hAnsiTheme="minorHAnsi" w:cstheme="minorHAnsi"/>
                <w:color w:val="000000" w:themeColor="text1"/>
                <w:sz w:val="18"/>
                <w:szCs w:val="18"/>
              </w:rPr>
              <w:t xml:space="preserve"> and rituximab alone. </w:t>
            </w:r>
          </w:p>
          <w:p w14:paraId="3215FB0E" w14:textId="77777777" w:rsidR="0020188A" w:rsidRPr="0020188A" w:rsidRDefault="0020188A" w:rsidP="00DC3166">
            <w:pPr>
              <w:jc w:val="both"/>
              <w:rPr>
                <w:rFonts w:asciiTheme="minorHAnsi" w:hAnsiTheme="minorHAnsi" w:cstheme="minorHAnsi"/>
                <w:color w:val="000000" w:themeColor="text1"/>
                <w:sz w:val="18"/>
                <w:szCs w:val="18"/>
              </w:rPr>
            </w:pPr>
          </w:p>
          <w:p w14:paraId="104D296C" w14:textId="302465B8" w:rsidR="0020188A" w:rsidRPr="0020188A" w:rsidRDefault="0020188A" w:rsidP="00DC3166">
            <w:pPr>
              <w:jc w:val="both"/>
              <w:rPr>
                <w:rFonts w:asciiTheme="minorHAnsi" w:hAnsiTheme="minorHAnsi" w:cstheme="minorHAnsi"/>
                <w:color w:val="000000" w:themeColor="text1"/>
                <w:sz w:val="18"/>
                <w:szCs w:val="18"/>
              </w:rPr>
            </w:pPr>
            <w:r w:rsidRPr="0020188A">
              <w:rPr>
                <w:rFonts w:asciiTheme="minorHAnsi" w:hAnsiTheme="minorHAnsi" w:cstheme="minorHAnsi"/>
                <w:color w:val="000000" w:themeColor="text1"/>
                <w:sz w:val="18"/>
                <w:szCs w:val="18"/>
              </w:rPr>
              <w:t xml:space="preserve">The PBAC considered the estimates of the benefits of acalabrutinib in support of the proposed requested price were overly optimistic and that revisions would be required to include more realistic estimates. As such, the PBAC’s recommendation was based on, among other matters, its assessment that the cost-effectiveness of acalabrutinib would be acceptable with a price reduction </w:t>
            </w:r>
            <w:r w:rsidR="0085269F">
              <w:rPr>
                <w:rFonts w:asciiTheme="minorHAnsi" w:hAnsiTheme="minorHAnsi" w:cstheme="minorHAnsi"/>
                <w:color w:val="000000" w:themeColor="text1"/>
                <w:sz w:val="18"/>
                <w:szCs w:val="18"/>
              </w:rPr>
              <w:t xml:space="preserve">reflecting </w:t>
            </w:r>
            <w:r w:rsidRPr="0020188A">
              <w:rPr>
                <w:rFonts w:asciiTheme="minorHAnsi" w:hAnsiTheme="minorHAnsi" w:cstheme="minorHAnsi"/>
                <w:color w:val="000000" w:themeColor="text1"/>
                <w:sz w:val="18"/>
                <w:szCs w:val="18"/>
              </w:rPr>
              <w:t xml:space="preserve">more realistic estimates of benefits and costs. The PBAC further advised that a risk sharing arrangement that accounts for reduced use of Bruton tyrosine kinase inhibitors in relapsed/refractory MCL would be required.  </w:t>
            </w:r>
          </w:p>
          <w:p w14:paraId="7B3AC5D5" w14:textId="77777777" w:rsidR="0020188A" w:rsidRPr="0020188A" w:rsidRDefault="0020188A" w:rsidP="00DC3166">
            <w:pPr>
              <w:jc w:val="both"/>
              <w:rPr>
                <w:rFonts w:asciiTheme="minorHAnsi" w:hAnsiTheme="minorHAnsi" w:cstheme="minorHAnsi"/>
                <w:color w:val="000000" w:themeColor="text1"/>
                <w:sz w:val="18"/>
                <w:szCs w:val="18"/>
              </w:rPr>
            </w:pPr>
          </w:p>
          <w:p w14:paraId="5572EF1F" w14:textId="42DAD1C6" w:rsidR="00405A09" w:rsidRPr="00776B34" w:rsidDel="008F66B5" w:rsidRDefault="0020188A" w:rsidP="00DC3166">
            <w:pPr>
              <w:jc w:val="both"/>
              <w:rPr>
                <w:rFonts w:asciiTheme="minorHAnsi" w:hAnsiTheme="minorHAnsi" w:cstheme="minorHAnsi"/>
                <w:color w:val="000000" w:themeColor="text1"/>
                <w:sz w:val="18"/>
                <w:szCs w:val="18"/>
              </w:rPr>
            </w:pPr>
            <w:r w:rsidRPr="0020188A">
              <w:rPr>
                <w:rFonts w:asciiTheme="minorHAnsi" w:hAnsiTheme="minorHAnsi" w:cstheme="minorHAnsi"/>
                <w:color w:val="000000" w:themeColor="text1"/>
                <w:sz w:val="18"/>
                <w:szCs w:val="18"/>
              </w:rPr>
              <w:t xml:space="preserve">The PBAC indicated that flow-on changes to the existing </w:t>
            </w:r>
            <w:proofErr w:type="spellStart"/>
            <w:r w:rsidRPr="0020188A">
              <w:rPr>
                <w:rFonts w:asciiTheme="minorHAnsi" w:hAnsiTheme="minorHAnsi" w:cstheme="minorHAnsi"/>
                <w:color w:val="000000" w:themeColor="text1"/>
                <w:sz w:val="18"/>
                <w:szCs w:val="18"/>
              </w:rPr>
              <w:t>bendamustine</w:t>
            </w:r>
            <w:proofErr w:type="spellEnd"/>
            <w:r w:rsidRPr="0020188A">
              <w:rPr>
                <w:rFonts w:asciiTheme="minorHAnsi" w:hAnsiTheme="minorHAnsi" w:cstheme="minorHAnsi"/>
                <w:color w:val="000000" w:themeColor="text1"/>
                <w:sz w:val="18"/>
                <w:szCs w:val="18"/>
              </w:rPr>
              <w:t xml:space="preserve"> restriction may be required to allow use in combination with acalabrutinib and rituximab</w:t>
            </w:r>
            <w:r w:rsidRPr="0020188A">
              <w:rPr>
                <w:rFonts w:asciiTheme="minorHAnsi" w:hAnsiTheme="minorHAnsi" w:cstheme="minorHAnsi"/>
                <w:i/>
                <w:iCs/>
                <w:color w:val="000000" w:themeColor="text1"/>
                <w:sz w:val="18"/>
                <w:szCs w:val="18"/>
              </w:rPr>
              <w:t>.</w:t>
            </w:r>
          </w:p>
        </w:tc>
      </w:tr>
      <w:tr w:rsidR="00405A09" w:rsidRPr="008059F4" w:rsidDel="008F66B5" w14:paraId="15392436" w14:textId="08784C3B" w:rsidTr="09589B60">
        <w:trPr>
          <w:cantSplit/>
          <w:trHeight w:val="2948"/>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3AA23E4" w14:textId="3D971BAE" w:rsidR="00B167B7" w:rsidRPr="006A5A05" w:rsidRDefault="00405A09" w:rsidP="00DC3166">
            <w:pPr>
              <w:jc w:val="center"/>
              <w:rPr>
                <w:rFonts w:asciiTheme="minorHAnsi" w:eastAsia="Calibri" w:hAnsiTheme="minorHAnsi" w:cstheme="minorHAnsi"/>
                <w:color w:val="000000" w:themeColor="text1"/>
                <w:sz w:val="18"/>
                <w:szCs w:val="18"/>
              </w:rPr>
            </w:pPr>
            <w:r w:rsidRPr="006A5A05">
              <w:rPr>
                <w:rFonts w:asciiTheme="minorHAnsi" w:hAnsiTheme="minorHAnsi" w:cstheme="minorHAnsi"/>
                <w:color w:val="000000"/>
                <w:sz w:val="18"/>
                <w:szCs w:val="18"/>
              </w:rPr>
              <w:t>AFLIBERCEPT</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Solution for intravitreal injection 3.6 mg in 90 microlitres (40 mg per mL) pre</w:t>
            </w:r>
            <w:r w:rsidRPr="006A5A05">
              <w:rPr>
                <w:rFonts w:asciiTheme="minorHAnsi" w:hAnsiTheme="minorHAnsi" w:cstheme="minorHAnsi"/>
                <w:color w:val="000000"/>
                <w:sz w:val="18"/>
                <w:szCs w:val="18"/>
              </w:rPr>
              <w:noBreakHyphen/>
              <w:t>filled syringe</w:t>
            </w:r>
            <w:r w:rsidRPr="006A5A05">
              <w:rPr>
                <w:rFonts w:asciiTheme="minorHAnsi" w:hAnsiTheme="minorHAnsi" w:cstheme="minorHAnsi"/>
                <w:color w:val="000000"/>
                <w:sz w:val="18"/>
                <w:szCs w:val="18"/>
              </w:rPr>
              <w:br/>
              <w:t>Solution for intravitreal injection 4 mg in 100 microlitres (40 mg per mL)</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r>
            <w:proofErr w:type="spellStart"/>
            <w:r w:rsidRPr="006A5A05">
              <w:rPr>
                <w:rFonts w:asciiTheme="minorHAnsi" w:hAnsiTheme="minorHAnsi" w:cstheme="minorHAnsi"/>
                <w:color w:val="000000"/>
                <w:sz w:val="18"/>
                <w:szCs w:val="18"/>
              </w:rPr>
              <w:t>Afqlir</w:t>
            </w:r>
            <w:proofErr w:type="spellEnd"/>
            <w:r w:rsidRPr="006A5A05">
              <w:rPr>
                <w:rFonts w:asciiTheme="minorHAnsi" w:hAnsiTheme="minorHAnsi" w:cstheme="minorHAnsi"/>
                <w:color w:val="000000"/>
                <w:sz w:val="18"/>
                <w:szCs w:val="18"/>
                <w:vertAlign w:val="superscript"/>
              </w:rPr>
              <w:t>®</w:t>
            </w:r>
            <w:r w:rsidRPr="006A5A05">
              <w:rPr>
                <w:rFonts w:asciiTheme="minorHAnsi" w:hAnsiTheme="minorHAnsi" w:cstheme="minorHAnsi"/>
                <w:color w:val="000000"/>
                <w:sz w:val="18"/>
                <w:szCs w:val="18"/>
              </w:rPr>
              <w:br/>
            </w:r>
            <w:proofErr w:type="spellStart"/>
            <w:r w:rsidRPr="006A5A05">
              <w:rPr>
                <w:rFonts w:asciiTheme="minorHAnsi" w:hAnsiTheme="minorHAnsi" w:cstheme="minorHAnsi"/>
                <w:color w:val="000000"/>
                <w:sz w:val="18"/>
                <w:szCs w:val="18"/>
              </w:rPr>
              <w:t>Enzeevu</w:t>
            </w:r>
            <w:proofErr w:type="spellEnd"/>
            <w:r w:rsidRPr="006A5A05">
              <w:rPr>
                <w:rFonts w:asciiTheme="minorHAnsi" w:hAnsiTheme="minorHAnsi" w:cstheme="minorHAnsi"/>
                <w:color w:val="000000"/>
                <w:sz w:val="18"/>
                <w:szCs w:val="18"/>
              </w:rPr>
              <w:t>™</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SANDOZ PTY LTD</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r>
            <w:r w:rsidR="00B167B7" w:rsidRPr="006A5A05">
              <w:rPr>
                <w:rFonts w:asciiTheme="minorHAnsi" w:eastAsia="Calibri" w:hAnsiTheme="minorHAnsi" w:cstheme="minorHAnsi"/>
                <w:color w:val="000000" w:themeColor="text1"/>
                <w:sz w:val="18"/>
                <w:szCs w:val="18"/>
              </w:rPr>
              <w:t xml:space="preserve">Category </w:t>
            </w:r>
            <w:r w:rsidR="00F81B29">
              <w:rPr>
                <w:rFonts w:asciiTheme="minorHAnsi" w:eastAsia="Calibri" w:hAnsiTheme="minorHAnsi" w:cstheme="minorHAnsi"/>
                <w:color w:val="000000" w:themeColor="text1"/>
                <w:sz w:val="18"/>
                <w:szCs w:val="18"/>
              </w:rPr>
              <w:t>3</w:t>
            </w:r>
          </w:p>
          <w:p w14:paraId="04431AA7" w14:textId="5B87DC0D" w:rsidR="00405A09" w:rsidRPr="006A5A05" w:rsidRDefault="00405A09"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vAlign w:val="center"/>
          </w:tcPr>
          <w:p w14:paraId="3DD7194D" w14:textId="36B9E1CD" w:rsidR="00405A09" w:rsidRPr="006A5A05" w:rsidRDefault="00405A09"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Macular oedema secondary to retinal vein occlusion (RVO)</w:t>
            </w:r>
            <w:r w:rsidRPr="006A5A05">
              <w:rPr>
                <w:rFonts w:asciiTheme="minorHAnsi" w:hAnsiTheme="minorHAnsi" w:cstheme="minorHAnsi"/>
                <w:color w:val="000000"/>
                <w:sz w:val="18"/>
                <w:szCs w:val="18"/>
              </w:rPr>
              <w:br/>
              <w:t>Diabetic macular oedema (DMO)</w:t>
            </w:r>
            <w:r w:rsidRPr="006A5A05">
              <w:rPr>
                <w:rFonts w:asciiTheme="minorHAnsi" w:hAnsiTheme="minorHAnsi" w:cstheme="minorHAnsi"/>
                <w:color w:val="000000"/>
                <w:sz w:val="18"/>
                <w:szCs w:val="18"/>
              </w:rPr>
              <w:br/>
              <w:t>Subfoveal choroidal neovascularisation (CNV) secondary to age-related macular degeneration (AMD)</w:t>
            </w:r>
          </w:p>
        </w:tc>
        <w:tc>
          <w:tcPr>
            <w:tcW w:w="29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15803C4" w14:textId="7911B0D5" w:rsidR="00405A09" w:rsidRPr="006A5A05" w:rsidRDefault="00405A09"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To request General Schedule Authority Required listings of two aflibercept biosimilars for the treatment of RVO, DMO, and CNV due to AMD under the same conditions as their respective reference biologic.</w:t>
            </w:r>
          </w:p>
        </w:tc>
        <w:tc>
          <w:tcPr>
            <w:tcW w:w="1584" w:type="dxa"/>
            <w:vAlign w:val="center"/>
          </w:tcPr>
          <w:p w14:paraId="6975FA0E" w14:textId="2361F5FB" w:rsidR="00405A09" w:rsidRPr="006A5A05" w:rsidDel="008F66B5" w:rsidRDefault="004360C4" w:rsidP="00DC3166">
            <w:pPr>
              <w:pStyle w:val="ListParagraph"/>
              <w:keepLines/>
              <w:ind w:left="0"/>
              <w:jc w:val="center"/>
              <w:rPr>
                <w:rFonts w:asciiTheme="minorHAnsi" w:hAnsiTheme="minorHAnsi" w:cstheme="minorHAnsi"/>
                <w:color w:val="000000"/>
                <w:sz w:val="18"/>
                <w:szCs w:val="18"/>
              </w:rPr>
            </w:pPr>
            <w:r w:rsidRPr="004360C4">
              <w:rPr>
                <w:rFonts w:asciiTheme="minorHAnsi" w:hAnsiTheme="minorHAnsi" w:cstheme="minorHAnsi"/>
                <w:color w:val="000000"/>
                <w:sz w:val="18"/>
                <w:szCs w:val="18"/>
              </w:rPr>
              <w:t>Recommended</w:t>
            </w:r>
          </w:p>
        </w:tc>
        <w:tc>
          <w:tcPr>
            <w:tcW w:w="4836" w:type="dxa"/>
          </w:tcPr>
          <w:p w14:paraId="26DBBFE0" w14:textId="7C578585" w:rsidR="009A0993" w:rsidRPr="009A0993" w:rsidRDefault="009A0993" w:rsidP="00DC3166">
            <w:pPr>
              <w:jc w:val="both"/>
              <w:rPr>
                <w:rFonts w:asciiTheme="minorHAnsi" w:hAnsiTheme="minorHAnsi" w:cstheme="minorBidi"/>
                <w:color w:val="000000"/>
                <w:sz w:val="18"/>
                <w:szCs w:val="18"/>
                <w:lang w:val="en-GB"/>
              </w:rPr>
            </w:pPr>
            <w:r w:rsidRPr="009A0993">
              <w:rPr>
                <w:rFonts w:asciiTheme="minorHAnsi" w:hAnsiTheme="minorHAnsi" w:cstheme="minorBidi"/>
                <w:color w:val="000000"/>
                <w:sz w:val="18"/>
                <w:szCs w:val="18"/>
                <w:lang w:val="en-GB"/>
              </w:rPr>
              <w:t xml:space="preserve">The PBAC recommended the listings of </w:t>
            </w:r>
            <w:r w:rsidRPr="009A0993">
              <w:rPr>
                <w:rFonts w:asciiTheme="minorHAnsi" w:hAnsiTheme="minorHAnsi" w:cstheme="minorBidi"/>
                <w:color w:val="000000"/>
                <w:sz w:val="18"/>
                <w:szCs w:val="18"/>
              </w:rPr>
              <w:t>two aflibercept biosimilars (</w:t>
            </w:r>
            <w:proofErr w:type="spellStart"/>
            <w:r w:rsidRPr="009A0993">
              <w:rPr>
                <w:rFonts w:asciiTheme="minorHAnsi" w:hAnsiTheme="minorHAnsi" w:cstheme="minorBidi"/>
                <w:color w:val="000000"/>
                <w:sz w:val="18"/>
                <w:szCs w:val="18"/>
              </w:rPr>
              <w:t>Afqlir</w:t>
            </w:r>
            <w:proofErr w:type="spellEnd"/>
            <w:r w:rsidRPr="009A0993">
              <w:rPr>
                <w:rFonts w:asciiTheme="minorHAnsi" w:hAnsiTheme="minorHAnsi" w:cstheme="minorBidi"/>
                <w:color w:val="000000"/>
                <w:sz w:val="18"/>
                <w:szCs w:val="18"/>
                <w:vertAlign w:val="superscript"/>
              </w:rPr>
              <w:t>®</w:t>
            </w:r>
            <w:r w:rsidRPr="009A0993">
              <w:rPr>
                <w:rFonts w:asciiTheme="minorHAnsi" w:hAnsiTheme="minorHAnsi" w:cstheme="minorBidi"/>
                <w:color w:val="000000"/>
                <w:sz w:val="18"/>
                <w:szCs w:val="18"/>
              </w:rPr>
              <w:t xml:space="preserve"> and Enzeev™) and under the same conditions as their reference biologic (Eylea</w:t>
            </w:r>
            <w:r w:rsidRPr="009A0993">
              <w:rPr>
                <w:rFonts w:asciiTheme="minorHAnsi" w:hAnsiTheme="minorHAnsi" w:cstheme="minorBidi"/>
                <w:color w:val="000000"/>
                <w:sz w:val="18"/>
                <w:szCs w:val="18"/>
                <w:vertAlign w:val="superscript"/>
              </w:rPr>
              <w:t>®</w:t>
            </w:r>
            <w:r w:rsidRPr="009A0993">
              <w:rPr>
                <w:rFonts w:asciiTheme="minorHAnsi" w:hAnsiTheme="minorHAnsi" w:cstheme="minorBidi"/>
                <w:color w:val="000000"/>
                <w:sz w:val="18"/>
                <w:szCs w:val="18"/>
              </w:rPr>
              <w:t>), for the same indications</w:t>
            </w:r>
            <w:r w:rsidRPr="009A0993">
              <w:rPr>
                <w:rFonts w:asciiTheme="minorHAnsi" w:hAnsiTheme="minorHAnsi" w:cstheme="minorBidi"/>
                <w:color w:val="000000"/>
                <w:sz w:val="18"/>
                <w:szCs w:val="18"/>
                <w:lang w:val="en-GB"/>
              </w:rPr>
              <w:t xml:space="preserve">. </w:t>
            </w:r>
            <w:r w:rsidRPr="009A0993">
              <w:rPr>
                <w:rFonts w:asciiTheme="minorHAnsi" w:hAnsiTheme="minorHAnsi" w:cstheme="minorBidi"/>
                <w:color w:val="000000"/>
                <w:sz w:val="18"/>
                <w:szCs w:val="18"/>
              </w:rPr>
              <w:t xml:space="preserve">The PBAC advised the equi-effective doses to be </w:t>
            </w:r>
            <w:proofErr w:type="spellStart"/>
            <w:r w:rsidRPr="009A0993">
              <w:rPr>
                <w:rFonts w:asciiTheme="minorHAnsi" w:hAnsiTheme="minorHAnsi" w:cstheme="minorBidi"/>
                <w:color w:val="000000"/>
                <w:sz w:val="18"/>
                <w:szCs w:val="18"/>
              </w:rPr>
              <w:t>Afqlir</w:t>
            </w:r>
            <w:proofErr w:type="spellEnd"/>
            <w:r w:rsidRPr="009A0993">
              <w:rPr>
                <w:rFonts w:asciiTheme="minorHAnsi" w:hAnsiTheme="minorHAnsi" w:cstheme="minorBidi"/>
                <w:color w:val="000000"/>
                <w:sz w:val="18"/>
                <w:szCs w:val="18"/>
              </w:rPr>
              <w:t>/</w:t>
            </w:r>
            <w:proofErr w:type="spellStart"/>
            <w:r w:rsidRPr="009A0993">
              <w:rPr>
                <w:rFonts w:asciiTheme="minorHAnsi" w:hAnsiTheme="minorHAnsi" w:cstheme="minorBidi"/>
                <w:color w:val="000000"/>
                <w:sz w:val="18"/>
                <w:szCs w:val="18"/>
              </w:rPr>
              <w:t>Enzeevu</w:t>
            </w:r>
            <w:proofErr w:type="spellEnd"/>
            <w:r w:rsidRPr="009A0993">
              <w:rPr>
                <w:rFonts w:asciiTheme="minorHAnsi" w:hAnsiTheme="minorHAnsi" w:cstheme="minorBidi"/>
                <w:color w:val="000000"/>
                <w:sz w:val="18"/>
                <w:szCs w:val="18"/>
              </w:rPr>
              <w:t xml:space="preserve"> 2 mg vial/syringe = Eylea 2 mg vial/syringe. </w:t>
            </w:r>
            <w:r w:rsidRPr="009A0993">
              <w:rPr>
                <w:rFonts w:asciiTheme="minorHAnsi" w:hAnsiTheme="minorHAnsi" w:cstheme="minorBidi"/>
                <w:color w:val="000000"/>
                <w:sz w:val="18"/>
                <w:szCs w:val="18"/>
                <w:lang w:val="en-GB"/>
              </w:rPr>
              <w:t>The PBAC noted that the submission did not request a lower authority level for the two biosimilar brands, but</w:t>
            </w:r>
            <w:r w:rsidRPr="009A0993">
              <w:rPr>
                <w:rFonts w:asciiTheme="minorHAnsi" w:hAnsiTheme="minorHAnsi" w:cstheme="minorBidi"/>
                <w:color w:val="000000"/>
                <w:sz w:val="18"/>
                <w:szCs w:val="18"/>
              </w:rPr>
              <w:t xml:space="preserve"> that it did request the addition of administrative advice reflecting the biosimilar </w:t>
            </w:r>
            <w:r w:rsidR="00C71F9A">
              <w:rPr>
                <w:rFonts w:asciiTheme="minorHAnsi" w:hAnsiTheme="minorHAnsi" w:cstheme="minorBidi"/>
                <w:color w:val="000000"/>
                <w:sz w:val="18"/>
                <w:szCs w:val="18"/>
              </w:rPr>
              <w:t>uptake driver that encourages</w:t>
            </w:r>
            <w:r w:rsidRPr="009A0993" w:rsidDel="006C1284">
              <w:rPr>
                <w:rFonts w:asciiTheme="minorHAnsi" w:hAnsiTheme="minorHAnsi" w:cstheme="minorBidi"/>
                <w:color w:val="000000"/>
                <w:sz w:val="18"/>
                <w:szCs w:val="18"/>
              </w:rPr>
              <w:t xml:space="preserve"> </w:t>
            </w:r>
            <w:r w:rsidRPr="009A0993">
              <w:rPr>
                <w:rFonts w:asciiTheme="minorHAnsi" w:hAnsiTheme="minorHAnsi" w:cstheme="minorBidi"/>
                <w:color w:val="000000"/>
                <w:sz w:val="18"/>
                <w:szCs w:val="18"/>
              </w:rPr>
              <w:t xml:space="preserve">uptake of biosimilar prescribing for treatment-naïve patients. The PBAC considered that the application of </w:t>
            </w:r>
            <w:r w:rsidR="00D35D6D">
              <w:rPr>
                <w:rFonts w:asciiTheme="minorHAnsi" w:hAnsiTheme="minorHAnsi" w:cstheme="minorBidi"/>
                <w:color w:val="000000"/>
                <w:sz w:val="18"/>
                <w:szCs w:val="18"/>
              </w:rPr>
              <w:t xml:space="preserve">that </w:t>
            </w:r>
            <w:r w:rsidRPr="009A0993">
              <w:rPr>
                <w:rFonts w:asciiTheme="minorHAnsi" w:hAnsiTheme="minorHAnsi" w:cstheme="minorBidi"/>
                <w:color w:val="000000"/>
                <w:sz w:val="18"/>
                <w:szCs w:val="18"/>
              </w:rPr>
              <w:t xml:space="preserve">biosimilar uptake driver to </w:t>
            </w:r>
            <w:proofErr w:type="spellStart"/>
            <w:r w:rsidRPr="009A0993">
              <w:rPr>
                <w:rFonts w:asciiTheme="minorHAnsi" w:hAnsiTheme="minorHAnsi" w:cstheme="minorBidi"/>
                <w:color w:val="000000"/>
                <w:sz w:val="18"/>
                <w:szCs w:val="18"/>
              </w:rPr>
              <w:t>Afqlir</w:t>
            </w:r>
            <w:proofErr w:type="spellEnd"/>
            <w:r w:rsidRPr="009A0993">
              <w:rPr>
                <w:rFonts w:asciiTheme="minorHAnsi" w:hAnsiTheme="minorHAnsi" w:cstheme="minorBidi"/>
                <w:color w:val="000000"/>
                <w:sz w:val="18"/>
                <w:szCs w:val="18"/>
              </w:rPr>
              <w:t xml:space="preserve"> and </w:t>
            </w:r>
            <w:proofErr w:type="spellStart"/>
            <w:r w:rsidRPr="009A0993">
              <w:rPr>
                <w:rFonts w:asciiTheme="minorHAnsi" w:hAnsiTheme="minorHAnsi" w:cstheme="minorBidi"/>
                <w:color w:val="000000"/>
                <w:sz w:val="18"/>
                <w:szCs w:val="18"/>
              </w:rPr>
              <w:t>Enzeevu</w:t>
            </w:r>
            <w:proofErr w:type="spellEnd"/>
            <w:r w:rsidRPr="009A0993">
              <w:rPr>
                <w:rFonts w:asciiTheme="minorHAnsi" w:hAnsiTheme="minorHAnsi" w:cstheme="minorBidi"/>
                <w:color w:val="000000"/>
                <w:sz w:val="18"/>
                <w:szCs w:val="18"/>
              </w:rPr>
              <w:t xml:space="preserve"> would be clinically appropriate and would not impact cost-effectiveness. </w:t>
            </w:r>
          </w:p>
          <w:p w14:paraId="6E06C825" w14:textId="7FCBEB3D" w:rsidR="00405A09" w:rsidRPr="00E040AB" w:rsidDel="008F66B5" w:rsidRDefault="00405A09" w:rsidP="00DC3166">
            <w:pPr>
              <w:jc w:val="both"/>
              <w:rPr>
                <w:rFonts w:asciiTheme="minorHAnsi" w:hAnsiTheme="minorHAnsi" w:cstheme="minorBidi"/>
                <w:color w:val="000000"/>
                <w:sz w:val="18"/>
                <w:szCs w:val="18"/>
                <w:lang w:val="en-GB"/>
              </w:rPr>
            </w:pPr>
          </w:p>
        </w:tc>
      </w:tr>
      <w:tr w:rsidR="00405A09" w:rsidRPr="008059F4" w:rsidDel="008F66B5" w14:paraId="4FFCA2D9" w14:textId="6E3CFFEB" w:rsidTr="09589B60">
        <w:trPr>
          <w:cantSplit/>
          <w:trHeight w:val="2948"/>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EEE577F" w14:textId="77777777" w:rsidR="00640434" w:rsidRPr="006A5A05" w:rsidRDefault="00405A09" w:rsidP="00DC3166">
            <w:pPr>
              <w:jc w:val="center"/>
              <w:rPr>
                <w:rFonts w:asciiTheme="minorHAnsi" w:eastAsia="Calibri" w:hAnsiTheme="minorHAnsi" w:cstheme="minorHAnsi"/>
                <w:color w:val="000000" w:themeColor="text1"/>
                <w:sz w:val="18"/>
                <w:szCs w:val="18"/>
              </w:rPr>
            </w:pPr>
            <w:r w:rsidRPr="006A5A05">
              <w:rPr>
                <w:rFonts w:asciiTheme="minorHAnsi" w:hAnsiTheme="minorHAnsi" w:cstheme="minorHAnsi"/>
                <w:color w:val="000000"/>
                <w:sz w:val="18"/>
                <w:szCs w:val="18"/>
              </w:rPr>
              <w:t>APOMORPHINE</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Injection containing apomorphine hydrochloride hemihydrate 100 mg in 20 mL</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r>
            <w:proofErr w:type="spellStart"/>
            <w:r w:rsidRPr="006A5A05">
              <w:rPr>
                <w:rFonts w:asciiTheme="minorHAnsi" w:hAnsiTheme="minorHAnsi" w:cstheme="minorHAnsi"/>
                <w:color w:val="000000"/>
                <w:sz w:val="18"/>
                <w:szCs w:val="18"/>
              </w:rPr>
              <w:t>Movapo</w:t>
            </w:r>
            <w:proofErr w:type="spellEnd"/>
            <w:r w:rsidRPr="006A5A05">
              <w:rPr>
                <w:rFonts w:asciiTheme="minorHAnsi" w:hAnsiTheme="minorHAnsi" w:cstheme="minorHAnsi"/>
                <w:color w:val="000000"/>
                <w:sz w:val="18"/>
                <w:szCs w:val="18"/>
                <w:vertAlign w:val="superscript"/>
              </w:rPr>
              <w:t>®</w:t>
            </w:r>
            <w:r w:rsidRPr="006A5A05">
              <w:rPr>
                <w:rFonts w:asciiTheme="minorHAnsi" w:hAnsiTheme="minorHAnsi" w:cstheme="minorHAnsi"/>
                <w:color w:val="000000"/>
                <w:sz w:val="18"/>
                <w:szCs w:val="18"/>
              </w:rPr>
              <w:t xml:space="preserve"> POD</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STADA PHARMACEUTICALS AUSTRALIA PTY LIMITED</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r>
          </w:p>
          <w:p w14:paraId="54106F93" w14:textId="0A745934" w:rsidR="00B167B7" w:rsidRPr="006A5A05" w:rsidRDefault="00640434" w:rsidP="00DC3166">
            <w:pPr>
              <w:jc w:val="center"/>
              <w:rPr>
                <w:rFonts w:asciiTheme="minorHAnsi" w:eastAsia="Calibri" w:hAnsiTheme="minorHAnsi" w:cstheme="minorHAnsi"/>
                <w:color w:val="000000" w:themeColor="text1"/>
                <w:sz w:val="18"/>
                <w:szCs w:val="18"/>
              </w:rPr>
            </w:pPr>
            <w:r w:rsidRPr="00640434">
              <w:rPr>
                <w:rFonts w:asciiTheme="minorHAnsi" w:eastAsia="Calibri" w:hAnsiTheme="minorHAnsi" w:cstheme="minorHAnsi"/>
                <w:color w:val="000000" w:themeColor="text1"/>
                <w:sz w:val="18"/>
                <w:szCs w:val="18"/>
              </w:rPr>
              <w:t>Committee secretariat</w:t>
            </w:r>
          </w:p>
          <w:p w14:paraId="582A49A2" w14:textId="673665B4" w:rsidR="00405A09" w:rsidRPr="006A5A05" w:rsidRDefault="00405A09"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vAlign w:val="center"/>
          </w:tcPr>
          <w:p w14:paraId="208166A4" w14:textId="03A75B65" w:rsidR="00405A09" w:rsidRPr="006A5A05" w:rsidRDefault="00405A09"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Parkinson disease</w:t>
            </w:r>
          </w:p>
        </w:tc>
        <w:tc>
          <w:tcPr>
            <w:tcW w:w="29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5F05350" w14:textId="7D72E945" w:rsidR="00405A09" w:rsidRPr="006A5A05" w:rsidRDefault="007D5AEC" w:rsidP="00DC3166">
            <w:pPr>
              <w:jc w:val="center"/>
              <w:rPr>
                <w:rFonts w:asciiTheme="minorHAnsi" w:hAnsiTheme="minorHAnsi" w:cstheme="minorHAnsi"/>
                <w:sz w:val="18"/>
                <w:szCs w:val="18"/>
              </w:rPr>
            </w:pPr>
            <w:r w:rsidRPr="007D5AEC">
              <w:rPr>
                <w:rFonts w:asciiTheme="minorHAnsi" w:hAnsiTheme="minorHAnsi" w:cstheme="minorHAnsi"/>
                <w:color w:val="000000"/>
                <w:sz w:val="18"/>
                <w:szCs w:val="18"/>
              </w:rPr>
              <w:t xml:space="preserve">To request General Schedule Authority Required (STREAMLINED) and Section 100 (Highly Specialised Drugs Program) Authority Required (STREAMLINED) listings of </w:t>
            </w:r>
            <w:proofErr w:type="spellStart"/>
            <w:r w:rsidRPr="007D5AEC">
              <w:rPr>
                <w:rFonts w:asciiTheme="minorHAnsi" w:hAnsiTheme="minorHAnsi" w:cstheme="minorHAnsi"/>
                <w:color w:val="000000"/>
                <w:sz w:val="18"/>
                <w:szCs w:val="18"/>
              </w:rPr>
              <w:t>Movapo</w:t>
            </w:r>
            <w:proofErr w:type="spellEnd"/>
            <w:r w:rsidRPr="007D5AEC">
              <w:rPr>
                <w:rFonts w:asciiTheme="minorHAnsi" w:hAnsiTheme="minorHAnsi" w:cstheme="minorHAnsi"/>
                <w:color w:val="000000"/>
                <w:sz w:val="18"/>
                <w:szCs w:val="18"/>
              </w:rPr>
              <w:t xml:space="preserve">® POD, administered via an infusion pump with a collar attachment, under the same circumstances as </w:t>
            </w:r>
            <w:proofErr w:type="spellStart"/>
            <w:r w:rsidRPr="007D5AEC">
              <w:rPr>
                <w:rFonts w:asciiTheme="minorHAnsi" w:hAnsiTheme="minorHAnsi" w:cstheme="minorHAnsi"/>
                <w:color w:val="000000"/>
                <w:sz w:val="18"/>
                <w:szCs w:val="18"/>
              </w:rPr>
              <w:t>Apomine</w:t>
            </w:r>
            <w:proofErr w:type="spellEnd"/>
            <w:r w:rsidRPr="007D5AEC">
              <w:rPr>
                <w:rFonts w:asciiTheme="minorHAnsi" w:hAnsiTheme="minorHAnsi" w:cstheme="minorHAnsi"/>
                <w:color w:val="000000"/>
                <w:sz w:val="18"/>
                <w:szCs w:val="18"/>
              </w:rPr>
              <w:t xml:space="preserve"> Solution for Infusion for the treatment of Parkinson's disease.</w:t>
            </w:r>
          </w:p>
        </w:tc>
        <w:tc>
          <w:tcPr>
            <w:tcW w:w="1584" w:type="dxa"/>
            <w:vAlign w:val="center"/>
          </w:tcPr>
          <w:p w14:paraId="700BE01A" w14:textId="3BBA0B9C" w:rsidR="00405A09" w:rsidRPr="006A5A05" w:rsidDel="008F66B5" w:rsidRDefault="004360C4" w:rsidP="00DC3166">
            <w:pPr>
              <w:pStyle w:val="ListParagraph"/>
              <w:keepLines/>
              <w:ind w:left="0"/>
              <w:jc w:val="center"/>
              <w:rPr>
                <w:rFonts w:asciiTheme="minorHAnsi" w:hAnsiTheme="minorHAnsi" w:cstheme="minorHAnsi"/>
                <w:color w:val="000000"/>
                <w:sz w:val="18"/>
                <w:szCs w:val="18"/>
              </w:rPr>
            </w:pPr>
            <w:r w:rsidRPr="004360C4">
              <w:rPr>
                <w:rFonts w:asciiTheme="minorHAnsi" w:hAnsiTheme="minorHAnsi" w:cstheme="minorHAnsi"/>
                <w:color w:val="000000"/>
                <w:sz w:val="18"/>
                <w:szCs w:val="18"/>
              </w:rPr>
              <w:t>Recommended</w:t>
            </w:r>
          </w:p>
        </w:tc>
        <w:tc>
          <w:tcPr>
            <w:tcW w:w="4836" w:type="dxa"/>
          </w:tcPr>
          <w:p w14:paraId="5C5D48D7" w14:textId="77777777" w:rsidR="005F65D4" w:rsidRPr="005F65D4" w:rsidRDefault="005F65D4" w:rsidP="00DC3166">
            <w:pPr>
              <w:jc w:val="both"/>
              <w:rPr>
                <w:rFonts w:asciiTheme="minorHAnsi" w:hAnsiTheme="minorHAnsi" w:cstheme="minorBidi"/>
                <w:color w:val="000000"/>
                <w:sz w:val="18"/>
                <w:szCs w:val="18"/>
              </w:rPr>
            </w:pPr>
            <w:r w:rsidRPr="005F65D4">
              <w:rPr>
                <w:rFonts w:asciiTheme="minorHAnsi" w:hAnsiTheme="minorHAnsi" w:cstheme="minorBidi"/>
                <w:color w:val="000000"/>
                <w:sz w:val="18"/>
                <w:szCs w:val="18"/>
              </w:rPr>
              <w:t xml:space="preserve">The PBAC recommended the listing of apomorphine (injection containing apomorphine hydrochloride hemihydrate 100 mg in 20 mL; </w:t>
            </w:r>
            <w:proofErr w:type="spellStart"/>
            <w:r w:rsidRPr="005F65D4">
              <w:rPr>
                <w:rFonts w:asciiTheme="minorHAnsi" w:hAnsiTheme="minorHAnsi" w:cstheme="minorBidi"/>
                <w:color w:val="000000"/>
                <w:sz w:val="18"/>
                <w:szCs w:val="18"/>
              </w:rPr>
              <w:t>Movapo</w:t>
            </w:r>
            <w:proofErr w:type="spellEnd"/>
            <w:r w:rsidRPr="005F65D4">
              <w:rPr>
                <w:rFonts w:asciiTheme="minorHAnsi" w:hAnsiTheme="minorHAnsi" w:cstheme="minorBidi"/>
                <w:color w:val="000000"/>
                <w:sz w:val="18"/>
                <w:szCs w:val="18"/>
              </w:rPr>
              <w:t xml:space="preserve"> POD) under the same circumstances as apomorphine hydrochloride hemihydrate 100 mg/20 mL injection currently listed on the PBS (</w:t>
            </w:r>
            <w:proofErr w:type="spellStart"/>
            <w:r w:rsidRPr="005F65D4">
              <w:rPr>
                <w:rFonts w:asciiTheme="minorHAnsi" w:hAnsiTheme="minorHAnsi" w:cstheme="minorBidi"/>
                <w:color w:val="000000"/>
                <w:sz w:val="18"/>
                <w:szCs w:val="18"/>
              </w:rPr>
              <w:t>Apomine</w:t>
            </w:r>
            <w:proofErr w:type="spellEnd"/>
            <w:r w:rsidRPr="005F65D4">
              <w:rPr>
                <w:rFonts w:asciiTheme="minorHAnsi" w:hAnsiTheme="minorHAnsi" w:cstheme="minorBidi"/>
                <w:color w:val="000000"/>
                <w:sz w:val="18"/>
                <w:szCs w:val="18"/>
              </w:rPr>
              <w:t xml:space="preserve"> Solution for Infusion), for the treatment of Parkinson disease. The PBAC recommended listing </w:t>
            </w:r>
            <w:proofErr w:type="spellStart"/>
            <w:r w:rsidRPr="005F65D4">
              <w:rPr>
                <w:rFonts w:asciiTheme="minorHAnsi" w:hAnsiTheme="minorHAnsi" w:cstheme="minorBidi"/>
                <w:color w:val="000000"/>
                <w:sz w:val="18"/>
                <w:szCs w:val="18"/>
              </w:rPr>
              <w:t>Movapo</w:t>
            </w:r>
            <w:proofErr w:type="spellEnd"/>
            <w:r w:rsidRPr="005F65D4">
              <w:rPr>
                <w:rFonts w:asciiTheme="minorHAnsi" w:hAnsiTheme="minorHAnsi" w:cstheme="minorBidi"/>
                <w:color w:val="000000"/>
                <w:sz w:val="18"/>
                <w:szCs w:val="18"/>
              </w:rPr>
              <w:t xml:space="preserve"> Pod on a cost-minimisation basis to </w:t>
            </w:r>
            <w:proofErr w:type="spellStart"/>
            <w:r w:rsidRPr="005F65D4">
              <w:rPr>
                <w:rFonts w:asciiTheme="minorHAnsi" w:hAnsiTheme="minorHAnsi" w:cstheme="minorBidi"/>
                <w:color w:val="000000"/>
                <w:sz w:val="18"/>
                <w:szCs w:val="18"/>
              </w:rPr>
              <w:t>Apomine</w:t>
            </w:r>
            <w:proofErr w:type="spellEnd"/>
            <w:r w:rsidRPr="005F65D4">
              <w:rPr>
                <w:rFonts w:asciiTheme="minorHAnsi" w:hAnsiTheme="minorHAnsi" w:cstheme="minorBidi"/>
                <w:color w:val="000000"/>
                <w:sz w:val="18"/>
                <w:szCs w:val="18"/>
              </w:rPr>
              <w:t xml:space="preserve"> Solution for Infusion, and advised the equi-effective doses to be 1 mg </w:t>
            </w:r>
            <w:proofErr w:type="spellStart"/>
            <w:r w:rsidRPr="005F65D4">
              <w:rPr>
                <w:rFonts w:asciiTheme="minorHAnsi" w:hAnsiTheme="minorHAnsi" w:cstheme="minorBidi"/>
                <w:color w:val="000000"/>
                <w:sz w:val="18"/>
                <w:szCs w:val="18"/>
              </w:rPr>
              <w:t>Movapo</w:t>
            </w:r>
            <w:proofErr w:type="spellEnd"/>
            <w:r w:rsidRPr="005F65D4">
              <w:rPr>
                <w:rFonts w:asciiTheme="minorHAnsi" w:hAnsiTheme="minorHAnsi" w:cstheme="minorBidi"/>
                <w:color w:val="000000"/>
                <w:sz w:val="18"/>
                <w:szCs w:val="18"/>
              </w:rPr>
              <w:t xml:space="preserve"> POD = 1 mg </w:t>
            </w:r>
            <w:proofErr w:type="spellStart"/>
            <w:r w:rsidRPr="005F65D4">
              <w:rPr>
                <w:rFonts w:asciiTheme="minorHAnsi" w:hAnsiTheme="minorHAnsi" w:cstheme="minorBidi"/>
                <w:color w:val="000000"/>
                <w:sz w:val="18"/>
                <w:szCs w:val="18"/>
              </w:rPr>
              <w:t>Apomine</w:t>
            </w:r>
            <w:proofErr w:type="spellEnd"/>
            <w:r w:rsidRPr="005F65D4">
              <w:rPr>
                <w:rFonts w:asciiTheme="minorHAnsi" w:hAnsiTheme="minorHAnsi" w:cstheme="minorBidi"/>
                <w:color w:val="000000"/>
                <w:sz w:val="18"/>
                <w:szCs w:val="18"/>
              </w:rPr>
              <w:t xml:space="preserve"> Solution for Infusion. </w:t>
            </w:r>
          </w:p>
          <w:p w14:paraId="12A145BA" w14:textId="26E135AB" w:rsidR="00405A09" w:rsidRPr="00F03408" w:rsidDel="008F66B5" w:rsidRDefault="00405A09" w:rsidP="00DC3166">
            <w:pPr>
              <w:jc w:val="both"/>
              <w:rPr>
                <w:rFonts w:asciiTheme="minorHAnsi" w:hAnsiTheme="minorHAnsi" w:cstheme="minorBidi"/>
                <w:color w:val="000000"/>
                <w:sz w:val="18"/>
                <w:szCs w:val="18"/>
              </w:rPr>
            </w:pPr>
          </w:p>
        </w:tc>
      </w:tr>
      <w:tr w:rsidR="00405A09" w:rsidRPr="008059F4" w:rsidDel="008F66B5" w14:paraId="160A6F61" w14:textId="452A0DD4" w:rsidTr="09589B60">
        <w:trPr>
          <w:cantSplit/>
          <w:trHeight w:val="2948"/>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009D0DA" w14:textId="1861D7CB" w:rsidR="00B167B7" w:rsidRPr="006A5A05" w:rsidRDefault="00405A09" w:rsidP="00DC3166">
            <w:pPr>
              <w:jc w:val="center"/>
              <w:rPr>
                <w:rFonts w:asciiTheme="minorHAnsi" w:eastAsia="Calibri" w:hAnsiTheme="minorHAnsi" w:cstheme="minorHAnsi"/>
                <w:color w:val="000000" w:themeColor="text1"/>
                <w:sz w:val="18"/>
                <w:szCs w:val="18"/>
              </w:rPr>
            </w:pPr>
            <w:r w:rsidRPr="006A5A05">
              <w:rPr>
                <w:rFonts w:asciiTheme="minorHAnsi" w:hAnsiTheme="minorHAnsi" w:cstheme="minorHAnsi"/>
                <w:color w:val="000000"/>
                <w:sz w:val="18"/>
                <w:szCs w:val="18"/>
              </w:rPr>
              <w:t>ARIPIPRAZOLE</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 xml:space="preserve">Powder for injection 300 mg (as monohydrate) with diluent in single dose pre-filled syringe </w:t>
            </w:r>
            <w:r w:rsidRPr="006A5A05">
              <w:rPr>
                <w:rFonts w:asciiTheme="minorHAnsi" w:hAnsiTheme="minorHAnsi" w:cstheme="minorHAnsi"/>
                <w:color w:val="000000"/>
                <w:sz w:val="18"/>
                <w:szCs w:val="18"/>
              </w:rPr>
              <w:br/>
              <w:t xml:space="preserve">Powder for injection 400 mg (as monohydrate) with diluent in single dose pre-filled syringe </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Abilify Maintena</w:t>
            </w:r>
            <w:r w:rsidRPr="006A5A05">
              <w:rPr>
                <w:rFonts w:asciiTheme="minorHAnsi" w:hAnsiTheme="minorHAnsi" w:cstheme="minorHAnsi"/>
                <w:color w:val="000000"/>
                <w:sz w:val="18"/>
                <w:szCs w:val="18"/>
                <w:vertAlign w:val="superscript"/>
              </w:rPr>
              <w:t>®</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LUNDBECK AUSTRALIA PTY LTD</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r>
            <w:r w:rsidR="00B167B7" w:rsidRPr="006A5A05">
              <w:rPr>
                <w:rFonts w:asciiTheme="minorHAnsi" w:eastAsia="Calibri" w:hAnsiTheme="minorHAnsi" w:cstheme="minorHAnsi"/>
                <w:color w:val="000000" w:themeColor="text1"/>
                <w:sz w:val="18"/>
                <w:szCs w:val="18"/>
              </w:rPr>
              <w:t xml:space="preserve">Category </w:t>
            </w:r>
            <w:r w:rsidR="00403A91">
              <w:rPr>
                <w:rFonts w:asciiTheme="minorHAnsi" w:eastAsia="Calibri" w:hAnsiTheme="minorHAnsi" w:cstheme="minorHAnsi"/>
                <w:color w:val="000000" w:themeColor="text1"/>
                <w:sz w:val="18"/>
                <w:szCs w:val="18"/>
              </w:rPr>
              <w:t>4</w:t>
            </w:r>
          </w:p>
          <w:p w14:paraId="21908999" w14:textId="3C8849C5" w:rsidR="00405A09" w:rsidRPr="006A5A05" w:rsidRDefault="00405A09"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vAlign w:val="center"/>
          </w:tcPr>
          <w:p w14:paraId="2BF07BA0" w14:textId="2E3123B0" w:rsidR="00405A09" w:rsidRPr="006A5A05" w:rsidRDefault="00405A09"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Schizophrenia</w:t>
            </w:r>
          </w:p>
        </w:tc>
        <w:tc>
          <w:tcPr>
            <w:tcW w:w="29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6015281" w14:textId="7932D563" w:rsidR="00405A09" w:rsidRPr="006A5A05" w:rsidRDefault="00405A09"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To request General Schedule Authority Required (STREAMLINED) listings of two new forms for the treatment of schizophrenia.</w:t>
            </w:r>
          </w:p>
        </w:tc>
        <w:tc>
          <w:tcPr>
            <w:tcW w:w="1584" w:type="dxa"/>
            <w:vAlign w:val="center"/>
          </w:tcPr>
          <w:p w14:paraId="2FEF30D2" w14:textId="300B9083" w:rsidR="00405A09" w:rsidRPr="006A5A05" w:rsidDel="008F66B5" w:rsidRDefault="00DF3F7B" w:rsidP="00DC3166">
            <w:pPr>
              <w:pStyle w:val="ListParagraph"/>
              <w:keepLines/>
              <w:ind w:left="0"/>
              <w:jc w:val="center"/>
              <w:rPr>
                <w:rFonts w:asciiTheme="minorHAnsi" w:hAnsiTheme="minorHAnsi" w:cstheme="minorHAnsi"/>
                <w:color w:val="000000"/>
                <w:sz w:val="18"/>
                <w:szCs w:val="18"/>
              </w:rPr>
            </w:pPr>
            <w:r w:rsidRPr="00DF3F7B">
              <w:rPr>
                <w:rFonts w:asciiTheme="minorHAnsi" w:hAnsiTheme="minorHAnsi" w:cstheme="minorHAnsi"/>
                <w:color w:val="000000"/>
                <w:sz w:val="18"/>
                <w:szCs w:val="18"/>
              </w:rPr>
              <w:t>Recommended</w:t>
            </w:r>
          </w:p>
        </w:tc>
        <w:tc>
          <w:tcPr>
            <w:tcW w:w="4836" w:type="dxa"/>
          </w:tcPr>
          <w:p w14:paraId="0630B7DE" w14:textId="78F8E3E3" w:rsidR="00405A09" w:rsidRPr="00F03408" w:rsidDel="008F66B5" w:rsidRDefault="00354FF0" w:rsidP="00DC3166">
            <w:pPr>
              <w:jc w:val="both"/>
              <w:rPr>
                <w:rFonts w:asciiTheme="minorHAnsi" w:hAnsiTheme="minorHAnsi" w:cstheme="minorBidi"/>
                <w:color w:val="000000"/>
                <w:sz w:val="18"/>
                <w:szCs w:val="18"/>
              </w:rPr>
            </w:pPr>
            <w:r w:rsidRPr="00354FF0">
              <w:rPr>
                <w:rFonts w:asciiTheme="minorHAnsi" w:hAnsiTheme="minorHAnsi" w:cstheme="minorBidi"/>
                <w:color w:val="000000"/>
                <w:sz w:val="18"/>
                <w:szCs w:val="18"/>
              </w:rPr>
              <w:t>The PBAC recommended the General Schedule Authority Required (STREAMLINED) listing of a new pre-filled syringe (PFS) dose form of aripiprazole in both 300 mg and 400 mg (once-monthly) strengths</w:t>
            </w:r>
            <w:r w:rsidR="0004015A">
              <w:rPr>
                <w:rFonts w:asciiTheme="minorHAnsi" w:hAnsiTheme="minorHAnsi" w:cstheme="minorBidi"/>
                <w:color w:val="000000"/>
                <w:sz w:val="18"/>
                <w:szCs w:val="18"/>
              </w:rPr>
              <w:t xml:space="preserve"> (AOM PFS)</w:t>
            </w:r>
            <w:r w:rsidRPr="00354FF0">
              <w:rPr>
                <w:rFonts w:asciiTheme="minorHAnsi" w:hAnsiTheme="minorHAnsi" w:cstheme="minorBidi"/>
                <w:color w:val="000000"/>
                <w:sz w:val="18"/>
                <w:szCs w:val="18"/>
              </w:rPr>
              <w:t xml:space="preserve"> for the treatment of schizophrenia, under the same listing circumstances as the currently listed aripiprazole 300 mg and 400 mg vial kit form, on a cost-minimisation basis. The PBAC considered the equi-effective doses as 300 mg AOM PFS and 300 mg AOM vial kit, and 400 mg AOM PFS and 400 mg AOM vial kit. The PBAC considered that the vial kit and PFS should not be considered equivalent for the purposes of substitution.</w:t>
            </w:r>
          </w:p>
        </w:tc>
      </w:tr>
      <w:tr w:rsidR="00405A09" w:rsidRPr="008059F4" w:rsidDel="008F66B5" w14:paraId="7750751C" w14:textId="047CD90A" w:rsidTr="00B66CFE">
        <w:trPr>
          <w:trHeight w:val="3422"/>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2070B43" w14:textId="4CD75565" w:rsidR="00B167B7" w:rsidRPr="006A5A05" w:rsidRDefault="00405A09" w:rsidP="00DC3166">
            <w:pPr>
              <w:jc w:val="center"/>
              <w:rPr>
                <w:rFonts w:asciiTheme="minorHAnsi" w:eastAsia="Calibri" w:hAnsiTheme="minorHAnsi" w:cstheme="minorHAnsi"/>
                <w:color w:val="000000" w:themeColor="text1"/>
                <w:sz w:val="18"/>
                <w:szCs w:val="18"/>
              </w:rPr>
            </w:pPr>
            <w:r w:rsidRPr="00F657EC">
              <w:rPr>
                <w:rFonts w:asciiTheme="minorHAnsi" w:hAnsiTheme="minorHAnsi" w:cstheme="minorHAnsi"/>
                <w:color w:val="000000"/>
                <w:sz w:val="18"/>
                <w:szCs w:val="18"/>
              </w:rPr>
              <w:t>BRENTUXIMAB VEDOTIN</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Powder for I.V. infusion 50 mg</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r>
            <w:proofErr w:type="spellStart"/>
            <w:r w:rsidRPr="006A5A05">
              <w:rPr>
                <w:rFonts w:asciiTheme="minorHAnsi" w:hAnsiTheme="minorHAnsi" w:cstheme="minorHAnsi"/>
                <w:color w:val="000000"/>
                <w:sz w:val="18"/>
                <w:szCs w:val="18"/>
              </w:rPr>
              <w:t>Adcetris</w:t>
            </w:r>
            <w:proofErr w:type="spellEnd"/>
            <w:r w:rsidRPr="006A5A05">
              <w:rPr>
                <w:rFonts w:asciiTheme="minorHAnsi" w:hAnsiTheme="minorHAnsi" w:cstheme="minorHAnsi"/>
                <w:color w:val="000000"/>
                <w:sz w:val="18"/>
                <w:szCs w:val="18"/>
                <w:vertAlign w:val="superscript"/>
              </w:rPr>
              <w:t>®</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TAKEDA PHARMACEUTICALS AUSTRALIA PTY. LTD.</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w:t>
            </w:r>
            <w:r w:rsidR="004D14C8">
              <w:rPr>
                <w:rFonts w:asciiTheme="minorHAnsi" w:eastAsia="Calibri" w:hAnsiTheme="minorHAnsi" w:cstheme="minorHAnsi"/>
                <w:color w:val="000000" w:themeColor="text1"/>
                <w:sz w:val="18"/>
                <w:szCs w:val="18"/>
              </w:rPr>
              <w:t>Standard re-entry</w:t>
            </w:r>
          </w:p>
          <w:p w14:paraId="66738803" w14:textId="0347C9A2" w:rsidR="00405A09" w:rsidRPr="006A5A05" w:rsidRDefault="00405A09"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Change to existing listing)</w:t>
            </w:r>
          </w:p>
        </w:tc>
        <w:tc>
          <w:tcPr>
            <w:tcW w:w="2767" w:type="dxa"/>
            <w:tcBorders>
              <w:top w:val="single" w:sz="4" w:space="0" w:color="auto"/>
              <w:left w:val="single" w:sz="4" w:space="0" w:color="auto"/>
              <w:bottom w:val="single" w:sz="4" w:space="0" w:color="auto"/>
              <w:right w:val="single" w:sz="4" w:space="0" w:color="auto"/>
            </w:tcBorders>
            <w:vAlign w:val="center"/>
          </w:tcPr>
          <w:p w14:paraId="0D951847" w14:textId="004BEE39" w:rsidR="00405A09" w:rsidRPr="006A5A05" w:rsidRDefault="00405A09"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Hodgkin lymphoma</w:t>
            </w:r>
          </w:p>
        </w:tc>
        <w:tc>
          <w:tcPr>
            <w:tcW w:w="29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14732B8" w14:textId="7BFEACFC" w:rsidR="00405A09" w:rsidRPr="006A5A05" w:rsidRDefault="00405A09"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Resubmission to request a Section 100 (Efficient Funding of Chemotherapy) Authority Required (Written) listing for the first line treatment of advanced Hodgkin lymphoma in combination with chemotherapy.</w:t>
            </w:r>
          </w:p>
        </w:tc>
        <w:tc>
          <w:tcPr>
            <w:tcW w:w="1584" w:type="dxa"/>
            <w:tcBorders>
              <w:top w:val="single" w:sz="4" w:space="0" w:color="auto"/>
              <w:left w:val="single" w:sz="4" w:space="0" w:color="auto"/>
              <w:bottom w:val="single" w:sz="4" w:space="0" w:color="auto"/>
              <w:right w:val="single" w:sz="4" w:space="0" w:color="auto"/>
            </w:tcBorders>
            <w:vAlign w:val="center"/>
          </w:tcPr>
          <w:p w14:paraId="0F059B89" w14:textId="5FC98E3D" w:rsidR="00405A09" w:rsidRPr="006A5A05" w:rsidDel="008F66B5" w:rsidRDefault="0029433D" w:rsidP="00DC3166">
            <w:pPr>
              <w:pStyle w:val="ListParagraph"/>
              <w:keepLines/>
              <w:ind w:left="0"/>
              <w:jc w:val="center"/>
              <w:rPr>
                <w:rFonts w:asciiTheme="minorHAnsi" w:hAnsiTheme="minorHAnsi" w:cstheme="minorHAnsi"/>
                <w:color w:val="000000"/>
                <w:sz w:val="18"/>
                <w:szCs w:val="18"/>
              </w:rPr>
            </w:pPr>
            <w:r w:rsidRPr="0029433D">
              <w:rPr>
                <w:rFonts w:asciiTheme="minorHAnsi" w:hAnsiTheme="minorHAnsi" w:cstheme="minorHAnsi"/>
                <w:color w:val="000000"/>
                <w:sz w:val="18"/>
                <w:szCs w:val="18"/>
              </w:rPr>
              <w:t>Recommended</w:t>
            </w:r>
          </w:p>
        </w:tc>
        <w:tc>
          <w:tcPr>
            <w:tcW w:w="4836" w:type="dxa"/>
            <w:tcBorders>
              <w:top w:val="single" w:sz="4" w:space="0" w:color="auto"/>
              <w:left w:val="single" w:sz="4" w:space="0" w:color="auto"/>
              <w:bottom w:val="single" w:sz="4" w:space="0" w:color="auto"/>
              <w:right w:val="single" w:sz="4" w:space="0" w:color="auto"/>
            </w:tcBorders>
            <w:vAlign w:val="center"/>
          </w:tcPr>
          <w:p w14:paraId="1A315C18" w14:textId="77777777" w:rsidR="0096050C" w:rsidRDefault="00072547" w:rsidP="00DC3166">
            <w:pPr>
              <w:jc w:val="both"/>
              <w:rPr>
                <w:rFonts w:asciiTheme="minorHAnsi" w:hAnsiTheme="minorHAnsi" w:cstheme="minorHAnsi"/>
                <w:color w:val="000000"/>
                <w:sz w:val="18"/>
                <w:szCs w:val="18"/>
              </w:rPr>
            </w:pPr>
            <w:r w:rsidRPr="00072547">
              <w:rPr>
                <w:rFonts w:asciiTheme="minorHAnsi" w:hAnsiTheme="minorHAnsi" w:cstheme="minorHAnsi"/>
                <w:color w:val="000000"/>
                <w:sz w:val="18"/>
                <w:szCs w:val="18"/>
              </w:rPr>
              <w:t xml:space="preserve">The PBAC recommended the </w:t>
            </w:r>
            <w:r w:rsidRPr="00072547">
              <w:rPr>
                <w:rFonts w:asciiTheme="minorHAnsi" w:hAnsiTheme="minorHAnsi" w:cstheme="minorHAnsi"/>
                <w:color w:val="000000"/>
                <w:sz w:val="18"/>
                <w:szCs w:val="18"/>
                <w:lang w:val="en-GB"/>
              </w:rPr>
              <w:t>listing of brentuximab vedotin in combination with doxorubicin, vinblastine and dacarbazine (A+AVD) for the first-line treatment of advanced Hodgkin lymphoma</w:t>
            </w:r>
            <w:r w:rsidRPr="00072547">
              <w:rPr>
                <w:rFonts w:asciiTheme="minorHAnsi" w:hAnsiTheme="minorHAnsi" w:cstheme="minorHAnsi"/>
                <w:color w:val="000000"/>
                <w:sz w:val="18"/>
                <w:szCs w:val="18"/>
              </w:rPr>
              <w:t xml:space="preserve">. </w:t>
            </w:r>
          </w:p>
          <w:p w14:paraId="291423E1" w14:textId="77777777" w:rsidR="0096050C" w:rsidRDefault="0096050C" w:rsidP="00DC3166">
            <w:pPr>
              <w:jc w:val="both"/>
              <w:rPr>
                <w:rFonts w:asciiTheme="minorHAnsi" w:hAnsiTheme="minorHAnsi" w:cstheme="minorHAnsi"/>
                <w:color w:val="000000"/>
                <w:sz w:val="18"/>
                <w:szCs w:val="18"/>
              </w:rPr>
            </w:pPr>
          </w:p>
          <w:p w14:paraId="441450C4" w14:textId="0C01BA9B" w:rsidR="0096050C" w:rsidRDefault="00072547" w:rsidP="00DC3166">
            <w:pPr>
              <w:jc w:val="both"/>
              <w:rPr>
                <w:rFonts w:asciiTheme="minorHAnsi" w:hAnsiTheme="minorHAnsi" w:cstheme="minorHAnsi"/>
                <w:color w:val="000000"/>
                <w:sz w:val="18"/>
                <w:szCs w:val="18"/>
              </w:rPr>
            </w:pPr>
            <w:r w:rsidRPr="00072547">
              <w:rPr>
                <w:rFonts w:asciiTheme="minorHAnsi" w:hAnsiTheme="minorHAnsi" w:cstheme="minorHAnsi"/>
                <w:color w:val="000000"/>
                <w:sz w:val="18"/>
                <w:szCs w:val="18"/>
              </w:rPr>
              <w:t>The PBAC welcomed input from clinicians and consumers, who shared their experiences with the side</w:t>
            </w:r>
            <w:r w:rsidR="00F20E43">
              <w:rPr>
                <w:rFonts w:asciiTheme="minorHAnsi" w:hAnsiTheme="minorHAnsi" w:cstheme="minorHAnsi"/>
                <w:color w:val="000000"/>
                <w:sz w:val="18"/>
                <w:szCs w:val="18"/>
              </w:rPr>
              <w:t xml:space="preserve"> </w:t>
            </w:r>
            <w:r w:rsidRPr="00072547">
              <w:rPr>
                <w:rFonts w:asciiTheme="minorHAnsi" w:hAnsiTheme="minorHAnsi" w:cstheme="minorHAnsi"/>
                <w:color w:val="000000"/>
                <w:sz w:val="18"/>
                <w:szCs w:val="18"/>
              </w:rPr>
              <w:t xml:space="preserve">effects of currently available treatments, and their concerns about the long-term toxicity of standard care. The PBAC acknowledged that it was important for more treatment options to be available. </w:t>
            </w:r>
          </w:p>
          <w:p w14:paraId="1D947F9A" w14:textId="77777777" w:rsidR="0096050C" w:rsidRDefault="0096050C" w:rsidP="00DC3166">
            <w:pPr>
              <w:jc w:val="both"/>
              <w:rPr>
                <w:rFonts w:asciiTheme="minorHAnsi" w:hAnsiTheme="minorHAnsi" w:cstheme="minorHAnsi"/>
                <w:color w:val="000000"/>
                <w:sz w:val="18"/>
                <w:szCs w:val="18"/>
                <w:lang w:val="en-GB"/>
              </w:rPr>
            </w:pPr>
          </w:p>
          <w:p w14:paraId="57DAE1F7" w14:textId="77777777" w:rsidR="001416B8" w:rsidRDefault="00072547" w:rsidP="00DC3166">
            <w:pPr>
              <w:jc w:val="both"/>
              <w:rPr>
                <w:rFonts w:asciiTheme="minorHAnsi" w:hAnsiTheme="minorHAnsi" w:cstheme="minorHAnsi"/>
                <w:color w:val="000000"/>
                <w:sz w:val="18"/>
                <w:szCs w:val="18"/>
                <w:lang w:val="en-GB"/>
              </w:rPr>
            </w:pPr>
            <w:r w:rsidRPr="00072547">
              <w:rPr>
                <w:rFonts w:asciiTheme="minorHAnsi" w:hAnsiTheme="minorHAnsi" w:cstheme="minorHAnsi"/>
                <w:color w:val="000000"/>
                <w:sz w:val="18"/>
                <w:szCs w:val="18"/>
                <w:lang w:val="en-GB"/>
              </w:rPr>
              <w:t xml:space="preserve">The PBAC was satisfied that A+AVD was more effective at preventing lymphoma progression and improving survival for some patients than the current standard of care in Australia (positron emission tomography (PET)-adapted doxorubicin, bleomycin, vinblastine and dacarbazine). The clinical evidence provided in the submission also showed that A+AVD was not as safe as the current standard of care, with patients who received A+AVD in the clinical trial experiencing more serious adverse events, or adverse events leading to dose modification. </w:t>
            </w:r>
          </w:p>
          <w:p w14:paraId="31A2A548" w14:textId="77777777" w:rsidR="001416B8" w:rsidRDefault="001416B8" w:rsidP="00DC3166">
            <w:pPr>
              <w:jc w:val="both"/>
              <w:rPr>
                <w:rFonts w:asciiTheme="minorHAnsi" w:hAnsiTheme="minorHAnsi" w:cstheme="minorHAnsi"/>
                <w:color w:val="000000"/>
                <w:sz w:val="18"/>
                <w:szCs w:val="18"/>
                <w:lang w:val="en-GB"/>
              </w:rPr>
            </w:pPr>
          </w:p>
          <w:p w14:paraId="2A3E1C5E" w14:textId="3EED471B" w:rsidR="00072547" w:rsidRPr="00072547" w:rsidRDefault="00072547" w:rsidP="00DC3166">
            <w:pPr>
              <w:jc w:val="both"/>
              <w:rPr>
                <w:rFonts w:asciiTheme="minorHAnsi" w:hAnsiTheme="minorHAnsi" w:cstheme="minorHAnsi"/>
                <w:color w:val="000000"/>
                <w:sz w:val="18"/>
                <w:szCs w:val="18"/>
              </w:rPr>
            </w:pPr>
            <w:r w:rsidRPr="00072547">
              <w:rPr>
                <w:rFonts w:asciiTheme="minorHAnsi" w:hAnsiTheme="minorHAnsi" w:cstheme="minorHAnsi"/>
                <w:color w:val="000000"/>
                <w:sz w:val="18"/>
                <w:szCs w:val="18"/>
                <w:lang w:val="en-GB"/>
              </w:rPr>
              <w:t xml:space="preserve">The PBAC however considered that more alternative treatment options were needed and noted input that A+AVAD has an alternative toxicity profile to currently available treatments that may make it more suitable for some patients. The PBAC considered that the resubmission had addressed the substantive outstanding issues identified at the March 2024 PBAC meeting </w:t>
            </w:r>
            <w:r w:rsidR="00F41112">
              <w:rPr>
                <w:rFonts w:asciiTheme="minorHAnsi" w:hAnsiTheme="minorHAnsi" w:cstheme="minorHAnsi"/>
                <w:color w:val="000000"/>
                <w:sz w:val="18"/>
                <w:szCs w:val="18"/>
                <w:lang w:val="en-GB"/>
              </w:rPr>
              <w:t>through its</w:t>
            </w:r>
            <w:r w:rsidRPr="00072547">
              <w:rPr>
                <w:rFonts w:asciiTheme="minorHAnsi" w:hAnsiTheme="minorHAnsi" w:cstheme="minorHAnsi"/>
                <w:color w:val="000000"/>
                <w:sz w:val="18"/>
                <w:szCs w:val="18"/>
                <w:lang w:val="en-GB"/>
              </w:rPr>
              <w:t xml:space="preserve"> revised economic model </w:t>
            </w:r>
            <w:r w:rsidRPr="00072547">
              <w:rPr>
                <w:rFonts w:asciiTheme="minorHAnsi" w:hAnsiTheme="minorHAnsi" w:cstheme="minorHAnsi"/>
                <w:color w:val="000000"/>
                <w:sz w:val="18"/>
                <w:szCs w:val="18"/>
              </w:rPr>
              <w:t xml:space="preserve">and advised that brentuximab vedotin </w:t>
            </w:r>
            <w:r w:rsidR="00F41112">
              <w:rPr>
                <w:rFonts w:asciiTheme="minorHAnsi" w:hAnsiTheme="minorHAnsi" w:cstheme="minorHAnsi"/>
                <w:color w:val="000000"/>
                <w:sz w:val="18"/>
                <w:szCs w:val="18"/>
              </w:rPr>
              <w:t>would be</w:t>
            </w:r>
            <w:r w:rsidRPr="00072547">
              <w:rPr>
                <w:rFonts w:asciiTheme="minorHAnsi" w:hAnsiTheme="minorHAnsi" w:cstheme="minorHAnsi"/>
                <w:color w:val="000000"/>
                <w:sz w:val="18"/>
                <w:szCs w:val="18"/>
              </w:rPr>
              <w:t xml:space="preserve"> cost-effective at the price proposed in the resubmission.</w:t>
            </w:r>
          </w:p>
          <w:p w14:paraId="2BD311E0" w14:textId="77777777" w:rsidR="00072547" w:rsidRPr="00072547" w:rsidRDefault="00072547" w:rsidP="00DC3166">
            <w:pPr>
              <w:jc w:val="both"/>
              <w:rPr>
                <w:rFonts w:asciiTheme="minorHAnsi" w:hAnsiTheme="minorHAnsi" w:cstheme="minorHAnsi"/>
                <w:color w:val="000000"/>
                <w:sz w:val="18"/>
                <w:szCs w:val="18"/>
              </w:rPr>
            </w:pPr>
          </w:p>
          <w:p w14:paraId="652C80A7" w14:textId="5A439BFF" w:rsidR="00405A09" w:rsidRPr="009A1FD4" w:rsidDel="008F66B5" w:rsidRDefault="00072547" w:rsidP="00DC3166">
            <w:pPr>
              <w:jc w:val="both"/>
              <w:rPr>
                <w:rFonts w:asciiTheme="minorHAnsi" w:hAnsiTheme="minorHAnsi" w:cstheme="minorHAnsi"/>
                <w:color w:val="000000"/>
                <w:sz w:val="18"/>
                <w:szCs w:val="18"/>
                <w:lang w:val="en-GB"/>
              </w:rPr>
            </w:pPr>
            <w:r w:rsidRPr="00072547">
              <w:rPr>
                <w:rFonts w:asciiTheme="minorHAnsi" w:hAnsiTheme="minorHAnsi" w:cstheme="minorHAnsi"/>
                <w:color w:val="000000"/>
                <w:sz w:val="18"/>
                <w:szCs w:val="18"/>
                <w:lang w:val="en-GB"/>
              </w:rPr>
              <w:t>The PBAC advised that an Authority Required (Telephone/Online) listing would be appropriate including the existing initial and continuing listings in the relapsed or refractory setting. The PBAC also agreed with the flow</w:t>
            </w:r>
            <w:r w:rsidR="0075078C">
              <w:rPr>
                <w:rFonts w:asciiTheme="minorHAnsi" w:hAnsiTheme="minorHAnsi" w:cstheme="minorHAnsi"/>
                <w:color w:val="000000"/>
                <w:sz w:val="18"/>
                <w:szCs w:val="18"/>
                <w:lang w:val="en-GB"/>
              </w:rPr>
              <w:t>-</w:t>
            </w:r>
            <w:r w:rsidRPr="00072547">
              <w:rPr>
                <w:rFonts w:asciiTheme="minorHAnsi" w:hAnsiTheme="minorHAnsi" w:cstheme="minorHAnsi"/>
                <w:color w:val="000000"/>
                <w:sz w:val="18"/>
                <w:szCs w:val="18"/>
                <w:lang w:val="en-GB"/>
              </w:rPr>
              <w:t>on change:</w:t>
            </w:r>
            <w:r w:rsidRPr="00072547">
              <w:rPr>
                <w:rFonts w:asciiTheme="minorHAnsi" w:hAnsiTheme="minorHAnsi" w:cstheme="minorHAnsi"/>
                <w:i/>
                <w:iCs/>
                <w:color w:val="000000"/>
                <w:sz w:val="18"/>
                <w:szCs w:val="18"/>
                <w:lang w:val="en-GB"/>
              </w:rPr>
              <w:t xml:space="preserve"> </w:t>
            </w:r>
            <w:r w:rsidRPr="00072547">
              <w:rPr>
                <w:rFonts w:asciiTheme="minorHAnsi" w:hAnsiTheme="minorHAnsi" w:cstheme="minorHAnsi"/>
                <w:color w:val="000000"/>
                <w:sz w:val="18"/>
                <w:szCs w:val="18"/>
                <w:lang w:val="en-GB"/>
              </w:rPr>
              <w:t>‘The treatment must not exceed a total of 16 cycles for this condition in a lifetime</w:t>
            </w:r>
            <w:r w:rsidRPr="00072547">
              <w:rPr>
                <w:rFonts w:asciiTheme="minorHAnsi" w:hAnsiTheme="minorHAnsi" w:cstheme="minorHAnsi"/>
                <w:i/>
                <w:iCs/>
                <w:color w:val="000000"/>
                <w:sz w:val="18"/>
                <w:szCs w:val="18"/>
                <w:lang w:val="en-GB"/>
              </w:rPr>
              <w:t xml:space="preserve">’ </w:t>
            </w:r>
            <w:r w:rsidRPr="00072547">
              <w:rPr>
                <w:rFonts w:asciiTheme="minorHAnsi" w:hAnsiTheme="minorHAnsi" w:cstheme="minorHAnsi"/>
                <w:color w:val="000000"/>
                <w:sz w:val="18"/>
                <w:szCs w:val="18"/>
                <w:lang w:val="en-GB"/>
              </w:rPr>
              <w:t>for patients who had not failed first line PBS-subsidised treatment but could receive the balance of the lifetime maximum of 16 treatment cycles in the relapsed or refractory setting.</w:t>
            </w:r>
          </w:p>
        </w:tc>
      </w:tr>
      <w:tr w:rsidR="008513FD" w:rsidRPr="008059F4" w:rsidDel="008F66B5" w14:paraId="7A902290" w14:textId="7B442279" w:rsidTr="09589B60">
        <w:trPr>
          <w:cantSplit/>
          <w:trHeight w:val="2172"/>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0BEDED7" w14:textId="7CA0350C" w:rsidR="00B167B7" w:rsidRPr="004C698E" w:rsidRDefault="00405A09" w:rsidP="00DC3166">
            <w:pPr>
              <w:jc w:val="center"/>
              <w:rPr>
                <w:rFonts w:asciiTheme="minorHAnsi" w:hAnsiTheme="minorHAnsi" w:cstheme="minorHAnsi"/>
                <w:color w:val="000000"/>
                <w:sz w:val="18"/>
                <w:szCs w:val="18"/>
              </w:rPr>
            </w:pPr>
            <w:bookmarkStart w:id="2" w:name="_Hlk143070613"/>
            <w:r w:rsidRPr="006A5A05">
              <w:rPr>
                <w:rFonts w:asciiTheme="minorHAnsi" w:hAnsiTheme="minorHAnsi" w:cstheme="minorHAnsi"/>
                <w:color w:val="000000"/>
                <w:sz w:val="18"/>
                <w:szCs w:val="18"/>
              </w:rPr>
              <w:t>BREXPIPRAZOLE</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Tablet 500 micrograms</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Rexulti</w:t>
            </w:r>
            <w:r w:rsidRPr="004C698E">
              <w:rPr>
                <w:rFonts w:asciiTheme="minorHAnsi" w:hAnsiTheme="minorHAnsi" w:cstheme="minorHAnsi"/>
                <w:color w:val="000000"/>
                <w:sz w:val="18"/>
                <w:szCs w:val="18"/>
              </w:rPr>
              <w:t>®</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LUNDBECK AUSTRALIA PTY LTD</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r>
            <w:r w:rsidR="00B167B7" w:rsidRPr="004C698E">
              <w:rPr>
                <w:rFonts w:asciiTheme="minorHAnsi" w:hAnsiTheme="minorHAnsi" w:cstheme="minorHAnsi"/>
                <w:color w:val="000000"/>
                <w:sz w:val="18"/>
                <w:szCs w:val="18"/>
              </w:rPr>
              <w:t xml:space="preserve">Category </w:t>
            </w:r>
            <w:r w:rsidR="002B5B68" w:rsidRPr="004C698E">
              <w:rPr>
                <w:rFonts w:asciiTheme="minorHAnsi" w:hAnsiTheme="minorHAnsi" w:cstheme="minorHAnsi"/>
                <w:color w:val="000000"/>
                <w:sz w:val="18"/>
                <w:szCs w:val="18"/>
              </w:rPr>
              <w:t>4</w:t>
            </w:r>
          </w:p>
          <w:p w14:paraId="31C16E75" w14:textId="2D7EB2B2" w:rsidR="00405A09" w:rsidRPr="004C698E" w:rsidRDefault="00405A09" w:rsidP="00DC3166">
            <w:pPr>
              <w:jc w:val="center"/>
              <w:rPr>
                <w:rFonts w:asciiTheme="minorHAnsi" w:hAnsiTheme="minorHAnsi" w:cstheme="minorHAnsi"/>
                <w:color w:val="000000"/>
                <w:sz w:val="18"/>
                <w:szCs w:val="18"/>
              </w:rPr>
            </w:pPr>
            <w:r w:rsidRPr="006A5A05">
              <w:rPr>
                <w:rFonts w:asciiTheme="minorHAnsi" w:hAnsiTheme="minorHAnsi" w:cstheme="minorHAnsi"/>
                <w:color w:val="000000"/>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vAlign w:val="center"/>
          </w:tcPr>
          <w:p w14:paraId="4FB638D2" w14:textId="6C3C378A" w:rsidR="00405A09" w:rsidRPr="006A5A05" w:rsidRDefault="00405A09"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Schizophrenia</w:t>
            </w:r>
          </w:p>
        </w:tc>
        <w:tc>
          <w:tcPr>
            <w:tcW w:w="29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734018D" w14:textId="64069984" w:rsidR="00405A09" w:rsidRPr="006A5A05" w:rsidRDefault="00405A09"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To request a General Schedule Authority Required (STREAMLINED) listing of a new strength for the treatment of schizophrenia.</w:t>
            </w:r>
          </w:p>
        </w:tc>
        <w:tc>
          <w:tcPr>
            <w:tcW w:w="1584" w:type="dxa"/>
            <w:tcBorders>
              <w:top w:val="single" w:sz="4" w:space="0" w:color="auto"/>
              <w:left w:val="single" w:sz="4" w:space="0" w:color="auto"/>
              <w:bottom w:val="single" w:sz="4" w:space="0" w:color="auto"/>
              <w:right w:val="single" w:sz="4" w:space="0" w:color="auto"/>
            </w:tcBorders>
            <w:vAlign w:val="center"/>
          </w:tcPr>
          <w:p w14:paraId="7985984A" w14:textId="0B201483" w:rsidR="00405A09" w:rsidRPr="006A5A05" w:rsidDel="008F66B5" w:rsidRDefault="0029433D" w:rsidP="00DC3166">
            <w:pPr>
              <w:pStyle w:val="ListParagraph"/>
              <w:keepLines/>
              <w:ind w:left="0"/>
              <w:jc w:val="center"/>
              <w:rPr>
                <w:rFonts w:asciiTheme="minorHAnsi" w:hAnsiTheme="minorHAnsi" w:cstheme="minorHAnsi"/>
                <w:color w:val="000000"/>
                <w:sz w:val="18"/>
                <w:szCs w:val="18"/>
              </w:rPr>
            </w:pPr>
            <w:r w:rsidRPr="0029433D">
              <w:rPr>
                <w:rFonts w:asciiTheme="minorHAnsi" w:hAnsiTheme="minorHAnsi" w:cstheme="minorHAnsi"/>
                <w:color w:val="000000"/>
                <w:sz w:val="18"/>
                <w:szCs w:val="18"/>
              </w:rPr>
              <w:t>Recommended</w:t>
            </w:r>
          </w:p>
        </w:tc>
        <w:tc>
          <w:tcPr>
            <w:tcW w:w="4836" w:type="dxa"/>
            <w:tcBorders>
              <w:top w:val="single" w:sz="4" w:space="0" w:color="auto"/>
              <w:left w:val="single" w:sz="4" w:space="0" w:color="auto"/>
              <w:bottom w:val="single" w:sz="4" w:space="0" w:color="auto"/>
              <w:right w:val="single" w:sz="4" w:space="0" w:color="auto"/>
            </w:tcBorders>
          </w:tcPr>
          <w:p w14:paraId="15305741" w14:textId="190DA22C" w:rsidR="00405A09" w:rsidRPr="004C698E" w:rsidDel="008F66B5" w:rsidRDefault="004C698E" w:rsidP="00DC3166">
            <w:pPr>
              <w:jc w:val="both"/>
              <w:rPr>
                <w:rFonts w:asciiTheme="minorHAnsi" w:hAnsiTheme="minorHAnsi" w:cstheme="minorBidi"/>
                <w:b/>
                <w:bCs/>
                <w:color w:val="000000"/>
                <w:sz w:val="18"/>
                <w:szCs w:val="18"/>
              </w:rPr>
            </w:pPr>
            <w:r w:rsidRPr="004C698E">
              <w:rPr>
                <w:rFonts w:asciiTheme="minorHAnsi" w:hAnsiTheme="minorHAnsi" w:cstheme="minorBidi"/>
                <w:color w:val="000000"/>
                <w:sz w:val="18"/>
                <w:szCs w:val="18"/>
              </w:rPr>
              <w:t>The PBAC recommended the General Schedule Authority Required (STREAMLINED) listing of a new form of brexpiprazole, tablet 500 micrograms, for the treatment of schizophrenia under the same circumstances as the current PBS-listed strengths of brexpiprazole tablet.</w:t>
            </w:r>
          </w:p>
        </w:tc>
      </w:tr>
      <w:tr w:rsidR="008F5D1F" w:rsidRPr="008059F4" w:rsidDel="008F66B5" w14:paraId="649C2E19" w14:textId="77777777" w:rsidTr="09589B60">
        <w:trPr>
          <w:cantSplit/>
          <w:trHeight w:val="2948"/>
        </w:trPr>
        <w:tc>
          <w:tcPr>
            <w:tcW w:w="3016" w:type="dxa"/>
            <w:tcMar>
              <w:top w:w="28" w:type="dxa"/>
              <w:bottom w:w="28" w:type="dxa"/>
            </w:tcMar>
            <w:vAlign w:val="center"/>
          </w:tcPr>
          <w:p w14:paraId="635CFB61" w14:textId="77777777" w:rsidR="008F5D1F" w:rsidRDefault="008F5D1F" w:rsidP="00DC3166">
            <w:pPr>
              <w:jc w:val="center"/>
              <w:rPr>
                <w:rFonts w:asciiTheme="minorHAnsi" w:hAnsiTheme="minorHAnsi" w:cstheme="minorHAnsi"/>
                <w:color w:val="000000"/>
                <w:sz w:val="18"/>
                <w:szCs w:val="18"/>
              </w:rPr>
            </w:pPr>
            <w:r w:rsidRPr="00D85482">
              <w:rPr>
                <w:rFonts w:asciiTheme="minorHAnsi" w:hAnsiTheme="minorHAnsi" w:cstheme="minorHAnsi"/>
                <w:color w:val="000000"/>
                <w:sz w:val="18"/>
                <w:szCs w:val="18"/>
              </w:rPr>
              <w:t>BULEVIRTIDE</w:t>
            </w:r>
          </w:p>
          <w:p w14:paraId="0124B440" w14:textId="77777777" w:rsidR="008F5D1F" w:rsidRDefault="008F5D1F" w:rsidP="00DC3166">
            <w:pPr>
              <w:jc w:val="center"/>
              <w:rPr>
                <w:rFonts w:asciiTheme="minorHAnsi" w:hAnsiTheme="minorHAnsi" w:cstheme="minorHAnsi"/>
                <w:color w:val="000000"/>
                <w:sz w:val="18"/>
                <w:szCs w:val="18"/>
              </w:rPr>
            </w:pPr>
          </w:p>
          <w:p w14:paraId="78239FF6" w14:textId="77777777" w:rsidR="008F5D1F" w:rsidRDefault="008F5D1F" w:rsidP="00DC3166">
            <w:pPr>
              <w:jc w:val="center"/>
              <w:rPr>
                <w:rFonts w:asciiTheme="minorHAnsi" w:hAnsiTheme="minorHAnsi" w:cstheme="minorHAnsi"/>
                <w:color w:val="000000"/>
                <w:sz w:val="18"/>
                <w:szCs w:val="18"/>
              </w:rPr>
            </w:pPr>
            <w:r w:rsidRPr="00370B5A">
              <w:rPr>
                <w:rFonts w:asciiTheme="minorHAnsi" w:hAnsiTheme="minorHAnsi" w:cstheme="minorHAnsi"/>
                <w:color w:val="000000"/>
                <w:sz w:val="18"/>
                <w:szCs w:val="18"/>
              </w:rPr>
              <w:t>Powder for injection 2 mg</w:t>
            </w:r>
          </w:p>
          <w:p w14:paraId="09BCA0B9" w14:textId="77777777" w:rsidR="008F5D1F" w:rsidRDefault="008F5D1F" w:rsidP="00DC3166">
            <w:pPr>
              <w:jc w:val="center"/>
              <w:rPr>
                <w:rFonts w:asciiTheme="minorHAnsi" w:hAnsiTheme="minorHAnsi" w:cstheme="minorHAnsi"/>
                <w:color w:val="000000"/>
                <w:sz w:val="18"/>
                <w:szCs w:val="18"/>
              </w:rPr>
            </w:pPr>
          </w:p>
          <w:p w14:paraId="246E9E11" w14:textId="77777777" w:rsidR="008F5D1F" w:rsidRDefault="008F5D1F" w:rsidP="00DC3166">
            <w:pPr>
              <w:jc w:val="center"/>
              <w:rPr>
                <w:rFonts w:asciiTheme="minorHAnsi" w:hAnsiTheme="minorHAnsi" w:cstheme="minorHAnsi"/>
                <w:color w:val="000000"/>
                <w:sz w:val="18"/>
                <w:szCs w:val="18"/>
              </w:rPr>
            </w:pPr>
            <w:proofErr w:type="spellStart"/>
            <w:r w:rsidRPr="00370B5A">
              <w:rPr>
                <w:rFonts w:asciiTheme="minorHAnsi" w:hAnsiTheme="minorHAnsi" w:cstheme="minorHAnsi"/>
                <w:color w:val="000000"/>
                <w:sz w:val="18"/>
                <w:szCs w:val="18"/>
              </w:rPr>
              <w:t>Hepcludex</w:t>
            </w:r>
            <w:proofErr w:type="spellEnd"/>
            <w:r w:rsidRPr="00370B5A">
              <w:rPr>
                <w:rFonts w:asciiTheme="minorHAnsi" w:hAnsiTheme="minorHAnsi" w:cstheme="minorHAnsi"/>
                <w:color w:val="000000"/>
                <w:sz w:val="18"/>
                <w:szCs w:val="18"/>
              </w:rPr>
              <w:t>®</w:t>
            </w:r>
          </w:p>
          <w:p w14:paraId="42B2C93E" w14:textId="77777777" w:rsidR="008F5D1F" w:rsidRDefault="008F5D1F" w:rsidP="00DC3166">
            <w:pPr>
              <w:jc w:val="center"/>
              <w:rPr>
                <w:rFonts w:asciiTheme="minorHAnsi" w:hAnsiTheme="minorHAnsi" w:cstheme="minorHAnsi"/>
                <w:color w:val="000000"/>
                <w:sz w:val="18"/>
                <w:szCs w:val="18"/>
              </w:rPr>
            </w:pPr>
          </w:p>
          <w:p w14:paraId="6C706EBE" w14:textId="77777777" w:rsidR="008F5D1F" w:rsidRDefault="008F5D1F" w:rsidP="00DC3166">
            <w:pPr>
              <w:jc w:val="center"/>
              <w:rPr>
                <w:rFonts w:asciiTheme="minorHAnsi" w:hAnsiTheme="minorHAnsi" w:cstheme="minorHAnsi"/>
                <w:color w:val="000000"/>
                <w:sz w:val="18"/>
                <w:szCs w:val="18"/>
              </w:rPr>
            </w:pPr>
            <w:r w:rsidRPr="001A527D">
              <w:rPr>
                <w:rFonts w:asciiTheme="minorHAnsi" w:hAnsiTheme="minorHAnsi" w:cstheme="minorHAnsi"/>
                <w:color w:val="000000"/>
                <w:sz w:val="18"/>
                <w:szCs w:val="18"/>
              </w:rPr>
              <w:t>GILEAD SCIENCES PTY LTD</w:t>
            </w:r>
          </w:p>
          <w:p w14:paraId="495BB90C" w14:textId="77777777" w:rsidR="00186EF2" w:rsidRDefault="00186EF2" w:rsidP="00DC3166">
            <w:pPr>
              <w:jc w:val="center"/>
              <w:rPr>
                <w:rFonts w:asciiTheme="minorHAnsi" w:hAnsiTheme="minorHAnsi" w:cstheme="minorHAnsi"/>
                <w:color w:val="000000"/>
                <w:sz w:val="18"/>
                <w:szCs w:val="18"/>
              </w:rPr>
            </w:pPr>
          </w:p>
          <w:p w14:paraId="547887E2" w14:textId="05380BE2" w:rsidR="00D908D3" w:rsidRDefault="00F17BAA" w:rsidP="00DC3166">
            <w:pPr>
              <w:jc w:val="center"/>
              <w:rPr>
                <w:rFonts w:asciiTheme="minorHAnsi" w:hAnsiTheme="minorHAnsi" w:cstheme="minorHAnsi"/>
                <w:color w:val="000000"/>
                <w:sz w:val="18"/>
                <w:szCs w:val="18"/>
              </w:rPr>
            </w:pPr>
            <w:r>
              <w:rPr>
                <w:rFonts w:asciiTheme="minorHAnsi" w:hAnsiTheme="minorHAnsi" w:cstheme="minorHAnsi"/>
                <w:color w:val="000000"/>
                <w:sz w:val="18"/>
                <w:szCs w:val="18"/>
              </w:rPr>
              <w:t>Matters arising from the minutes</w:t>
            </w:r>
          </w:p>
          <w:p w14:paraId="38B390C3" w14:textId="0A7ABB72" w:rsidR="00186EF2" w:rsidRPr="006A5A05" w:rsidRDefault="00186EF2" w:rsidP="00DC3166">
            <w:pPr>
              <w:jc w:val="center"/>
              <w:rPr>
                <w:rFonts w:asciiTheme="minorHAnsi" w:hAnsiTheme="minorHAnsi" w:cstheme="minorHAnsi"/>
                <w:color w:val="000000"/>
                <w:sz w:val="18"/>
                <w:szCs w:val="18"/>
              </w:rPr>
            </w:pPr>
            <w:r w:rsidRPr="00186EF2">
              <w:rPr>
                <w:rFonts w:asciiTheme="minorHAnsi" w:hAnsiTheme="minorHAnsi" w:cstheme="minorHAnsi"/>
                <w:color w:val="000000"/>
                <w:sz w:val="18"/>
                <w:szCs w:val="18"/>
              </w:rPr>
              <w:t>(New PBS listing)</w:t>
            </w:r>
          </w:p>
        </w:tc>
        <w:tc>
          <w:tcPr>
            <w:tcW w:w="2767" w:type="dxa"/>
            <w:vAlign w:val="center"/>
          </w:tcPr>
          <w:p w14:paraId="5BC563F4" w14:textId="2BF192BF" w:rsidR="008F5D1F" w:rsidRPr="006A5A05" w:rsidRDefault="008F5D1F" w:rsidP="00DC3166">
            <w:pPr>
              <w:jc w:val="center"/>
              <w:rPr>
                <w:rFonts w:asciiTheme="minorHAnsi" w:hAnsiTheme="minorHAnsi" w:cstheme="minorHAnsi"/>
                <w:color w:val="000000"/>
                <w:sz w:val="18"/>
                <w:szCs w:val="18"/>
              </w:rPr>
            </w:pPr>
            <w:r w:rsidRPr="00095D43">
              <w:rPr>
                <w:rFonts w:asciiTheme="minorHAnsi" w:hAnsiTheme="minorHAnsi" w:cstheme="minorHAnsi"/>
                <w:color w:val="000000"/>
                <w:sz w:val="18"/>
                <w:szCs w:val="18"/>
              </w:rPr>
              <w:t>Chronic hepatitis D</w:t>
            </w:r>
            <w:r w:rsidR="002F446E">
              <w:rPr>
                <w:rFonts w:asciiTheme="minorHAnsi" w:hAnsiTheme="minorHAnsi" w:cstheme="minorHAnsi"/>
                <w:color w:val="000000"/>
                <w:sz w:val="18"/>
                <w:szCs w:val="18"/>
              </w:rPr>
              <w:t xml:space="preserve"> </w:t>
            </w:r>
            <w:r w:rsidR="002F446E" w:rsidRPr="00740C6B">
              <w:rPr>
                <w:rFonts w:asciiTheme="minorHAnsi" w:hAnsiTheme="minorHAnsi" w:cstheme="minorHAnsi"/>
                <w:color w:val="000000"/>
                <w:sz w:val="18"/>
                <w:szCs w:val="18"/>
              </w:rPr>
              <w:t>(CHD)</w:t>
            </w:r>
          </w:p>
        </w:tc>
        <w:tc>
          <w:tcPr>
            <w:tcW w:w="2976" w:type="dxa"/>
            <w:tcMar>
              <w:top w:w="28" w:type="dxa"/>
              <w:bottom w:w="28" w:type="dxa"/>
            </w:tcMar>
            <w:vAlign w:val="center"/>
          </w:tcPr>
          <w:p w14:paraId="3E985CAF" w14:textId="39C9497A" w:rsidR="008F5D1F" w:rsidRPr="006A5A05" w:rsidRDefault="008F5D1F" w:rsidP="00DC3166">
            <w:pPr>
              <w:jc w:val="center"/>
              <w:rPr>
                <w:rFonts w:asciiTheme="minorHAnsi" w:hAnsiTheme="minorHAnsi" w:cstheme="minorHAnsi"/>
                <w:color w:val="000000"/>
                <w:sz w:val="18"/>
                <w:szCs w:val="18"/>
              </w:rPr>
            </w:pPr>
            <w:r w:rsidRPr="00947D64">
              <w:rPr>
                <w:rFonts w:asciiTheme="minorHAnsi" w:hAnsiTheme="minorHAnsi" w:cstheme="minorHAnsi"/>
                <w:color w:val="000000"/>
                <w:sz w:val="18"/>
                <w:szCs w:val="18"/>
              </w:rPr>
              <w:t xml:space="preserve">To request a Section 100 (Highly Specialised Drugs Program) Authority Required (STREAMLINED) listing for the treatment of </w:t>
            </w:r>
            <w:r w:rsidR="002F446E" w:rsidRPr="00740C6B">
              <w:rPr>
                <w:rFonts w:asciiTheme="minorHAnsi" w:hAnsiTheme="minorHAnsi" w:cstheme="minorHAnsi"/>
                <w:color w:val="000000"/>
                <w:sz w:val="18"/>
                <w:szCs w:val="18"/>
              </w:rPr>
              <w:t>CHD</w:t>
            </w:r>
            <w:r w:rsidRPr="00947D64">
              <w:rPr>
                <w:rFonts w:asciiTheme="minorHAnsi" w:hAnsiTheme="minorHAnsi" w:cstheme="minorHAnsi"/>
                <w:color w:val="000000"/>
                <w:sz w:val="18"/>
                <w:szCs w:val="18"/>
              </w:rPr>
              <w:t>. This matter was deferred at the March 2025 PBAC Meeting.</w:t>
            </w:r>
          </w:p>
        </w:tc>
        <w:tc>
          <w:tcPr>
            <w:tcW w:w="1584" w:type="dxa"/>
            <w:tcBorders>
              <w:top w:val="single" w:sz="4" w:space="0" w:color="auto"/>
              <w:left w:val="single" w:sz="4" w:space="0" w:color="auto"/>
              <w:bottom w:val="single" w:sz="4" w:space="0" w:color="auto"/>
              <w:right w:val="single" w:sz="4" w:space="0" w:color="auto"/>
            </w:tcBorders>
            <w:vAlign w:val="center"/>
          </w:tcPr>
          <w:p w14:paraId="762885A1" w14:textId="735B30A8" w:rsidR="008F5D1F" w:rsidRPr="006A5A05" w:rsidDel="008F66B5" w:rsidRDefault="00BD1A36" w:rsidP="00DC3166">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Recommended</w:t>
            </w:r>
          </w:p>
        </w:tc>
        <w:tc>
          <w:tcPr>
            <w:tcW w:w="4836" w:type="dxa"/>
            <w:tcBorders>
              <w:top w:val="single" w:sz="4" w:space="0" w:color="auto"/>
              <w:left w:val="single" w:sz="4" w:space="0" w:color="auto"/>
              <w:bottom w:val="single" w:sz="4" w:space="0" w:color="auto"/>
              <w:right w:val="single" w:sz="4" w:space="0" w:color="auto"/>
            </w:tcBorders>
          </w:tcPr>
          <w:p w14:paraId="76B555A0" w14:textId="6701C639" w:rsidR="003F18C5" w:rsidRDefault="00E959CB" w:rsidP="00DC3166">
            <w:pPr>
              <w:jc w:val="both"/>
              <w:rPr>
                <w:rFonts w:asciiTheme="minorHAnsi" w:hAnsiTheme="minorHAnsi" w:cstheme="minorBidi"/>
                <w:color w:val="000000"/>
                <w:sz w:val="18"/>
                <w:szCs w:val="18"/>
              </w:rPr>
            </w:pPr>
            <w:r w:rsidRPr="00E959CB">
              <w:rPr>
                <w:rFonts w:asciiTheme="minorHAnsi" w:hAnsiTheme="minorHAnsi" w:cstheme="minorBidi"/>
                <w:color w:val="000000"/>
                <w:sz w:val="18"/>
                <w:szCs w:val="18"/>
              </w:rPr>
              <w:t xml:space="preserve">The PBAC recommended the listing of bulevirtide for the treatment of CHD in patients positive for hepatitis D virus (HDV) ribonucleic acid (RNA) as detected by polymerase chain reaction (PCR). The PBAC noted that the MSAC supported MBS listing of HDV RNA PCR testing to determine eligibility for treatment with bulevirtide and to monitor the response to treatment. </w:t>
            </w:r>
          </w:p>
          <w:p w14:paraId="3BBA95A9" w14:textId="77777777" w:rsidR="003F18C5" w:rsidRDefault="003F18C5" w:rsidP="00DC3166">
            <w:pPr>
              <w:jc w:val="both"/>
              <w:rPr>
                <w:rFonts w:asciiTheme="minorHAnsi" w:hAnsiTheme="minorHAnsi" w:cstheme="minorBidi"/>
                <w:color w:val="000000"/>
                <w:sz w:val="18"/>
                <w:szCs w:val="18"/>
              </w:rPr>
            </w:pPr>
          </w:p>
          <w:p w14:paraId="0B9B6C73" w14:textId="7AF63835" w:rsidR="008F5D1F" w:rsidRPr="00F03408" w:rsidDel="008F66B5" w:rsidRDefault="00E959CB" w:rsidP="00DC3166">
            <w:pPr>
              <w:jc w:val="both"/>
              <w:rPr>
                <w:rFonts w:asciiTheme="minorHAnsi" w:hAnsiTheme="minorHAnsi" w:cstheme="minorBidi"/>
                <w:color w:val="000000"/>
                <w:sz w:val="18"/>
                <w:szCs w:val="18"/>
              </w:rPr>
            </w:pPr>
            <w:r w:rsidRPr="00E959CB">
              <w:rPr>
                <w:rFonts w:asciiTheme="minorHAnsi" w:hAnsiTheme="minorHAnsi" w:cstheme="minorBidi"/>
                <w:color w:val="000000"/>
                <w:sz w:val="18"/>
                <w:szCs w:val="18"/>
              </w:rPr>
              <w:t xml:space="preserve">The PBAC recalled that it had previously considered that the evidence indicates that bulevirtide is effective for some patients in terms of achieving a significant reduction in viral load and/or improvement in </w:t>
            </w:r>
            <w:r w:rsidR="000E2EE8">
              <w:rPr>
                <w:rFonts w:asciiTheme="minorHAnsi" w:hAnsiTheme="minorHAnsi" w:cstheme="minorBidi"/>
                <w:color w:val="000000"/>
                <w:sz w:val="18"/>
                <w:szCs w:val="18"/>
              </w:rPr>
              <w:t>markers of liver damage</w:t>
            </w:r>
            <w:r w:rsidRPr="00E959CB">
              <w:rPr>
                <w:rFonts w:asciiTheme="minorHAnsi" w:hAnsiTheme="minorHAnsi" w:cstheme="minorBidi"/>
                <w:color w:val="000000"/>
                <w:sz w:val="18"/>
                <w:szCs w:val="18"/>
              </w:rPr>
              <w:t xml:space="preserve"> compared to the nominated comparator, symptomatic management of CHD, although the longer-term and patient-relevant benefits were highly uncertain. The PBAC reiterated that bulevirtide would be cost-effective with a substantial price reduction to bring the ICER into an acceptable range. The PBAC also maintained its view that the proposed utilisation of bulevirtide was uncertain but the estimates presented in the resubmission appeared to be reasonable.</w:t>
            </w:r>
          </w:p>
        </w:tc>
      </w:tr>
      <w:bookmarkEnd w:id="2"/>
      <w:tr w:rsidR="00405A09" w:rsidRPr="008059F4" w:rsidDel="008F66B5" w14:paraId="13CCBBCF" w14:textId="431696E9" w:rsidTr="09589B60">
        <w:trPr>
          <w:cantSplit/>
          <w:trHeight w:val="2948"/>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D7E4FAD" w14:textId="4F586521" w:rsidR="00B167B7" w:rsidRPr="006A5A05" w:rsidRDefault="00405A09" w:rsidP="00DC3166">
            <w:pPr>
              <w:jc w:val="center"/>
              <w:rPr>
                <w:rFonts w:asciiTheme="minorHAnsi" w:eastAsia="Calibri" w:hAnsiTheme="minorHAnsi" w:cstheme="minorHAnsi"/>
                <w:color w:val="000000" w:themeColor="text1"/>
                <w:sz w:val="18"/>
                <w:szCs w:val="18"/>
              </w:rPr>
            </w:pPr>
            <w:r w:rsidRPr="006A5A05">
              <w:rPr>
                <w:rFonts w:asciiTheme="minorHAnsi" w:hAnsiTheme="minorHAnsi" w:cstheme="minorHAnsi"/>
                <w:color w:val="000000"/>
                <w:sz w:val="18"/>
                <w:szCs w:val="18"/>
              </w:rPr>
              <w:t>CABOZANTINIB</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Tablet 20 mg</w:t>
            </w:r>
            <w:r w:rsidRPr="006A5A05">
              <w:rPr>
                <w:rFonts w:asciiTheme="minorHAnsi" w:hAnsiTheme="minorHAnsi" w:cstheme="minorHAnsi"/>
                <w:color w:val="000000"/>
                <w:sz w:val="18"/>
                <w:szCs w:val="18"/>
              </w:rPr>
              <w:br/>
              <w:t>Tablet 40 mg</w:t>
            </w:r>
            <w:r w:rsidRPr="006A5A05">
              <w:rPr>
                <w:rFonts w:asciiTheme="minorHAnsi" w:hAnsiTheme="minorHAnsi" w:cstheme="minorHAnsi"/>
                <w:color w:val="000000"/>
                <w:sz w:val="18"/>
                <w:szCs w:val="18"/>
              </w:rPr>
              <w:br/>
              <w:t>Tablet 60 mg</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r>
            <w:proofErr w:type="spellStart"/>
            <w:r w:rsidRPr="006A5A05">
              <w:rPr>
                <w:rFonts w:asciiTheme="minorHAnsi" w:hAnsiTheme="minorHAnsi" w:cstheme="minorHAnsi"/>
                <w:color w:val="000000"/>
                <w:sz w:val="18"/>
                <w:szCs w:val="18"/>
              </w:rPr>
              <w:t>Cabometyx</w:t>
            </w:r>
            <w:proofErr w:type="spellEnd"/>
            <w:r w:rsidRPr="006A5A05">
              <w:rPr>
                <w:rFonts w:asciiTheme="minorHAnsi" w:hAnsiTheme="minorHAnsi" w:cstheme="minorHAnsi"/>
                <w:color w:val="000000"/>
                <w:sz w:val="18"/>
                <w:szCs w:val="18"/>
                <w:vertAlign w:val="superscript"/>
              </w:rPr>
              <w:t xml:space="preserve">® </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IPSEN PTY LTD</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r>
            <w:r w:rsidR="00B167B7" w:rsidRPr="006A5A05">
              <w:rPr>
                <w:rFonts w:asciiTheme="minorHAnsi" w:eastAsia="Calibri" w:hAnsiTheme="minorHAnsi" w:cstheme="minorHAnsi"/>
                <w:color w:val="000000" w:themeColor="text1"/>
                <w:sz w:val="18"/>
                <w:szCs w:val="18"/>
              </w:rPr>
              <w:t xml:space="preserve">Category </w:t>
            </w:r>
            <w:r w:rsidR="004D14C8">
              <w:rPr>
                <w:rFonts w:asciiTheme="minorHAnsi" w:eastAsia="Calibri" w:hAnsiTheme="minorHAnsi" w:cstheme="minorHAnsi"/>
                <w:color w:val="000000" w:themeColor="text1"/>
                <w:sz w:val="18"/>
                <w:szCs w:val="18"/>
              </w:rPr>
              <w:t>2</w:t>
            </w:r>
          </w:p>
          <w:p w14:paraId="297761B5" w14:textId="11C37498" w:rsidR="00405A09" w:rsidRPr="006A5A05" w:rsidRDefault="00405A09"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(Change to existing listing)</w:t>
            </w:r>
          </w:p>
        </w:tc>
        <w:tc>
          <w:tcPr>
            <w:tcW w:w="2767" w:type="dxa"/>
            <w:tcBorders>
              <w:top w:val="single" w:sz="4" w:space="0" w:color="auto"/>
              <w:left w:val="single" w:sz="4" w:space="0" w:color="auto"/>
              <w:bottom w:val="single" w:sz="4" w:space="0" w:color="auto"/>
              <w:right w:val="single" w:sz="4" w:space="0" w:color="auto"/>
            </w:tcBorders>
            <w:vAlign w:val="center"/>
          </w:tcPr>
          <w:p w14:paraId="04E38D47" w14:textId="5663E20F" w:rsidR="00405A09" w:rsidRPr="006A5A05" w:rsidRDefault="00405A09" w:rsidP="00DC3166">
            <w:pPr>
              <w:jc w:val="center"/>
              <w:rPr>
                <w:rFonts w:asciiTheme="minorHAnsi" w:hAnsiTheme="minorHAnsi" w:cstheme="minorHAnsi"/>
                <w:sz w:val="18"/>
                <w:szCs w:val="18"/>
              </w:rPr>
            </w:pPr>
            <w:r w:rsidRPr="006A5A05">
              <w:rPr>
                <w:rFonts w:asciiTheme="minorHAnsi" w:hAnsiTheme="minorHAnsi" w:cstheme="minorHAnsi"/>
                <w:sz w:val="18"/>
                <w:szCs w:val="18"/>
              </w:rPr>
              <w:t>Pancreatic neuroendocrine tumo</w:t>
            </w:r>
            <w:r w:rsidR="0009607F">
              <w:rPr>
                <w:rFonts w:asciiTheme="minorHAnsi" w:hAnsiTheme="minorHAnsi" w:cstheme="minorHAnsi"/>
                <w:sz w:val="18"/>
                <w:szCs w:val="18"/>
              </w:rPr>
              <w:t>u</w:t>
            </w:r>
            <w:r w:rsidRPr="006A5A05">
              <w:rPr>
                <w:rFonts w:asciiTheme="minorHAnsi" w:hAnsiTheme="minorHAnsi" w:cstheme="minorHAnsi"/>
                <w:sz w:val="18"/>
                <w:szCs w:val="18"/>
              </w:rPr>
              <w:t>rs (</w:t>
            </w:r>
            <w:proofErr w:type="spellStart"/>
            <w:r w:rsidRPr="006A5A05">
              <w:rPr>
                <w:rFonts w:asciiTheme="minorHAnsi" w:hAnsiTheme="minorHAnsi" w:cstheme="minorHAnsi"/>
                <w:sz w:val="18"/>
                <w:szCs w:val="18"/>
              </w:rPr>
              <w:t>pNET</w:t>
            </w:r>
            <w:proofErr w:type="spellEnd"/>
            <w:r w:rsidRPr="006A5A05">
              <w:rPr>
                <w:rFonts w:asciiTheme="minorHAnsi" w:hAnsiTheme="minorHAnsi" w:cstheme="minorHAnsi"/>
                <w:sz w:val="18"/>
                <w:szCs w:val="18"/>
              </w:rPr>
              <w:t>)</w:t>
            </w:r>
            <w:r w:rsidRPr="006A5A05">
              <w:rPr>
                <w:rFonts w:asciiTheme="minorHAnsi" w:hAnsiTheme="minorHAnsi" w:cstheme="minorHAnsi"/>
                <w:sz w:val="18"/>
                <w:szCs w:val="18"/>
              </w:rPr>
              <w:br/>
              <w:t>Extra-pancreatic neuroendocrine tumo</w:t>
            </w:r>
            <w:r w:rsidR="0009607F">
              <w:rPr>
                <w:rFonts w:asciiTheme="minorHAnsi" w:hAnsiTheme="minorHAnsi" w:cstheme="minorHAnsi"/>
                <w:sz w:val="18"/>
                <w:szCs w:val="18"/>
              </w:rPr>
              <w:t>u</w:t>
            </w:r>
            <w:r w:rsidRPr="006A5A05">
              <w:rPr>
                <w:rFonts w:asciiTheme="minorHAnsi" w:hAnsiTheme="minorHAnsi" w:cstheme="minorHAnsi"/>
                <w:sz w:val="18"/>
                <w:szCs w:val="18"/>
              </w:rPr>
              <w:t>rs (</w:t>
            </w:r>
            <w:proofErr w:type="spellStart"/>
            <w:r w:rsidRPr="006A5A05">
              <w:rPr>
                <w:rFonts w:asciiTheme="minorHAnsi" w:hAnsiTheme="minorHAnsi" w:cstheme="minorHAnsi"/>
                <w:sz w:val="18"/>
                <w:szCs w:val="18"/>
              </w:rPr>
              <w:t>epNET</w:t>
            </w:r>
            <w:proofErr w:type="spellEnd"/>
            <w:r w:rsidRPr="006A5A05">
              <w:rPr>
                <w:rFonts w:asciiTheme="minorHAnsi" w:hAnsiTheme="minorHAnsi" w:cstheme="minorHAnsi"/>
                <w:sz w:val="18"/>
                <w:szCs w:val="18"/>
              </w:rPr>
              <w:t>)</w:t>
            </w:r>
          </w:p>
        </w:tc>
        <w:tc>
          <w:tcPr>
            <w:tcW w:w="29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FB243E2" w14:textId="1EA9990F" w:rsidR="00405A09" w:rsidRPr="006A5A05" w:rsidRDefault="00405A09"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 xml:space="preserve">To request a General Schedule Authority Required (STREAMLINED) listing for the treatment of unresectable locally advanced or metastatic well- or </w:t>
            </w:r>
            <w:proofErr w:type="gramStart"/>
            <w:r w:rsidRPr="006A5A05">
              <w:rPr>
                <w:rFonts w:asciiTheme="minorHAnsi" w:hAnsiTheme="minorHAnsi" w:cstheme="minorHAnsi"/>
                <w:color w:val="000000"/>
                <w:sz w:val="18"/>
                <w:szCs w:val="18"/>
              </w:rPr>
              <w:t>moderately-differentiated</w:t>
            </w:r>
            <w:proofErr w:type="gramEnd"/>
            <w:r w:rsidRPr="006A5A05">
              <w:rPr>
                <w:rFonts w:asciiTheme="minorHAnsi" w:hAnsiTheme="minorHAnsi" w:cstheme="minorHAnsi"/>
                <w:color w:val="000000"/>
                <w:sz w:val="18"/>
                <w:szCs w:val="18"/>
              </w:rPr>
              <w:t xml:space="preserve"> </w:t>
            </w:r>
            <w:proofErr w:type="spellStart"/>
            <w:r w:rsidRPr="006A5A05">
              <w:rPr>
                <w:rFonts w:asciiTheme="minorHAnsi" w:hAnsiTheme="minorHAnsi" w:cstheme="minorHAnsi"/>
                <w:color w:val="000000"/>
                <w:sz w:val="18"/>
                <w:szCs w:val="18"/>
              </w:rPr>
              <w:t>pNET</w:t>
            </w:r>
            <w:proofErr w:type="spellEnd"/>
            <w:r w:rsidRPr="006A5A05">
              <w:rPr>
                <w:rFonts w:asciiTheme="minorHAnsi" w:hAnsiTheme="minorHAnsi" w:cstheme="minorHAnsi"/>
                <w:color w:val="000000"/>
                <w:sz w:val="18"/>
                <w:szCs w:val="18"/>
              </w:rPr>
              <w:t xml:space="preserve"> or </w:t>
            </w:r>
            <w:proofErr w:type="spellStart"/>
            <w:r w:rsidRPr="006A5A05">
              <w:rPr>
                <w:rFonts w:asciiTheme="minorHAnsi" w:hAnsiTheme="minorHAnsi" w:cstheme="minorHAnsi"/>
                <w:color w:val="000000"/>
                <w:sz w:val="18"/>
                <w:szCs w:val="18"/>
              </w:rPr>
              <w:t>epNET</w:t>
            </w:r>
            <w:proofErr w:type="spellEnd"/>
            <w:r w:rsidRPr="006A5A05">
              <w:rPr>
                <w:rFonts w:asciiTheme="minorHAnsi" w:hAnsiTheme="minorHAnsi" w:cstheme="minorHAnsi"/>
                <w:color w:val="000000"/>
                <w:sz w:val="18"/>
                <w:szCs w:val="18"/>
              </w:rPr>
              <w:t xml:space="preserve"> after prior systemic therapy.</w:t>
            </w:r>
          </w:p>
        </w:tc>
        <w:tc>
          <w:tcPr>
            <w:tcW w:w="1584" w:type="dxa"/>
            <w:tcBorders>
              <w:top w:val="single" w:sz="4" w:space="0" w:color="auto"/>
              <w:left w:val="single" w:sz="4" w:space="0" w:color="auto"/>
              <w:bottom w:val="single" w:sz="4" w:space="0" w:color="auto"/>
              <w:right w:val="single" w:sz="4" w:space="0" w:color="auto"/>
            </w:tcBorders>
            <w:vAlign w:val="center"/>
          </w:tcPr>
          <w:p w14:paraId="5E91DC60" w14:textId="0C01BD2D" w:rsidR="00405A09" w:rsidRPr="006A5A05" w:rsidDel="008F66B5" w:rsidRDefault="00865437" w:rsidP="00DC3166">
            <w:pPr>
              <w:pStyle w:val="ListParagraph"/>
              <w:keepLines/>
              <w:ind w:left="0"/>
              <w:jc w:val="center"/>
              <w:rPr>
                <w:rFonts w:asciiTheme="minorHAnsi" w:hAnsiTheme="minorHAnsi" w:cstheme="minorHAnsi"/>
                <w:color w:val="000000"/>
                <w:sz w:val="18"/>
                <w:szCs w:val="18"/>
              </w:rPr>
            </w:pPr>
            <w:r w:rsidRPr="00865437">
              <w:rPr>
                <w:rFonts w:asciiTheme="minorHAnsi" w:hAnsiTheme="minorHAnsi" w:cstheme="minorHAnsi"/>
                <w:color w:val="000000"/>
                <w:sz w:val="18"/>
                <w:szCs w:val="18"/>
              </w:rPr>
              <w:t>Recommended</w:t>
            </w:r>
          </w:p>
        </w:tc>
        <w:tc>
          <w:tcPr>
            <w:tcW w:w="4836" w:type="dxa"/>
            <w:tcBorders>
              <w:top w:val="single" w:sz="4" w:space="0" w:color="auto"/>
              <w:left w:val="single" w:sz="4" w:space="0" w:color="auto"/>
              <w:bottom w:val="single" w:sz="4" w:space="0" w:color="auto"/>
              <w:right w:val="single" w:sz="4" w:space="0" w:color="auto"/>
            </w:tcBorders>
            <w:vAlign w:val="center"/>
          </w:tcPr>
          <w:p w14:paraId="6D8F39EF" w14:textId="7020A946" w:rsidR="00786C2F" w:rsidRPr="00786C2F" w:rsidRDefault="00786C2F" w:rsidP="00DC3166">
            <w:pPr>
              <w:jc w:val="both"/>
              <w:rPr>
                <w:rFonts w:asciiTheme="minorHAnsi" w:hAnsiTheme="minorHAnsi" w:cstheme="minorBidi"/>
                <w:color w:val="000000"/>
                <w:sz w:val="18"/>
                <w:szCs w:val="18"/>
                <w:lang w:val="en-GB"/>
              </w:rPr>
            </w:pPr>
            <w:r w:rsidRPr="00786C2F">
              <w:rPr>
                <w:rFonts w:asciiTheme="minorHAnsi" w:hAnsiTheme="minorHAnsi" w:cstheme="minorBidi"/>
                <w:color w:val="000000"/>
                <w:sz w:val="18"/>
                <w:szCs w:val="18"/>
                <w:lang w:val="en-GB"/>
              </w:rPr>
              <w:t xml:space="preserve">The PBAC recommended cabozantinib for the treatment of patients with unresectable or metastatic, well-differentiated </w:t>
            </w:r>
            <w:proofErr w:type="spellStart"/>
            <w:r w:rsidRPr="00786C2F">
              <w:rPr>
                <w:rFonts w:asciiTheme="minorHAnsi" w:hAnsiTheme="minorHAnsi" w:cstheme="minorBidi"/>
                <w:color w:val="000000"/>
                <w:sz w:val="18"/>
                <w:szCs w:val="18"/>
                <w:lang w:val="en-GB"/>
              </w:rPr>
              <w:t>epNET</w:t>
            </w:r>
            <w:proofErr w:type="spellEnd"/>
            <w:r w:rsidRPr="00786C2F">
              <w:rPr>
                <w:rFonts w:asciiTheme="minorHAnsi" w:hAnsiTheme="minorHAnsi" w:cstheme="minorBidi"/>
                <w:color w:val="000000"/>
                <w:sz w:val="18"/>
                <w:szCs w:val="18"/>
                <w:lang w:val="en-GB"/>
              </w:rPr>
              <w:t xml:space="preserve"> or </w:t>
            </w:r>
            <w:proofErr w:type="spellStart"/>
            <w:r w:rsidRPr="00786C2F">
              <w:rPr>
                <w:rFonts w:asciiTheme="minorHAnsi" w:hAnsiTheme="minorHAnsi" w:cstheme="minorBidi"/>
                <w:color w:val="000000"/>
                <w:sz w:val="18"/>
                <w:szCs w:val="18"/>
                <w:lang w:val="en-GB"/>
              </w:rPr>
              <w:t>pNET</w:t>
            </w:r>
            <w:proofErr w:type="spellEnd"/>
            <w:r w:rsidRPr="00786C2F">
              <w:rPr>
                <w:rFonts w:asciiTheme="minorHAnsi" w:hAnsiTheme="minorHAnsi" w:cstheme="minorBidi"/>
                <w:color w:val="000000"/>
                <w:sz w:val="18"/>
                <w:szCs w:val="18"/>
                <w:lang w:val="en-GB"/>
              </w:rPr>
              <w:t xml:space="preserve"> who have progressed on at least one prior systemic therapy other than a somatostatin analogue (SSA). </w:t>
            </w:r>
            <w:r w:rsidRPr="00786C2F">
              <w:rPr>
                <w:rFonts w:asciiTheme="minorHAnsi" w:hAnsiTheme="minorHAnsi" w:cstheme="minorBidi"/>
                <w:color w:val="000000"/>
                <w:sz w:val="18"/>
                <w:szCs w:val="18"/>
              </w:rPr>
              <w:t>The PBAC welcomed advice from consumers, clinicians and organisations (via the consumer comments and the sponsor hearing) that there is a clinical need for additional treatments for patients with NETs, given these</w:t>
            </w:r>
            <w:r w:rsidRPr="00786C2F">
              <w:rPr>
                <w:rFonts w:asciiTheme="minorHAnsi" w:hAnsiTheme="minorHAnsi" w:cstheme="minorBidi"/>
                <w:color w:val="000000"/>
                <w:sz w:val="18"/>
                <w:szCs w:val="18"/>
                <w:lang w:val="en-GB"/>
              </w:rPr>
              <w:t xml:space="preserve"> are relatively rare conditions where treatment options are limited. </w:t>
            </w:r>
          </w:p>
          <w:p w14:paraId="3EF38D0A" w14:textId="77777777" w:rsidR="00A61669" w:rsidRPr="00786C2F" w:rsidRDefault="00A61669" w:rsidP="00DC3166">
            <w:pPr>
              <w:jc w:val="both"/>
              <w:rPr>
                <w:rFonts w:asciiTheme="minorHAnsi" w:hAnsiTheme="minorHAnsi" w:cstheme="minorBidi"/>
                <w:color w:val="000000"/>
                <w:sz w:val="18"/>
                <w:szCs w:val="18"/>
                <w:lang w:val="en-GB"/>
              </w:rPr>
            </w:pPr>
          </w:p>
          <w:p w14:paraId="2AAE6AAE" w14:textId="77777777" w:rsidR="00786C2F" w:rsidRDefault="00786C2F" w:rsidP="00DC3166">
            <w:pPr>
              <w:jc w:val="both"/>
              <w:rPr>
                <w:rFonts w:asciiTheme="minorHAnsi" w:hAnsiTheme="minorHAnsi" w:cstheme="minorBidi"/>
                <w:color w:val="000000"/>
                <w:sz w:val="18"/>
                <w:szCs w:val="18"/>
                <w:lang w:val="en-GB"/>
              </w:rPr>
            </w:pPr>
            <w:r w:rsidRPr="00786C2F">
              <w:rPr>
                <w:rFonts w:asciiTheme="minorHAnsi" w:hAnsiTheme="minorHAnsi" w:cstheme="minorBidi"/>
                <w:color w:val="000000"/>
                <w:sz w:val="18"/>
                <w:szCs w:val="18"/>
                <w:lang w:val="en-GB"/>
              </w:rPr>
              <w:t xml:space="preserve">Based on evidence from the CABINET trial, the PBAC was satisfied that cabozantinib improves progression free survival in the ‘fourth line’ setting when compared to best supportive care. The PBAC was also satisfied that, in the ‘third line’ setting, cabozantinib is as effective as sunitinib or </w:t>
            </w:r>
            <w:proofErr w:type="spellStart"/>
            <w:r w:rsidRPr="00786C2F">
              <w:rPr>
                <w:rFonts w:asciiTheme="minorHAnsi" w:hAnsiTheme="minorHAnsi" w:cstheme="minorBidi"/>
                <w:color w:val="000000"/>
                <w:sz w:val="18"/>
                <w:szCs w:val="18"/>
                <w:lang w:val="en-GB"/>
              </w:rPr>
              <w:t>everolimus</w:t>
            </w:r>
            <w:proofErr w:type="spellEnd"/>
            <w:r w:rsidRPr="00786C2F">
              <w:rPr>
                <w:rFonts w:asciiTheme="minorHAnsi" w:hAnsiTheme="minorHAnsi" w:cstheme="minorBidi"/>
                <w:color w:val="000000"/>
                <w:sz w:val="18"/>
                <w:szCs w:val="18"/>
                <w:lang w:val="en-GB"/>
              </w:rPr>
              <w:t xml:space="preserve"> for treating </w:t>
            </w:r>
            <w:proofErr w:type="spellStart"/>
            <w:r w:rsidRPr="00786C2F">
              <w:rPr>
                <w:rFonts w:asciiTheme="minorHAnsi" w:hAnsiTheme="minorHAnsi" w:cstheme="minorBidi"/>
                <w:color w:val="000000"/>
                <w:sz w:val="18"/>
                <w:szCs w:val="18"/>
                <w:lang w:val="en-GB"/>
              </w:rPr>
              <w:t>pNET</w:t>
            </w:r>
            <w:proofErr w:type="spellEnd"/>
            <w:r w:rsidRPr="00786C2F">
              <w:rPr>
                <w:rFonts w:asciiTheme="minorHAnsi" w:hAnsiTheme="minorHAnsi" w:cstheme="minorBidi"/>
                <w:color w:val="000000"/>
                <w:sz w:val="18"/>
                <w:szCs w:val="18"/>
                <w:lang w:val="en-GB"/>
              </w:rPr>
              <w:t xml:space="preserve">; and chemotherapy for treating </w:t>
            </w:r>
            <w:proofErr w:type="spellStart"/>
            <w:r w:rsidRPr="00786C2F">
              <w:rPr>
                <w:rFonts w:asciiTheme="minorHAnsi" w:hAnsiTheme="minorHAnsi" w:cstheme="minorBidi"/>
                <w:color w:val="000000"/>
                <w:sz w:val="18"/>
                <w:szCs w:val="18"/>
                <w:lang w:val="en-GB"/>
              </w:rPr>
              <w:t>epNET</w:t>
            </w:r>
            <w:proofErr w:type="spellEnd"/>
            <w:r w:rsidRPr="00786C2F">
              <w:rPr>
                <w:rFonts w:asciiTheme="minorHAnsi" w:hAnsiTheme="minorHAnsi" w:cstheme="minorBidi"/>
                <w:color w:val="000000"/>
                <w:sz w:val="18"/>
                <w:szCs w:val="18"/>
                <w:lang w:val="en-GB"/>
              </w:rPr>
              <w:t xml:space="preserve">. </w:t>
            </w:r>
          </w:p>
          <w:p w14:paraId="34B7213C" w14:textId="77777777" w:rsidR="002A3B67" w:rsidRPr="00786C2F" w:rsidRDefault="002A3B67" w:rsidP="00DC3166">
            <w:pPr>
              <w:jc w:val="both"/>
              <w:rPr>
                <w:rFonts w:asciiTheme="minorHAnsi" w:hAnsiTheme="minorHAnsi" w:cstheme="minorBidi"/>
                <w:color w:val="000000"/>
                <w:sz w:val="18"/>
                <w:szCs w:val="18"/>
                <w:lang w:val="en-GB"/>
              </w:rPr>
            </w:pPr>
          </w:p>
          <w:p w14:paraId="003F5B93" w14:textId="01A81E02" w:rsidR="00786C2F" w:rsidRDefault="00786C2F" w:rsidP="00DC3166">
            <w:pPr>
              <w:jc w:val="both"/>
              <w:rPr>
                <w:rFonts w:asciiTheme="minorHAnsi" w:hAnsiTheme="minorHAnsi" w:cstheme="minorBidi"/>
                <w:color w:val="000000"/>
                <w:sz w:val="18"/>
                <w:szCs w:val="18"/>
                <w:lang w:val="en-GB"/>
              </w:rPr>
            </w:pPr>
            <w:r w:rsidRPr="00786C2F">
              <w:rPr>
                <w:rFonts w:asciiTheme="minorHAnsi" w:hAnsiTheme="minorHAnsi" w:cstheme="minorBidi"/>
                <w:color w:val="000000"/>
                <w:sz w:val="18"/>
                <w:szCs w:val="18"/>
                <w:lang w:val="en-GB"/>
              </w:rPr>
              <w:t>The PBAC considered the estimates of benefits in support of the proposed price were not supported by the evidence included in the submission. In particular, the PBAC considered assumptions on overall survival were overly optimistic, and that the proportion of patients that would use cabozantinib in the fourth line setting compared to the third line setting was overestimated.</w:t>
            </w:r>
          </w:p>
          <w:p w14:paraId="18FF1E7A" w14:textId="77777777" w:rsidR="002A3B67" w:rsidRPr="00786C2F" w:rsidRDefault="002A3B67" w:rsidP="00DC3166">
            <w:pPr>
              <w:jc w:val="both"/>
              <w:rPr>
                <w:rFonts w:asciiTheme="minorHAnsi" w:hAnsiTheme="minorHAnsi" w:cstheme="minorBidi"/>
                <w:color w:val="000000"/>
                <w:sz w:val="18"/>
                <w:szCs w:val="18"/>
                <w:lang w:val="en-GB"/>
              </w:rPr>
            </w:pPr>
          </w:p>
          <w:p w14:paraId="19A8B906" w14:textId="6470ACD3" w:rsidR="00786C2F" w:rsidRDefault="00786C2F" w:rsidP="00DC3166">
            <w:pPr>
              <w:jc w:val="both"/>
              <w:rPr>
                <w:rFonts w:asciiTheme="minorHAnsi" w:hAnsiTheme="minorHAnsi" w:cstheme="minorBidi"/>
                <w:color w:val="000000"/>
                <w:sz w:val="18"/>
                <w:szCs w:val="18"/>
                <w:lang w:val="en-GB"/>
              </w:rPr>
            </w:pPr>
            <w:r w:rsidRPr="00786C2F">
              <w:rPr>
                <w:rFonts w:asciiTheme="minorHAnsi" w:hAnsiTheme="minorHAnsi" w:cstheme="minorBidi"/>
                <w:color w:val="000000"/>
                <w:sz w:val="18"/>
                <w:szCs w:val="18"/>
                <w:lang w:val="en-GB"/>
              </w:rPr>
              <w:t>The PBAC’s recommendation for listing was based on, among other matters, its assessment that the overall cost-effectiveness of cabozantinib would be acceptable with a price reduction using more realistic estimates. The PBAC also considered that revisions were required to the assumptions across the proposed treatment settings</w:t>
            </w:r>
            <w:r w:rsidR="0096420F">
              <w:rPr>
                <w:rFonts w:asciiTheme="minorHAnsi" w:hAnsiTheme="minorHAnsi" w:cstheme="minorBidi"/>
                <w:color w:val="000000"/>
                <w:sz w:val="18"/>
                <w:szCs w:val="18"/>
                <w:lang w:val="en-GB"/>
              </w:rPr>
              <w:t xml:space="preserve"> for </w:t>
            </w:r>
            <w:proofErr w:type="spellStart"/>
            <w:r w:rsidR="0096420F">
              <w:rPr>
                <w:rFonts w:asciiTheme="minorHAnsi" w:hAnsiTheme="minorHAnsi" w:cstheme="minorBidi"/>
                <w:color w:val="000000"/>
                <w:sz w:val="18"/>
                <w:szCs w:val="18"/>
                <w:lang w:val="en-GB"/>
              </w:rPr>
              <w:t>epNET</w:t>
            </w:r>
            <w:proofErr w:type="spellEnd"/>
            <w:r w:rsidR="0096420F">
              <w:rPr>
                <w:rFonts w:asciiTheme="minorHAnsi" w:hAnsiTheme="minorHAnsi" w:cstheme="minorBidi"/>
                <w:color w:val="000000"/>
                <w:sz w:val="18"/>
                <w:szCs w:val="18"/>
                <w:lang w:val="en-GB"/>
              </w:rPr>
              <w:t xml:space="preserve"> and </w:t>
            </w:r>
            <w:proofErr w:type="spellStart"/>
            <w:r w:rsidR="0001216B">
              <w:rPr>
                <w:rFonts w:asciiTheme="minorHAnsi" w:hAnsiTheme="minorHAnsi" w:cstheme="minorBidi"/>
                <w:color w:val="000000"/>
                <w:sz w:val="18"/>
                <w:szCs w:val="18"/>
                <w:lang w:val="en-GB"/>
              </w:rPr>
              <w:t>p</w:t>
            </w:r>
            <w:r w:rsidR="0096420F">
              <w:rPr>
                <w:rFonts w:asciiTheme="minorHAnsi" w:hAnsiTheme="minorHAnsi" w:cstheme="minorBidi"/>
                <w:color w:val="000000"/>
                <w:sz w:val="18"/>
                <w:szCs w:val="18"/>
                <w:lang w:val="en-GB"/>
              </w:rPr>
              <w:t>NET</w:t>
            </w:r>
            <w:proofErr w:type="spellEnd"/>
            <w:r w:rsidRPr="00786C2F">
              <w:rPr>
                <w:rFonts w:asciiTheme="minorHAnsi" w:hAnsiTheme="minorHAnsi" w:cstheme="minorBidi"/>
                <w:color w:val="000000"/>
                <w:sz w:val="18"/>
                <w:szCs w:val="18"/>
                <w:lang w:val="en-GB"/>
              </w:rPr>
              <w:t xml:space="preserve"> informing the </w:t>
            </w:r>
            <w:r w:rsidR="00B03C27">
              <w:rPr>
                <w:rFonts w:asciiTheme="minorHAnsi" w:hAnsiTheme="minorHAnsi" w:cstheme="minorBidi"/>
                <w:color w:val="000000"/>
                <w:sz w:val="18"/>
                <w:szCs w:val="18"/>
                <w:lang w:val="en-GB"/>
              </w:rPr>
              <w:t xml:space="preserve">overall </w:t>
            </w:r>
            <w:r w:rsidRPr="00786C2F">
              <w:rPr>
                <w:rFonts w:asciiTheme="minorHAnsi" w:hAnsiTheme="minorHAnsi" w:cstheme="minorBidi"/>
                <w:color w:val="000000"/>
                <w:sz w:val="18"/>
                <w:szCs w:val="18"/>
                <w:lang w:val="en-GB"/>
              </w:rPr>
              <w:t xml:space="preserve">price. </w:t>
            </w:r>
          </w:p>
          <w:p w14:paraId="54ECC9CC" w14:textId="77777777" w:rsidR="00C05A14" w:rsidRPr="00786C2F" w:rsidRDefault="00C05A14" w:rsidP="00DC3166">
            <w:pPr>
              <w:jc w:val="both"/>
              <w:rPr>
                <w:rFonts w:asciiTheme="minorHAnsi" w:hAnsiTheme="minorHAnsi" w:cstheme="minorBidi"/>
                <w:color w:val="000000"/>
                <w:sz w:val="18"/>
                <w:szCs w:val="18"/>
                <w:lang w:val="en-GB"/>
              </w:rPr>
            </w:pPr>
          </w:p>
          <w:p w14:paraId="1CC02EB6" w14:textId="1E222FB9" w:rsidR="00405A09" w:rsidRPr="00E040AB" w:rsidDel="008F66B5" w:rsidRDefault="00786C2F" w:rsidP="00DC3166">
            <w:pPr>
              <w:jc w:val="both"/>
              <w:rPr>
                <w:rFonts w:asciiTheme="minorHAnsi" w:hAnsiTheme="minorHAnsi" w:cstheme="minorBidi"/>
                <w:color w:val="000000"/>
                <w:sz w:val="18"/>
                <w:szCs w:val="18"/>
                <w:lang w:val="en-GB"/>
              </w:rPr>
            </w:pPr>
            <w:r w:rsidRPr="00786C2F">
              <w:rPr>
                <w:rFonts w:asciiTheme="minorHAnsi" w:hAnsiTheme="minorHAnsi" w:cstheme="minorBidi"/>
                <w:color w:val="000000"/>
                <w:sz w:val="18"/>
                <w:szCs w:val="18"/>
                <w:lang w:val="en-GB"/>
              </w:rPr>
              <w:t xml:space="preserve">The PBAC advised that flow-on changes would be required to the </w:t>
            </w:r>
            <w:r w:rsidRPr="00786C2F">
              <w:rPr>
                <w:rFonts w:asciiTheme="minorHAnsi" w:hAnsiTheme="minorHAnsi" w:cstheme="minorBidi"/>
                <w:color w:val="000000"/>
                <w:sz w:val="18"/>
                <w:szCs w:val="18"/>
              </w:rPr>
              <w:t xml:space="preserve">existing listings for sunitinib and </w:t>
            </w:r>
            <w:proofErr w:type="spellStart"/>
            <w:r w:rsidRPr="00786C2F">
              <w:rPr>
                <w:rFonts w:asciiTheme="minorHAnsi" w:hAnsiTheme="minorHAnsi" w:cstheme="minorBidi"/>
                <w:color w:val="000000"/>
                <w:sz w:val="18"/>
                <w:szCs w:val="18"/>
              </w:rPr>
              <w:t>everolimus</w:t>
            </w:r>
            <w:proofErr w:type="spellEnd"/>
            <w:r w:rsidRPr="00786C2F">
              <w:rPr>
                <w:rFonts w:asciiTheme="minorHAnsi" w:hAnsiTheme="minorHAnsi" w:cstheme="minorBidi"/>
                <w:color w:val="000000"/>
                <w:sz w:val="18"/>
                <w:szCs w:val="18"/>
              </w:rPr>
              <w:t xml:space="preserve"> in </w:t>
            </w:r>
            <w:proofErr w:type="spellStart"/>
            <w:r w:rsidRPr="00786C2F">
              <w:rPr>
                <w:rFonts w:asciiTheme="minorHAnsi" w:hAnsiTheme="minorHAnsi" w:cstheme="minorBidi"/>
                <w:color w:val="000000"/>
                <w:sz w:val="18"/>
                <w:szCs w:val="18"/>
              </w:rPr>
              <w:t>pNET</w:t>
            </w:r>
            <w:proofErr w:type="spellEnd"/>
            <w:r w:rsidRPr="00786C2F">
              <w:rPr>
                <w:rFonts w:asciiTheme="minorHAnsi" w:hAnsiTheme="minorHAnsi" w:cstheme="minorBidi"/>
                <w:color w:val="000000"/>
                <w:sz w:val="18"/>
                <w:szCs w:val="18"/>
              </w:rPr>
              <w:t xml:space="preserve"> to prevent their use in patients who have developed disease progression with cabozantinib. The PBAC also advised that </w:t>
            </w:r>
            <w:r w:rsidRPr="00786C2F">
              <w:rPr>
                <w:rFonts w:asciiTheme="minorHAnsi" w:hAnsiTheme="minorHAnsi" w:cstheme="minorBidi"/>
                <w:color w:val="000000"/>
                <w:sz w:val="18"/>
                <w:szCs w:val="18"/>
                <w:lang w:val="en-GB"/>
              </w:rPr>
              <w:t xml:space="preserve">flow-on changes would be required to the existing PBS listings for SSA therapies (octreotide and </w:t>
            </w:r>
            <w:proofErr w:type="spellStart"/>
            <w:r w:rsidRPr="00786C2F">
              <w:rPr>
                <w:rFonts w:asciiTheme="minorHAnsi" w:hAnsiTheme="minorHAnsi" w:cstheme="minorBidi"/>
                <w:color w:val="000000"/>
                <w:sz w:val="18"/>
                <w:szCs w:val="18"/>
                <w:lang w:val="en-GB"/>
              </w:rPr>
              <w:t>lanreotide</w:t>
            </w:r>
            <w:proofErr w:type="spellEnd"/>
            <w:r w:rsidRPr="00786C2F">
              <w:rPr>
                <w:rFonts w:asciiTheme="minorHAnsi" w:hAnsiTheme="minorHAnsi" w:cstheme="minorBidi"/>
                <w:color w:val="000000"/>
                <w:sz w:val="18"/>
                <w:szCs w:val="18"/>
                <w:lang w:val="en-GB"/>
              </w:rPr>
              <w:t xml:space="preserve">) in non-functional </w:t>
            </w:r>
            <w:proofErr w:type="spellStart"/>
            <w:r w:rsidRPr="00786C2F">
              <w:rPr>
                <w:rFonts w:asciiTheme="minorHAnsi" w:hAnsiTheme="minorHAnsi" w:cstheme="minorBidi"/>
                <w:color w:val="000000"/>
                <w:sz w:val="18"/>
                <w:szCs w:val="18"/>
                <w:lang w:val="en-GB"/>
              </w:rPr>
              <w:t>gastroenteropancreatic</w:t>
            </w:r>
            <w:proofErr w:type="spellEnd"/>
            <w:r w:rsidRPr="00786C2F">
              <w:rPr>
                <w:rFonts w:asciiTheme="minorHAnsi" w:hAnsiTheme="minorHAnsi" w:cstheme="minorBidi"/>
                <w:color w:val="000000"/>
                <w:sz w:val="18"/>
                <w:szCs w:val="18"/>
                <w:lang w:val="en-GB"/>
              </w:rPr>
              <w:t xml:space="preserve"> neuroendocrine tumour (GEP-NET) to allow concurrent use with cabozantinib.</w:t>
            </w:r>
          </w:p>
        </w:tc>
      </w:tr>
      <w:tr w:rsidR="00405A09" w:rsidRPr="008059F4" w:rsidDel="008F66B5" w14:paraId="0AE2830A" w14:textId="7E5B3719" w:rsidTr="09589B60">
        <w:trPr>
          <w:cantSplit/>
          <w:trHeight w:val="2948"/>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FF9B0D3" w14:textId="7D64FB03" w:rsidR="00B167B7" w:rsidRPr="006A5A05" w:rsidRDefault="00405A09" w:rsidP="00DC3166">
            <w:pPr>
              <w:jc w:val="center"/>
              <w:rPr>
                <w:rFonts w:asciiTheme="minorHAnsi" w:eastAsia="Calibri" w:hAnsiTheme="minorHAnsi" w:cstheme="minorHAnsi"/>
                <w:color w:val="000000" w:themeColor="text1"/>
                <w:sz w:val="18"/>
                <w:szCs w:val="18"/>
              </w:rPr>
            </w:pPr>
            <w:r w:rsidRPr="006A5A05">
              <w:rPr>
                <w:rFonts w:asciiTheme="minorHAnsi" w:hAnsiTheme="minorHAnsi" w:cstheme="minorHAnsi"/>
                <w:color w:val="000000"/>
                <w:sz w:val="18"/>
                <w:szCs w:val="18"/>
              </w:rPr>
              <w:t>CALCIPOTRIOL WITH BETAMETHASONE DIPROPIONATE</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Cream containing calcipotriol 50 micrograms with betamethasone 500 micrograms (as dipropionate) per g, 60 g</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r>
            <w:proofErr w:type="spellStart"/>
            <w:r w:rsidRPr="006A5A05">
              <w:rPr>
                <w:rFonts w:asciiTheme="minorHAnsi" w:hAnsiTheme="minorHAnsi" w:cstheme="minorHAnsi"/>
                <w:color w:val="000000"/>
                <w:sz w:val="18"/>
                <w:szCs w:val="18"/>
              </w:rPr>
              <w:t>Wynzora</w:t>
            </w:r>
            <w:proofErr w:type="spellEnd"/>
            <w:r w:rsidRPr="006A5A05">
              <w:rPr>
                <w:rFonts w:asciiTheme="minorHAnsi" w:hAnsiTheme="minorHAnsi" w:cstheme="minorHAnsi"/>
                <w:color w:val="000000"/>
                <w:sz w:val="18"/>
                <w:szCs w:val="18"/>
                <w:vertAlign w:val="superscript"/>
              </w:rPr>
              <w:t>®</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ACTOR PHARMACEUTICALS PTY LTD</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r>
            <w:r w:rsidR="00B167B7" w:rsidRPr="006A5A05">
              <w:rPr>
                <w:rFonts w:asciiTheme="minorHAnsi" w:eastAsia="Calibri" w:hAnsiTheme="minorHAnsi" w:cstheme="minorHAnsi"/>
                <w:color w:val="000000" w:themeColor="text1"/>
                <w:sz w:val="18"/>
                <w:szCs w:val="18"/>
              </w:rPr>
              <w:t xml:space="preserve">Category </w:t>
            </w:r>
            <w:r w:rsidR="004D14C8">
              <w:rPr>
                <w:rFonts w:asciiTheme="minorHAnsi" w:eastAsia="Calibri" w:hAnsiTheme="minorHAnsi" w:cstheme="minorHAnsi"/>
                <w:color w:val="000000" w:themeColor="text1"/>
                <w:sz w:val="18"/>
                <w:szCs w:val="18"/>
              </w:rPr>
              <w:t>2</w:t>
            </w:r>
          </w:p>
          <w:p w14:paraId="72D55D02" w14:textId="49014AD2" w:rsidR="00405A09" w:rsidRPr="006A5A05" w:rsidRDefault="00405A09"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vAlign w:val="center"/>
          </w:tcPr>
          <w:p w14:paraId="64A6D788" w14:textId="1BB8F1F5" w:rsidR="00405A09" w:rsidRPr="006A5A05" w:rsidRDefault="00405A09"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Chronic stable plaque type psoriasis vulgaris</w:t>
            </w:r>
          </w:p>
        </w:tc>
        <w:tc>
          <w:tcPr>
            <w:tcW w:w="29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9A204C5" w14:textId="2126FB61" w:rsidR="00405A09" w:rsidRPr="006A5A05" w:rsidRDefault="00405A09"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To request a General Schedule Restricted Benefit listing for the treatment of chronic plaque type psoriasis vulgaris in patients who have not adequately responded to potent topical corticosteroid monotherapy.</w:t>
            </w:r>
          </w:p>
        </w:tc>
        <w:tc>
          <w:tcPr>
            <w:tcW w:w="1584" w:type="dxa"/>
            <w:tcBorders>
              <w:top w:val="single" w:sz="4" w:space="0" w:color="auto"/>
              <w:left w:val="single" w:sz="4" w:space="0" w:color="auto"/>
              <w:bottom w:val="single" w:sz="4" w:space="0" w:color="auto"/>
              <w:right w:val="single" w:sz="4" w:space="0" w:color="auto"/>
            </w:tcBorders>
            <w:vAlign w:val="center"/>
          </w:tcPr>
          <w:p w14:paraId="4BCD8363" w14:textId="0364EEDE" w:rsidR="00405A09" w:rsidRPr="006A5A05" w:rsidDel="008F66B5" w:rsidRDefault="00326344" w:rsidP="00DC3166">
            <w:pPr>
              <w:pStyle w:val="ListParagraph"/>
              <w:keepLines/>
              <w:ind w:left="0"/>
              <w:jc w:val="center"/>
              <w:rPr>
                <w:rFonts w:asciiTheme="minorHAnsi" w:hAnsiTheme="minorHAnsi" w:cstheme="minorHAnsi"/>
                <w:color w:val="000000"/>
                <w:sz w:val="18"/>
                <w:szCs w:val="18"/>
              </w:rPr>
            </w:pPr>
            <w:r w:rsidRPr="00326344">
              <w:rPr>
                <w:rFonts w:asciiTheme="minorHAnsi" w:hAnsiTheme="minorHAnsi" w:cstheme="minorHAnsi"/>
                <w:color w:val="000000"/>
                <w:sz w:val="18"/>
                <w:szCs w:val="18"/>
              </w:rPr>
              <w:t>Recommended</w:t>
            </w:r>
          </w:p>
        </w:tc>
        <w:tc>
          <w:tcPr>
            <w:tcW w:w="4836" w:type="dxa"/>
            <w:tcBorders>
              <w:top w:val="single" w:sz="4" w:space="0" w:color="auto"/>
              <w:left w:val="single" w:sz="4" w:space="0" w:color="auto"/>
              <w:bottom w:val="single" w:sz="4" w:space="0" w:color="auto"/>
              <w:right w:val="single" w:sz="4" w:space="0" w:color="auto"/>
            </w:tcBorders>
            <w:vAlign w:val="center"/>
          </w:tcPr>
          <w:p w14:paraId="2636442F" w14:textId="37DBADBF" w:rsidR="00405A09" w:rsidRPr="00F03408" w:rsidDel="008F66B5" w:rsidRDefault="00C27F2F" w:rsidP="00DC3166">
            <w:pPr>
              <w:jc w:val="both"/>
              <w:rPr>
                <w:rFonts w:asciiTheme="minorHAnsi" w:hAnsiTheme="minorHAnsi" w:cstheme="minorHAnsi"/>
                <w:color w:val="000000"/>
                <w:sz w:val="18"/>
                <w:szCs w:val="18"/>
              </w:rPr>
            </w:pPr>
            <w:r w:rsidRPr="00C27F2F">
              <w:rPr>
                <w:rFonts w:asciiTheme="minorHAnsi" w:hAnsiTheme="minorHAnsi" w:cstheme="minorHAnsi"/>
                <w:color w:val="000000"/>
                <w:sz w:val="18"/>
                <w:szCs w:val="18"/>
              </w:rPr>
              <w:t xml:space="preserve">The PBAC recommended the listing of calcipotriol 0.005% with betamethasone (as dipropionate) 0.05% (CAL/BDP) cream, 60 g, as a General Schedule (Restricted Benefit) listing, for the treatment of chronic stable plaque type psoriasis vulgaris in patients who have not adequately responded to potent topical corticosteroid monotherapy, under the same circumstances as CAL/BDP foam and ointment that are listed on the PBS. The PBAC noted CAL/BDP cream provides another option for patients requiring topical CAL/BDP, and considered that CAL/BDP cream had </w:t>
            </w:r>
            <w:r w:rsidR="00F00D9B">
              <w:rPr>
                <w:rFonts w:asciiTheme="minorHAnsi" w:hAnsiTheme="minorHAnsi" w:cstheme="minorHAnsi"/>
                <w:color w:val="000000"/>
                <w:sz w:val="18"/>
                <w:szCs w:val="18"/>
              </w:rPr>
              <w:t>similar</w:t>
            </w:r>
            <w:r w:rsidRPr="00C27F2F">
              <w:rPr>
                <w:rFonts w:asciiTheme="minorHAnsi" w:hAnsiTheme="minorHAnsi" w:cstheme="minorHAnsi"/>
                <w:color w:val="000000"/>
                <w:sz w:val="18"/>
                <w:szCs w:val="18"/>
              </w:rPr>
              <w:t xml:space="preserve"> efficacy and safety compared to CAL/BDP foam and ointment. The PBAC recommended </w:t>
            </w:r>
            <w:r w:rsidR="00700C8D">
              <w:rPr>
                <w:rFonts w:asciiTheme="minorHAnsi" w:hAnsiTheme="minorHAnsi" w:cstheme="minorHAnsi"/>
                <w:color w:val="000000"/>
                <w:sz w:val="18"/>
                <w:szCs w:val="18"/>
              </w:rPr>
              <w:t>the</w:t>
            </w:r>
            <w:r w:rsidRPr="00C27F2F">
              <w:rPr>
                <w:rFonts w:asciiTheme="minorHAnsi" w:hAnsiTheme="minorHAnsi" w:cstheme="minorHAnsi"/>
                <w:color w:val="000000"/>
                <w:sz w:val="18"/>
                <w:szCs w:val="18"/>
              </w:rPr>
              <w:t xml:space="preserve"> listing </w:t>
            </w:r>
            <w:r w:rsidR="00700C8D">
              <w:rPr>
                <w:rFonts w:asciiTheme="minorHAnsi" w:hAnsiTheme="minorHAnsi" w:cstheme="minorHAnsi"/>
                <w:color w:val="000000"/>
                <w:sz w:val="18"/>
                <w:szCs w:val="18"/>
              </w:rPr>
              <w:t>should cost no more than</w:t>
            </w:r>
            <w:r w:rsidRPr="00C27F2F">
              <w:rPr>
                <w:rFonts w:asciiTheme="minorHAnsi" w:hAnsiTheme="minorHAnsi" w:cstheme="minorHAnsi"/>
                <w:color w:val="000000"/>
                <w:sz w:val="18"/>
                <w:szCs w:val="18"/>
              </w:rPr>
              <w:t xml:space="preserve"> the lowest cost CAL/BDP formulation listed on the PBS (CAL/BDP ointment), and advised the equi-effective doses are 1 gram CAL/BDP cream to 1 gram CAL/BDP foam and 1 gram CAL/BDP ointment.</w:t>
            </w:r>
          </w:p>
        </w:tc>
      </w:tr>
      <w:tr w:rsidR="00405A09" w:rsidRPr="008059F4" w:rsidDel="008F66B5" w14:paraId="4A465492" w14:textId="28FC3684" w:rsidTr="09589B60">
        <w:trPr>
          <w:cantSplit/>
          <w:trHeight w:val="2948"/>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BB3BDEB" w14:textId="73EDFF6E" w:rsidR="00B43C53" w:rsidRPr="006A5A05" w:rsidRDefault="00405A09" w:rsidP="00DC3166">
            <w:pPr>
              <w:jc w:val="center"/>
              <w:rPr>
                <w:rFonts w:asciiTheme="minorHAnsi" w:eastAsia="Calibri" w:hAnsiTheme="minorHAnsi" w:cstheme="minorHAnsi"/>
                <w:color w:val="000000" w:themeColor="text1"/>
                <w:sz w:val="18"/>
                <w:szCs w:val="18"/>
              </w:rPr>
            </w:pPr>
            <w:r w:rsidRPr="006A5A05">
              <w:rPr>
                <w:rFonts w:asciiTheme="minorHAnsi" w:hAnsiTheme="minorHAnsi" w:cstheme="minorHAnsi"/>
                <w:color w:val="000000"/>
                <w:sz w:val="18"/>
                <w:szCs w:val="18"/>
              </w:rPr>
              <w:t>CANNABIDIOL</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Oral liquid 100 mg per mL, 100 mL</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Epidyolex</w:t>
            </w:r>
            <w:r w:rsidRPr="006A5A05">
              <w:rPr>
                <w:rFonts w:asciiTheme="minorHAnsi" w:hAnsiTheme="minorHAnsi" w:cstheme="minorHAnsi"/>
                <w:color w:val="000000"/>
                <w:sz w:val="18"/>
                <w:szCs w:val="18"/>
                <w:vertAlign w:val="superscript"/>
              </w:rPr>
              <w:t>®</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JAZZ PHARMACEUTICALS ANZ PTY LTD</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r>
            <w:r w:rsidR="00B43C53" w:rsidRPr="006A5A05">
              <w:rPr>
                <w:rFonts w:asciiTheme="minorHAnsi" w:eastAsia="Calibri" w:hAnsiTheme="minorHAnsi" w:cstheme="minorHAnsi"/>
                <w:color w:val="000000" w:themeColor="text1"/>
                <w:sz w:val="18"/>
                <w:szCs w:val="18"/>
              </w:rPr>
              <w:t xml:space="preserve">Category </w:t>
            </w:r>
            <w:r w:rsidR="0088444F">
              <w:rPr>
                <w:rFonts w:asciiTheme="minorHAnsi" w:eastAsia="Calibri" w:hAnsiTheme="minorHAnsi" w:cstheme="minorHAnsi"/>
                <w:color w:val="000000" w:themeColor="text1"/>
                <w:sz w:val="18"/>
                <w:szCs w:val="18"/>
              </w:rPr>
              <w:t>3</w:t>
            </w:r>
          </w:p>
          <w:p w14:paraId="66A16B70" w14:textId="6A4646A1" w:rsidR="00405A09" w:rsidRPr="006A5A05" w:rsidRDefault="00405A09"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(Change to existing listing)</w:t>
            </w:r>
          </w:p>
        </w:tc>
        <w:tc>
          <w:tcPr>
            <w:tcW w:w="2767" w:type="dxa"/>
            <w:tcBorders>
              <w:top w:val="single" w:sz="4" w:space="0" w:color="auto"/>
              <w:left w:val="single" w:sz="4" w:space="0" w:color="auto"/>
              <w:bottom w:val="single" w:sz="4" w:space="0" w:color="auto"/>
              <w:right w:val="single" w:sz="4" w:space="0" w:color="auto"/>
            </w:tcBorders>
            <w:vAlign w:val="center"/>
          </w:tcPr>
          <w:p w14:paraId="258BA57C" w14:textId="09C5F44E" w:rsidR="00405A09" w:rsidRPr="006A5A05" w:rsidRDefault="00405A09"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Seizures of the Lennox-</w:t>
            </w:r>
            <w:proofErr w:type="spellStart"/>
            <w:r w:rsidRPr="006A5A05">
              <w:rPr>
                <w:rFonts w:asciiTheme="minorHAnsi" w:hAnsiTheme="minorHAnsi" w:cstheme="minorHAnsi"/>
                <w:color w:val="000000"/>
                <w:sz w:val="18"/>
                <w:szCs w:val="18"/>
              </w:rPr>
              <w:t>Gastaut</w:t>
            </w:r>
            <w:proofErr w:type="spellEnd"/>
            <w:r w:rsidRPr="006A5A05">
              <w:rPr>
                <w:rFonts w:asciiTheme="minorHAnsi" w:hAnsiTheme="minorHAnsi" w:cstheme="minorHAnsi"/>
                <w:color w:val="000000"/>
                <w:sz w:val="18"/>
                <w:szCs w:val="18"/>
              </w:rPr>
              <w:t xml:space="preserve"> syndrome (LGS)</w:t>
            </w:r>
          </w:p>
        </w:tc>
        <w:tc>
          <w:tcPr>
            <w:tcW w:w="29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80125B7" w14:textId="46CB8BFB" w:rsidR="00405A09" w:rsidRPr="006A5A05" w:rsidRDefault="00405A09"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To request an amendment to the restriction level from Authority Required (Telephone/Online) to Authority Required (STREAMLINED) for the treatment of seizures associated with LGS. The submission also requested amendments to the clinical criteria, including the requirement for a diagnosis confirmed by an electroencephalogram and a definition of the types of seizures, and to the treatment criteria to allow prescribing by a paediatrician.</w:t>
            </w:r>
          </w:p>
        </w:tc>
        <w:tc>
          <w:tcPr>
            <w:tcW w:w="1584" w:type="dxa"/>
            <w:tcBorders>
              <w:top w:val="single" w:sz="4" w:space="0" w:color="auto"/>
              <w:left w:val="single" w:sz="4" w:space="0" w:color="auto"/>
              <w:bottom w:val="single" w:sz="4" w:space="0" w:color="auto"/>
              <w:right w:val="single" w:sz="4" w:space="0" w:color="auto"/>
            </w:tcBorders>
            <w:vAlign w:val="center"/>
          </w:tcPr>
          <w:p w14:paraId="7E66B42F" w14:textId="4441252D" w:rsidR="00405A09" w:rsidRPr="006A5A05" w:rsidDel="008F66B5" w:rsidRDefault="00AC7B54" w:rsidP="00DC3166">
            <w:pPr>
              <w:pStyle w:val="ListParagraph"/>
              <w:keepLines/>
              <w:ind w:left="0"/>
              <w:jc w:val="center"/>
              <w:rPr>
                <w:rFonts w:asciiTheme="minorHAnsi" w:hAnsiTheme="minorHAnsi" w:cstheme="minorHAnsi"/>
                <w:color w:val="000000"/>
                <w:sz w:val="18"/>
                <w:szCs w:val="18"/>
              </w:rPr>
            </w:pPr>
            <w:r w:rsidRPr="00AC7B54">
              <w:rPr>
                <w:rFonts w:asciiTheme="minorHAnsi" w:hAnsiTheme="minorHAnsi" w:cstheme="minorHAnsi"/>
                <w:color w:val="000000"/>
                <w:sz w:val="18"/>
                <w:szCs w:val="18"/>
              </w:rPr>
              <w:t>Recommended</w:t>
            </w:r>
          </w:p>
        </w:tc>
        <w:tc>
          <w:tcPr>
            <w:tcW w:w="4836" w:type="dxa"/>
            <w:tcBorders>
              <w:top w:val="single" w:sz="4" w:space="0" w:color="auto"/>
              <w:left w:val="single" w:sz="4" w:space="0" w:color="auto"/>
              <w:bottom w:val="single" w:sz="4" w:space="0" w:color="auto"/>
              <w:right w:val="single" w:sz="4" w:space="0" w:color="auto"/>
            </w:tcBorders>
            <w:vAlign w:val="center"/>
          </w:tcPr>
          <w:p w14:paraId="40A557DC" w14:textId="4F13264F" w:rsidR="00D5518E" w:rsidRDefault="00D5518E" w:rsidP="00DC3166">
            <w:pPr>
              <w:jc w:val="both"/>
              <w:rPr>
                <w:rFonts w:asciiTheme="minorHAnsi" w:hAnsiTheme="minorHAnsi" w:cstheme="minorHAnsi"/>
                <w:color w:val="000000"/>
                <w:sz w:val="18"/>
                <w:szCs w:val="18"/>
                <w:lang w:val="en-GB"/>
              </w:rPr>
            </w:pPr>
            <w:r w:rsidRPr="00D5518E">
              <w:rPr>
                <w:rFonts w:asciiTheme="minorHAnsi" w:hAnsiTheme="minorHAnsi" w:cstheme="minorHAnsi"/>
                <w:color w:val="000000"/>
                <w:sz w:val="18"/>
                <w:szCs w:val="18"/>
                <w:lang w:val="en-GB"/>
              </w:rPr>
              <w:t xml:space="preserve">The PBAC recommended amending the restriction level of cannabidiol for the treatment of seizures associated with LGS from Authority Required (Telephone/online PBS Authorities system) to Authority Required (STREAMLINED). The PBAC also recommended amendments to the current PBS criteria for cannabidiol to improve access for patients with LGS. These include easing the requirement for an electroencephalogram (EEG) to confirm diagnosis, removing specific EEG features, seizure frequency and type, and the number of concomitant </w:t>
            </w:r>
            <w:r w:rsidRPr="00D5518E">
              <w:rPr>
                <w:rFonts w:asciiTheme="minorHAnsi" w:hAnsiTheme="minorHAnsi" w:cstheme="minorHAnsi"/>
                <w:color w:val="000000"/>
                <w:sz w:val="18"/>
                <w:szCs w:val="18"/>
              </w:rPr>
              <w:t>antiseizure medication</w:t>
            </w:r>
            <w:r w:rsidRPr="00D5518E">
              <w:rPr>
                <w:rFonts w:asciiTheme="minorHAnsi" w:hAnsiTheme="minorHAnsi" w:cstheme="minorHAnsi"/>
                <w:color w:val="000000"/>
                <w:sz w:val="18"/>
                <w:szCs w:val="18"/>
                <w:lang w:val="en-GB"/>
              </w:rPr>
              <w:t>. The PBAC further supported allowing prescribing by a paediatrician for both initial and continuing treatment.</w:t>
            </w:r>
          </w:p>
          <w:p w14:paraId="34E8B85A" w14:textId="77777777" w:rsidR="00B2180F" w:rsidRPr="00D5518E" w:rsidRDefault="00B2180F" w:rsidP="00DC3166">
            <w:pPr>
              <w:jc w:val="both"/>
              <w:rPr>
                <w:rFonts w:asciiTheme="minorHAnsi" w:hAnsiTheme="minorHAnsi" w:cstheme="minorHAnsi"/>
                <w:color w:val="000000"/>
                <w:sz w:val="18"/>
                <w:szCs w:val="18"/>
                <w:lang w:val="en-GB"/>
              </w:rPr>
            </w:pPr>
          </w:p>
          <w:p w14:paraId="22285E3A" w14:textId="57E2E7FD" w:rsidR="00D5518E" w:rsidRDefault="00D5518E" w:rsidP="00DC3166">
            <w:pPr>
              <w:jc w:val="both"/>
              <w:rPr>
                <w:rFonts w:asciiTheme="minorHAnsi" w:hAnsiTheme="minorHAnsi" w:cstheme="minorHAnsi"/>
                <w:color w:val="000000"/>
                <w:sz w:val="18"/>
                <w:szCs w:val="18"/>
                <w:lang w:val="en-GB"/>
              </w:rPr>
            </w:pPr>
            <w:r w:rsidRPr="00D5518E">
              <w:rPr>
                <w:rFonts w:asciiTheme="minorHAnsi" w:hAnsiTheme="minorHAnsi" w:cstheme="minorHAnsi"/>
                <w:color w:val="000000"/>
                <w:sz w:val="18"/>
                <w:szCs w:val="18"/>
                <w:lang w:val="en-GB"/>
              </w:rPr>
              <w:t xml:space="preserve">The PBAC </w:t>
            </w:r>
            <w:r w:rsidR="0000656F">
              <w:rPr>
                <w:rFonts w:asciiTheme="minorHAnsi" w:hAnsiTheme="minorHAnsi" w:cstheme="minorHAnsi"/>
                <w:color w:val="000000"/>
                <w:sz w:val="18"/>
                <w:szCs w:val="18"/>
                <w:lang w:val="en-GB"/>
              </w:rPr>
              <w:t>welcomed</w:t>
            </w:r>
            <w:r w:rsidRPr="00D5518E">
              <w:rPr>
                <w:rFonts w:asciiTheme="minorHAnsi" w:hAnsiTheme="minorHAnsi" w:cstheme="minorHAnsi"/>
                <w:color w:val="000000"/>
                <w:sz w:val="18"/>
                <w:szCs w:val="18"/>
                <w:lang w:val="en-GB"/>
              </w:rPr>
              <w:t xml:space="preserve"> input from healthcare professionals,</w:t>
            </w:r>
            <w:r w:rsidR="008F6BC9">
              <w:rPr>
                <w:rFonts w:asciiTheme="minorHAnsi" w:hAnsiTheme="minorHAnsi" w:cstheme="minorHAnsi"/>
                <w:color w:val="000000"/>
                <w:sz w:val="18"/>
                <w:szCs w:val="18"/>
                <w:lang w:val="en-GB"/>
              </w:rPr>
              <w:t xml:space="preserve"> a</w:t>
            </w:r>
            <w:r w:rsidRPr="00D5518E">
              <w:rPr>
                <w:rFonts w:asciiTheme="minorHAnsi" w:hAnsiTheme="minorHAnsi" w:cstheme="minorHAnsi"/>
                <w:color w:val="000000"/>
                <w:sz w:val="18"/>
                <w:szCs w:val="18"/>
                <w:lang w:val="en-GB"/>
              </w:rPr>
              <w:t xml:space="preserve"> medical organisation, and consumer groups supporting the proposed changes to ensure equitable, affordable, and timely access to cannabidiol.</w:t>
            </w:r>
          </w:p>
          <w:p w14:paraId="7A77FCBA" w14:textId="77777777" w:rsidR="00B2180F" w:rsidRPr="00D5518E" w:rsidRDefault="00B2180F" w:rsidP="00DC3166">
            <w:pPr>
              <w:jc w:val="both"/>
              <w:rPr>
                <w:rFonts w:asciiTheme="minorHAnsi" w:hAnsiTheme="minorHAnsi" w:cstheme="minorHAnsi"/>
                <w:color w:val="000000"/>
                <w:sz w:val="18"/>
                <w:szCs w:val="18"/>
                <w:lang w:val="en-GB"/>
              </w:rPr>
            </w:pPr>
          </w:p>
          <w:p w14:paraId="451B7AE4" w14:textId="33857301" w:rsidR="00405A09" w:rsidRPr="00F03408" w:rsidDel="008F66B5" w:rsidRDefault="004A4812" w:rsidP="00DC3166">
            <w:pPr>
              <w:jc w:val="both"/>
              <w:rPr>
                <w:rFonts w:asciiTheme="minorHAnsi" w:hAnsiTheme="minorHAnsi" w:cstheme="minorHAnsi"/>
                <w:color w:val="000000"/>
                <w:sz w:val="18"/>
                <w:szCs w:val="18"/>
              </w:rPr>
            </w:pPr>
            <w:r w:rsidRPr="004A4812">
              <w:rPr>
                <w:rFonts w:asciiTheme="minorHAnsi" w:hAnsiTheme="minorHAnsi" w:cstheme="minorHAnsi"/>
                <w:color w:val="000000"/>
                <w:sz w:val="18"/>
                <w:szCs w:val="18"/>
                <w:lang w:val="en-GB"/>
              </w:rPr>
              <w:t>The PBAC noted that actual utilisation of cannabidiol was significantly lower than expected. While the PBAC acknowledged uncertainty regarding the financial implications of the revised PBS restrictions, it considered the changes unlikely to result in a substantial financial impact.</w:t>
            </w:r>
          </w:p>
        </w:tc>
      </w:tr>
      <w:tr w:rsidR="006211D7" w:rsidRPr="008059F4" w:rsidDel="008F66B5" w14:paraId="4B53762F" w14:textId="71C5A6EF" w:rsidTr="09589B60">
        <w:trPr>
          <w:cantSplit/>
          <w:trHeight w:val="2948"/>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859C526" w14:textId="7A8BB15E" w:rsidR="00EC00A2" w:rsidRPr="006A5A05" w:rsidRDefault="006211D7" w:rsidP="00DC3166">
            <w:pPr>
              <w:jc w:val="center"/>
              <w:rPr>
                <w:rFonts w:asciiTheme="minorHAnsi" w:eastAsia="Calibri" w:hAnsiTheme="minorHAnsi" w:cstheme="minorHAnsi"/>
                <w:color w:val="000000" w:themeColor="text1"/>
                <w:sz w:val="18"/>
                <w:szCs w:val="18"/>
              </w:rPr>
            </w:pPr>
            <w:r w:rsidRPr="00F657EC">
              <w:rPr>
                <w:rFonts w:asciiTheme="minorHAnsi" w:hAnsiTheme="minorHAnsi" w:cstheme="minorHAnsi"/>
                <w:color w:val="000000"/>
                <w:sz w:val="18"/>
                <w:szCs w:val="18"/>
              </w:rPr>
              <w:t>DONANEMAB</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Solution concentrate for I.V. infusion 350 mg in 20 mL</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r>
            <w:proofErr w:type="spellStart"/>
            <w:r w:rsidRPr="006A5A05">
              <w:rPr>
                <w:rFonts w:asciiTheme="minorHAnsi" w:hAnsiTheme="minorHAnsi" w:cstheme="minorHAnsi"/>
                <w:color w:val="000000"/>
                <w:sz w:val="18"/>
                <w:szCs w:val="18"/>
              </w:rPr>
              <w:t>Kisunla</w:t>
            </w:r>
            <w:proofErr w:type="spellEnd"/>
            <w:r w:rsidRPr="006A5A05">
              <w:rPr>
                <w:rFonts w:asciiTheme="minorHAnsi" w:hAnsiTheme="minorHAnsi" w:cstheme="minorHAnsi"/>
                <w:color w:val="000000"/>
                <w:sz w:val="18"/>
                <w:szCs w:val="18"/>
                <w:vertAlign w:val="superscript"/>
              </w:rPr>
              <w:t>®</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ELI LILLY AUSTRALIA PTY LTD</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r>
            <w:r w:rsidR="00EC00A2" w:rsidRPr="006A5A05">
              <w:rPr>
                <w:rFonts w:asciiTheme="minorHAnsi" w:eastAsia="Calibri" w:hAnsiTheme="minorHAnsi" w:cstheme="minorHAnsi"/>
                <w:color w:val="000000" w:themeColor="text1"/>
                <w:sz w:val="18"/>
                <w:szCs w:val="18"/>
              </w:rPr>
              <w:t>Category</w:t>
            </w:r>
            <w:r w:rsidR="004D14C8">
              <w:rPr>
                <w:rFonts w:asciiTheme="minorHAnsi" w:eastAsia="Calibri" w:hAnsiTheme="minorHAnsi" w:cstheme="minorHAnsi"/>
                <w:color w:val="000000" w:themeColor="text1"/>
                <w:sz w:val="18"/>
                <w:szCs w:val="18"/>
              </w:rPr>
              <w:t xml:space="preserve"> 1</w:t>
            </w:r>
          </w:p>
          <w:p w14:paraId="7C3C9A50" w14:textId="66ED0CD5" w:rsidR="006211D7" w:rsidRPr="006A5A05" w:rsidRDefault="006211D7"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vAlign w:val="center"/>
          </w:tcPr>
          <w:p w14:paraId="5D7E4BE2" w14:textId="404B6EB9" w:rsidR="006211D7" w:rsidRPr="006A5A05" w:rsidRDefault="006211D7"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Early symptomatic Alzheimer's disease</w:t>
            </w:r>
          </w:p>
        </w:tc>
        <w:tc>
          <w:tcPr>
            <w:tcW w:w="29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AC5724A" w14:textId="28E37B7C" w:rsidR="006211D7" w:rsidRPr="006A5A05" w:rsidRDefault="006211D7"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To request a Section 100 (Highly Specialised Drugs Program) Authority Required (Telephone/Online) listing of donanemab for the treatment of patients with early symptomatic Alzheimer's disease.</w:t>
            </w:r>
          </w:p>
        </w:tc>
        <w:tc>
          <w:tcPr>
            <w:tcW w:w="1584" w:type="dxa"/>
            <w:vAlign w:val="center"/>
          </w:tcPr>
          <w:p w14:paraId="167AD0DD" w14:textId="578081B4" w:rsidR="006211D7" w:rsidRPr="006A5A05" w:rsidDel="008F66B5" w:rsidRDefault="003D726B" w:rsidP="00DC3166">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 xml:space="preserve">Not </w:t>
            </w:r>
            <w:r w:rsidR="004D1645">
              <w:rPr>
                <w:rFonts w:asciiTheme="minorHAnsi" w:hAnsiTheme="minorHAnsi" w:cstheme="minorHAnsi"/>
                <w:color w:val="000000"/>
                <w:sz w:val="18"/>
                <w:szCs w:val="18"/>
              </w:rPr>
              <w:t>R</w:t>
            </w:r>
            <w:r w:rsidRPr="003D726B">
              <w:rPr>
                <w:rFonts w:asciiTheme="minorHAnsi" w:hAnsiTheme="minorHAnsi" w:cstheme="minorHAnsi"/>
                <w:color w:val="000000"/>
                <w:sz w:val="18"/>
                <w:szCs w:val="18"/>
              </w:rPr>
              <w:t>ecommended</w:t>
            </w:r>
          </w:p>
        </w:tc>
        <w:tc>
          <w:tcPr>
            <w:tcW w:w="4836" w:type="dxa"/>
            <w:vAlign w:val="center"/>
          </w:tcPr>
          <w:p w14:paraId="70157A1A" w14:textId="77777777" w:rsidR="0025588E" w:rsidRPr="0025588E" w:rsidRDefault="0025588E" w:rsidP="00DC3166">
            <w:pPr>
              <w:jc w:val="both"/>
              <w:rPr>
                <w:rFonts w:asciiTheme="minorHAnsi" w:hAnsiTheme="minorHAnsi" w:cstheme="minorBidi"/>
                <w:color w:val="000000"/>
                <w:sz w:val="18"/>
                <w:szCs w:val="18"/>
              </w:rPr>
            </w:pPr>
            <w:r w:rsidRPr="0025588E">
              <w:rPr>
                <w:rFonts w:asciiTheme="minorHAnsi" w:hAnsiTheme="minorHAnsi" w:cstheme="minorBidi"/>
                <w:color w:val="000000"/>
                <w:sz w:val="18"/>
                <w:szCs w:val="18"/>
              </w:rPr>
              <w:t xml:space="preserve">The PBAC did not recommend listing donanemab on the PBS for the treatment of patients with mild cognitive impairment due to Alzheimer’s disease (AD) or mild AD (referred to collectively as early AD). The PBAC acknowledged there is a high clinical need for effective disease modifying treatments for AD and noted that existing treatments have only modest effectiveness. While clinical trials demonstrated that donanemab can potentially delay the progression of early AD by approximately 6 weeks, the PBAC noted there is a lack of consensus among clinicians that these results would translate into meaningful improvements for patients. </w:t>
            </w:r>
          </w:p>
          <w:p w14:paraId="02FA316F" w14:textId="77777777" w:rsidR="0025588E" w:rsidRPr="0025588E" w:rsidRDefault="0025588E" w:rsidP="00DC3166">
            <w:pPr>
              <w:jc w:val="both"/>
              <w:rPr>
                <w:rFonts w:asciiTheme="minorHAnsi" w:hAnsiTheme="minorHAnsi" w:cstheme="minorBidi"/>
                <w:color w:val="000000"/>
                <w:sz w:val="18"/>
                <w:szCs w:val="18"/>
              </w:rPr>
            </w:pPr>
          </w:p>
          <w:p w14:paraId="534717B6" w14:textId="4694E8FA" w:rsidR="0025588E" w:rsidRPr="0025588E" w:rsidRDefault="0025588E" w:rsidP="00DC3166">
            <w:pPr>
              <w:jc w:val="both"/>
              <w:rPr>
                <w:rFonts w:asciiTheme="minorHAnsi" w:hAnsiTheme="minorHAnsi" w:cstheme="minorBidi"/>
                <w:color w:val="000000"/>
                <w:sz w:val="18"/>
                <w:szCs w:val="18"/>
              </w:rPr>
            </w:pPr>
            <w:r w:rsidRPr="0025588E">
              <w:rPr>
                <w:rFonts w:asciiTheme="minorHAnsi" w:hAnsiTheme="minorHAnsi" w:cstheme="minorBidi"/>
                <w:color w:val="000000"/>
                <w:sz w:val="18"/>
                <w:szCs w:val="18"/>
              </w:rPr>
              <w:t xml:space="preserve">The PBAC considered the potential benefits too small and uncertain to justify the burden of this treatment on both patients and the health system. Prior to accessing donanemab, patients would need to undergo specialist diagnostic testing including brain scans or testing of cerebrospinal fluid obtained by lumbar puncture to confirm the presence amyloid plaques and testing for genes that make use of donanemab too unsafe. Additional scans are also required to rule out other </w:t>
            </w:r>
            <w:r w:rsidR="00BF5403">
              <w:rPr>
                <w:rFonts w:asciiTheme="minorHAnsi" w:hAnsiTheme="minorHAnsi" w:cstheme="minorBidi"/>
                <w:color w:val="000000"/>
                <w:sz w:val="18"/>
                <w:szCs w:val="18"/>
              </w:rPr>
              <w:t>health</w:t>
            </w:r>
            <w:r w:rsidRPr="0025588E">
              <w:rPr>
                <w:rFonts w:asciiTheme="minorHAnsi" w:hAnsiTheme="minorHAnsi" w:cstheme="minorBidi"/>
                <w:color w:val="000000"/>
                <w:sz w:val="18"/>
                <w:szCs w:val="18"/>
              </w:rPr>
              <w:t xml:space="preserve"> conditions that would make donanemab unsafe. Many patients with mild cognitive impairment would be subject to this initial testing and not gain access to treatment. Patients receiving treatment would need to attend monthly hospital infusions and undergo regular brain scans to monitor for life-threatening side effects, including brain swelling and bleeding. </w:t>
            </w:r>
          </w:p>
          <w:p w14:paraId="69657749" w14:textId="77777777" w:rsidR="0025588E" w:rsidRPr="0025588E" w:rsidRDefault="0025588E" w:rsidP="00DC3166">
            <w:pPr>
              <w:jc w:val="both"/>
              <w:rPr>
                <w:rFonts w:asciiTheme="minorHAnsi" w:hAnsiTheme="minorHAnsi" w:cstheme="minorBidi"/>
                <w:color w:val="000000"/>
                <w:sz w:val="18"/>
                <w:szCs w:val="18"/>
              </w:rPr>
            </w:pPr>
          </w:p>
          <w:p w14:paraId="4B3874C8" w14:textId="2F0CC7FA" w:rsidR="006211D7" w:rsidRPr="003A0F0B" w:rsidRDefault="0025588E" w:rsidP="00DC3166">
            <w:pPr>
              <w:jc w:val="both"/>
              <w:rPr>
                <w:rFonts w:asciiTheme="minorHAnsi" w:hAnsiTheme="minorHAnsi" w:cstheme="minorBidi"/>
                <w:b/>
                <w:color w:val="000000"/>
                <w:sz w:val="18"/>
                <w:szCs w:val="18"/>
              </w:rPr>
            </w:pPr>
            <w:r w:rsidRPr="0025588E">
              <w:rPr>
                <w:rFonts w:asciiTheme="minorHAnsi" w:hAnsiTheme="minorHAnsi" w:cstheme="minorBidi"/>
                <w:color w:val="000000"/>
                <w:sz w:val="18"/>
                <w:szCs w:val="18"/>
              </w:rPr>
              <w:t>The PBAC concluded that the high burden of treatment on both patients and the health system, combined with the risks and modest clinical impact, makes the drug unsuitable for PBS subsidy.</w:t>
            </w:r>
          </w:p>
          <w:p w14:paraId="23A374A8" w14:textId="77777777" w:rsidR="001769A5" w:rsidRDefault="001769A5" w:rsidP="00DC3166">
            <w:pPr>
              <w:jc w:val="both"/>
              <w:rPr>
                <w:rFonts w:asciiTheme="minorHAnsi" w:hAnsiTheme="minorHAnsi" w:cstheme="minorBidi"/>
                <w:color w:val="000000"/>
                <w:sz w:val="18"/>
                <w:szCs w:val="18"/>
              </w:rPr>
            </w:pPr>
          </w:p>
          <w:p w14:paraId="4E1F5C3E" w14:textId="77777777" w:rsidR="00E157E5" w:rsidRDefault="001769A5" w:rsidP="00DC3166">
            <w:pPr>
              <w:jc w:val="both"/>
              <w:rPr>
                <w:rFonts w:asciiTheme="minorHAnsi" w:hAnsiTheme="minorHAnsi" w:cstheme="minorBidi"/>
                <w:color w:val="000000"/>
                <w:sz w:val="18"/>
                <w:szCs w:val="18"/>
              </w:rPr>
            </w:pPr>
            <w:r w:rsidRPr="00E157E5">
              <w:rPr>
                <w:rFonts w:asciiTheme="minorHAnsi" w:hAnsiTheme="minorHAnsi" w:cstheme="minorBidi"/>
                <w:color w:val="000000"/>
                <w:sz w:val="18"/>
                <w:szCs w:val="18"/>
                <w:u w:val="single"/>
              </w:rPr>
              <w:t>Sponsor’s Comment:</w:t>
            </w:r>
          </w:p>
          <w:p w14:paraId="00AB6BCE" w14:textId="2422898C" w:rsidR="001769A5" w:rsidRPr="00F03408" w:rsidDel="008F66B5" w:rsidRDefault="00DC3166" w:rsidP="00DC3166">
            <w:pPr>
              <w:jc w:val="both"/>
              <w:rPr>
                <w:rFonts w:asciiTheme="minorHAnsi" w:hAnsiTheme="minorHAnsi" w:cstheme="minorBidi"/>
                <w:color w:val="000000"/>
                <w:sz w:val="18"/>
                <w:szCs w:val="18"/>
              </w:rPr>
            </w:pPr>
            <w:r w:rsidRPr="00DC3166">
              <w:rPr>
                <w:rFonts w:asciiTheme="minorHAnsi" w:hAnsiTheme="minorHAnsi" w:cstheme="minorBidi"/>
                <w:color w:val="000000"/>
                <w:sz w:val="18"/>
                <w:szCs w:val="18"/>
              </w:rPr>
              <w:t xml:space="preserve">Lilly wishes to thank </w:t>
            </w:r>
            <w:proofErr w:type="gramStart"/>
            <w:r w:rsidRPr="00DC3166">
              <w:rPr>
                <w:rFonts w:asciiTheme="minorHAnsi" w:hAnsiTheme="minorHAnsi" w:cstheme="minorBidi"/>
                <w:color w:val="000000"/>
                <w:sz w:val="18"/>
                <w:szCs w:val="18"/>
              </w:rPr>
              <w:t>all of</w:t>
            </w:r>
            <w:proofErr w:type="gramEnd"/>
            <w:r w:rsidRPr="00DC3166">
              <w:rPr>
                <w:rFonts w:asciiTheme="minorHAnsi" w:hAnsiTheme="minorHAnsi" w:cstheme="minorBidi"/>
                <w:color w:val="000000"/>
                <w:sz w:val="18"/>
                <w:szCs w:val="18"/>
              </w:rPr>
              <w:t xml:space="preserve"> the healthcare professionals, professional societies, leadership bodies, patient organisations and consumers for their support of the donanemab (</w:t>
            </w:r>
            <w:proofErr w:type="spellStart"/>
            <w:r w:rsidRPr="00DC3166">
              <w:rPr>
                <w:rFonts w:asciiTheme="minorHAnsi" w:hAnsiTheme="minorHAnsi" w:cstheme="minorBidi"/>
                <w:color w:val="000000"/>
                <w:sz w:val="18"/>
                <w:szCs w:val="18"/>
              </w:rPr>
              <w:t>Kisunla</w:t>
            </w:r>
            <w:proofErr w:type="spellEnd"/>
            <w:r w:rsidRPr="00DC3166">
              <w:rPr>
                <w:rFonts w:asciiTheme="minorHAnsi" w:hAnsiTheme="minorHAnsi" w:cstheme="minorBidi"/>
                <w:color w:val="000000"/>
                <w:sz w:val="18"/>
                <w:szCs w:val="18"/>
              </w:rPr>
              <w:t>®) submission. We are disappointed by the PBAC’s decision not to recommend the PBS listing of donanemab for the treatment of adult patients with early symptomatic Alzheimer’s disease. Lilly is working to fully understand the implications of this outcome and potential next steps.</w:t>
            </w:r>
          </w:p>
        </w:tc>
      </w:tr>
      <w:tr w:rsidR="006211D7" w:rsidRPr="008059F4" w:rsidDel="008F66B5" w14:paraId="07A41AC1" w14:textId="52951D4A" w:rsidTr="09589B60">
        <w:trPr>
          <w:cantSplit/>
          <w:trHeight w:val="2948"/>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14715FC" w14:textId="0BC728F6" w:rsidR="00EC00A2" w:rsidRPr="006A5A05" w:rsidRDefault="006211D7" w:rsidP="00DC3166">
            <w:pPr>
              <w:jc w:val="center"/>
              <w:rPr>
                <w:rFonts w:asciiTheme="minorHAnsi" w:eastAsia="Calibri" w:hAnsiTheme="minorHAnsi" w:cstheme="minorHAnsi"/>
                <w:color w:val="000000" w:themeColor="text1"/>
                <w:sz w:val="18"/>
                <w:szCs w:val="18"/>
              </w:rPr>
            </w:pPr>
            <w:r w:rsidRPr="00F657EC">
              <w:rPr>
                <w:rFonts w:asciiTheme="minorHAnsi" w:hAnsiTheme="minorHAnsi" w:cstheme="minorHAnsi"/>
                <w:color w:val="000000"/>
                <w:sz w:val="18"/>
                <w:szCs w:val="18"/>
              </w:rPr>
              <w:t>DURVALUMAB</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Solution concentrate for I.V. infusion, 120 mg in 2.4 mL, 500 mg in 10mL</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Imfinzi</w:t>
            </w:r>
            <w:r w:rsidRPr="006A5A05">
              <w:rPr>
                <w:rFonts w:asciiTheme="minorHAnsi" w:hAnsiTheme="minorHAnsi" w:cstheme="minorHAnsi"/>
                <w:color w:val="000000"/>
                <w:sz w:val="18"/>
                <w:szCs w:val="18"/>
                <w:vertAlign w:val="superscript"/>
              </w:rPr>
              <w:t>®</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ASTRAZENECA PTY LTD</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r>
            <w:r w:rsidR="00EC00A2" w:rsidRPr="006A5A05">
              <w:rPr>
                <w:rFonts w:asciiTheme="minorHAnsi" w:eastAsia="Calibri" w:hAnsiTheme="minorHAnsi" w:cstheme="minorHAnsi"/>
                <w:color w:val="000000" w:themeColor="text1"/>
                <w:sz w:val="18"/>
                <w:szCs w:val="18"/>
              </w:rPr>
              <w:t xml:space="preserve">Category </w:t>
            </w:r>
            <w:r w:rsidR="004D14C8">
              <w:rPr>
                <w:rFonts w:asciiTheme="minorHAnsi" w:eastAsia="Calibri" w:hAnsiTheme="minorHAnsi" w:cstheme="minorHAnsi"/>
                <w:color w:val="000000" w:themeColor="text1"/>
                <w:sz w:val="18"/>
                <w:szCs w:val="18"/>
              </w:rPr>
              <w:t>2</w:t>
            </w:r>
          </w:p>
          <w:p w14:paraId="0716C0B4" w14:textId="3F23274F" w:rsidR="006211D7" w:rsidRPr="006A5A05" w:rsidRDefault="006211D7"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(Change to existing listing)</w:t>
            </w:r>
          </w:p>
        </w:tc>
        <w:tc>
          <w:tcPr>
            <w:tcW w:w="2767" w:type="dxa"/>
            <w:tcBorders>
              <w:top w:val="single" w:sz="4" w:space="0" w:color="auto"/>
              <w:left w:val="single" w:sz="4" w:space="0" w:color="auto"/>
              <w:bottom w:val="single" w:sz="4" w:space="0" w:color="auto"/>
              <w:right w:val="single" w:sz="4" w:space="0" w:color="auto"/>
            </w:tcBorders>
            <w:vAlign w:val="center"/>
          </w:tcPr>
          <w:p w14:paraId="1B6FB75B" w14:textId="70D42515" w:rsidR="006211D7" w:rsidRPr="006A5A05" w:rsidRDefault="006211D7"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Small cell lung cancer (SCLC)</w:t>
            </w:r>
          </w:p>
        </w:tc>
        <w:tc>
          <w:tcPr>
            <w:tcW w:w="29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AEDC554" w14:textId="159F9423" w:rsidR="006211D7" w:rsidRPr="006A5A05" w:rsidRDefault="006211D7"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To request a Section 100 (Efficient Funding of Chemotherapy Program) Authority Required (STREAMLINED) listing for the treatment of limited-stage SCLC in patients whose disease has not progressed during or following chemoradiation therapy.</w:t>
            </w:r>
          </w:p>
        </w:tc>
        <w:tc>
          <w:tcPr>
            <w:tcW w:w="1584" w:type="dxa"/>
            <w:vAlign w:val="center"/>
          </w:tcPr>
          <w:p w14:paraId="2962443F" w14:textId="4C27542D" w:rsidR="006211D7" w:rsidRPr="006A5A05" w:rsidDel="008F66B5" w:rsidRDefault="005077FF" w:rsidP="00DC3166">
            <w:pPr>
              <w:pStyle w:val="ListParagraph"/>
              <w:keepLines/>
              <w:ind w:left="0"/>
              <w:jc w:val="center"/>
              <w:rPr>
                <w:rFonts w:asciiTheme="minorHAnsi" w:hAnsiTheme="minorHAnsi" w:cstheme="minorHAnsi"/>
                <w:color w:val="000000"/>
                <w:sz w:val="18"/>
                <w:szCs w:val="18"/>
              </w:rPr>
            </w:pPr>
            <w:r w:rsidRPr="005077FF">
              <w:rPr>
                <w:rFonts w:asciiTheme="minorHAnsi" w:hAnsiTheme="minorHAnsi" w:cstheme="minorHAnsi"/>
                <w:color w:val="000000"/>
                <w:sz w:val="18"/>
                <w:szCs w:val="18"/>
              </w:rPr>
              <w:t>Recommended</w:t>
            </w:r>
          </w:p>
        </w:tc>
        <w:tc>
          <w:tcPr>
            <w:tcW w:w="4836" w:type="dxa"/>
            <w:vAlign w:val="center"/>
          </w:tcPr>
          <w:p w14:paraId="1601050D" w14:textId="77777777" w:rsidR="006E2C40" w:rsidRDefault="00DF3271" w:rsidP="00DC3166">
            <w:pPr>
              <w:jc w:val="both"/>
              <w:rPr>
                <w:rFonts w:asciiTheme="minorHAnsi" w:hAnsiTheme="minorHAnsi" w:cstheme="minorBidi"/>
                <w:color w:val="000000"/>
                <w:sz w:val="18"/>
                <w:szCs w:val="18"/>
              </w:rPr>
            </w:pPr>
            <w:r w:rsidRPr="00DF3271">
              <w:rPr>
                <w:rFonts w:asciiTheme="minorHAnsi" w:hAnsiTheme="minorHAnsi" w:cstheme="minorBidi"/>
                <w:color w:val="000000"/>
                <w:sz w:val="18"/>
                <w:szCs w:val="18"/>
              </w:rPr>
              <w:t xml:space="preserve">The PBAC recommended durvalumab for the treatment of limited-stage small cell lung cancer (LS-SCLC) in patients whose disease has not progressed during or following chemoradiation therapy (CRT). </w:t>
            </w:r>
          </w:p>
          <w:p w14:paraId="38C69917" w14:textId="77777777" w:rsidR="006E2C40" w:rsidRDefault="006E2C40" w:rsidP="00DC3166">
            <w:pPr>
              <w:jc w:val="both"/>
              <w:rPr>
                <w:rFonts w:asciiTheme="minorHAnsi" w:hAnsiTheme="minorHAnsi" w:cstheme="minorBidi"/>
                <w:color w:val="000000"/>
                <w:sz w:val="18"/>
                <w:szCs w:val="18"/>
              </w:rPr>
            </w:pPr>
          </w:p>
          <w:p w14:paraId="428B7B6F" w14:textId="77777777" w:rsidR="006E2C40" w:rsidRDefault="00DF3271" w:rsidP="00DC3166">
            <w:pPr>
              <w:jc w:val="both"/>
              <w:rPr>
                <w:rFonts w:asciiTheme="minorHAnsi" w:hAnsiTheme="minorHAnsi" w:cstheme="minorBidi"/>
                <w:color w:val="000000"/>
                <w:sz w:val="18"/>
                <w:szCs w:val="18"/>
              </w:rPr>
            </w:pPr>
            <w:r w:rsidRPr="00DF3271">
              <w:rPr>
                <w:rFonts w:asciiTheme="minorHAnsi" w:hAnsiTheme="minorHAnsi" w:cstheme="minorBidi"/>
                <w:color w:val="000000"/>
                <w:sz w:val="18"/>
                <w:szCs w:val="18"/>
              </w:rPr>
              <w:t xml:space="preserve">The PBAC welcomed comments from healthcare professionals and consumer organisations. The PBAC noted outcomes for patients were typically poor with the current standard of care for LS-SCLC and there was a high clinical need for additional effective treatments.  </w:t>
            </w:r>
          </w:p>
          <w:p w14:paraId="3BA15599" w14:textId="77777777" w:rsidR="006E2C40" w:rsidRDefault="006E2C40" w:rsidP="00DC3166">
            <w:pPr>
              <w:jc w:val="both"/>
              <w:rPr>
                <w:rFonts w:asciiTheme="minorHAnsi" w:hAnsiTheme="minorHAnsi" w:cstheme="minorBidi"/>
                <w:color w:val="000000"/>
                <w:sz w:val="18"/>
                <w:szCs w:val="18"/>
              </w:rPr>
            </w:pPr>
          </w:p>
          <w:p w14:paraId="4E66C613" w14:textId="77777777" w:rsidR="00B80D94" w:rsidRDefault="00DF3271" w:rsidP="00DC3166">
            <w:pPr>
              <w:jc w:val="both"/>
              <w:rPr>
                <w:rFonts w:asciiTheme="minorHAnsi" w:hAnsiTheme="minorHAnsi" w:cstheme="minorBidi"/>
                <w:color w:val="000000"/>
                <w:sz w:val="18"/>
                <w:szCs w:val="18"/>
              </w:rPr>
            </w:pPr>
            <w:r w:rsidRPr="00DF3271">
              <w:rPr>
                <w:rFonts w:asciiTheme="minorHAnsi" w:hAnsiTheme="minorHAnsi" w:cstheme="minorBidi"/>
                <w:color w:val="000000"/>
                <w:sz w:val="18"/>
                <w:szCs w:val="18"/>
              </w:rPr>
              <w:t xml:space="preserve">The PBAC was satisfied that treatment with durvalumab provided a moderate overall survival benefit but was associated with immune-mediated adverse events and the inconvenience of prolonged intravenous therapy. The PBAC considered there was some uncertainty about whether the overall survival benefit observed in the clinical trial would be realised in clinical practice. </w:t>
            </w:r>
          </w:p>
          <w:p w14:paraId="55CA7F4A" w14:textId="77777777" w:rsidR="00B80D94" w:rsidRDefault="00B80D94" w:rsidP="00DC3166">
            <w:pPr>
              <w:jc w:val="both"/>
              <w:rPr>
                <w:rFonts w:asciiTheme="minorHAnsi" w:hAnsiTheme="minorHAnsi" w:cstheme="minorBidi"/>
                <w:color w:val="000000"/>
                <w:sz w:val="18"/>
                <w:szCs w:val="18"/>
              </w:rPr>
            </w:pPr>
          </w:p>
          <w:p w14:paraId="5AFF4DA5" w14:textId="0CF95F52" w:rsidR="00DF3271" w:rsidRPr="00DF3271" w:rsidRDefault="00DF3271" w:rsidP="00DC3166">
            <w:pPr>
              <w:jc w:val="both"/>
              <w:rPr>
                <w:rFonts w:asciiTheme="minorHAnsi" w:hAnsiTheme="minorHAnsi" w:cstheme="minorBidi"/>
                <w:color w:val="000000"/>
                <w:sz w:val="18"/>
                <w:szCs w:val="18"/>
              </w:rPr>
            </w:pPr>
            <w:r w:rsidRPr="00DF3271">
              <w:rPr>
                <w:rFonts w:asciiTheme="minorHAnsi" w:hAnsiTheme="minorHAnsi" w:cstheme="minorBidi"/>
                <w:color w:val="000000"/>
                <w:sz w:val="18"/>
                <w:szCs w:val="18"/>
              </w:rPr>
              <w:t>The PBAC considered the benefits claimed by the sponsor in support of the proposed price were overly optimistic, particularly the life years gained and the duration of benefit. The clinical evidence presented in the submission did not allow confidence that these estimated benefits would be realised. The PBAC considered that revisions to the economic model were required to provide confidence in the additional benefits provided by durvalumab and that durvalumab would be cost</w:t>
            </w:r>
            <w:r w:rsidR="00A7407C">
              <w:rPr>
                <w:rFonts w:asciiTheme="minorHAnsi" w:hAnsiTheme="minorHAnsi" w:cstheme="minorBidi"/>
                <w:color w:val="000000"/>
                <w:sz w:val="18"/>
                <w:szCs w:val="18"/>
              </w:rPr>
              <w:t>-</w:t>
            </w:r>
            <w:r w:rsidRPr="00DF3271">
              <w:rPr>
                <w:rFonts w:asciiTheme="minorHAnsi" w:hAnsiTheme="minorHAnsi" w:cstheme="minorBidi"/>
                <w:color w:val="000000"/>
                <w:sz w:val="18"/>
                <w:szCs w:val="18"/>
              </w:rPr>
              <w:t xml:space="preserve"> effective with a price reduction. The PBAC considered the revised utilisation estimates provided in the pre-PBAC response, which accounted for reduced use of immunotherapy in extensive stage SCLC, would be reasonable with a decrease in durvalumab uptake applied. The PBAC considered that durvalumab should join the existing risk sharing arrangement in place for extensive stage small cell lung cancer with an increase in expenditure caps.</w:t>
            </w:r>
          </w:p>
          <w:p w14:paraId="0F529015" w14:textId="77777777" w:rsidR="00DF3271" w:rsidRPr="00DF3271" w:rsidRDefault="00DF3271" w:rsidP="00DC3166">
            <w:pPr>
              <w:jc w:val="both"/>
              <w:rPr>
                <w:rFonts w:asciiTheme="minorHAnsi" w:hAnsiTheme="minorHAnsi" w:cstheme="minorBidi"/>
                <w:color w:val="000000"/>
                <w:sz w:val="18"/>
                <w:szCs w:val="18"/>
              </w:rPr>
            </w:pPr>
          </w:p>
          <w:p w14:paraId="39E0FF04" w14:textId="38A497C3" w:rsidR="006211D7" w:rsidRPr="00153157" w:rsidDel="008F66B5" w:rsidRDefault="00DF3271" w:rsidP="00DC3166">
            <w:pPr>
              <w:jc w:val="both"/>
              <w:rPr>
                <w:rFonts w:asciiTheme="minorHAnsi" w:hAnsiTheme="minorHAnsi" w:cstheme="minorBidi"/>
                <w:b/>
                <w:bCs/>
                <w:color w:val="000000"/>
                <w:sz w:val="18"/>
                <w:szCs w:val="18"/>
              </w:rPr>
            </w:pPr>
            <w:r w:rsidRPr="00DF3271">
              <w:rPr>
                <w:rFonts w:asciiTheme="minorHAnsi" w:hAnsiTheme="minorHAnsi" w:cstheme="minorBidi"/>
                <w:color w:val="000000"/>
                <w:sz w:val="18"/>
                <w:szCs w:val="18"/>
              </w:rPr>
              <w:t>The PBAC advised flow</w:t>
            </w:r>
            <w:r w:rsidR="00BD7521">
              <w:rPr>
                <w:rFonts w:asciiTheme="minorHAnsi" w:hAnsiTheme="minorHAnsi" w:cstheme="minorBidi"/>
                <w:color w:val="000000"/>
                <w:sz w:val="18"/>
                <w:szCs w:val="18"/>
              </w:rPr>
              <w:t>-</w:t>
            </w:r>
            <w:r w:rsidRPr="00DF3271">
              <w:rPr>
                <w:rFonts w:asciiTheme="minorHAnsi" w:hAnsiTheme="minorHAnsi" w:cstheme="minorBidi"/>
                <w:color w:val="000000"/>
                <w:sz w:val="18"/>
                <w:szCs w:val="18"/>
              </w:rPr>
              <w:t xml:space="preserve">on changes to the listings for durvalumab and atezolizumab for ES-SCLC would be required to limit treatment with immunotherapy to once per lifetime. </w:t>
            </w:r>
          </w:p>
        </w:tc>
      </w:tr>
      <w:tr w:rsidR="006211D7" w:rsidRPr="008059F4" w:rsidDel="008F66B5" w14:paraId="5854B770" w14:textId="687CBB6D" w:rsidTr="09589B60">
        <w:trPr>
          <w:cantSplit/>
          <w:trHeight w:val="2948"/>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687242A" w14:textId="0C6D1487" w:rsidR="00EC00A2" w:rsidRPr="006A5A05" w:rsidRDefault="006211D7" w:rsidP="00DC3166">
            <w:pPr>
              <w:jc w:val="center"/>
              <w:rPr>
                <w:rFonts w:asciiTheme="minorHAnsi" w:eastAsia="Calibri" w:hAnsiTheme="minorHAnsi" w:cstheme="minorHAnsi"/>
                <w:color w:val="000000" w:themeColor="text1"/>
                <w:sz w:val="18"/>
                <w:szCs w:val="18"/>
              </w:rPr>
            </w:pPr>
            <w:r w:rsidRPr="006A5A05">
              <w:rPr>
                <w:rFonts w:asciiTheme="minorHAnsi" w:hAnsiTheme="minorHAnsi" w:cstheme="minorHAnsi"/>
                <w:color w:val="000000"/>
                <w:sz w:val="18"/>
                <w:szCs w:val="18"/>
              </w:rPr>
              <w:t>ENOXAPARIN</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Injection containing enoxaparin sodium 20 mg (2,000 I.U. anti-Xa) in 0.2 mL pre-filled syringe</w:t>
            </w:r>
            <w:r w:rsidRPr="006A5A05">
              <w:rPr>
                <w:rFonts w:asciiTheme="minorHAnsi" w:hAnsiTheme="minorHAnsi" w:cstheme="minorHAnsi"/>
                <w:color w:val="000000"/>
                <w:sz w:val="18"/>
                <w:szCs w:val="18"/>
              </w:rPr>
              <w:br/>
              <w:t>Injection containing enoxaparin sodium 40 mg (4,000 I.U. anti-Xa) in 0.4 mL pre-filled syringe</w:t>
            </w:r>
            <w:r w:rsidRPr="006A5A05">
              <w:rPr>
                <w:rFonts w:asciiTheme="minorHAnsi" w:hAnsiTheme="minorHAnsi" w:cstheme="minorHAnsi"/>
                <w:color w:val="000000"/>
                <w:sz w:val="18"/>
                <w:szCs w:val="18"/>
              </w:rPr>
              <w:br/>
              <w:t>Injection containing enoxaparin sodium 60 mg (6,000 I.U. anti-Xa) in 0.6 mL pre-filled syringe</w:t>
            </w:r>
            <w:r w:rsidRPr="006A5A05">
              <w:rPr>
                <w:rFonts w:asciiTheme="minorHAnsi" w:hAnsiTheme="minorHAnsi" w:cstheme="minorHAnsi"/>
                <w:color w:val="000000"/>
                <w:sz w:val="18"/>
                <w:szCs w:val="18"/>
              </w:rPr>
              <w:br/>
              <w:t>Injection containing enoxaparin sodium 80 mg (8,000 I.U. anti-Xa) in 0.8 mL pre-filled syringe</w:t>
            </w:r>
            <w:r w:rsidRPr="006A5A05">
              <w:rPr>
                <w:rFonts w:asciiTheme="minorHAnsi" w:hAnsiTheme="minorHAnsi" w:cstheme="minorHAnsi"/>
                <w:color w:val="000000"/>
                <w:sz w:val="18"/>
                <w:szCs w:val="18"/>
              </w:rPr>
              <w:br/>
              <w:t>Injection containing enoxaparin sodium 100 mg (10,000 I.U. anti-Xa) in 1 mL pre-filled syringe</w:t>
            </w:r>
            <w:r w:rsidRPr="006A5A05">
              <w:rPr>
                <w:rFonts w:asciiTheme="minorHAnsi" w:hAnsiTheme="minorHAnsi" w:cstheme="minorHAnsi"/>
                <w:color w:val="000000"/>
                <w:sz w:val="18"/>
                <w:szCs w:val="18"/>
              </w:rPr>
              <w:br/>
              <w:t>Injection containing enoxaparin sodium 120 mg (12,000 I.U. anti-Xa) in 0.8 mL pre-filled syringe</w:t>
            </w:r>
            <w:r w:rsidRPr="006A5A05">
              <w:rPr>
                <w:rFonts w:asciiTheme="minorHAnsi" w:hAnsiTheme="minorHAnsi" w:cstheme="minorHAnsi"/>
                <w:color w:val="000000"/>
                <w:sz w:val="18"/>
                <w:szCs w:val="18"/>
              </w:rPr>
              <w:br/>
              <w:t>Injection containing enoxaparin sodium 150 mg (15,000 I.U. anti-Xa) in 1 mL pre-filled syringe</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r>
            <w:proofErr w:type="spellStart"/>
            <w:r w:rsidRPr="006A5A05">
              <w:rPr>
                <w:rFonts w:asciiTheme="minorHAnsi" w:hAnsiTheme="minorHAnsi" w:cstheme="minorHAnsi"/>
                <w:color w:val="000000"/>
                <w:sz w:val="18"/>
                <w:szCs w:val="18"/>
              </w:rPr>
              <w:t>Enoxaject</w:t>
            </w:r>
            <w:proofErr w:type="spellEnd"/>
            <w:r w:rsidRPr="006A5A05">
              <w:rPr>
                <w:rFonts w:asciiTheme="minorHAnsi" w:hAnsiTheme="minorHAnsi" w:cstheme="minorHAnsi"/>
                <w:color w:val="000000"/>
                <w:sz w:val="18"/>
                <w:szCs w:val="18"/>
                <w:vertAlign w:val="superscript"/>
              </w:rPr>
              <w:t>®</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PHARMACOR PTY LIMITED</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r>
            <w:r w:rsidR="00EC00A2" w:rsidRPr="006A5A05">
              <w:rPr>
                <w:rFonts w:asciiTheme="minorHAnsi" w:eastAsia="Calibri" w:hAnsiTheme="minorHAnsi" w:cstheme="minorHAnsi"/>
                <w:color w:val="000000" w:themeColor="text1"/>
                <w:sz w:val="18"/>
                <w:szCs w:val="18"/>
              </w:rPr>
              <w:t xml:space="preserve">Category </w:t>
            </w:r>
            <w:r w:rsidR="005C4AF3">
              <w:rPr>
                <w:rFonts w:asciiTheme="minorHAnsi" w:eastAsia="Calibri" w:hAnsiTheme="minorHAnsi" w:cstheme="minorHAnsi"/>
                <w:color w:val="000000" w:themeColor="text1"/>
                <w:sz w:val="18"/>
                <w:szCs w:val="18"/>
              </w:rPr>
              <w:t>3</w:t>
            </w:r>
          </w:p>
          <w:p w14:paraId="3BD6E399" w14:textId="2728479D" w:rsidR="006211D7" w:rsidRPr="006A5A05" w:rsidRDefault="006211D7"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vAlign w:val="center"/>
          </w:tcPr>
          <w:p w14:paraId="0FB3A19B" w14:textId="4421BA8F" w:rsidR="006211D7" w:rsidRPr="006A5A05" w:rsidRDefault="006211D7"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 xml:space="preserve">Prevention of venous thromboembolism (VTE) </w:t>
            </w:r>
            <w:r w:rsidRPr="006A5A05">
              <w:rPr>
                <w:rFonts w:asciiTheme="minorHAnsi" w:hAnsiTheme="minorHAnsi" w:cstheme="minorHAnsi"/>
                <w:color w:val="000000"/>
                <w:sz w:val="18"/>
                <w:szCs w:val="18"/>
              </w:rPr>
              <w:br/>
              <w:t>Treatment of venous thrombosis</w:t>
            </w:r>
            <w:r w:rsidRPr="006A5A05">
              <w:rPr>
                <w:rFonts w:asciiTheme="minorHAnsi" w:hAnsiTheme="minorHAnsi" w:cstheme="minorHAnsi"/>
                <w:color w:val="000000"/>
                <w:sz w:val="18"/>
                <w:szCs w:val="18"/>
              </w:rPr>
              <w:br/>
              <w:t>Prevention of extracorporeal thrombosis during haemodialysis</w:t>
            </w:r>
            <w:r w:rsidRPr="006A5A05">
              <w:rPr>
                <w:rFonts w:asciiTheme="minorHAnsi" w:hAnsiTheme="minorHAnsi" w:cstheme="minorHAnsi"/>
                <w:color w:val="000000"/>
                <w:sz w:val="18"/>
                <w:szCs w:val="18"/>
              </w:rPr>
              <w:br/>
              <w:t>Treatment of acute  ST-segment elevation myocardial infarction (STEMI), non-STEMI and unstable angina</w:t>
            </w:r>
          </w:p>
        </w:tc>
        <w:tc>
          <w:tcPr>
            <w:tcW w:w="29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8BDB904" w14:textId="37A551EA" w:rsidR="006211D7" w:rsidRPr="006A5A05" w:rsidRDefault="006211D7"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To request General Schedule Restricted Benefit listings of a new enoxaparin biosimilar under the same conditions as other enoxaparin brands for the respective forms.</w:t>
            </w:r>
          </w:p>
        </w:tc>
        <w:tc>
          <w:tcPr>
            <w:tcW w:w="1584" w:type="dxa"/>
            <w:vAlign w:val="center"/>
          </w:tcPr>
          <w:p w14:paraId="46FDA260" w14:textId="5F1BA91A" w:rsidR="006211D7" w:rsidRPr="006A5A05" w:rsidDel="008F66B5" w:rsidRDefault="00A43552" w:rsidP="00DC3166">
            <w:pPr>
              <w:pStyle w:val="ListParagraph"/>
              <w:keepLines/>
              <w:ind w:left="0"/>
              <w:jc w:val="center"/>
              <w:rPr>
                <w:rFonts w:asciiTheme="minorHAnsi" w:hAnsiTheme="minorHAnsi" w:cstheme="minorHAnsi"/>
                <w:color w:val="000000"/>
                <w:sz w:val="18"/>
                <w:szCs w:val="18"/>
              </w:rPr>
            </w:pPr>
            <w:r w:rsidRPr="00A43552">
              <w:rPr>
                <w:rFonts w:asciiTheme="minorHAnsi" w:hAnsiTheme="minorHAnsi" w:cstheme="minorHAnsi"/>
                <w:color w:val="000000"/>
                <w:sz w:val="18"/>
                <w:szCs w:val="18"/>
              </w:rPr>
              <w:t>Recommended</w:t>
            </w:r>
          </w:p>
        </w:tc>
        <w:tc>
          <w:tcPr>
            <w:tcW w:w="4836" w:type="dxa"/>
            <w:vAlign w:val="center"/>
          </w:tcPr>
          <w:p w14:paraId="60BDD40C" w14:textId="77777777" w:rsidR="00425A82" w:rsidRPr="00425A82" w:rsidRDefault="00425A82" w:rsidP="00DC3166">
            <w:pPr>
              <w:jc w:val="both"/>
              <w:rPr>
                <w:rFonts w:asciiTheme="minorHAnsi" w:hAnsiTheme="minorHAnsi" w:cstheme="minorHAnsi"/>
                <w:color w:val="000000"/>
                <w:sz w:val="18"/>
                <w:szCs w:val="18"/>
              </w:rPr>
            </w:pPr>
            <w:r w:rsidRPr="00425A82">
              <w:rPr>
                <w:rFonts w:asciiTheme="minorHAnsi" w:hAnsiTheme="minorHAnsi" w:cstheme="minorHAnsi"/>
                <w:color w:val="000000"/>
                <w:sz w:val="18"/>
                <w:szCs w:val="18"/>
              </w:rPr>
              <w:t>The PBAC recommended listing of a new enoxaparin biosimilar (</w:t>
            </w:r>
            <w:proofErr w:type="spellStart"/>
            <w:r w:rsidRPr="00425A82">
              <w:rPr>
                <w:rFonts w:asciiTheme="minorHAnsi" w:hAnsiTheme="minorHAnsi" w:cstheme="minorHAnsi"/>
                <w:color w:val="000000"/>
                <w:sz w:val="18"/>
                <w:szCs w:val="18"/>
              </w:rPr>
              <w:t>Enoxaject</w:t>
            </w:r>
            <w:proofErr w:type="spellEnd"/>
            <w:r w:rsidRPr="00425A82">
              <w:rPr>
                <w:rFonts w:asciiTheme="minorHAnsi" w:hAnsiTheme="minorHAnsi" w:cstheme="minorHAnsi"/>
                <w:color w:val="000000"/>
                <w:sz w:val="18"/>
                <w:szCs w:val="18"/>
                <w:vertAlign w:val="superscript"/>
              </w:rPr>
              <w:t>®</w:t>
            </w:r>
            <w:r w:rsidRPr="00425A82">
              <w:rPr>
                <w:rFonts w:asciiTheme="minorHAnsi" w:hAnsiTheme="minorHAnsi" w:cstheme="minorHAnsi"/>
                <w:color w:val="000000"/>
                <w:sz w:val="18"/>
                <w:szCs w:val="18"/>
              </w:rPr>
              <w:t>) on a cost-minimisation basis and under the same circumstances as the existing PBS-listed biosimilar brands of enoxaparin (Clexane</w:t>
            </w:r>
            <w:r w:rsidRPr="00425A82">
              <w:rPr>
                <w:rFonts w:asciiTheme="minorHAnsi" w:hAnsiTheme="minorHAnsi" w:cstheme="minorHAnsi"/>
                <w:color w:val="000000"/>
                <w:sz w:val="18"/>
                <w:szCs w:val="18"/>
                <w:vertAlign w:val="superscript"/>
              </w:rPr>
              <w:t>®</w:t>
            </w:r>
            <w:r w:rsidRPr="00425A82">
              <w:rPr>
                <w:rFonts w:asciiTheme="minorHAnsi" w:hAnsiTheme="minorHAnsi" w:cstheme="minorHAnsi"/>
                <w:color w:val="000000"/>
                <w:sz w:val="18"/>
                <w:szCs w:val="18"/>
              </w:rPr>
              <w:t xml:space="preserve"> and </w:t>
            </w:r>
            <w:proofErr w:type="spellStart"/>
            <w:r w:rsidRPr="00425A82">
              <w:rPr>
                <w:rFonts w:asciiTheme="minorHAnsi" w:hAnsiTheme="minorHAnsi" w:cstheme="minorHAnsi"/>
                <w:color w:val="000000"/>
                <w:sz w:val="18"/>
                <w:szCs w:val="18"/>
              </w:rPr>
              <w:t>Exarane</w:t>
            </w:r>
            <w:proofErr w:type="spellEnd"/>
            <w:r w:rsidRPr="00425A82">
              <w:rPr>
                <w:rFonts w:asciiTheme="minorHAnsi" w:hAnsiTheme="minorHAnsi" w:cstheme="minorHAnsi"/>
                <w:color w:val="000000"/>
                <w:sz w:val="18"/>
                <w:szCs w:val="18"/>
                <w:vertAlign w:val="superscript"/>
              </w:rPr>
              <w:t>®</w:t>
            </w:r>
            <w:r w:rsidRPr="00425A82">
              <w:rPr>
                <w:rFonts w:asciiTheme="minorHAnsi" w:hAnsiTheme="minorHAnsi" w:cstheme="minorHAnsi"/>
                <w:color w:val="000000"/>
                <w:sz w:val="18"/>
                <w:szCs w:val="18"/>
              </w:rPr>
              <w:t xml:space="preserve">), for the same indications. The PBAC noted that the submission requested the addition of administrative advice reflecting the biosimilar update policy (i.e. encouraging uptake of biosimilar prescribing for treatment-naïve patients). As is the case for </w:t>
            </w:r>
            <w:proofErr w:type="spellStart"/>
            <w:r w:rsidRPr="00425A82">
              <w:rPr>
                <w:rFonts w:asciiTheme="minorHAnsi" w:hAnsiTheme="minorHAnsi" w:cstheme="minorHAnsi"/>
                <w:color w:val="000000"/>
                <w:sz w:val="18"/>
                <w:szCs w:val="18"/>
              </w:rPr>
              <w:t>Exarane</w:t>
            </w:r>
            <w:proofErr w:type="spellEnd"/>
            <w:r w:rsidRPr="00425A82">
              <w:rPr>
                <w:rFonts w:asciiTheme="minorHAnsi" w:hAnsiTheme="minorHAnsi" w:cstheme="minorHAnsi"/>
                <w:color w:val="000000"/>
                <w:sz w:val="18"/>
                <w:szCs w:val="18"/>
              </w:rPr>
              <w:t xml:space="preserve">, the PBAC also considered that this administrative advice is clinically appropriate for </w:t>
            </w:r>
            <w:proofErr w:type="spellStart"/>
            <w:r w:rsidRPr="00425A82">
              <w:rPr>
                <w:rFonts w:asciiTheme="minorHAnsi" w:hAnsiTheme="minorHAnsi" w:cstheme="minorHAnsi"/>
                <w:color w:val="000000"/>
                <w:sz w:val="18"/>
                <w:szCs w:val="18"/>
              </w:rPr>
              <w:t>Enoxaject</w:t>
            </w:r>
            <w:proofErr w:type="spellEnd"/>
            <w:r w:rsidRPr="00425A82">
              <w:rPr>
                <w:rFonts w:asciiTheme="minorHAnsi" w:hAnsiTheme="minorHAnsi" w:cstheme="minorHAnsi"/>
                <w:color w:val="000000"/>
                <w:sz w:val="18"/>
                <w:szCs w:val="18"/>
              </w:rPr>
              <w:t xml:space="preserve">. </w:t>
            </w:r>
          </w:p>
          <w:p w14:paraId="0B4B06E8" w14:textId="385D0991" w:rsidR="006211D7" w:rsidRPr="00F03408" w:rsidDel="008F66B5" w:rsidRDefault="006211D7" w:rsidP="00DC3166">
            <w:pPr>
              <w:jc w:val="both"/>
              <w:rPr>
                <w:rFonts w:asciiTheme="minorHAnsi" w:hAnsiTheme="minorHAnsi" w:cstheme="minorHAnsi"/>
                <w:color w:val="000000"/>
                <w:sz w:val="18"/>
                <w:szCs w:val="18"/>
              </w:rPr>
            </w:pPr>
          </w:p>
        </w:tc>
      </w:tr>
      <w:tr w:rsidR="006211D7" w:rsidRPr="008059F4" w:rsidDel="008F66B5" w14:paraId="73275407" w14:textId="1786EBF0" w:rsidTr="09589B60">
        <w:trPr>
          <w:cantSplit/>
          <w:trHeight w:val="646"/>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D7F103D" w14:textId="2AE3FE13" w:rsidR="00EC00A2" w:rsidRPr="006A5A05" w:rsidRDefault="006211D7" w:rsidP="09589B60">
            <w:pPr>
              <w:spacing w:line="259" w:lineRule="auto"/>
              <w:jc w:val="center"/>
              <w:rPr>
                <w:rFonts w:asciiTheme="minorHAnsi" w:eastAsia="Calibri" w:hAnsiTheme="minorHAnsi" w:cstheme="minorBidi"/>
                <w:color w:val="000000" w:themeColor="text1"/>
                <w:sz w:val="18"/>
                <w:szCs w:val="18"/>
              </w:rPr>
            </w:pPr>
            <w:r w:rsidRPr="09589B60">
              <w:rPr>
                <w:rFonts w:asciiTheme="minorHAnsi" w:hAnsiTheme="minorHAnsi" w:cstheme="minorBidi"/>
                <w:color w:val="000000" w:themeColor="text1"/>
                <w:sz w:val="18"/>
                <w:szCs w:val="18"/>
              </w:rPr>
              <w:t>EPLERENONE</w:t>
            </w:r>
            <w:r>
              <w:br/>
            </w:r>
            <w:r>
              <w:br/>
            </w:r>
            <w:r w:rsidRPr="09589B60">
              <w:rPr>
                <w:rFonts w:asciiTheme="minorHAnsi" w:hAnsiTheme="minorHAnsi" w:cstheme="minorBidi"/>
                <w:color w:val="000000" w:themeColor="text1"/>
                <w:sz w:val="18"/>
                <w:szCs w:val="18"/>
              </w:rPr>
              <w:t>Tablet 25 mg</w:t>
            </w:r>
            <w:r>
              <w:br/>
            </w:r>
            <w:r w:rsidRPr="09589B60">
              <w:rPr>
                <w:rFonts w:asciiTheme="minorHAnsi" w:hAnsiTheme="minorHAnsi" w:cstheme="minorBidi"/>
                <w:color w:val="000000" w:themeColor="text1"/>
                <w:sz w:val="18"/>
                <w:szCs w:val="18"/>
              </w:rPr>
              <w:t>Tablet 50 mg</w:t>
            </w:r>
            <w:r>
              <w:br/>
            </w:r>
            <w:r>
              <w:br/>
            </w:r>
            <w:proofErr w:type="spellStart"/>
            <w:r w:rsidRPr="09589B60">
              <w:rPr>
                <w:rFonts w:asciiTheme="minorHAnsi" w:hAnsiTheme="minorHAnsi" w:cstheme="minorBidi"/>
                <w:color w:val="000000" w:themeColor="text1"/>
                <w:sz w:val="18"/>
                <w:szCs w:val="18"/>
              </w:rPr>
              <w:t>Inspra</w:t>
            </w:r>
            <w:proofErr w:type="spellEnd"/>
            <w:r w:rsidRPr="09589B60">
              <w:rPr>
                <w:rFonts w:asciiTheme="minorHAnsi" w:hAnsiTheme="minorHAnsi" w:cstheme="minorBidi"/>
                <w:color w:val="000000" w:themeColor="text1"/>
                <w:sz w:val="18"/>
                <w:szCs w:val="18"/>
                <w:vertAlign w:val="superscript"/>
              </w:rPr>
              <w:t>®</w:t>
            </w:r>
            <w:r>
              <w:br/>
            </w:r>
            <w:r>
              <w:br/>
            </w:r>
            <w:r w:rsidR="092F034C" w:rsidRPr="09589B60">
              <w:rPr>
                <w:rFonts w:asciiTheme="minorHAnsi" w:hAnsiTheme="minorHAnsi" w:cstheme="minorBidi"/>
                <w:color w:val="000000" w:themeColor="text1"/>
                <w:sz w:val="18"/>
                <w:szCs w:val="18"/>
              </w:rPr>
              <w:t>VIATRIS PTY LTD</w:t>
            </w:r>
            <w:r>
              <w:br/>
            </w:r>
            <w:r>
              <w:br/>
            </w:r>
            <w:r w:rsidR="00EC00A2" w:rsidRPr="09589B60">
              <w:rPr>
                <w:rFonts w:asciiTheme="minorHAnsi" w:eastAsia="Calibri" w:hAnsiTheme="minorHAnsi" w:cstheme="minorBidi"/>
                <w:color w:val="000000" w:themeColor="text1"/>
                <w:sz w:val="18"/>
                <w:szCs w:val="18"/>
              </w:rPr>
              <w:t xml:space="preserve">Category </w:t>
            </w:r>
            <w:r w:rsidR="00C444B2" w:rsidRPr="09589B60">
              <w:rPr>
                <w:rFonts w:asciiTheme="minorHAnsi" w:eastAsia="Calibri" w:hAnsiTheme="minorHAnsi" w:cstheme="minorBidi"/>
                <w:color w:val="000000" w:themeColor="text1"/>
                <w:sz w:val="18"/>
                <w:szCs w:val="18"/>
              </w:rPr>
              <w:t>3</w:t>
            </w:r>
          </w:p>
          <w:p w14:paraId="045E50CA" w14:textId="66EC7182" w:rsidR="006211D7" w:rsidRPr="006A5A05" w:rsidRDefault="006211D7"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(Change to existing listing)</w:t>
            </w:r>
          </w:p>
        </w:tc>
        <w:tc>
          <w:tcPr>
            <w:tcW w:w="2767" w:type="dxa"/>
            <w:tcBorders>
              <w:top w:val="single" w:sz="4" w:space="0" w:color="auto"/>
              <w:left w:val="single" w:sz="4" w:space="0" w:color="auto"/>
              <w:bottom w:val="single" w:sz="4" w:space="0" w:color="auto"/>
              <w:right w:val="single" w:sz="4" w:space="0" w:color="auto"/>
            </w:tcBorders>
            <w:vAlign w:val="center"/>
          </w:tcPr>
          <w:p w14:paraId="6EC05E95" w14:textId="14E7FBBD" w:rsidR="006211D7" w:rsidRPr="006A5A05" w:rsidRDefault="006211D7"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Heart failure</w:t>
            </w:r>
          </w:p>
        </w:tc>
        <w:tc>
          <w:tcPr>
            <w:tcW w:w="29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40BC25D" w14:textId="01437B90" w:rsidR="006211D7" w:rsidRPr="006A5A05" w:rsidRDefault="006211D7"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To request the PBAC consider an amendment to the clinical criteria for eplerenone to align with clinical guidelines for the management of heart failure.</w:t>
            </w:r>
          </w:p>
        </w:tc>
        <w:tc>
          <w:tcPr>
            <w:tcW w:w="1584" w:type="dxa"/>
            <w:vAlign w:val="center"/>
          </w:tcPr>
          <w:p w14:paraId="26829FC0" w14:textId="04FCBEF2" w:rsidR="006211D7" w:rsidRPr="006A5A05" w:rsidDel="008F66B5" w:rsidRDefault="005E4EFC" w:rsidP="00DC3166">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Deferred</w:t>
            </w:r>
          </w:p>
        </w:tc>
        <w:tc>
          <w:tcPr>
            <w:tcW w:w="4836" w:type="dxa"/>
            <w:vAlign w:val="center"/>
          </w:tcPr>
          <w:p w14:paraId="1F500914" w14:textId="77777777" w:rsidR="006211D7" w:rsidRDefault="00AE444E" w:rsidP="00DC3166">
            <w:pPr>
              <w:jc w:val="both"/>
              <w:rPr>
                <w:rFonts w:asciiTheme="minorHAnsi" w:hAnsiTheme="minorHAnsi" w:cstheme="minorBidi"/>
                <w:sz w:val="18"/>
                <w:szCs w:val="18"/>
              </w:rPr>
            </w:pPr>
            <w:r w:rsidRPr="00AE444E">
              <w:rPr>
                <w:rFonts w:asciiTheme="minorHAnsi" w:hAnsiTheme="minorHAnsi" w:cstheme="minorBidi"/>
                <w:sz w:val="18"/>
                <w:szCs w:val="18"/>
              </w:rPr>
              <w:t>The PBAC deferred making a recommendation for the requested amendments to the current PBS restriction for eplerenone (</w:t>
            </w:r>
            <w:proofErr w:type="spellStart"/>
            <w:r w:rsidRPr="00AE444E">
              <w:rPr>
                <w:rFonts w:asciiTheme="minorHAnsi" w:hAnsiTheme="minorHAnsi" w:cstheme="minorBidi"/>
                <w:sz w:val="18"/>
                <w:szCs w:val="18"/>
              </w:rPr>
              <w:t>Inspra</w:t>
            </w:r>
            <w:proofErr w:type="spellEnd"/>
            <w:r w:rsidRPr="00AE444E">
              <w:rPr>
                <w:rFonts w:asciiTheme="minorHAnsi" w:hAnsiTheme="minorHAnsi" w:cstheme="minorBidi"/>
                <w:sz w:val="18"/>
                <w:szCs w:val="18"/>
              </w:rPr>
              <w:t>®) to align with clinical guidelines for the management of heart failure. The PBAC noted the lack of mineralocorticoid receptor antagonist (MRA) medication options on the PBS, and the barriers to subsidised access of eplerenone due to the current PBS restriction. The PBAC noted that the submission had nominated placebo/standard of care as the main comparator but considered that spironolactone was a more appropriate comparator at is the main MRA medication that eplerenone would likely replace in therapy. The PBAC discussed the need for a cost minimisation analysis for an expanded population comparing eplerenone to spironolactone, or for eplerenone as a second line therapy to spironolactone to be explored and therefore deferred making a recommendation at this time to allow for discussions with the sponsor.</w:t>
            </w:r>
          </w:p>
          <w:p w14:paraId="281E21B0" w14:textId="77777777" w:rsidR="00B4189E" w:rsidRDefault="00B4189E" w:rsidP="00DC3166">
            <w:pPr>
              <w:jc w:val="both"/>
              <w:rPr>
                <w:rFonts w:asciiTheme="minorHAnsi" w:hAnsiTheme="minorHAnsi" w:cstheme="minorBidi"/>
                <w:sz w:val="18"/>
                <w:szCs w:val="18"/>
              </w:rPr>
            </w:pPr>
          </w:p>
          <w:p w14:paraId="65B55F03" w14:textId="77777777" w:rsidR="00B4189E" w:rsidRDefault="00B4189E" w:rsidP="00DC3166">
            <w:pPr>
              <w:jc w:val="both"/>
              <w:rPr>
                <w:rFonts w:asciiTheme="minorHAnsi" w:hAnsiTheme="minorHAnsi" w:cstheme="minorBidi"/>
                <w:sz w:val="18"/>
                <w:szCs w:val="18"/>
              </w:rPr>
            </w:pPr>
            <w:r w:rsidRPr="00B4189E">
              <w:rPr>
                <w:rFonts w:asciiTheme="minorHAnsi" w:hAnsiTheme="minorHAnsi" w:cstheme="minorBidi"/>
                <w:sz w:val="18"/>
                <w:szCs w:val="18"/>
                <w:u w:val="single"/>
              </w:rPr>
              <w:t>Sponsor’s Comment:</w:t>
            </w:r>
            <w:r w:rsidRPr="00B4189E">
              <w:rPr>
                <w:rFonts w:asciiTheme="minorHAnsi" w:hAnsiTheme="minorHAnsi" w:cstheme="minorBidi"/>
                <w:sz w:val="18"/>
                <w:szCs w:val="18"/>
              </w:rPr>
              <w:t xml:space="preserve"> </w:t>
            </w:r>
          </w:p>
          <w:p w14:paraId="7C375E3D" w14:textId="62580499" w:rsidR="00B4189E" w:rsidRPr="00F03408" w:rsidDel="008F66B5" w:rsidRDefault="00B4189E" w:rsidP="00DC3166">
            <w:pPr>
              <w:jc w:val="both"/>
              <w:rPr>
                <w:rFonts w:asciiTheme="minorHAnsi" w:hAnsiTheme="minorHAnsi" w:cstheme="minorBidi"/>
                <w:sz w:val="18"/>
                <w:szCs w:val="18"/>
              </w:rPr>
            </w:pPr>
            <w:r w:rsidRPr="00B4189E">
              <w:rPr>
                <w:rFonts w:asciiTheme="minorHAnsi" w:hAnsiTheme="minorHAnsi" w:cstheme="minorBidi"/>
                <w:sz w:val="18"/>
                <w:szCs w:val="18"/>
              </w:rPr>
              <w:t>The sponsor had no comment.</w:t>
            </w:r>
          </w:p>
        </w:tc>
      </w:tr>
      <w:tr w:rsidR="006211D7" w:rsidRPr="008059F4" w:rsidDel="008F66B5" w14:paraId="52D48790" w14:textId="14461D5B" w:rsidTr="09589B60">
        <w:trPr>
          <w:cantSplit/>
          <w:trHeight w:val="2948"/>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483EDCE" w14:textId="0ECE2A40" w:rsidR="00EC00A2" w:rsidRPr="006A5A05" w:rsidRDefault="006211D7" w:rsidP="00DC3166">
            <w:pPr>
              <w:jc w:val="center"/>
              <w:rPr>
                <w:rFonts w:asciiTheme="minorHAnsi" w:eastAsia="Calibri" w:hAnsiTheme="minorHAnsi" w:cstheme="minorHAnsi"/>
                <w:color w:val="000000" w:themeColor="text1"/>
                <w:sz w:val="18"/>
                <w:szCs w:val="18"/>
              </w:rPr>
            </w:pPr>
            <w:r w:rsidRPr="006A5A05">
              <w:rPr>
                <w:rFonts w:asciiTheme="minorHAnsi" w:hAnsiTheme="minorHAnsi" w:cstheme="minorHAnsi"/>
                <w:color w:val="000000"/>
                <w:sz w:val="18"/>
                <w:szCs w:val="18"/>
              </w:rPr>
              <w:t>ETANERCEPT</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Injections 50 mg in 1 mL single use pre-filled syringes, 4</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r>
            <w:proofErr w:type="spellStart"/>
            <w:r w:rsidRPr="006A5A05">
              <w:rPr>
                <w:rFonts w:asciiTheme="minorHAnsi" w:hAnsiTheme="minorHAnsi" w:cstheme="minorHAnsi"/>
                <w:color w:val="000000"/>
                <w:sz w:val="18"/>
                <w:szCs w:val="18"/>
              </w:rPr>
              <w:t>Nepexto</w:t>
            </w:r>
            <w:proofErr w:type="spellEnd"/>
            <w:r w:rsidRPr="006A5A05">
              <w:rPr>
                <w:rFonts w:asciiTheme="minorHAnsi" w:hAnsiTheme="minorHAnsi" w:cstheme="minorHAnsi"/>
                <w:color w:val="000000"/>
                <w:sz w:val="18"/>
                <w:szCs w:val="18"/>
                <w:vertAlign w:val="superscript"/>
              </w:rPr>
              <w:t>®</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MAXX PHARMA PTY LTD</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r>
            <w:r w:rsidR="00EC00A2" w:rsidRPr="006A5A05">
              <w:rPr>
                <w:rFonts w:asciiTheme="minorHAnsi" w:eastAsia="Calibri" w:hAnsiTheme="minorHAnsi" w:cstheme="minorHAnsi"/>
                <w:color w:val="000000" w:themeColor="text1"/>
                <w:sz w:val="18"/>
                <w:szCs w:val="18"/>
              </w:rPr>
              <w:t xml:space="preserve">Category </w:t>
            </w:r>
            <w:r w:rsidR="006F4E12">
              <w:rPr>
                <w:rFonts w:asciiTheme="minorHAnsi" w:eastAsia="Calibri" w:hAnsiTheme="minorHAnsi" w:cstheme="minorHAnsi"/>
                <w:color w:val="000000" w:themeColor="text1"/>
                <w:sz w:val="18"/>
                <w:szCs w:val="18"/>
              </w:rPr>
              <w:t>3</w:t>
            </w:r>
          </w:p>
          <w:p w14:paraId="3B1FA4D2" w14:textId="25088B69" w:rsidR="006211D7" w:rsidRPr="006A5A05" w:rsidRDefault="006211D7"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vAlign w:val="center"/>
          </w:tcPr>
          <w:p w14:paraId="7DEF4CA5" w14:textId="74AE279B" w:rsidR="006211D7" w:rsidRPr="006A5A05" w:rsidRDefault="006211D7"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Severe active rheumatoid arthritis</w:t>
            </w:r>
            <w:r w:rsidRPr="006A5A05">
              <w:rPr>
                <w:rFonts w:asciiTheme="minorHAnsi" w:hAnsiTheme="minorHAnsi" w:cstheme="minorHAnsi"/>
                <w:color w:val="000000"/>
                <w:sz w:val="18"/>
                <w:szCs w:val="18"/>
              </w:rPr>
              <w:br/>
              <w:t>Severe psoriatic arthritis</w:t>
            </w:r>
            <w:r w:rsidRPr="006A5A05">
              <w:rPr>
                <w:rFonts w:asciiTheme="minorHAnsi" w:hAnsiTheme="minorHAnsi" w:cstheme="minorHAnsi"/>
                <w:color w:val="000000"/>
                <w:sz w:val="18"/>
                <w:szCs w:val="18"/>
              </w:rPr>
              <w:br/>
              <w:t>Ankylosing spondylitis</w:t>
            </w:r>
            <w:r w:rsidRPr="006A5A05">
              <w:rPr>
                <w:rFonts w:asciiTheme="minorHAnsi" w:hAnsiTheme="minorHAnsi" w:cstheme="minorHAnsi"/>
                <w:color w:val="000000"/>
                <w:sz w:val="18"/>
                <w:szCs w:val="18"/>
              </w:rPr>
              <w:br/>
              <w:t>Severe chronic plaque psoriasis</w:t>
            </w:r>
            <w:r w:rsidRPr="006A5A05">
              <w:rPr>
                <w:rFonts w:asciiTheme="minorHAnsi" w:hAnsiTheme="minorHAnsi" w:cstheme="minorHAnsi"/>
                <w:color w:val="000000"/>
                <w:sz w:val="18"/>
                <w:szCs w:val="18"/>
              </w:rPr>
              <w:br/>
              <w:t>Juvenile idiopathic arthritis</w:t>
            </w:r>
          </w:p>
        </w:tc>
        <w:tc>
          <w:tcPr>
            <w:tcW w:w="29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324633B" w14:textId="17CB7E04" w:rsidR="006211D7" w:rsidRPr="006A5A05" w:rsidRDefault="006211D7"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To request General Schedule Authority Required and Section 100 (Highly Specialised Drugs Program) Authority Required listings of a new etanercept biosimilar under the same conditions as another biosimilar brand of etanercept in the same form for the treatment of severe active rheumatoid arthritis, severe psoriatic arthritis, ankylosing spondylitis, severe chronic plaque psoriasis, and juvenile idiopathic arthritis.</w:t>
            </w:r>
          </w:p>
        </w:tc>
        <w:tc>
          <w:tcPr>
            <w:tcW w:w="1584" w:type="dxa"/>
            <w:tcBorders>
              <w:top w:val="single" w:sz="4" w:space="0" w:color="auto"/>
              <w:left w:val="single" w:sz="4" w:space="0" w:color="auto"/>
              <w:bottom w:val="single" w:sz="4" w:space="0" w:color="auto"/>
              <w:right w:val="single" w:sz="4" w:space="0" w:color="auto"/>
            </w:tcBorders>
            <w:vAlign w:val="center"/>
          </w:tcPr>
          <w:p w14:paraId="344BFC3B" w14:textId="2A910324" w:rsidR="006211D7" w:rsidRPr="006A5A05" w:rsidDel="008F66B5" w:rsidRDefault="00E97972" w:rsidP="00DC3166">
            <w:pPr>
              <w:pStyle w:val="ListParagraph"/>
              <w:keepLines/>
              <w:ind w:left="0"/>
              <w:jc w:val="center"/>
              <w:rPr>
                <w:rFonts w:asciiTheme="minorHAnsi" w:hAnsiTheme="minorHAnsi" w:cstheme="minorHAnsi"/>
                <w:color w:val="000000"/>
                <w:sz w:val="18"/>
                <w:szCs w:val="18"/>
              </w:rPr>
            </w:pPr>
            <w:r w:rsidRPr="00E97972">
              <w:rPr>
                <w:rFonts w:asciiTheme="minorHAnsi" w:hAnsiTheme="minorHAnsi" w:cstheme="minorHAnsi"/>
                <w:color w:val="000000"/>
                <w:sz w:val="18"/>
                <w:szCs w:val="18"/>
              </w:rPr>
              <w:t>Recommended</w:t>
            </w:r>
          </w:p>
        </w:tc>
        <w:tc>
          <w:tcPr>
            <w:tcW w:w="4836" w:type="dxa"/>
            <w:tcBorders>
              <w:top w:val="single" w:sz="4" w:space="0" w:color="auto"/>
              <w:left w:val="single" w:sz="4" w:space="0" w:color="auto"/>
              <w:bottom w:val="single" w:sz="4" w:space="0" w:color="auto"/>
              <w:right w:val="single" w:sz="4" w:space="0" w:color="auto"/>
            </w:tcBorders>
            <w:vAlign w:val="center"/>
          </w:tcPr>
          <w:p w14:paraId="621821C6" w14:textId="67ACFC98" w:rsidR="006211D7" w:rsidRPr="00F03408" w:rsidDel="008F66B5" w:rsidRDefault="005B62DC" w:rsidP="00DC3166">
            <w:pPr>
              <w:jc w:val="both"/>
              <w:rPr>
                <w:rFonts w:asciiTheme="minorHAnsi" w:hAnsiTheme="minorHAnsi" w:cstheme="minorHAnsi"/>
                <w:sz w:val="18"/>
                <w:szCs w:val="18"/>
              </w:rPr>
            </w:pPr>
            <w:r w:rsidRPr="005B62DC">
              <w:rPr>
                <w:rFonts w:asciiTheme="minorHAnsi" w:hAnsiTheme="minorHAnsi" w:cstheme="minorHAnsi"/>
                <w:sz w:val="18"/>
                <w:szCs w:val="18"/>
                <w:lang w:val="en-GB"/>
              </w:rPr>
              <w:t>The PBAC recommended</w:t>
            </w:r>
            <w:r w:rsidR="00147165">
              <w:rPr>
                <w:rFonts w:asciiTheme="minorHAnsi" w:hAnsiTheme="minorHAnsi" w:cstheme="minorHAnsi"/>
                <w:sz w:val="18"/>
                <w:szCs w:val="18"/>
                <w:lang w:val="en-GB"/>
              </w:rPr>
              <w:t xml:space="preserve"> the</w:t>
            </w:r>
            <w:r w:rsidRPr="005B62DC">
              <w:rPr>
                <w:rFonts w:asciiTheme="minorHAnsi" w:hAnsiTheme="minorHAnsi" w:cstheme="minorHAnsi"/>
                <w:sz w:val="18"/>
                <w:szCs w:val="18"/>
                <w:lang w:val="en-GB"/>
              </w:rPr>
              <w:t xml:space="preserve"> </w:t>
            </w:r>
            <w:r w:rsidRPr="005B62DC">
              <w:rPr>
                <w:rFonts w:asciiTheme="minorHAnsi" w:hAnsiTheme="minorHAnsi" w:cstheme="minorHAnsi"/>
                <w:sz w:val="18"/>
                <w:szCs w:val="18"/>
              </w:rPr>
              <w:t>listing of a new etanercept biosimilar (</w:t>
            </w:r>
            <w:proofErr w:type="spellStart"/>
            <w:r w:rsidRPr="005B62DC">
              <w:rPr>
                <w:rFonts w:asciiTheme="minorHAnsi" w:hAnsiTheme="minorHAnsi" w:cstheme="minorHAnsi"/>
                <w:sz w:val="18"/>
                <w:szCs w:val="18"/>
              </w:rPr>
              <w:t>Nepexto</w:t>
            </w:r>
            <w:proofErr w:type="spellEnd"/>
            <w:r w:rsidRPr="005B62DC">
              <w:rPr>
                <w:rFonts w:asciiTheme="minorHAnsi" w:hAnsiTheme="minorHAnsi" w:cstheme="minorHAnsi"/>
                <w:sz w:val="18"/>
                <w:szCs w:val="18"/>
                <w:vertAlign w:val="superscript"/>
              </w:rPr>
              <w:t>®</w:t>
            </w:r>
            <w:r w:rsidRPr="005B62DC">
              <w:rPr>
                <w:rFonts w:asciiTheme="minorHAnsi" w:hAnsiTheme="minorHAnsi" w:cstheme="minorHAnsi"/>
                <w:sz w:val="18"/>
                <w:szCs w:val="18"/>
              </w:rPr>
              <w:t>) in the form of Injections 50 mg in 1 mL single use pre-filled syringe (PFS) on a cost-minimisation basis and under the same circumstances as its reference biologic Enbrel</w:t>
            </w:r>
            <w:r w:rsidRPr="005B62DC">
              <w:rPr>
                <w:rFonts w:asciiTheme="minorHAnsi" w:hAnsiTheme="minorHAnsi" w:cstheme="minorHAnsi"/>
                <w:sz w:val="18"/>
                <w:szCs w:val="18"/>
                <w:vertAlign w:val="superscript"/>
              </w:rPr>
              <w:t>®</w:t>
            </w:r>
            <w:r w:rsidRPr="005B62DC">
              <w:rPr>
                <w:rFonts w:asciiTheme="minorHAnsi" w:hAnsiTheme="minorHAnsi" w:cstheme="minorHAnsi"/>
                <w:sz w:val="18"/>
                <w:szCs w:val="18"/>
              </w:rPr>
              <w:t xml:space="preserve"> (Injections 50 mg in 1 mL single use PFS). The PBAC advised the equi-effective doses to be </w:t>
            </w:r>
            <w:proofErr w:type="spellStart"/>
            <w:r w:rsidRPr="005B62DC">
              <w:rPr>
                <w:rFonts w:asciiTheme="minorHAnsi" w:hAnsiTheme="minorHAnsi" w:cstheme="minorHAnsi"/>
                <w:sz w:val="18"/>
                <w:szCs w:val="18"/>
              </w:rPr>
              <w:t>Nepexto</w:t>
            </w:r>
            <w:proofErr w:type="spellEnd"/>
            <w:r w:rsidRPr="005B62DC">
              <w:rPr>
                <w:rFonts w:asciiTheme="minorHAnsi" w:hAnsiTheme="minorHAnsi" w:cstheme="minorHAnsi"/>
                <w:sz w:val="18"/>
                <w:szCs w:val="18"/>
              </w:rPr>
              <w:t xml:space="preserve"> 50 mg single use PFS = Enbrel 50 mg single use PFS = Brenzys</w:t>
            </w:r>
            <w:r w:rsidR="009D2B0C" w:rsidRPr="005B62DC">
              <w:rPr>
                <w:rFonts w:asciiTheme="minorHAnsi" w:hAnsiTheme="minorHAnsi" w:cstheme="minorHAnsi"/>
                <w:sz w:val="18"/>
                <w:szCs w:val="18"/>
                <w:vertAlign w:val="superscript"/>
              </w:rPr>
              <w:t>®</w:t>
            </w:r>
            <w:r w:rsidRPr="005B62DC">
              <w:rPr>
                <w:rFonts w:asciiTheme="minorHAnsi" w:hAnsiTheme="minorHAnsi" w:cstheme="minorHAnsi"/>
                <w:sz w:val="18"/>
                <w:szCs w:val="18"/>
              </w:rPr>
              <w:t xml:space="preserve"> 50 mg single use PFS. The PBAC noted that the submission requested for the </w:t>
            </w:r>
            <w:proofErr w:type="spellStart"/>
            <w:r w:rsidRPr="005B62DC">
              <w:rPr>
                <w:rFonts w:asciiTheme="minorHAnsi" w:hAnsiTheme="minorHAnsi" w:cstheme="minorHAnsi"/>
                <w:sz w:val="18"/>
                <w:szCs w:val="18"/>
              </w:rPr>
              <w:t>Nepexto</w:t>
            </w:r>
            <w:proofErr w:type="spellEnd"/>
            <w:r w:rsidRPr="005B62DC">
              <w:rPr>
                <w:rFonts w:asciiTheme="minorHAnsi" w:hAnsiTheme="minorHAnsi" w:cstheme="minorHAnsi"/>
                <w:sz w:val="18"/>
                <w:szCs w:val="18"/>
              </w:rPr>
              <w:t xml:space="preserve"> listings to be consistent with the biosimilar uptake driver policy, that is, to have an Authority Required (STREAMLINED) requirement for the subsequent continuing treatment listings and the inclusion of an administrative note across all </w:t>
            </w:r>
            <w:proofErr w:type="spellStart"/>
            <w:r w:rsidRPr="005B62DC">
              <w:rPr>
                <w:rFonts w:asciiTheme="minorHAnsi" w:hAnsiTheme="minorHAnsi" w:cstheme="minorHAnsi"/>
                <w:sz w:val="18"/>
                <w:szCs w:val="18"/>
              </w:rPr>
              <w:t>Nepexto</w:t>
            </w:r>
            <w:proofErr w:type="spellEnd"/>
            <w:r w:rsidRPr="005B62DC">
              <w:rPr>
                <w:rFonts w:asciiTheme="minorHAnsi" w:hAnsiTheme="minorHAnsi" w:cstheme="minorHAnsi"/>
                <w:sz w:val="18"/>
                <w:szCs w:val="18"/>
              </w:rPr>
              <w:t xml:space="preserve"> listings encouraging use of a</w:t>
            </w:r>
            <w:r w:rsidR="0063464B">
              <w:rPr>
                <w:rFonts w:asciiTheme="minorHAnsi" w:hAnsiTheme="minorHAnsi" w:cstheme="minorHAnsi"/>
                <w:sz w:val="18"/>
                <w:szCs w:val="18"/>
              </w:rPr>
              <w:t xml:space="preserve"> </w:t>
            </w:r>
            <w:r w:rsidRPr="005B62DC">
              <w:rPr>
                <w:rFonts w:asciiTheme="minorHAnsi" w:hAnsiTheme="minorHAnsi" w:cstheme="minorHAnsi"/>
                <w:sz w:val="18"/>
                <w:szCs w:val="18"/>
              </w:rPr>
              <w:t xml:space="preserve">biosimilar brand for treatment naïve patients. The PBAC considered that the application of biosimilar uptake drivers to </w:t>
            </w:r>
            <w:proofErr w:type="spellStart"/>
            <w:r w:rsidRPr="005B62DC">
              <w:rPr>
                <w:rFonts w:asciiTheme="minorHAnsi" w:hAnsiTheme="minorHAnsi" w:cstheme="minorHAnsi"/>
                <w:sz w:val="18"/>
                <w:szCs w:val="18"/>
              </w:rPr>
              <w:t>Nepexto</w:t>
            </w:r>
            <w:proofErr w:type="spellEnd"/>
            <w:r w:rsidRPr="005B62DC">
              <w:rPr>
                <w:rFonts w:asciiTheme="minorHAnsi" w:hAnsiTheme="minorHAnsi" w:cstheme="minorHAnsi"/>
                <w:sz w:val="18"/>
                <w:szCs w:val="18"/>
              </w:rPr>
              <w:t xml:space="preserve"> would be clinically appropriate and would not impact cost-effectiveness. </w:t>
            </w:r>
          </w:p>
        </w:tc>
      </w:tr>
      <w:tr w:rsidR="006211D7" w:rsidRPr="008059F4" w:rsidDel="008F66B5" w14:paraId="211AD65F" w14:textId="353CA9BC" w:rsidTr="00BB3EE8">
        <w:trPr>
          <w:cantSplit/>
          <w:trHeight w:val="1289"/>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BBF3B6F" w14:textId="77777777" w:rsidR="007771F8" w:rsidRDefault="006211D7" w:rsidP="00DC3166">
            <w:pPr>
              <w:jc w:val="center"/>
              <w:rPr>
                <w:rFonts w:asciiTheme="minorHAnsi" w:eastAsia="Calibri" w:hAnsiTheme="minorHAnsi" w:cstheme="minorHAnsi"/>
                <w:color w:val="000000" w:themeColor="text1"/>
                <w:sz w:val="18"/>
                <w:szCs w:val="18"/>
              </w:rPr>
            </w:pPr>
            <w:r w:rsidRPr="00F24886">
              <w:rPr>
                <w:rFonts w:asciiTheme="minorHAnsi" w:eastAsia="Calibri" w:hAnsiTheme="minorHAnsi" w:cstheme="minorHAnsi"/>
                <w:color w:val="000000" w:themeColor="text1"/>
                <w:sz w:val="18"/>
                <w:szCs w:val="18"/>
              </w:rPr>
              <w:t>FUTIBATINIB</w:t>
            </w:r>
            <w:r w:rsidRPr="006A5A05">
              <w:rPr>
                <w:rFonts w:asciiTheme="minorHAnsi" w:hAnsiTheme="minorHAnsi" w:cstheme="minorHAnsi"/>
                <w:sz w:val="18"/>
                <w:szCs w:val="18"/>
              </w:rPr>
              <w:br/>
            </w:r>
            <w:r w:rsidRPr="006A5A05">
              <w:rPr>
                <w:rFonts w:asciiTheme="minorHAnsi" w:eastAsia="Calibri" w:hAnsiTheme="minorHAnsi" w:cstheme="minorHAnsi"/>
                <w:color w:val="000000" w:themeColor="text1"/>
                <w:sz w:val="18"/>
                <w:szCs w:val="18"/>
              </w:rPr>
              <w:t xml:space="preserve"> </w:t>
            </w:r>
            <w:r w:rsidRPr="006A5A05">
              <w:rPr>
                <w:rFonts w:asciiTheme="minorHAnsi" w:hAnsiTheme="minorHAnsi" w:cstheme="minorHAnsi"/>
                <w:sz w:val="18"/>
                <w:szCs w:val="18"/>
              </w:rPr>
              <w:br/>
            </w:r>
            <w:r w:rsidRPr="00341682">
              <w:rPr>
                <w:rFonts w:asciiTheme="minorHAnsi" w:eastAsia="Calibri" w:hAnsiTheme="minorHAnsi" w:cstheme="minorHAnsi"/>
                <w:color w:val="000000" w:themeColor="text1"/>
                <w:sz w:val="18"/>
                <w:szCs w:val="18"/>
              </w:rPr>
              <w:t>Tablet 4 mg</w:t>
            </w:r>
            <w:r w:rsidRPr="006A5A05">
              <w:rPr>
                <w:rFonts w:asciiTheme="minorHAnsi" w:hAnsiTheme="minorHAnsi" w:cstheme="minorHAnsi"/>
                <w:sz w:val="18"/>
                <w:szCs w:val="18"/>
              </w:rPr>
              <w:br/>
            </w:r>
            <w:r w:rsidRPr="006A5A05">
              <w:rPr>
                <w:rFonts w:asciiTheme="minorHAnsi" w:eastAsia="Calibri" w:hAnsiTheme="minorHAnsi" w:cstheme="minorHAnsi"/>
                <w:color w:val="000000" w:themeColor="text1"/>
                <w:sz w:val="18"/>
                <w:szCs w:val="18"/>
              </w:rPr>
              <w:t xml:space="preserve"> </w:t>
            </w:r>
            <w:r w:rsidRPr="006A5A05">
              <w:rPr>
                <w:rFonts w:asciiTheme="minorHAnsi" w:hAnsiTheme="minorHAnsi" w:cstheme="minorHAnsi"/>
                <w:sz w:val="18"/>
                <w:szCs w:val="18"/>
              </w:rPr>
              <w:br/>
            </w:r>
            <w:proofErr w:type="spellStart"/>
            <w:r w:rsidRPr="006A5A05">
              <w:rPr>
                <w:rFonts w:asciiTheme="minorHAnsi" w:eastAsia="Calibri" w:hAnsiTheme="minorHAnsi" w:cstheme="minorHAnsi"/>
                <w:color w:val="000000" w:themeColor="text1"/>
                <w:sz w:val="18"/>
                <w:szCs w:val="18"/>
              </w:rPr>
              <w:t>Lytgobi</w:t>
            </w:r>
            <w:proofErr w:type="spellEnd"/>
            <w:r w:rsidRPr="006A5A05">
              <w:rPr>
                <w:rFonts w:asciiTheme="minorHAnsi" w:eastAsia="Calibri" w:hAnsiTheme="minorHAnsi" w:cstheme="minorHAnsi"/>
                <w:color w:val="000000" w:themeColor="text1"/>
                <w:sz w:val="18"/>
                <w:szCs w:val="18"/>
                <w:vertAlign w:val="superscript"/>
              </w:rPr>
              <w:t>®</w:t>
            </w:r>
            <w:r w:rsidRPr="006A5A05">
              <w:rPr>
                <w:rFonts w:asciiTheme="minorHAnsi" w:hAnsiTheme="minorHAnsi" w:cstheme="minorHAnsi"/>
                <w:sz w:val="18"/>
                <w:szCs w:val="18"/>
              </w:rPr>
              <w:br/>
            </w:r>
            <w:r w:rsidRPr="006A5A05">
              <w:rPr>
                <w:rFonts w:asciiTheme="minorHAnsi" w:eastAsia="Calibri" w:hAnsiTheme="minorHAnsi" w:cstheme="minorHAnsi"/>
                <w:color w:val="000000" w:themeColor="text1"/>
                <w:sz w:val="18"/>
                <w:szCs w:val="18"/>
              </w:rPr>
              <w:t xml:space="preserve"> </w:t>
            </w:r>
            <w:r w:rsidRPr="006A5A05">
              <w:rPr>
                <w:rFonts w:asciiTheme="minorHAnsi" w:hAnsiTheme="minorHAnsi" w:cstheme="minorHAnsi"/>
                <w:sz w:val="18"/>
                <w:szCs w:val="18"/>
              </w:rPr>
              <w:br/>
            </w:r>
            <w:r w:rsidRPr="006A5A05">
              <w:rPr>
                <w:rFonts w:asciiTheme="minorHAnsi" w:eastAsia="Calibri" w:hAnsiTheme="minorHAnsi" w:cstheme="minorHAnsi"/>
                <w:color w:val="000000" w:themeColor="text1"/>
                <w:sz w:val="18"/>
                <w:szCs w:val="18"/>
              </w:rPr>
              <w:t>TAIHO PHARMA OCEANIA PTY LTD</w:t>
            </w:r>
            <w:r w:rsidRPr="006A5A05">
              <w:rPr>
                <w:rFonts w:asciiTheme="minorHAnsi" w:hAnsiTheme="minorHAnsi" w:cstheme="minorHAnsi"/>
                <w:sz w:val="18"/>
                <w:szCs w:val="18"/>
              </w:rPr>
              <w:br/>
            </w:r>
            <w:r w:rsidRPr="006A5A05">
              <w:rPr>
                <w:rFonts w:asciiTheme="minorHAnsi" w:eastAsia="Calibri" w:hAnsiTheme="minorHAnsi" w:cstheme="minorHAnsi"/>
                <w:color w:val="000000" w:themeColor="text1"/>
                <w:sz w:val="18"/>
                <w:szCs w:val="18"/>
              </w:rPr>
              <w:t xml:space="preserve"> </w:t>
            </w:r>
            <w:r w:rsidRPr="006A5A05">
              <w:rPr>
                <w:rFonts w:asciiTheme="minorHAnsi" w:hAnsiTheme="minorHAnsi" w:cstheme="minorHAnsi"/>
                <w:sz w:val="18"/>
                <w:szCs w:val="18"/>
              </w:rPr>
              <w:br/>
            </w:r>
            <w:r w:rsidR="00FB0D41" w:rsidRPr="00FB0D41">
              <w:rPr>
                <w:rFonts w:asciiTheme="minorHAnsi" w:eastAsia="Calibri" w:hAnsiTheme="minorHAnsi" w:cstheme="minorHAnsi"/>
                <w:color w:val="000000" w:themeColor="text1"/>
                <w:sz w:val="18"/>
                <w:szCs w:val="18"/>
              </w:rPr>
              <w:t>Early re-entry</w:t>
            </w:r>
            <w:r w:rsidR="00FB0D41" w:rsidRPr="00FB0D41" w:rsidDel="00FB0D41">
              <w:rPr>
                <w:rFonts w:asciiTheme="minorHAnsi" w:eastAsia="Calibri" w:hAnsiTheme="minorHAnsi" w:cstheme="minorHAnsi"/>
                <w:color w:val="000000" w:themeColor="text1"/>
                <w:sz w:val="18"/>
                <w:szCs w:val="18"/>
              </w:rPr>
              <w:t xml:space="preserve"> </w:t>
            </w:r>
          </w:p>
          <w:p w14:paraId="3243B570" w14:textId="0E841250" w:rsidR="006211D7" w:rsidRPr="006A5A05" w:rsidRDefault="006211D7" w:rsidP="00DC3166">
            <w:pPr>
              <w:jc w:val="center"/>
              <w:rPr>
                <w:rFonts w:asciiTheme="minorHAnsi" w:hAnsiTheme="minorHAnsi" w:cstheme="minorHAnsi"/>
                <w:sz w:val="18"/>
                <w:szCs w:val="18"/>
              </w:rPr>
            </w:pPr>
            <w:r w:rsidRPr="006A5A05">
              <w:rPr>
                <w:rFonts w:asciiTheme="minorHAnsi" w:eastAsia="Calibri" w:hAnsiTheme="minorHAnsi" w:cstheme="minorHAnsi"/>
                <w:color w:val="000000" w:themeColor="text1"/>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vAlign w:val="center"/>
          </w:tcPr>
          <w:p w14:paraId="6212F18C" w14:textId="0FCCFCA7" w:rsidR="006211D7" w:rsidRPr="006A5A05" w:rsidRDefault="006211D7" w:rsidP="00DC3166">
            <w:pPr>
              <w:jc w:val="center"/>
              <w:rPr>
                <w:rFonts w:asciiTheme="minorHAnsi" w:hAnsiTheme="minorHAnsi" w:cstheme="minorHAnsi"/>
                <w:sz w:val="18"/>
                <w:szCs w:val="18"/>
              </w:rPr>
            </w:pPr>
            <w:r w:rsidRPr="006A5A05">
              <w:rPr>
                <w:rFonts w:asciiTheme="minorHAnsi" w:eastAsia="Calibri" w:hAnsiTheme="minorHAnsi" w:cstheme="minorHAnsi"/>
                <w:color w:val="000000" w:themeColor="text1"/>
                <w:sz w:val="18"/>
                <w:szCs w:val="18"/>
              </w:rPr>
              <w:t>Bile duct cancer (cholangiocarcinoma)</w:t>
            </w:r>
          </w:p>
        </w:tc>
        <w:tc>
          <w:tcPr>
            <w:tcW w:w="29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073EECE" w14:textId="48CD8751" w:rsidR="006211D7" w:rsidRPr="006A5A05" w:rsidRDefault="006211D7" w:rsidP="00DC3166">
            <w:pPr>
              <w:jc w:val="center"/>
              <w:rPr>
                <w:rFonts w:asciiTheme="minorHAnsi" w:hAnsiTheme="minorHAnsi" w:cstheme="minorHAnsi"/>
                <w:sz w:val="18"/>
                <w:szCs w:val="18"/>
              </w:rPr>
            </w:pPr>
            <w:r w:rsidRPr="006A5A05">
              <w:rPr>
                <w:rFonts w:asciiTheme="minorHAnsi" w:eastAsia="Calibri" w:hAnsiTheme="minorHAnsi" w:cstheme="minorHAnsi"/>
                <w:color w:val="000000" w:themeColor="text1"/>
                <w:sz w:val="18"/>
                <w:szCs w:val="18"/>
              </w:rPr>
              <w:t>Resubmission to request a General Schedule Authority Required (STREAMLINED) listing for the treatment of patients with locally advanced or metastatic cholangiocarcinoma who have previously progressed on systemic therapy and have a fibroblast growth factor receptor 2 fusion or rearrangement.</w:t>
            </w:r>
          </w:p>
        </w:tc>
        <w:tc>
          <w:tcPr>
            <w:tcW w:w="1584" w:type="dxa"/>
            <w:vAlign w:val="center"/>
          </w:tcPr>
          <w:p w14:paraId="2BD28AB2" w14:textId="35018D9F" w:rsidR="006211D7" w:rsidRPr="006A5A05" w:rsidDel="008F66B5" w:rsidRDefault="009A7E32" w:rsidP="00DC3166">
            <w:pPr>
              <w:pStyle w:val="ListParagraph"/>
              <w:keepLines/>
              <w:ind w:left="0"/>
              <w:jc w:val="center"/>
              <w:rPr>
                <w:rFonts w:asciiTheme="minorHAnsi" w:hAnsiTheme="minorHAnsi" w:cstheme="minorHAnsi"/>
                <w:color w:val="000000"/>
                <w:sz w:val="18"/>
                <w:szCs w:val="18"/>
              </w:rPr>
            </w:pPr>
            <w:r w:rsidRPr="009A7E32">
              <w:rPr>
                <w:rFonts w:asciiTheme="minorHAnsi" w:hAnsiTheme="minorHAnsi" w:cstheme="minorHAnsi"/>
                <w:color w:val="000000"/>
                <w:sz w:val="18"/>
                <w:szCs w:val="18"/>
              </w:rPr>
              <w:t>Not recommended</w:t>
            </w:r>
          </w:p>
        </w:tc>
        <w:tc>
          <w:tcPr>
            <w:tcW w:w="4836" w:type="dxa"/>
            <w:vAlign w:val="center"/>
          </w:tcPr>
          <w:p w14:paraId="3B647FD6" w14:textId="5026E47E" w:rsidR="00556B51" w:rsidRPr="00F657EC" w:rsidRDefault="00556B51" w:rsidP="00DC3166">
            <w:pPr>
              <w:jc w:val="both"/>
              <w:rPr>
                <w:rFonts w:asciiTheme="minorHAnsi" w:hAnsiTheme="minorHAnsi" w:cstheme="minorBidi"/>
                <w:sz w:val="18"/>
                <w:szCs w:val="18"/>
              </w:rPr>
            </w:pPr>
            <w:r w:rsidRPr="00F657EC">
              <w:rPr>
                <w:rFonts w:asciiTheme="minorHAnsi" w:hAnsiTheme="minorHAnsi" w:cstheme="minorBidi"/>
                <w:sz w:val="18"/>
                <w:szCs w:val="18"/>
              </w:rPr>
              <w:t xml:space="preserve">The PBAC did not recommended </w:t>
            </w:r>
            <w:proofErr w:type="spellStart"/>
            <w:r w:rsidRPr="00F657EC">
              <w:rPr>
                <w:rFonts w:asciiTheme="minorHAnsi" w:hAnsiTheme="minorHAnsi" w:cstheme="minorBidi"/>
                <w:sz w:val="18"/>
                <w:szCs w:val="18"/>
              </w:rPr>
              <w:t>futibatinib</w:t>
            </w:r>
            <w:proofErr w:type="spellEnd"/>
            <w:r w:rsidRPr="00F657EC">
              <w:rPr>
                <w:rFonts w:asciiTheme="minorHAnsi" w:hAnsiTheme="minorHAnsi" w:cstheme="minorBidi"/>
                <w:sz w:val="18"/>
                <w:szCs w:val="18"/>
              </w:rPr>
              <w:t xml:space="preserve"> for the treatment of patients with locally advanced or metastatic cholangiocarcinoma who have previously progressed on systemic therapy and have a fibroblast growth factor receptor 2 fusion or rearrangement. The PBAC recalled it did not recommend </w:t>
            </w:r>
            <w:proofErr w:type="spellStart"/>
            <w:r w:rsidRPr="00F657EC">
              <w:rPr>
                <w:rFonts w:asciiTheme="minorHAnsi" w:hAnsiTheme="minorHAnsi" w:cstheme="minorBidi"/>
                <w:sz w:val="18"/>
                <w:szCs w:val="18"/>
              </w:rPr>
              <w:t>futibatinib</w:t>
            </w:r>
            <w:proofErr w:type="spellEnd"/>
            <w:r w:rsidRPr="00F657EC">
              <w:rPr>
                <w:rFonts w:asciiTheme="minorHAnsi" w:hAnsiTheme="minorHAnsi" w:cstheme="minorBidi"/>
                <w:sz w:val="18"/>
                <w:szCs w:val="18"/>
              </w:rPr>
              <w:t xml:space="preserve"> at its March 2025 meeting and had advised the outstanding issues related to the </w:t>
            </w:r>
            <w:r w:rsidR="001950E9" w:rsidRPr="00F657EC">
              <w:rPr>
                <w:rFonts w:asciiTheme="minorHAnsi" w:hAnsiTheme="minorHAnsi" w:cstheme="minorBidi"/>
                <w:sz w:val="18"/>
                <w:szCs w:val="18"/>
              </w:rPr>
              <w:t>cost-effectiveness</w:t>
            </w:r>
            <w:r w:rsidRPr="00F657EC">
              <w:rPr>
                <w:rFonts w:asciiTheme="minorHAnsi" w:hAnsiTheme="minorHAnsi" w:cstheme="minorBidi"/>
                <w:sz w:val="18"/>
                <w:szCs w:val="18"/>
              </w:rPr>
              <w:t xml:space="preserve"> and financial estimates could be addressed using the early re-entry submission pathway. The PBAC recalled the input it received from organisations when it considered </w:t>
            </w:r>
            <w:proofErr w:type="spellStart"/>
            <w:r w:rsidRPr="00F657EC">
              <w:rPr>
                <w:rFonts w:asciiTheme="minorHAnsi" w:hAnsiTheme="minorHAnsi" w:cstheme="minorBidi"/>
                <w:sz w:val="18"/>
                <w:szCs w:val="18"/>
              </w:rPr>
              <w:t>futibatinib</w:t>
            </w:r>
            <w:proofErr w:type="spellEnd"/>
            <w:r w:rsidRPr="00F657EC">
              <w:rPr>
                <w:rFonts w:asciiTheme="minorHAnsi" w:hAnsiTheme="minorHAnsi" w:cstheme="minorBidi"/>
                <w:sz w:val="18"/>
                <w:szCs w:val="18"/>
              </w:rPr>
              <w:t xml:space="preserve"> at its March 2025 meeting and welcomed further input from organisations to this meeting. The PBAC acknowledged that survival outcomes for patients with advanced or metastatic cholangiocarcinoma are very poor and there is a high clinical need for more effective therapies.</w:t>
            </w:r>
          </w:p>
          <w:p w14:paraId="237B65BB" w14:textId="77777777" w:rsidR="00556B51" w:rsidRPr="00F657EC" w:rsidRDefault="00556B51" w:rsidP="00DC3166">
            <w:pPr>
              <w:jc w:val="both"/>
              <w:rPr>
                <w:rFonts w:asciiTheme="minorHAnsi" w:hAnsiTheme="minorHAnsi" w:cstheme="minorBidi"/>
                <w:sz w:val="18"/>
                <w:szCs w:val="18"/>
              </w:rPr>
            </w:pPr>
          </w:p>
          <w:p w14:paraId="198906A4" w14:textId="77777777" w:rsidR="00556B51" w:rsidRPr="00F657EC" w:rsidRDefault="00556B51" w:rsidP="00DC3166">
            <w:pPr>
              <w:jc w:val="both"/>
              <w:rPr>
                <w:rFonts w:asciiTheme="minorHAnsi" w:hAnsiTheme="minorHAnsi" w:cstheme="minorBidi"/>
                <w:sz w:val="18"/>
                <w:szCs w:val="18"/>
              </w:rPr>
            </w:pPr>
            <w:r w:rsidRPr="00F657EC">
              <w:rPr>
                <w:rFonts w:asciiTheme="minorHAnsi" w:hAnsiTheme="minorHAnsi" w:cstheme="minorBidi"/>
                <w:sz w:val="18"/>
                <w:szCs w:val="18"/>
              </w:rPr>
              <w:t xml:space="preserve">The PBAC recalled it previously considered the extent to which </w:t>
            </w:r>
            <w:proofErr w:type="spellStart"/>
            <w:r w:rsidRPr="00F657EC">
              <w:rPr>
                <w:rFonts w:asciiTheme="minorHAnsi" w:hAnsiTheme="minorHAnsi" w:cstheme="minorBidi"/>
                <w:sz w:val="18"/>
                <w:szCs w:val="18"/>
              </w:rPr>
              <w:t>futibatinib</w:t>
            </w:r>
            <w:proofErr w:type="spellEnd"/>
            <w:r w:rsidRPr="00F657EC">
              <w:rPr>
                <w:rFonts w:asciiTheme="minorHAnsi" w:hAnsiTheme="minorHAnsi" w:cstheme="minorBidi"/>
                <w:sz w:val="18"/>
                <w:szCs w:val="18"/>
              </w:rPr>
              <w:t xml:space="preserve"> improved survival was uncertain and that the sponsor had claimed survival benefits in support of its proposed price that were overly optimistic and not adequately supported by the clinal evidence included in the submission. </w:t>
            </w:r>
          </w:p>
          <w:p w14:paraId="2D9980E3" w14:textId="77777777" w:rsidR="00556B51" w:rsidRPr="00F657EC" w:rsidRDefault="00556B51" w:rsidP="00DC3166">
            <w:pPr>
              <w:jc w:val="both"/>
              <w:rPr>
                <w:rFonts w:asciiTheme="minorHAnsi" w:hAnsiTheme="minorHAnsi" w:cstheme="minorBidi"/>
                <w:sz w:val="18"/>
                <w:szCs w:val="18"/>
              </w:rPr>
            </w:pPr>
          </w:p>
          <w:p w14:paraId="7171B966" w14:textId="38D08983" w:rsidR="006211D7" w:rsidRPr="00F657EC" w:rsidRDefault="00556B51" w:rsidP="00DC3166">
            <w:pPr>
              <w:jc w:val="both"/>
              <w:rPr>
                <w:rFonts w:asciiTheme="minorHAnsi" w:hAnsiTheme="minorHAnsi" w:cstheme="minorBidi"/>
                <w:sz w:val="18"/>
                <w:szCs w:val="18"/>
              </w:rPr>
            </w:pPr>
            <w:r w:rsidRPr="00F657EC">
              <w:rPr>
                <w:rFonts w:asciiTheme="minorHAnsi" w:hAnsiTheme="minorHAnsi" w:cstheme="minorBidi"/>
                <w:sz w:val="18"/>
                <w:szCs w:val="18"/>
              </w:rPr>
              <w:t>The PBAC considered the early re-entry resubmission did not adequately address the issues it raised when the Committee considered the sponsor’s original submission at its March 2025 PBAC meeting. The survival benefits claimed by the sponsor in support of its requested price continued to be highly optimistic. The clinical evidence included in the submission did not allow confidence that the improvement to survival claimed by the sponsor would be realised. Additional studies identified during the evaluation of the submission considered in March 2025 further suggested that the sponsor had overestimated the magnitude of the survival benefits. The PBAC considered that in any resubmission, estimated benefits in support of the proposed price would need to be more realistic.</w:t>
            </w:r>
          </w:p>
          <w:p w14:paraId="7957BE5E" w14:textId="77777777" w:rsidR="00AF4AE1" w:rsidRPr="00F657EC" w:rsidRDefault="00AF4AE1" w:rsidP="00DC3166">
            <w:pPr>
              <w:jc w:val="both"/>
              <w:rPr>
                <w:rFonts w:asciiTheme="minorHAnsi" w:hAnsiTheme="minorHAnsi" w:cstheme="minorBidi"/>
                <w:sz w:val="18"/>
                <w:szCs w:val="18"/>
              </w:rPr>
            </w:pPr>
          </w:p>
          <w:p w14:paraId="2E99C172" w14:textId="5F980DA4" w:rsidR="00FB27A6" w:rsidRPr="00F657EC" w:rsidRDefault="00AF4AE1" w:rsidP="00DC3166">
            <w:pPr>
              <w:jc w:val="both"/>
              <w:rPr>
                <w:rFonts w:asciiTheme="minorHAnsi" w:hAnsiTheme="minorHAnsi" w:cstheme="minorBidi"/>
                <w:sz w:val="18"/>
                <w:szCs w:val="18"/>
              </w:rPr>
            </w:pPr>
            <w:r w:rsidRPr="00F657EC">
              <w:rPr>
                <w:rFonts w:asciiTheme="minorHAnsi" w:hAnsiTheme="minorHAnsi" w:cstheme="minorBidi"/>
                <w:sz w:val="18"/>
                <w:szCs w:val="18"/>
                <w:u w:val="single"/>
              </w:rPr>
              <w:t>Comparator: Standard of Care (SoC) chemotherapy, represented by FOLFOX</w:t>
            </w:r>
          </w:p>
          <w:p w14:paraId="5999A925" w14:textId="77777777" w:rsidR="00911A41" w:rsidRPr="00F657EC" w:rsidRDefault="00AF4AE1" w:rsidP="00DC3166">
            <w:pPr>
              <w:jc w:val="both"/>
              <w:rPr>
                <w:rFonts w:asciiTheme="minorHAnsi" w:hAnsiTheme="minorHAnsi" w:cstheme="minorBidi"/>
                <w:sz w:val="18"/>
                <w:szCs w:val="18"/>
              </w:rPr>
            </w:pPr>
            <w:r w:rsidRPr="00F657EC">
              <w:rPr>
                <w:rFonts w:asciiTheme="minorHAnsi" w:hAnsiTheme="minorHAnsi" w:cstheme="minorBidi"/>
                <w:sz w:val="18"/>
                <w:szCs w:val="18"/>
                <w:u w:val="single"/>
              </w:rPr>
              <w:t>Secondary comparator: palliative care (with active symptom control, ASC)</w:t>
            </w:r>
          </w:p>
          <w:p w14:paraId="17C2642B" w14:textId="0DB45125" w:rsidR="00AF4AE1" w:rsidRPr="00F657EC" w:rsidRDefault="00AF4AE1" w:rsidP="00DC3166">
            <w:pPr>
              <w:jc w:val="both"/>
              <w:rPr>
                <w:rFonts w:asciiTheme="minorHAnsi" w:hAnsiTheme="minorHAnsi" w:cstheme="minorBidi"/>
                <w:sz w:val="18"/>
                <w:szCs w:val="18"/>
              </w:rPr>
            </w:pPr>
            <w:r w:rsidRPr="00F657EC">
              <w:rPr>
                <w:rFonts w:asciiTheme="minorHAnsi" w:hAnsiTheme="minorHAnsi" w:cstheme="minorBidi"/>
                <w:sz w:val="18"/>
                <w:szCs w:val="18"/>
              </w:rPr>
              <w:t>The PBAC reaffirmed its previous view that the proposed comparators were reasonable.</w:t>
            </w:r>
          </w:p>
          <w:p w14:paraId="3F6CDC3F" w14:textId="77777777" w:rsidR="00764D50" w:rsidRPr="00F657EC" w:rsidRDefault="00764D50" w:rsidP="00DC3166">
            <w:pPr>
              <w:jc w:val="both"/>
              <w:rPr>
                <w:rFonts w:asciiTheme="minorHAnsi" w:hAnsiTheme="minorHAnsi" w:cstheme="minorBidi"/>
                <w:sz w:val="18"/>
                <w:szCs w:val="18"/>
              </w:rPr>
            </w:pPr>
          </w:p>
          <w:p w14:paraId="4C0443E7" w14:textId="0FA458F8" w:rsidR="007348C6" w:rsidRPr="00F657EC" w:rsidRDefault="007348C6" w:rsidP="00DC3166">
            <w:pPr>
              <w:jc w:val="both"/>
              <w:rPr>
                <w:rFonts w:asciiTheme="minorHAnsi" w:hAnsiTheme="minorHAnsi" w:cstheme="minorBidi"/>
                <w:sz w:val="18"/>
                <w:szCs w:val="18"/>
                <w:u w:val="single"/>
              </w:rPr>
            </w:pPr>
            <w:r w:rsidRPr="00F657EC">
              <w:rPr>
                <w:rFonts w:asciiTheme="minorHAnsi" w:hAnsiTheme="minorHAnsi" w:cstheme="minorBidi"/>
                <w:sz w:val="18"/>
                <w:szCs w:val="18"/>
                <w:u w:val="single"/>
              </w:rPr>
              <w:t>Clinical claim: Superior effectiveness and safety compared with SoC chemotherapy</w:t>
            </w:r>
          </w:p>
          <w:p w14:paraId="70AA0975" w14:textId="77777777" w:rsidR="00865F78" w:rsidRPr="00F657EC" w:rsidRDefault="007348C6" w:rsidP="00DC3166">
            <w:pPr>
              <w:jc w:val="both"/>
              <w:rPr>
                <w:rFonts w:asciiTheme="minorHAnsi" w:hAnsiTheme="minorHAnsi" w:cstheme="minorBidi"/>
                <w:sz w:val="18"/>
                <w:szCs w:val="18"/>
                <w:u w:val="single"/>
              </w:rPr>
            </w:pPr>
            <w:r w:rsidRPr="00F657EC">
              <w:rPr>
                <w:rFonts w:asciiTheme="minorHAnsi" w:hAnsiTheme="minorHAnsi" w:cstheme="minorBidi"/>
                <w:sz w:val="18"/>
                <w:szCs w:val="18"/>
                <w:u w:val="single"/>
              </w:rPr>
              <w:t>Secondary Clinical claim: Superior effectiveness and different but manageable safety compared to ASC</w:t>
            </w:r>
          </w:p>
          <w:p w14:paraId="1CBFE5DB" w14:textId="77777777" w:rsidR="008133C2" w:rsidRPr="00F657EC" w:rsidRDefault="007348C6" w:rsidP="00DC3166">
            <w:pPr>
              <w:jc w:val="both"/>
              <w:rPr>
                <w:rFonts w:asciiTheme="minorHAnsi" w:hAnsiTheme="minorHAnsi" w:cstheme="minorBidi"/>
                <w:sz w:val="18"/>
                <w:szCs w:val="18"/>
              </w:rPr>
            </w:pPr>
            <w:r w:rsidRPr="00F657EC">
              <w:rPr>
                <w:rFonts w:asciiTheme="minorHAnsi" w:hAnsiTheme="minorHAnsi" w:cstheme="minorBidi"/>
                <w:sz w:val="18"/>
                <w:szCs w:val="18"/>
              </w:rPr>
              <w:t xml:space="preserve">The PBAC recalled that it had previously accepted the clinical claim of superior comparative effectiveness, and maintained that the magnitude of effect is highly uncertain and likely overestimated. The PBAC recalled it previously accepted the claim of inferior safety compared to ASC, and maintained that the claim of superior safety (vs chemotherapy) was not adequately supported by the data, but theoretically plausible. </w:t>
            </w:r>
          </w:p>
          <w:p w14:paraId="076B8429" w14:textId="77777777" w:rsidR="008133C2" w:rsidRPr="00F657EC" w:rsidRDefault="008133C2" w:rsidP="00DC3166">
            <w:pPr>
              <w:jc w:val="both"/>
              <w:rPr>
                <w:rFonts w:asciiTheme="minorHAnsi" w:hAnsiTheme="minorHAnsi" w:cstheme="minorBidi"/>
                <w:sz w:val="18"/>
                <w:szCs w:val="18"/>
              </w:rPr>
            </w:pPr>
          </w:p>
          <w:p w14:paraId="0A243B3E" w14:textId="6A09865D" w:rsidR="00135589" w:rsidRPr="00F657EC" w:rsidRDefault="00893956" w:rsidP="00DC3166">
            <w:pPr>
              <w:jc w:val="both"/>
              <w:rPr>
                <w:rFonts w:asciiTheme="minorHAnsi" w:hAnsiTheme="minorHAnsi" w:cstheme="minorBidi"/>
                <w:sz w:val="18"/>
                <w:szCs w:val="18"/>
              </w:rPr>
            </w:pPr>
            <w:r w:rsidRPr="00F657EC">
              <w:rPr>
                <w:rFonts w:asciiTheme="minorHAnsi" w:hAnsiTheme="minorHAnsi" w:cstheme="minorBidi"/>
                <w:sz w:val="18"/>
                <w:szCs w:val="18"/>
                <w:u w:val="single"/>
              </w:rPr>
              <w:t xml:space="preserve">Economic claim: </w:t>
            </w:r>
            <w:r w:rsidR="00EC0A15" w:rsidRPr="00F657EC">
              <w:rPr>
                <w:rFonts w:asciiTheme="minorHAnsi" w:hAnsiTheme="minorHAnsi" w:cstheme="minorBidi"/>
                <w:sz w:val="18"/>
                <w:szCs w:val="18"/>
                <w:u w:val="single"/>
              </w:rPr>
              <w:t>Cost-utility</w:t>
            </w:r>
            <w:r w:rsidR="008A5D14" w:rsidRPr="00F657EC">
              <w:rPr>
                <w:rFonts w:asciiTheme="minorHAnsi" w:hAnsiTheme="minorHAnsi" w:cstheme="minorBidi"/>
                <w:sz w:val="18"/>
                <w:szCs w:val="18"/>
                <w:u w:val="single"/>
              </w:rPr>
              <w:t xml:space="preserve"> analysis </w:t>
            </w:r>
            <w:r w:rsidRPr="00F657EC">
              <w:rPr>
                <w:rFonts w:asciiTheme="minorHAnsi" w:hAnsiTheme="minorHAnsi" w:cstheme="minorBidi"/>
                <w:sz w:val="18"/>
                <w:szCs w:val="18"/>
                <w:u w:val="single"/>
              </w:rPr>
              <w:t>versus chemotherapy</w:t>
            </w:r>
            <w:r w:rsidRPr="00F657EC">
              <w:rPr>
                <w:rFonts w:asciiTheme="minorHAnsi" w:hAnsiTheme="minorHAnsi" w:cstheme="minorBidi"/>
                <w:sz w:val="18"/>
                <w:szCs w:val="18"/>
              </w:rPr>
              <w:t xml:space="preserve"> </w:t>
            </w:r>
          </w:p>
          <w:p w14:paraId="617346FA" w14:textId="30A76916" w:rsidR="00764D50" w:rsidRPr="00F657EC" w:rsidRDefault="00893956" w:rsidP="00DC3166">
            <w:pPr>
              <w:jc w:val="both"/>
              <w:rPr>
                <w:rFonts w:asciiTheme="minorHAnsi" w:hAnsiTheme="minorHAnsi" w:cstheme="minorBidi"/>
                <w:sz w:val="18"/>
                <w:szCs w:val="18"/>
              </w:rPr>
            </w:pPr>
            <w:r w:rsidRPr="00F657EC">
              <w:rPr>
                <w:rFonts w:asciiTheme="minorHAnsi" w:hAnsiTheme="minorHAnsi" w:cstheme="minorBidi"/>
                <w:sz w:val="18"/>
                <w:szCs w:val="18"/>
              </w:rPr>
              <w:t xml:space="preserve">The PBAC noted that the revised economic evaluation had not addressed </w:t>
            </w:r>
            <w:proofErr w:type="gramStart"/>
            <w:r w:rsidRPr="00F657EC">
              <w:rPr>
                <w:rFonts w:asciiTheme="minorHAnsi" w:hAnsiTheme="minorHAnsi" w:cstheme="minorBidi"/>
                <w:sz w:val="18"/>
                <w:szCs w:val="18"/>
              </w:rPr>
              <w:t>a number of</w:t>
            </w:r>
            <w:proofErr w:type="gramEnd"/>
            <w:r w:rsidRPr="00F657EC">
              <w:rPr>
                <w:rFonts w:asciiTheme="minorHAnsi" w:hAnsiTheme="minorHAnsi" w:cstheme="minorBidi"/>
                <w:sz w:val="18"/>
                <w:szCs w:val="18"/>
              </w:rPr>
              <w:t xml:space="preserve"> the Committee’s previous concerns. The PBAC considered</w:t>
            </w:r>
            <w:r w:rsidR="00B47E93" w:rsidRPr="00F657EC">
              <w:rPr>
                <w:rFonts w:asciiTheme="minorHAnsi" w:hAnsiTheme="minorHAnsi" w:cstheme="minorBidi"/>
                <w:sz w:val="18"/>
                <w:szCs w:val="18"/>
              </w:rPr>
              <w:t xml:space="preserve"> </w:t>
            </w:r>
            <w:r w:rsidRPr="00F657EC">
              <w:rPr>
                <w:rFonts w:asciiTheme="minorHAnsi" w:hAnsiTheme="minorHAnsi" w:cstheme="minorBidi"/>
                <w:sz w:val="18"/>
                <w:szCs w:val="18"/>
              </w:rPr>
              <w:t xml:space="preserve">that the ICER remained underestimated and </w:t>
            </w:r>
            <w:proofErr w:type="spellStart"/>
            <w:r w:rsidRPr="00F657EC">
              <w:rPr>
                <w:rFonts w:asciiTheme="minorHAnsi" w:hAnsiTheme="minorHAnsi" w:cstheme="minorBidi"/>
                <w:sz w:val="18"/>
                <w:szCs w:val="18"/>
              </w:rPr>
              <w:t>futibatinib</w:t>
            </w:r>
            <w:proofErr w:type="spellEnd"/>
            <w:r w:rsidRPr="00F657EC">
              <w:rPr>
                <w:rFonts w:asciiTheme="minorHAnsi" w:hAnsiTheme="minorHAnsi" w:cstheme="minorBidi"/>
                <w:sz w:val="18"/>
                <w:szCs w:val="18"/>
              </w:rPr>
              <w:t xml:space="preserve"> was not cost-effective at the price proposed in the submission.</w:t>
            </w:r>
          </w:p>
          <w:p w14:paraId="3A901305" w14:textId="77777777" w:rsidR="001769A5" w:rsidRDefault="001769A5" w:rsidP="00DC3166">
            <w:pPr>
              <w:jc w:val="both"/>
              <w:rPr>
                <w:rFonts w:asciiTheme="minorHAnsi" w:hAnsiTheme="minorHAnsi" w:cstheme="minorBidi"/>
                <w:sz w:val="18"/>
                <w:szCs w:val="18"/>
              </w:rPr>
            </w:pPr>
          </w:p>
          <w:p w14:paraId="3FDDA199" w14:textId="77777777" w:rsidR="00C03ECA" w:rsidRDefault="001769A5" w:rsidP="00DC3166">
            <w:pPr>
              <w:jc w:val="both"/>
              <w:rPr>
                <w:rFonts w:asciiTheme="minorHAnsi" w:hAnsiTheme="minorHAnsi" w:cstheme="minorBidi"/>
                <w:sz w:val="18"/>
                <w:szCs w:val="18"/>
              </w:rPr>
            </w:pPr>
            <w:r w:rsidRPr="00C03ECA">
              <w:rPr>
                <w:rFonts w:asciiTheme="minorHAnsi" w:hAnsiTheme="minorHAnsi" w:cstheme="minorBidi"/>
                <w:sz w:val="18"/>
                <w:szCs w:val="18"/>
                <w:u w:val="single"/>
              </w:rPr>
              <w:t>Sponsor’s Comment:</w:t>
            </w:r>
            <w:r w:rsidR="00AC4F97">
              <w:rPr>
                <w:rFonts w:asciiTheme="minorHAnsi" w:hAnsiTheme="minorHAnsi" w:cstheme="minorBidi"/>
                <w:sz w:val="18"/>
                <w:szCs w:val="18"/>
              </w:rPr>
              <w:t xml:space="preserve"> </w:t>
            </w:r>
          </w:p>
          <w:p w14:paraId="471F916D" w14:textId="5A5EF19E" w:rsidR="00AC4F97" w:rsidRPr="00AC4F97" w:rsidDel="008F66B5" w:rsidRDefault="00BD7336" w:rsidP="00BB3EE8">
            <w:pPr>
              <w:jc w:val="both"/>
              <w:rPr>
                <w:rFonts w:asciiTheme="minorHAnsi" w:hAnsiTheme="minorHAnsi" w:cstheme="minorBidi"/>
                <w:sz w:val="18"/>
                <w:szCs w:val="18"/>
              </w:rPr>
            </w:pPr>
            <w:r w:rsidRPr="00BD7336">
              <w:rPr>
                <w:rFonts w:asciiTheme="minorHAnsi" w:hAnsiTheme="minorHAnsi" w:cstheme="minorBidi"/>
                <w:sz w:val="18"/>
                <w:szCs w:val="18"/>
              </w:rPr>
              <w:t xml:space="preserve">Taiho remains committed to working with the PBAC to facilitate sustainable patient access to </w:t>
            </w:r>
            <w:proofErr w:type="spellStart"/>
            <w:r w:rsidRPr="00BD7336">
              <w:rPr>
                <w:rFonts w:asciiTheme="minorHAnsi" w:hAnsiTheme="minorHAnsi" w:cstheme="minorBidi"/>
                <w:sz w:val="18"/>
                <w:szCs w:val="18"/>
              </w:rPr>
              <w:t>futibatinib</w:t>
            </w:r>
            <w:proofErr w:type="spellEnd"/>
            <w:r w:rsidRPr="00BD7336">
              <w:rPr>
                <w:rFonts w:asciiTheme="minorHAnsi" w:hAnsiTheme="minorHAnsi" w:cstheme="minorBidi"/>
                <w:sz w:val="18"/>
                <w:szCs w:val="18"/>
              </w:rPr>
              <w:t xml:space="preserve"> in Australia</w:t>
            </w:r>
            <w:r>
              <w:rPr>
                <w:rFonts w:asciiTheme="minorHAnsi" w:hAnsiTheme="minorHAnsi" w:cstheme="minorBidi"/>
                <w:sz w:val="18"/>
                <w:szCs w:val="18"/>
              </w:rPr>
              <w:t>.</w:t>
            </w:r>
          </w:p>
        </w:tc>
      </w:tr>
      <w:tr w:rsidR="006211D7" w:rsidRPr="008059F4" w:rsidDel="008F66B5" w14:paraId="741E255E" w14:textId="45025390" w:rsidTr="09589B60">
        <w:trPr>
          <w:cantSplit/>
          <w:trHeight w:val="1748"/>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D0E92C1" w14:textId="68F9BDC0" w:rsidR="00EC00A2" w:rsidRPr="006A5A05" w:rsidRDefault="006211D7" w:rsidP="00DC3166">
            <w:pPr>
              <w:jc w:val="center"/>
              <w:rPr>
                <w:rFonts w:asciiTheme="minorHAnsi" w:eastAsia="Calibri" w:hAnsiTheme="minorHAnsi" w:cstheme="minorHAnsi"/>
                <w:color w:val="000000" w:themeColor="text1"/>
                <w:sz w:val="18"/>
                <w:szCs w:val="18"/>
              </w:rPr>
            </w:pPr>
            <w:r w:rsidRPr="00F657EC">
              <w:rPr>
                <w:rFonts w:asciiTheme="minorHAnsi" w:hAnsiTheme="minorHAnsi" w:cstheme="minorHAnsi"/>
                <w:color w:val="000000"/>
                <w:sz w:val="18"/>
                <w:szCs w:val="18"/>
              </w:rPr>
              <w:t>GIVOSIRAN</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Solution for injection 189 mg in 1 mL</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Givlaari</w:t>
            </w:r>
            <w:r w:rsidRPr="006A5A05">
              <w:rPr>
                <w:rFonts w:asciiTheme="minorHAnsi" w:hAnsiTheme="minorHAnsi" w:cstheme="minorHAnsi"/>
                <w:color w:val="000000"/>
                <w:sz w:val="18"/>
                <w:szCs w:val="18"/>
                <w:vertAlign w:val="superscript"/>
              </w:rPr>
              <w:t>®</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MEDISON PHARMA AUSTRALIA PTY LIMITED</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r>
            <w:r w:rsidR="00EC00A2" w:rsidRPr="006A5A05">
              <w:rPr>
                <w:rFonts w:asciiTheme="minorHAnsi" w:eastAsia="Calibri" w:hAnsiTheme="minorHAnsi" w:cstheme="minorHAnsi"/>
                <w:color w:val="000000" w:themeColor="text1"/>
                <w:sz w:val="18"/>
                <w:szCs w:val="18"/>
              </w:rPr>
              <w:t xml:space="preserve">Category </w:t>
            </w:r>
            <w:r w:rsidR="004D14C8">
              <w:rPr>
                <w:rFonts w:asciiTheme="minorHAnsi" w:eastAsia="Calibri" w:hAnsiTheme="minorHAnsi" w:cstheme="minorHAnsi"/>
                <w:color w:val="000000" w:themeColor="text1"/>
                <w:sz w:val="18"/>
                <w:szCs w:val="18"/>
              </w:rPr>
              <w:t>1</w:t>
            </w:r>
          </w:p>
          <w:p w14:paraId="6347F61B" w14:textId="3320E1F0" w:rsidR="006211D7" w:rsidRPr="006A5A05" w:rsidRDefault="006211D7" w:rsidP="00DC3166">
            <w:pPr>
              <w:jc w:val="center"/>
              <w:rPr>
                <w:rFonts w:asciiTheme="minorHAnsi" w:eastAsia="Arial" w:hAnsiTheme="minorHAnsi" w:cstheme="minorHAnsi"/>
                <w:color w:val="000000" w:themeColor="text1"/>
                <w:sz w:val="18"/>
                <w:szCs w:val="18"/>
              </w:rPr>
            </w:pPr>
            <w:r w:rsidRPr="006A5A05">
              <w:rPr>
                <w:rFonts w:asciiTheme="minorHAnsi" w:hAnsiTheme="minorHAnsi" w:cstheme="minorHAnsi"/>
                <w:color w:val="000000"/>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vAlign w:val="center"/>
          </w:tcPr>
          <w:p w14:paraId="5CC1C477" w14:textId="7D4C08DC" w:rsidR="006211D7" w:rsidRPr="006A5A05" w:rsidRDefault="006211D7"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Acute hepatic porphyria (AHP)</w:t>
            </w:r>
          </w:p>
        </w:tc>
        <w:tc>
          <w:tcPr>
            <w:tcW w:w="29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DD0D3E7" w14:textId="68FCD495" w:rsidR="006211D7" w:rsidRPr="006A5A05" w:rsidRDefault="006211D7"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To request a General Schedule Authority Required (Written) listing for the initial treatment and an Authority Required (STREAMLINED) listing for the continuing treatment of AHP in adults and adolescents aged 12 years and older.</w:t>
            </w:r>
          </w:p>
        </w:tc>
        <w:tc>
          <w:tcPr>
            <w:tcW w:w="1584" w:type="dxa"/>
            <w:vAlign w:val="center"/>
          </w:tcPr>
          <w:p w14:paraId="0244BE95" w14:textId="6A2BF714" w:rsidR="006211D7" w:rsidRPr="006A5A05" w:rsidDel="008F66B5" w:rsidRDefault="005E4EFC" w:rsidP="00DC3166">
            <w:pPr>
              <w:pStyle w:val="ListParagraph"/>
              <w:keepLines/>
              <w:ind w:left="0"/>
              <w:jc w:val="center"/>
              <w:rPr>
                <w:rFonts w:asciiTheme="minorHAnsi" w:hAnsiTheme="minorHAnsi" w:cstheme="minorHAnsi"/>
                <w:color w:val="000000"/>
                <w:sz w:val="18"/>
                <w:szCs w:val="18"/>
              </w:rPr>
            </w:pPr>
            <w:r w:rsidRPr="005E4EFC">
              <w:rPr>
                <w:rFonts w:asciiTheme="minorHAnsi" w:hAnsiTheme="minorHAnsi" w:cstheme="minorHAnsi"/>
                <w:color w:val="000000"/>
                <w:sz w:val="18"/>
                <w:szCs w:val="18"/>
              </w:rPr>
              <w:t>Deferred</w:t>
            </w:r>
          </w:p>
        </w:tc>
        <w:tc>
          <w:tcPr>
            <w:tcW w:w="4836" w:type="dxa"/>
          </w:tcPr>
          <w:p w14:paraId="48DCF83B" w14:textId="30A0F2E0" w:rsidR="006A329F" w:rsidRDefault="00862DC5" w:rsidP="00DC3166">
            <w:pPr>
              <w:jc w:val="both"/>
              <w:rPr>
                <w:rFonts w:asciiTheme="minorHAnsi" w:hAnsiTheme="minorHAnsi" w:cstheme="minorBidi"/>
                <w:sz w:val="18"/>
                <w:szCs w:val="18"/>
              </w:rPr>
            </w:pPr>
            <w:r w:rsidRPr="003D4974">
              <w:rPr>
                <w:rFonts w:asciiTheme="minorHAnsi" w:hAnsiTheme="minorHAnsi" w:cstheme="minorBidi"/>
                <w:sz w:val="18"/>
                <w:szCs w:val="18"/>
              </w:rPr>
              <w:t xml:space="preserve">The PBAC deferred making a recommendation for the listing of givosiran for treatment of AHP. </w:t>
            </w:r>
          </w:p>
          <w:p w14:paraId="6F02F1D5" w14:textId="77777777" w:rsidR="006A329F" w:rsidRDefault="006A329F" w:rsidP="00DC3166">
            <w:pPr>
              <w:jc w:val="both"/>
              <w:rPr>
                <w:rFonts w:asciiTheme="minorHAnsi" w:hAnsiTheme="minorHAnsi" w:cstheme="minorBidi"/>
                <w:sz w:val="18"/>
                <w:szCs w:val="18"/>
              </w:rPr>
            </w:pPr>
          </w:p>
          <w:p w14:paraId="260C2545" w14:textId="759C06CB" w:rsidR="00862DC5" w:rsidRPr="003D4974" w:rsidRDefault="00862DC5" w:rsidP="00DC3166">
            <w:pPr>
              <w:jc w:val="both"/>
              <w:rPr>
                <w:rFonts w:asciiTheme="minorHAnsi" w:hAnsiTheme="minorHAnsi" w:cstheme="minorBidi"/>
                <w:sz w:val="18"/>
                <w:szCs w:val="18"/>
              </w:rPr>
            </w:pPr>
            <w:r w:rsidRPr="003D4974">
              <w:rPr>
                <w:rFonts w:asciiTheme="minorHAnsi" w:hAnsiTheme="minorHAnsi" w:cstheme="minorBidi"/>
                <w:sz w:val="18"/>
                <w:szCs w:val="18"/>
              </w:rPr>
              <w:t>The PBAC welcomed input from individuals with lived experience of AHP, health care professionals and organisations. The PBAC noted input that chronic symptoms and acute attacks can include intense and persistent pain, muscle weakness</w:t>
            </w:r>
            <w:r w:rsidR="00293B56">
              <w:rPr>
                <w:rFonts w:asciiTheme="minorHAnsi" w:hAnsiTheme="minorHAnsi" w:cstheme="minorBidi"/>
                <w:sz w:val="18"/>
                <w:szCs w:val="18"/>
              </w:rPr>
              <w:t>, as well as</w:t>
            </w:r>
            <w:r w:rsidRPr="003D4974">
              <w:rPr>
                <w:rFonts w:asciiTheme="minorHAnsi" w:hAnsiTheme="minorHAnsi" w:cstheme="minorBidi"/>
                <w:sz w:val="18"/>
                <w:szCs w:val="18"/>
              </w:rPr>
              <w:t xml:space="preserve"> gastrointestinal, cardiovascular and neurological symptoms. The PBAC acknowledged that there is a high unmet clinical need for people with AHP to access treatments to prevent acute attacks, and that current treatments have been described as ineffective, invasive, difficult to access and associated with serious side effects.</w:t>
            </w:r>
          </w:p>
          <w:p w14:paraId="3AFE8F96" w14:textId="77777777" w:rsidR="00862DC5" w:rsidRPr="003D4974" w:rsidRDefault="00862DC5" w:rsidP="00DC3166">
            <w:pPr>
              <w:jc w:val="both"/>
              <w:rPr>
                <w:rFonts w:asciiTheme="minorHAnsi" w:hAnsiTheme="minorHAnsi" w:cstheme="minorBidi"/>
                <w:sz w:val="18"/>
                <w:szCs w:val="18"/>
              </w:rPr>
            </w:pPr>
          </w:p>
          <w:p w14:paraId="52D74293" w14:textId="05EBFA71" w:rsidR="00862DC5" w:rsidRPr="003D4974" w:rsidRDefault="00862DC5" w:rsidP="00DC3166">
            <w:pPr>
              <w:jc w:val="both"/>
              <w:rPr>
                <w:rFonts w:asciiTheme="minorHAnsi" w:hAnsiTheme="minorHAnsi" w:cstheme="minorBidi"/>
                <w:sz w:val="18"/>
                <w:szCs w:val="18"/>
              </w:rPr>
            </w:pPr>
            <w:r w:rsidRPr="003D4974">
              <w:rPr>
                <w:rFonts w:asciiTheme="minorHAnsi" w:hAnsiTheme="minorHAnsi" w:cstheme="minorBidi"/>
                <w:sz w:val="18"/>
                <w:szCs w:val="18"/>
              </w:rPr>
              <w:t>The</w:t>
            </w:r>
            <w:r w:rsidR="000F67F2">
              <w:rPr>
                <w:rFonts w:asciiTheme="minorHAnsi" w:hAnsiTheme="minorHAnsi" w:cstheme="minorBidi"/>
                <w:sz w:val="18"/>
                <w:szCs w:val="18"/>
              </w:rPr>
              <w:t xml:space="preserve"> PBAC was satisfied based on the</w:t>
            </w:r>
            <w:r w:rsidRPr="003D4974">
              <w:rPr>
                <w:rFonts w:asciiTheme="minorHAnsi" w:hAnsiTheme="minorHAnsi" w:cstheme="minorBidi"/>
                <w:sz w:val="18"/>
                <w:szCs w:val="18"/>
              </w:rPr>
              <w:t xml:space="preserve"> clinical evidence included in the submission that, compared </w:t>
            </w:r>
            <w:r w:rsidR="00871117">
              <w:rPr>
                <w:rFonts w:asciiTheme="minorHAnsi" w:hAnsiTheme="minorHAnsi" w:cstheme="minorBidi"/>
                <w:sz w:val="18"/>
                <w:szCs w:val="18"/>
              </w:rPr>
              <w:t xml:space="preserve">to </w:t>
            </w:r>
            <w:r w:rsidRPr="003D4974">
              <w:rPr>
                <w:rFonts w:asciiTheme="minorHAnsi" w:hAnsiTheme="minorHAnsi" w:cstheme="minorBidi"/>
                <w:sz w:val="18"/>
                <w:szCs w:val="18"/>
              </w:rPr>
              <w:t xml:space="preserve">the current best supportive care, givosiran reduced the rates of acute AHP attacks requiring </w:t>
            </w:r>
            <w:proofErr w:type="spellStart"/>
            <w:r w:rsidRPr="003D4974">
              <w:rPr>
                <w:rFonts w:asciiTheme="minorHAnsi" w:hAnsiTheme="minorHAnsi" w:cstheme="minorBidi"/>
                <w:sz w:val="18"/>
                <w:szCs w:val="18"/>
              </w:rPr>
              <w:t>hospitilisation</w:t>
            </w:r>
            <w:proofErr w:type="spellEnd"/>
            <w:r w:rsidRPr="003D4974">
              <w:rPr>
                <w:rFonts w:asciiTheme="minorHAnsi" w:hAnsiTheme="minorHAnsi" w:cstheme="minorBidi"/>
                <w:sz w:val="18"/>
                <w:szCs w:val="18"/>
              </w:rPr>
              <w:t xml:space="preserve">, urgent healthcare visits or intravenous hemin administration at home. The evidence included in the submission showed that </w:t>
            </w:r>
            <w:r w:rsidR="00871117">
              <w:rPr>
                <w:rFonts w:asciiTheme="minorHAnsi" w:hAnsiTheme="minorHAnsi" w:cstheme="minorBidi"/>
                <w:sz w:val="18"/>
                <w:szCs w:val="18"/>
              </w:rPr>
              <w:t>patients</w:t>
            </w:r>
            <w:r w:rsidR="00871117" w:rsidRPr="003D4974">
              <w:rPr>
                <w:rFonts w:asciiTheme="minorHAnsi" w:hAnsiTheme="minorHAnsi" w:cstheme="minorBidi"/>
                <w:sz w:val="18"/>
                <w:szCs w:val="18"/>
              </w:rPr>
              <w:t xml:space="preserve"> </w:t>
            </w:r>
            <w:r w:rsidRPr="003D4974">
              <w:rPr>
                <w:rFonts w:asciiTheme="minorHAnsi" w:hAnsiTheme="minorHAnsi" w:cstheme="minorBidi"/>
                <w:sz w:val="18"/>
                <w:szCs w:val="18"/>
              </w:rPr>
              <w:t xml:space="preserve">treated with givosiran were more likely to experience injection-site reactions, nausea and chronic kidney disease, than those who received best supportive care. Due to these adverse events and because the clinical trial included in the submission was conducted over a short period of time, the PBAC concluded that givosiran was likely to be less safe than best supportive care. The PBAC further noted that the long-term safety risks were poorly understood, especially the potential detrimental effects to kidney and liver function. </w:t>
            </w:r>
          </w:p>
          <w:p w14:paraId="2721D1BA" w14:textId="77777777" w:rsidR="00862DC5" w:rsidRPr="003D4974" w:rsidRDefault="00862DC5" w:rsidP="00DC3166">
            <w:pPr>
              <w:jc w:val="both"/>
              <w:rPr>
                <w:rFonts w:asciiTheme="minorHAnsi" w:hAnsiTheme="minorHAnsi" w:cstheme="minorBidi"/>
                <w:sz w:val="18"/>
                <w:szCs w:val="18"/>
              </w:rPr>
            </w:pPr>
          </w:p>
          <w:p w14:paraId="2F5C09B9" w14:textId="77777777" w:rsidR="00E83D37" w:rsidRDefault="00862DC5" w:rsidP="00DC3166">
            <w:pPr>
              <w:jc w:val="both"/>
              <w:rPr>
                <w:rFonts w:asciiTheme="minorHAnsi" w:hAnsiTheme="minorHAnsi" w:cstheme="minorBidi"/>
                <w:sz w:val="18"/>
                <w:szCs w:val="18"/>
              </w:rPr>
            </w:pPr>
            <w:r w:rsidRPr="003D4974">
              <w:rPr>
                <w:rFonts w:asciiTheme="minorHAnsi" w:hAnsiTheme="minorHAnsi" w:cstheme="minorBidi"/>
                <w:sz w:val="18"/>
                <w:szCs w:val="18"/>
              </w:rPr>
              <w:t>The PBAC considered that the extent of benefit provided by givosiran was uncertain due to the limited clinical data</w:t>
            </w:r>
            <w:r w:rsidR="00E83D37">
              <w:rPr>
                <w:rFonts w:asciiTheme="minorHAnsi" w:hAnsiTheme="minorHAnsi" w:cstheme="minorBidi"/>
                <w:sz w:val="18"/>
                <w:szCs w:val="18"/>
              </w:rPr>
              <w:t xml:space="preserve"> from a small number of patients</w:t>
            </w:r>
            <w:r w:rsidRPr="003D4974">
              <w:rPr>
                <w:rFonts w:asciiTheme="minorHAnsi" w:hAnsiTheme="minorHAnsi" w:cstheme="minorBidi"/>
                <w:sz w:val="18"/>
                <w:szCs w:val="18"/>
              </w:rPr>
              <w:t xml:space="preserve">, range of disease severity, </w:t>
            </w:r>
            <w:r w:rsidR="00ED267C">
              <w:rPr>
                <w:rFonts w:asciiTheme="minorHAnsi" w:hAnsiTheme="minorHAnsi" w:cstheme="minorBidi"/>
                <w:sz w:val="18"/>
                <w:szCs w:val="18"/>
              </w:rPr>
              <w:t xml:space="preserve">uncertainty around how givosiran would </w:t>
            </w:r>
            <w:r w:rsidRPr="003D4974">
              <w:rPr>
                <w:rFonts w:asciiTheme="minorHAnsi" w:hAnsiTheme="minorHAnsi" w:cstheme="minorBidi"/>
                <w:sz w:val="18"/>
                <w:szCs w:val="18"/>
              </w:rPr>
              <w:t xml:space="preserve">likely </w:t>
            </w:r>
            <w:r w:rsidR="00ED267C">
              <w:rPr>
                <w:rFonts w:asciiTheme="minorHAnsi" w:hAnsiTheme="minorHAnsi" w:cstheme="minorBidi"/>
                <w:sz w:val="18"/>
                <w:szCs w:val="18"/>
              </w:rPr>
              <w:t>be</w:t>
            </w:r>
            <w:r w:rsidRPr="003D4974">
              <w:rPr>
                <w:rFonts w:asciiTheme="minorHAnsi" w:hAnsiTheme="minorHAnsi" w:cstheme="minorBidi"/>
                <w:sz w:val="18"/>
                <w:szCs w:val="18"/>
              </w:rPr>
              <w:t xml:space="preserve"> use</w:t>
            </w:r>
            <w:r w:rsidR="00ED267C">
              <w:rPr>
                <w:rFonts w:asciiTheme="minorHAnsi" w:hAnsiTheme="minorHAnsi" w:cstheme="minorBidi"/>
                <w:sz w:val="18"/>
                <w:szCs w:val="18"/>
              </w:rPr>
              <w:t>d</w:t>
            </w:r>
            <w:r w:rsidRPr="003D4974">
              <w:rPr>
                <w:rFonts w:asciiTheme="minorHAnsi" w:hAnsiTheme="minorHAnsi" w:cstheme="minorBidi"/>
                <w:sz w:val="18"/>
                <w:szCs w:val="18"/>
              </w:rPr>
              <w:t xml:space="preserve"> and</w:t>
            </w:r>
            <w:r w:rsidR="00E83D37">
              <w:rPr>
                <w:rFonts w:asciiTheme="minorHAnsi" w:hAnsiTheme="minorHAnsi" w:cstheme="minorBidi"/>
                <w:sz w:val="18"/>
                <w:szCs w:val="18"/>
              </w:rPr>
              <w:t xml:space="preserve"> uncertainty around</w:t>
            </w:r>
            <w:r w:rsidRPr="003D4974">
              <w:rPr>
                <w:rFonts w:asciiTheme="minorHAnsi" w:hAnsiTheme="minorHAnsi" w:cstheme="minorBidi"/>
                <w:sz w:val="18"/>
                <w:szCs w:val="18"/>
              </w:rPr>
              <w:t xml:space="preserve"> treatment continuation. The PBAC acknowledged challenges obtaining further clinical data due to these factors. </w:t>
            </w:r>
            <w:r w:rsidR="003D4974" w:rsidRPr="003D4974">
              <w:rPr>
                <w:rFonts w:asciiTheme="minorHAnsi" w:hAnsiTheme="minorHAnsi" w:cstheme="minorBidi"/>
                <w:sz w:val="18"/>
                <w:szCs w:val="18"/>
              </w:rPr>
              <w:t xml:space="preserve">The PBAC considered in the context of this rare disease with very substantial impacts on patient quality of life, givosiran would be considered acceptably cost-effective with a price reduction </w:t>
            </w:r>
            <w:r w:rsidR="00542BDB">
              <w:rPr>
                <w:rFonts w:asciiTheme="minorHAnsi" w:hAnsiTheme="minorHAnsi" w:cstheme="minorBidi"/>
                <w:sz w:val="18"/>
                <w:szCs w:val="18"/>
              </w:rPr>
              <w:t>to reduce</w:t>
            </w:r>
            <w:r w:rsidR="00542BDB" w:rsidRPr="003D4974">
              <w:rPr>
                <w:rFonts w:asciiTheme="minorHAnsi" w:hAnsiTheme="minorHAnsi" w:cstheme="minorBidi"/>
                <w:sz w:val="18"/>
                <w:szCs w:val="18"/>
              </w:rPr>
              <w:t xml:space="preserve"> </w:t>
            </w:r>
            <w:r w:rsidR="003D4974" w:rsidRPr="003D4974">
              <w:rPr>
                <w:rFonts w:asciiTheme="minorHAnsi" w:hAnsiTheme="minorHAnsi" w:cstheme="minorBidi"/>
                <w:sz w:val="18"/>
                <w:szCs w:val="18"/>
              </w:rPr>
              <w:t xml:space="preserve">the cost per patient per year. The PBAC noted this recommendation is in line with other treatments for rare diseases </w:t>
            </w:r>
            <w:r w:rsidR="764B2E25" w:rsidRPr="6DA4CEED">
              <w:rPr>
                <w:rFonts w:asciiTheme="minorHAnsi" w:hAnsiTheme="minorHAnsi" w:cstheme="minorBidi"/>
                <w:sz w:val="18"/>
                <w:szCs w:val="18"/>
              </w:rPr>
              <w:t>subsidised through</w:t>
            </w:r>
            <w:r w:rsidR="003D4974" w:rsidRPr="003D4974">
              <w:rPr>
                <w:rFonts w:asciiTheme="minorHAnsi" w:hAnsiTheme="minorHAnsi" w:cstheme="minorBidi"/>
                <w:sz w:val="18"/>
                <w:szCs w:val="18"/>
              </w:rPr>
              <w:t xml:space="preserve"> the PBS, accounting for clinical need, available evidence, nature of the benefits and size of the patient population</w:t>
            </w:r>
            <w:r w:rsidRPr="000D1BB4">
              <w:rPr>
                <w:rFonts w:asciiTheme="minorHAnsi" w:hAnsiTheme="minorHAnsi" w:cstheme="minorBidi"/>
                <w:sz w:val="18"/>
                <w:szCs w:val="18"/>
              </w:rPr>
              <w:t>. The PBAC considered a financial risk</w:t>
            </w:r>
            <w:r w:rsidR="007A797E">
              <w:rPr>
                <w:rFonts w:asciiTheme="minorHAnsi" w:hAnsiTheme="minorHAnsi" w:cstheme="minorBidi"/>
                <w:sz w:val="18"/>
                <w:szCs w:val="18"/>
              </w:rPr>
              <w:t xml:space="preserve"> </w:t>
            </w:r>
            <w:r w:rsidRPr="000D1BB4">
              <w:rPr>
                <w:rFonts w:asciiTheme="minorHAnsi" w:hAnsiTheme="minorHAnsi" w:cstheme="minorBidi"/>
                <w:sz w:val="18"/>
                <w:szCs w:val="18"/>
              </w:rPr>
              <w:t>sharing arrangement would be required given the very high cost of givosiran. The PBAC deferred making a recommendation so that additional clinical input on patient numbers, likely circumstances of use, and treatment continuation, could be obtained to inform a risk</w:t>
            </w:r>
            <w:r w:rsidR="007A797E">
              <w:rPr>
                <w:rFonts w:asciiTheme="minorHAnsi" w:hAnsiTheme="minorHAnsi" w:cstheme="minorBidi"/>
                <w:sz w:val="18"/>
                <w:szCs w:val="18"/>
              </w:rPr>
              <w:t xml:space="preserve"> </w:t>
            </w:r>
            <w:r w:rsidRPr="000D1BB4">
              <w:rPr>
                <w:rFonts w:asciiTheme="minorHAnsi" w:hAnsiTheme="minorHAnsi" w:cstheme="minorBidi"/>
                <w:sz w:val="18"/>
                <w:szCs w:val="18"/>
              </w:rPr>
              <w:t>sharing arrangement.</w:t>
            </w:r>
          </w:p>
          <w:p w14:paraId="53530666" w14:textId="77777777" w:rsidR="00D13801" w:rsidRDefault="00D13801" w:rsidP="00DC3166">
            <w:pPr>
              <w:jc w:val="both"/>
              <w:rPr>
                <w:rFonts w:asciiTheme="minorHAnsi" w:hAnsiTheme="minorHAnsi" w:cstheme="minorBidi"/>
                <w:sz w:val="18"/>
                <w:szCs w:val="18"/>
              </w:rPr>
            </w:pPr>
          </w:p>
          <w:p w14:paraId="2C0223D6" w14:textId="77777777" w:rsidR="00C03ECA" w:rsidRDefault="00D13801" w:rsidP="00DC3166">
            <w:pPr>
              <w:jc w:val="both"/>
              <w:rPr>
                <w:rFonts w:asciiTheme="minorHAnsi" w:hAnsiTheme="minorHAnsi" w:cstheme="minorBidi"/>
                <w:sz w:val="18"/>
                <w:szCs w:val="18"/>
              </w:rPr>
            </w:pPr>
            <w:r w:rsidRPr="00C03ECA">
              <w:rPr>
                <w:rFonts w:asciiTheme="minorHAnsi" w:hAnsiTheme="minorHAnsi" w:cstheme="minorBidi"/>
                <w:sz w:val="18"/>
                <w:szCs w:val="18"/>
                <w:u w:val="single"/>
              </w:rPr>
              <w:t>Sponsor’s comment</w:t>
            </w:r>
            <w:r>
              <w:rPr>
                <w:rFonts w:asciiTheme="minorHAnsi" w:hAnsiTheme="minorHAnsi" w:cstheme="minorBidi"/>
                <w:sz w:val="18"/>
                <w:szCs w:val="18"/>
              </w:rPr>
              <w:t xml:space="preserve">: </w:t>
            </w:r>
          </w:p>
          <w:p w14:paraId="22500D62" w14:textId="348D4E50" w:rsidR="00D13801" w:rsidRPr="00E83D37" w:rsidDel="008F66B5" w:rsidRDefault="00D13801" w:rsidP="00DC3166">
            <w:pPr>
              <w:jc w:val="both"/>
              <w:rPr>
                <w:rFonts w:asciiTheme="minorHAnsi" w:hAnsiTheme="minorHAnsi" w:cstheme="minorBidi"/>
                <w:sz w:val="18"/>
                <w:szCs w:val="18"/>
              </w:rPr>
            </w:pPr>
            <w:r>
              <w:rPr>
                <w:rFonts w:asciiTheme="minorHAnsi" w:hAnsiTheme="minorHAnsi" w:cstheme="minorBidi"/>
                <w:sz w:val="18"/>
                <w:szCs w:val="18"/>
              </w:rPr>
              <w:t>The sponsor had no comment.</w:t>
            </w:r>
          </w:p>
        </w:tc>
      </w:tr>
      <w:tr w:rsidR="006211D7" w:rsidRPr="008059F4" w:rsidDel="008F66B5" w14:paraId="67CC7194" w14:textId="0BCDA0ED" w:rsidTr="09589B60">
        <w:trPr>
          <w:cantSplit/>
          <w:trHeight w:val="2948"/>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1148A53" w14:textId="3933DB07" w:rsidR="00EC00A2" w:rsidRPr="006A5A05" w:rsidRDefault="006211D7" w:rsidP="00DC3166">
            <w:pPr>
              <w:jc w:val="center"/>
              <w:rPr>
                <w:rFonts w:asciiTheme="minorHAnsi" w:eastAsia="Calibri" w:hAnsiTheme="minorHAnsi" w:cstheme="minorHAnsi"/>
                <w:color w:val="000000" w:themeColor="text1"/>
                <w:sz w:val="18"/>
                <w:szCs w:val="18"/>
              </w:rPr>
            </w:pPr>
            <w:bookmarkStart w:id="3" w:name="_Hlk153369578"/>
            <w:r w:rsidRPr="00F657EC">
              <w:rPr>
                <w:rFonts w:asciiTheme="minorHAnsi" w:hAnsiTheme="minorHAnsi" w:cstheme="minorHAnsi"/>
                <w:color w:val="000000"/>
                <w:sz w:val="18"/>
                <w:szCs w:val="18"/>
              </w:rPr>
              <w:t>GLOFITAMAB</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Solution concentrate for I.V. infusion 2.5 mg in 2.5 mL</w:t>
            </w:r>
            <w:r w:rsidRPr="006A5A05">
              <w:rPr>
                <w:rFonts w:asciiTheme="minorHAnsi" w:hAnsiTheme="minorHAnsi" w:cstheme="minorHAnsi"/>
                <w:color w:val="000000"/>
                <w:sz w:val="18"/>
                <w:szCs w:val="18"/>
              </w:rPr>
              <w:br/>
              <w:t xml:space="preserve">Solution concentrate for I.V. infusion 10 mg in 10 mL </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r>
            <w:proofErr w:type="spellStart"/>
            <w:r w:rsidRPr="006A5A05">
              <w:rPr>
                <w:rFonts w:asciiTheme="minorHAnsi" w:hAnsiTheme="minorHAnsi" w:cstheme="minorHAnsi"/>
                <w:color w:val="000000"/>
                <w:sz w:val="18"/>
                <w:szCs w:val="18"/>
              </w:rPr>
              <w:t>Columvi</w:t>
            </w:r>
            <w:proofErr w:type="spellEnd"/>
            <w:r w:rsidRPr="006A5A05">
              <w:rPr>
                <w:rFonts w:asciiTheme="minorHAnsi" w:hAnsiTheme="minorHAnsi" w:cstheme="minorHAnsi"/>
                <w:color w:val="000000"/>
                <w:sz w:val="18"/>
                <w:szCs w:val="18"/>
                <w:vertAlign w:val="superscript"/>
              </w:rPr>
              <w:t>®</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ROCHE PRODUCTS PTY LTD</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r>
            <w:r w:rsidR="00EC00A2" w:rsidRPr="006A5A05">
              <w:rPr>
                <w:rFonts w:asciiTheme="minorHAnsi" w:eastAsia="Calibri" w:hAnsiTheme="minorHAnsi" w:cstheme="minorHAnsi"/>
                <w:color w:val="000000" w:themeColor="text1"/>
                <w:sz w:val="18"/>
                <w:szCs w:val="18"/>
              </w:rPr>
              <w:t>Category</w:t>
            </w:r>
            <w:r w:rsidR="004D14C8">
              <w:rPr>
                <w:rFonts w:asciiTheme="minorHAnsi" w:eastAsia="Calibri" w:hAnsiTheme="minorHAnsi" w:cstheme="minorHAnsi"/>
                <w:color w:val="000000" w:themeColor="text1"/>
                <w:sz w:val="18"/>
                <w:szCs w:val="18"/>
              </w:rPr>
              <w:t xml:space="preserve"> 2</w:t>
            </w:r>
          </w:p>
          <w:p w14:paraId="6EDAE4E6" w14:textId="5C0B3CB6" w:rsidR="006211D7" w:rsidRPr="006A5A05" w:rsidRDefault="006211D7"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vAlign w:val="center"/>
          </w:tcPr>
          <w:p w14:paraId="24D72747" w14:textId="775F52B4" w:rsidR="006211D7" w:rsidRPr="006A5A05" w:rsidRDefault="006211D7"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Relapsed or refractory diffuse large B-cell lymphoma (RR DLBCL)</w:t>
            </w:r>
          </w:p>
        </w:tc>
        <w:tc>
          <w:tcPr>
            <w:tcW w:w="29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D05A936" w14:textId="1EF4C6E4" w:rsidR="006211D7" w:rsidRPr="006A5A05" w:rsidRDefault="006211D7"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To request a Section 100 (Efficient Funding of Chemotherapy Program) Authority Required (Telephone/Online) listing for the treatment of patients with RR DLBCL.</w:t>
            </w:r>
          </w:p>
        </w:tc>
        <w:tc>
          <w:tcPr>
            <w:tcW w:w="1584" w:type="dxa"/>
            <w:tcBorders>
              <w:top w:val="single" w:sz="4" w:space="0" w:color="auto"/>
              <w:left w:val="single" w:sz="4" w:space="0" w:color="auto"/>
              <w:bottom w:val="single" w:sz="4" w:space="0" w:color="auto"/>
              <w:right w:val="single" w:sz="4" w:space="0" w:color="auto"/>
            </w:tcBorders>
            <w:vAlign w:val="center"/>
          </w:tcPr>
          <w:p w14:paraId="77C907C2" w14:textId="34B8865B" w:rsidR="006211D7" w:rsidRPr="006A5A05" w:rsidDel="008F66B5" w:rsidRDefault="00153217" w:rsidP="00DC3166">
            <w:pPr>
              <w:pStyle w:val="ListParagraph"/>
              <w:keepLines/>
              <w:ind w:left="0"/>
              <w:jc w:val="center"/>
              <w:rPr>
                <w:rFonts w:asciiTheme="minorHAnsi" w:hAnsiTheme="minorHAnsi" w:cstheme="minorHAnsi"/>
                <w:color w:val="000000"/>
                <w:sz w:val="18"/>
                <w:szCs w:val="18"/>
              </w:rPr>
            </w:pPr>
            <w:r w:rsidRPr="00153217">
              <w:rPr>
                <w:rFonts w:asciiTheme="minorHAnsi" w:hAnsiTheme="minorHAnsi" w:cstheme="minorHAnsi"/>
                <w:color w:val="000000"/>
                <w:sz w:val="18"/>
                <w:szCs w:val="18"/>
              </w:rPr>
              <w:t>Recommended</w:t>
            </w:r>
          </w:p>
        </w:tc>
        <w:tc>
          <w:tcPr>
            <w:tcW w:w="4836" w:type="dxa"/>
            <w:tcBorders>
              <w:top w:val="single" w:sz="4" w:space="0" w:color="auto"/>
              <w:left w:val="single" w:sz="4" w:space="0" w:color="auto"/>
              <w:bottom w:val="single" w:sz="4" w:space="0" w:color="auto"/>
              <w:right w:val="single" w:sz="4" w:space="0" w:color="auto"/>
            </w:tcBorders>
          </w:tcPr>
          <w:p w14:paraId="2FC4D5FE" w14:textId="0128A44D" w:rsidR="006211D7" w:rsidRDefault="000B7BA3" w:rsidP="00DC3166">
            <w:pPr>
              <w:jc w:val="both"/>
              <w:rPr>
                <w:rFonts w:asciiTheme="minorHAnsi" w:hAnsiTheme="minorHAnsi" w:cstheme="minorHAnsi"/>
                <w:color w:val="000000"/>
                <w:sz w:val="18"/>
                <w:szCs w:val="18"/>
              </w:rPr>
            </w:pPr>
            <w:r w:rsidRPr="000B7BA3">
              <w:rPr>
                <w:rFonts w:asciiTheme="minorHAnsi" w:hAnsiTheme="minorHAnsi" w:cstheme="minorHAnsi"/>
                <w:color w:val="000000"/>
                <w:sz w:val="18"/>
                <w:szCs w:val="18"/>
              </w:rPr>
              <w:t>The PBAC recommended the  listing of glofitamab, for use in combination with gemcitabine and oxaliplatin (</w:t>
            </w:r>
            <w:proofErr w:type="spellStart"/>
            <w:r w:rsidRPr="000B7BA3">
              <w:rPr>
                <w:rFonts w:asciiTheme="minorHAnsi" w:hAnsiTheme="minorHAnsi" w:cstheme="minorHAnsi"/>
                <w:color w:val="000000"/>
                <w:sz w:val="18"/>
                <w:szCs w:val="18"/>
              </w:rPr>
              <w:t>Glofit-GemOx</w:t>
            </w:r>
            <w:proofErr w:type="spellEnd"/>
            <w:r w:rsidRPr="000B7BA3">
              <w:rPr>
                <w:rFonts w:asciiTheme="minorHAnsi" w:hAnsiTheme="minorHAnsi" w:cstheme="minorHAnsi"/>
                <w:color w:val="000000"/>
                <w:sz w:val="18"/>
                <w:szCs w:val="18"/>
              </w:rPr>
              <w:t xml:space="preserve">), for the treatment of patients with </w:t>
            </w:r>
            <w:r w:rsidR="00035E8D">
              <w:rPr>
                <w:rFonts w:asciiTheme="minorHAnsi" w:hAnsiTheme="minorHAnsi" w:cstheme="minorHAnsi"/>
                <w:color w:val="000000"/>
                <w:sz w:val="18"/>
                <w:szCs w:val="18"/>
              </w:rPr>
              <w:t>RR DLBCL</w:t>
            </w:r>
            <w:r w:rsidRPr="000B7BA3">
              <w:rPr>
                <w:rFonts w:asciiTheme="minorHAnsi" w:hAnsiTheme="minorHAnsi" w:cstheme="minorHAnsi"/>
                <w:color w:val="000000"/>
                <w:sz w:val="18"/>
                <w:szCs w:val="18"/>
              </w:rPr>
              <w:t xml:space="preserve"> who have received one or more lines of systemic therapy and  are  unable to receive autologous stem cell transplant (ASCT) or chimeric antigen receptor T-cell (CAR-T) cell therapy.</w:t>
            </w:r>
          </w:p>
          <w:p w14:paraId="720F9F9A" w14:textId="77777777" w:rsidR="00CB547E" w:rsidRDefault="00CB547E" w:rsidP="00DC3166">
            <w:pPr>
              <w:jc w:val="both"/>
              <w:rPr>
                <w:rFonts w:asciiTheme="minorHAnsi" w:hAnsiTheme="minorHAnsi" w:cstheme="minorHAnsi"/>
                <w:color w:val="000000"/>
                <w:sz w:val="18"/>
                <w:szCs w:val="18"/>
              </w:rPr>
            </w:pPr>
          </w:p>
          <w:p w14:paraId="2809DFEF" w14:textId="77777777" w:rsidR="008E18F4" w:rsidRDefault="00CB547E" w:rsidP="00DC3166">
            <w:pPr>
              <w:jc w:val="both"/>
              <w:rPr>
                <w:rFonts w:asciiTheme="minorHAnsi" w:hAnsiTheme="minorHAnsi" w:cstheme="minorHAnsi"/>
                <w:color w:val="000000"/>
                <w:sz w:val="18"/>
                <w:szCs w:val="18"/>
              </w:rPr>
            </w:pPr>
            <w:r w:rsidRPr="00CB547E">
              <w:rPr>
                <w:rFonts w:asciiTheme="minorHAnsi" w:hAnsiTheme="minorHAnsi" w:cstheme="minorHAnsi"/>
                <w:color w:val="000000"/>
                <w:sz w:val="18"/>
                <w:szCs w:val="18"/>
              </w:rPr>
              <w:t>The PBAC welcomed input from clinicians and consumer organisations</w:t>
            </w:r>
            <w:r w:rsidR="004645DD">
              <w:rPr>
                <w:rFonts w:asciiTheme="minorHAnsi" w:hAnsiTheme="minorHAnsi" w:cstheme="minorHAnsi"/>
                <w:color w:val="000000"/>
                <w:sz w:val="18"/>
                <w:szCs w:val="18"/>
              </w:rPr>
              <w:t>.</w:t>
            </w:r>
            <w:r w:rsidR="008D59DA">
              <w:t xml:space="preserve"> </w:t>
            </w:r>
            <w:r w:rsidR="008D59DA" w:rsidRPr="008D59DA">
              <w:rPr>
                <w:rFonts w:asciiTheme="minorHAnsi" w:hAnsiTheme="minorHAnsi" w:cstheme="minorHAnsi"/>
                <w:color w:val="000000"/>
                <w:sz w:val="18"/>
                <w:szCs w:val="18"/>
              </w:rPr>
              <w:t xml:space="preserve">The PBAC noted the input highlighted the need for additional treatment options for people with DLBCL who are not suitable for ASCT and ineligible or can’t access CAR-T cell therapy. </w:t>
            </w:r>
            <w:r w:rsidR="008E18F4" w:rsidRPr="008E18F4">
              <w:rPr>
                <w:rFonts w:asciiTheme="minorHAnsi" w:hAnsiTheme="minorHAnsi" w:cstheme="minorHAnsi"/>
                <w:color w:val="000000"/>
                <w:sz w:val="18"/>
                <w:szCs w:val="18"/>
              </w:rPr>
              <w:t>The PBAC noted consumer comments on the stress associated with living with DLBCL and its impact on individuals’ quality of life.</w:t>
            </w:r>
          </w:p>
          <w:p w14:paraId="369E50A8" w14:textId="77777777" w:rsidR="008E18F4" w:rsidRDefault="008E18F4" w:rsidP="00DC3166">
            <w:pPr>
              <w:jc w:val="both"/>
              <w:rPr>
                <w:rFonts w:asciiTheme="minorHAnsi" w:hAnsiTheme="minorHAnsi" w:cstheme="minorHAnsi"/>
                <w:color w:val="000000"/>
                <w:sz w:val="18"/>
                <w:szCs w:val="18"/>
              </w:rPr>
            </w:pPr>
          </w:p>
          <w:p w14:paraId="0A2AE512" w14:textId="77777777" w:rsidR="003A6ED9" w:rsidRDefault="008F7A54" w:rsidP="00DC3166">
            <w:pPr>
              <w:jc w:val="both"/>
              <w:rPr>
                <w:rFonts w:asciiTheme="minorHAnsi" w:hAnsiTheme="minorHAnsi" w:cstheme="minorHAnsi"/>
                <w:color w:val="000000"/>
                <w:sz w:val="18"/>
                <w:szCs w:val="18"/>
              </w:rPr>
            </w:pPr>
            <w:r w:rsidRPr="008F7A54">
              <w:rPr>
                <w:rFonts w:asciiTheme="minorHAnsi" w:hAnsiTheme="minorHAnsi" w:cstheme="minorHAnsi"/>
                <w:color w:val="000000"/>
                <w:sz w:val="18"/>
                <w:szCs w:val="18"/>
              </w:rPr>
              <w:t xml:space="preserve">Based on the evidence provided in the submission, the PBAC was satisfied that for some patients </w:t>
            </w:r>
            <w:proofErr w:type="spellStart"/>
            <w:r w:rsidRPr="008F7A54">
              <w:rPr>
                <w:rFonts w:asciiTheme="minorHAnsi" w:hAnsiTheme="minorHAnsi" w:cstheme="minorHAnsi"/>
                <w:color w:val="000000"/>
                <w:sz w:val="18"/>
                <w:szCs w:val="18"/>
              </w:rPr>
              <w:t>Glofit-GemOx</w:t>
            </w:r>
            <w:proofErr w:type="spellEnd"/>
            <w:r w:rsidRPr="008F7A54">
              <w:rPr>
                <w:rFonts w:asciiTheme="minorHAnsi" w:hAnsiTheme="minorHAnsi" w:cstheme="minorHAnsi"/>
                <w:color w:val="000000"/>
                <w:sz w:val="18"/>
                <w:szCs w:val="18"/>
              </w:rPr>
              <w:t xml:space="preserve"> provides improvements in progression free and overall survival  compared to the main alternative therapy – rituximab in combination with gemcitabine plus oxaliplatin. </w:t>
            </w:r>
          </w:p>
          <w:p w14:paraId="12B1A6B4" w14:textId="77777777" w:rsidR="003A6ED9" w:rsidRDefault="003A6ED9" w:rsidP="00DC3166">
            <w:pPr>
              <w:jc w:val="both"/>
              <w:rPr>
                <w:rFonts w:asciiTheme="minorHAnsi" w:hAnsiTheme="minorHAnsi" w:cstheme="minorHAnsi"/>
                <w:color w:val="000000"/>
                <w:sz w:val="18"/>
                <w:szCs w:val="18"/>
              </w:rPr>
            </w:pPr>
          </w:p>
          <w:p w14:paraId="7B2C017B" w14:textId="090151F4" w:rsidR="008F7A54" w:rsidRPr="008F7A54" w:rsidRDefault="008F7A54" w:rsidP="00DC3166">
            <w:pPr>
              <w:jc w:val="both"/>
              <w:rPr>
                <w:rFonts w:asciiTheme="minorHAnsi" w:hAnsiTheme="minorHAnsi" w:cstheme="minorHAnsi"/>
                <w:color w:val="000000"/>
                <w:sz w:val="18"/>
                <w:szCs w:val="18"/>
              </w:rPr>
            </w:pPr>
            <w:r w:rsidRPr="008F7A54">
              <w:rPr>
                <w:rFonts w:asciiTheme="minorHAnsi" w:hAnsiTheme="minorHAnsi" w:cstheme="minorHAnsi"/>
                <w:color w:val="000000"/>
                <w:sz w:val="18"/>
                <w:szCs w:val="18"/>
              </w:rPr>
              <w:t xml:space="preserve">However, the cost of </w:t>
            </w:r>
            <w:proofErr w:type="spellStart"/>
            <w:r w:rsidRPr="008F7A54">
              <w:rPr>
                <w:rFonts w:asciiTheme="minorHAnsi" w:hAnsiTheme="minorHAnsi" w:cstheme="minorHAnsi"/>
                <w:color w:val="000000"/>
                <w:sz w:val="18"/>
                <w:szCs w:val="18"/>
              </w:rPr>
              <w:t>Glofit-GemOx</w:t>
            </w:r>
            <w:proofErr w:type="spellEnd"/>
            <w:r w:rsidRPr="008F7A54">
              <w:rPr>
                <w:rFonts w:asciiTheme="minorHAnsi" w:hAnsiTheme="minorHAnsi" w:cstheme="minorHAnsi"/>
                <w:color w:val="000000"/>
                <w:sz w:val="18"/>
                <w:szCs w:val="18"/>
              </w:rPr>
              <w:t xml:space="preserve"> at the requested price was not commensurate with the potential additional benefits. The PBAC considered that some of the benefits claimed by the sponsor in support of its requested price were overly optimistic. On this basis, the PBAC considered that a further price reduction would be needed to ensure that </w:t>
            </w:r>
            <w:proofErr w:type="spellStart"/>
            <w:r w:rsidRPr="008F7A54">
              <w:rPr>
                <w:rFonts w:asciiTheme="minorHAnsi" w:hAnsiTheme="minorHAnsi" w:cstheme="minorHAnsi"/>
                <w:color w:val="000000"/>
                <w:sz w:val="18"/>
                <w:szCs w:val="18"/>
              </w:rPr>
              <w:t>Glofit-GemOx</w:t>
            </w:r>
            <w:proofErr w:type="spellEnd"/>
            <w:r w:rsidRPr="008F7A54">
              <w:rPr>
                <w:rFonts w:asciiTheme="minorHAnsi" w:hAnsiTheme="minorHAnsi" w:cstheme="minorHAnsi"/>
                <w:color w:val="000000"/>
                <w:sz w:val="18"/>
                <w:szCs w:val="18"/>
              </w:rPr>
              <w:t xml:space="preserve"> would be acceptably cost-effective. The PBAC considered that some uncertainty remained about the size of the population who are unable to receive ASCT or CAR-T cell therapy and that the risk should be managed through a risk sharing arrangement to mitigate the potential impact to the Commonwealth.   </w:t>
            </w:r>
          </w:p>
          <w:p w14:paraId="6241C78A" w14:textId="77777777" w:rsidR="008F7A54" w:rsidRPr="008F7A54" w:rsidRDefault="008F7A54" w:rsidP="00DC3166">
            <w:pPr>
              <w:jc w:val="both"/>
              <w:rPr>
                <w:rFonts w:asciiTheme="minorHAnsi" w:hAnsiTheme="minorHAnsi" w:cstheme="minorHAnsi"/>
                <w:color w:val="000000"/>
                <w:sz w:val="18"/>
                <w:szCs w:val="18"/>
              </w:rPr>
            </w:pPr>
          </w:p>
          <w:p w14:paraId="763B9B94" w14:textId="161FEAA7" w:rsidR="00CB547E" w:rsidRPr="008E4C7F" w:rsidDel="008F66B5" w:rsidRDefault="008F7A54" w:rsidP="00DC3166">
            <w:pPr>
              <w:jc w:val="both"/>
              <w:rPr>
                <w:rFonts w:asciiTheme="minorHAnsi" w:hAnsiTheme="minorHAnsi" w:cstheme="minorHAnsi"/>
                <w:color w:val="000000"/>
                <w:sz w:val="18"/>
                <w:szCs w:val="18"/>
                <w:lang w:val="en-GB"/>
              </w:rPr>
            </w:pPr>
            <w:r w:rsidRPr="008F7A54">
              <w:rPr>
                <w:rFonts w:asciiTheme="minorHAnsi" w:hAnsiTheme="minorHAnsi" w:cstheme="minorHAnsi"/>
                <w:color w:val="000000"/>
                <w:sz w:val="18"/>
                <w:szCs w:val="18"/>
                <w:lang w:val="en-GB"/>
              </w:rPr>
              <w:t xml:space="preserve">The PBAC noted that </w:t>
            </w:r>
            <w:r w:rsidRPr="008F7A54">
              <w:rPr>
                <w:rFonts w:asciiTheme="minorHAnsi" w:hAnsiTheme="minorHAnsi" w:cstheme="minorHAnsi"/>
                <w:color w:val="000000"/>
                <w:sz w:val="18"/>
                <w:szCs w:val="18"/>
              </w:rPr>
              <w:t>flow</w:t>
            </w:r>
            <w:r w:rsidR="004E0D20">
              <w:rPr>
                <w:rFonts w:asciiTheme="minorHAnsi" w:hAnsiTheme="minorHAnsi" w:cstheme="minorHAnsi"/>
                <w:color w:val="000000"/>
                <w:sz w:val="18"/>
                <w:szCs w:val="18"/>
              </w:rPr>
              <w:t>-</w:t>
            </w:r>
            <w:r w:rsidRPr="008F7A54">
              <w:rPr>
                <w:rFonts w:asciiTheme="minorHAnsi" w:hAnsiTheme="minorHAnsi" w:cstheme="minorHAnsi"/>
                <w:color w:val="000000"/>
                <w:sz w:val="18"/>
                <w:szCs w:val="18"/>
              </w:rPr>
              <w:t xml:space="preserve">on changes to the current </w:t>
            </w:r>
            <w:proofErr w:type="spellStart"/>
            <w:r w:rsidRPr="008F7A54">
              <w:rPr>
                <w:rFonts w:asciiTheme="minorHAnsi" w:hAnsiTheme="minorHAnsi" w:cstheme="minorHAnsi"/>
                <w:color w:val="000000"/>
                <w:sz w:val="18"/>
                <w:szCs w:val="18"/>
              </w:rPr>
              <w:t>epcoritamab</w:t>
            </w:r>
            <w:proofErr w:type="spellEnd"/>
            <w:r w:rsidRPr="008F7A54">
              <w:rPr>
                <w:rFonts w:asciiTheme="minorHAnsi" w:hAnsiTheme="minorHAnsi" w:cstheme="minorHAnsi"/>
                <w:color w:val="000000"/>
                <w:sz w:val="18"/>
                <w:szCs w:val="18"/>
              </w:rPr>
              <w:t xml:space="preserve"> listing would be required to exclude use after second-line glofitamab. </w:t>
            </w:r>
          </w:p>
        </w:tc>
      </w:tr>
      <w:bookmarkEnd w:id="3"/>
      <w:tr w:rsidR="006211D7" w:rsidRPr="008059F4" w:rsidDel="008F66B5" w14:paraId="1D94DBFA" w14:textId="5EE2D80F" w:rsidTr="09589B60">
        <w:trPr>
          <w:cantSplit/>
          <w:trHeight w:val="2948"/>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20F563A" w14:textId="75A56958" w:rsidR="00EC00A2" w:rsidRPr="006A5A05" w:rsidRDefault="006211D7" w:rsidP="00DC3166">
            <w:pPr>
              <w:jc w:val="center"/>
              <w:rPr>
                <w:rFonts w:asciiTheme="minorHAnsi" w:eastAsia="Calibri" w:hAnsiTheme="minorHAnsi" w:cstheme="minorHAnsi"/>
                <w:color w:val="000000" w:themeColor="text1"/>
                <w:sz w:val="18"/>
                <w:szCs w:val="18"/>
              </w:rPr>
            </w:pPr>
            <w:r w:rsidRPr="00F657EC">
              <w:rPr>
                <w:rFonts w:asciiTheme="minorHAnsi" w:hAnsiTheme="minorHAnsi" w:cstheme="minorHAnsi"/>
                <w:color w:val="000000"/>
                <w:sz w:val="18"/>
                <w:szCs w:val="18"/>
              </w:rPr>
              <w:t>GUSELKUMAB</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Solution for I.V. infusion 200 mg in 20 mL vial</w:t>
            </w:r>
            <w:r w:rsidRPr="006A5A05">
              <w:rPr>
                <w:rFonts w:asciiTheme="minorHAnsi" w:hAnsiTheme="minorHAnsi" w:cstheme="minorHAnsi"/>
                <w:color w:val="000000"/>
                <w:sz w:val="18"/>
                <w:szCs w:val="18"/>
              </w:rPr>
              <w:br/>
              <w:t>Injection 100 mg in 1 mL single use pre-filled pen</w:t>
            </w:r>
            <w:r w:rsidRPr="006A5A05">
              <w:rPr>
                <w:rFonts w:asciiTheme="minorHAnsi" w:hAnsiTheme="minorHAnsi" w:cstheme="minorHAnsi"/>
                <w:color w:val="000000"/>
                <w:sz w:val="18"/>
                <w:szCs w:val="18"/>
              </w:rPr>
              <w:br/>
              <w:t>Injection 200 mg in 2 mL single use pre-filled pen,</w:t>
            </w:r>
            <w:r w:rsidRPr="006A5A05">
              <w:rPr>
                <w:rFonts w:asciiTheme="minorHAnsi" w:hAnsiTheme="minorHAnsi" w:cstheme="minorHAnsi"/>
                <w:color w:val="000000"/>
                <w:sz w:val="18"/>
                <w:szCs w:val="18"/>
              </w:rPr>
              <w:br/>
              <w:t>Injection 100 mg in 1 mL single use pre-filled syringe</w:t>
            </w:r>
            <w:r w:rsidRPr="006A5A05">
              <w:rPr>
                <w:rFonts w:asciiTheme="minorHAnsi" w:hAnsiTheme="minorHAnsi" w:cstheme="minorHAnsi"/>
                <w:color w:val="000000"/>
                <w:sz w:val="18"/>
                <w:szCs w:val="18"/>
              </w:rPr>
              <w:br/>
              <w:t>Injection 200 mg in 2 mL single use pre-filled syringe,</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Tremfya</w:t>
            </w:r>
            <w:r w:rsidRPr="006A5A05">
              <w:rPr>
                <w:rFonts w:asciiTheme="minorHAnsi" w:hAnsiTheme="minorHAnsi" w:cstheme="minorHAnsi"/>
                <w:color w:val="000000"/>
                <w:sz w:val="18"/>
                <w:szCs w:val="18"/>
                <w:vertAlign w:val="superscript"/>
              </w:rPr>
              <w:t>®</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JANSSEN-CILAG PTY LTD</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r>
            <w:r w:rsidR="00EC00A2" w:rsidRPr="006A5A05">
              <w:rPr>
                <w:rFonts w:asciiTheme="minorHAnsi" w:eastAsia="Calibri" w:hAnsiTheme="minorHAnsi" w:cstheme="minorHAnsi"/>
                <w:color w:val="000000" w:themeColor="text1"/>
                <w:sz w:val="18"/>
                <w:szCs w:val="18"/>
              </w:rPr>
              <w:t xml:space="preserve">Category </w:t>
            </w:r>
            <w:r w:rsidR="004D14C8">
              <w:rPr>
                <w:rFonts w:asciiTheme="minorHAnsi" w:eastAsia="Calibri" w:hAnsiTheme="minorHAnsi" w:cstheme="minorHAnsi"/>
                <w:color w:val="000000" w:themeColor="text1"/>
                <w:sz w:val="18"/>
                <w:szCs w:val="18"/>
              </w:rPr>
              <w:t>2</w:t>
            </w:r>
          </w:p>
          <w:p w14:paraId="112CE29A" w14:textId="316BD533" w:rsidR="006211D7" w:rsidRPr="006A5A05" w:rsidRDefault="006211D7"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vAlign w:val="center"/>
          </w:tcPr>
          <w:p w14:paraId="78BED34E" w14:textId="406D534B" w:rsidR="006211D7" w:rsidRPr="006A5A05" w:rsidRDefault="006211D7"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Severe Crohn disease</w:t>
            </w:r>
            <w:r w:rsidR="00524DE5">
              <w:rPr>
                <w:rFonts w:asciiTheme="minorHAnsi" w:hAnsiTheme="minorHAnsi" w:cstheme="minorHAnsi"/>
                <w:color w:val="000000"/>
                <w:sz w:val="18"/>
                <w:szCs w:val="18"/>
              </w:rPr>
              <w:t xml:space="preserve"> (CD)</w:t>
            </w:r>
          </w:p>
        </w:tc>
        <w:tc>
          <w:tcPr>
            <w:tcW w:w="29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62CF8D8" w14:textId="460CE44C" w:rsidR="006211D7" w:rsidRPr="006A5A05" w:rsidRDefault="006211D7"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 xml:space="preserve">To request General Schedule Authority Required (Written) listings for subcutaneous injection and a Section 100 (Highly Specialised Drug Program) Authority Required (Written) listing for I.V. infusion for the treatment of severe </w:t>
            </w:r>
            <w:r w:rsidR="00524DE5">
              <w:rPr>
                <w:rFonts w:asciiTheme="minorHAnsi" w:hAnsiTheme="minorHAnsi" w:cstheme="minorHAnsi"/>
                <w:color w:val="000000"/>
                <w:sz w:val="18"/>
                <w:szCs w:val="18"/>
              </w:rPr>
              <w:t>CD</w:t>
            </w:r>
          </w:p>
        </w:tc>
        <w:tc>
          <w:tcPr>
            <w:tcW w:w="1584" w:type="dxa"/>
            <w:tcBorders>
              <w:top w:val="single" w:sz="4" w:space="0" w:color="auto"/>
              <w:left w:val="single" w:sz="4" w:space="0" w:color="auto"/>
              <w:bottom w:val="single" w:sz="4" w:space="0" w:color="auto"/>
              <w:right w:val="single" w:sz="4" w:space="0" w:color="auto"/>
            </w:tcBorders>
            <w:vAlign w:val="center"/>
          </w:tcPr>
          <w:p w14:paraId="65AE174E" w14:textId="42A3A4FC" w:rsidR="006211D7" w:rsidRPr="006A5A05" w:rsidDel="008F66B5" w:rsidRDefault="00153217" w:rsidP="00DC3166">
            <w:pPr>
              <w:pStyle w:val="ListParagraph"/>
              <w:keepLines/>
              <w:ind w:left="0"/>
              <w:jc w:val="center"/>
              <w:rPr>
                <w:rFonts w:asciiTheme="minorHAnsi" w:hAnsiTheme="minorHAnsi" w:cstheme="minorHAnsi"/>
                <w:sz w:val="18"/>
                <w:szCs w:val="18"/>
              </w:rPr>
            </w:pPr>
            <w:r w:rsidRPr="00153217">
              <w:rPr>
                <w:rFonts w:asciiTheme="minorHAnsi" w:hAnsiTheme="minorHAnsi" w:cstheme="minorHAnsi"/>
                <w:sz w:val="18"/>
                <w:szCs w:val="18"/>
              </w:rPr>
              <w:t>Recommended</w:t>
            </w:r>
          </w:p>
        </w:tc>
        <w:tc>
          <w:tcPr>
            <w:tcW w:w="4836" w:type="dxa"/>
            <w:tcBorders>
              <w:top w:val="single" w:sz="4" w:space="0" w:color="auto"/>
              <w:left w:val="single" w:sz="4" w:space="0" w:color="auto"/>
              <w:bottom w:val="single" w:sz="4" w:space="0" w:color="auto"/>
              <w:right w:val="single" w:sz="4" w:space="0" w:color="auto"/>
            </w:tcBorders>
            <w:vAlign w:val="center"/>
          </w:tcPr>
          <w:p w14:paraId="60692F7D" w14:textId="77777777" w:rsidR="00375E01" w:rsidRDefault="00524DE5" w:rsidP="00DC3166">
            <w:pPr>
              <w:jc w:val="both"/>
              <w:rPr>
                <w:rFonts w:asciiTheme="minorHAnsi" w:hAnsiTheme="minorHAnsi" w:cstheme="minorBidi"/>
                <w:sz w:val="18"/>
                <w:szCs w:val="18"/>
              </w:rPr>
            </w:pPr>
            <w:r w:rsidRPr="00524DE5">
              <w:rPr>
                <w:rFonts w:asciiTheme="minorHAnsi" w:hAnsiTheme="minorHAnsi" w:cstheme="minorBidi"/>
                <w:sz w:val="18"/>
                <w:szCs w:val="18"/>
              </w:rPr>
              <w:t xml:space="preserve">The PBAC recommended the listings of </w:t>
            </w:r>
            <w:proofErr w:type="spellStart"/>
            <w:r w:rsidRPr="00524DE5">
              <w:rPr>
                <w:rFonts w:asciiTheme="minorHAnsi" w:hAnsiTheme="minorHAnsi" w:cstheme="minorBidi"/>
                <w:sz w:val="18"/>
                <w:szCs w:val="18"/>
              </w:rPr>
              <w:t>guselkumab</w:t>
            </w:r>
            <w:proofErr w:type="spellEnd"/>
            <w:r w:rsidRPr="00524DE5">
              <w:rPr>
                <w:rFonts w:asciiTheme="minorHAnsi" w:hAnsiTheme="minorHAnsi" w:cstheme="minorBidi"/>
                <w:sz w:val="18"/>
                <w:szCs w:val="18"/>
              </w:rPr>
              <w:t xml:space="preserve"> (GUS) for the treatment of adults with severe CD. </w:t>
            </w:r>
          </w:p>
          <w:p w14:paraId="6B100C40" w14:textId="77777777" w:rsidR="00375E01" w:rsidRDefault="00375E01" w:rsidP="00DC3166">
            <w:pPr>
              <w:jc w:val="both"/>
              <w:rPr>
                <w:rFonts w:asciiTheme="minorHAnsi" w:hAnsiTheme="minorHAnsi" w:cstheme="minorBidi"/>
                <w:sz w:val="18"/>
                <w:szCs w:val="18"/>
              </w:rPr>
            </w:pPr>
          </w:p>
          <w:p w14:paraId="06FFF581" w14:textId="77777777" w:rsidR="00D01E02" w:rsidRDefault="00524DE5" w:rsidP="00DC3166">
            <w:pPr>
              <w:jc w:val="both"/>
              <w:rPr>
                <w:rFonts w:asciiTheme="minorHAnsi" w:hAnsiTheme="minorHAnsi" w:cstheme="minorBidi"/>
                <w:sz w:val="18"/>
                <w:szCs w:val="18"/>
              </w:rPr>
            </w:pPr>
            <w:r w:rsidRPr="00524DE5">
              <w:rPr>
                <w:rFonts w:asciiTheme="minorHAnsi" w:hAnsiTheme="minorHAnsi" w:cstheme="minorBidi"/>
                <w:sz w:val="18"/>
                <w:szCs w:val="18"/>
              </w:rPr>
              <w:t xml:space="preserve">The PBAC welcomed input from individuals, health professionals and organisations. The PBAC noted the significant quality of life impact severe CD has on patients and the importance of having additional treatment options available, particularly medicines with different mechanisms of action. </w:t>
            </w:r>
          </w:p>
          <w:p w14:paraId="53905491" w14:textId="77777777" w:rsidR="00D01E02" w:rsidRDefault="00D01E02" w:rsidP="00DC3166">
            <w:pPr>
              <w:jc w:val="both"/>
              <w:rPr>
                <w:rFonts w:asciiTheme="minorHAnsi" w:hAnsiTheme="minorHAnsi" w:cstheme="minorBidi"/>
                <w:sz w:val="18"/>
                <w:szCs w:val="18"/>
              </w:rPr>
            </w:pPr>
          </w:p>
          <w:p w14:paraId="60FFA82B" w14:textId="77777777" w:rsidR="00600D34" w:rsidRDefault="00524DE5" w:rsidP="00DC3166">
            <w:pPr>
              <w:jc w:val="both"/>
              <w:rPr>
                <w:rFonts w:asciiTheme="minorHAnsi" w:hAnsiTheme="minorHAnsi" w:cstheme="minorBidi"/>
                <w:sz w:val="18"/>
                <w:szCs w:val="18"/>
              </w:rPr>
            </w:pPr>
            <w:r w:rsidRPr="00524DE5">
              <w:rPr>
                <w:rFonts w:asciiTheme="minorHAnsi" w:hAnsiTheme="minorHAnsi" w:cstheme="minorBidi"/>
                <w:sz w:val="18"/>
                <w:szCs w:val="18"/>
              </w:rPr>
              <w:t xml:space="preserve">The PBAC considered that, based on direct evidence, while GUS had similar effectiveness to ustekinumab (UST) for achieving clinical remission and response, it was likely more effective than UST in achieving endoscopic outcomes in the maintenance treatment setting. </w:t>
            </w:r>
          </w:p>
          <w:p w14:paraId="66DC0926" w14:textId="77777777" w:rsidR="00600D34" w:rsidRDefault="00600D34" w:rsidP="00DC3166">
            <w:pPr>
              <w:jc w:val="both"/>
              <w:rPr>
                <w:rFonts w:asciiTheme="minorHAnsi" w:hAnsiTheme="minorHAnsi" w:cstheme="minorBidi"/>
                <w:sz w:val="18"/>
                <w:szCs w:val="18"/>
              </w:rPr>
            </w:pPr>
          </w:p>
          <w:p w14:paraId="62C0E818" w14:textId="39615A90" w:rsidR="006211D7" w:rsidRPr="00F03408" w:rsidDel="008F66B5" w:rsidRDefault="00524DE5" w:rsidP="00DC3166">
            <w:pPr>
              <w:jc w:val="both"/>
              <w:rPr>
                <w:rFonts w:asciiTheme="minorHAnsi" w:hAnsiTheme="minorHAnsi" w:cstheme="minorBidi"/>
                <w:sz w:val="18"/>
                <w:szCs w:val="18"/>
              </w:rPr>
            </w:pPr>
            <w:r w:rsidRPr="00524DE5">
              <w:rPr>
                <w:rFonts w:asciiTheme="minorHAnsi" w:hAnsiTheme="minorHAnsi" w:cstheme="minorBidi"/>
                <w:sz w:val="18"/>
                <w:szCs w:val="18"/>
              </w:rPr>
              <w:t>The PBAC considered the economic model was uninformative, noting it included short-term and long-term benefits for clinical remission that were not supported by the available clinical trial data, and the assumed link between endoscopic remission, longer term clinical remission and quality of life was not adequately supported and quantified. Unable to recommend on a cost-effectiveness basis, the PBAC recommended GUS be cost minimised to UST over 2 years.</w:t>
            </w:r>
          </w:p>
        </w:tc>
      </w:tr>
      <w:tr w:rsidR="006211D7" w:rsidRPr="008059F4" w:rsidDel="008F66B5" w14:paraId="630CF50E" w14:textId="1FF3004C" w:rsidTr="00231E52">
        <w:trPr>
          <w:cantSplit/>
          <w:trHeight w:val="1579"/>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928B6E6" w14:textId="6265277C" w:rsidR="00EC00A2" w:rsidRPr="006A5A05" w:rsidRDefault="006211D7" w:rsidP="00DC3166">
            <w:pPr>
              <w:jc w:val="center"/>
              <w:rPr>
                <w:rFonts w:asciiTheme="minorHAnsi" w:eastAsia="Calibri" w:hAnsiTheme="minorHAnsi" w:cstheme="minorHAnsi"/>
                <w:color w:val="000000" w:themeColor="text1"/>
                <w:sz w:val="18"/>
                <w:szCs w:val="18"/>
              </w:rPr>
            </w:pPr>
            <w:r w:rsidRPr="006A5A05">
              <w:rPr>
                <w:rFonts w:asciiTheme="minorHAnsi" w:hAnsiTheme="minorHAnsi" w:cstheme="minorHAnsi"/>
                <w:color w:val="000000"/>
                <w:sz w:val="18"/>
                <w:szCs w:val="18"/>
              </w:rPr>
              <w:t>INCOBOTULINUMTOXINA</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Lyophilised powder for injection 100 units</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r>
            <w:proofErr w:type="spellStart"/>
            <w:r w:rsidRPr="006A5A05">
              <w:rPr>
                <w:rFonts w:asciiTheme="minorHAnsi" w:hAnsiTheme="minorHAnsi" w:cstheme="minorHAnsi"/>
                <w:color w:val="000000"/>
                <w:sz w:val="18"/>
                <w:szCs w:val="18"/>
              </w:rPr>
              <w:t>Xeomin</w:t>
            </w:r>
            <w:proofErr w:type="spellEnd"/>
            <w:r w:rsidRPr="006A5A05">
              <w:rPr>
                <w:rFonts w:asciiTheme="minorHAnsi" w:hAnsiTheme="minorHAnsi" w:cstheme="minorHAnsi"/>
                <w:color w:val="000000"/>
                <w:sz w:val="18"/>
                <w:szCs w:val="18"/>
                <w:vertAlign w:val="superscript"/>
              </w:rPr>
              <w:t>®</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MERZ AUSTRALIA PTY LTD</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r>
            <w:r w:rsidR="00EC00A2" w:rsidRPr="006A5A05">
              <w:rPr>
                <w:rFonts w:asciiTheme="minorHAnsi" w:eastAsia="Calibri" w:hAnsiTheme="minorHAnsi" w:cstheme="minorHAnsi"/>
                <w:color w:val="000000" w:themeColor="text1"/>
                <w:sz w:val="18"/>
                <w:szCs w:val="18"/>
              </w:rPr>
              <w:t xml:space="preserve">Category </w:t>
            </w:r>
            <w:r w:rsidR="004D14C8">
              <w:rPr>
                <w:rFonts w:asciiTheme="minorHAnsi" w:eastAsia="Calibri" w:hAnsiTheme="minorHAnsi" w:cstheme="minorHAnsi"/>
                <w:color w:val="000000" w:themeColor="text1"/>
                <w:sz w:val="18"/>
                <w:szCs w:val="18"/>
              </w:rPr>
              <w:t>2</w:t>
            </w:r>
          </w:p>
          <w:p w14:paraId="61B9BE2E" w14:textId="59FD97A1" w:rsidR="006211D7" w:rsidRPr="006A5A05" w:rsidRDefault="006211D7"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(Change to existing listing)</w:t>
            </w:r>
          </w:p>
        </w:tc>
        <w:tc>
          <w:tcPr>
            <w:tcW w:w="2767" w:type="dxa"/>
            <w:tcBorders>
              <w:top w:val="single" w:sz="4" w:space="0" w:color="auto"/>
              <w:left w:val="single" w:sz="4" w:space="0" w:color="auto"/>
              <w:bottom w:val="single" w:sz="4" w:space="0" w:color="auto"/>
              <w:right w:val="single" w:sz="4" w:space="0" w:color="auto"/>
            </w:tcBorders>
            <w:vAlign w:val="center"/>
          </w:tcPr>
          <w:p w14:paraId="6FC4B365" w14:textId="471CFFFA" w:rsidR="006211D7" w:rsidRPr="006A5A05" w:rsidRDefault="006211D7"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Moderate to severe spasticity of the upper limb</w:t>
            </w:r>
            <w:r w:rsidRPr="006A5A05">
              <w:rPr>
                <w:rFonts w:asciiTheme="minorHAnsi" w:hAnsiTheme="minorHAnsi" w:cstheme="minorHAnsi"/>
                <w:color w:val="000000"/>
                <w:sz w:val="18"/>
                <w:szCs w:val="18"/>
              </w:rPr>
              <w:br/>
              <w:t xml:space="preserve">Dynamic </w:t>
            </w:r>
            <w:proofErr w:type="spellStart"/>
            <w:r w:rsidRPr="006A5A05">
              <w:rPr>
                <w:rFonts w:asciiTheme="minorHAnsi" w:hAnsiTheme="minorHAnsi" w:cstheme="minorHAnsi"/>
                <w:color w:val="000000"/>
                <w:sz w:val="18"/>
                <w:szCs w:val="18"/>
              </w:rPr>
              <w:t>equinus</w:t>
            </w:r>
            <w:proofErr w:type="spellEnd"/>
            <w:r w:rsidRPr="006A5A05">
              <w:rPr>
                <w:rFonts w:asciiTheme="minorHAnsi" w:hAnsiTheme="minorHAnsi" w:cstheme="minorHAnsi"/>
                <w:color w:val="000000"/>
                <w:sz w:val="18"/>
                <w:szCs w:val="18"/>
              </w:rPr>
              <w:t xml:space="preserve"> foot deformity</w:t>
            </w:r>
          </w:p>
        </w:tc>
        <w:tc>
          <w:tcPr>
            <w:tcW w:w="29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592FBBA" w14:textId="3E94EBCB" w:rsidR="006211D7" w:rsidRPr="006A5A05" w:rsidRDefault="006211D7"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To request a Section 100 (Botulinum Toxin Program) Authority Required (STREAMLINED) listing for the treatment of spasticity of the lower and/or upper limbs associated with cerebral palsy in patients aged 2 years and older.</w:t>
            </w:r>
          </w:p>
        </w:tc>
        <w:tc>
          <w:tcPr>
            <w:tcW w:w="1584" w:type="dxa"/>
            <w:vAlign w:val="center"/>
          </w:tcPr>
          <w:p w14:paraId="71509397" w14:textId="23B47D7B" w:rsidR="006211D7" w:rsidRPr="006A5A05" w:rsidDel="008F66B5" w:rsidRDefault="000662E0" w:rsidP="00DC3166">
            <w:pPr>
              <w:pStyle w:val="ListParagraph"/>
              <w:keepLines/>
              <w:ind w:left="0"/>
              <w:jc w:val="center"/>
              <w:rPr>
                <w:rFonts w:asciiTheme="minorHAnsi" w:hAnsiTheme="minorHAnsi" w:cstheme="minorHAnsi"/>
                <w:color w:val="000000"/>
                <w:sz w:val="18"/>
                <w:szCs w:val="18"/>
              </w:rPr>
            </w:pPr>
            <w:r w:rsidRPr="000662E0">
              <w:rPr>
                <w:rFonts w:asciiTheme="minorHAnsi" w:hAnsiTheme="minorHAnsi" w:cstheme="minorHAnsi"/>
                <w:color w:val="000000"/>
                <w:sz w:val="18"/>
                <w:szCs w:val="18"/>
              </w:rPr>
              <w:t>Recommended</w:t>
            </w:r>
          </w:p>
        </w:tc>
        <w:tc>
          <w:tcPr>
            <w:tcW w:w="4836" w:type="dxa"/>
          </w:tcPr>
          <w:p w14:paraId="7EC59C50" w14:textId="77777777" w:rsidR="00661EA5" w:rsidRDefault="006F49F2" w:rsidP="00DC3166">
            <w:pPr>
              <w:jc w:val="both"/>
              <w:rPr>
                <w:rFonts w:asciiTheme="minorHAnsi" w:hAnsiTheme="minorHAnsi" w:cstheme="minorHAnsi"/>
                <w:sz w:val="18"/>
                <w:szCs w:val="18"/>
              </w:rPr>
            </w:pPr>
            <w:r w:rsidRPr="006F49F2">
              <w:rPr>
                <w:rFonts w:asciiTheme="minorHAnsi" w:hAnsiTheme="minorHAnsi" w:cstheme="minorHAnsi"/>
                <w:sz w:val="18"/>
                <w:szCs w:val="18"/>
              </w:rPr>
              <w:t xml:space="preserve">The PBAC recommended the Section 100 Botulinum Toxin Program Authority Required (STREAMLINED) listing of </w:t>
            </w:r>
            <w:proofErr w:type="spellStart"/>
            <w:r w:rsidRPr="006F49F2">
              <w:rPr>
                <w:rFonts w:asciiTheme="minorHAnsi" w:hAnsiTheme="minorHAnsi" w:cstheme="minorHAnsi"/>
                <w:sz w:val="18"/>
                <w:szCs w:val="18"/>
              </w:rPr>
              <w:t>Xeomin</w:t>
            </w:r>
            <w:proofErr w:type="spellEnd"/>
            <w:r w:rsidRPr="006F49F2">
              <w:rPr>
                <w:rFonts w:asciiTheme="minorHAnsi" w:hAnsiTheme="minorHAnsi" w:cstheme="minorHAnsi"/>
                <w:sz w:val="18"/>
                <w:szCs w:val="18"/>
              </w:rPr>
              <w:t xml:space="preserve">® for the treatment of moderate to severe spasticity of the upper limb and dynamic </w:t>
            </w:r>
            <w:proofErr w:type="spellStart"/>
            <w:r w:rsidRPr="006F49F2">
              <w:rPr>
                <w:rFonts w:asciiTheme="minorHAnsi" w:hAnsiTheme="minorHAnsi" w:cstheme="minorHAnsi"/>
                <w:sz w:val="18"/>
                <w:szCs w:val="18"/>
              </w:rPr>
              <w:t>equinus</w:t>
            </w:r>
            <w:proofErr w:type="spellEnd"/>
            <w:r w:rsidRPr="006F49F2">
              <w:rPr>
                <w:rFonts w:asciiTheme="minorHAnsi" w:hAnsiTheme="minorHAnsi" w:cstheme="minorHAnsi"/>
                <w:sz w:val="18"/>
                <w:szCs w:val="18"/>
              </w:rPr>
              <w:t xml:space="preserve"> foot deformity due to spasticity, in patients with cerebral palsy aged 2 years and older. The PBAC was satisfied that </w:t>
            </w:r>
            <w:proofErr w:type="spellStart"/>
            <w:r w:rsidRPr="006F49F2">
              <w:rPr>
                <w:rFonts w:asciiTheme="minorHAnsi" w:hAnsiTheme="minorHAnsi" w:cstheme="minorHAnsi"/>
                <w:sz w:val="18"/>
                <w:szCs w:val="18"/>
              </w:rPr>
              <w:t>Xeomin</w:t>
            </w:r>
            <w:proofErr w:type="spellEnd"/>
            <w:r w:rsidRPr="006F49F2">
              <w:rPr>
                <w:rFonts w:asciiTheme="minorHAnsi" w:hAnsiTheme="minorHAnsi" w:cstheme="minorHAnsi"/>
                <w:sz w:val="18"/>
                <w:szCs w:val="18"/>
              </w:rPr>
              <w:t>® is as effective and as safe compared</w:t>
            </w:r>
            <w:r w:rsidR="009164A7">
              <w:rPr>
                <w:rFonts w:asciiTheme="minorHAnsi" w:hAnsiTheme="minorHAnsi" w:cstheme="minorHAnsi"/>
                <w:sz w:val="18"/>
                <w:szCs w:val="18"/>
              </w:rPr>
              <w:t xml:space="preserve"> to</w:t>
            </w:r>
            <w:r w:rsidRPr="006F49F2">
              <w:rPr>
                <w:rFonts w:asciiTheme="minorHAnsi" w:hAnsiTheme="minorHAnsi" w:cstheme="minorHAnsi"/>
                <w:sz w:val="18"/>
                <w:szCs w:val="18"/>
              </w:rPr>
              <w:t xml:space="preserve"> the nominated comparator Botox®. </w:t>
            </w:r>
          </w:p>
          <w:p w14:paraId="21BAE38E" w14:textId="77777777" w:rsidR="00661EA5" w:rsidRDefault="00661EA5" w:rsidP="00DC3166">
            <w:pPr>
              <w:jc w:val="both"/>
              <w:rPr>
                <w:rFonts w:asciiTheme="minorHAnsi" w:hAnsiTheme="minorHAnsi" w:cstheme="minorHAnsi"/>
                <w:sz w:val="18"/>
                <w:szCs w:val="18"/>
              </w:rPr>
            </w:pPr>
          </w:p>
          <w:p w14:paraId="2403F092" w14:textId="3C9E2177" w:rsidR="00661EA5" w:rsidRDefault="006F49F2" w:rsidP="00DC3166">
            <w:pPr>
              <w:jc w:val="both"/>
              <w:rPr>
                <w:rFonts w:asciiTheme="minorHAnsi" w:hAnsiTheme="minorHAnsi" w:cstheme="minorHAnsi"/>
                <w:sz w:val="18"/>
                <w:szCs w:val="18"/>
              </w:rPr>
            </w:pPr>
            <w:r w:rsidRPr="006F49F2">
              <w:rPr>
                <w:rFonts w:asciiTheme="minorHAnsi" w:hAnsiTheme="minorHAnsi" w:cstheme="minorHAnsi"/>
                <w:sz w:val="18"/>
                <w:szCs w:val="18"/>
              </w:rPr>
              <w:t xml:space="preserve">The PBAC considered that while the available clinical data was from paediatric patients, provided fixed contractures had not developed, there would be no clinical reason to expect treatment would not work in adults and noting that, given the nature of the therapy, treatment was unlikely to be continued if no benefit was observed. </w:t>
            </w:r>
          </w:p>
          <w:p w14:paraId="76C87653" w14:textId="77777777" w:rsidR="00231E52" w:rsidRDefault="00231E52" w:rsidP="00DC3166">
            <w:pPr>
              <w:jc w:val="both"/>
              <w:rPr>
                <w:rFonts w:asciiTheme="minorHAnsi" w:hAnsiTheme="minorHAnsi" w:cstheme="minorHAnsi"/>
                <w:sz w:val="18"/>
                <w:szCs w:val="18"/>
              </w:rPr>
            </w:pPr>
          </w:p>
          <w:p w14:paraId="3B3B0A75" w14:textId="75147A1B" w:rsidR="006211D7" w:rsidRPr="00E66387" w:rsidDel="008F66B5" w:rsidRDefault="006F49F2" w:rsidP="00DC3166">
            <w:pPr>
              <w:jc w:val="both"/>
              <w:rPr>
                <w:rFonts w:asciiTheme="minorHAnsi" w:hAnsiTheme="minorHAnsi" w:cstheme="minorHAnsi"/>
                <w:sz w:val="18"/>
                <w:szCs w:val="18"/>
              </w:rPr>
            </w:pPr>
            <w:r w:rsidRPr="006F49F2">
              <w:rPr>
                <w:rFonts w:asciiTheme="minorHAnsi" w:hAnsiTheme="minorHAnsi" w:cstheme="minorHAnsi"/>
                <w:sz w:val="18"/>
                <w:szCs w:val="18"/>
              </w:rPr>
              <w:t xml:space="preserve">The PBAC considered that in addition to Botox, clostridium botulinum type A toxin-haemagglutinin complex (Dysport®) was also an alternative therapy. The PBAC recalled it had previously considered Botox and Dysport to be as effective and safe as one another. As such, the PBAC advised that </w:t>
            </w:r>
            <w:proofErr w:type="spellStart"/>
            <w:r w:rsidRPr="006F49F2">
              <w:rPr>
                <w:rFonts w:asciiTheme="minorHAnsi" w:hAnsiTheme="minorHAnsi" w:cstheme="minorHAnsi"/>
                <w:sz w:val="18"/>
                <w:szCs w:val="18"/>
              </w:rPr>
              <w:t>Xeomin</w:t>
            </w:r>
            <w:proofErr w:type="spellEnd"/>
            <w:r w:rsidRPr="006F49F2">
              <w:rPr>
                <w:rFonts w:asciiTheme="minorHAnsi" w:hAnsiTheme="minorHAnsi" w:cstheme="minorHAnsi"/>
                <w:sz w:val="18"/>
                <w:szCs w:val="18"/>
              </w:rPr>
              <w:t xml:space="preserve"> would be cost-effective if it were cost-minimised to the lowest cost alternative therapy out of Botox and Dysport. The PBAC considered the equi-effective doses to be </w:t>
            </w:r>
            <w:proofErr w:type="spellStart"/>
            <w:r w:rsidRPr="006F49F2">
              <w:rPr>
                <w:rFonts w:asciiTheme="minorHAnsi" w:hAnsiTheme="minorHAnsi" w:cstheme="minorHAnsi"/>
                <w:sz w:val="18"/>
                <w:szCs w:val="18"/>
              </w:rPr>
              <w:t>Xeomin</w:t>
            </w:r>
            <w:proofErr w:type="spellEnd"/>
            <w:r w:rsidRPr="006F49F2">
              <w:rPr>
                <w:rFonts w:asciiTheme="minorHAnsi" w:hAnsiTheme="minorHAnsi" w:cstheme="minorHAnsi"/>
                <w:sz w:val="18"/>
                <w:szCs w:val="18"/>
              </w:rPr>
              <w:t xml:space="preserve"> 1 U = Botox 1 U = Dysport 2.5 U.</w:t>
            </w:r>
          </w:p>
        </w:tc>
      </w:tr>
      <w:tr w:rsidR="003411B8" w:rsidRPr="008059F4" w:rsidDel="008F66B5" w14:paraId="13225EF2" w14:textId="399D688C" w:rsidTr="09589B60">
        <w:trPr>
          <w:cantSplit/>
          <w:trHeight w:val="1606"/>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8A797CD" w14:textId="3D4BD280" w:rsidR="00EC00A2" w:rsidRPr="006A5A05" w:rsidRDefault="003411B8" w:rsidP="00DC3166">
            <w:pPr>
              <w:jc w:val="center"/>
              <w:rPr>
                <w:rFonts w:asciiTheme="minorHAnsi" w:eastAsia="Calibri" w:hAnsiTheme="minorHAnsi" w:cstheme="minorHAnsi"/>
                <w:color w:val="000000" w:themeColor="text1"/>
                <w:sz w:val="18"/>
                <w:szCs w:val="18"/>
              </w:rPr>
            </w:pPr>
            <w:r w:rsidRPr="006A5A05">
              <w:rPr>
                <w:rFonts w:asciiTheme="minorHAnsi" w:hAnsiTheme="minorHAnsi" w:cstheme="minorHAnsi"/>
                <w:color w:val="000000"/>
                <w:sz w:val="18"/>
                <w:szCs w:val="18"/>
              </w:rPr>
              <w:t>INFLIXIMAB</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Powder for I.V. infusion 100 mg</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Remsima</w:t>
            </w:r>
            <w:r w:rsidRPr="006A5A05">
              <w:rPr>
                <w:rFonts w:asciiTheme="minorHAnsi" w:hAnsiTheme="minorHAnsi" w:cstheme="minorHAnsi"/>
                <w:color w:val="000000"/>
                <w:sz w:val="18"/>
                <w:szCs w:val="18"/>
                <w:vertAlign w:val="superscript"/>
              </w:rPr>
              <w:t>®</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CELLTRION HEALTHCARE AUSTRALIA PTY LTD</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r>
            <w:r w:rsidR="00EC00A2" w:rsidRPr="006A5A05">
              <w:rPr>
                <w:rFonts w:asciiTheme="minorHAnsi" w:eastAsia="Calibri" w:hAnsiTheme="minorHAnsi" w:cstheme="minorHAnsi"/>
                <w:color w:val="000000" w:themeColor="text1"/>
                <w:sz w:val="18"/>
                <w:szCs w:val="18"/>
              </w:rPr>
              <w:t xml:space="preserve">Category </w:t>
            </w:r>
            <w:r w:rsidR="008D2185">
              <w:rPr>
                <w:rFonts w:asciiTheme="minorHAnsi" w:eastAsia="Calibri" w:hAnsiTheme="minorHAnsi" w:cstheme="minorHAnsi"/>
                <w:color w:val="000000" w:themeColor="text1"/>
                <w:sz w:val="18"/>
                <w:szCs w:val="18"/>
              </w:rPr>
              <w:t>3</w:t>
            </w:r>
          </w:p>
          <w:p w14:paraId="52B2EFEF" w14:textId="6E7CF52E" w:rsidR="003411B8" w:rsidRPr="006A5A05" w:rsidRDefault="003411B8"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vAlign w:val="center"/>
          </w:tcPr>
          <w:p w14:paraId="08DE0F92" w14:textId="515772BA" w:rsidR="003411B8" w:rsidRPr="006A5A05" w:rsidRDefault="003411B8"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Severe active rheumatoid arthritis</w:t>
            </w:r>
            <w:r w:rsidRPr="006A5A05">
              <w:rPr>
                <w:rFonts w:asciiTheme="minorHAnsi" w:hAnsiTheme="minorHAnsi" w:cstheme="minorHAnsi"/>
                <w:color w:val="000000"/>
                <w:sz w:val="18"/>
                <w:szCs w:val="18"/>
              </w:rPr>
              <w:br/>
              <w:t>Ankylosing spondylitis</w:t>
            </w:r>
            <w:r w:rsidRPr="006A5A05">
              <w:rPr>
                <w:rFonts w:asciiTheme="minorHAnsi" w:hAnsiTheme="minorHAnsi" w:cstheme="minorHAnsi"/>
                <w:color w:val="000000"/>
                <w:sz w:val="18"/>
                <w:szCs w:val="18"/>
              </w:rPr>
              <w:br/>
              <w:t>Severe psoriatic arthritis</w:t>
            </w:r>
            <w:r w:rsidRPr="006A5A05">
              <w:rPr>
                <w:rFonts w:asciiTheme="minorHAnsi" w:hAnsiTheme="minorHAnsi" w:cstheme="minorHAnsi"/>
                <w:color w:val="000000"/>
                <w:sz w:val="18"/>
                <w:szCs w:val="18"/>
              </w:rPr>
              <w:br/>
              <w:t>Severe chronic plaque psoriasis</w:t>
            </w:r>
            <w:r w:rsidRPr="006A5A05">
              <w:rPr>
                <w:rFonts w:asciiTheme="minorHAnsi" w:hAnsiTheme="minorHAnsi" w:cstheme="minorHAnsi"/>
                <w:color w:val="000000"/>
                <w:sz w:val="18"/>
                <w:szCs w:val="18"/>
              </w:rPr>
              <w:br/>
              <w:t>Severe Crohn disease</w:t>
            </w:r>
            <w:r w:rsidRPr="006A5A05">
              <w:rPr>
                <w:rFonts w:asciiTheme="minorHAnsi" w:hAnsiTheme="minorHAnsi" w:cstheme="minorHAnsi"/>
                <w:color w:val="000000"/>
                <w:sz w:val="18"/>
                <w:szCs w:val="18"/>
              </w:rPr>
              <w:br/>
              <w:t>Complex refractory fistulising Crohn Disease</w:t>
            </w:r>
            <w:r w:rsidRPr="006A5A05">
              <w:rPr>
                <w:rFonts w:asciiTheme="minorHAnsi" w:hAnsiTheme="minorHAnsi" w:cstheme="minorHAnsi"/>
                <w:color w:val="000000"/>
                <w:sz w:val="18"/>
                <w:szCs w:val="18"/>
              </w:rPr>
              <w:br/>
              <w:t>Moderate to severe ulcerative colitis</w:t>
            </w:r>
          </w:p>
        </w:tc>
        <w:tc>
          <w:tcPr>
            <w:tcW w:w="29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67762D0" w14:textId="7C4A8183" w:rsidR="003411B8" w:rsidRPr="006A5A05" w:rsidRDefault="003411B8"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To request Section 100 (Highly Specialised Drugs Program) Authority Required listings of a new infliximab biosimilar under the same conditions as other biosimilar brands of infliximab.</w:t>
            </w:r>
          </w:p>
        </w:tc>
        <w:tc>
          <w:tcPr>
            <w:tcW w:w="1584" w:type="dxa"/>
            <w:vAlign w:val="center"/>
          </w:tcPr>
          <w:p w14:paraId="0F53DED0" w14:textId="6057F49C" w:rsidR="003411B8" w:rsidRPr="006A5A05" w:rsidDel="008F66B5" w:rsidRDefault="000662E0" w:rsidP="00DC3166">
            <w:pPr>
              <w:pStyle w:val="ListParagraph"/>
              <w:keepLines/>
              <w:ind w:left="0"/>
              <w:jc w:val="center"/>
              <w:rPr>
                <w:rFonts w:asciiTheme="minorHAnsi" w:hAnsiTheme="minorHAnsi" w:cstheme="minorHAnsi"/>
                <w:color w:val="000000"/>
                <w:sz w:val="18"/>
                <w:szCs w:val="18"/>
              </w:rPr>
            </w:pPr>
            <w:r w:rsidRPr="000662E0">
              <w:rPr>
                <w:rFonts w:asciiTheme="minorHAnsi" w:hAnsiTheme="minorHAnsi" w:cstheme="minorHAnsi"/>
                <w:color w:val="000000"/>
                <w:sz w:val="18"/>
                <w:szCs w:val="18"/>
              </w:rPr>
              <w:t>Recommended</w:t>
            </w:r>
          </w:p>
        </w:tc>
        <w:tc>
          <w:tcPr>
            <w:tcW w:w="4836" w:type="dxa"/>
            <w:vAlign w:val="center"/>
          </w:tcPr>
          <w:p w14:paraId="1F9786FD" w14:textId="42F6EE27" w:rsidR="003411B8" w:rsidRPr="00F03408" w:rsidDel="008F66B5" w:rsidRDefault="0013184D" w:rsidP="00DC3166">
            <w:pPr>
              <w:jc w:val="both"/>
              <w:rPr>
                <w:rFonts w:asciiTheme="minorHAnsi" w:hAnsiTheme="minorHAnsi" w:cstheme="minorBidi"/>
                <w:color w:val="000000"/>
                <w:sz w:val="18"/>
                <w:szCs w:val="18"/>
              </w:rPr>
            </w:pPr>
            <w:r w:rsidRPr="0013184D">
              <w:rPr>
                <w:rFonts w:asciiTheme="minorHAnsi" w:hAnsiTheme="minorHAnsi" w:cstheme="minorBidi"/>
                <w:color w:val="000000"/>
                <w:sz w:val="18"/>
                <w:szCs w:val="18"/>
              </w:rPr>
              <w:t>The PBAC recommended listing of a new infliximab biosimilar (Remsima</w:t>
            </w:r>
            <w:r w:rsidRPr="0013184D">
              <w:rPr>
                <w:rFonts w:asciiTheme="minorHAnsi" w:hAnsiTheme="minorHAnsi" w:cstheme="minorBidi"/>
                <w:color w:val="000000"/>
                <w:sz w:val="18"/>
                <w:szCs w:val="18"/>
                <w:vertAlign w:val="superscript"/>
              </w:rPr>
              <w:t>®</w:t>
            </w:r>
            <w:r w:rsidRPr="0013184D">
              <w:rPr>
                <w:rFonts w:asciiTheme="minorHAnsi" w:hAnsiTheme="minorHAnsi" w:cstheme="minorBidi"/>
                <w:color w:val="000000"/>
                <w:sz w:val="18"/>
                <w:szCs w:val="18"/>
              </w:rPr>
              <w:t>) on a cost-minimisation basis and under the same circumstances as the existing PBS-listed biosimilar brands of infliximab 100 mg powder for injection (Inflectra</w:t>
            </w:r>
            <w:r w:rsidRPr="0013184D">
              <w:rPr>
                <w:rFonts w:asciiTheme="minorHAnsi" w:hAnsiTheme="minorHAnsi" w:cstheme="minorBidi"/>
                <w:color w:val="000000"/>
                <w:sz w:val="18"/>
                <w:szCs w:val="18"/>
                <w:vertAlign w:val="superscript"/>
              </w:rPr>
              <w:t>®</w:t>
            </w:r>
            <w:r w:rsidRPr="0013184D">
              <w:rPr>
                <w:rFonts w:asciiTheme="minorHAnsi" w:hAnsiTheme="minorHAnsi" w:cstheme="minorBidi"/>
                <w:color w:val="000000"/>
                <w:sz w:val="18"/>
                <w:szCs w:val="18"/>
              </w:rPr>
              <w:t xml:space="preserve"> and Renflexis</w:t>
            </w:r>
            <w:r w:rsidRPr="0013184D">
              <w:rPr>
                <w:rFonts w:asciiTheme="minorHAnsi" w:hAnsiTheme="minorHAnsi" w:cstheme="minorBidi"/>
                <w:color w:val="000000"/>
                <w:sz w:val="18"/>
                <w:szCs w:val="18"/>
                <w:vertAlign w:val="superscript"/>
              </w:rPr>
              <w:t>®</w:t>
            </w:r>
            <w:r w:rsidRPr="0013184D">
              <w:rPr>
                <w:rFonts w:asciiTheme="minorHAnsi" w:hAnsiTheme="minorHAnsi" w:cstheme="minorBidi"/>
                <w:color w:val="000000"/>
                <w:sz w:val="18"/>
                <w:szCs w:val="18"/>
              </w:rPr>
              <w:t>), for the same indications. The PBAC advised the equi-effective doses to be 1 mg of Remsima = 1 mg of Remicade (and/or other brands of PBS-listed infliximab). The PBAC noted that the submission requested for the Remsima listings to be consistent with the biosimilar uptake driver policy, that is, to have an Authority Required (STREAMLINED) requirement for the subsequent continuing treatment listings and the inclusion of an administrative note across all Remsima listings encouraging use of the biosimilar brand for treatment naïve patients. The PBAC considered that the application of biosimilar uptake drivers to Remsima would be clinically appropriate and would not impact cost-effectiveness.</w:t>
            </w:r>
          </w:p>
        </w:tc>
      </w:tr>
      <w:tr w:rsidR="00893E83" w:rsidRPr="008059F4" w:rsidDel="008F66B5" w14:paraId="42036A32" w14:textId="77777777" w:rsidTr="00974F94">
        <w:trPr>
          <w:cantSplit/>
          <w:trHeight w:val="1606"/>
        </w:trPr>
        <w:tc>
          <w:tcPr>
            <w:tcW w:w="3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1117817A" w14:textId="165F5941" w:rsidR="000F5FFA" w:rsidRPr="000F5FFA" w:rsidRDefault="00893E83" w:rsidP="000F5FFA">
            <w:pPr>
              <w:jc w:val="center"/>
              <w:rPr>
                <w:rFonts w:asciiTheme="minorHAnsi" w:hAnsiTheme="minorHAnsi" w:cstheme="minorHAnsi"/>
                <w:color w:val="000000"/>
                <w:sz w:val="18"/>
                <w:szCs w:val="18"/>
              </w:rPr>
            </w:pPr>
            <w:r>
              <w:rPr>
                <w:rFonts w:asciiTheme="minorHAnsi" w:hAnsiTheme="minorHAnsi" w:cstheme="minorHAnsi"/>
                <w:color w:val="000000"/>
                <w:sz w:val="18"/>
                <w:szCs w:val="18"/>
              </w:rPr>
              <w:t>INFLUENZA VACCINE</w:t>
            </w:r>
            <w:r>
              <w:rPr>
                <w:rFonts w:asciiTheme="minorHAnsi" w:hAnsiTheme="minorHAnsi" w:cstheme="minorHAnsi"/>
                <w:color w:val="000000"/>
                <w:sz w:val="18"/>
                <w:szCs w:val="18"/>
              </w:rPr>
              <w:br/>
            </w:r>
            <w:r>
              <w:rPr>
                <w:rFonts w:asciiTheme="minorHAnsi" w:hAnsiTheme="minorHAnsi" w:cstheme="minorHAnsi"/>
                <w:color w:val="000000"/>
                <w:sz w:val="18"/>
                <w:szCs w:val="18"/>
              </w:rPr>
              <w:br/>
              <w:t>Injection 0.5 mL</w:t>
            </w:r>
            <w:r>
              <w:rPr>
                <w:rFonts w:asciiTheme="minorHAnsi" w:hAnsiTheme="minorHAnsi" w:cstheme="minorHAnsi"/>
                <w:color w:val="000000"/>
                <w:sz w:val="18"/>
                <w:szCs w:val="18"/>
              </w:rPr>
              <w:br/>
              <w:t>Injection 0.5 mL</w:t>
            </w:r>
            <w:r w:rsidR="000F5FFA">
              <w:rPr>
                <w:rFonts w:asciiTheme="minorHAnsi" w:hAnsiTheme="minorHAnsi" w:cstheme="minorHAnsi"/>
                <w:color w:val="000000"/>
                <w:sz w:val="18"/>
                <w:szCs w:val="18"/>
              </w:rPr>
              <w:br/>
            </w:r>
            <w:r w:rsidR="000F5FFA">
              <w:rPr>
                <w:rFonts w:asciiTheme="minorHAnsi" w:hAnsiTheme="minorHAnsi" w:cstheme="minorHAnsi"/>
                <w:color w:val="000000"/>
                <w:sz w:val="18"/>
                <w:szCs w:val="18"/>
              </w:rPr>
              <w:br/>
            </w:r>
            <w:r w:rsidR="000F5FFA">
              <w:t xml:space="preserve"> </w:t>
            </w:r>
            <w:r w:rsidR="000F5FFA" w:rsidRPr="000F5FFA">
              <w:rPr>
                <w:rFonts w:asciiTheme="minorHAnsi" w:hAnsiTheme="minorHAnsi" w:cstheme="minorHAnsi"/>
                <w:color w:val="000000"/>
                <w:sz w:val="18"/>
                <w:szCs w:val="18"/>
              </w:rPr>
              <w:t>Fluad®</w:t>
            </w:r>
          </w:p>
          <w:p w14:paraId="1E7A6854" w14:textId="77777777" w:rsidR="00893E83" w:rsidRDefault="000F5FFA" w:rsidP="000F5FFA">
            <w:pPr>
              <w:jc w:val="center"/>
              <w:rPr>
                <w:rFonts w:asciiTheme="minorHAnsi" w:hAnsiTheme="minorHAnsi" w:cstheme="minorHAnsi"/>
                <w:color w:val="000000"/>
                <w:sz w:val="18"/>
                <w:szCs w:val="18"/>
              </w:rPr>
            </w:pPr>
            <w:r w:rsidRPr="000F5FFA">
              <w:rPr>
                <w:rFonts w:asciiTheme="minorHAnsi" w:hAnsiTheme="minorHAnsi" w:cstheme="minorHAnsi"/>
                <w:color w:val="000000"/>
                <w:sz w:val="18"/>
                <w:szCs w:val="18"/>
              </w:rPr>
              <w:t>Flucelvax®</w:t>
            </w:r>
            <w:r>
              <w:rPr>
                <w:rFonts w:asciiTheme="minorHAnsi" w:hAnsiTheme="minorHAnsi" w:cstheme="minorHAnsi"/>
                <w:color w:val="000000"/>
                <w:sz w:val="18"/>
                <w:szCs w:val="18"/>
              </w:rPr>
              <w:br/>
            </w:r>
            <w:r>
              <w:rPr>
                <w:rFonts w:asciiTheme="minorHAnsi" w:hAnsiTheme="minorHAnsi" w:cstheme="minorHAnsi"/>
                <w:color w:val="000000"/>
                <w:sz w:val="18"/>
                <w:szCs w:val="18"/>
              </w:rPr>
              <w:br/>
            </w:r>
            <w:r w:rsidR="00DC38D9">
              <w:t xml:space="preserve"> </w:t>
            </w:r>
            <w:r w:rsidR="00DC38D9" w:rsidRPr="00DC38D9">
              <w:rPr>
                <w:rFonts w:asciiTheme="minorHAnsi" w:hAnsiTheme="minorHAnsi" w:cstheme="minorHAnsi"/>
                <w:color w:val="000000"/>
                <w:sz w:val="18"/>
                <w:szCs w:val="18"/>
              </w:rPr>
              <w:t>SEQIRUS (AUSTRALIA) PTY LTD</w:t>
            </w:r>
            <w:r w:rsidR="00DC38D9">
              <w:rPr>
                <w:rFonts w:asciiTheme="minorHAnsi" w:hAnsiTheme="minorHAnsi" w:cstheme="minorHAnsi"/>
                <w:color w:val="000000"/>
                <w:sz w:val="18"/>
                <w:szCs w:val="18"/>
              </w:rPr>
              <w:br/>
            </w:r>
            <w:r w:rsidR="00DC38D9">
              <w:rPr>
                <w:rFonts w:asciiTheme="minorHAnsi" w:hAnsiTheme="minorHAnsi" w:cstheme="minorHAnsi"/>
                <w:color w:val="000000"/>
                <w:sz w:val="18"/>
                <w:szCs w:val="18"/>
              </w:rPr>
              <w:br/>
              <w:t>Category 3</w:t>
            </w:r>
          </w:p>
          <w:p w14:paraId="1316D9D4" w14:textId="4A1CDA3A" w:rsidR="00893E83" w:rsidRPr="006A5A05" w:rsidRDefault="00DC38D9" w:rsidP="00DC3166">
            <w:pPr>
              <w:jc w:val="center"/>
              <w:rPr>
                <w:rFonts w:asciiTheme="minorHAnsi" w:hAnsiTheme="minorHAnsi" w:cstheme="minorHAnsi"/>
                <w:color w:val="000000"/>
                <w:sz w:val="18"/>
                <w:szCs w:val="18"/>
              </w:rPr>
            </w:pPr>
            <w:r>
              <w:rPr>
                <w:rFonts w:asciiTheme="minorHAnsi" w:hAnsiTheme="minorHAnsi" w:cstheme="minorHAnsi"/>
                <w:color w:val="000000"/>
                <w:sz w:val="18"/>
                <w:szCs w:val="18"/>
              </w:rPr>
              <w:t>(New NIP listing)</w:t>
            </w:r>
          </w:p>
        </w:tc>
        <w:tc>
          <w:tcPr>
            <w:tcW w:w="27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AF61B8" w14:textId="58DE530C" w:rsidR="00893E83" w:rsidRPr="006A5A05" w:rsidRDefault="008B0B75" w:rsidP="00DC3166">
            <w:pPr>
              <w:jc w:val="center"/>
              <w:rPr>
                <w:rFonts w:asciiTheme="minorHAnsi" w:hAnsiTheme="minorHAnsi" w:cstheme="minorHAnsi"/>
                <w:color w:val="000000"/>
                <w:sz w:val="18"/>
                <w:szCs w:val="18"/>
              </w:rPr>
            </w:pPr>
            <w:r>
              <w:rPr>
                <w:rFonts w:asciiTheme="minorHAnsi" w:hAnsiTheme="minorHAnsi" w:cstheme="minorHAnsi"/>
                <w:color w:val="000000"/>
                <w:sz w:val="18"/>
                <w:szCs w:val="18"/>
              </w:rPr>
              <w:t>Prevention of influenza</w:t>
            </w:r>
          </w:p>
        </w:tc>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5944C987" w14:textId="24B38AE4" w:rsidR="00893E83" w:rsidRPr="006A5A05" w:rsidRDefault="008B0B75" w:rsidP="00DC3166">
            <w:pPr>
              <w:jc w:val="center"/>
              <w:rPr>
                <w:rFonts w:asciiTheme="minorHAnsi" w:hAnsiTheme="minorHAnsi" w:cstheme="minorHAnsi"/>
                <w:color w:val="000000"/>
                <w:sz w:val="18"/>
                <w:szCs w:val="18"/>
              </w:rPr>
            </w:pPr>
            <w:r w:rsidRPr="008B0B75">
              <w:rPr>
                <w:rFonts w:asciiTheme="minorHAnsi" w:hAnsiTheme="minorHAnsi" w:cstheme="minorHAnsi"/>
                <w:color w:val="000000"/>
                <w:sz w:val="18"/>
                <w:szCs w:val="18"/>
              </w:rPr>
              <w:t>To request National Immunisation Program (NIP) listings of inactivated trivalent influenza vaccines (TIVs), Fluad® (adjuvanted TIV) for patients aged 65 years and older, and Flucelvax® (cell-based TIV) for patients aged 6 months and older, for the prevention of influenza in the same eligible patients as the currently NIP-listed quadrivalent influenza vaccine (QIV) formulations.</w:t>
            </w:r>
          </w:p>
        </w:tc>
        <w:tc>
          <w:tcPr>
            <w:tcW w:w="1584" w:type="dxa"/>
            <w:shd w:val="clear" w:color="auto" w:fill="D9D9D9" w:themeFill="background1" w:themeFillShade="D9"/>
            <w:vAlign w:val="center"/>
          </w:tcPr>
          <w:p w14:paraId="3EF41948" w14:textId="56CEE836" w:rsidR="00893E83" w:rsidRPr="000662E0" w:rsidRDefault="00CB23CA" w:rsidP="00DC3166">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Not applicable</w:t>
            </w:r>
          </w:p>
        </w:tc>
        <w:tc>
          <w:tcPr>
            <w:tcW w:w="4836" w:type="dxa"/>
            <w:shd w:val="clear" w:color="auto" w:fill="D9D9D9" w:themeFill="background1" w:themeFillShade="D9"/>
            <w:vAlign w:val="center"/>
          </w:tcPr>
          <w:p w14:paraId="357AC5CF" w14:textId="0092207A" w:rsidR="00893E83" w:rsidRPr="0013184D" w:rsidRDefault="00CB23CA" w:rsidP="00DC3166">
            <w:pPr>
              <w:jc w:val="both"/>
              <w:rPr>
                <w:rFonts w:asciiTheme="minorHAnsi" w:hAnsiTheme="minorHAnsi" w:cstheme="minorBidi"/>
                <w:color w:val="000000"/>
                <w:sz w:val="18"/>
                <w:szCs w:val="18"/>
              </w:rPr>
            </w:pPr>
            <w:r>
              <w:rPr>
                <w:rFonts w:asciiTheme="minorHAnsi" w:hAnsiTheme="minorHAnsi" w:cstheme="minorBidi"/>
                <w:color w:val="000000"/>
                <w:sz w:val="18"/>
                <w:szCs w:val="18"/>
              </w:rPr>
              <w:t>This item was withdrawn.</w:t>
            </w:r>
          </w:p>
        </w:tc>
      </w:tr>
      <w:tr w:rsidR="003411B8" w:rsidRPr="008059F4" w:rsidDel="008F66B5" w14:paraId="22F54673" w14:textId="68264969" w:rsidTr="00132029">
        <w:trPr>
          <w:cantSplit/>
          <w:trHeight w:val="2146"/>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8F257C7" w14:textId="4D2A7681" w:rsidR="00EC00A2" w:rsidRPr="006A5A05" w:rsidRDefault="003411B8" w:rsidP="00DC3166">
            <w:pPr>
              <w:jc w:val="center"/>
              <w:rPr>
                <w:rFonts w:asciiTheme="minorHAnsi" w:eastAsia="Calibri" w:hAnsiTheme="minorHAnsi" w:cstheme="minorHAnsi"/>
                <w:color w:val="000000" w:themeColor="text1"/>
                <w:sz w:val="18"/>
                <w:szCs w:val="18"/>
              </w:rPr>
            </w:pPr>
            <w:r w:rsidRPr="00F657EC">
              <w:rPr>
                <w:rFonts w:asciiTheme="minorHAnsi" w:hAnsiTheme="minorHAnsi" w:cstheme="minorHAnsi"/>
                <w:color w:val="000000"/>
                <w:sz w:val="18"/>
                <w:szCs w:val="18"/>
              </w:rPr>
              <w:t>INSULIN DEGLUDEC</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Solution for injection 100 units per mL</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Tresiba</w:t>
            </w:r>
            <w:r w:rsidRPr="006A5A05">
              <w:rPr>
                <w:rFonts w:asciiTheme="minorHAnsi" w:hAnsiTheme="minorHAnsi" w:cstheme="minorHAnsi"/>
                <w:color w:val="000000"/>
                <w:sz w:val="18"/>
                <w:szCs w:val="18"/>
                <w:vertAlign w:val="superscript"/>
              </w:rPr>
              <w:t>®</w:t>
            </w:r>
            <w:r w:rsidRPr="006A5A05">
              <w:rPr>
                <w:rFonts w:asciiTheme="minorHAnsi" w:hAnsiTheme="minorHAnsi" w:cstheme="minorHAnsi"/>
                <w:color w:val="000000"/>
                <w:sz w:val="18"/>
                <w:szCs w:val="18"/>
              </w:rPr>
              <w:t xml:space="preserve"> Penfill</w:t>
            </w:r>
            <w:r w:rsidRPr="006A5A05">
              <w:rPr>
                <w:rFonts w:asciiTheme="minorHAnsi" w:hAnsiTheme="minorHAnsi" w:cstheme="minorHAnsi"/>
                <w:color w:val="000000"/>
                <w:sz w:val="18"/>
                <w:szCs w:val="18"/>
                <w:vertAlign w:val="superscript"/>
              </w:rPr>
              <w:t>®</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NOVO NORDISK PHARMACEUTICALS PTY. LIMITED</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r>
            <w:r w:rsidR="004D14C8">
              <w:rPr>
                <w:rFonts w:asciiTheme="minorHAnsi" w:eastAsia="Calibri" w:hAnsiTheme="minorHAnsi" w:cstheme="minorHAnsi"/>
                <w:color w:val="000000" w:themeColor="text1"/>
                <w:sz w:val="18"/>
                <w:szCs w:val="18"/>
              </w:rPr>
              <w:t>Standard re-entry</w:t>
            </w:r>
          </w:p>
          <w:p w14:paraId="06EE2365" w14:textId="141E45A3" w:rsidR="003411B8" w:rsidRPr="006A5A05" w:rsidRDefault="003411B8"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vAlign w:val="center"/>
          </w:tcPr>
          <w:p w14:paraId="299E0385" w14:textId="415FAF92" w:rsidR="003411B8" w:rsidRPr="006A5A05" w:rsidRDefault="003411B8"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Type 1 diabetes mellitus (T1DM)</w:t>
            </w:r>
          </w:p>
        </w:tc>
        <w:tc>
          <w:tcPr>
            <w:tcW w:w="29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B8F7ACD" w14:textId="0EDF46C3" w:rsidR="003411B8" w:rsidRPr="006A5A05" w:rsidRDefault="003411B8"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Resubmission to request a General Schedule Restricted Benefit listing for the treatment of T1DM.</w:t>
            </w:r>
          </w:p>
        </w:tc>
        <w:tc>
          <w:tcPr>
            <w:tcW w:w="1584" w:type="dxa"/>
            <w:tcBorders>
              <w:top w:val="single" w:sz="4" w:space="0" w:color="auto"/>
              <w:left w:val="single" w:sz="4" w:space="0" w:color="auto"/>
              <w:bottom w:val="single" w:sz="4" w:space="0" w:color="auto"/>
              <w:right w:val="single" w:sz="4" w:space="0" w:color="auto"/>
            </w:tcBorders>
            <w:vAlign w:val="center"/>
          </w:tcPr>
          <w:p w14:paraId="7F6CAB98" w14:textId="3B1BCFF8" w:rsidR="003411B8" w:rsidRPr="006A5A05" w:rsidDel="008F66B5" w:rsidRDefault="00346FD8" w:rsidP="00DC3166">
            <w:pPr>
              <w:pStyle w:val="ListParagraph"/>
              <w:keepLines/>
              <w:ind w:left="0"/>
              <w:jc w:val="center"/>
              <w:rPr>
                <w:rFonts w:asciiTheme="minorHAnsi" w:hAnsiTheme="minorHAnsi" w:cstheme="minorHAnsi"/>
                <w:color w:val="000000"/>
                <w:sz w:val="18"/>
                <w:szCs w:val="18"/>
              </w:rPr>
            </w:pPr>
            <w:r w:rsidRPr="00346FD8">
              <w:rPr>
                <w:rFonts w:asciiTheme="minorHAnsi" w:hAnsiTheme="minorHAnsi" w:cstheme="minorHAnsi"/>
                <w:color w:val="000000"/>
                <w:sz w:val="18"/>
                <w:szCs w:val="18"/>
              </w:rPr>
              <w:t>Recommended</w:t>
            </w:r>
          </w:p>
        </w:tc>
        <w:tc>
          <w:tcPr>
            <w:tcW w:w="4836" w:type="dxa"/>
            <w:tcBorders>
              <w:top w:val="single" w:sz="4" w:space="0" w:color="auto"/>
              <w:left w:val="single" w:sz="4" w:space="0" w:color="auto"/>
              <w:bottom w:val="single" w:sz="4" w:space="0" w:color="auto"/>
              <w:right w:val="single" w:sz="4" w:space="0" w:color="auto"/>
            </w:tcBorders>
          </w:tcPr>
          <w:p w14:paraId="06FFEB5F" w14:textId="0EE33965" w:rsidR="007863DD" w:rsidRPr="007863DD" w:rsidDel="008F66B5" w:rsidRDefault="002F4600" w:rsidP="00DC3166">
            <w:pPr>
              <w:keepNext/>
              <w:keepLines/>
              <w:jc w:val="both"/>
              <w:rPr>
                <w:rFonts w:asciiTheme="minorHAnsi" w:hAnsiTheme="minorHAnsi" w:cstheme="minorHAnsi"/>
                <w:color w:val="000000"/>
                <w:sz w:val="18"/>
                <w:szCs w:val="18"/>
              </w:rPr>
            </w:pPr>
            <w:r w:rsidRPr="002F4600">
              <w:rPr>
                <w:rFonts w:asciiTheme="minorHAnsi" w:hAnsiTheme="minorHAnsi" w:cstheme="minorHAnsi"/>
                <w:color w:val="000000"/>
                <w:sz w:val="18"/>
                <w:szCs w:val="18"/>
              </w:rPr>
              <w:t xml:space="preserve">The PBAC recommended the listing of insulin degludec for the treatment of </w:t>
            </w:r>
            <w:r w:rsidR="00240255">
              <w:rPr>
                <w:rFonts w:asciiTheme="minorHAnsi" w:hAnsiTheme="minorHAnsi" w:cstheme="minorHAnsi"/>
                <w:color w:val="000000"/>
                <w:sz w:val="18"/>
                <w:szCs w:val="18"/>
              </w:rPr>
              <w:t>T1DM</w:t>
            </w:r>
            <w:r w:rsidRPr="002F4600">
              <w:rPr>
                <w:rFonts w:asciiTheme="minorHAnsi" w:hAnsiTheme="minorHAnsi" w:cstheme="minorHAnsi"/>
                <w:color w:val="000000"/>
                <w:sz w:val="18"/>
                <w:szCs w:val="18"/>
              </w:rPr>
              <w:t xml:space="preserve"> </w:t>
            </w:r>
            <w:proofErr w:type="gramStart"/>
            <w:r w:rsidRPr="002F4600">
              <w:rPr>
                <w:rFonts w:asciiTheme="minorHAnsi" w:hAnsiTheme="minorHAnsi" w:cstheme="minorHAnsi"/>
                <w:color w:val="000000"/>
                <w:sz w:val="18"/>
                <w:szCs w:val="18"/>
              </w:rPr>
              <w:t>on the basis of</w:t>
            </w:r>
            <w:proofErr w:type="gramEnd"/>
            <w:r w:rsidRPr="002F4600">
              <w:rPr>
                <w:rFonts w:asciiTheme="minorHAnsi" w:hAnsiTheme="minorHAnsi" w:cstheme="minorHAnsi"/>
                <w:color w:val="000000"/>
                <w:sz w:val="18"/>
                <w:szCs w:val="18"/>
              </w:rPr>
              <w:t xml:space="preserve"> clinical need for an alternative form of insulin. The PBAC considered that insulin degludec has </w:t>
            </w:r>
            <w:r w:rsidR="00BB191F">
              <w:rPr>
                <w:rFonts w:asciiTheme="minorHAnsi" w:hAnsiTheme="minorHAnsi" w:cstheme="minorHAnsi"/>
                <w:color w:val="000000"/>
                <w:sz w:val="18"/>
                <w:szCs w:val="18"/>
              </w:rPr>
              <w:t>similar</w:t>
            </w:r>
            <w:r w:rsidRPr="002F4600">
              <w:rPr>
                <w:rFonts w:asciiTheme="minorHAnsi" w:hAnsiTheme="minorHAnsi" w:cstheme="minorHAnsi"/>
                <w:color w:val="000000"/>
                <w:sz w:val="18"/>
                <w:szCs w:val="18"/>
              </w:rPr>
              <w:t xml:space="preserve"> effectiveness to insulin glargine but for a proportion of people living with </w:t>
            </w:r>
            <w:r w:rsidR="00546BF6" w:rsidRPr="00546BF6">
              <w:rPr>
                <w:rFonts w:asciiTheme="minorHAnsi" w:hAnsiTheme="minorHAnsi" w:cstheme="minorHAnsi"/>
                <w:color w:val="000000"/>
                <w:sz w:val="18"/>
                <w:szCs w:val="18"/>
              </w:rPr>
              <w:t>T1DM</w:t>
            </w:r>
            <w:r w:rsidR="00546BF6" w:rsidRPr="00546BF6" w:rsidDel="00546BF6">
              <w:rPr>
                <w:rFonts w:asciiTheme="minorHAnsi" w:hAnsiTheme="minorHAnsi" w:cstheme="minorHAnsi"/>
                <w:color w:val="000000"/>
                <w:sz w:val="18"/>
                <w:szCs w:val="18"/>
              </w:rPr>
              <w:t xml:space="preserve"> </w:t>
            </w:r>
            <w:r w:rsidRPr="002F4600">
              <w:rPr>
                <w:rFonts w:asciiTheme="minorHAnsi" w:hAnsiTheme="minorHAnsi" w:cstheme="minorHAnsi"/>
                <w:color w:val="000000"/>
                <w:sz w:val="18"/>
                <w:szCs w:val="18"/>
              </w:rPr>
              <w:t xml:space="preserve">there may be practical advantages of this therapy over alternative insulin preparations and additional clinical benefit in reduced nocturnal hypoglycaemia. Whilst the resubmission's cost consequences analysis was not accepted, the PBAC considered that </w:t>
            </w:r>
            <w:proofErr w:type="gramStart"/>
            <w:r w:rsidRPr="002F4600">
              <w:rPr>
                <w:rFonts w:asciiTheme="minorHAnsi" w:hAnsiTheme="minorHAnsi" w:cstheme="minorHAnsi"/>
                <w:color w:val="000000"/>
                <w:sz w:val="18"/>
                <w:szCs w:val="18"/>
              </w:rPr>
              <w:t>on the basis of</w:t>
            </w:r>
            <w:proofErr w:type="gramEnd"/>
            <w:r w:rsidRPr="002F4600">
              <w:rPr>
                <w:rFonts w:asciiTheme="minorHAnsi" w:hAnsiTheme="minorHAnsi" w:cstheme="minorHAnsi"/>
                <w:color w:val="000000"/>
                <w:sz w:val="18"/>
                <w:szCs w:val="18"/>
              </w:rPr>
              <w:t xml:space="preserve"> equi-effective doses proposed in the pre-PBAC response, the requested price was reasonable.</w:t>
            </w:r>
          </w:p>
        </w:tc>
      </w:tr>
      <w:tr w:rsidR="003411B8" w:rsidRPr="008059F4" w:rsidDel="008F66B5" w14:paraId="4F8DF70B" w14:textId="24A45BCD" w:rsidTr="00132029">
        <w:trPr>
          <w:cantSplit/>
          <w:trHeight w:val="870"/>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E812179" w14:textId="1D571EF8" w:rsidR="00EC00A2" w:rsidRPr="006A5A05" w:rsidRDefault="003411B8" w:rsidP="00DC3166">
            <w:pPr>
              <w:jc w:val="center"/>
              <w:rPr>
                <w:rFonts w:asciiTheme="minorHAnsi" w:eastAsia="Calibri" w:hAnsiTheme="minorHAnsi" w:cstheme="minorHAnsi"/>
                <w:color w:val="000000" w:themeColor="text1"/>
                <w:sz w:val="18"/>
                <w:szCs w:val="18"/>
              </w:rPr>
            </w:pPr>
            <w:r w:rsidRPr="00F657EC">
              <w:rPr>
                <w:rFonts w:asciiTheme="minorHAnsi" w:hAnsiTheme="minorHAnsi" w:cstheme="minorHAnsi"/>
                <w:color w:val="000000"/>
                <w:sz w:val="18"/>
                <w:szCs w:val="18"/>
              </w:rPr>
              <w:t>LENIOLISIB</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Tablet 70 mg</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Joenja</w:t>
            </w:r>
            <w:r w:rsidRPr="006A5A05">
              <w:rPr>
                <w:rFonts w:asciiTheme="minorHAnsi" w:hAnsiTheme="minorHAnsi" w:cstheme="minorHAnsi"/>
                <w:color w:val="000000"/>
                <w:sz w:val="18"/>
                <w:szCs w:val="18"/>
                <w:vertAlign w:val="superscript"/>
              </w:rPr>
              <w:t>®</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PHARMING AUSTRALIA PTY LTD</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r>
            <w:r w:rsidR="00EC00A2" w:rsidRPr="006A5A05">
              <w:rPr>
                <w:rFonts w:asciiTheme="minorHAnsi" w:eastAsia="Calibri" w:hAnsiTheme="minorHAnsi" w:cstheme="minorHAnsi"/>
                <w:color w:val="000000" w:themeColor="text1"/>
                <w:sz w:val="18"/>
                <w:szCs w:val="18"/>
              </w:rPr>
              <w:t xml:space="preserve">Category </w:t>
            </w:r>
            <w:r w:rsidR="003A1265">
              <w:rPr>
                <w:rFonts w:asciiTheme="minorHAnsi" w:eastAsia="Calibri" w:hAnsiTheme="minorHAnsi" w:cstheme="minorHAnsi"/>
                <w:color w:val="000000" w:themeColor="text1"/>
                <w:sz w:val="18"/>
                <w:szCs w:val="18"/>
              </w:rPr>
              <w:t>1</w:t>
            </w:r>
          </w:p>
          <w:p w14:paraId="375EFF63" w14:textId="7AEDFD37" w:rsidR="003411B8" w:rsidRPr="006A5A05" w:rsidRDefault="003411B8"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vAlign w:val="center"/>
          </w:tcPr>
          <w:p w14:paraId="39DF5AA7" w14:textId="7B5DC2C4" w:rsidR="003411B8" w:rsidRPr="006A5A05" w:rsidRDefault="003411B8"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Activated PI3K delta syndrome (APDS)</w:t>
            </w:r>
          </w:p>
        </w:tc>
        <w:tc>
          <w:tcPr>
            <w:tcW w:w="29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C9EAC66" w14:textId="1882C5BC" w:rsidR="003411B8" w:rsidRPr="006A5A05" w:rsidRDefault="003411B8"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To request a Section 100 (Highly Specialised Drugs Program) Authority Required (Written) listing for the treatment of symptomatic APDS in adults and adolescents aged 12 years and older .</w:t>
            </w:r>
          </w:p>
        </w:tc>
        <w:tc>
          <w:tcPr>
            <w:tcW w:w="1584" w:type="dxa"/>
            <w:tcBorders>
              <w:top w:val="single" w:sz="4" w:space="0" w:color="auto"/>
              <w:left w:val="single" w:sz="4" w:space="0" w:color="auto"/>
              <w:bottom w:val="single" w:sz="4" w:space="0" w:color="auto"/>
              <w:right w:val="single" w:sz="4" w:space="0" w:color="auto"/>
            </w:tcBorders>
            <w:vAlign w:val="center"/>
          </w:tcPr>
          <w:p w14:paraId="668A1004" w14:textId="2190CE94" w:rsidR="003411B8" w:rsidRPr="006A5A05" w:rsidDel="008F66B5" w:rsidRDefault="0004283E" w:rsidP="00DC3166">
            <w:pPr>
              <w:pStyle w:val="ListParagraph"/>
              <w:keepLines/>
              <w:ind w:left="0"/>
              <w:jc w:val="center"/>
              <w:rPr>
                <w:rFonts w:asciiTheme="minorHAnsi" w:hAnsiTheme="minorHAnsi" w:cstheme="minorHAnsi"/>
                <w:color w:val="000000"/>
                <w:sz w:val="18"/>
                <w:szCs w:val="18"/>
              </w:rPr>
            </w:pPr>
            <w:r w:rsidRPr="0004283E">
              <w:rPr>
                <w:rFonts w:asciiTheme="minorHAnsi" w:hAnsiTheme="minorHAnsi" w:cstheme="minorHAnsi"/>
                <w:color w:val="000000"/>
                <w:sz w:val="18"/>
                <w:szCs w:val="18"/>
              </w:rPr>
              <w:t>Recommended</w:t>
            </w:r>
          </w:p>
        </w:tc>
        <w:tc>
          <w:tcPr>
            <w:tcW w:w="4836" w:type="dxa"/>
            <w:tcBorders>
              <w:top w:val="single" w:sz="4" w:space="0" w:color="auto"/>
              <w:left w:val="single" w:sz="4" w:space="0" w:color="auto"/>
              <w:bottom w:val="single" w:sz="4" w:space="0" w:color="auto"/>
              <w:right w:val="single" w:sz="4" w:space="0" w:color="auto"/>
            </w:tcBorders>
            <w:vAlign w:val="center"/>
          </w:tcPr>
          <w:p w14:paraId="10B5A7E1" w14:textId="3C056D9E" w:rsidR="005C72AD" w:rsidRDefault="005C72AD" w:rsidP="00DC3166">
            <w:pPr>
              <w:jc w:val="both"/>
              <w:rPr>
                <w:rFonts w:asciiTheme="minorHAnsi" w:hAnsiTheme="minorHAnsi" w:cstheme="minorHAnsi"/>
                <w:color w:val="000000"/>
                <w:sz w:val="18"/>
                <w:szCs w:val="18"/>
              </w:rPr>
            </w:pPr>
            <w:r w:rsidRPr="005C72AD">
              <w:rPr>
                <w:rFonts w:asciiTheme="minorHAnsi" w:hAnsiTheme="minorHAnsi" w:cstheme="minorHAnsi"/>
                <w:color w:val="000000"/>
                <w:sz w:val="18"/>
                <w:szCs w:val="18"/>
              </w:rPr>
              <w:t xml:space="preserve">The PBAC recommended </w:t>
            </w:r>
            <w:r w:rsidR="00E3389A">
              <w:rPr>
                <w:rFonts w:asciiTheme="minorHAnsi" w:hAnsiTheme="minorHAnsi" w:cstheme="minorHAnsi"/>
                <w:color w:val="000000"/>
                <w:sz w:val="18"/>
                <w:szCs w:val="18"/>
              </w:rPr>
              <w:t xml:space="preserve">the </w:t>
            </w:r>
            <w:r w:rsidRPr="005C72AD">
              <w:rPr>
                <w:rFonts w:asciiTheme="minorHAnsi" w:hAnsiTheme="minorHAnsi" w:cstheme="minorHAnsi"/>
                <w:color w:val="000000"/>
                <w:sz w:val="18"/>
                <w:szCs w:val="18"/>
              </w:rPr>
              <w:t xml:space="preserve">listing of leniolisib for the treatment of symptomatic APDS in adults and adolescents aged 12 years and older. APDS is an ultra-rare severe condition caused by an inborn error of immunity that affects the body’s immune system. The PBAC welcomed input from individuals, health care professionals and consumer organisations. The PBAC noted the high unmet clinical need for treatment options for patients with APDS given the substantial impacts on quality of life for patients and reduced life-expectancy. </w:t>
            </w:r>
          </w:p>
          <w:p w14:paraId="17A1E54D" w14:textId="77777777" w:rsidR="00DE2EFA" w:rsidRPr="005C72AD" w:rsidRDefault="00DE2EFA" w:rsidP="00DC3166">
            <w:pPr>
              <w:jc w:val="both"/>
              <w:rPr>
                <w:rFonts w:asciiTheme="minorHAnsi" w:hAnsiTheme="minorHAnsi" w:cstheme="minorHAnsi"/>
                <w:color w:val="000000"/>
                <w:sz w:val="18"/>
                <w:szCs w:val="18"/>
              </w:rPr>
            </w:pPr>
          </w:p>
          <w:p w14:paraId="23F61504" w14:textId="29BF8A40" w:rsidR="005C72AD" w:rsidRDefault="005C72AD" w:rsidP="00DC3166">
            <w:pPr>
              <w:jc w:val="both"/>
              <w:rPr>
                <w:rFonts w:asciiTheme="minorHAnsi" w:hAnsiTheme="minorHAnsi" w:cstheme="minorHAnsi"/>
                <w:color w:val="000000"/>
                <w:sz w:val="18"/>
                <w:szCs w:val="18"/>
              </w:rPr>
            </w:pPr>
            <w:r w:rsidRPr="005C72AD">
              <w:rPr>
                <w:rFonts w:asciiTheme="minorHAnsi" w:hAnsiTheme="minorHAnsi" w:cstheme="minorHAnsi"/>
                <w:color w:val="000000"/>
                <w:sz w:val="18"/>
                <w:szCs w:val="18"/>
              </w:rPr>
              <w:t xml:space="preserve">The PBAC noted evidence provided in the submission that leniolisib improves a range of biological indicators of the immune system that are representative of the underlying disease activity for APDS. The PBAC was therefore satisfied that leniolisib would be likely to improve a range of outcomes for patients including reducing the likelihood and severity of infections, lung disease, swelling of the lymph nodes and </w:t>
            </w:r>
            <w:r w:rsidR="001D2EC1">
              <w:rPr>
                <w:rFonts w:asciiTheme="minorHAnsi" w:hAnsiTheme="minorHAnsi" w:cstheme="minorHAnsi"/>
                <w:color w:val="000000"/>
                <w:sz w:val="18"/>
                <w:szCs w:val="18"/>
              </w:rPr>
              <w:t xml:space="preserve">risk of </w:t>
            </w:r>
            <w:r w:rsidRPr="005C72AD">
              <w:rPr>
                <w:rFonts w:asciiTheme="minorHAnsi" w:hAnsiTheme="minorHAnsi" w:cstheme="minorHAnsi"/>
                <w:color w:val="000000"/>
                <w:sz w:val="18"/>
                <w:szCs w:val="18"/>
              </w:rPr>
              <w:t xml:space="preserve">lymphoma. </w:t>
            </w:r>
          </w:p>
          <w:p w14:paraId="1F5C5730" w14:textId="77777777" w:rsidR="007755B3" w:rsidRPr="005C72AD" w:rsidRDefault="007755B3" w:rsidP="00DC3166">
            <w:pPr>
              <w:jc w:val="both"/>
              <w:rPr>
                <w:rFonts w:asciiTheme="minorHAnsi" w:hAnsiTheme="minorHAnsi" w:cstheme="minorHAnsi"/>
                <w:color w:val="000000"/>
                <w:sz w:val="18"/>
                <w:szCs w:val="18"/>
              </w:rPr>
            </w:pPr>
          </w:p>
          <w:p w14:paraId="32910FB9" w14:textId="77777777" w:rsidR="005C72AD" w:rsidRDefault="005C72AD" w:rsidP="00DC3166">
            <w:pPr>
              <w:jc w:val="both"/>
              <w:rPr>
                <w:rFonts w:asciiTheme="minorHAnsi" w:hAnsiTheme="minorHAnsi" w:cstheme="minorHAnsi"/>
                <w:color w:val="000000"/>
                <w:sz w:val="18"/>
                <w:szCs w:val="18"/>
              </w:rPr>
            </w:pPr>
            <w:r w:rsidRPr="005C72AD">
              <w:rPr>
                <w:rFonts w:asciiTheme="minorHAnsi" w:hAnsiTheme="minorHAnsi" w:cstheme="minorHAnsi"/>
                <w:color w:val="000000"/>
                <w:sz w:val="18"/>
                <w:szCs w:val="18"/>
              </w:rPr>
              <w:t xml:space="preserve">The clinical evidence presented in the submission did not allow confidence about the extent to which the benefits claimed in support to the proposed price would be realised. However, the PBAC also recognised difficulty obtaining clinical data for this condition due to its rarity. </w:t>
            </w:r>
          </w:p>
          <w:p w14:paraId="3690B7BB" w14:textId="77777777" w:rsidR="00D27105" w:rsidRPr="005C72AD" w:rsidRDefault="00D27105" w:rsidP="00DC3166">
            <w:pPr>
              <w:jc w:val="both"/>
              <w:rPr>
                <w:rFonts w:asciiTheme="minorHAnsi" w:hAnsiTheme="minorHAnsi" w:cstheme="minorHAnsi"/>
                <w:color w:val="000000"/>
                <w:sz w:val="18"/>
                <w:szCs w:val="18"/>
              </w:rPr>
            </w:pPr>
          </w:p>
          <w:p w14:paraId="59954BE8" w14:textId="292306C5" w:rsidR="003411B8" w:rsidRPr="00F03408" w:rsidDel="008F66B5" w:rsidRDefault="005C72AD" w:rsidP="00DC3166">
            <w:pPr>
              <w:jc w:val="both"/>
              <w:rPr>
                <w:rFonts w:asciiTheme="minorHAnsi" w:hAnsiTheme="minorHAnsi" w:cstheme="minorHAnsi"/>
                <w:color w:val="000000"/>
                <w:sz w:val="18"/>
                <w:szCs w:val="18"/>
              </w:rPr>
            </w:pPr>
            <w:r w:rsidRPr="005C72AD">
              <w:rPr>
                <w:rFonts w:asciiTheme="minorHAnsi" w:hAnsiTheme="minorHAnsi" w:cstheme="minorHAnsi"/>
                <w:color w:val="000000"/>
                <w:sz w:val="18"/>
                <w:szCs w:val="18"/>
              </w:rPr>
              <w:t xml:space="preserve">The PBAC considered that the incremental cost-effectiveness was uncertain due to the limited data informing the </w:t>
            </w:r>
            <w:r w:rsidR="005D31E7">
              <w:rPr>
                <w:rFonts w:asciiTheme="minorHAnsi" w:hAnsiTheme="minorHAnsi" w:cstheme="minorHAnsi"/>
                <w:color w:val="000000"/>
                <w:sz w:val="18"/>
                <w:szCs w:val="18"/>
              </w:rPr>
              <w:t>estimated benefits</w:t>
            </w:r>
            <w:r w:rsidRPr="005C72AD">
              <w:rPr>
                <w:rFonts w:asciiTheme="minorHAnsi" w:hAnsiTheme="minorHAnsi" w:cstheme="minorHAnsi"/>
                <w:color w:val="000000"/>
                <w:sz w:val="18"/>
                <w:szCs w:val="18"/>
              </w:rPr>
              <w:t xml:space="preserve">, but that in the context of this rare and life-limiting disease, leniolisib would be considered acceptably cost-effective with a price reduction that would result in an acceptable cost per patient per year. The PBAC noted this recommendation is in line with other treatments for rare diseases funded on the PBS and </w:t>
            </w:r>
            <w:proofErr w:type="gramStart"/>
            <w:r w:rsidRPr="005C72AD">
              <w:rPr>
                <w:rFonts w:asciiTheme="minorHAnsi" w:hAnsiTheme="minorHAnsi" w:cstheme="minorHAnsi"/>
                <w:color w:val="000000"/>
                <w:sz w:val="18"/>
                <w:szCs w:val="18"/>
              </w:rPr>
              <w:t>takes into account</w:t>
            </w:r>
            <w:proofErr w:type="gramEnd"/>
            <w:r w:rsidRPr="005C72AD">
              <w:rPr>
                <w:rFonts w:asciiTheme="minorHAnsi" w:hAnsiTheme="minorHAnsi" w:cstheme="minorHAnsi"/>
                <w:color w:val="000000"/>
                <w:sz w:val="18"/>
                <w:szCs w:val="18"/>
              </w:rPr>
              <w:t xml:space="preserve"> clinical need, available evidence, nature of the benefits, and the size of the patient population.</w:t>
            </w:r>
          </w:p>
        </w:tc>
      </w:tr>
      <w:tr w:rsidR="00270292" w:rsidRPr="008059F4" w:rsidDel="008F66B5" w14:paraId="525E947A" w14:textId="77777777" w:rsidTr="09589B60">
        <w:trPr>
          <w:cantSplit/>
          <w:trHeight w:val="2948"/>
        </w:trPr>
        <w:tc>
          <w:tcPr>
            <w:tcW w:w="3016" w:type="dxa"/>
            <w:tcMar>
              <w:top w:w="28" w:type="dxa"/>
              <w:bottom w:w="28" w:type="dxa"/>
            </w:tcMar>
            <w:vAlign w:val="center"/>
          </w:tcPr>
          <w:p w14:paraId="4E560754" w14:textId="77777777" w:rsidR="00091CA9" w:rsidRPr="00091CA9" w:rsidRDefault="00091CA9" w:rsidP="00DC3166">
            <w:pPr>
              <w:jc w:val="center"/>
              <w:rPr>
                <w:rFonts w:asciiTheme="minorHAnsi" w:hAnsiTheme="minorHAnsi" w:cstheme="minorHAnsi"/>
                <w:color w:val="000000"/>
                <w:sz w:val="18"/>
                <w:szCs w:val="18"/>
              </w:rPr>
            </w:pPr>
            <w:r w:rsidRPr="00091CA9">
              <w:rPr>
                <w:rFonts w:asciiTheme="minorHAnsi" w:hAnsiTheme="minorHAnsi" w:cstheme="minorHAnsi"/>
                <w:color w:val="000000"/>
                <w:sz w:val="18"/>
                <w:szCs w:val="18"/>
              </w:rPr>
              <w:t>Life Saving Drugs Program (LSDP)</w:t>
            </w:r>
          </w:p>
          <w:p w14:paraId="5563F01D" w14:textId="77777777" w:rsidR="00091CA9" w:rsidRDefault="00091CA9" w:rsidP="00DC3166">
            <w:pPr>
              <w:jc w:val="center"/>
              <w:rPr>
                <w:rFonts w:asciiTheme="minorHAnsi" w:hAnsiTheme="minorHAnsi" w:cstheme="minorHAnsi"/>
                <w:color w:val="000000"/>
                <w:sz w:val="18"/>
                <w:szCs w:val="18"/>
              </w:rPr>
            </w:pPr>
            <w:r w:rsidRPr="00091CA9">
              <w:rPr>
                <w:rFonts w:asciiTheme="minorHAnsi" w:hAnsiTheme="minorHAnsi" w:cstheme="minorHAnsi"/>
                <w:color w:val="000000"/>
                <w:sz w:val="18"/>
                <w:szCs w:val="18"/>
              </w:rPr>
              <w:t>medicines for Gaucher disease (type 1)</w:t>
            </w:r>
          </w:p>
          <w:p w14:paraId="3059050D" w14:textId="77777777" w:rsidR="00091CA9" w:rsidRPr="00091CA9" w:rsidRDefault="00091CA9" w:rsidP="00DC3166">
            <w:pPr>
              <w:jc w:val="center"/>
              <w:rPr>
                <w:rFonts w:asciiTheme="minorHAnsi" w:hAnsiTheme="minorHAnsi" w:cstheme="minorHAnsi"/>
                <w:color w:val="000000"/>
                <w:sz w:val="18"/>
                <w:szCs w:val="18"/>
              </w:rPr>
            </w:pPr>
          </w:p>
          <w:p w14:paraId="75FF7720" w14:textId="77777777" w:rsidR="00091CA9" w:rsidRDefault="00091CA9" w:rsidP="00DC3166">
            <w:pPr>
              <w:jc w:val="center"/>
              <w:rPr>
                <w:rFonts w:asciiTheme="minorHAnsi" w:hAnsiTheme="minorHAnsi" w:cstheme="minorHAnsi"/>
                <w:color w:val="000000"/>
                <w:sz w:val="18"/>
                <w:szCs w:val="18"/>
              </w:rPr>
            </w:pPr>
            <w:r w:rsidRPr="00091CA9">
              <w:rPr>
                <w:rFonts w:asciiTheme="minorHAnsi" w:hAnsiTheme="minorHAnsi" w:cstheme="minorHAnsi"/>
                <w:color w:val="000000"/>
                <w:sz w:val="18"/>
                <w:szCs w:val="18"/>
              </w:rPr>
              <w:t>ELIGLUSTAT</w:t>
            </w:r>
          </w:p>
          <w:p w14:paraId="69786A09" w14:textId="77777777" w:rsidR="00091CA9" w:rsidRPr="00091CA9" w:rsidRDefault="00091CA9" w:rsidP="00DC3166">
            <w:pPr>
              <w:jc w:val="center"/>
              <w:rPr>
                <w:rFonts w:asciiTheme="minorHAnsi" w:hAnsiTheme="minorHAnsi" w:cstheme="minorHAnsi"/>
                <w:color w:val="000000"/>
                <w:sz w:val="18"/>
                <w:szCs w:val="18"/>
              </w:rPr>
            </w:pPr>
          </w:p>
          <w:p w14:paraId="648A0AB9" w14:textId="77777777" w:rsidR="00091CA9" w:rsidRDefault="00091CA9" w:rsidP="00DC3166">
            <w:pPr>
              <w:jc w:val="center"/>
              <w:rPr>
                <w:rFonts w:asciiTheme="minorHAnsi" w:hAnsiTheme="minorHAnsi" w:cstheme="minorHAnsi"/>
                <w:color w:val="000000"/>
                <w:sz w:val="18"/>
                <w:szCs w:val="18"/>
              </w:rPr>
            </w:pPr>
            <w:r w:rsidRPr="00091CA9">
              <w:rPr>
                <w:rFonts w:asciiTheme="minorHAnsi" w:hAnsiTheme="minorHAnsi" w:cstheme="minorHAnsi"/>
                <w:color w:val="000000"/>
                <w:sz w:val="18"/>
                <w:szCs w:val="18"/>
              </w:rPr>
              <w:t>Capsule containing eliglustat tartrate, 100 mg</w:t>
            </w:r>
          </w:p>
          <w:p w14:paraId="041B2F0B" w14:textId="77777777" w:rsidR="00091CA9" w:rsidRPr="00091CA9" w:rsidRDefault="00091CA9" w:rsidP="00DC3166">
            <w:pPr>
              <w:jc w:val="center"/>
              <w:rPr>
                <w:rFonts w:asciiTheme="minorHAnsi" w:hAnsiTheme="minorHAnsi" w:cstheme="minorHAnsi"/>
                <w:color w:val="000000"/>
                <w:sz w:val="18"/>
                <w:szCs w:val="18"/>
              </w:rPr>
            </w:pPr>
          </w:p>
          <w:p w14:paraId="1ECA3E0A" w14:textId="77777777" w:rsidR="00091CA9" w:rsidRDefault="00091CA9" w:rsidP="00DC3166">
            <w:pPr>
              <w:jc w:val="center"/>
              <w:rPr>
                <w:rFonts w:asciiTheme="minorHAnsi" w:hAnsiTheme="minorHAnsi" w:cstheme="minorHAnsi"/>
                <w:color w:val="000000"/>
                <w:sz w:val="18"/>
                <w:szCs w:val="18"/>
              </w:rPr>
            </w:pPr>
            <w:proofErr w:type="spellStart"/>
            <w:r w:rsidRPr="00091CA9">
              <w:rPr>
                <w:rFonts w:asciiTheme="minorHAnsi" w:hAnsiTheme="minorHAnsi" w:cstheme="minorHAnsi"/>
                <w:color w:val="000000"/>
                <w:sz w:val="18"/>
                <w:szCs w:val="18"/>
              </w:rPr>
              <w:t>Cerdelga</w:t>
            </w:r>
            <w:proofErr w:type="spellEnd"/>
            <w:r w:rsidRPr="00091CA9">
              <w:rPr>
                <w:rFonts w:asciiTheme="minorHAnsi" w:hAnsiTheme="minorHAnsi" w:cstheme="minorHAnsi"/>
                <w:color w:val="000000"/>
                <w:sz w:val="18"/>
                <w:szCs w:val="18"/>
              </w:rPr>
              <w:t>®</w:t>
            </w:r>
          </w:p>
          <w:p w14:paraId="65C62BDE" w14:textId="77777777" w:rsidR="00091CA9" w:rsidRPr="00091CA9" w:rsidRDefault="00091CA9" w:rsidP="00DC3166">
            <w:pPr>
              <w:jc w:val="center"/>
              <w:rPr>
                <w:rFonts w:asciiTheme="minorHAnsi" w:hAnsiTheme="minorHAnsi" w:cstheme="minorHAnsi"/>
                <w:color w:val="000000"/>
                <w:sz w:val="18"/>
                <w:szCs w:val="18"/>
              </w:rPr>
            </w:pPr>
          </w:p>
          <w:p w14:paraId="4FBACF83" w14:textId="77777777" w:rsidR="00091CA9" w:rsidRDefault="00091CA9" w:rsidP="00DC3166">
            <w:pPr>
              <w:jc w:val="center"/>
              <w:rPr>
                <w:rFonts w:asciiTheme="minorHAnsi" w:hAnsiTheme="minorHAnsi" w:cstheme="minorHAnsi"/>
                <w:color w:val="000000"/>
                <w:sz w:val="18"/>
                <w:szCs w:val="18"/>
              </w:rPr>
            </w:pPr>
            <w:r w:rsidRPr="00091CA9">
              <w:rPr>
                <w:rFonts w:asciiTheme="minorHAnsi" w:hAnsiTheme="minorHAnsi" w:cstheme="minorHAnsi"/>
                <w:color w:val="000000"/>
                <w:sz w:val="18"/>
                <w:szCs w:val="18"/>
              </w:rPr>
              <w:t>IMIGLUCERASE</w:t>
            </w:r>
          </w:p>
          <w:p w14:paraId="22CDA563" w14:textId="77777777" w:rsidR="00091CA9" w:rsidRPr="00091CA9" w:rsidRDefault="00091CA9" w:rsidP="00DC3166">
            <w:pPr>
              <w:jc w:val="center"/>
              <w:rPr>
                <w:rFonts w:asciiTheme="minorHAnsi" w:hAnsiTheme="minorHAnsi" w:cstheme="minorHAnsi"/>
                <w:color w:val="000000"/>
                <w:sz w:val="18"/>
                <w:szCs w:val="18"/>
              </w:rPr>
            </w:pPr>
          </w:p>
          <w:p w14:paraId="4CB7B22D" w14:textId="77777777" w:rsidR="00091CA9" w:rsidRPr="00091CA9" w:rsidRDefault="00091CA9" w:rsidP="00DC3166">
            <w:pPr>
              <w:jc w:val="center"/>
              <w:rPr>
                <w:rFonts w:asciiTheme="minorHAnsi" w:hAnsiTheme="minorHAnsi" w:cstheme="minorHAnsi"/>
                <w:color w:val="000000"/>
                <w:sz w:val="18"/>
                <w:szCs w:val="18"/>
              </w:rPr>
            </w:pPr>
            <w:r w:rsidRPr="00091CA9">
              <w:rPr>
                <w:rFonts w:asciiTheme="minorHAnsi" w:hAnsiTheme="minorHAnsi" w:cstheme="minorHAnsi"/>
                <w:color w:val="000000"/>
                <w:sz w:val="18"/>
                <w:szCs w:val="18"/>
              </w:rPr>
              <w:t>Powder for IV infusion, 400 units</w:t>
            </w:r>
          </w:p>
          <w:p w14:paraId="3E3B3D2B" w14:textId="77777777" w:rsidR="00091CA9" w:rsidRDefault="00091CA9" w:rsidP="00DC3166">
            <w:pPr>
              <w:jc w:val="center"/>
              <w:rPr>
                <w:rFonts w:asciiTheme="minorHAnsi" w:hAnsiTheme="minorHAnsi" w:cstheme="minorHAnsi"/>
                <w:color w:val="000000"/>
                <w:sz w:val="18"/>
                <w:szCs w:val="18"/>
              </w:rPr>
            </w:pPr>
            <w:r w:rsidRPr="00091CA9">
              <w:rPr>
                <w:rFonts w:asciiTheme="minorHAnsi" w:hAnsiTheme="minorHAnsi" w:cstheme="minorHAnsi"/>
                <w:color w:val="000000"/>
                <w:sz w:val="18"/>
                <w:szCs w:val="18"/>
              </w:rPr>
              <w:t>Cerezyme®</w:t>
            </w:r>
          </w:p>
          <w:p w14:paraId="14762B61" w14:textId="77777777" w:rsidR="00091CA9" w:rsidRPr="00091CA9" w:rsidRDefault="00091CA9" w:rsidP="00DC3166">
            <w:pPr>
              <w:jc w:val="center"/>
              <w:rPr>
                <w:rFonts w:asciiTheme="minorHAnsi" w:hAnsiTheme="minorHAnsi" w:cstheme="minorHAnsi"/>
                <w:color w:val="000000"/>
                <w:sz w:val="18"/>
                <w:szCs w:val="18"/>
              </w:rPr>
            </w:pPr>
          </w:p>
          <w:p w14:paraId="01A665C7" w14:textId="77777777" w:rsidR="00091CA9" w:rsidRDefault="00091CA9" w:rsidP="00DC3166">
            <w:pPr>
              <w:jc w:val="center"/>
              <w:rPr>
                <w:rFonts w:asciiTheme="minorHAnsi" w:hAnsiTheme="minorHAnsi" w:cstheme="minorHAnsi"/>
                <w:color w:val="000000"/>
                <w:sz w:val="18"/>
                <w:szCs w:val="18"/>
              </w:rPr>
            </w:pPr>
            <w:r w:rsidRPr="00091CA9">
              <w:rPr>
                <w:rFonts w:asciiTheme="minorHAnsi" w:hAnsiTheme="minorHAnsi" w:cstheme="minorHAnsi"/>
                <w:color w:val="000000"/>
                <w:sz w:val="18"/>
                <w:szCs w:val="18"/>
              </w:rPr>
              <w:t>TALIGLUCERASE ALFA</w:t>
            </w:r>
          </w:p>
          <w:p w14:paraId="5577FA29" w14:textId="77777777" w:rsidR="00091CA9" w:rsidRPr="00091CA9" w:rsidRDefault="00091CA9" w:rsidP="00DC3166">
            <w:pPr>
              <w:jc w:val="center"/>
              <w:rPr>
                <w:rFonts w:asciiTheme="minorHAnsi" w:hAnsiTheme="minorHAnsi" w:cstheme="minorHAnsi"/>
                <w:color w:val="000000"/>
                <w:sz w:val="18"/>
                <w:szCs w:val="18"/>
              </w:rPr>
            </w:pPr>
          </w:p>
          <w:p w14:paraId="679B3DE3" w14:textId="77777777" w:rsidR="00091CA9" w:rsidRPr="00091CA9" w:rsidRDefault="00091CA9" w:rsidP="00DC3166">
            <w:pPr>
              <w:jc w:val="center"/>
              <w:rPr>
                <w:rFonts w:asciiTheme="minorHAnsi" w:hAnsiTheme="minorHAnsi" w:cstheme="minorHAnsi"/>
                <w:color w:val="000000"/>
                <w:sz w:val="18"/>
                <w:szCs w:val="18"/>
              </w:rPr>
            </w:pPr>
            <w:r w:rsidRPr="00091CA9">
              <w:rPr>
                <w:rFonts w:asciiTheme="minorHAnsi" w:hAnsiTheme="minorHAnsi" w:cstheme="minorHAnsi"/>
                <w:color w:val="000000"/>
                <w:sz w:val="18"/>
                <w:szCs w:val="18"/>
              </w:rPr>
              <w:t>Powder for IV infusion, 200 units</w:t>
            </w:r>
          </w:p>
          <w:p w14:paraId="49A208F4" w14:textId="77777777" w:rsidR="00091CA9" w:rsidRDefault="00091CA9" w:rsidP="00DC3166">
            <w:pPr>
              <w:jc w:val="center"/>
              <w:rPr>
                <w:rFonts w:asciiTheme="minorHAnsi" w:hAnsiTheme="minorHAnsi" w:cstheme="minorHAnsi"/>
                <w:color w:val="000000"/>
                <w:sz w:val="18"/>
                <w:szCs w:val="18"/>
              </w:rPr>
            </w:pPr>
            <w:proofErr w:type="spellStart"/>
            <w:r w:rsidRPr="00091CA9">
              <w:rPr>
                <w:rFonts w:asciiTheme="minorHAnsi" w:hAnsiTheme="minorHAnsi" w:cstheme="minorHAnsi"/>
                <w:color w:val="000000"/>
                <w:sz w:val="18"/>
                <w:szCs w:val="18"/>
              </w:rPr>
              <w:t>Elelyso</w:t>
            </w:r>
            <w:proofErr w:type="spellEnd"/>
            <w:r w:rsidRPr="00091CA9">
              <w:rPr>
                <w:rFonts w:asciiTheme="minorHAnsi" w:hAnsiTheme="minorHAnsi" w:cstheme="minorHAnsi"/>
                <w:color w:val="000000"/>
                <w:sz w:val="18"/>
                <w:szCs w:val="18"/>
              </w:rPr>
              <w:t>®</w:t>
            </w:r>
          </w:p>
          <w:p w14:paraId="1B5E7ED4" w14:textId="77777777" w:rsidR="00091CA9" w:rsidRPr="00091CA9" w:rsidRDefault="00091CA9" w:rsidP="00DC3166">
            <w:pPr>
              <w:jc w:val="center"/>
              <w:rPr>
                <w:rFonts w:asciiTheme="minorHAnsi" w:hAnsiTheme="minorHAnsi" w:cstheme="minorHAnsi"/>
                <w:color w:val="000000"/>
                <w:sz w:val="18"/>
                <w:szCs w:val="18"/>
              </w:rPr>
            </w:pPr>
          </w:p>
          <w:p w14:paraId="683E55A0" w14:textId="77777777" w:rsidR="00091CA9" w:rsidRDefault="00091CA9" w:rsidP="00DC3166">
            <w:pPr>
              <w:jc w:val="center"/>
              <w:rPr>
                <w:rFonts w:asciiTheme="minorHAnsi" w:hAnsiTheme="minorHAnsi" w:cstheme="minorHAnsi"/>
                <w:color w:val="000000"/>
                <w:sz w:val="18"/>
                <w:szCs w:val="18"/>
              </w:rPr>
            </w:pPr>
            <w:r w:rsidRPr="00091CA9">
              <w:rPr>
                <w:rFonts w:asciiTheme="minorHAnsi" w:hAnsiTheme="minorHAnsi" w:cstheme="minorHAnsi"/>
                <w:color w:val="000000"/>
                <w:sz w:val="18"/>
                <w:szCs w:val="18"/>
              </w:rPr>
              <w:t>VELAGLUCERASE ALFA</w:t>
            </w:r>
          </w:p>
          <w:p w14:paraId="747C9F62" w14:textId="77777777" w:rsidR="0012004F" w:rsidRPr="00091CA9" w:rsidRDefault="0012004F" w:rsidP="00DC3166">
            <w:pPr>
              <w:jc w:val="center"/>
              <w:rPr>
                <w:rFonts w:asciiTheme="minorHAnsi" w:hAnsiTheme="minorHAnsi" w:cstheme="minorHAnsi"/>
                <w:color w:val="000000"/>
                <w:sz w:val="18"/>
                <w:szCs w:val="18"/>
              </w:rPr>
            </w:pPr>
          </w:p>
          <w:p w14:paraId="3A67C4ED" w14:textId="77777777" w:rsidR="00091CA9" w:rsidRPr="00091CA9" w:rsidRDefault="00091CA9" w:rsidP="00DC3166">
            <w:pPr>
              <w:jc w:val="center"/>
              <w:rPr>
                <w:rFonts w:asciiTheme="minorHAnsi" w:hAnsiTheme="minorHAnsi" w:cstheme="minorHAnsi"/>
                <w:color w:val="000000"/>
                <w:sz w:val="18"/>
                <w:szCs w:val="18"/>
              </w:rPr>
            </w:pPr>
            <w:r w:rsidRPr="00091CA9">
              <w:rPr>
                <w:rFonts w:asciiTheme="minorHAnsi" w:hAnsiTheme="minorHAnsi" w:cstheme="minorHAnsi"/>
                <w:color w:val="000000"/>
                <w:sz w:val="18"/>
                <w:szCs w:val="18"/>
              </w:rPr>
              <w:t>Powder for IV infusion, 400 units</w:t>
            </w:r>
          </w:p>
          <w:p w14:paraId="39FA7DDB" w14:textId="77777777" w:rsidR="00091CA9" w:rsidRDefault="00091CA9" w:rsidP="00DC3166">
            <w:pPr>
              <w:jc w:val="center"/>
              <w:rPr>
                <w:rFonts w:asciiTheme="minorHAnsi" w:hAnsiTheme="minorHAnsi" w:cstheme="minorHAnsi"/>
                <w:color w:val="000000"/>
                <w:sz w:val="18"/>
                <w:szCs w:val="18"/>
              </w:rPr>
            </w:pPr>
            <w:proofErr w:type="spellStart"/>
            <w:r w:rsidRPr="00091CA9">
              <w:rPr>
                <w:rFonts w:asciiTheme="minorHAnsi" w:hAnsiTheme="minorHAnsi" w:cstheme="minorHAnsi"/>
                <w:color w:val="000000"/>
                <w:sz w:val="18"/>
                <w:szCs w:val="18"/>
              </w:rPr>
              <w:t>Vpriv</w:t>
            </w:r>
            <w:proofErr w:type="spellEnd"/>
            <w:r w:rsidRPr="00091CA9">
              <w:rPr>
                <w:rFonts w:asciiTheme="minorHAnsi" w:hAnsiTheme="minorHAnsi" w:cstheme="minorHAnsi"/>
                <w:color w:val="000000"/>
                <w:sz w:val="18"/>
                <w:szCs w:val="18"/>
              </w:rPr>
              <w:t>®</w:t>
            </w:r>
          </w:p>
          <w:p w14:paraId="343E7FCF" w14:textId="77777777" w:rsidR="0012004F" w:rsidRPr="00091CA9" w:rsidRDefault="0012004F" w:rsidP="00DC3166">
            <w:pPr>
              <w:jc w:val="center"/>
              <w:rPr>
                <w:rFonts w:asciiTheme="minorHAnsi" w:hAnsiTheme="minorHAnsi" w:cstheme="minorHAnsi"/>
                <w:color w:val="000000"/>
                <w:sz w:val="18"/>
                <w:szCs w:val="18"/>
              </w:rPr>
            </w:pPr>
          </w:p>
          <w:p w14:paraId="59BB1884" w14:textId="77777777" w:rsidR="00091CA9" w:rsidRDefault="00091CA9" w:rsidP="00DC3166">
            <w:pPr>
              <w:jc w:val="center"/>
              <w:rPr>
                <w:rFonts w:asciiTheme="minorHAnsi" w:hAnsiTheme="minorHAnsi" w:cstheme="minorHAnsi"/>
                <w:color w:val="000000"/>
                <w:sz w:val="18"/>
                <w:szCs w:val="18"/>
              </w:rPr>
            </w:pPr>
            <w:r w:rsidRPr="00091CA9">
              <w:rPr>
                <w:rFonts w:asciiTheme="minorHAnsi" w:hAnsiTheme="minorHAnsi" w:cstheme="minorHAnsi"/>
                <w:color w:val="000000"/>
                <w:sz w:val="18"/>
                <w:szCs w:val="18"/>
              </w:rPr>
              <w:t>Various sponsors</w:t>
            </w:r>
          </w:p>
          <w:p w14:paraId="41A0DDC8" w14:textId="77777777" w:rsidR="00241112" w:rsidRDefault="00241112" w:rsidP="00DC3166">
            <w:pPr>
              <w:jc w:val="center"/>
              <w:rPr>
                <w:rFonts w:asciiTheme="minorHAnsi" w:hAnsiTheme="minorHAnsi" w:cstheme="minorHAnsi"/>
                <w:color w:val="000000"/>
                <w:sz w:val="18"/>
                <w:szCs w:val="18"/>
              </w:rPr>
            </w:pPr>
          </w:p>
          <w:p w14:paraId="474B0A29" w14:textId="77963B3A" w:rsidR="0012004F" w:rsidRPr="00091CA9" w:rsidRDefault="00241112" w:rsidP="00DC3166">
            <w:pPr>
              <w:jc w:val="center"/>
              <w:rPr>
                <w:rFonts w:asciiTheme="minorHAnsi" w:hAnsiTheme="minorHAnsi" w:cstheme="minorHAnsi"/>
                <w:color w:val="000000"/>
                <w:sz w:val="18"/>
                <w:szCs w:val="18"/>
              </w:rPr>
            </w:pPr>
            <w:r>
              <w:rPr>
                <w:rFonts w:asciiTheme="minorHAnsi" w:hAnsiTheme="minorHAnsi" w:cstheme="minorHAnsi"/>
                <w:color w:val="000000"/>
                <w:sz w:val="18"/>
                <w:szCs w:val="18"/>
              </w:rPr>
              <w:t>Other matters</w:t>
            </w:r>
          </w:p>
          <w:p w14:paraId="3B215F0D" w14:textId="41C05703" w:rsidR="00706F51" w:rsidRPr="006A5A05" w:rsidRDefault="00091CA9" w:rsidP="00DC3166">
            <w:pPr>
              <w:jc w:val="center"/>
              <w:rPr>
                <w:rFonts w:asciiTheme="minorHAnsi" w:hAnsiTheme="minorHAnsi" w:cstheme="minorHAnsi"/>
                <w:color w:val="000000"/>
                <w:sz w:val="18"/>
                <w:szCs w:val="18"/>
              </w:rPr>
            </w:pPr>
            <w:r w:rsidRPr="00091CA9">
              <w:rPr>
                <w:rFonts w:asciiTheme="minorHAnsi" w:hAnsiTheme="minorHAnsi" w:cstheme="minorHAnsi"/>
                <w:color w:val="000000"/>
                <w:sz w:val="18"/>
                <w:szCs w:val="18"/>
              </w:rPr>
              <w:t>(New PBS listing)</w:t>
            </w:r>
          </w:p>
        </w:tc>
        <w:tc>
          <w:tcPr>
            <w:tcW w:w="2767" w:type="dxa"/>
            <w:vAlign w:val="center"/>
          </w:tcPr>
          <w:p w14:paraId="0A4849B9" w14:textId="3D0297CC" w:rsidR="00270292" w:rsidRPr="006A5A05" w:rsidRDefault="00D551D5" w:rsidP="00DC3166">
            <w:pPr>
              <w:jc w:val="center"/>
              <w:rPr>
                <w:rFonts w:asciiTheme="minorHAnsi" w:hAnsiTheme="minorHAnsi" w:cstheme="minorHAnsi"/>
                <w:color w:val="000000"/>
                <w:sz w:val="18"/>
                <w:szCs w:val="18"/>
              </w:rPr>
            </w:pPr>
            <w:r w:rsidRPr="00D551D5">
              <w:rPr>
                <w:rFonts w:asciiTheme="minorHAnsi" w:hAnsiTheme="minorHAnsi" w:cstheme="minorHAnsi"/>
                <w:color w:val="000000"/>
                <w:sz w:val="18"/>
                <w:szCs w:val="18"/>
              </w:rPr>
              <w:t>Gaucher disease (type 1) (GD1)</w:t>
            </w:r>
          </w:p>
        </w:tc>
        <w:tc>
          <w:tcPr>
            <w:tcW w:w="2976" w:type="dxa"/>
            <w:tcMar>
              <w:top w:w="28" w:type="dxa"/>
              <w:bottom w:w="28" w:type="dxa"/>
            </w:tcMar>
            <w:vAlign w:val="center"/>
          </w:tcPr>
          <w:p w14:paraId="1240E313" w14:textId="3F48CC3F" w:rsidR="00270292" w:rsidRPr="006A5A05" w:rsidRDefault="00CA374B" w:rsidP="00DC3166">
            <w:pPr>
              <w:jc w:val="center"/>
              <w:rPr>
                <w:rFonts w:asciiTheme="minorHAnsi" w:hAnsiTheme="minorHAnsi" w:cstheme="minorHAnsi"/>
                <w:color w:val="000000"/>
                <w:sz w:val="18"/>
                <w:szCs w:val="18"/>
              </w:rPr>
            </w:pPr>
            <w:r w:rsidRPr="00CA374B">
              <w:rPr>
                <w:rFonts w:asciiTheme="minorHAnsi" w:hAnsiTheme="minorHAnsi" w:cstheme="minorHAnsi"/>
                <w:color w:val="000000"/>
                <w:sz w:val="18"/>
                <w:szCs w:val="18"/>
              </w:rPr>
              <w:t>To consider a referral from the LSDP Expert Panel seeking reconsideration of listing medicines for the treatment of GD1.</w:t>
            </w:r>
          </w:p>
        </w:tc>
        <w:tc>
          <w:tcPr>
            <w:tcW w:w="1584" w:type="dxa"/>
            <w:tcBorders>
              <w:top w:val="single" w:sz="4" w:space="0" w:color="auto"/>
              <w:left w:val="single" w:sz="4" w:space="0" w:color="auto"/>
              <w:bottom w:val="single" w:sz="4" w:space="0" w:color="auto"/>
              <w:right w:val="single" w:sz="4" w:space="0" w:color="auto"/>
            </w:tcBorders>
            <w:vAlign w:val="center"/>
          </w:tcPr>
          <w:p w14:paraId="5E541177" w14:textId="44E4957B" w:rsidR="00270292" w:rsidRPr="006A5A05" w:rsidDel="008F66B5" w:rsidRDefault="00A123B1" w:rsidP="00DC3166">
            <w:pPr>
              <w:pStyle w:val="ListParagraph"/>
              <w:keepLines/>
              <w:ind w:left="0"/>
              <w:jc w:val="center"/>
              <w:rPr>
                <w:rFonts w:asciiTheme="minorHAnsi" w:hAnsiTheme="minorHAnsi" w:cstheme="minorHAnsi"/>
                <w:color w:val="000000"/>
                <w:sz w:val="18"/>
                <w:szCs w:val="18"/>
              </w:rPr>
            </w:pPr>
            <w:r w:rsidRPr="00A123B1">
              <w:rPr>
                <w:rFonts w:asciiTheme="minorHAnsi" w:hAnsiTheme="minorHAnsi" w:cstheme="minorHAnsi"/>
                <w:color w:val="000000"/>
                <w:sz w:val="18"/>
                <w:szCs w:val="18"/>
              </w:rPr>
              <w:t>Deferred</w:t>
            </w:r>
          </w:p>
        </w:tc>
        <w:tc>
          <w:tcPr>
            <w:tcW w:w="4836" w:type="dxa"/>
            <w:tcBorders>
              <w:top w:val="single" w:sz="4" w:space="0" w:color="auto"/>
              <w:left w:val="single" w:sz="4" w:space="0" w:color="auto"/>
              <w:bottom w:val="single" w:sz="4" w:space="0" w:color="auto"/>
              <w:right w:val="single" w:sz="4" w:space="0" w:color="auto"/>
            </w:tcBorders>
            <w:vAlign w:val="center"/>
          </w:tcPr>
          <w:p w14:paraId="2F3ED16A" w14:textId="77777777" w:rsidR="00270292" w:rsidRDefault="003F3276" w:rsidP="00DC3166">
            <w:pPr>
              <w:jc w:val="both"/>
              <w:rPr>
                <w:rFonts w:asciiTheme="minorHAnsi" w:hAnsiTheme="minorHAnsi" w:cstheme="minorHAnsi"/>
                <w:color w:val="000000"/>
                <w:sz w:val="18"/>
                <w:szCs w:val="18"/>
              </w:rPr>
            </w:pPr>
            <w:r w:rsidRPr="003F3276">
              <w:rPr>
                <w:rFonts w:asciiTheme="minorHAnsi" w:hAnsiTheme="minorHAnsi" w:cstheme="minorHAnsi"/>
                <w:color w:val="000000"/>
                <w:sz w:val="18"/>
                <w:szCs w:val="18"/>
              </w:rPr>
              <w:t xml:space="preserve">The PBAC deferred making a recommendation on the PBS listing of </w:t>
            </w:r>
            <w:proofErr w:type="spellStart"/>
            <w:r w:rsidRPr="003F3276">
              <w:rPr>
                <w:rFonts w:asciiTheme="minorHAnsi" w:hAnsiTheme="minorHAnsi" w:cstheme="minorHAnsi"/>
                <w:color w:val="000000"/>
                <w:sz w:val="18"/>
                <w:szCs w:val="18"/>
              </w:rPr>
              <w:t>imiglucerase</w:t>
            </w:r>
            <w:proofErr w:type="spellEnd"/>
            <w:r w:rsidRPr="003F3276">
              <w:rPr>
                <w:rFonts w:asciiTheme="minorHAnsi" w:hAnsiTheme="minorHAnsi" w:cstheme="minorHAnsi"/>
                <w:color w:val="000000"/>
                <w:sz w:val="18"/>
                <w:szCs w:val="18"/>
              </w:rPr>
              <w:t xml:space="preserve">, </w:t>
            </w:r>
            <w:proofErr w:type="spellStart"/>
            <w:r w:rsidRPr="003F3276">
              <w:rPr>
                <w:rFonts w:asciiTheme="minorHAnsi" w:hAnsiTheme="minorHAnsi" w:cstheme="minorHAnsi"/>
                <w:color w:val="000000"/>
                <w:sz w:val="18"/>
                <w:szCs w:val="18"/>
              </w:rPr>
              <w:t>velaglucerase</w:t>
            </w:r>
            <w:proofErr w:type="spellEnd"/>
            <w:r w:rsidRPr="003F3276">
              <w:rPr>
                <w:rFonts w:asciiTheme="minorHAnsi" w:hAnsiTheme="minorHAnsi" w:cstheme="minorHAnsi"/>
                <w:color w:val="000000"/>
                <w:sz w:val="18"/>
                <w:szCs w:val="18"/>
              </w:rPr>
              <w:t xml:space="preserve"> alfa, </w:t>
            </w:r>
            <w:proofErr w:type="spellStart"/>
            <w:r w:rsidRPr="003F3276">
              <w:rPr>
                <w:rFonts w:asciiTheme="minorHAnsi" w:hAnsiTheme="minorHAnsi" w:cstheme="minorHAnsi"/>
                <w:color w:val="000000"/>
                <w:sz w:val="18"/>
                <w:szCs w:val="18"/>
              </w:rPr>
              <w:t>taliglucerase</w:t>
            </w:r>
            <w:proofErr w:type="spellEnd"/>
            <w:r w:rsidRPr="003F3276">
              <w:rPr>
                <w:rFonts w:asciiTheme="minorHAnsi" w:hAnsiTheme="minorHAnsi" w:cstheme="minorHAnsi"/>
                <w:color w:val="000000"/>
                <w:sz w:val="18"/>
                <w:szCs w:val="18"/>
              </w:rPr>
              <w:t xml:space="preserve"> alfa and eliglustat for the treatment of </w:t>
            </w:r>
            <w:r w:rsidR="00CA39FD">
              <w:rPr>
                <w:rFonts w:asciiTheme="minorHAnsi" w:hAnsiTheme="minorHAnsi" w:cstheme="minorHAnsi"/>
                <w:color w:val="000000"/>
                <w:sz w:val="18"/>
                <w:szCs w:val="18"/>
              </w:rPr>
              <w:t>GD1</w:t>
            </w:r>
            <w:r w:rsidRPr="003F3276">
              <w:rPr>
                <w:rFonts w:asciiTheme="minorHAnsi" w:hAnsiTheme="minorHAnsi" w:cstheme="minorHAnsi"/>
                <w:color w:val="000000"/>
                <w:sz w:val="18"/>
                <w:szCs w:val="18"/>
              </w:rPr>
              <w:t xml:space="preserve"> to allow consultation with clinical and patient groups.</w:t>
            </w:r>
          </w:p>
          <w:p w14:paraId="1B96A09C" w14:textId="77777777" w:rsidR="0052378A" w:rsidRDefault="0052378A" w:rsidP="00DC3166">
            <w:pPr>
              <w:jc w:val="both"/>
              <w:rPr>
                <w:rFonts w:asciiTheme="minorHAnsi" w:hAnsiTheme="minorHAnsi" w:cstheme="minorHAnsi"/>
                <w:color w:val="000000"/>
                <w:sz w:val="18"/>
                <w:szCs w:val="18"/>
              </w:rPr>
            </w:pPr>
          </w:p>
          <w:p w14:paraId="5A2ED998" w14:textId="61ECBC41" w:rsidR="0052378A" w:rsidRPr="00F03408" w:rsidDel="008F66B5" w:rsidRDefault="0052378A" w:rsidP="00DC3166">
            <w:pPr>
              <w:jc w:val="both"/>
              <w:rPr>
                <w:rFonts w:asciiTheme="minorHAnsi" w:hAnsiTheme="minorHAnsi" w:cstheme="minorHAnsi"/>
                <w:color w:val="000000"/>
                <w:sz w:val="18"/>
                <w:szCs w:val="18"/>
              </w:rPr>
            </w:pPr>
          </w:p>
        </w:tc>
      </w:tr>
      <w:tr w:rsidR="00270292" w:rsidRPr="008059F4" w:rsidDel="008F66B5" w14:paraId="6053BA69" w14:textId="77777777" w:rsidTr="09589B60">
        <w:trPr>
          <w:cantSplit/>
          <w:trHeight w:val="2948"/>
        </w:trPr>
        <w:tc>
          <w:tcPr>
            <w:tcW w:w="3016" w:type="dxa"/>
            <w:tcMar>
              <w:top w:w="28" w:type="dxa"/>
              <w:bottom w:w="28" w:type="dxa"/>
            </w:tcMar>
            <w:vAlign w:val="center"/>
          </w:tcPr>
          <w:p w14:paraId="3E4235B0" w14:textId="77777777" w:rsidR="003F3BB1" w:rsidRPr="003F3BB1" w:rsidRDefault="003F3BB1" w:rsidP="00DC3166">
            <w:pPr>
              <w:jc w:val="center"/>
              <w:rPr>
                <w:rFonts w:asciiTheme="minorHAnsi" w:hAnsiTheme="minorHAnsi" w:cstheme="minorHAnsi"/>
                <w:color w:val="000000"/>
                <w:sz w:val="18"/>
                <w:szCs w:val="18"/>
              </w:rPr>
            </w:pPr>
            <w:r w:rsidRPr="003F3BB1">
              <w:rPr>
                <w:rFonts w:asciiTheme="minorHAnsi" w:hAnsiTheme="minorHAnsi" w:cstheme="minorHAnsi"/>
                <w:color w:val="000000"/>
                <w:sz w:val="18"/>
                <w:szCs w:val="18"/>
              </w:rPr>
              <w:t>Life Saving Drugs Program (LSDP)</w:t>
            </w:r>
          </w:p>
          <w:p w14:paraId="0D12886B" w14:textId="77777777" w:rsidR="003F3BB1" w:rsidRDefault="003F3BB1" w:rsidP="00DC3166">
            <w:pPr>
              <w:jc w:val="center"/>
              <w:rPr>
                <w:rFonts w:asciiTheme="minorHAnsi" w:hAnsiTheme="minorHAnsi" w:cstheme="minorHAnsi"/>
                <w:color w:val="000000"/>
                <w:sz w:val="18"/>
                <w:szCs w:val="18"/>
              </w:rPr>
            </w:pPr>
            <w:r w:rsidRPr="003F3BB1">
              <w:rPr>
                <w:rFonts w:asciiTheme="minorHAnsi" w:hAnsiTheme="minorHAnsi" w:cstheme="minorHAnsi"/>
                <w:color w:val="000000"/>
                <w:sz w:val="18"/>
                <w:szCs w:val="18"/>
              </w:rPr>
              <w:t xml:space="preserve">medicines for hereditary </w:t>
            </w:r>
            <w:proofErr w:type="spellStart"/>
            <w:r w:rsidRPr="003F3BB1">
              <w:rPr>
                <w:rFonts w:asciiTheme="minorHAnsi" w:hAnsiTheme="minorHAnsi" w:cstheme="minorHAnsi"/>
                <w:color w:val="000000"/>
                <w:sz w:val="18"/>
                <w:szCs w:val="18"/>
              </w:rPr>
              <w:t>tyrosinaemia</w:t>
            </w:r>
            <w:proofErr w:type="spellEnd"/>
            <w:r w:rsidRPr="003F3BB1">
              <w:rPr>
                <w:rFonts w:asciiTheme="minorHAnsi" w:hAnsiTheme="minorHAnsi" w:cstheme="minorHAnsi"/>
                <w:color w:val="000000"/>
                <w:sz w:val="18"/>
                <w:szCs w:val="18"/>
              </w:rPr>
              <w:t xml:space="preserve"> type 1</w:t>
            </w:r>
          </w:p>
          <w:p w14:paraId="59099F68" w14:textId="77777777" w:rsidR="003F3BB1" w:rsidRPr="003F3BB1" w:rsidRDefault="003F3BB1" w:rsidP="00DC3166">
            <w:pPr>
              <w:jc w:val="center"/>
              <w:rPr>
                <w:rFonts w:asciiTheme="minorHAnsi" w:hAnsiTheme="minorHAnsi" w:cstheme="minorHAnsi"/>
                <w:color w:val="000000"/>
                <w:sz w:val="18"/>
                <w:szCs w:val="18"/>
              </w:rPr>
            </w:pPr>
          </w:p>
          <w:p w14:paraId="1B081E6E" w14:textId="77777777" w:rsidR="003F3BB1" w:rsidRDefault="003F3BB1" w:rsidP="00DC3166">
            <w:pPr>
              <w:jc w:val="center"/>
              <w:rPr>
                <w:rFonts w:asciiTheme="minorHAnsi" w:hAnsiTheme="minorHAnsi" w:cstheme="minorHAnsi"/>
                <w:color w:val="000000"/>
                <w:sz w:val="18"/>
                <w:szCs w:val="18"/>
              </w:rPr>
            </w:pPr>
            <w:r w:rsidRPr="003F3BB1">
              <w:rPr>
                <w:rFonts w:asciiTheme="minorHAnsi" w:hAnsiTheme="minorHAnsi" w:cstheme="minorHAnsi"/>
                <w:color w:val="000000"/>
                <w:sz w:val="18"/>
                <w:szCs w:val="18"/>
              </w:rPr>
              <w:t>NITISINONE</w:t>
            </w:r>
          </w:p>
          <w:p w14:paraId="38C0017A" w14:textId="77777777" w:rsidR="003F3BB1" w:rsidRPr="003F3BB1" w:rsidRDefault="003F3BB1" w:rsidP="00DC3166">
            <w:pPr>
              <w:jc w:val="center"/>
              <w:rPr>
                <w:rFonts w:asciiTheme="minorHAnsi" w:hAnsiTheme="minorHAnsi" w:cstheme="minorHAnsi"/>
                <w:color w:val="000000"/>
                <w:sz w:val="18"/>
                <w:szCs w:val="18"/>
              </w:rPr>
            </w:pPr>
          </w:p>
          <w:p w14:paraId="21842639" w14:textId="77777777" w:rsidR="003F3BB1" w:rsidRPr="003F3BB1" w:rsidRDefault="003F3BB1" w:rsidP="00DC3166">
            <w:pPr>
              <w:jc w:val="center"/>
              <w:rPr>
                <w:rFonts w:asciiTheme="minorHAnsi" w:hAnsiTheme="minorHAnsi" w:cstheme="minorHAnsi"/>
                <w:color w:val="000000"/>
                <w:sz w:val="18"/>
                <w:szCs w:val="18"/>
              </w:rPr>
            </w:pPr>
            <w:r w:rsidRPr="003F3BB1">
              <w:rPr>
                <w:rFonts w:asciiTheme="minorHAnsi" w:hAnsiTheme="minorHAnsi" w:cstheme="minorHAnsi"/>
                <w:color w:val="000000"/>
                <w:sz w:val="18"/>
                <w:szCs w:val="18"/>
              </w:rPr>
              <w:t>Capsule 2 mg</w:t>
            </w:r>
          </w:p>
          <w:p w14:paraId="65BB1E63" w14:textId="77777777" w:rsidR="003F3BB1" w:rsidRPr="003F3BB1" w:rsidRDefault="003F3BB1" w:rsidP="00DC3166">
            <w:pPr>
              <w:jc w:val="center"/>
              <w:rPr>
                <w:rFonts w:asciiTheme="minorHAnsi" w:hAnsiTheme="minorHAnsi" w:cstheme="minorHAnsi"/>
                <w:color w:val="000000"/>
                <w:sz w:val="18"/>
                <w:szCs w:val="18"/>
              </w:rPr>
            </w:pPr>
            <w:r w:rsidRPr="003F3BB1">
              <w:rPr>
                <w:rFonts w:asciiTheme="minorHAnsi" w:hAnsiTheme="minorHAnsi" w:cstheme="minorHAnsi"/>
                <w:color w:val="000000"/>
                <w:sz w:val="18"/>
                <w:szCs w:val="18"/>
              </w:rPr>
              <w:t>Capsule 5 mg</w:t>
            </w:r>
          </w:p>
          <w:p w14:paraId="5689B952" w14:textId="77777777" w:rsidR="003F3BB1" w:rsidRPr="003F3BB1" w:rsidRDefault="003F3BB1" w:rsidP="00DC3166">
            <w:pPr>
              <w:jc w:val="center"/>
              <w:rPr>
                <w:rFonts w:asciiTheme="minorHAnsi" w:hAnsiTheme="minorHAnsi" w:cstheme="minorHAnsi"/>
                <w:color w:val="000000"/>
                <w:sz w:val="18"/>
                <w:szCs w:val="18"/>
              </w:rPr>
            </w:pPr>
            <w:r w:rsidRPr="003F3BB1">
              <w:rPr>
                <w:rFonts w:asciiTheme="minorHAnsi" w:hAnsiTheme="minorHAnsi" w:cstheme="minorHAnsi"/>
                <w:color w:val="000000"/>
                <w:sz w:val="18"/>
                <w:szCs w:val="18"/>
              </w:rPr>
              <w:t>Capsule 10 mg</w:t>
            </w:r>
          </w:p>
          <w:p w14:paraId="7C975434" w14:textId="77777777" w:rsidR="003F3BB1" w:rsidRPr="003F3BB1" w:rsidRDefault="003F3BB1" w:rsidP="00DC3166">
            <w:pPr>
              <w:jc w:val="center"/>
              <w:rPr>
                <w:rFonts w:asciiTheme="minorHAnsi" w:hAnsiTheme="minorHAnsi" w:cstheme="minorHAnsi"/>
                <w:color w:val="000000"/>
                <w:sz w:val="18"/>
                <w:szCs w:val="18"/>
              </w:rPr>
            </w:pPr>
            <w:r w:rsidRPr="003F3BB1">
              <w:rPr>
                <w:rFonts w:asciiTheme="minorHAnsi" w:hAnsiTheme="minorHAnsi" w:cstheme="minorHAnsi"/>
                <w:color w:val="000000"/>
                <w:sz w:val="18"/>
                <w:szCs w:val="18"/>
              </w:rPr>
              <w:t>Capsule 20 mg</w:t>
            </w:r>
          </w:p>
          <w:p w14:paraId="548651CA" w14:textId="77777777" w:rsidR="003F3BB1" w:rsidRDefault="003F3BB1" w:rsidP="00DC3166">
            <w:pPr>
              <w:jc w:val="center"/>
              <w:rPr>
                <w:rFonts w:asciiTheme="minorHAnsi" w:hAnsiTheme="minorHAnsi" w:cstheme="minorHAnsi"/>
                <w:color w:val="000000"/>
                <w:sz w:val="18"/>
                <w:szCs w:val="18"/>
              </w:rPr>
            </w:pPr>
            <w:r w:rsidRPr="003F3BB1">
              <w:rPr>
                <w:rFonts w:asciiTheme="minorHAnsi" w:hAnsiTheme="minorHAnsi" w:cstheme="minorHAnsi"/>
                <w:color w:val="000000"/>
                <w:sz w:val="18"/>
                <w:szCs w:val="18"/>
              </w:rPr>
              <w:t>Oral suspension 4 mg per mL, 90 mL</w:t>
            </w:r>
          </w:p>
          <w:p w14:paraId="66BFD4DA" w14:textId="77777777" w:rsidR="003F3BB1" w:rsidRPr="003F3BB1" w:rsidRDefault="003F3BB1" w:rsidP="00DC3166">
            <w:pPr>
              <w:jc w:val="center"/>
              <w:rPr>
                <w:rFonts w:asciiTheme="minorHAnsi" w:hAnsiTheme="minorHAnsi" w:cstheme="minorHAnsi"/>
                <w:color w:val="000000"/>
                <w:sz w:val="18"/>
                <w:szCs w:val="18"/>
              </w:rPr>
            </w:pPr>
          </w:p>
          <w:p w14:paraId="3FFC98CF" w14:textId="77777777" w:rsidR="003F3BB1" w:rsidRDefault="003F3BB1" w:rsidP="00DC3166">
            <w:pPr>
              <w:jc w:val="center"/>
              <w:rPr>
                <w:rFonts w:asciiTheme="minorHAnsi" w:hAnsiTheme="minorHAnsi" w:cstheme="minorHAnsi"/>
                <w:color w:val="000000"/>
                <w:sz w:val="18"/>
                <w:szCs w:val="18"/>
              </w:rPr>
            </w:pPr>
            <w:proofErr w:type="spellStart"/>
            <w:r w:rsidRPr="003F3BB1">
              <w:rPr>
                <w:rFonts w:asciiTheme="minorHAnsi" w:hAnsiTheme="minorHAnsi" w:cstheme="minorHAnsi"/>
                <w:color w:val="000000"/>
                <w:sz w:val="18"/>
                <w:szCs w:val="18"/>
              </w:rPr>
              <w:t>Orfadin</w:t>
            </w:r>
            <w:proofErr w:type="spellEnd"/>
            <w:r w:rsidRPr="003F3BB1">
              <w:rPr>
                <w:rFonts w:asciiTheme="minorHAnsi" w:hAnsiTheme="minorHAnsi" w:cstheme="minorHAnsi"/>
                <w:color w:val="000000"/>
                <w:sz w:val="18"/>
                <w:szCs w:val="18"/>
              </w:rPr>
              <w:t>®</w:t>
            </w:r>
          </w:p>
          <w:p w14:paraId="16AA8248" w14:textId="77777777" w:rsidR="003F3BB1" w:rsidRPr="003F3BB1" w:rsidRDefault="003F3BB1" w:rsidP="00DC3166">
            <w:pPr>
              <w:jc w:val="center"/>
              <w:rPr>
                <w:rFonts w:asciiTheme="minorHAnsi" w:hAnsiTheme="minorHAnsi" w:cstheme="minorHAnsi"/>
                <w:color w:val="000000"/>
                <w:sz w:val="18"/>
                <w:szCs w:val="18"/>
              </w:rPr>
            </w:pPr>
          </w:p>
          <w:p w14:paraId="587F22A7" w14:textId="77777777" w:rsidR="003F3BB1" w:rsidRDefault="003F3BB1" w:rsidP="00DC3166">
            <w:pPr>
              <w:jc w:val="center"/>
              <w:rPr>
                <w:rFonts w:asciiTheme="minorHAnsi" w:hAnsiTheme="minorHAnsi" w:cstheme="minorHAnsi"/>
                <w:color w:val="000000"/>
                <w:sz w:val="18"/>
                <w:szCs w:val="18"/>
              </w:rPr>
            </w:pPr>
            <w:r w:rsidRPr="003F3BB1">
              <w:rPr>
                <w:rFonts w:asciiTheme="minorHAnsi" w:hAnsiTheme="minorHAnsi" w:cstheme="minorHAnsi"/>
                <w:color w:val="000000"/>
                <w:sz w:val="18"/>
                <w:szCs w:val="18"/>
              </w:rPr>
              <w:t>A.MENARINI AUSTRALIA PTY LIMITED</w:t>
            </w:r>
          </w:p>
          <w:p w14:paraId="2E3B7E58" w14:textId="77777777" w:rsidR="00436638" w:rsidRPr="003F3BB1" w:rsidRDefault="00436638" w:rsidP="00DC3166">
            <w:pPr>
              <w:jc w:val="center"/>
              <w:rPr>
                <w:rFonts w:asciiTheme="minorHAnsi" w:hAnsiTheme="minorHAnsi" w:cstheme="minorHAnsi"/>
                <w:color w:val="000000"/>
                <w:sz w:val="18"/>
                <w:szCs w:val="18"/>
              </w:rPr>
            </w:pPr>
          </w:p>
          <w:p w14:paraId="20613843" w14:textId="77777777" w:rsidR="003F3BB1" w:rsidRPr="003F3BB1" w:rsidRDefault="003F3BB1" w:rsidP="00DC3166">
            <w:pPr>
              <w:jc w:val="center"/>
              <w:rPr>
                <w:rFonts w:asciiTheme="minorHAnsi" w:hAnsiTheme="minorHAnsi" w:cstheme="minorHAnsi"/>
                <w:color w:val="000000"/>
                <w:sz w:val="18"/>
                <w:szCs w:val="18"/>
              </w:rPr>
            </w:pPr>
            <w:r w:rsidRPr="003F3BB1">
              <w:rPr>
                <w:rFonts w:asciiTheme="minorHAnsi" w:hAnsiTheme="minorHAnsi" w:cstheme="minorHAnsi"/>
                <w:color w:val="000000"/>
                <w:sz w:val="18"/>
                <w:szCs w:val="18"/>
              </w:rPr>
              <w:t>Tablet 2 mg</w:t>
            </w:r>
          </w:p>
          <w:p w14:paraId="4CB822C7" w14:textId="77777777" w:rsidR="003F3BB1" w:rsidRPr="003F3BB1" w:rsidRDefault="003F3BB1" w:rsidP="00DC3166">
            <w:pPr>
              <w:jc w:val="center"/>
              <w:rPr>
                <w:rFonts w:asciiTheme="minorHAnsi" w:hAnsiTheme="minorHAnsi" w:cstheme="minorHAnsi"/>
                <w:color w:val="000000"/>
                <w:sz w:val="18"/>
                <w:szCs w:val="18"/>
              </w:rPr>
            </w:pPr>
            <w:r w:rsidRPr="003F3BB1">
              <w:rPr>
                <w:rFonts w:asciiTheme="minorHAnsi" w:hAnsiTheme="minorHAnsi" w:cstheme="minorHAnsi"/>
                <w:color w:val="000000"/>
                <w:sz w:val="18"/>
                <w:szCs w:val="18"/>
              </w:rPr>
              <w:t>Tablet 5 mg</w:t>
            </w:r>
          </w:p>
          <w:p w14:paraId="4F1B0E39" w14:textId="77777777" w:rsidR="003F3BB1" w:rsidRDefault="003F3BB1" w:rsidP="00DC3166">
            <w:pPr>
              <w:jc w:val="center"/>
              <w:rPr>
                <w:rFonts w:asciiTheme="minorHAnsi" w:hAnsiTheme="minorHAnsi" w:cstheme="minorHAnsi"/>
                <w:color w:val="000000"/>
                <w:sz w:val="18"/>
                <w:szCs w:val="18"/>
              </w:rPr>
            </w:pPr>
            <w:r w:rsidRPr="003F3BB1">
              <w:rPr>
                <w:rFonts w:asciiTheme="minorHAnsi" w:hAnsiTheme="minorHAnsi" w:cstheme="minorHAnsi"/>
                <w:color w:val="000000"/>
                <w:sz w:val="18"/>
                <w:szCs w:val="18"/>
              </w:rPr>
              <w:t>Tablet 10 mg</w:t>
            </w:r>
          </w:p>
          <w:p w14:paraId="212C8652" w14:textId="77777777" w:rsidR="00436638" w:rsidRPr="003F3BB1" w:rsidRDefault="00436638" w:rsidP="00DC3166">
            <w:pPr>
              <w:jc w:val="center"/>
              <w:rPr>
                <w:rFonts w:asciiTheme="minorHAnsi" w:hAnsiTheme="minorHAnsi" w:cstheme="minorHAnsi"/>
                <w:color w:val="000000"/>
                <w:sz w:val="18"/>
                <w:szCs w:val="18"/>
              </w:rPr>
            </w:pPr>
          </w:p>
          <w:p w14:paraId="5BFD8A0E" w14:textId="77777777" w:rsidR="003F3BB1" w:rsidRDefault="003F3BB1" w:rsidP="00DC3166">
            <w:pPr>
              <w:jc w:val="center"/>
              <w:rPr>
                <w:rFonts w:asciiTheme="minorHAnsi" w:hAnsiTheme="minorHAnsi" w:cstheme="minorHAnsi"/>
                <w:color w:val="000000"/>
                <w:sz w:val="18"/>
                <w:szCs w:val="18"/>
              </w:rPr>
            </w:pPr>
            <w:proofErr w:type="spellStart"/>
            <w:r w:rsidRPr="003F3BB1">
              <w:rPr>
                <w:rFonts w:asciiTheme="minorHAnsi" w:hAnsiTheme="minorHAnsi" w:cstheme="minorHAnsi"/>
                <w:color w:val="000000"/>
                <w:sz w:val="18"/>
                <w:szCs w:val="18"/>
              </w:rPr>
              <w:t>Nityr</w:t>
            </w:r>
            <w:proofErr w:type="spellEnd"/>
            <w:r w:rsidRPr="003F3BB1">
              <w:rPr>
                <w:rFonts w:asciiTheme="minorHAnsi" w:hAnsiTheme="minorHAnsi" w:cstheme="minorHAnsi"/>
                <w:color w:val="000000"/>
                <w:sz w:val="18"/>
                <w:szCs w:val="18"/>
              </w:rPr>
              <w:t>™</w:t>
            </w:r>
          </w:p>
          <w:p w14:paraId="7EF86C59" w14:textId="77777777" w:rsidR="00436638" w:rsidRPr="003F3BB1" w:rsidRDefault="00436638" w:rsidP="00DC3166">
            <w:pPr>
              <w:jc w:val="center"/>
              <w:rPr>
                <w:rFonts w:asciiTheme="minorHAnsi" w:hAnsiTheme="minorHAnsi" w:cstheme="minorHAnsi"/>
                <w:color w:val="000000"/>
                <w:sz w:val="18"/>
                <w:szCs w:val="18"/>
              </w:rPr>
            </w:pPr>
          </w:p>
          <w:p w14:paraId="28A623C3" w14:textId="77777777" w:rsidR="003F3BB1" w:rsidRDefault="003F3BB1" w:rsidP="00DC3166">
            <w:pPr>
              <w:jc w:val="center"/>
              <w:rPr>
                <w:rFonts w:asciiTheme="minorHAnsi" w:hAnsiTheme="minorHAnsi" w:cstheme="minorHAnsi"/>
                <w:color w:val="000000"/>
                <w:sz w:val="18"/>
                <w:szCs w:val="18"/>
              </w:rPr>
            </w:pPr>
            <w:r w:rsidRPr="003F3BB1">
              <w:rPr>
                <w:rFonts w:asciiTheme="minorHAnsi" w:hAnsiTheme="minorHAnsi" w:cstheme="minorHAnsi"/>
                <w:color w:val="000000"/>
                <w:sz w:val="18"/>
                <w:szCs w:val="18"/>
              </w:rPr>
              <w:t>ORPHARMA PTY LTD</w:t>
            </w:r>
          </w:p>
          <w:p w14:paraId="4E7CB480" w14:textId="77777777" w:rsidR="00436638" w:rsidRDefault="00436638" w:rsidP="00DC3166">
            <w:pPr>
              <w:jc w:val="center"/>
              <w:rPr>
                <w:rFonts w:asciiTheme="minorHAnsi" w:hAnsiTheme="minorHAnsi" w:cstheme="minorHAnsi"/>
                <w:color w:val="000000"/>
                <w:sz w:val="18"/>
                <w:szCs w:val="18"/>
              </w:rPr>
            </w:pPr>
          </w:p>
          <w:p w14:paraId="58F7EA69" w14:textId="7415F173" w:rsidR="00241112" w:rsidRPr="003F3BB1" w:rsidRDefault="00241112" w:rsidP="00DC3166">
            <w:pPr>
              <w:jc w:val="center"/>
              <w:rPr>
                <w:rFonts w:asciiTheme="minorHAnsi" w:hAnsiTheme="minorHAnsi" w:cstheme="minorHAnsi"/>
                <w:color w:val="000000"/>
                <w:sz w:val="18"/>
                <w:szCs w:val="18"/>
              </w:rPr>
            </w:pPr>
            <w:r>
              <w:rPr>
                <w:rFonts w:asciiTheme="minorHAnsi" w:hAnsiTheme="minorHAnsi" w:cstheme="minorHAnsi"/>
                <w:color w:val="000000"/>
                <w:sz w:val="18"/>
                <w:szCs w:val="18"/>
              </w:rPr>
              <w:t>Other matters</w:t>
            </w:r>
          </w:p>
          <w:p w14:paraId="02FE53E7" w14:textId="12C52687" w:rsidR="009150DA" w:rsidRPr="006A5A05" w:rsidRDefault="003F3BB1" w:rsidP="00DC3166">
            <w:pPr>
              <w:jc w:val="center"/>
              <w:rPr>
                <w:rFonts w:asciiTheme="minorHAnsi" w:hAnsiTheme="minorHAnsi" w:cstheme="minorHAnsi"/>
                <w:color w:val="000000"/>
                <w:sz w:val="18"/>
                <w:szCs w:val="18"/>
              </w:rPr>
            </w:pPr>
            <w:r w:rsidRPr="003F3BB1">
              <w:rPr>
                <w:rFonts w:asciiTheme="minorHAnsi" w:hAnsiTheme="minorHAnsi" w:cstheme="minorHAnsi"/>
                <w:color w:val="000000"/>
                <w:sz w:val="18"/>
                <w:szCs w:val="18"/>
              </w:rPr>
              <w:t>(New PBS listing)</w:t>
            </w:r>
          </w:p>
        </w:tc>
        <w:tc>
          <w:tcPr>
            <w:tcW w:w="2767" w:type="dxa"/>
            <w:vAlign w:val="center"/>
          </w:tcPr>
          <w:p w14:paraId="33983921" w14:textId="77777777" w:rsidR="00D158CA" w:rsidRPr="00D158CA" w:rsidRDefault="00D158CA" w:rsidP="00DC3166">
            <w:pPr>
              <w:jc w:val="center"/>
              <w:rPr>
                <w:rFonts w:asciiTheme="minorHAnsi" w:hAnsiTheme="minorHAnsi" w:cstheme="minorHAnsi"/>
                <w:color w:val="000000"/>
                <w:sz w:val="18"/>
                <w:szCs w:val="18"/>
              </w:rPr>
            </w:pPr>
            <w:r w:rsidRPr="00D158CA">
              <w:rPr>
                <w:rFonts w:asciiTheme="minorHAnsi" w:hAnsiTheme="minorHAnsi" w:cstheme="minorHAnsi"/>
                <w:color w:val="000000"/>
                <w:sz w:val="18"/>
                <w:szCs w:val="18"/>
              </w:rPr>
              <w:t xml:space="preserve">Hereditary </w:t>
            </w:r>
            <w:proofErr w:type="spellStart"/>
            <w:r w:rsidRPr="00D158CA">
              <w:rPr>
                <w:rFonts w:asciiTheme="minorHAnsi" w:hAnsiTheme="minorHAnsi" w:cstheme="minorHAnsi"/>
                <w:color w:val="000000"/>
                <w:sz w:val="18"/>
                <w:szCs w:val="18"/>
              </w:rPr>
              <w:t>tyrosinaemia</w:t>
            </w:r>
            <w:proofErr w:type="spellEnd"/>
            <w:r w:rsidRPr="00D158CA">
              <w:rPr>
                <w:rFonts w:asciiTheme="minorHAnsi" w:hAnsiTheme="minorHAnsi" w:cstheme="minorHAnsi"/>
                <w:color w:val="000000"/>
                <w:sz w:val="18"/>
                <w:szCs w:val="18"/>
              </w:rPr>
              <w:t xml:space="preserve"> type 1</w:t>
            </w:r>
          </w:p>
          <w:p w14:paraId="71E56FD9" w14:textId="47535A4C" w:rsidR="00270292" w:rsidRPr="006A5A05" w:rsidRDefault="00D158CA" w:rsidP="00DC3166">
            <w:pPr>
              <w:jc w:val="center"/>
              <w:rPr>
                <w:rFonts w:asciiTheme="minorHAnsi" w:hAnsiTheme="minorHAnsi" w:cstheme="minorHAnsi"/>
                <w:color w:val="000000"/>
                <w:sz w:val="18"/>
                <w:szCs w:val="18"/>
              </w:rPr>
            </w:pPr>
            <w:r w:rsidRPr="00D158CA">
              <w:rPr>
                <w:rFonts w:asciiTheme="minorHAnsi" w:hAnsiTheme="minorHAnsi" w:cstheme="minorHAnsi"/>
                <w:color w:val="000000"/>
                <w:sz w:val="18"/>
                <w:szCs w:val="18"/>
              </w:rPr>
              <w:t>(HT-1)</w:t>
            </w:r>
          </w:p>
        </w:tc>
        <w:tc>
          <w:tcPr>
            <w:tcW w:w="2976" w:type="dxa"/>
            <w:tcMar>
              <w:top w:w="28" w:type="dxa"/>
              <w:bottom w:w="28" w:type="dxa"/>
            </w:tcMar>
            <w:vAlign w:val="center"/>
          </w:tcPr>
          <w:p w14:paraId="0A00DB1D" w14:textId="0F0E8415" w:rsidR="00270292" w:rsidRPr="006A5A05" w:rsidRDefault="00087B99" w:rsidP="00DC3166">
            <w:pPr>
              <w:jc w:val="center"/>
              <w:rPr>
                <w:rFonts w:asciiTheme="minorHAnsi" w:hAnsiTheme="minorHAnsi" w:cstheme="minorHAnsi"/>
                <w:color w:val="000000"/>
                <w:sz w:val="18"/>
                <w:szCs w:val="18"/>
              </w:rPr>
            </w:pPr>
            <w:r w:rsidRPr="00087B99">
              <w:rPr>
                <w:rFonts w:asciiTheme="minorHAnsi" w:hAnsiTheme="minorHAnsi" w:cstheme="minorHAnsi"/>
                <w:color w:val="000000"/>
                <w:sz w:val="18"/>
                <w:szCs w:val="18"/>
              </w:rPr>
              <w:t xml:space="preserve">To consider a referral from the LSDP Expert Panel seeking reconsideration of listing </w:t>
            </w:r>
            <w:proofErr w:type="spellStart"/>
            <w:r w:rsidRPr="00087B99">
              <w:rPr>
                <w:rFonts w:asciiTheme="minorHAnsi" w:hAnsiTheme="minorHAnsi" w:cstheme="minorHAnsi"/>
                <w:color w:val="000000"/>
                <w:sz w:val="18"/>
                <w:szCs w:val="18"/>
              </w:rPr>
              <w:t>nitisinone</w:t>
            </w:r>
            <w:proofErr w:type="spellEnd"/>
            <w:r w:rsidRPr="00087B99">
              <w:rPr>
                <w:rFonts w:asciiTheme="minorHAnsi" w:hAnsiTheme="minorHAnsi" w:cstheme="minorHAnsi"/>
                <w:color w:val="000000"/>
                <w:sz w:val="18"/>
                <w:szCs w:val="18"/>
              </w:rPr>
              <w:t xml:space="preserve"> for the treatment of HT</w:t>
            </w:r>
            <w:r w:rsidR="00F20E43">
              <w:rPr>
                <w:rFonts w:asciiTheme="minorHAnsi" w:hAnsiTheme="minorHAnsi" w:cstheme="minorHAnsi"/>
                <w:color w:val="000000"/>
                <w:sz w:val="18"/>
                <w:szCs w:val="18"/>
              </w:rPr>
              <w:t>-</w:t>
            </w:r>
            <w:r w:rsidRPr="00087B99">
              <w:rPr>
                <w:rFonts w:asciiTheme="minorHAnsi" w:hAnsiTheme="minorHAnsi" w:cstheme="minorHAnsi"/>
                <w:color w:val="000000"/>
                <w:sz w:val="18"/>
                <w:szCs w:val="18"/>
              </w:rPr>
              <w:t>1.</w:t>
            </w:r>
          </w:p>
        </w:tc>
        <w:tc>
          <w:tcPr>
            <w:tcW w:w="1584" w:type="dxa"/>
            <w:tcBorders>
              <w:top w:val="single" w:sz="4" w:space="0" w:color="auto"/>
              <w:left w:val="single" w:sz="4" w:space="0" w:color="auto"/>
              <w:bottom w:val="single" w:sz="4" w:space="0" w:color="auto"/>
              <w:right w:val="single" w:sz="4" w:space="0" w:color="auto"/>
            </w:tcBorders>
            <w:vAlign w:val="center"/>
          </w:tcPr>
          <w:p w14:paraId="5DE294B7" w14:textId="548D5EBE" w:rsidR="00270292" w:rsidRPr="006A5A05" w:rsidDel="008F66B5" w:rsidRDefault="00A123B1" w:rsidP="00DC3166">
            <w:pPr>
              <w:pStyle w:val="ListParagraph"/>
              <w:keepLines/>
              <w:ind w:left="0"/>
              <w:jc w:val="center"/>
              <w:rPr>
                <w:rFonts w:asciiTheme="minorHAnsi" w:hAnsiTheme="minorHAnsi" w:cstheme="minorHAnsi"/>
                <w:color w:val="000000"/>
                <w:sz w:val="18"/>
                <w:szCs w:val="18"/>
              </w:rPr>
            </w:pPr>
            <w:r w:rsidRPr="00A123B1">
              <w:rPr>
                <w:rFonts w:asciiTheme="minorHAnsi" w:hAnsiTheme="minorHAnsi" w:cstheme="minorHAnsi"/>
                <w:color w:val="000000"/>
                <w:sz w:val="18"/>
                <w:szCs w:val="18"/>
              </w:rPr>
              <w:t>Deferred</w:t>
            </w:r>
          </w:p>
        </w:tc>
        <w:tc>
          <w:tcPr>
            <w:tcW w:w="4836" w:type="dxa"/>
            <w:tcBorders>
              <w:top w:val="single" w:sz="4" w:space="0" w:color="auto"/>
              <w:left w:val="single" w:sz="4" w:space="0" w:color="auto"/>
              <w:bottom w:val="single" w:sz="4" w:space="0" w:color="auto"/>
              <w:right w:val="single" w:sz="4" w:space="0" w:color="auto"/>
            </w:tcBorders>
            <w:vAlign w:val="center"/>
          </w:tcPr>
          <w:p w14:paraId="37AD987B" w14:textId="77777777" w:rsidR="00270292" w:rsidRDefault="00295349" w:rsidP="00DC3166">
            <w:pPr>
              <w:jc w:val="both"/>
              <w:rPr>
                <w:rFonts w:asciiTheme="minorHAnsi" w:hAnsiTheme="minorHAnsi" w:cstheme="minorHAnsi"/>
                <w:color w:val="000000"/>
                <w:sz w:val="18"/>
                <w:szCs w:val="18"/>
              </w:rPr>
            </w:pPr>
            <w:r w:rsidRPr="00295349">
              <w:rPr>
                <w:rFonts w:asciiTheme="minorHAnsi" w:hAnsiTheme="minorHAnsi" w:cstheme="minorHAnsi"/>
                <w:color w:val="000000"/>
                <w:sz w:val="18"/>
                <w:szCs w:val="18"/>
              </w:rPr>
              <w:t xml:space="preserve">The PBAC deferred making a recommendation on the PBS listing of </w:t>
            </w:r>
            <w:proofErr w:type="spellStart"/>
            <w:r w:rsidRPr="00295349">
              <w:rPr>
                <w:rFonts w:asciiTheme="minorHAnsi" w:hAnsiTheme="minorHAnsi" w:cstheme="minorHAnsi"/>
                <w:color w:val="000000"/>
                <w:sz w:val="18"/>
                <w:szCs w:val="18"/>
              </w:rPr>
              <w:t>nitisinone</w:t>
            </w:r>
            <w:proofErr w:type="spellEnd"/>
            <w:r w:rsidRPr="00295349">
              <w:rPr>
                <w:rFonts w:asciiTheme="minorHAnsi" w:hAnsiTheme="minorHAnsi" w:cstheme="minorHAnsi"/>
                <w:color w:val="000000"/>
                <w:sz w:val="18"/>
                <w:szCs w:val="18"/>
              </w:rPr>
              <w:t xml:space="preserve"> for the treatment of HT-1 to allow consultation with clinical and patient groups.</w:t>
            </w:r>
          </w:p>
          <w:p w14:paraId="58701EA0" w14:textId="30ACAAA6" w:rsidR="003C1EF9" w:rsidRPr="00F03408" w:rsidDel="008F66B5" w:rsidRDefault="003C1EF9" w:rsidP="00DC3166">
            <w:pPr>
              <w:jc w:val="both"/>
              <w:rPr>
                <w:rFonts w:asciiTheme="minorHAnsi" w:hAnsiTheme="minorHAnsi" w:cstheme="minorHAnsi"/>
                <w:color w:val="000000"/>
                <w:sz w:val="18"/>
                <w:szCs w:val="18"/>
              </w:rPr>
            </w:pPr>
          </w:p>
        </w:tc>
      </w:tr>
      <w:tr w:rsidR="003411B8" w:rsidRPr="008059F4" w:rsidDel="008F66B5" w14:paraId="45978DAE" w14:textId="5FC522AB" w:rsidTr="00217667">
        <w:trPr>
          <w:cantSplit/>
          <w:trHeight w:val="1295"/>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12672CA" w14:textId="20D7533E" w:rsidR="00EC00A2" w:rsidRPr="006A5A05" w:rsidRDefault="003411B8" w:rsidP="00DC3166">
            <w:pPr>
              <w:jc w:val="center"/>
              <w:rPr>
                <w:rFonts w:asciiTheme="minorHAnsi" w:eastAsia="Calibri" w:hAnsiTheme="minorHAnsi" w:cstheme="minorHAnsi"/>
                <w:color w:val="000000" w:themeColor="text1"/>
                <w:sz w:val="18"/>
                <w:szCs w:val="18"/>
              </w:rPr>
            </w:pPr>
            <w:bookmarkStart w:id="4" w:name="_Hlk141955464"/>
            <w:r w:rsidRPr="006A5A05">
              <w:rPr>
                <w:rFonts w:asciiTheme="minorHAnsi" w:hAnsiTheme="minorHAnsi" w:cstheme="minorHAnsi"/>
                <w:color w:val="000000"/>
                <w:sz w:val="18"/>
                <w:szCs w:val="18"/>
              </w:rPr>
              <w:t>METHADONE</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Tablet 5 mg</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Methadone-AFT</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AFT PHARMACEUTICALS (AU) PTY LTD</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r>
            <w:r w:rsidR="00EC00A2" w:rsidRPr="006A5A05">
              <w:rPr>
                <w:rFonts w:asciiTheme="minorHAnsi" w:eastAsia="Calibri" w:hAnsiTheme="minorHAnsi" w:cstheme="minorHAnsi"/>
                <w:color w:val="000000" w:themeColor="text1"/>
                <w:sz w:val="18"/>
                <w:szCs w:val="18"/>
              </w:rPr>
              <w:t xml:space="preserve">Category </w:t>
            </w:r>
            <w:r w:rsidR="007A4DE4">
              <w:rPr>
                <w:rFonts w:asciiTheme="minorHAnsi" w:eastAsia="Calibri" w:hAnsiTheme="minorHAnsi" w:cstheme="minorHAnsi"/>
                <w:color w:val="000000" w:themeColor="text1"/>
                <w:sz w:val="18"/>
                <w:szCs w:val="18"/>
              </w:rPr>
              <w:t>4</w:t>
            </w:r>
          </w:p>
          <w:p w14:paraId="7BD2048B" w14:textId="1B060D0C" w:rsidR="003411B8" w:rsidRPr="006A5A05" w:rsidRDefault="003411B8"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vAlign w:val="center"/>
          </w:tcPr>
          <w:p w14:paraId="0B3CA6BB" w14:textId="4C109AA0" w:rsidR="003411B8" w:rsidRPr="006A5A05" w:rsidRDefault="003411B8"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Chronic severe disabling pain</w:t>
            </w:r>
          </w:p>
        </w:tc>
        <w:tc>
          <w:tcPr>
            <w:tcW w:w="29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964D85E" w14:textId="1069F60A" w:rsidR="003411B8" w:rsidRPr="006A5A05" w:rsidRDefault="003411B8"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To request a Palliative Care Authority Required (Telephone/Online) listing and a General Schedule Authority Required (STREAMLINED) listing of a new strength under the same conditions as the currently listed strength of methadone tablet for the management of severe disabling pain.</w:t>
            </w:r>
          </w:p>
        </w:tc>
        <w:tc>
          <w:tcPr>
            <w:tcW w:w="1584" w:type="dxa"/>
            <w:tcBorders>
              <w:top w:val="single" w:sz="4" w:space="0" w:color="auto"/>
              <w:left w:val="single" w:sz="4" w:space="0" w:color="auto"/>
              <w:bottom w:val="single" w:sz="4" w:space="0" w:color="auto"/>
              <w:right w:val="single" w:sz="4" w:space="0" w:color="auto"/>
            </w:tcBorders>
            <w:vAlign w:val="center"/>
          </w:tcPr>
          <w:p w14:paraId="7755114D" w14:textId="7D348D6E" w:rsidR="003411B8" w:rsidRPr="006A5A05" w:rsidDel="008F66B5" w:rsidRDefault="0004283E" w:rsidP="00DC3166">
            <w:pPr>
              <w:pStyle w:val="ListParagraph"/>
              <w:keepLines/>
              <w:ind w:left="0"/>
              <w:jc w:val="center"/>
              <w:rPr>
                <w:rFonts w:asciiTheme="minorHAnsi" w:hAnsiTheme="minorHAnsi" w:cstheme="minorHAnsi"/>
                <w:color w:val="000000"/>
                <w:sz w:val="18"/>
                <w:szCs w:val="18"/>
              </w:rPr>
            </w:pPr>
            <w:r w:rsidRPr="0004283E">
              <w:rPr>
                <w:rFonts w:asciiTheme="minorHAnsi" w:hAnsiTheme="minorHAnsi" w:cstheme="minorHAnsi"/>
                <w:color w:val="000000"/>
                <w:sz w:val="18"/>
                <w:szCs w:val="18"/>
              </w:rPr>
              <w:t>Recommended</w:t>
            </w:r>
          </w:p>
        </w:tc>
        <w:tc>
          <w:tcPr>
            <w:tcW w:w="4836" w:type="dxa"/>
            <w:tcBorders>
              <w:top w:val="single" w:sz="4" w:space="0" w:color="auto"/>
              <w:left w:val="single" w:sz="4" w:space="0" w:color="auto"/>
              <w:bottom w:val="single" w:sz="4" w:space="0" w:color="auto"/>
              <w:right w:val="single" w:sz="4" w:space="0" w:color="auto"/>
            </w:tcBorders>
          </w:tcPr>
          <w:p w14:paraId="1585B5AE" w14:textId="7CD4ABD5" w:rsidR="003411B8" w:rsidRPr="00F03408" w:rsidDel="008F66B5" w:rsidRDefault="001D4D25" w:rsidP="00DC3166">
            <w:pPr>
              <w:rPr>
                <w:rFonts w:asciiTheme="minorHAnsi" w:hAnsiTheme="minorHAnsi" w:cstheme="minorHAnsi"/>
                <w:color w:val="000000"/>
                <w:sz w:val="18"/>
                <w:szCs w:val="18"/>
              </w:rPr>
            </w:pPr>
            <w:bookmarkStart w:id="5" w:name="_Hlk111543254"/>
            <w:r w:rsidRPr="00DC19F4">
              <w:rPr>
                <w:rFonts w:asciiTheme="minorHAnsi" w:hAnsiTheme="minorHAnsi" w:cstheme="minorHAnsi"/>
                <w:color w:val="000000"/>
                <w:sz w:val="18"/>
                <w:szCs w:val="18"/>
              </w:rPr>
              <w:t xml:space="preserve">The PBAC recommended the listing of methadone 5 mg tablet as a General Schedule (STREAMLINED) and Palliative Care (Telephone/Online) listing under the same circumstances as the currently listed methadone 10 mg tablet for the management of chronic severe disabling pain and severe disabling pain. The PBAC considered that </w:t>
            </w:r>
            <w:r w:rsidRPr="001D4D25">
              <w:rPr>
                <w:rFonts w:asciiTheme="minorHAnsi" w:hAnsiTheme="minorHAnsi" w:cstheme="minorHAnsi"/>
                <w:color w:val="000000"/>
                <w:sz w:val="18"/>
                <w:szCs w:val="18"/>
              </w:rPr>
              <w:t xml:space="preserve">methadone 5 mg tablet be priced with reference to the current PBS-listed methadone 10mg </w:t>
            </w:r>
            <w:bookmarkEnd w:id="5"/>
            <w:r w:rsidRPr="001D4D25">
              <w:rPr>
                <w:rFonts w:asciiTheme="minorHAnsi" w:hAnsiTheme="minorHAnsi" w:cstheme="minorHAnsi"/>
                <w:color w:val="000000"/>
                <w:sz w:val="18"/>
                <w:szCs w:val="18"/>
              </w:rPr>
              <w:t>tablets.</w:t>
            </w:r>
          </w:p>
        </w:tc>
      </w:tr>
      <w:bookmarkEnd w:id="4"/>
      <w:tr w:rsidR="002773BC" w:rsidRPr="008059F4" w:rsidDel="008F66B5" w14:paraId="5295E92B" w14:textId="4DE5A546" w:rsidTr="00217667">
        <w:trPr>
          <w:cantSplit/>
          <w:trHeight w:val="2288"/>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6380D64" w14:textId="465EA051" w:rsidR="00EC00A2" w:rsidRPr="006A5A05" w:rsidRDefault="003411B8" w:rsidP="00DC3166">
            <w:pPr>
              <w:jc w:val="center"/>
              <w:rPr>
                <w:rFonts w:asciiTheme="minorHAnsi" w:eastAsia="Calibri" w:hAnsiTheme="minorHAnsi" w:cstheme="minorHAnsi"/>
                <w:color w:val="000000" w:themeColor="text1"/>
                <w:sz w:val="18"/>
                <w:szCs w:val="18"/>
              </w:rPr>
            </w:pPr>
            <w:r w:rsidRPr="00F657EC">
              <w:rPr>
                <w:rFonts w:asciiTheme="minorHAnsi" w:hAnsiTheme="minorHAnsi" w:cstheme="minorHAnsi"/>
                <w:color w:val="000000"/>
                <w:sz w:val="18"/>
                <w:szCs w:val="18"/>
              </w:rPr>
              <w:t>MIRVETUXIMAB SORAVTANSINE</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Solution for I.V. infusion 100 mg in 20 mL vial</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Elahere</w:t>
            </w:r>
            <w:r w:rsidRPr="006A5A05">
              <w:rPr>
                <w:rFonts w:asciiTheme="minorHAnsi" w:hAnsiTheme="minorHAnsi" w:cstheme="minorHAnsi"/>
                <w:color w:val="000000"/>
                <w:sz w:val="18"/>
                <w:szCs w:val="18"/>
                <w:vertAlign w:val="superscript"/>
              </w:rPr>
              <w:t>®</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ABBVIE PTY LTD</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r>
            <w:r w:rsidR="00EC00A2" w:rsidRPr="006A5A05">
              <w:rPr>
                <w:rFonts w:asciiTheme="minorHAnsi" w:eastAsia="Calibri" w:hAnsiTheme="minorHAnsi" w:cstheme="minorHAnsi"/>
                <w:color w:val="000000" w:themeColor="text1"/>
                <w:sz w:val="18"/>
                <w:szCs w:val="18"/>
              </w:rPr>
              <w:t xml:space="preserve">Category </w:t>
            </w:r>
            <w:r w:rsidR="00945CE9">
              <w:rPr>
                <w:rFonts w:asciiTheme="minorHAnsi" w:eastAsia="Calibri" w:hAnsiTheme="minorHAnsi" w:cstheme="minorHAnsi"/>
                <w:color w:val="000000" w:themeColor="text1"/>
                <w:sz w:val="18"/>
                <w:szCs w:val="18"/>
              </w:rPr>
              <w:t>1</w:t>
            </w:r>
          </w:p>
          <w:p w14:paraId="1F383DB2" w14:textId="28FE62BC" w:rsidR="003411B8" w:rsidRPr="006A5A05" w:rsidRDefault="003411B8"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vAlign w:val="center"/>
          </w:tcPr>
          <w:p w14:paraId="3DF0F225" w14:textId="701D56F9" w:rsidR="003411B8" w:rsidRPr="006A5A05" w:rsidRDefault="003411B8"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Epithelial ovarian, fallopian tube or primary peritoneal cancer</w:t>
            </w:r>
          </w:p>
        </w:tc>
        <w:tc>
          <w:tcPr>
            <w:tcW w:w="29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7DD8020" w14:textId="55246401" w:rsidR="003411B8" w:rsidRPr="006A5A05" w:rsidRDefault="003411B8"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To request a Section 100 (Efficient Funding of Chemotherapy Program) Authority Required (Telephone/Online) listing for the treatment of high grade epithelial ovarian, fallopian tube or primary peritoneal cancer in patients who have platinum-resistant disease and</w:t>
            </w:r>
            <w:r w:rsidRPr="006A5A05">
              <w:rPr>
                <w:rFonts w:asciiTheme="minorHAnsi" w:hAnsiTheme="minorHAnsi" w:cstheme="minorHAnsi"/>
                <w:sz w:val="18"/>
                <w:szCs w:val="18"/>
              </w:rPr>
              <w:t xml:space="preserve"> </w:t>
            </w:r>
            <w:r w:rsidRPr="006A5A05">
              <w:rPr>
                <w:rFonts w:asciiTheme="minorHAnsi" w:hAnsiTheme="minorHAnsi" w:cstheme="minorHAnsi"/>
                <w:color w:val="000000"/>
                <w:sz w:val="18"/>
                <w:szCs w:val="18"/>
              </w:rPr>
              <w:t>high folate receptor alpha (FRα) expression.</w:t>
            </w:r>
          </w:p>
        </w:tc>
        <w:tc>
          <w:tcPr>
            <w:tcW w:w="1584" w:type="dxa"/>
            <w:tcBorders>
              <w:top w:val="single" w:sz="4" w:space="0" w:color="auto"/>
              <w:left w:val="single" w:sz="4" w:space="0" w:color="auto"/>
              <w:bottom w:val="single" w:sz="4" w:space="0" w:color="auto"/>
              <w:right w:val="single" w:sz="4" w:space="0" w:color="auto"/>
            </w:tcBorders>
            <w:vAlign w:val="center"/>
          </w:tcPr>
          <w:p w14:paraId="1EEBFBA6" w14:textId="79AE9AE3" w:rsidR="003411B8" w:rsidRPr="006A5A05" w:rsidDel="008F66B5" w:rsidRDefault="00AE5F8A" w:rsidP="00DC3166">
            <w:pPr>
              <w:pStyle w:val="ListParagraph"/>
              <w:keepLines/>
              <w:ind w:left="0"/>
              <w:jc w:val="center"/>
              <w:rPr>
                <w:rFonts w:asciiTheme="minorHAnsi" w:hAnsiTheme="minorHAnsi" w:cstheme="minorHAnsi"/>
                <w:color w:val="000000"/>
                <w:sz w:val="18"/>
                <w:szCs w:val="18"/>
              </w:rPr>
            </w:pPr>
            <w:r w:rsidRPr="00AE5F8A">
              <w:rPr>
                <w:rFonts w:asciiTheme="minorHAnsi" w:hAnsiTheme="minorHAnsi" w:cstheme="minorHAnsi"/>
                <w:color w:val="000000"/>
                <w:sz w:val="18"/>
                <w:szCs w:val="18"/>
              </w:rPr>
              <w:t>Deferred</w:t>
            </w:r>
          </w:p>
        </w:tc>
        <w:tc>
          <w:tcPr>
            <w:tcW w:w="4836" w:type="dxa"/>
            <w:tcBorders>
              <w:top w:val="single" w:sz="4" w:space="0" w:color="auto"/>
              <w:left w:val="single" w:sz="4" w:space="0" w:color="auto"/>
              <w:bottom w:val="single" w:sz="4" w:space="0" w:color="auto"/>
              <w:right w:val="single" w:sz="4" w:space="0" w:color="auto"/>
            </w:tcBorders>
          </w:tcPr>
          <w:p w14:paraId="79398F39" w14:textId="77777777" w:rsidR="001E4080" w:rsidRPr="001E4080" w:rsidRDefault="001E4080" w:rsidP="001E4080">
            <w:pPr>
              <w:jc w:val="both"/>
              <w:rPr>
                <w:rFonts w:asciiTheme="minorHAnsi" w:hAnsiTheme="minorHAnsi" w:cstheme="minorBidi"/>
                <w:color w:val="000000"/>
                <w:sz w:val="18"/>
                <w:szCs w:val="18"/>
              </w:rPr>
            </w:pPr>
            <w:r w:rsidRPr="001E4080">
              <w:rPr>
                <w:rFonts w:asciiTheme="minorHAnsi" w:hAnsiTheme="minorHAnsi" w:cstheme="minorBidi"/>
                <w:color w:val="000000"/>
                <w:sz w:val="18"/>
                <w:szCs w:val="18"/>
              </w:rPr>
              <w:t>Deferred</w:t>
            </w:r>
            <w:r w:rsidRPr="001E4080">
              <w:rPr>
                <w:rFonts w:asciiTheme="minorHAnsi" w:hAnsiTheme="minorHAnsi" w:cstheme="minorBidi"/>
                <w:color w:val="000000"/>
                <w:sz w:val="18"/>
                <w:szCs w:val="18"/>
              </w:rPr>
              <w:tab/>
              <w:t xml:space="preserve">The PBAC deferred its consideration of </w:t>
            </w:r>
            <w:proofErr w:type="spellStart"/>
            <w:r w:rsidRPr="001E4080">
              <w:rPr>
                <w:rFonts w:asciiTheme="minorHAnsi" w:hAnsiTheme="minorHAnsi" w:cstheme="minorBidi"/>
                <w:color w:val="000000"/>
                <w:sz w:val="18"/>
                <w:szCs w:val="18"/>
              </w:rPr>
              <w:t>mirvetuximab</w:t>
            </w:r>
            <w:proofErr w:type="spellEnd"/>
            <w:r w:rsidRPr="001E4080">
              <w:rPr>
                <w:rFonts w:asciiTheme="minorHAnsi" w:hAnsiTheme="minorHAnsi" w:cstheme="minorBidi"/>
                <w:color w:val="000000"/>
                <w:sz w:val="18"/>
                <w:szCs w:val="18"/>
              </w:rPr>
              <w:t xml:space="preserve"> </w:t>
            </w:r>
            <w:proofErr w:type="spellStart"/>
            <w:r w:rsidRPr="001E4080">
              <w:rPr>
                <w:rFonts w:asciiTheme="minorHAnsi" w:hAnsiTheme="minorHAnsi" w:cstheme="minorBidi"/>
                <w:color w:val="000000"/>
                <w:sz w:val="18"/>
                <w:szCs w:val="18"/>
              </w:rPr>
              <w:t>soravtansine</w:t>
            </w:r>
            <w:proofErr w:type="spellEnd"/>
            <w:r w:rsidRPr="001E4080">
              <w:rPr>
                <w:rFonts w:asciiTheme="minorHAnsi" w:hAnsiTheme="minorHAnsi" w:cstheme="minorBidi"/>
                <w:color w:val="000000"/>
                <w:sz w:val="18"/>
                <w:szCs w:val="18"/>
              </w:rPr>
              <w:t xml:space="preserve"> (MIRV) for the treatment of patients with platinum-resistant high-grade epithelial ovarian, fallopian tube, or primary peritoneal cancer, who have received at least one prior systemic treatment regimen, and have FRα tumour cell expression. The PBAC was of a mind to recommend </w:t>
            </w:r>
            <w:proofErr w:type="gramStart"/>
            <w:r w:rsidRPr="001E4080">
              <w:rPr>
                <w:rFonts w:asciiTheme="minorHAnsi" w:hAnsiTheme="minorHAnsi" w:cstheme="minorBidi"/>
                <w:color w:val="000000"/>
                <w:sz w:val="18"/>
                <w:szCs w:val="18"/>
              </w:rPr>
              <w:t>MIRV, but</w:t>
            </w:r>
            <w:proofErr w:type="gramEnd"/>
            <w:r w:rsidRPr="001E4080">
              <w:rPr>
                <w:rFonts w:asciiTheme="minorHAnsi" w:hAnsiTheme="minorHAnsi" w:cstheme="minorBidi"/>
                <w:color w:val="000000"/>
                <w:sz w:val="18"/>
                <w:szCs w:val="18"/>
              </w:rPr>
              <w:t xml:space="preserve"> noted that MIRV was submitted as an integrated codependent application to the Medical Services Advisory Committee (MSAC), which would consider MBS listing of FRα expression testing at its August 2025 meeting. The PBAC also noted that the Therapeutic Goods Administration’s initial assessment is expected by September 2025. </w:t>
            </w:r>
          </w:p>
          <w:p w14:paraId="30387166" w14:textId="77777777" w:rsidR="001E4080" w:rsidRPr="001E4080" w:rsidRDefault="001E4080" w:rsidP="001E4080">
            <w:pPr>
              <w:jc w:val="both"/>
              <w:rPr>
                <w:rFonts w:asciiTheme="minorHAnsi" w:hAnsiTheme="minorHAnsi" w:cstheme="minorBidi"/>
                <w:color w:val="000000"/>
                <w:sz w:val="18"/>
                <w:szCs w:val="18"/>
              </w:rPr>
            </w:pPr>
          </w:p>
          <w:p w14:paraId="00631AEB" w14:textId="77777777" w:rsidR="001E4080" w:rsidRPr="001E4080" w:rsidRDefault="001E4080" w:rsidP="001E4080">
            <w:pPr>
              <w:jc w:val="both"/>
              <w:rPr>
                <w:rFonts w:asciiTheme="minorHAnsi" w:hAnsiTheme="minorHAnsi" w:cstheme="minorBidi"/>
                <w:color w:val="000000"/>
                <w:sz w:val="18"/>
                <w:szCs w:val="18"/>
              </w:rPr>
            </w:pPr>
            <w:r w:rsidRPr="001E4080">
              <w:rPr>
                <w:rFonts w:asciiTheme="minorHAnsi" w:hAnsiTheme="minorHAnsi" w:cstheme="minorBidi"/>
                <w:color w:val="000000"/>
                <w:sz w:val="18"/>
                <w:szCs w:val="18"/>
              </w:rPr>
              <w:t xml:space="preserve">The PBAC noted and welcomed input from individuals, health care professionals and organisations. The PBAC accepted that there is a clinical need for additional treatments for this population, acknowledging the severe symptoms and impact on patient quality of life. The PBAC also noted that currently available chemotherapy options have significant side effects and are only modestly effective. </w:t>
            </w:r>
          </w:p>
          <w:p w14:paraId="750C5A12" w14:textId="77777777" w:rsidR="001E4080" w:rsidRPr="001E4080" w:rsidRDefault="001E4080" w:rsidP="001E4080">
            <w:pPr>
              <w:jc w:val="both"/>
              <w:rPr>
                <w:rFonts w:asciiTheme="minorHAnsi" w:hAnsiTheme="minorHAnsi" w:cstheme="minorBidi"/>
                <w:color w:val="000000"/>
                <w:sz w:val="18"/>
                <w:szCs w:val="18"/>
              </w:rPr>
            </w:pPr>
          </w:p>
          <w:p w14:paraId="75E8674A" w14:textId="77777777" w:rsidR="001E4080" w:rsidRPr="001E4080" w:rsidRDefault="001E4080" w:rsidP="001E4080">
            <w:pPr>
              <w:jc w:val="both"/>
              <w:rPr>
                <w:rFonts w:asciiTheme="minorHAnsi" w:hAnsiTheme="minorHAnsi" w:cstheme="minorBidi"/>
                <w:color w:val="000000"/>
                <w:sz w:val="18"/>
                <w:szCs w:val="18"/>
              </w:rPr>
            </w:pPr>
            <w:r w:rsidRPr="001E4080">
              <w:rPr>
                <w:rFonts w:asciiTheme="minorHAnsi" w:hAnsiTheme="minorHAnsi" w:cstheme="minorBidi"/>
                <w:color w:val="000000"/>
                <w:sz w:val="18"/>
                <w:szCs w:val="18"/>
              </w:rPr>
              <w:t xml:space="preserve">The clinical evidence presented in the submission satisfied the PBAC  that MIRV provides modest improvements to progression free and overall survival in the small group of patients with high FRα tumour cell expression. The PBAC accepted that FRα expression was a necessary criterion for access noting patients without high FRα tumour cell expression may have potentially worse outcomes if treated with MIRV. </w:t>
            </w:r>
          </w:p>
          <w:p w14:paraId="6FCF68C2" w14:textId="77777777" w:rsidR="001E4080" w:rsidRPr="001E4080" w:rsidRDefault="001E4080" w:rsidP="001E4080">
            <w:pPr>
              <w:jc w:val="both"/>
              <w:rPr>
                <w:rFonts w:asciiTheme="minorHAnsi" w:hAnsiTheme="minorHAnsi" w:cstheme="minorBidi"/>
                <w:color w:val="000000"/>
                <w:sz w:val="18"/>
                <w:szCs w:val="18"/>
              </w:rPr>
            </w:pPr>
          </w:p>
          <w:p w14:paraId="02F2C375" w14:textId="77777777" w:rsidR="001E4080" w:rsidRPr="001E4080" w:rsidRDefault="001E4080" w:rsidP="001E4080">
            <w:pPr>
              <w:jc w:val="both"/>
              <w:rPr>
                <w:rFonts w:asciiTheme="minorHAnsi" w:hAnsiTheme="minorHAnsi" w:cstheme="minorBidi"/>
                <w:color w:val="000000"/>
                <w:sz w:val="18"/>
                <w:szCs w:val="18"/>
              </w:rPr>
            </w:pPr>
            <w:r w:rsidRPr="001E4080">
              <w:rPr>
                <w:rFonts w:asciiTheme="minorHAnsi" w:hAnsiTheme="minorHAnsi" w:cstheme="minorBidi"/>
                <w:color w:val="000000"/>
                <w:sz w:val="18"/>
                <w:szCs w:val="18"/>
              </w:rPr>
              <w:t>The cost of MIRV at the requested price was not commensurate with the modest potential benefits. The PBAC considered the benefits estimated in support of the proposed price were uncertain and overestimated. The PBAC considered that MIRV would be cost-effective with a substantial price reduction, to reflect the moderate benefit, and significant uncertainty about the extent of benefits that will be realised.</w:t>
            </w:r>
          </w:p>
          <w:p w14:paraId="3640FF0D" w14:textId="77777777" w:rsidR="001E4080" w:rsidRPr="001E4080" w:rsidRDefault="001E4080" w:rsidP="001E4080">
            <w:pPr>
              <w:jc w:val="both"/>
              <w:rPr>
                <w:rFonts w:asciiTheme="minorHAnsi" w:hAnsiTheme="minorHAnsi" w:cstheme="minorBidi"/>
                <w:color w:val="000000"/>
                <w:sz w:val="18"/>
                <w:szCs w:val="18"/>
              </w:rPr>
            </w:pPr>
          </w:p>
          <w:p w14:paraId="76855B41" w14:textId="77777777" w:rsidR="001E4080" w:rsidRPr="001E4080" w:rsidRDefault="001E4080" w:rsidP="001E4080">
            <w:pPr>
              <w:jc w:val="both"/>
              <w:rPr>
                <w:rFonts w:asciiTheme="minorHAnsi" w:hAnsiTheme="minorHAnsi" w:cstheme="minorBidi"/>
                <w:color w:val="000000"/>
                <w:sz w:val="18"/>
                <w:szCs w:val="18"/>
              </w:rPr>
            </w:pPr>
            <w:r w:rsidRPr="001E4080">
              <w:rPr>
                <w:rFonts w:asciiTheme="minorHAnsi" w:hAnsiTheme="minorHAnsi" w:cstheme="minorBidi"/>
                <w:color w:val="000000"/>
                <w:sz w:val="18"/>
                <w:szCs w:val="18"/>
              </w:rPr>
              <w:t xml:space="preserve">Sponsor comment: </w:t>
            </w:r>
          </w:p>
          <w:p w14:paraId="750AD308" w14:textId="77777777" w:rsidR="001E4080" w:rsidRPr="001E4080" w:rsidRDefault="001E4080" w:rsidP="001E4080">
            <w:pPr>
              <w:jc w:val="both"/>
              <w:rPr>
                <w:rFonts w:asciiTheme="minorHAnsi" w:hAnsiTheme="minorHAnsi" w:cstheme="minorBidi"/>
                <w:color w:val="000000"/>
                <w:sz w:val="18"/>
                <w:szCs w:val="18"/>
              </w:rPr>
            </w:pPr>
            <w:r w:rsidRPr="001E4080">
              <w:rPr>
                <w:rFonts w:asciiTheme="minorHAnsi" w:hAnsiTheme="minorHAnsi" w:cstheme="minorBidi"/>
                <w:color w:val="000000"/>
                <w:sz w:val="18"/>
                <w:szCs w:val="18"/>
              </w:rPr>
              <w:t xml:space="preserve">AbbVie thanks the PBAC for recognising the unmet need for Australian women with platinum-resistant ovarian cancer and for acknowledging the strong community support for this submission. Our intention is to work with the PBAC and Department towards a mutually acceptable path to listing </w:t>
            </w:r>
            <w:proofErr w:type="spellStart"/>
            <w:r w:rsidRPr="001E4080">
              <w:rPr>
                <w:rFonts w:asciiTheme="minorHAnsi" w:hAnsiTheme="minorHAnsi" w:cstheme="minorBidi"/>
                <w:color w:val="000000"/>
                <w:sz w:val="18"/>
                <w:szCs w:val="18"/>
              </w:rPr>
              <w:t>mirvetuximab</w:t>
            </w:r>
            <w:proofErr w:type="spellEnd"/>
            <w:r w:rsidRPr="001E4080">
              <w:rPr>
                <w:rFonts w:asciiTheme="minorHAnsi" w:hAnsiTheme="minorHAnsi" w:cstheme="minorBidi"/>
                <w:color w:val="000000"/>
                <w:sz w:val="18"/>
                <w:szCs w:val="18"/>
              </w:rPr>
              <w:t xml:space="preserve"> </w:t>
            </w:r>
            <w:proofErr w:type="spellStart"/>
            <w:r w:rsidRPr="001E4080">
              <w:rPr>
                <w:rFonts w:asciiTheme="minorHAnsi" w:hAnsiTheme="minorHAnsi" w:cstheme="minorBidi"/>
                <w:color w:val="000000"/>
                <w:sz w:val="18"/>
                <w:szCs w:val="18"/>
              </w:rPr>
              <w:t>soravtansine</w:t>
            </w:r>
            <w:proofErr w:type="spellEnd"/>
            <w:r w:rsidRPr="001E4080">
              <w:rPr>
                <w:rFonts w:asciiTheme="minorHAnsi" w:hAnsiTheme="minorHAnsi" w:cstheme="minorBidi"/>
                <w:color w:val="000000"/>
                <w:sz w:val="18"/>
                <w:szCs w:val="18"/>
              </w:rPr>
              <w:t>, enabling equitable access for Australian patients as quickly as possible.</w:t>
            </w:r>
          </w:p>
          <w:p w14:paraId="5E21D284" w14:textId="46E2789A" w:rsidR="003411B8" w:rsidRPr="009E3EC5" w:rsidDel="008F66B5" w:rsidRDefault="003411B8" w:rsidP="00DC3166">
            <w:pPr>
              <w:jc w:val="both"/>
              <w:rPr>
                <w:rFonts w:asciiTheme="minorHAnsi" w:hAnsiTheme="minorHAnsi" w:cstheme="minorBidi"/>
                <w:color w:val="000000"/>
                <w:sz w:val="18"/>
                <w:szCs w:val="18"/>
              </w:rPr>
            </w:pPr>
          </w:p>
        </w:tc>
      </w:tr>
      <w:tr w:rsidR="003411B8" w:rsidRPr="008059F4" w:rsidDel="008F66B5" w14:paraId="7F777846" w14:textId="77777777" w:rsidTr="005E557C">
        <w:trPr>
          <w:cantSplit/>
          <w:trHeight w:val="22"/>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27BB7BE" w14:textId="373914CD" w:rsidR="00EC00A2" w:rsidRPr="006A5A05" w:rsidRDefault="003411B8" w:rsidP="00DC3166">
            <w:pPr>
              <w:jc w:val="center"/>
              <w:rPr>
                <w:rFonts w:asciiTheme="minorHAnsi" w:eastAsia="Calibri" w:hAnsiTheme="minorHAnsi" w:cstheme="minorHAnsi"/>
                <w:color w:val="000000" w:themeColor="text1"/>
                <w:sz w:val="18"/>
                <w:szCs w:val="18"/>
              </w:rPr>
            </w:pPr>
            <w:r w:rsidRPr="00F657EC">
              <w:rPr>
                <w:rFonts w:asciiTheme="minorHAnsi" w:hAnsiTheme="minorHAnsi" w:cstheme="minorHAnsi"/>
                <w:color w:val="000000"/>
                <w:sz w:val="18"/>
                <w:szCs w:val="18"/>
              </w:rPr>
              <w:t>NEMOLIZUMAB</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 xml:space="preserve">Powder for injection containing </w:t>
            </w:r>
            <w:proofErr w:type="spellStart"/>
            <w:r w:rsidRPr="006A5A05">
              <w:rPr>
                <w:rFonts w:asciiTheme="minorHAnsi" w:hAnsiTheme="minorHAnsi" w:cstheme="minorHAnsi"/>
                <w:color w:val="000000"/>
                <w:sz w:val="18"/>
                <w:szCs w:val="18"/>
              </w:rPr>
              <w:t>nemolizumab</w:t>
            </w:r>
            <w:proofErr w:type="spellEnd"/>
            <w:r w:rsidRPr="006A5A05">
              <w:rPr>
                <w:rFonts w:asciiTheme="minorHAnsi" w:hAnsiTheme="minorHAnsi" w:cstheme="minorHAnsi"/>
                <w:color w:val="000000"/>
                <w:sz w:val="18"/>
                <w:szCs w:val="18"/>
              </w:rPr>
              <w:t xml:space="preserve"> 30 mg with diluent in pre-filled dual-chamber pen</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r>
            <w:proofErr w:type="spellStart"/>
            <w:r w:rsidRPr="006A5A05">
              <w:rPr>
                <w:rFonts w:asciiTheme="minorHAnsi" w:hAnsiTheme="minorHAnsi" w:cstheme="minorHAnsi"/>
                <w:color w:val="000000"/>
                <w:sz w:val="18"/>
                <w:szCs w:val="18"/>
              </w:rPr>
              <w:t>Nemluvio</w:t>
            </w:r>
            <w:proofErr w:type="spellEnd"/>
            <w:r w:rsidRPr="006A5A05">
              <w:rPr>
                <w:rFonts w:asciiTheme="minorHAnsi" w:hAnsiTheme="minorHAnsi" w:cstheme="minorHAnsi"/>
                <w:color w:val="000000"/>
                <w:sz w:val="18"/>
                <w:szCs w:val="18"/>
                <w:vertAlign w:val="superscript"/>
              </w:rPr>
              <w:t>®</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GALDERMA AUSTRALIA PTY LTD</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r>
            <w:r w:rsidR="00EC00A2" w:rsidRPr="006A5A05">
              <w:rPr>
                <w:rFonts w:asciiTheme="minorHAnsi" w:eastAsia="Calibri" w:hAnsiTheme="minorHAnsi" w:cstheme="minorHAnsi"/>
                <w:color w:val="000000" w:themeColor="text1"/>
                <w:sz w:val="18"/>
                <w:szCs w:val="18"/>
              </w:rPr>
              <w:t xml:space="preserve">Category </w:t>
            </w:r>
            <w:r w:rsidR="00D176C8">
              <w:rPr>
                <w:rFonts w:asciiTheme="minorHAnsi" w:eastAsia="Calibri" w:hAnsiTheme="minorHAnsi" w:cstheme="minorHAnsi"/>
                <w:color w:val="000000" w:themeColor="text1"/>
                <w:sz w:val="18"/>
                <w:szCs w:val="18"/>
              </w:rPr>
              <w:t>2</w:t>
            </w:r>
          </w:p>
          <w:p w14:paraId="71ECAF68" w14:textId="3907132F" w:rsidR="003411B8" w:rsidRPr="006A5A05" w:rsidRDefault="003411B8" w:rsidP="00DC3166">
            <w:pPr>
              <w:jc w:val="center"/>
              <w:rPr>
                <w:rFonts w:asciiTheme="minorHAnsi" w:eastAsia="Calibri" w:hAnsiTheme="minorHAnsi" w:cstheme="minorHAnsi"/>
                <w:color w:val="000000" w:themeColor="text1"/>
                <w:sz w:val="18"/>
                <w:szCs w:val="18"/>
              </w:rPr>
            </w:pPr>
            <w:r w:rsidRPr="006A5A05">
              <w:rPr>
                <w:rFonts w:asciiTheme="minorHAnsi" w:hAnsiTheme="minorHAnsi" w:cstheme="minorHAnsi"/>
                <w:color w:val="000000"/>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vAlign w:val="center"/>
          </w:tcPr>
          <w:p w14:paraId="20121235" w14:textId="0FBA8671" w:rsidR="003411B8" w:rsidRPr="006A5A05" w:rsidRDefault="003411B8" w:rsidP="00DC3166">
            <w:pPr>
              <w:jc w:val="center"/>
              <w:rPr>
                <w:rFonts w:asciiTheme="minorHAnsi" w:eastAsia="Calibri" w:hAnsiTheme="minorHAnsi" w:cstheme="minorHAnsi"/>
                <w:color w:val="000000" w:themeColor="text1"/>
                <w:sz w:val="18"/>
                <w:szCs w:val="18"/>
              </w:rPr>
            </w:pPr>
            <w:r w:rsidRPr="006A5A05">
              <w:rPr>
                <w:rFonts w:asciiTheme="minorHAnsi" w:hAnsiTheme="minorHAnsi" w:cstheme="minorHAnsi"/>
                <w:color w:val="000000"/>
                <w:sz w:val="18"/>
                <w:szCs w:val="18"/>
              </w:rPr>
              <w:t>Atopic dermatitis</w:t>
            </w:r>
          </w:p>
        </w:tc>
        <w:tc>
          <w:tcPr>
            <w:tcW w:w="29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051449B" w14:textId="02C9B893" w:rsidR="003411B8" w:rsidRPr="006A5A05" w:rsidRDefault="003411B8" w:rsidP="00DC3166">
            <w:pPr>
              <w:jc w:val="center"/>
              <w:rPr>
                <w:rFonts w:asciiTheme="minorHAnsi" w:eastAsia="Calibri" w:hAnsiTheme="minorHAnsi" w:cstheme="minorHAnsi"/>
                <w:color w:val="000000" w:themeColor="text1"/>
                <w:sz w:val="18"/>
                <w:szCs w:val="18"/>
              </w:rPr>
            </w:pPr>
            <w:r w:rsidRPr="006A5A05">
              <w:rPr>
                <w:rFonts w:asciiTheme="minorHAnsi" w:hAnsiTheme="minorHAnsi" w:cstheme="minorHAnsi"/>
                <w:color w:val="000000"/>
                <w:sz w:val="18"/>
                <w:szCs w:val="18"/>
              </w:rPr>
              <w:t>To request a General Schedule Authority Required (Telephone/Online) listing for the treatment of patients with severe atopic dermatitis affecting the whole body, face, and/or hands.</w:t>
            </w:r>
          </w:p>
        </w:tc>
        <w:tc>
          <w:tcPr>
            <w:tcW w:w="1584" w:type="dxa"/>
            <w:shd w:val="clear" w:color="auto" w:fill="FFFFFF" w:themeFill="background1"/>
            <w:vAlign w:val="center"/>
          </w:tcPr>
          <w:p w14:paraId="78C1E7D7" w14:textId="4E467136" w:rsidR="003411B8" w:rsidRPr="006A5A05" w:rsidRDefault="00795DB3" w:rsidP="00DC3166">
            <w:pPr>
              <w:pStyle w:val="ListParagraph"/>
              <w:keepLines/>
              <w:ind w:left="0"/>
              <w:jc w:val="center"/>
              <w:rPr>
                <w:rFonts w:asciiTheme="minorHAnsi" w:hAnsiTheme="minorHAnsi" w:cstheme="minorHAnsi"/>
                <w:color w:val="000000"/>
                <w:sz w:val="18"/>
                <w:szCs w:val="18"/>
              </w:rPr>
            </w:pPr>
            <w:r w:rsidRPr="00795DB3">
              <w:rPr>
                <w:rFonts w:asciiTheme="minorHAnsi" w:hAnsiTheme="minorHAnsi" w:cstheme="minorHAnsi"/>
                <w:color w:val="000000"/>
                <w:sz w:val="18"/>
                <w:szCs w:val="18"/>
              </w:rPr>
              <w:t>Not recommended</w:t>
            </w:r>
          </w:p>
        </w:tc>
        <w:tc>
          <w:tcPr>
            <w:tcW w:w="4836" w:type="dxa"/>
            <w:vAlign w:val="center"/>
          </w:tcPr>
          <w:p w14:paraId="235F3A03" w14:textId="22A64C24" w:rsidR="003411B8" w:rsidRDefault="50EA28BA" w:rsidP="00DC3166">
            <w:pPr>
              <w:jc w:val="both"/>
              <w:rPr>
                <w:rFonts w:ascii="Calibri" w:hAnsi="Calibri" w:cs="Arial"/>
                <w:sz w:val="18"/>
                <w:szCs w:val="18"/>
                <w:lang w:val="en-GB"/>
              </w:rPr>
            </w:pPr>
            <w:r w:rsidRPr="6E371D26">
              <w:rPr>
                <w:rFonts w:ascii="Calibri" w:hAnsi="Calibri" w:cs="Arial"/>
                <w:sz w:val="18"/>
                <w:szCs w:val="18"/>
                <w:lang w:val="en-GB"/>
              </w:rPr>
              <w:t xml:space="preserve">The PBAC did not recommend the listing of nemolizumab (NEMO) for the treatment of patients with severe atopic dermatitis (AD) affecting the whole body, face, and/or hands. </w:t>
            </w:r>
            <w:r w:rsidRPr="6E371D26">
              <w:rPr>
                <w:rFonts w:ascii="Calibri" w:hAnsi="Calibri" w:cs="Arial"/>
                <w:sz w:val="18"/>
                <w:szCs w:val="18"/>
              </w:rPr>
              <w:t xml:space="preserve">The PBAC welcomed input from organisations and a health care professional.  The PBAC noted that while patients have significantly benefited from current treatments for AD, the condition affects patients in different ways. The PBAC acknowledged there is still a need to have alternative treatments with different mechanisms of action on the PBS so patients can choose the treatment option best for their individual circumstances. </w:t>
            </w:r>
            <w:r w:rsidRPr="6E371D26">
              <w:rPr>
                <w:rFonts w:ascii="Calibri" w:hAnsi="Calibri" w:cs="Arial"/>
                <w:sz w:val="18"/>
                <w:szCs w:val="18"/>
                <w:lang w:val="en-GB"/>
              </w:rPr>
              <w:t>The PBAC considered the submission’s claim that NEMO is similarly effective to dupilumab (DUPI) was not adequately supported by the clinical data comparing NEMO and DUPI at 16 weeks as the data indicated NEMO is not as effective as DUPI. The Committee noted the additional clinical data on improved patient outcomes with an extended induction treatment period out to 24 weeks presented in the Pre-Sub-Committee Response. However, this dosing regimen was not included in the approved Therapeutic Goods Administration (TGA) Product Information. The PBAC considered this dosing regimen would need to be approved by the TGA for any consideration of this as a PBS listing.</w:t>
            </w:r>
          </w:p>
          <w:p w14:paraId="2D5E25E2" w14:textId="77777777" w:rsidR="001769A5" w:rsidRDefault="001769A5" w:rsidP="00DC3166">
            <w:pPr>
              <w:jc w:val="both"/>
              <w:rPr>
                <w:rFonts w:asciiTheme="minorHAnsi" w:hAnsiTheme="minorHAnsi" w:cstheme="minorBidi"/>
                <w:color w:val="000000" w:themeColor="text1"/>
                <w:sz w:val="18"/>
                <w:szCs w:val="18"/>
              </w:rPr>
            </w:pPr>
          </w:p>
          <w:p w14:paraId="1939E052" w14:textId="77777777" w:rsidR="00013F34" w:rsidRDefault="001769A5" w:rsidP="00DC3166">
            <w:pPr>
              <w:jc w:val="both"/>
              <w:rPr>
                <w:rFonts w:asciiTheme="minorHAnsi" w:hAnsiTheme="minorHAnsi" w:cstheme="minorBidi"/>
                <w:color w:val="000000" w:themeColor="text1"/>
                <w:sz w:val="18"/>
                <w:szCs w:val="18"/>
              </w:rPr>
            </w:pPr>
            <w:r w:rsidRPr="00013F34">
              <w:rPr>
                <w:rFonts w:asciiTheme="minorHAnsi" w:hAnsiTheme="minorHAnsi" w:cstheme="minorBidi"/>
                <w:color w:val="000000" w:themeColor="text1"/>
                <w:sz w:val="18"/>
                <w:szCs w:val="18"/>
                <w:u w:val="single"/>
              </w:rPr>
              <w:t>Sponsor’s Comment:</w:t>
            </w:r>
            <w:r w:rsidR="005528B0">
              <w:rPr>
                <w:rFonts w:asciiTheme="minorHAnsi" w:hAnsiTheme="minorHAnsi" w:cstheme="minorBidi"/>
                <w:color w:val="000000" w:themeColor="text1"/>
                <w:sz w:val="18"/>
                <w:szCs w:val="18"/>
              </w:rPr>
              <w:t xml:space="preserve"> </w:t>
            </w:r>
          </w:p>
          <w:p w14:paraId="41E814EC" w14:textId="19B0AE75" w:rsidR="001769A5" w:rsidRPr="38298770" w:rsidRDefault="003E1A29" w:rsidP="00DC3166">
            <w:pPr>
              <w:jc w:val="both"/>
              <w:rPr>
                <w:rFonts w:asciiTheme="minorHAnsi" w:hAnsiTheme="minorHAnsi" w:cstheme="minorBidi"/>
                <w:color w:val="000000" w:themeColor="text1"/>
                <w:sz w:val="18"/>
                <w:szCs w:val="18"/>
              </w:rPr>
            </w:pPr>
            <w:r w:rsidRPr="003E1A29">
              <w:rPr>
                <w:rFonts w:asciiTheme="minorHAnsi" w:hAnsiTheme="minorHAnsi" w:cstheme="minorBidi"/>
                <w:color w:val="000000" w:themeColor="text1"/>
                <w:sz w:val="18"/>
                <w:szCs w:val="18"/>
              </w:rPr>
              <w:t>Galderma remains committed to working with the PBAC, clinicians and patient groups to make nemolizumab available for Australian patients with severe atopic dermatitis.</w:t>
            </w:r>
          </w:p>
        </w:tc>
      </w:tr>
      <w:tr w:rsidR="003411B8" w:rsidRPr="008059F4" w:rsidDel="008F66B5" w14:paraId="489FAC6F" w14:textId="2A32FC67" w:rsidTr="09589B60">
        <w:trPr>
          <w:cantSplit/>
          <w:trHeight w:val="2948"/>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3C04004" w14:textId="34CC6FA5" w:rsidR="00EC00A2" w:rsidRPr="006A5A05" w:rsidRDefault="003411B8" w:rsidP="00DC3166">
            <w:pPr>
              <w:jc w:val="center"/>
              <w:rPr>
                <w:rFonts w:asciiTheme="minorHAnsi" w:eastAsia="Calibri" w:hAnsiTheme="minorHAnsi" w:cstheme="minorHAnsi"/>
                <w:color w:val="000000" w:themeColor="text1"/>
                <w:sz w:val="18"/>
                <w:szCs w:val="18"/>
              </w:rPr>
            </w:pPr>
            <w:r w:rsidRPr="00F657EC">
              <w:rPr>
                <w:rFonts w:asciiTheme="minorHAnsi" w:hAnsiTheme="minorHAnsi" w:cstheme="minorHAnsi"/>
                <w:color w:val="000000"/>
                <w:sz w:val="18"/>
                <w:szCs w:val="18"/>
              </w:rPr>
              <w:t>NIVOLUMAB</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 xml:space="preserve">Injection concentrate for I.V. infusion 40 mg in 4 mL </w:t>
            </w:r>
            <w:r w:rsidRPr="006A5A05">
              <w:rPr>
                <w:rFonts w:asciiTheme="minorHAnsi" w:hAnsiTheme="minorHAnsi" w:cstheme="minorHAnsi"/>
                <w:color w:val="000000"/>
                <w:sz w:val="18"/>
                <w:szCs w:val="18"/>
              </w:rPr>
              <w:br/>
              <w:t xml:space="preserve">Injection concentrate for I.V. infusion 100 mg in 10 mL </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Opdivo</w:t>
            </w:r>
            <w:r w:rsidRPr="006A5A05">
              <w:rPr>
                <w:rFonts w:asciiTheme="minorHAnsi" w:hAnsiTheme="minorHAnsi" w:cstheme="minorHAnsi"/>
                <w:color w:val="000000"/>
                <w:sz w:val="18"/>
                <w:szCs w:val="18"/>
                <w:vertAlign w:val="superscript"/>
              </w:rPr>
              <w:t>®</w:t>
            </w:r>
            <w:r w:rsidRPr="006A5A05">
              <w:rPr>
                <w:rFonts w:asciiTheme="minorHAnsi" w:hAnsiTheme="minorHAnsi" w:cstheme="minorHAnsi"/>
                <w:color w:val="000000"/>
                <w:sz w:val="18"/>
                <w:szCs w:val="18"/>
                <w:vertAlign w:val="superscript"/>
              </w:rPr>
              <w:br/>
            </w:r>
            <w:r w:rsidRPr="006A5A05">
              <w:rPr>
                <w:rFonts w:asciiTheme="minorHAnsi" w:hAnsiTheme="minorHAnsi" w:cstheme="minorHAnsi"/>
                <w:color w:val="000000"/>
                <w:sz w:val="18"/>
                <w:szCs w:val="18"/>
              </w:rPr>
              <w:br/>
              <w:t>IPILIMUMAB</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Injection concentrate for I.V. infusion 50 mg in 10 mL</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Yervoy</w:t>
            </w:r>
            <w:r w:rsidRPr="006A5A05">
              <w:rPr>
                <w:rFonts w:asciiTheme="minorHAnsi" w:hAnsiTheme="minorHAnsi" w:cstheme="minorHAnsi"/>
                <w:color w:val="000000"/>
                <w:sz w:val="18"/>
                <w:szCs w:val="18"/>
                <w:vertAlign w:val="superscript"/>
              </w:rPr>
              <w:t>®</w:t>
            </w:r>
            <w:r w:rsidRPr="006A5A05">
              <w:rPr>
                <w:rFonts w:asciiTheme="minorHAnsi" w:hAnsiTheme="minorHAnsi" w:cstheme="minorHAnsi"/>
                <w:color w:val="000000"/>
                <w:sz w:val="18"/>
                <w:szCs w:val="18"/>
                <w:vertAlign w:val="superscript"/>
              </w:rPr>
              <w:br/>
            </w:r>
            <w:r w:rsidRPr="006A5A05">
              <w:rPr>
                <w:rFonts w:asciiTheme="minorHAnsi" w:hAnsiTheme="minorHAnsi" w:cstheme="minorHAnsi"/>
                <w:color w:val="000000"/>
                <w:sz w:val="18"/>
                <w:szCs w:val="18"/>
              </w:rPr>
              <w:br/>
              <w:t>BRISTOL-MYERS SQUIBB AUSTRALIA PTY LTD</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r>
            <w:r w:rsidR="00EC00A2" w:rsidRPr="006A5A05">
              <w:rPr>
                <w:rFonts w:asciiTheme="minorHAnsi" w:eastAsia="Calibri" w:hAnsiTheme="minorHAnsi" w:cstheme="minorHAnsi"/>
                <w:color w:val="000000" w:themeColor="text1"/>
                <w:sz w:val="18"/>
                <w:szCs w:val="18"/>
              </w:rPr>
              <w:t xml:space="preserve">Category </w:t>
            </w:r>
            <w:r w:rsidR="004D14C8">
              <w:rPr>
                <w:rFonts w:asciiTheme="minorHAnsi" w:eastAsia="Calibri" w:hAnsiTheme="minorHAnsi" w:cstheme="minorHAnsi"/>
                <w:color w:val="000000" w:themeColor="text1"/>
                <w:sz w:val="18"/>
                <w:szCs w:val="18"/>
              </w:rPr>
              <w:t>2</w:t>
            </w:r>
          </w:p>
          <w:p w14:paraId="78B9C198" w14:textId="4164C2F4" w:rsidR="003411B8" w:rsidRPr="006A5A05" w:rsidRDefault="003411B8"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(Change to existing listing)</w:t>
            </w:r>
          </w:p>
        </w:tc>
        <w:tc>
          <w:tcPr>
            <w:tcW w:w="2767" w:type="dxa"/>
            <w:tcBorders>
              <w:top w:val="single" w:sz="4" w:space="0" w:color="auto"/>
              <w:left w:val="single" w:sz="4" w:space="0" w:color="auto"/>
              <w:bottom w:val="single" w:sz="4" w:space="0" w:color="auto"/>
              <w:right w:val="single" w:sz="4" w:space="0" w:color="auto"/>
            </w:tcBorders>
            <w:vAlign w:val="center"/>
          </w:tcPr>
          <w:p w14:paraId="1A52EF10" w14:textId="06F91E3C" w:rsidR="003411B8" w:rsidRPr="006A5A05" w:rsidRDefault="003411B8"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Advanced (unresectable) Barcelona Clinic Liver Cancer Stage A, Stage B or Stage C hepatocellular carcinoma (HCC)</w:t>
            </w:r>
          </w:p>
        </w:tc>
        <w:tc>
          <w:tcPr>
            <w:tcW w:w="29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BC36C3B" w14:textId="1E09891D" w:rsidR="003411B8" w:rsidRPr="006A5A05" w:rsidRDefault="003411B8"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To request a Section 100 (Efficient Funding of Chemotherapy Program) Authority Required (STREAMLINED) listing for the first line treatment of advanced (unresectable) HCC.</w:t>
            </w:r>
          </w:p>
        </w:tc>
        <w:tc>
          <w:tcPr>
            <w:tcW w:w="1584" w:type="dxa"/>
            <w:vAlign w:val="center"/>
          </w:tcPr>
          <w:p w14:paraId="7475BFF7" w14:textId="0FB423C5" w:rsidR="003411B8" w:rsidRPr="006A5A05" w:rsidDel="008F66B5" w:rsidRDefault="00773C4C" w:rsidP="00DC3166">
            <w:pPr>
              <w:pStyle w:val="ListParagraph"/>
              <w:keepLines/>
              <w:ind w:left="0"/>
              <w:jc w:val="center"/>
              <w:rPr>
                <w:rFonts w:asciiTheme="minorHAnsi" w:hAnsiTheme="minorHAnsi" w:cstheme="minorHAnsi"/>
                <w:color w:val="000000"/>
                <w:sz w:val="18"/>
                <w:szCs w:val="18"/>
              </w:rPr>
            </w:pPr>
            <w:r w:rsidRPr="00773C4C">
              <w:rPr>
                <w:rFonts w:asciiTheme="minorHAnsi" w:hAnsiTheme="minorHAnsi" w:cstheme="minorHAnsi"/>
                <w:color w:val="000000"/>
                <w:sz w:val="18"/>
                <w:szCs w:val="18"/>
              </w:rPr>
              <w:t>Not recommended</w:t>
            </w:r>
          </w:p>
        </w:tc>
        <w:tc>
          <w:tcPr>
            <w:tcW w:w="4836" w:type="dxa"/>
          </w:tcPr>
          <w:p w14:paraId="17ED89BA" w14:textId="530341D5" w:rsidR="003411B8" w:rsidRDefault="5164080E" w:rsidP="00DC3166">
            <w:pPr>
              <w:spacing w:after="240"/>
              <w:jc w:val="both"/>
              <w:rPr>
                <w:rFonts w:ascii="Calibri" w:eastAsia="Calibri" w:hAnsi="Calibri" w:cs="Calibri"/>
                <w:sz w:val="18"/>
                <w:szCs w:val="18"/>
                <w:lang w:val="en-GB"/>
              </w:rPr>
            </w:pPr>
            <w:r w:rsidRPr="6E371D26">
              <w:rPr>
                <w:rFonts w:ascii="Calibri" w:eastAsia="Calibri" w:hAnsi="Calibri" w:cs="Calibri"/>
                <w:sz w:val="18"/>
                <w:szCs w:val="18"/>
                <w:lang w:val="en-GB"/>
              </w:rPr>
              <w:t>The PBAC did not recommend the listing of nivolumab in combination with ipilimumab (NIVO+IPI) for the first-line treatment of patients with advanced (unresectable) Barcelona Clinic Liver Cancer (BCLC) Stage A, Stage B or Stage C HCC.</w:t>
            </w:r>
          </w:p>
          <w:p w14:paraId="7EAF1E55" w14:textId="244AA3B3" w:rsidR="003411B8" w:rsidRDefault="5164080E" w:rsidP="00DC3166">
            <w:pPr>
              <w:spacing w:before="240" w:after="240"/>
              <w:jc w:val="both"/>
              <w:rPr>
                <w:rFonts w:ascii="Calibri" w:eastAsia="Calibri" w:hAnsi="Calibri" w:cs="Calibri"/>
                <w:sz w:val="18"/>
                <w:szCs w:val="18"/>
                <w:lang w:val="en-GB"/>
              </w:rPr>
            </w:pPr>
            <w:r w:rsidRPr="6E371D26">
              <w:rPr>
                <w:rFonts w:ascii="Calibri" w:eastAsia="Calibri" w:hAnsi="Calibri" w:cs="Calibri"/>
                <w:sz w:val="18"/>
                <w:szCs w:val="18"/>
                <w:lang w:val="en-GB"/>
              </w:rPr>
              <w:t>The PBAC welcomed input from organisations which supported listing NIVO+IPI on the PBS for HCC. The PBAC acknowledged the impact of HCC on those with this condition and their families. However, the PBAC considered there was a low clinical need for NIVO+IPI as first-line treatment for HCC given it is not recommended as a preferred regimen for HCC in current treatment guidelines and there are alternatives on the PBS (atezolizumab plus bevacizumab</w:t>
            </w:r>
            <w:r w:rsidR="00B3216B">
              <w:rPr>
                <w:rFonts w:ascii="Calibri" w:eastAsia="Calibri" w:hAnsi="Calibri" w:cs="Calibri"/>
                <w:sz w:val="18"/>
                <w:szCs w:val="18"/>
                <w:lang w:val="en-GB"/>
              </w:rPr>
              <w:t xml:space="preserve">, </w:t>
            </w:r>
            <w:r w:rsidRPr="6E371D26">
              <w:rPr>
                <w:rFonts w:ascii="Calibri" w:eastAsia="Calibri" w:hAnsi="Calibri" w:cs="Calibri"/>
                <w:sz w:val="18"/>
                <w:szCs w:val="18"/>
                <w:lang w:val="en-GB"/>
              </w:rPr>
              <w:t>ATEZ+BEV) or recommended to be listed on the PBS (</w:t>
            </w:r>
            <w:r w:rsidRPr="6E371D26">
              <w:rPr>
                <w:rFonts w:ascii="Calibri" w:eastAsia="Calibri" w:hAnsi="Calibri" w:cs="Calibri"/>
                <w:sz w:val="18"/>
                <w:szCs w:val="18"/>
              </w:rPr>
              <w:t>Single Tremelimumab Regular Interval Durvalumab</w:t>
            </w:r>
            <w:r w:rsidR="00B3216B">
              <w:rPr>
                <w:rFonts w:ascii="Calibri" w:eastAsia="Calibri" w:hAnsi="Calibri" w:cs="Calibri"/>
                <w:sz w:val="18"/>
                <w:szCs w:val="18"/>
              </w:rPr>
              <w:t xml:space="preserve">, </w:t>
            </w:r>
            <w:r w:rsidRPr="6E371D26">
              <w:rPr>
                <w:rFonts w:ascii="Calibri" w:eastAsia="Calibri" w:hAnsi="Calibri" w:cs="Calibri"/>
                <w:sz w:val="18"/>
                <w:szCs w:val="18"/>
              </w:rPr>
              <w:t>STRIDE</w:t>
            </w:r>
            <w:r w:rsidRPr="6E371D26">
              <w:rPr>
                <w:rFonts w:ascii="Calibri" w:eastAsia="Calibri" w:hAnsi="Calibri" w:cs="Calibri"/>
                <w:sz w:val="18"/>
                <w:szCs w:val="18"/>
                <w:lang w:val="en-GB"/>
              </w:rPr>
              <w:t xml:space="preserve">). </w:t>
            </w:r>
          </w:p>
          <w:p w14:paraId="2B53FF60" w14:textId="69F83F17" w:rsidR="001769A5" w:rsidRDefault="5164080E" w:rsidP="00DC3166">
            <w:pPr>
              <w:jc w:val="both"/>
              <w:rPr>
                <w:rFonts w:ascii="Calibri" w:eastAsia="Calibri" w:hAnsi="Calibri" w:cs="Calibri"/>
                <w:sz w:val="18"/>
                <w:szCs w:val="18"/>
              </w:rPr>
            </w:pPr>
            <w:r w:rsidRPr="6E371D26">
              <w:rPr>
                <w:rFonts w:ascii="Calibri" w:eastAsia="Calibri" w:hAnsi="Calibri" w:cs="Calibri"/>
                <w:sz w:val="18"/>
                <w:szCs w:val="18"/>
                <w:lang w:val="en-GB"/>
              </w:rPr>
              <w:t xml:space="preserve">The clinical evidence included in the submission did not satisfy the PBAC that NIVO+IPI was as effective as the main alternative treatment, ATEZO+BEV, at improving overall survival. The claim that NIVO+IPI was </w:t>
            </w:r>
            <w:r w:rsidR="00B3216B">
              <w:rPr>
                <w:rFonts w:ascii="Calibri" w:eastAsia="Calibri" w:hAnsi="Calibri" w:cs="Calibri"/>
                <w:sz w:val="18"/>
                <w:szCs w:val="18"/>
                <w:lang w:val="en-GB"/>
              </w:rPr>
              <w:t>as effective as</w:t>
            </w:r>
            <w:r w:rsidRPr="6E371D26">
              <w:rPr>
                <w:rFonts w:ascii="Calibri" w:eastAsia="Calibri" w:hAnsi="Calibri" w:cs="Calibri"/>
                <w:sz w:val="18"/>
                <w:szCs w:val="18"/>
                <w:lang w:val="en-GB"/>
              </w:rPr>
              <w:t xml:space="preserve"> ATEZO+BEV was based on clinical studies </w:t>
            </w:r>
            <w:r w:rsidR="00C10D4E">
              <w:rPr>
                <w:rFonts w:ascii="Calibri" w:eastAsia="Calibri" w:hAnsi="Calibri" w:cs="Calibri"/>
                <w:sz w:val="18"/>
                <w:szCs w:val="18"/>
                <w:lang w:val="en-GB"/>
              </w:rPr>
              <w:t xml:space="preserve">where both were </w:t>
            </w:r>
            <w:r w:rsidRPr="6E371D26">
              <w:rPr>
                <w:rFonts w:ascii="Calibri" w:eastAsia="Calibri" w:hAnsi="Calibri" w:cs="Calibri"/>
                <w:sz w:val="18"/>
                <w:szCs w:val="18"/>
                <w:lang w:val="en-GB"/>
              </w:rPr>
              <w:t xml:space="preserve">compared </w:t>
            </w:r>
            <w:r w:rsidR="00C10D4E">
              <w:rPr>
                <w:rFonts w:ascii="Calibri" w:eastAsia="Calibri" w:hAnsi="Calibri" w:cs="Calibri"/>
                <w:sz w:val="18"/>
                <w:szCs w:val="18"/>
                <w:lang w:val="en-GB"/>
              </w:rPr>
              <w:t>to the</w:t>
            </w:r>
            <w:r w:rsidRPr="6E371D26">
              <w:rPr>
                <w:rFonts w:ascii="Calibri" w:eastAsia="Calibri" w:hAnsi="Calibri" w:cs="Calibri"/>
                <w:sz w:val="18"/>
                <w:szCs w:val="18"/>
                <w:lang w:val="en-GB"/>
              </w:rPr>
              <w:t xml:space="preserve"> common alternative </w:t>
            </w:r>
            <w:r w:rsidRPr="6E371D26">
              <w:rPr>
                <w:rFonts w:ascii="Calibri" w:eastAsia="Calibri" w:hAnsi="Calibri" w:cs="Calibri"/>
                <w:sz w:val="18"/>
                <w:szCs w:val="18"/>
              </w:rPr>
              <w:t xml:space="preserve">sorafenib/lenvatinib. </w:t>
            </w:r>
            <w:r w:rsidRPr="6E371D26">
              <w:rPr>
                <w:rFonts w:ascii="Calibri" w:eastAsia="Calibri" w:hAnsi="Calibri" w:cs="Calibri"/>
                <w:sz w:val="18"/>
                <w:szCs w:val="18"/>
                <w:lang w:val="en-GB"/>
              </w:rPr>
              <w:t xml:space="preserve">However, the outcomes of the study comparing NIVO+IPI to </w:t>
            </w:r>
            <w:r w:rsidRPr="6E371D26">
              <w:rPr>
                <w:rFonts w:ascii="Calibri" w:eastAsia="Calibri" w:hAnsi="Calibri" w:cs="Calibri"/>
                <w:sz w:val="18"/>
                <w:szCs w:val="18"/>
              </w:rPr>
              <w:t xml:space="preserve">sorafenib/lenvatinib </w:t>
            </w:r>
            <w:r w:rsidRPr="6E371D26">
              <w:rPr>
                <w:rFonts w:ascii="Calibri" w:eastAsia="Calibri" w:hAnsi="Calibri" w:cs="Calibri"/>
                <w:sz w:val="18"/>
                <w:szCs w:val="18"/>
                <w:lang w:val="en-GB"/>
              </w:rPr>
              <w:t>did not</w:t>
            </w:r>
            <w:r w:rsidR="00C10D4E">
              <w:rPr>
                <w:rFonts w:ascii="Calibri" w:eastAsia="Calibri" w:hAnsi="Calibri" w:cs="Calibri"/>
                <w:sz w:val="18"/>
                <w:szCs w:val="18"/>
                <w:lang w:val="en-GB"/>
              </w:rPr>
              <w:t xml:space="preserve"> clearly show how much NIVO+IPI improved overall survival compared to sorafenib/lenvatinib</w:t>
            </w:r>
            <w:r w:rsidRPr="6E371D26">
              <w:rPr>
                <w:rFonts w:ascii="Calibri" w:eastAsia="Calibri" w:hAnsi="Calibri" w:cs="Calibri"/>
                <w:sz w:val="18"/>
                <w:szCs w:val="18"/>
              </w:rPr>
              <w:t xml:space="preserve">. </w:t>
            </w:r>
            <w:r w:rsidRPr="6E371D26">
              <w:rPr>
                <w:rFonts w:ascii="Calibri" w:eastAsia="Calibri" w:hAnsi="Calibri" w:cs="Calibri"/>
                <w:sz w:val="18"/>
                <w:szCs w:val="18"/>
                <w:lang w:val="en-GB"/>
              </w:rPr>
              <w:t xml:space="preserve">Overall survival for patients varied widely in the comparisons of NIVO+IPI with ATEZO+BEV and point estimate results favoured </w:t>
            </w:r>
            <w:r w:rsidRPr="6E371D26">
              <w:rPr>
                <w:rFonts w:ascii="Calibri" w:eastAsia="Calibri" w:hAnsi="Calibri" w:cs="Calibri"/>
                <w:sz w:val="18"/>
                <w:szCs w:val="18"/>
              </w:rPr>
              <w:t>ATEZO+BEV</w:t>
            </w:r>
            <w:r w:rsidRPr="6E371D26">
              <w:rPr>
                <w:rFonts w:ascii="Calibri" w:eastAsia="Calibri" w:hAnsi="Calibri" w:cs="Calibri"/>
                <w:sz w:val="18"/>
                <w:szCs w:val="18"/>
                <w:lang w:val="en-GB"/>
              </w:rPr>
              <w:t xml:space="preserve">. The PBAC considered that these results did not sufficiently rule out the possibility that NIVO+IPI would provide worse outcomes for patients than </w:t>
            </w:r>
            <w:r w:rsidRPr="6E371D26">
              <w:rPr>
                <w:rFonts w:ascii="Calibri" w:eastAsia="Calibri" w:hAnsi="Calibri" w:cs="Calibri"/>
                <w:sz w:val="18"/>
                <w:szCs w:val="18"/>
              </w:rPr>
              <w:t>ATEZO+BEV.</w:t>
            </w:r>
          </w:p>
          <w:p w14:paraId="6658904F" w14:textId="77777777" w:rsidR="00CD4B04" w:rsidRDefault="00CD4B04" w:rsidP="00DC3166">
            <w:pPr>
              <w:jc w:val="both"/>
              <w:rPr>
                <w:rFonts w:asciiTheme="minorHAnsi" w:hAnsiTheme="minorHAnsi" w:cstheme="minorBidi"/>
                <w:color w:val="000000"/>
                <w:sz w:val="18"/>
                <w:szCs w:val="18"/>
              </w:rPr>
            </w:pPr>
          </w:p>
          <w:p w14:paraId="0311BEA8" w14:textId="77777777" w:rsidR="00615584" w:rsidRDefault="001769A5" w:rsidP="00DC3166">
            <w:pPr>
              <w:jc w:val="both"/>
              <w:rPr>
                <w:rFonts w:asciiTheme="minorHAnsi" w:hAnsiTheme="minorHAnsi" w:cstheme="minorBidi"/>
                <w:color w:val="000000"/>
                <w:sz w:val="18"/>
                <w:szCs w:val="18"/>
              </w:rPr>
            </w:pPr>
            <w:r w:rsidRPr="00615584">
              <w:rPr>
                <w:rFonts w:asciiTheme="minorHAnsi" w:hAnsiTheme="minorHAnsi" w:cstheme="minorBidi"/>
                <w:color w:val="000000"/>
                <w:sz w:val="18"/>
                <w:szCs w:val="18"/>
                <w:u w:val="single"/>
              </w:rPr>
              <w:t>Sponsor’s Comment:</w:t>
            </w:r>
            <w:r w:rsidR="008C5898">
              <w:rPr>
                <w:rFonts w:asciiTheme="minorHAnsi" w:hAnsiTheme="minorHAnsi" w:cstheme="minorBidi"/>
                <w:color w:val="000000"/>
                <w:sz w:val="18"/>
                <w:szCs w:val="18"/>
              </w:rPr>
              <w:t xml:space="preserve"> </w:t>
            </w:r>
          </w:p>
          <w:p w14:paraId="64526954" w14:textId="6BD269D0" w:rsidR="001769A5" w:rsidRPr="00F03408" w:rsidDel="008F66B5" w:rsidRDefault="008C5898" w:rsidP="00DC3166">
            <w:pPr>
              <w:jc w:val="both"/>
              <w:rPr>
                <w:rFonts w:asciiTheme="minorHAnsi" w:hAnsiTheme="minorHAnsi" w:cstheme="minorBidi"/>
                <w:color w:val="000000"/>
                <w:sz w:val="18"/>
                <w:szCs w:val="18"/>
              </w:rPr>
            </w:pPr>
            <w:r w:rsidRPr="008C5898">
              <w:rPr>
                <w:rFonts w:asciiTheme="minorHAnsi" w:hAnsiTheme="minorHAnsi" w:cstheme="minorBidi"/>
                <w:color w:val="000000"/>
                <w:sz w:val="18"/>
                <w:szCs w:val="18"/>
              </w:rPr>
              <w:t>The Sponsor is committed to working with the PBAC and the Department of Health, Disability and Ageing to progress these submissions through to PBS listing.</w:t>
            </w:r>
          </w:p>
        </w:tc>
      </w:tr>
      <w:tr w:rsidR="003411B8" w:rsidRPr="008059F4" w:rsidDel="008F66B5" w14:paraId="43F0D609" w14:textId="5D922E28" w:rsidTr="09589B60">
        <w:trPr>
          <w:cantSplit/>
          <w:trHeight w:val="2948"/>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85C0FF4" w14:textId="0A6E5C46" w:rsidR="00EC00A2" w:rsidRPr="006A5A05" w:rsidRDefault="003411B8" w:rsidP="00DC3166">
            <w:pPr>
              <w:jc w:val="center"/>
              <w:rPr>
                <w:rFonts w:asciiTheme="minorHAnsi" w:eastAsia="Calibri" w:hAnsiTheme="minorHAnsi" w:cstheme="minorHAnsi"/>
                <w:color w:val="000000" w:themeColor="text1"/>
                <w:sz w:val="18"/>
                <w:szCs w:val="18"/>
              </w:rPr>
            </w:pPr>
            <w:r w:rsidRPr="00F657EC">
              <w:rPr>
                <w:rFonts w:asciiTheme="minorHAnsi" w:hAnsiTheme="minorHAnsi" w:cstheme="minorHAnsi"/>
                <w:color w:val="000000"/>
                <w:sz w:val="18"/>
                <w:szCs w:val="18"/>
              </w:rPr>
              <w:t>NIVOLUMAB</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 xml:space="preserve">Injection concentrate for I.V. infusion 40 mg in 4 mL </w:t>
            </w:r>
            <w:r w:rsidRPr="006A5A05">
              <w:rPr>
                <w:rFonts w:asciiTheme="minorHAnsi" w:hAnsiTheme="minorHAnsi" w:cstheme="minorHAnsi"/>
                <w:color w:val="000000"/>
                <w:sz w:val="18"/>
                <w:szCs w:val="18"/>
              </w:rPr>
              <w:br/>
              <w:t xml:space="preserve">Injection concentrate for I.V. infusion 100 mg in 10 mL </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Opdivo</w:t>
            </w:r>
            <w:r w:rsidRPr="006A5A05">
              <w:rPr>
                <w:rFonts w:asciiTheme="minorHAnsi" w:hAnsiTheme="minorHAnsi" w:cstheme="minorHAnsi"/>
                <w:color w:val="000000"/>
                <w:sz w:val="18"/>
                <w:szCs w:val="18"/>
                <w:vertAlign w:val="superscript"/>
              </w:rPr>
              <w:t>®</w:t>
            </w:r>
            <w:r w:rsidRPr="006A5A05">
              <w:rPr>
                <w:rFonts w:asciiTheme="minorHAnsi" w:hAnsiTheme="minorHAnsi" w:cstheme="minorHAnsi"/>
                <w:color w:val="000000"/>
                <w:sz w:val="18"/>
                <w:szCs w:val="18"/>
                <w:vertAlign w:val="superscript"/>
              </w:rPr>
              <w:br/>
            </w:r>
            <w:r w:rsidRPr="006A5A05">
              <w:rPr>
                <w:rFonts w:asciiTheme="minorHAnsi" w:hAnsiTheme="minorHAnsi" w:cstheme="minorHAnsi"/>
                <w:color w:val="000000"/>
                <w:sz w:val="18"/>
                <w:szCs w:val="18"/>
              </w:rPr>
              <w:br/>
              <w:t>IPILIMUMAB</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Injection concentrate for I.V. infusion 50 mg in 10 mL</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Yervoy</w:t>
            </w:r>
            <w:r w:rsidRPr="006A5A05">
              <w:rPr>
                <w:rFonts w:asciiTheme="minorHAnsi" w:hAnsiTheme="minorHAnsi" w:cstheme="minorHAnsi"/>
                <w:color w:val="000000"/>
                <w:sz w:val="18"/>
                <w:szCs w:val="18"/>
                <w:vertAlign w:val="superscript"/>
              </w:rPr>
              <w:t>®</w:t>
            </w:r>
            <w:r w:rsidRPr="006A5A05">
              <w:rPr>
                <w:rFonts w:asciiTheme="minorHAnsi" w:hAnsiTheme="minorHAnsi" w:cstheme="minorHAnsi"/>
                <w:color w:val="000000"/>
                <w:sz w:val="18"/>
                <w:szCs w:val="18"/>
                <w:vertAlign w:val="superscript"/>
              </w:rPr>
              <w:br/>
            </w:r>
            <w:r w:rsidRPr="006A5A05">
              <w:rPr>
                <w:rFonts w:asciiTheme="minorHAnsi" w:hAnsiTheme="minorHAnsi" w:cstheme="minorHAnsi"/>
                <w:color w:val="000000"/>
                <w:sz w:val="18"/>
                <w:szCs w:val="18"/>
              </w:rPr>
              <w:br/>
              <w:t>BRISTOL-MYERS SQUIBB AUSTRALIA PTY LTD</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r>
            <w:r w:rsidR="00EC00A2" w:rsidRPr="006A5A05">
              <w:rPr>
                <w:rFonts w:asciiTheme="minorHAnsi" w:eastAsia="Calibri" w:hAnsiTheme="minorHAnsi" w:cstheme="minorHAnsi"/>
                <w:color w:val="000000" w:themeColor="text1"/>
                <w:sz w:val="18"/>
                <w:szCs w:val="18"/>
              </w:rPr>
              <w:t xml:space="preserve">Category </w:t>
            </w:r>
            <w:r w:rsidR="004D14C8">
              <w:rPr>
                <w:rFonts w:asciiTheme="minorHAnsi" w:eastAsia="Calibri" w:hAnsiTheme="minorHAnsi" w:cstheme="minorHAnsi"/>
                <w:color w:val="000000" w:themeColor="text1"/>
                <w:sz w:val="18"/>
                <w:szCs w:val="18"/>
              </w:rPr>
              <w:t>2</w:t>
            </w:r>
          </w:p>
          <w:p w14:paraId="38E8A33A" w14:textId="6EDCD8FB" w:rsidR="003411B8" w:rsidRPr="006A5A05" w:rsidRDefault="003411B8"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(Change to existing listing)</w:t>
            </w:r>
          </w:p>
        </w:tc>
        <w:tc>
          <w:tcPr>
            <w:tcW w:w="2767" w:type="dxa"/>
            <w:tcBorders>
              <w:top w:val="single" w:sz="4" w:space="0" w:color="auto"/>
              <w:left w:val="single" w:sz="4" w:space="0" w:color="auto"/>
              <w:bottom w:val="single" w:sz="4" w:space="0" w:color="auto"/>
              <w:right w:val="single" w:sz="4" w:space="0" w:color="auto"/>
            </w:tcBorders>
            <w:vAlign w:val="center"/>
          </w:tcPr>
          <w:p w14:paraId="7D2E4F61" w14:textId="5148D380" w:rsidR="003411B8" w:rsidRPr="006A5A05" w:rsidRDefault="003411B8"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Unresectable or metastatic colorectal cancer (mCRC)</w:t>
            </w:r>
          </w:p>
        </w:tc>
        <w:tc>
          <w:tcPr>
            <w:tcW w:w="29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0D807BB" w14:textId="71E6A9A4" w:rsidR="003411B8" w:rsidRPr="006A5A05" w:rsidRDefault="003411B8"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To request a Section 100 (Efficient Funding of Chemotherapy Program) Authority Required (STREAMLINED) listing for the first line treatment of microsatellite instability high or mismatch repair deficient mCRC.</w:t>
            </w:r>
          </w:p>
        </w:tc>
        <w:tc>
          <w:tcPr>
            <w:tcW w:w="1584" w:type="dxa"/>
            <w:vAlign w:val="center"/>
          </w:tcPr>
          <w:p w14:paraId="41EBECF1" w14:textId="5C3DB2B3" w:rsidR="003411B8" w:rsidRPr="006A5A05" w:rsidDel="008F66B5" w:rsidRDefault="00773C4C" w:rsidP="007C0F9C">
            <w:pPr>
              <w:pStyle w:val="ListParagraph"/>
              <w:keepLines/>
              <w:ind w:left="0"/>
              <w:jc w:val="center"/>
              <w:rPr>
                <w:rFonts w:asciiTheme="minorHAnsi" w:hAnsiTheme="minorHAnsi" w:cstheme="minorHAnsi"/>
                <w:color w:val="000000"/>
                <w:sz w:val="18"/>
                <w:szCs w:val="18"/>
              </w:rPr>
            </w:pPr>
            <w:r w:rsidRPr="00773C4C">
              <w:rPr>
                <w:rFonts w:asciiTheme="minorHAnsi" w:hAnsiTheme="minorHAnsi" w:cstheme="minorHAnsi"/>
                <w:color w:val="000000"/>
                <w:sz w:val="18"/>
                <w:szCs w:val="18"/>
              </w:rPr>
              <w:t>Not recommended</w:t>
            </w:r>
          </w:p>
        </w:tc>
        <w:tc>
          <w:tcPr>
            <w:tcW w:w="4836" w:type="dxa"/>
            <w:vAlign w:val="center"/>
          </w:tcPr>
          <w:p w14:paraId="291C0917" w14:textId="251A03E7" w:rsidR="0043123F" w:rsidRPr="0043123F" w:rsidRDefault="0043123F" w:rsidP="007C0F9C">
            <w:pPr>
              <w:jc w:val="both"/>
              <w:rPr>
                <w:rFonts w:ascii="Calibri" w:eastAsia="Calibri" w:hAnsi="Calibri" w:cs="Calibri"/>
                <w:sz w:val="18"/>
                <w:szCs w:val="18"/>
              </w:rPr>
            </w:pPr>
            <w:r w:rsidRPr="0043123F">
              <w:rPr>
                <w:rFonts w:ascii="Calibri" w:eastAsia="Calibri" w:hAnsi="Calibri" w:cs="Calibri"/>
                <w:sz w:val="18"/>
                <w:szCs w:val="18"/>
              </w:rPr>
              <w:t xml:space="preserve">The PBAC did not recommend nivolumab plus ipilimumab for the first line treatment of microsatellite instability high (MSI-H) or mismatch repair deficient (dMMR) unresectable mCRC. </w:t>
            </w:r>
          </w:p>
          <w:p w14:paraId="339579D1" w14:textId="77777777" w:rsidR="0043123F" w:rsidRPr="0043123F" w:rsidRDefault="0043123F" w:rsidP="007C0F9C">
            <w:pPr>
              <w:jc w:val="both"/>
              <w:rPr>
                <w:rFonts w:ascii="Calibri" w:eastAsia="Calibri" w:hAnsi="Calibri" w:cs="Calibri"/>
                <w:sz w:val="18"/>
                <w:szCs w:val="18"/>
              </w:rPr>
            </w:pPr>
            <w:r w:rsidRPr="0043123F">
              <w:rPr>
                <w:rFonts w:ascii="Calibri" w:eastAsia="Calibri" w:hAnsi="Calibri" w:cs="Calibri"/>
                <w:sz w:val="18"/>
                <w:szCs w:val="18"/>
              </w:rPr>
              <w:t>The PBAC welcomed input from</w:t>
            </w:r>
            <w:r w:rsidRPr="0043123F">
              <w:rPr>
                <w:rFonts w:ascii="Calibri" w:eastAsia="Calibri" w:hAnsi="Calibri" w:cs="Calibri"/>
                <w:bCs/>
                <w:iCs/>
                <w:sz w:val="18"/>
                <w:szCs w:val="18"/>
              </w:rPr>
              <w:t xml:space="preserve"> health professionals, individuals, and consumer and medical organisations. </w:t>
            </w:r>
            <w:r w:rsidRPr="0043123F">
              <w:rPr>
                <w:rFonts w:ascii="Calibri" w:eastAsia="Calibri" w:hAnsi="Calibri" w:cs="Calibri"/>
                <w:bCs/>
                <w:sz w:val="18"/>
                <w:szCs w:val="18"/>
              </w:rPr>
              <w:t>The PBAC acknowledged that the likelihood of disease progression remains high for people with mCRC and there is a clinical need for additional therapies</w:t>
            </w:r>
            <w:r w:rsidRPr="0043123F">
              <w:rPr>
                <w:rFonts w:ascii="Calibri" w:eastAsia="Calibri" w:hAnsi="Calibri" w:cs="Calibri"/>
                <w:bCs/>
                <w:iCs/>
                <w:sz w:val="18"/>
                <w:szCs w:val="18"/>
              </w:rPr>
              <w:t>. The PBAC also noted</w:t>
            </w:r>
            <w:r w:rsidRPr="0043123F">
              <w:rPr>
                <w:rFonts w:ascii="Calibri" w:eastAsia="Calibri" w:hAnsi="Calibri" w:cs="Calibri"/>
                <w:bCs/>
                <w:sz w:val="18"/>
                <w:szCs w:val="18"/>
              </w:rPr>
              <w:t xml:space="preserve"> the serious side effects of current therapies, particularly chemotherapy</w:t>
            </w:r>
            <w:r w:rsidRPr="0043123F">
              <w:rPr>
                <w:rFonts w:ascii="Calibri" w:eastAsia="Calibri" w:hAnsi="Calibri" w:cs="Calibri"/>
                <w:sz w:val="18"/>
                <w:szCs w:val="18"/>
              </w:rPr>
              <w:t>.</w:t>
            </w:r>
          </w:p>
          <w:p w14:paraId="43C28FE0" w14:textId="7C8F4DFB" w:rsidR="001769A5" w:rsidRDefault="0043123F" w:rsidP="007C0F9C">
            <w:pPr>
              <w:jc w:val="both"/>
              <w:rPr>
                <w:rFonts w:ascii="Calibri" w:eastAsia="Calibri" w:hAnsi="Calibri" w:cs="Calibri"/>
                <w:sz w:val="18"/>
                <w:szCs w:val="18"/>
              </w:rPr>
            </w:pPr>
            <w:r w:rsidRPr="0043123F">
              <w:rPr>
                <w:rFonts w:ascii="Calibri" w:eastAsia="Calibri" w:hAnsi="Calibri" w:cs="Calibri"/>
                <w:sz w:val="18"/>
                <w:szCs w:val="18"/>
              </w:rPr>
              <w:t xml:space="preserve">The PBAC considered that the clinical evidence demonstrated that nivolumab plus ipilimumab was more effective than the current standard of care (pembrolizumab) at improving progression free survival. However, the </w:t>
            </w:r>
            <w:r w:rsidR="00C10D4E">
              <w:rPr>
                <w:rFonts w:ascii="Calibri" w:eastAsia="Calibri" w:hAnsi="Calibri" w:cs="Calibri"/>
                <w:sz w:val="18"/>
                <w:szCs w:val="18"/>
              </w:rPr>
              <w:t>size</w:t>
            </w:r>
            <w:r w:rsidR="00C10D4E" w:rsidRPr="0043123F">
              <w:rPr>
                <w:rFonts w:ascii="Calibri" w:eastAsia="Calibri" w:hAnsi="Calibri" w:cs="Calibri"/>
                <w:sz w:val="18"/>
                <w:szCs w:val="18"/>
              </w:rPr>
              <w:t xml:space="preserve"> </w:t>
            </w:r>
            <w:r w:rsidRPr="0043123F">
              <w:rPr>
                <w:rFonts w:ascii="Calibri" w:eastAsia="Calibri" w:hAnsi="Calibri" w:cs="Calibri"/>
                <w:sz w:val="18"/>
                <w:szCs w:val="18"/>
              </w:rPr>
              <w:t>of benefit was uncertain. The PBAC considered the estimates of clinical benefits in support of the proposed price were overly optimistic and not reliable for assessing how cost-effective nivolumab plus ipilimumab would be compared to pembrolizumab. The PBAC also considered that the financial estimates were uncertain and likely overestimated and would likely require revision.</w:t>
            </w:r>
          </w:p>
          <w:p w14:paraId="2AFD1A78" w14:textId="77777777" w:rsidR="007C0F9C" w:rsidRDefault="007C0F9C" w:rsidP="007C0F9C">
            <w:pPr>
              <w:jc w:val="both"/>
              <w:rPr>
                <w:rFonts w:ascii="Calibri" w:eastAsia="Calibri" w:hAnsi="Calibri" w:cs="Calibri"/>
                <w:sz w:val="18"/>
                <w:szCs w:val="18"/>
              </w:rPr>
            </w:pPr>
          </w:p>
          <w:p w14:paraId="5F9EDD88" w14:textId="77777777" w:rsidR="007C0F9C" w:rsidRDefault="001769A5" w:rsidP="007C0F9C">
            <w:pPr>
              <w:jc w:val="both"/>
              <w:rPr>
                <w:rFonts w:ascii="Calibri" w:eastAsia="Calibri" w:hAnsi="Calibri" w:cs="Calibri"/>
                <w:sz w:val="18"/>
                <w:szCs w:val="18"/>
              </w:rPr>
            </w:pPr>
            <w:r w:rsidRPr="007C0F9C">
              <w:rPr>
                <w:rFonts w:ascii="Calibri" w:eastAsia="Calibri" w:hAnsi="Calibri" w:cs="Calibri"/>
                <w:sz w:val="18"/>
                <w:szCs w:val="18"/>
                <w:u w:val="single"/>
              </w:rPr>
              <w:t>Sponsor’s Comment:</w:t>
            </w:r>
            <w:r w:rsidR="00812420">
              <w:rPr>
                <w:rFonts w:ascii="Calibri" w:eastAsia="Calibri" w:hAnsi="Calibri" w:cs="Calibri"/>
                <w:sz w:val="18"/>
                <w:szCs w:val="18"/>
              </w:rPr>
              <w:t xml:space="preserve"> </w:t>
            </w:r>
          </w:p>
          <w:p w14:paraId="12EDB2CB" w14:textId="78CA6083" w:rsidR="001769A5" w:rsidRPr="00F03408" w:rsidDel="008F66B5" w:rsidRDefault="00812420" w:rsidP="007C0F9C">
            <w:pPr>
              <w:jc w:val="both"/>
              <w:rPr>
                <w:rFonts w:ascii="Calibri" w:eastAsia="Calibri" w:hAnsi="Calibri" w:cs="Calibri"/>
                <w:sz w:val="18"/>
                <w:szCs w:val="18"/>
              </w:rPr>
            </w:pPr>
            <w:r w:rsidRPr="00812420">
              <w:rPr>
                <w:rFonts w:ascii="Calibri" w:eastAsia="Calibri" w:hAnsi="Calibri" w:cs="Calibri"/>
                <w:sz w:val="18"/>
                <w:szCs w:val="18"/>
              </w:rPr>
              <w:t>The Sponsor is committed to working with the PBAC and the Department of Health, Disability and Ageing to progress these submissions through to PBS listing.</w:t>
            </w:r>
          </w:p>
        </w:tc>
      </w:tr>
      <w:tr w:rsidR="00873D3B" w:rsidRPr="008059F4" w:rsidDel="008F66B5" w14:paraId="5F01BDAA" w14:textId="77777777" w:rsidTr="09589B60">
        <w:trPr>
          <w:cantSplit/>
          <w:trHeight w:val="2948"/>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E3839F2" w14:textId="77777777" w:rsidR="00873D3B" w:rsidRPr="00873D3B" w:rsidRDefault="00873D3B" w:rsidP="00DC3166">
            <w:pPr>
              <w:jc w:val="center"/>
              <w:rPr>
                <w:rFonts w:asciiTheme="minorHAnsi" w:hAnsiTheme="minorHAnsi" w:cstheme="minorHAnsi"/>
                <w:color w:val="000000"/>
                <w:sz w:val="18"/>
                <w:szCs w:val="18"/>
              </w:rPr>
            </w:pPr>
            <w:r w:rsidRPr="00873D3B">
              <w:rPr>
                <w:rFonts w:asciiTheme="minorHAnsi" w:hAnsiTheme="minorHAnsi" w:cstheme="minorHAnsi"/>
                <w:color w:val="000000"/>
                <w:sz w:val="18"/>
                <w:szCs w:val="18"/>
              </w:rPr>
              <w:t>NIVOLUMAB</w:t>
            </w:r>
          </w:p>
          <w:p w14:paraId="5E13E662" w14:textId="77777777" w:rsidR="00873D3B" w:rsidRPr="00873D3B" w:rsidRDefault="00873D3B" w:rsidP="00DC3166">
            <w:pPr>
              <w:jc w:val="center"/>
              <w:rPr>
                <w:rFonts w:asciiTheme="minorHAnsi" w:hAnsiTheme="minorHAnsi" w:cstheme="minorHAnsi"/>
                <w:color w:val="000000"/>
                <w:sz w:val="18"/>
                <w:szCs w:val="18"/>
              </w:rPr>
            </w:pPr>
          </w:p>
          <w:p w14:paraId="3C7A25E7" w14:textId="77777777" w:rsidR="00873D3B" w:rsidRPr="00873D3B" w:rsidRDefault="00873D3B" w:rsidP="00DC3166">
            <w:pPr>
              <w:jc w:val="center"/>
              <w:rPr>
                <w:rFonts w:asciiTheme="minorHAnsi" w:hAnsiTheme="minorHAnsi" w:cstheme="minorHAnsi"/>
                <w:color w:val="000000"/>
                <w:sz w:val="18"/>
                <w:szCs w:val="18"/>
              </w:rPr>
            </w:pPr>
            <w:r w:rsidRPr="00873D3B">
              <w:rPr>
                <w:rFonts w:asciiTheme="minorHAnsi" w:hAnsiTheme="minorHAnsi" w:cstheme="minorHAnsi"/>
                <w:color w:val="000000"/>
                <w:sz w:val="18"/>
                <w:szCs w:val="18"/>
              </w:rPr>
              <w:t xml:space="preserve">Injection </w:t>
            </w:r>
            <w:proofErr w:type="gramStart"/>
            <w:r w:rsidRPr="00873D3B">
              <w:rPr>
                <w:rFonts w:asciiTheme="minorHAnsi" w:hAnsiTheme="minorHAnsi" w:cstheme="minorHAnsi"/>
                <w:color w:val="000000"/>
                <w:sz w:val="18"/>
                <w:szCs w:val="18"/>
              </w:rPr>
              <w:t>concentrate</w:t>
            </w:r>
            <w:proofErr w:type="gramEnd"/>
            <w:r w:rsidRPr="00873D3B">
              <w:rPr>
                <w:rFonts w:asciiTheme="minorHAnsi" w:hAnsiTheme="minorHAnsi" w:cstheme="minorHAnsi"/>
                <w:color w:val="000000"/>
                <w:sz w:val="18"/>
                <w:szCs w:val="18"/>
              </w:rPr>
              <w:t xml:space="preserve"> for I.V. infusion 40 mg in 4 mL </w:t>
            </w:r>
          </w:p>
          <w:p w14:paraId="350CE2C4" w14:textId="77777777" w:rsidR="00873D3B" w:rsidRPr="00873D3B" w:rsidRDefault="00873D3B" w:rsidP="00DC3166">
            <w:pPr>
              <w:jc w:val="center"/>
              <w:rPr>
                <w:rFonts w:asciiTheme="minorHAnsi" w:hAnsiTheme="minorHAnsi" w:cstheme="minorHAnsi"/>
                <w:color w:val="000000"/>
                <w:sz w:val="18"/>
                <w:szCs w:val="18"/>
              </w:rPr>
            </w:pPr>
            <w:r w:rsidRPr="00873D3B">
              <w:rPr>
                <w:rFonts w:asciiTheme="minorHAnsi" w:hAnsiTheme="minorHAnsi" w:cstheme="minorHAnsi"/>
                <w:color w:val="000000"/>
                <w:sz w:val="18"/>
                <w:szCs w:val="18"/>
              </w:rPr>
              <w:t xml:space="preserve">Injection </w:t>
            </w:r>
            <w:proofErr w:type="gramStart"/>
            <w:r w:rsidRPr="00873D3B">
              <w:rPr>
                <w:rFonts w:asciiTheme="minorHAnsi" w:hAnsiTheme="minorHAnsi" w:cstheme="minorHAnsi"/>
                <w:color w:val="000000"/>
                <w:sz w:val="18"/>
                <w:szCs w:val="18"/>
              </w:rPr>
              <w:t>concentrate</w:t>
            </w:r>
            <w:proofErr w:type="gramEnd"/>
            <w:r w:rsidRPr="00873D3B">
              <w:rPr>
                <w:rFonts w:asciiTheme="minorHAnsi" w:hAnsiTheme="minorHAnsi" w:cstheme="minorHAnsi"/>
                <w:color w:val="000000"/>
                <w:sz w:val="18"/>
                <w:szCs w:val="18"/>
              </w:rPr>
              <w:t xml:space="preserve"> for I.V. infusion 100 mg in 10 mL </w:t>
            </w:r>
          </w:p>
          <w:p w14:paraId="4A64367F" w14:textId="77777777" w:rsidR="00873D3B" w:rsidRPr="00873D3B" w:rsidRDefault="00873D3B" w:rsidP="00DC3166">
            <w:pPr>
              <w:jc w:val="center"/>
              <w:rPr>
                <w:rFonts w:asciiTheme="minorHAnsi" w:hAnsiTheme="minorHAnsi" w:cstheme="minorHAnsi"/>
                <w:color w:val="000000"/>
                <w:sz w:val="18"/>
                <w:szCs w:val="18"/>
              </w:rPr>
            </w:pPr>
          </w:p>
          <w:p w14:paraId="018B6FF2" w14:textId="77777777" w:rsidR="00873D3B" w:rsidRPr="00873D3B" w:rsidRDefault="00873D3B" w:rsidP="00DC3166">
            <w:pPr>
              <w:jc w:val="center"/>
              <w:rPr>
                <w:rFonts w:asciiTheme="minorHAnsi" w:hAnsiTheme="minorHAnsi" w:cstheme="minorHAnsi"/>
                <w:color w:val="000000"/>
                <w:sz w:val="18"/>
                <w:szCs w:val="18"/>
              </w:rPr>
            </w:pPr>
            <w:r w:rsidRPr="00873D3B">
              <w:rPr>
                <w:rFonts w:asciiTheme="minorHAnsi" w:hAnsiTheme="minorHAnsi" w:cstheme="minorHAnsi"/>
                <w:color w:val="000000"/>
                <w:sz w:val="18"/>
                <w:szCs w:val="18"/>
              </w:rPr>
              <w:t>Opdivo®</w:t>
            </w:r>
          </w:p>
          <w:p w14:paraId="5D52472B" w14:textId="77777777" w:rsidR="00873D3B" w:rsidRPr="00873D3B" w:rsidRDefault="00873D3B" w:rsidP="00DC3166">
            <w:pPr>
              <w:jc w:val="center"/>
              <w:rPr>
                <w:rFonts w:asciiTheme="minorHAnsi" w:hAnsiTheme="minorHAnsi" w:cstheme="minorHAnsi"/>
                <w:color w:val="000000"/>
                <w:sz w:val="18"/>
                <w:szCs w:val="18"/>
              </w:rPr>
            </w:pPr>
          </w:p>
          <w:p w14:paraId="38811590" w14:textId="77777777" w:rsidR="00873D3B" w:rsidRPr="00873D3B" w:rsidRDefault="00873D3B" w:rsidP="00DC3166">
            <w:pPr>
              <w:jc w:val="center"/>
              <w:rPr>
                <w:rFonts w:asciiTheme="minorHAnsi" w:hAnsiTheme="minorHAnsi" w:cstheme="minorHAnsi"/>
                <w:color w:val="000000"/>
                <w:sz w:val="18"/>
                <w:szCs w:val="18"/>
              </w:rPr>
            </w:pPr>
            <w:r w:rsidRPr="00873D3B">
              <w:rPr>
                <w:rFonts w:asciiTheme="minorHAnsi" w:hAnsiTheme="minorHAnsi" w:cstheme="minorHAnsi"/>
                <w:color w:val="000000"/>
                <w:sz w:val="18"/>
                <w:szCs w:val="18"/>
              </w:rPr>
              <w:t>IPILIMUMAB</w:t>
            </w:r>
          </w:p>
          <w:p w14:paraId="4B250B8E" w14:textId="77777777" w:rsidR="00873D3B" w:rsidRPr="00873D3B" w:rsidRDefault="00873D3B" w:rsidP="00DC3166">
            <w:pPr>
              <w:jc w:val="center"/>
              <w:rPr>
                <w:rFonts w:asciiTheme="minorHAnsi" w:hAnsiTheme="minorHAnsi" w:cstheme="minorHAnsi"/>
                <w:color w:val="000000"/>
                <w:sz w:val="18"/>
                <w:szCs w:val="18"/>
              </w:rPr>
            </w:pPr>
          </w:p>
          <w:p w14:paraId="396256F5" w14:textId="77777777" w:rsidR="0040693D" w:rsidRDefault="00873D3B" w:rsidP="00DC3166">
            <w:pPr>
              <w:jc w:val="center"/>
              <w:rPr>
                <w:rFonts w:asciiTheme="minorHAnsi" w:hAnsiTheme="minorHAnsi" w:cstheme="minorHAnsi"/>
                <w:color w:val="000000"/>
                <w:sz w:val="18"/>
                <w:szCs w:val="18"/>
              </w:rPr>
            </w:pPr>
            <w:r w:rsidRPr="00873D3B">
              <w:rPr>
                <w:rFonts w:asciiTheme="minorHAnsi" w:hAnsiTheme="minorHAnsi" w:cstheme="minorHAnsi"/>
                <w:color w:val="000000"/>
                <w:sz w:val="18"/>
                <w:szCs w:val="18"/>
              </w:rPr>
              <w:t xml:space="preserve">Injection </w:t>
            </w:r>
            <w:proofErr w:type="gramStart"/>
            <w:r w:rsidRPr="00873D3B">
              <w:rPr>
                <w:rFonts w:asciiTheme="minorHAnsi" w:hAnsiTheme="minorHAnsi" w:cstheme="minorHAnsi"/>
                <w:color w:val="000000"/>
                <w:sz w:val="18"/>
                <w:szCs w:val="18"/>
              </w:rPr>
              <w:t>concentrate</w:t>
            </w:r>
            <w:proofErr w:type="gramEnd"/>
            <w:r w:rsidRPr="00873D3B">
              <w:rPr>
                <w:rFonts w:asciiTheme="minorHAnsi" w:hAnsiTheme="minorHAnsi" w:cstheme="minorHAnsi"/>
                <w:color w:val="000000"/>
                <w:sz w:val="18"/>
                <w:szCs w:val="18"/>
              </w:rPr>
              <w:t xml:space="preserve"> for I.V. infusion 50 mg in 10 mL</w:t>
            </w:r>
          </w:p>
          <w:p w14:paraId="6739230C" w14:textId="38E80DB3" w:rsidR="00873D3B" w:rsidRPr="00873D3B" w:rsidRDefault="0040693D" w:rsidP="00DC3166">
            <w:pPr>
              <w:jc w:val="center"/>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40693D">
              <w:rPr>
                <w:rFonts w:asciiTheme="minorHAnsi" w:hAnsiTheme="minorHAnsi" w:cstheme="minorHAnsi"/>
                <w:color w:val="000000"/>
                <w:sz w:val="18"/>
                <w:szCs w:val="18"/>
              </w:rPr>
              <w:t xml:space="preserve">Injection </w:t>
            </w:r>
            <w:proofErr w:type="gramStart"/>
            <w:r w:rsidRPr="0040693D">
              <w:rPr>
                <w:rFonts w:asciiTheme="minorHAnsi" w:hAnsiTheme="minorHAnsi" w:cstheme="minorHAnsi"/>
                <w:color w:val="000000"/>
                <w:sz w:val="18"/>
                <w:szCs w:val="18"/>
              </w:rPr>
              <w:t>concentrate</w:t>
            </w:r>
            <w:proofErr w:type="gramEnd"/>
            <w:r w:rsidRPr="0040693D">
              <w:rPr>
                <w:rFonts w:asciiTheme="minorHAnsi" w:hAnsiTheme="minorHAnsi" w:cstheme="minorHAnsi"/>
                <w:color w:val="000000"/>
                <w:sz w:val="18"/>
                <w:szCs w:val="18"/>
              </w:rPr>
              <w:t xml:space="preserve"> for I.V. infusion 200 mg in 40 mL</w:t>
            </w:r>
          </w:p>
          <w:p w14:paraId="160262BF" w14:textId="77777777" w:rsidR="00873D3B" w:rsidRPr="00873D3B" w:rsidRDefault="00873D3B" w:rsidP="00DC3166">
            <w:pPr>
              <w:jc w:val="center"/>
              <w:rPr>
                <w:rFonts w:asciiTheme="minorHAnsi" w:hAnsiTheme="minorHAnsi" w:cstheme="minorHAnsi"/>
                <w:color w:val="000000"/>
                <w:sz w:val="18"/>
                <w:szCs w:val="18"/>
              </w:rPr>
            </w:pPr>
          </w:p>
          <w:p w14:paraId="7492F5A0" w14:textId="77777777" w:rsidR="00873D3B" w:rsidRPr="00873D3B" w:rsidRDefault="00873D3B" w:rsidP="00DC3166">
            <w:pPr>
              <w:jc w:val="center"/>
              <w:rPr>
                <w:rFonts w:asciiTheme="minorHAnsi" w:hAnsiTheme="minorHAnsi" w:cstheme="minorHAnsi"/>
                <w:color w:val="000000"/>
                <w:sz w:val="18"/>
                <w:szCs w:val="18"/>
              </w:rPr>
            </w:pPr>
            <w:r w:rsidRPr="00873D3B">
              <w:rPr>
                <w:rFonts w:asciiTheme="minorHAnsi" w:hAnsiTheme="minorHAnsi" w:cstheme="minorHAnsi"/>
                <w:color w:val="000000"/>
                <w:sz w:val="18"/>
                <w:szCs w:val="18"/>
              </w:rPr>
              <w:t>Yervoy®</w:t>
            </w:r>
          </w:p>
          <w:p w14:paraId="44E5FCD3" w14:textId="77777777" w:rsidR="00873D3B" w:rsidRPr="00873D3B" w:rsidRDefault="00873D3B" w:rsidP="00DC3166">
            <w:pPr>
              <w:jc w:val="center"/>
              <w:rPr>
                <w:rFonts w:asciiTheme="minorHAnsi" w:hAnsiTheme="minorHAnsi" w:cstheme="minorHAnsi"/>
                <w:color w:val="000000"/>
                <w:sz w:val="18"/>
                <w:szCs w:val="18"/>
              </w:rPr>
            </w:pPr>
          </w:p>
          <w:p w14:paraId="462114AD" w14:textId="77777777" w:rsidR="00873D3B" w:rsidRPr="00873D3B" w:rsidRDefault="00873D3B" w:rsidP="00DC3166">
            <w:pPr>
              <w:jc w:val="center"/>
              <w:rPr>
                <w:rFonts w:asciiTheme="minorHAnsi" w:hAnsiTheme="minorHAnsi" w:cstheme="minorHAnsi"/>
                <w:color w:val="000000"/>
                <w:sz w:val="18"/>
                <w:szCs w:val="18"/>
              </w:rPr>
            </w:pPr>
            <w:r w:rsidRPr="00873D3B">
              <w:rPr>
                <w:rFonts w:asciiTheme="minorHAnsi" w:hAnsiTheme="minorHAnsi" w:cstheme="minorHAnsi"/>
                <w:color w:val="000000"/>
                <w:sz w:val="18"/>
                <w:szCs w:val="18"/>
              </w:rPr>
              <w:t>BRISTOL-MYERS SQUIBB AUSTRALIA PTY LTD</w:t>
            </w:r>
          </w:p>
          <w:p w14:paraId="7E230B82" w14:textId="77777777" w:rsidR="00873D3B" w:rsidRPr="00873D3B" w:rsidRDefault="00873D3B" w:rsidP="00DC3166">
            <w:pPr>
              <w:jc w:val="center"/>
              <w:rPr>
                <w:rFonts w:asciiTheme="minorHAnsi" w:hAnsiTheme="minorHAnsi" w:cstheme="minorHAnsi"/>
                <w:color w:val="000000"/>
                <w:sz w:val="18"/>
                <w:szCs w:val="18"/>
              </w:rPr>
            </w:pPr>
          </w:p>
          <w:p w14:paraId="217D7230" w14:textId="67E831CE" w:rsidR="00873D3B" w:rsidRPr="00873D3B" w:rsidRDefault="00A2648A" w:rsidP="00DC3166">
            <w:pPr>
              <w:jc w:val="center"/>
              <w:rPr>
                <w:rFonts w:asciiTheme="minorHAnsi" w:hAnsiTheme="minorHAnsi" w:cstheme="minorHAnsi"/>
                <w:color w:val="000000"/>
                <w:sz w:val="18"/>
                <w:szCs w:val="18"/>
              </w:rPr>
            </w:pPr>
            <w:r>
              <w:rPr>
                <w:rFonts w:asciiTheme="minorHAnsi" w:hAnsiTheme="minorHAnsi" w:cstheme="minorHAnsi"/>
                <w:color w:val="000000"/>
                <w:sz w:val="18"/>
                <w:szCs w:val="18"/>
              </w:rPr>
              <w:t>Other matters</w:t>
            </w:r>
          </w:p>
          <w:p w14:paraId="7C7B4652" w14:textId="6EB2E291" w:rsidR="00873D3B" w:rsidRPr="006A5A05" w:rsidRDefault="00873D3B" w:rsidP="00DC3166">
            <w:pPr>
              <w:jc w:val="center"/>
              <w:rPr>
                <w:rFonts w:asciiTheme="minorHAnsi" w:hAnsiTheme="minorHAnsi" w:cstheme="minorHAnsi"/>
                <w:color w:val="000000"/>
                <w:sz w:val="18"/>
                <w:szCs w:val="18"/>
              </w:rPr>
            </w:pPr>
            <w:r w:rsidRPr="00873D3B">
              <w:rPr>
                <w:rFonts w:asciiTheme="minorHAnsi" w:hAnsiTheme="minorHAnsi" w:cstheme="minorHAnsi"/>
                <w:color w:val="000000"/>
                <w:sz w:val="18"/>
                <w:szCs w:val="18"/>
              </w:rPr>
              <w:t>(Change to existing listing</w:t>
            </w:r>
            <w:r w:rsidR="00F35931">
              <w:rPr>
                <w:rFonts w:asciiTheme="minorHAnsi" w:hAnsiTheme="minorHAnsi" w:cstheme="minorHAnsi"/>
                <w:color w:val="000000"/>
                <w:sz w:val="18"/>
                <w:szCs w:val="18"/>
              </w:rPr>
              <w:t>)</w:t>
            </w:r>
          </w:p>
        </w:tc>
        <w:tc>
          <w:tcPr>
            <w:tcW w:w="2767" w:type="dxa"/>
            <w:tcBorders>
              <w:top w:val="single" w:sz="4" w:space="0" w:color="auto"/>
              <w:left w:val="single" w:sz="4" w:space="0" w:color="auto"/>
              <w:bottom w:val="single" w:sz="4" w:space="0" w:color="auto"/>
              <w:right w:val="single" w:sz="4" w:space="0" w:color="auto"/>
            </w:tcBorders>
            <w:vAlign w:val="center"/>
          </w:tcPr>
          <w:p w14:paraId="2045C39C" w14:textId="02B214E7" w:rsidR="00873D3B" w:rsidRPr="006A5A05" w:rsidRDefault="00CA6F5C" w:rsidP="00DC3166">
            <w:pPr>
              <w:jc w:val="center"/>
              <w:rPr>
                <w:rFonts w:asciiTheme="minorHAnsi" w:hAnsiTheme="minorHAnsi" w:cstheme="minorHAnsi"/>
                <w:color w:val="000000"/>
                <w:sz w:val="18"/>
                <w:szCs w:val="18"/>
              </w:rPr>
            </w:pPr>
            <w:r w:rsidRPr="00CA6F5C">
              <w:rPr>
                <w:rFonts w:asciiTheme="minorHAnsi" w:hAnsiTheme="minorHAnsi" w:cstheme="minorHAnsi"/>
                <w:color w:val="000000"/>
                <w:sz w:val="18"/>
                <w:szCs w:val="18"/>
              </w:rPr>
              <w:t>Unresectable advanced and metastatic cancer</w:t>
            </w:r>
          </w:p>
        </w:tc>
        <w:tc>
          <w:tcPr>
            <w:tcW w:w="29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F6DE90D" w14:textId="40CA9993" w:rsidR="00873D3B" w:rsidRPr="006A5A05" w:rsidRDefault="000D31D2" w:rsidP="00DC3166">
            <w:pPr>
              <w:jc w:val="center"/>
              <w:rPr>
                <w:rFonts w:asciiTheme="minorHAnsi" w:hAnsiTheme="minorHAnsi" w:cstheme="minorHAnsi"/>
                <w:color w:val="000000"/>
                <w:sz w:val="18"/>
                <w:szCs w:val="18"/>
              </w:rPr>
            </w:pPr>
            <w:r w:rsidRPr="000D31D2">
              <w:rPr>
                <w:rFonts w:asciiTheme="minorHAnsi" w:hAnsiTheme="minorHAnsi" w:cstheme="minorHAnsi"/>
                <w:color w:val="000000"/>
                <w:sz w:val="18"/>
                <w:szCs w:val="18"/>
              </w:rPr>
              <w:t>To consider a proposal for an expanded listing to facilitate broad access for unresectable advanced and metastatic cancer.</w:t>
            </w:r>
          </w:p>
        </w:tc>
        <w:tc>
          <w:tcPr>
            <w:tcW w:w="1584" w:type="dxa"/>
            <w:vAlign w:val="center"/>
          </w:tcPr>
          <w:p w14:paraId="26926619" w14:textId="13083362" w:rsidR="00873D3B" w:rsidRPr="006A5A05" w:rsidDel="008F66B5" w:rsidRDefault="00651019" w:rsidP="00DC3166">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Deferred</w:t>
            </w:r>
          </w:p>
        </w:tc>
        <w:tc>
          <w:tcPr>
            <w:tcW w:w="4836" w:type="dxa"/>
          </w:tcPr>
          <w:p w14:paraId="4B4542ED" w14:textId="26A4BBFE" w:rsidR="00873D3B" w:rsidRPr="0052378A" w:rsidDel="008F66B5" w:rsidRDefault="4FC01802" w:rsidP="00DC3166">
            <w:pPr>
              <w:jc w:val="both"/>
              <w:rPr>
                <w:rFonts w:ascii="Calibri" w:eastAsia="Calibri" w:hAnsi="Calibri" w:cs="Calibri"/>
                <w:sz w:val="18"/>
                <w:szCs w:val="18"/>
              </w:rPr>
            </w:pPr>
            <w:r w:rsidRPr="0052378A">
              <w:rPr>
                <w:rFonts w:ascii="Calibri" w:eastAsia="Calibri" w:hAnsi="Calibri" w:cs="Calibri"/>
                <w:sz w:val="18"/>
                <w:szCs w:val="18"/>
              </w:rPr>
              <w:t>The PBAC deferred making a recommendation for an expanded listing of nivolumab and ipilimumab for a multi-indication (broad) listing in unresectable advanced or metastatic cancers. The PBAC considered the most recent proposal from the sponsor had met the majority of its expectations to support a broad listing but considered further discussions were required to finalise the requirements of the Risk Sharing Arrangement (RSA) and financial estimates to ensure the price at which the drugs would be supplied would be cost-effective in all treatment scenarios covered by the listing and the financial risk was acceptably shared between the sponsor and the Commonwealth.</w:t>
            </w:r>
          </w:p>
          <w:p w14:paraId="182B570E" w14:textId="2AE28327" w:rsidR="00873D3B" w:rsidRPr="0052378A" w:rsidDel="008F66B5" w:rsidRDefault="4FC01802" w:rsidP="00DC3166">
            <w:pPr>
              <w:spacing w:before="240"/>
              <w:jc w:val="both"/>
              <w:rPr>
                <w:rFonts w:ascii="Calibri" w:eastAsia="Calibri" w:hAnsi="Calibri" w:cs="Calibri"/>
                <w:sz w:val="18"/>
                <w:szCs w:val="18"/>
              </w:rPr>
            </w:pPr>
            <w:r w:rsidRPr="0052378A">
              <w:rPr>
                <w:rFonts w:ascii="Calibri" w:eastAsia="Calibri" w:hAnsi="Calibri" w:cs="Calibri"/>
                <w:sz w:val="18"/>
                <w:szCs w:val="18"/>
              </w:rPr>
              <w:t>The PBAC welcomed the approach of the proposal which would provide clinician discretion to use the medicines in an evidence-based manner and provide access to patient groups with rare cancers where there was evidence of benefit, but for which it was unlikely that a submission for PBS listing for the specific indications would be made.</w:t>
            </w:r>
          </w:p>
          <w:p w14:paraId="236FA060" w14:textId="4AF4F39A" w:rsidR="00873D3B" w:rsidRPr="0052378A" w:rsidDel="008F66B5" w:rsidRDefault="4FC01802" w:rsidP="00DC3166">
            <w:pPr>
              <w:spacing w:before="240"/>
              <w:jc w:val="both"/>
              <w:rPr>
                <w:rFonts w:ascii="Calibri" w:eastAsia="Calibri" w:hAnsi="Calibri" w:cs="Calibri"/>
                <w:sz w:val="18"/>
                <w:szCs w:val="18"/>
              </w:rPr>
            </w:pPr>
            <w:r w:rsidRPr="0052378A">
              <w:rPr>
                <w:rFonts w:ascii="Calibri" w:eastAsia="Calibri" w:hAnsi="Calibri" w:cs="Calibri"/>
                <w:sz w:val="18"/>
                <w:szCs w:val="18"/>
              </w:rPr>
              <w:t>The PBAC noted that, should a broad listing proceed, it would be necessary for the sponsor and clinical community to ensure utilisation of the listing occurred consistent with the intent of the listing. That is, that the medicines would be supplied under the PBS only for indications for which there was evidence to support a reasonable expectation of efficacy and a positive benefit to risk balance for that condition. As such, the PBAC welcomed the sponsor’s intention to develop supporting prescriber educational and evidence-based resources to support the listing if it were to be recommended and implemented.</w:t>
            </w:r>
          </w:p>
          <w:p w14:paraId="759B0A7E" w14:textId="77777777" w:rsidR="00873D3B" w:rsidRPr="0052378A" w:rsidRDefault="4FC01802" w:rsidP="00DC3166">
            <w:pPr>
              <w:spacing w:before="240"/>
              <w:jc w:val="both"/>
              <w:rPr>
                <w:rFonts w:ascii="Calibri" w:eastAsia="Calibri" w:hAnsi="Calibri" w:cs="Calibri"/>
                <w:sz w:val="18"/>
                <w:szCs w:val="18"/>
              </w:rPr>
            </w:pPr>
            <w:r w:rsidRPr="0052378A">
              <w:rPr>
                <w:rFonts w:ascii="Calibri" w:eastAsia="Calibri" w:hAnsi="Calibri" w:cs="Calibri"/>
                <w:sz w:val="18"/>
                <w:szCs w:val="18"/>
              </w:rPr>
              <w:t>The PBAC asked that the sponsor consider the proposed amendments to the financial estimates and RSA structure and provide a revised proposal aligned with these for consideration at the next available opportunity.</w:t>
            </w:r>
          </w:p>
          <w:p w14:paraId="2A24C35D" w14:textId="77777777" w:rsidR="007C0F9C" w:rsidRDefault="0052378A" w:rsidP="00DC3166">
            <w:pPr>
              <w:spacing w:before="240"/>
              <w:jc w:val="both"/>
              <w:rPr>
                <w:rFonts w:ascii="Calibri" w:eastAsia="Calibri" w:hAnsi="Calibri" w:cs="Calibri"/>
                <w:sz w:val="18"/>
                <w:szCs w:val="18"/>
              </w:rPr>
            </w:pPr>
            <w:r w:rsidRPr="007C0F9C">
              <w:rPr>
                <w:rFonts w:ascii="Calibri" w:eastAsia="Calibri" w:hAnsi="Calibri" w:cs="Calibri"/>
                <w:sz w:val="18"/>
                <w:szCs w:val="18"/>
                <w:u w:val="single"/>
              </w:rPr>
              <w:t>Sponsor’s comment:</w:t>
            </w:r>
            <w:r w:rsidRPr="0052378A">
              <w:rPr>
                <w:rFonts w:ascii="Calibri" w:eastAsia="Calibri" w:hAnsi="Calibri" w:cs="Calibri"/>
                <w:sz w:val="18"/>
                <w:szCs w:val="18"/>
              </w:rPr>
              <w:t xml:space="preserve"> </w:t>
            </w:r>
          </w:p>
          <w:p w14:paraId="5963A6C5" w14:textId="06E56A1E" w:rsidR="0052378A" w:rsidRPr="0052378A" w:rsidDel="008F66B5" w:rsidRDefault="0052378A" w:rsidP="007C0F9C">
            <w:pPr>
              <w:jc w:val="both"/>
              <w:rPr>
                <w:rFonts w:ascii="Calibri" w:eastAsia="Calibri" w:hAnsi="Calibri" w:cs="Calibri"/>
                <w:sz w:val="18"/>
                <w:szCs w:val="18"/>
              </w:rPr>
            </w:pPr>
            <w:r w:rsidRPr="0052378A">
              <w:rPr>
                <w:rFonts w:ascii="Calibri" w:eastAsia="Calibri" w:hAnsi="Calibri" w:cs="Calibri"/>
                <w:sz w:val="18"/>
                <w:szCs w:val="18"/>
              </w:rPr>
              <w:t>While disappointed that the PBAC has deferred a decision with regards to this submission to broaden the PBS listing for OPDIVO (nivolumab) and YERVOY (ipilimumab) at the July PBAC meeting, Bristol Myers Squibb Australia (BMSA) remains committed to working with the PBAC to navigate a prompt pathway to approval.​</w:t>
            </w:r>
          </w:p>
        </w:tc>
      </w:tr>
      <w:tr w:rsidR="003411B8" w:rsidRPr="008059F4" w:rsidDel="008F66B5" w14:paraId="41B47CB4" w14:textId="462C667B" w:rsidTr="000514D7">
        <w:trPr>
          <w:cantSplit/>
          <w:trHeight w:val="2429"/>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F05F922" w14:textId="23DFC861" w:rsidR="00EC00A2" w:rsidRPr="006A5A05" w:rsidRDefault="003411B8" w:rsidP="00DC3166">
            <w:pPr>
              <w:jc w:val="center"/>
              <w:rPr>
                <w:rFonts w:asciiTheme="minorHAnsi" w:eastAsia="Calibri" w:hAnsiTheme="minorHAnsi" w:cstheme="minorHAnsi"/>
                <w:color w:val="000000" w:themeColor="text1"/>
                <w:sz w:val="18"/>
                <w:szCs w:val="18"/>
              </w:rPr>
            </w:pPr>
            <w:r w:rsidRPr="006A5A05">
              <w:rPr>
                <w:rFonts w:asciiTheme="minorHAnsi" w:hAnsiTheme="minorHAnsi" w:cstheme="minorHAnsi"/>
                <w:color w:val="000000"/>
                <w:sz w:val="18"/>
                <w:szCs w:val="18"/>
              </w:rPr>
              <w:t>OCRELIZUMAB</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 xml:space="preserve">Solution for subcutaneous injection 920 mg in 23 mL </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Ocrevus</w:t>
            </w:r>
            <w:r w:rsidRPr="006A5A05">
              <w:rPr>
                <w:rFonts w:asciiTheme="minorHAnsi" w:hAnsiTheme="minorHAnsi" w:cstheme="minorHAnsi"/>
                <w:color w:val="000000"/>
                <w:sz w:val="18"/>
                <w:szCs w:val="18"/>
                <w:vertAlign w:val="superscript"/>
              </w:rPr>
              <w:t>®</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ROCHE PRODUCTS PTY LTD</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r>
            <w:r w:rsidR="00EC00A2" w:rsidRPr="006A5A05">
              <w:rPr>
                <w:rFonts w:asciiTheme="minorHAnsi" w:eastAsia="Calibri" w:hAnsiTheme="minorHAnsi" w:cstheme="minorHAnsi"/>
                <w:color w:val="000000" w:themeColor="text1"/>
                <w:sz w:val="18"/>
                <w:szCs w:val="18"/>
              </w:rPr>
              <w:t xml:space="preserve">Category </w:t>
            </w:r>
            <w:r w:rsidR="00470274">
              <w:rPr>
                <w:rFonts w:asciiTheme="minorHAnsi" w:eastAsia="Calibri" w:hAnsiTheme="minorHAnsi" w:cstheme="minorHAnsi"/>
                <w:color w:val="000000" w:themeColor="text1"/>
                <w:sz w:val="18"/>
                <w:szCs w:val="18"/>
              </w:rPr>
              <w:t>4</w:t>
            </w:r>
          </w:p>
          <w:p w14:paraId="7DF55830" w14:textId="2F4431EC" w:rsidR="003411B8" w:rsidRPr="006A5A05" w:rsidRDefault="003411B8"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vAlign w:val="center"/>
          </w:tcPr>
          <w:p w14:paraId="6D779DF2" w14:textId="00E0CF83" w:rsidR="003411B8" w:rsidRPr="006A5A05" w:rsidRDefault="003411B8"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Relapsing-remitting multiple sclerosis (RRMS)</w:t>
            </w:r>
          </w:p>
        </w:tc>
        <w:tc>
          <w:tcPr>
            <w:tcW w:w="29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53A8F93" w14:textId="1B21F5D6" w:rsidR="003411B8" w:rsidRPr="006A5A05" w:rsidRDefault="003411B8"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To request Section 100 (Highly Specialised Drugs Program) Authority Required (STREAMLINED) listings of a new form for the treatment of RRMS.</w:t>
            </w:r>
          </w:p>
        </w:tc>
        <w:tc>
          <w:tcPr>
            <w:tcW w:w="1584" w:type="dxa"/>
            <w:tcBorders>
              <w:top w:val="single" w:sz="4" w:space="0" w:color="auto"/>
              <w:left w:val="single" w:sz="4" w:space="0" w:color="auto"/>
              <w:bottom w:val="single" w:sz="4" w:space="0" w:color="auto"/>
              <w:right w:val="single" w:sz="4" w:space="0" w:color="auto"/>
            </w:tcBorders>
            <w:vAlign w:val="center"/>
          </w:tcPr>
          <w:p w14:paraId="03001D80" w14:textId="09B94370" w:rsidR="003411B8" w:rsidRPr="006A5A05" w:rsidDel="008F66B5" w:rsidRDefault="0069782E" w:rsidP="00DC3166">
            <w:pPr>
              <w:pStyle w:val="ListParagraph"/>
              <w:keepLines/>
              <w:ind w:left="0"/>
              <w:jc w:val="center"/>
              <w:rPr>
                <w:rFonts w:asciiTheme="minorHAnsi" w:hAnsiTheme="minorHAnsi" w:cstheme="minorHAnsi"/>
                <w:color w:val="000000"/>
                <w:sz w:val="18"/>
                <w:szCs w:val="18"/>
              </w:rPr>
            </w:pPr>
            <w:r w:rsidRPr="0069782E">
              <w:rPr>
                <w:rFonts w:asciiTheme="minorHAnsi" w:hAnsiTheme="minorHAnsi" w:cstheme="minorHAnsi"/>
                <w:color w:val="000000"/>
                <w:sz w:val="18"/>
                <w:szCs w:val="18"/>
              </w:rPr>
              <w:t>Recommended</w:t>
            </w:r>
          </w:p>
        </w:tc>
        <w:tc>
          <w:tcPr>
            <w:tcW w:w="4836" w:type="dxa"/>
            <w:tcBorders>
              <w:top w:val="single" w:sz="4" w:space="0" w:color="auto"/>
              <w:left w:val="single" w:sz="4" w:space="0" w:color="auto"/>
              <w:bottom w:val="single" w:sz="4" w:space="0" w:color="auto"/>
              <w:right w:val="single" w:sz="4" w:space="0" w:color="auto"/>
            </w:tcBorders>
          </w:tcPr>
          <w:p w14:paraId="36785728" w14:textId="692E93C0" w:rsidR="003411B8" w:rsidRPr="00F03408" w:rsidDel="008F66B5" w:rsidRDefault="008F2F1D" w:rsidP="00DC3166">
            <w:pPr>
              <w:jc w:val="both"/>
            </w:pPr>
            <w:r w:rsidRPr="008444FE">
              <w:rPr>
                <w:rFonts w:asciiTheme="minorHAnsi" w:hAnsiTheme="minorHAnsi" w:cstheme="minorHAnsi"/>
                <w:sz w:val="18"/>
                <w:szCs w:val="18"/>
              </w:rPr>
              <w:t xml:space="preserve">The PBAC recommended the listing of a new form of ocrelizumab (solution for subcutaneous injection 920 mg in 23 mL; ocrelizumab SC) under the same circumstances as the PBS-listed ocrelizumab solution concentrate for intravenous infusion 300 mg in 10 mL (ocrelizumab IV), for the treatment of adult patients with </w:t>
            </w:r>
            <w:r w:rsidR="008444FE">
              <w:rPr>
                <w:rFonts w:asciiTheme="minorHAnsi" w:hAnsiTheme="minorHAnsi" w:cstheme="minorHAnsi"/>
                <w:sz w:val="18"/>
                <w:szCs w:val="18"/>
              </w:rPr>
              <w:t>RRMS</w:t>
            </w:r>
            <w:r w:rsidRPr="008444FE">
              <w:rPr>
                <w:rFonts w:asciiTheme="minorHAnsi" w:hAnsiTheme="minorHAnsi" w:cstheme="minorHAnsi"/>
                <w:sz w:val="18"/>
                <w:szCs w:val="18"/>
              </w:rPr>
              <w:t xml:space="preserve">. </w:t>
            </w:r>
            <w:r w:rsidRPr="008444FE">
              <w:rPr>
                <w:rFonts w:asciiTheme="minorHAnsi" w:hAnsiTheme="minorHAnsi" w:cstheme="minorHAnsi"/>
                <w:bCs/>
                <w:sz w:val="18"/>
                <w:szCs w:val="18"/>
              </w:rPr>
              <w:t xml:space="preserve">The PBAC advised the equi-effective doses </w:t>
            </w:r>
            <w:r w:rsidRPr="008444FE">
              <w:rPr>
                <w:rFonts w:asciiTheme="minorHAnsi" w:hAnsiTheme="minorHAnsi" w:cstheme="minorHAnsi"/>
                <w:sz w:val="18"/>
                <w:szCs w:val="18"/>
              </w:rPr>
              <w:t xml:space="preserve">to be a single dose of ocrelizumab SC 920 mg in 23 mL to ocrelizumab IV 300 mg in 10 mL, two vials as a single infusion (600 mg), administered every six months. </w:t>
            </w:r>
          </w:p>
        </w:tc>
      </w:tr>
      <w:tr w:rsidR="008F16D6" w:rsidRPr="008059F4" w:rsidDel="008F66B5" w14:paraId="77D7FE64" w14:textId="77777777" w:rsidTr="09589B60">
        <w:trPr>
          <w:cantSplit/>
          <w:trHeight w:val="2948"/>
        </w:trPr>
        <w:tc>
          <w:tcPr>
            <w:tcW w:w="3016" w:type="dxa"/>
            <w:tcMar>
              <w:top w:w="28" w:type="dxa"/>
              <w:bottom w:w="28" w:type="dxa"/>
            </w:tcMar>
            <w:vAlign w:val="center"/>
          </w:tcPr>
          <w:p w14:paraId="1C070E2D" w14:textId="77777777" w:rsidR="008F16D6" w:rsidRDefault="008F16D6" w:rsidP="00DC3166">
            <w:pPr>
              <w:jc w:val="center"/>
              <w:rPr>
                <w:rFonts w:asciiTheme="minorHAnsi" w:hAnsiTheme="minorHAnsi" w:cstheme="minorHAnsi"/>
                <w:color w:val="000000"/>
                <w:sz w:val="18"/>
                <w:szCs w:val="18"/>
              </w:rPr>
            </w:pPr>
            <w:r w:rsidRPr="00676069">
              <w:rPr>
                <w:rFonts w:asciiTheme="minorHAnsi" w:hAnsiTheme="minorHAnsi" w:cstheme="minorHAnsi"/>
                <w:color w:val="000000"/>
                <w:sz w:val="18"/>
                <w:szCs w:val="18"/>
              </w:rPr>
              <w:t>ODEVIXIBAT</w:t>
            </w:r>
          </w:p>
          <w:p w14:paraId="55B79F5A" w14:textId="77777777" w:rsidR="008F16D6" w:rsidRDefault="008F16D6" w:rsidP="00DC3166">
            <w:pPr>
              <w:jc w:val="center"/>
              <w:rPr>
                <w:rFonts w:asciiTheme="minorHAnsi" w:hAnsiTheme="minorHAnsi" w:cstheme="minorHAnsi"/>
                <w:color w:val="000000"/>
                <w:sz w:val="18"/>
                <w:szCs w:val="18"/>
              </w:rPr>
            </w:pPr>
          </w:p>
          <w:p w14:paraId="006912B8" w14:textId="44D93066" w:rsidR="008F16D6" w:rsidRPr="002174AB" w:rsidRDefault="008F16D6" w:rsidP="00DC3166">
            <w:pPr>
              <w:jc w:val="center"/>
              <w:rPr>
                <w:rFonts w:asciiTheme="minorHAnsi" w:hAnsiTheme="minorHAnsi" w:cstheme="minorHAnsi"/>
                <w:color w:val="000000"/>
                <w:sz w:val="18"/>
                <w:szCs w:val="18"/>
              </w:rPr>
            </w:pPr>
            <w:r w:rsidRPr="002174AB">
              <w:rPr>
                <w:rFonts w:asciiTheme="minorHAnsi" w:hAnsiTheme="minorHAnsi" w:cstheme="minorHAnsi"/>
                <w:color w:val="000000"/>
                <w:sz w:val="18"/>
                <w:szCs w:val="18"/>
              </w:rPr>
              <w:t>Capsule 200 micrograms</w:t>
            </w:r>
          </w:p>
          <w:p w14:paraId="59FFDA35" w14:textId="77777777" w:rsidR="008F16D6" w:rsidRPr="002174AB" w:rsidRDefault="008F16D6" w:rsidP="00DC3166">
            <w:pPr>
              <w:jc w:val="center"/>
              <w:rPr>
                <w:rFonts w:asciiTheme="minorHAnsi" w:hAnsiTheme="minorHAnsi" w:cstheme="minorHAnsi"/>
                <w:color w:val="000000"/>
                <w:sz w:val="18"/>
                <w:szCs w:val="18"/>
              </w:rPr>
            </w:pPr>
            <w:r w:rsidRPr="002174AB">
              <w:rPr>
                <w:rFonts w:asciiTheme="minorHAnsi" w:hAnsiTheme="minorHAnsi" w:cstheme="minorHAnsi"/>
                <w:color w:val="000000"/>
                <w:sz w:val="18"/>
                <w:szCs w:val="18"/>
              </w:rPr>
              <w:t>Capsule 400 micrograms</w:t>
            </w:r>
          </w:p>
          <w:p w14:paraId="47631A64" w14:textId="77777777" w:rsidR="008F16D6" w:rsidRPr="002174AB" w:rsidRDefault="008F16D6" w:rsidP="00DC3166">
            <w:pPr>
              <w:jc w:val="center"/>
              <w:rPr>
                <w:rFonts w:asciiTheme="minorHAnsi" w:hAnsiTheme="minorHAnsi" w:cstheme="minorHAnsi"/>
                <w:color w:val="000000"/>
                <w:sz w:val="18"/>
                <w:szCs w:val="18"/>
              </w:rPr>
            </w:pPr>
            <w:r w:rsidRPr="002174AB">
              <w:rPr>
                <w:rFonts w:asciiTheme="minorHAnsi" w:hAnsiTheme="minorHAnsi" w:cstheme="minorHAnsi"/>
                <w:color w:val="000000"/>
                <w:sz w:val="18"/>
                <w:szCs w:val="18"/>
              </w:rPr>
              <w:t>Capsule 600 micrograms</w:t>
            </w:r>
          </w:p>
          <w:p w14:paraId="3FF84F36" w14:textId="3392B03B" w:rsidR="008F16D6" w:rsidRDefault="008F16D6" w:rsidP="00DC3166">
            <w:pPr>
              <w:jc w:val="center"/>
              <w:rPr>
                <w:rFonts w:asciiTheme="minorHAnsi" w:hAnsiTheme="minorHAnsi" w:cstheme="minorHAnsi"/>
                <w:color w:val="000000"/>
                <w:sz w:val="18"/>
                <w:szCs w:val="18"/>
              </w:rPr>
            </w:pPr>
            <w:r w:rsidRPr="002174AB">
              <w:rPr>
                <w:rFonts w:asciiTheme="minorHAnsi" w:hAnsiTheme="minorHAnsi" w:cstheme="minorHAnsi"/>
                <w:color w:val="000000"/>
                <w:sz w:val="18"/>
                <w:szCs w:val="18"/>
              </w:rPr>
              <w:t>Capsule 1200 micrograms</w:t>
            </w:r>
          </w:p>
          <w:p w14:paraId="34039F23" w14:textId="77777777" w:rsidR="008F16D6" w:rsidRDefault="008F16D6" w:rsidP="00DC3166">
            <w:pPr>
              <w:jc w:val="center"/>
              <w:rPr>
                <w:rFonts w:asciiTheme="minorHAnsi" w:hAnsiTheme="minorHAnsi" w:cstheme="minorHAnsi"/>
                <w:color w:val="000000"/>
                <w:sz w:val="18"/>
                <w:szCs w:val="18"/>
              </w:rPr>
            </w:pPr>
          </w:p>
          <w:p w14:paraId="09FCD75D" w14:textId="77777777" w:rsidR="008F16D6" w:rsidRDefault="008F16D6" w:rsidP="00DC3166">
            <w:pPr>
              <w:jc w:val="center"/>
              <w:rPr>
                <w:rFonts w:asciiTheme="minorHAnsi" w:hAnsiTheme="minorHAnsi" w:cstheme="minorHAnsi"/>
                <w:color w:val="000000"/>
                <w:sz w:val="18"/>
                <w:szCs w:val="18"/>
              </w:rPr>
            </w:pPr>
            <w:proofErr w:type="spellStart"/>
            <w:r w:rsidRPr="00530A94">
              <w:rPr>
                <w:rFonts w:asciiTheme="minorHAnsi" w:hAnsiTheme="minorHAnsi" w:cstheme="minorHAnsi"/>
                <w:color w:val="000000"/>
                <w:sz w:val="18"/>
                <w:szCs w:val="18"/>
              </w:rPr>
              <w:t>Bylvay</w:t>
            </w:r>
            <w:proofErr w:type="spellEnd"/>
            <w:r w:rsidRPr="00530A94">
              <w:rPr>
                <w:rFonts w:asciiTheme="minorHAnsi" w:hAnsiTheme="minorHAnsi" w:cstheme="minorHAnsi"/>
                <w:color w:val="000000"/>
                <w:sz w:val="18"/>
                <w:szCs w:val="18"/>
              </w:rPr>
              <w:t>®</w:t>
            </w:r>
          </w:p>
          <w:p w14:paraId="43DEAF80" w14:textId="77777777" w:rsidR="008F16D6" w:rsidRDefault="008F16D6" w:rsidP="00DC3166">
            <w:pPr>
              <w:jc w:val="center"/>
              <w:rPr>
                <w:rFonts w:asciiTheme="minorHAnsi" w:hAnsiTheme="minorHAnsi" w:cstheme="minorHAnsi"/>
                <w:color w:val="000000"/>
                <w:sz w:val="18"/>
                <w:szCs w:val="18"/>
              </w:rPr>
            </w:pPr>
          </w:p>
          <w:p w14:paraId="50FF9B7D" w14:textId="77777777" w:rsidR="008F16D6" w:rsidRDefault="008F16D6" w:rsidP="00DC3166">
            <w:pPr>
              <w:jc w:val="center"/>
              <w:rPr>
                <w:rFonts w:asciiTheme="minorHAnsi" w:hAnsiTheme="minorHAnsi" w:cstheme="minorHAnsi"/>
                <w:color w:val="000000"/>
                <w:sz w:val="18"/>
                <w:szCs w:val="18"/>
              </w:rPr>
            </w:pPr>
            <w:r w:rsidRPr="00AD5BB5">
              <w:rPr>
                <w:rFonts w:asciiTheme="minorHAnsi" w:hAnsiTheme="minorHAnsi" w:cstheme="minorHAnsi"/>
                <w:color w:val="000000"/>
                <w:sz w:val="18"/>
                <w:szCs w:val="18"/>
              </w:rPr>
              <w:t>IPSEN PTY LTD</w:t>
            </w:r>
          </w:p>
          <w:p w14:paraId="78FCEA04" w14:textId="39A4C396" w:rsidR="008F16D6" w:rsidRDefault="008F16D6" w:rsidP="00DC3166">
            <w:pPr>
              <w:jc w:val="center"/>
              <w:rPr>
                <w:rFonts w:asciiTheme="minorHAnsi" w:hAnsiTheme="minorHAnsi" w:cstheme="minorHAnsi"/>
                <w:color w:val="000000"/>
                <w:sz w:val="18"/>
                <w:szCs w:val="18"/>
              </w:rPr>
            </w:pPr>
          </w:p>
          <w:p w14:paraId="107C8F86" w14:textId="6AD75A32" w:rsidR="000017FE" w:rsidRDefault="000017FE" w:rsidP="00DC3166">
            <w:pPr>
              <w:jc w:val="center"/>
              <w:rPr>
                <w:rFonts w:asciiTheme="minorHAnsi" w:hAnsiTheme="minorHAnsi" w:cstheme="minorHAnsi"/>
                <w:color w:val="000000"/>
                <w:sz w:val="18"/>
                <w:szCs w:val="18"/>
              </w:rPr>
            </w:pPr>
            <w:r>
              <w:rPr>
                <w:rFonts w:asciiTheme="minorHAnsi" w:hAnsiTheme="minorHAnsi" w:cstheme="minorHAnsi"/>
                <w:color w:val="000000"/>
                <w:sz w:val="18"/>
                <w:szCs w:val="18"/>
              </w:rPr>
              <w:t>Matters arising from the minutes</w:t>
            </w:r>
          </w:p>
          <w:p w14:paraId="31A17941" w14:textId="112876F2" w:rsidR="008F16D6" w:rsidRPr="006A5A05" w:rsidRDefault="000017FE" w:rsidP="00DC3166">
            <w:pPr>
              <w:jc w:val="center"/>
              <w:rPr>
                <w:rFonts w:asciiTheme="minorHAnsi" w:hAnsiTheme="minorHAnsi" w:cstheme="minorHAnsi"/>
                <w:color w:val="000000"/>
                <w:sz w:val="18"/>
                <w:szCs w:val="18"/>
              </w:rPr>
            </w:pPr>
            <w:r>
              <w:rPr>
                <w:rFonts w:asciiTheme="minorHAnsi" w:hAnsiTheme="minorHAnsi" w:cstheme="minorHAnsi"/>
                <w:color w:val="000000"/>
                <w:sz w:val="18"/>
                <w:szCs w:val="18"/>
              </w:rPr>
              <w:t>(</w:t>
            </w:r>
            <w:r w:rsidR="008F16D6" w:rsidRPr="00A321AA">
              <w:rPr>
                <w:rFonts w:asciiTheme="minorHAnsi" w:hAnsiTheme="minorHAnsi" w:cstheme="minorHAnsi"/>
                <w:color w:val="000000"/>
                <w:sz w:val="18"/>
                <w:szCs w:val="18"/>
              </w:rPr>
              <w:t>New PBS listing</w:t>
            </w:r>
            <w:r>
              <w:rPr>
                <w:rFonts w:asciiTheme="minorHAnsi" w:hAnsiTheme="minorHAnsi" w:cstheme="minorHAnsi"/>
                <w:color w:val="000000"/>
                <w:sz w:val="18"/>
                <w:szCs w:val="18"/>
              </w:rPr>
              <w:t>)</w:t>
            </w:r>
          </w:p>
        </w:tc>
        <w:tc>
          <w:tcPr>
            <w:tcW w:w="2767" w:type="dxa"/>
            <w:vAlign w:val="center"/>
          </w:tcPr>
          <w:p w14:paraId="1AB584BD" w14:textId="3FD4DCC8" w:rsidR="008F16D6" w:rsidRPr="006A5A05" w:rsidRDefault="008F16D6" w:rsidP="00DC3166">
            <w:pPr>
              <w:jc w:val="center"/>
              <w:rPr>
                <w:rFonts w:asciiTheme="minorHAnsi" w:hAnsiTheme="minorHAnsi" w:cstheme="minorHAnsi"/>
                <w:color w:val="000000"/>
                <w:sz w:val="18"/>
                <w:szCs w:val="18"/>
              </w:rPr>
            </w:pPr>
            <w:r w:rsidRPr="00DC1704">
              <w:rPr>
                <w:rFonts w:asciiTheme="minorHAnsi" w:hAnsiTheme="minorHAnsi" w:cstheme="minorHAnsi"/>
                <w:color w:val="000000"/>
                <w:sz w:val="18"/>
                <w:szCs w:val="18"/>
              </w:rPr>
              <w:t>Progressive familial intrahepatic cholestasis (PFIC)</w:t>
            </w:r>
          </w:p>
        </w:tc>
        <w:tc>
          <w:tcPr>
            <w:tcW w:w="2976" w:type="dxa"/>
            <w:tcMar>
              <w:top w:w="28" w:type="dxa"/>
              <w:bottom w:w="28" w:type="dxa"/>
            </w:tcMar>
            <w:vAlign w:val="center"/>
          </w:tcPr>
          <w:p w14:paraId="40B1FD22" w14:textId="6426B055" w:rsidR="008F16D6" w:rsidRPr="006A5A05" w:rsidRDefault="008F16D6" w:rsidP="00DC3166">
            <w:pPr>
              <w:jc w:val="center"/>
              <w:rPr>
                <w:rFonts w:asciiTheme="minorHAnsi" w:hAnsiTheme="minorHAnsi" w:cstheme="minorHAnsi"/>
                <w:color w:val="000000"/>
                <w:sz w:val="18"/>
                <w:szCs w:val="18"/>
              </w:rPr>
            </w:pPr>
            <w:r w:rsidRPr="00A53A3D">
              <w:rPr>
                <w:rFonts w:asciiTheme="minorHAnsi" w:hAnsiTheme="minorHAnsi" w:cstheme="minorHAnsi"/>
                <w:color w:val="000000"/>
                <w:sz w:val="18"/>
                <w:szCs w:val="18"/>
              </w:rPr>
              <w:t>Resubmission to request a Section 100 (Highly Specialised Drugs Program) Authority Required (STREAMLINED) listing for the treatment of PFIC.</w:t>
            </w:r>
          </w:p>
        </w:tc>
        <w:tc>
          <w:tcPr>
            <w:tcW w:w="1584" w:type="dxa"/>
            <w:tcBorders>
              <w:top w:val="single" w:sz="4" w:space="0" w:color="auto"/>
              <w:left w:val="single" w:sz="4" w:space="0" w:color="auto"/>
              <w:bottom w:val="single" w:sz="4" w:space="0" w:color="auto"/>
              <w:right w:val="single" w:sz="4" w:space="0" w:color="auto"/>
            </w:tcBorders>
            <w:vAlign w:val="center"/>
          </w:tcPr>
          <w:p w14:paraId="0748DD38" w14:textId="49DA634B" w:rsidR="008F16D6" w:rsidRPr="006A5A05" w:rsidDel="008F66B5" w:rsidRDefault="008F16D6" w:rsidP="00DC3166">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Recommended</w:t>
            </w:r>
          </w:p>
        </w:tc>
        <w:tc>
          <w:tcPr>
            <w:tcW w:w="4836" w:type="dxa"/>
            <w:tcBorders>
              <w:top w:val="single" w:sz="4" w:space="0" w:color="auto"/>
              <w:left w:val="single" w:sz="4" w:space="0" w:color="auto"/>
              <w:bottom w:val="single" w:sz="4" w:space="0" w:color="auto"/>
              <w:right w:val="single" w:sz="4" w:space="0" w:color="auto"/>
            </w:tcBorders>
            <w:vAlign w:val="center"/>
          </w:tcPr>
          <w:p w14:paraId="115B54FC" w14:textId="66E31A5C" w:rsidR="008F16D6" w:rsidRPr="00C931F5" w:rsidDel="008F66B5" w:rsidRDefault="00472E55" w:rsidP="00DC3166">
            <w:pPr>
              <w:rPr>
                <w:rFonts w:asciiTheme="minorHAnsi" w:hAnsiTheme="minorHAnsi" w:cstheme="minorHAnsi"/>
                <w:color w:val="000000"/>
                <w:sz w:val="18"/>
                <w:szCs w:val="18"/>
              </w:rPr>
            </w:pPr>
            <w:r w:rsidRPr="00DE3723">
              <w:rPr>
                <w:rFonts w:asciiTheme="minorHAnsi" w:hAnsiTheme="minorHAnsi" w:cstheme="minorHAnsi"/>
                <w:color w:val="000000"/>
                <w:sz w:val="18"/>
                <w:szCs w:val="18"/>
              </w:rPr>
              <w:t>The PBAC recommended the PBS listing of odevixibat for the treatment of PFIC. The PBAC recognised that there was a high clinical need for treatments for this rare condition and recalled that it had previously considered that odevixibat was superior compared to the nominated comparator, standard of care. The PBAC considered that the outstanding issues from the March 2025 resubmission had been addressed, including revised restrictions, a reduced price, which resulted in a cost per patient per year that was considered cost-effective, and revised financial estimates.  Further, the PBAC considered that a risk sharing arrangement would mitigate financial risks associated with utilisation that is not cost-effective such as dose escalation and in patients who do not respond to treatment.</w:t>
            </w:r>
            <w:r w:rsidRPr="00BD0C9E">
              <w:rPr>
                <w:rFonts w:asciiTheme="minorHAnsi" w:hAnsiTheme="minorHAnsi" w:cstheme="minorHAnsi"/>
                <w:color w:val="000000"/>
                <w:sz w:val="18"/>
                <w:szCs w:val="18"/>
              </w:rPr>
              <w:t xml:space="preserve"> </w:t>
            </w:r>
          </w:p>
        </w:tc>
      </w:tr>
      <w:tr w:rsidR="00445773" w:rsidRPr="008059F4" w:rsidDel="008F66B5" w14:paraId="76945031" w14:textId="50AC5688" w:rsidTr="09589B60">
        <w:trPr>
          <w:cantSplit/>
          <w:trHeight w:val="188"/>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D34FB26" w14:textId="0FC37EB7" w:rsidR="00EC00A2" w:rsidRPr="006A5A05" w:rsidRDefault="006F43C1" w:rsidP="00DC3166">
            <w:pPr>
              <w:jc w:val="center"/>
              <w:rPr>
                <w:rFonts w:asciiTheme="minorHAnsi" w:eastAsia="Calibri" w:hAnsiTheme="minorHAnsi" w:cstheme="minorHAnsi"/>
                <w:color w:val="000000" w:themeColor="text1"/>
                <w:sz w:val="18"/>
                <w:szCs w:val="18"/>
              </w:rPr>
            </w:pPr>
            <w:r w:rsidRPr="00F657EC">
              <w:rPr>
                <w:rFonts w:asciiTheme="minorHAnsi" w:hAnsiTheme="minorHAnsi" w:cstheme="minorHAnsi"/>
                <w:color w:val="000000"/>
                <w:sz w:val="18"/>
                <w:szCs w:val="18"/>
              </w:rPr>
              <w:t>OSIMERTINIB</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Tablet 40 mg</w:t>
            </w:r>
            <w:r w:rsidRPr="006A5A05">
              <w:rPr>
                <w:rFonts w:asciiTheme="minorHAnsi" w:hAnsiTheme="minorHAnsi" w:cstheme="minorHAnsi"/>
                <w:color w:val="000000"/>
                <w:sz w:val="18"/>
                <w:szCs w:val="18"/>
              </w:rPr>
              <w:br/>
              <w:t>Tablet 80 mg</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Tagrisso</w:t>
            </w:r>
            <w:r w:rsidRPr="006A5A05">
              <w:rPr>
                <w:rFonts w:asciiTheme="minorHAnsi" w:hAnsiTheme="minorHAnsi" w:cstheme="minorHAnsi"/>
                <w:color w:val="000000"/>
                <w:sz w:val="18"/>
                <w:szCs w:val="18"/>
                <w:vertAlign w:val="superscript"/>
              </w:rPr>
              <w:t>®</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ASTRAZENECA PTY LTD</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r>
            <w:r w:rsidR="00EC00A2" w:rsidRPr="006A5A05">
              <w:rPr>
                <w:rFonts w:asciiTheme="minorHAnsi" w:eastAsia="Calibri" w:hAnsiTheme="minorHAnsi" w:cstheme="minorHAnsi"/>
                <w:color w:val="000000" w:themeColor="text1"/>
                <w:sz w:val="18"/>
                <w:szCs w:val="18"/>
              </w:rPr>
              <w:t xml:space="preserve">Category </w:t>
            </w:r>
            <w:r w:rsidR="004D14C8">
              <w:rPr>
                <w:rFonts w:asciiTheme="minorHAnsi" w:eastAsia="Calibri" w:hAnsiTheme="minorHAnsi" w:cstheme="minorHAnsi"/>
                <w:color w:val="000000" w:themeColor="text1"/>
                <w:sz w:val="18"/>
                <w:szCs w:val="18"/>
              </w:rPr>
              <w:t>2</w:t>
            </w:r>
          </w:p>
          <w:p w14:paraId="15BE5E6A" w14:textId="5493C283" w:rsidR="006F43C1" w:rsidRPr="006A5A05" w:rsidRDefault="006F43C1"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(Change to existing listing)</w:t>
            </w:r>
          </w:p>
        </w:tc>
        <w:tc>
          <w:tcPr>
            <w:tcW w:w="2767" w:type="dxa"/>
            <w:tcBorders>
              <w:top w:val="single" w:sz="4" w:space="0" w:color="auto"/>
              <w:left w:val="single" w:sz="4" w:space="0" w:color="auto"/>
              <w:bottom w:val="single" w:sz="4" w:space="0" w:color="auto"/>
              <w:right w:val="single" w:sz="4" w:space="0" w:color="auto"/>
            </w:tcBorders>
            <w:vAlign w:val="center"/>
          </w:tcPr>
          <w:p w14:paraId="2568E6C7" w14:textId="42772335" w:rsidR="006F43C1" w:rsidRPr="006A5A05" w:rsidRDefault="006F43C1"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Unresectable locally advanced (Stage III) non-small cell lung cancer (NSCLC)</w:t>
            </w:r>
          </w:p>
        </w:tc>
        <w:tc>
          <w:tcPr>
            <w:tcW w:w="29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5CFAE47" w14:textId="6F8E6D56" w:rsidR="006F43C1" w:rsidRPr="006A5A05" w:rsidRDefault="006F43C1"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To request a General Schedule Authority Required (Telephone/Online) listing of osimertinib as monotherapy for the treatment of patients with unresectable, locally advanced (Stage III) epidermal growth factor receptor (EGFR) mutation positive NSCLC whose disease has not progressed during or following platinum-based chemoradiation therapy.</w:t>
            </w:r>
          </w:p>
        </w:tc>
        <w:tc>
          <w:tcPr>
            <w:tcW w:w="1584" w:type="dxa"/>
            <w:tcBorders>
              <w:top w:val="single" w:sz="4" w:space="0" w:color="auto"/>
              <w:left w:val="single" w:sz="4" w:space="0" w:color="auto"/>
              <w:bottom w:val="single" w:sz="4" w:space="0" w:color="auto"/>
              <w:right w:val="single" w:sz="4" w:space="0" w:color="auto"/>
            </w:tcBorders>
            <w:vAlign w:val="center"/>
          </w:tcPr>
          <w:p w14:paraId="6B8755EE" w14:textId="6811AE03" w:rsidR="006F43C1" w:rsidRPr="006A5A05" w:rsidDel="008F66B5" w:rsidRDefault="009F3300" w:rsidP="00DC3166">
            <w:pPr>
              <w:pStyle w:val="ListParagraph"/>
              <w:keepLines/>
              <w:ind w:left="0"/>
              <w:jc w:val="center"/>
              <w:rPr>
                <w:rFonts w:asciiTheme="minorHAnsi" w:hAnsiTheme="minorHAnsi" w:cstheme="minorHAnsi"/>
                <w:color w:val="000000"/>
                <w:sz w:val="18"/>
                <w:szCs w:val="18"/>
              </w:rPr>
            </w:pPr>
            <w:r w:rsidRPr="009F3300">
              <w:rPr>
                <w:rFonts w:asciiTheme="minorHAnsi" w:hAnsiTheme="minorHAnsi" w:cstheme="minorHAnsi"/>
                <w:color w:val="000000"/>
                <w:sz w:val="18"/>
                <w:szCs w:val="18"/>
              </w:rPr>
              <w:t>Recommended</w:t>
            </w:r>
          </w:p>
        </w:tc>
        <w:tc>
          <w:tcPr>
            <w:tcW w:w="4836" w:type="dxa"/>
            <w:tcBorders>
              <w:top w:val="single" w:sz="4" w:space="0" w:color="auto"/>
              <w:left w:val="single" w:sz="4" w:space="0" w:color="auto"/>
              <w:bottom w:val="single" w:sz="4" w:space="0" w:color="auto"/>
              <w:right w:val="single" w:sz="4" w:space="0" w:color="auto"/>
            </w:tcBorders>
          </w:tcPr>
          <w:p w14:paraId="1DE5FE3B" w14:textId="256FC100" w:rsidR="00A6020D" w:rsidRPr="00A6020D" w:rsidRDefault="00A6020D" w:rsidP="00DC3166">
            <w:pPr>
              <w:jc w:val="both"/>
              <w:rPr>
                <w:rFonts w:asciiTheme="minorHAnsi" w:hAnsiTheme="minorHAnsi" w:cstheme="minorHAnsi"/>
                <w:sz w:val="18"/>
                <w:szCs w:val="18"/>
              </w:rPr>
            </w:pPr>
            <w:r w:rsidRPr="00A6020D">
              <w:rPr>
                <w:rFonts w:asciiTheme="minorHAnsi" w:hAnsiTheme="minorHAnsi" w:cstheme="minorHAnsi"/>
                <w:sz w:val="18"/>
                <w:szCs w:val="18"/>
              </w:rPr>
              <w:t xml:space="preserve">The PBAC recommended the listing of osimertinib for the treatment of locally advanced (Stage III) epidermal growth factor receptor (EGFR) pathogenic variant positive NSCLC that has not progressed during or following platinum-based chemoradiation therapy  and cannot be surgically removed. </w:t>
            </w:r>
          </w:p>
          <w:p w14:paraId="1B56E1FF" w14:textId="77777777" w:rsidR="00A6020D" w:rsidRPr="00A6020D" w:rsidRDefault="00A6020D" w:rsidP="00DC3166">
            <w:pPr>
              <w:jc w:val="both"/>
              <w:rPr>
                <w:rFonts w:asciiTheme="minorHAnsi" w:hAnsiTheme="minorHAnsi" w:cstheme="minorHAnsi"/>
                <w:sz w:val="18"/>
                <w:szCs w:val="18"/>
              </w:rPr>
            </w:pPr>
          </w:p>
          <w:p w14:paraId="6F28AED4" w14:textId="7ADECA87" w:rsidR="00A6020D" w:rsidRPr="00A6020D" w:rsidRDefault="00A6020D" w:rsidP="00DC3166">
            <w:pPr>
              <w:jc w:val="both"/>
              <w:rPr>
                <w:rFonts w:asciiTheme="minorHAnsi" w:hAnsiTheme="minorHAnsi" w:cstheme="minorHAnsi"/>
                <w:sz w:val="18"/>
                <w:szCs w:val="18"/>
              </w:rPr>
            </w:pPr>
            <w:r w:rsidRPr="00A6020D">
              <w:rPr>
                <w:rFonts w:asciiTheme="minorHAnsi" w:hAnsiTheme="minorHAnsi" w:cstheme="minorHAnsi"/>
                <w:sz w:val="18"/>
                <w:szCs w:val="18"/>
              </w:rPr>
              <w:t>The PBAC welcomed input from</w:t>
            </w:r>
            <w:r w:rsidR="00CB4BC7">
              <w:rPr>
                <w:rFonts w:asciiTheme="minorHAnsi" w:hAnsiTheme="minorHAnsi" w:cstheme="minorHAnsi"/>
                <w:sz w:val="18"/>
                <w:szCs w:val="18"/>
              </w:rPr>
              <w:t xml:space="preserve"> an</w:t>
            </w:r>
            <w:r w:rsidRPr="00A6020D">
              <w:rPr>
                <w:rFonts w:asciiTheme="minorHAnsi" w:hAnsiTheme="minorHAnsi" w:cstheme="minorHAnsi"/>
                <w:sz w:val="18"/>
                <w:szCs w:val="18"/>
              </w:rPr>
              <w:t xml:space="preserve"> individual and organisations which supported the proposed listing of osimertinib for this population. The PBAC acknowledged the clinical need for treatments </w:t>
            </w:r>
            <w:r w:rsidR="00275E28">
              <w:rPr>
                <w:rFonts w:asciiTheme="minorHAnsi" w:hAnsiTheme="minorHAnsi" w:cstheme="minorHAnsi"/>
                <w:sz w:val="18"/>
                <w:szCs w:val="18"/>
              </w:rPr>
              <w:t>for</w:t>
            </w:r>
            <w:r w:rsidRPr="00A6020D">
              <w:rPr>
                <w:rFonts w:asciiTheme="minorHAnsi" w:hAnsiTheme="minorHAnsi" w:cstheme="minorHAnsi"/>
                <w:sz w:val="18"/>
                <w:szCs w:val="18"/>
              </w:rPr>
              <w:t xml:space="preserve"> Stage III NSCLC that cannot be surgically removed and noted the lack of targeted treatment currently available for EGFR positive NSCLC.  The PBAC noted that it would be preferable for any PBS listing for osimertinib to cover all the EGFR positive NSCLC patient populations. The PBAC also noted comments emphasised the significant financial burden experienced by NSCLC patients. The PBAC considered comments that the cost of osimertinib remained a barrier to treatment and that a PBS listing would ensure equity of access.</w:t>
            </w:r>
          </w:p>
          <w:p w14:paraId="06C7E7E4" w14:textId="77777777" w:rsidR="00A6020D" w:rsidRPr="00A6020D" w:rsidRDefault="00A6020D" w:rsidP="00DC3166">
            <w:pPr>
              <w:jc w:val="both"/>
              <w:rPr>
                <w:rFonts w:asciiTheme="minorHAnsi" w:hAnsiTheme="minorHAnsi" w:cstheme="minorHAnsi"/>
                <w:sz w:val="18"/>
                <w:szCs w:val="18"/>
              </w:rPr>
            </w:pPr>
          </w:p>
          <w:p w14:paraId="3E17C675" w14:textId="3441DA1E" w:rsidR="00A6020D" w:rsidRPr="00A6020D" w:rsidRDefault="00A6020D" w:rsidP="00DC3166">
            <w:pPr>
              <w:jc w:val="both"/>
              <w:rPr>
                <w:rFonts w:asciiTheme="minorHAnsi" w:hAnsiTheme="minorHAnsi" w:cstheme="minorHAnsi"/>
                <w:sz w:val="18"/>
                <w:szCs w:val="18"/>
              </w:rPr>
            </w:pPr>
            <w:r w:rsidRPr="00A6020D">
              <w:rPr>
                <w:rFonts w:asciiTheme="minorHAnsi" w:hAnsiTheme="minorHAnsi" w:cstheme="minorHAnsi"/>
                <w:sz w:val="18"/>
                <w:szCs w:val="18"/>
              </w:rPr>
              <w:t xml:space="preserve">Based on the evidence included in the submission, the PBAC considered that osimertinib provides an additional clinical benefit for patients over the current standard of care (active surveillance). Results </w:t>
            </w:r>
            <w:r w:rsidR="00CB4BC7">
              <w:rPr>
                <w:rFonts w:asciiTheme="minorHAnsi" w:hAnsiTheme="minorHAnsi" w:cstheme="minorHAnsi"/>
                <w:sz w:val="18"/>
                <w:szCs w:val="18"/>
              </w:rPr>
              <w:t>from the key clinical trial</w:t>
            </w:r>
            <w:r w:rsidRPr="00A6020D">
              <w:rPr>
                <w:rFonts w:asciiTheme="minorHAnsi" w:hAnsiTheme="minorHAnsi" w:cstheme="minorHAnsi"/>
                <w:sz w:val="18"/>
                <w:szCs w:val="18"/>
              </w:rPr>
              <w:t xml:space="preserve"> showed  that patients who received osimertinib had meaningfully improved progression free survival, while the data was too immature to demonstrate any significant improvement in overall survival compared to the current standard of care. </w:t>
            </w:r>
          </w:p>
          <w:p w14:paraId="31254BEC" w14:textId="77777777" w:rsidR="00A6020D" w:rsidRPr="00A6020D" w:rsidRDefault="00A6020D" w:rsidP="00DC3166">
            <w:pPr>
              <w:jc w:val="both"/>
              <w:rPr>
                <w:rFonts w:asciiTheme="minorHAnsi" w:hAnsiTheme="minorHAnsi" w:cstheme="minorHAnsi"/>
                <w:sz w:val="18"/>
                <w:szCs w:val="18"/>
              </w:rPr>
            </w:pPr>
          </w:p>
          <w:p w14:paraId="41F8885E" w14:textId="476CE213" w:rsidR="006F43C1" w:rsidRPr="00F03408" w:rsidDel="008F66B5" w:rsidRDefault="00A6020D" w:rsidP="00DC3166">
            <w:pPr>
              <w:jc w:val="both"/>
              <w:rPr>
                <w:rFonts w:asciiTheme="minorHAnsi" w:hAnsiTheme="minorHAnsi" w:cstheme="minorHAnsi"/>
                <w:sz w:val="18"/>
                <w:szCs w:val="18"/>
              </w:rPr>
            </w:pPr>
            <w:r w:rsidRPr="00A6020D">
              <w:rPr>
                <w:rFonts w:asciiTheme="minorHAnsi" w:hAnsiTheme="minorHAnsi" w:cstheme="minorHAnsi"/>
                <w:sz w:val="18"/>
                <w:szCs w:val="18"/>
              </w:rPr>
              <w:t>The benefits estimated in support of the proposed price were overly optimistic, particularly gains in quality of life and estimated long</w:t>
            </w:r>
            <w:r w:rsidR="00E053AC">
              <w:rPr>
                <w:rFonts w:asciiTheme="minorHAnsi" w:hAnsiTheme="minorHAnsi" w:cstheme="minorHAnsi"/>
                <w:sz w:val="18"/>
                <w:szCs w:val="18"/>
              </w:rPr>
              <w:t>-</w:t>
            </w:r>
            <w:r w:rsidRPr="00A6020D">
              <w:rPr>
                <w:rFonts w:asciiTheme="minorHAnsi" w:hAnsiTheme="minorHAnsi" w:cstheme="minorHAnsi"/>
                <w:sz w:val="18"/>
                <w:szCs w:val="18"/>
              </w:rPr>
              <w:t>term overall survival. The clinical evidence included in the submission, which did not demonstrate improvement in overall survival, did not allow confidence that the benefits claimed in support of the proposed price would be realised. The PBAC considered that osimertinib would be cost-effective with a reduction in price to reflect more realistic estimates of benefits. The PBAC also considered that the financial estimates were uncertain, and likely overestimated, and advised that the inputs used to calculate the eligible patient population required revision.</w:t>
            </w:r>
          </w:p>
        </w:tc>
      </w:tr>
      <w:tr w:rsidR="002C39DA" w:rsidRPr="008059F4" w:rsidDel="008F66B5" w14:paraId="07695403" w14:textId="735C28BB" w:rsidTr="09589B60">
        <w:trPr>
          <w:cantSplit/>
          <w:trHeight w:val="2948"/>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4CC34E5" w14:textId="5B16E4CA" w:rsidR="00EC00A2" w:rsidRPr="006A5A05" w:rsidRDefault="006F43C1" w:rsidP="00DC3166">
            <w:pPr>
              <w:jc w:val="center"/>
              <w:rPr>
                <w:rFonts w:asciiTheme="minorHAnsi" w:eastAsia="Calibri" w:hAnsiTheme="minorHAnsi" w:cstheme="minorHAnsi"/>
                <w:color w:val="000000" w:themeColor="text1"/>
                <w:sz w:val="18"/>
                <w:szCs w:val="18"/>
              </w:rPr>
            </w:pPr>
            <w:r w:rsidRPr="006A5A05">
              <w:rPr>
                <w:rFonts w:asciiTheme="minorHAnsi" w:hAnsiTheme="minorHAnsi" w:cstheme="minorHAnsi"/>
                <w:color w:val="000000"/>
                <w:sz w:val="18"/>
                <w:szCs w:val="18"/>
              </w:rPr>
              <w:t>PALIPERIDONE</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I.M. injection (modified release) 25 mg (as palmitate) in pre-filled syringe</w:t>
            </w:r>
            <w:r w:rsidRPr="006A5A05">
              <w:rPr>
                <w:rFonts w:asciiTheme="minorHAnsi" w:hAnsiTheme="minorHAnsi" w:cstheme="minorHAnsi"/>
                <w:color w:val="000000"/>
                <w:sz w:val="18"/>
                <w:szCs w:val="18"/>
              </w:rPr>
              <w:br/>
              <w:t>I.M. injection (modified release) 50 mg (as palmitate) in pre-filled syringe</w:t>
            </w:r>
            <w:r w:rsidRPr="006A5A05">
              <w:rPr>
                <w:rFonts w:asciiTheme="minorHAnsi" w:hAnsiTheme="minorHAnsi" w:cstheme="minorHAnsi"/>
                <w:color w:val="000000"/>
                <w:sz w:val="18"/>
                <w:szCs w:val="18"/>
              </w:rPr>
              <w:br/>
              <w:t>I.M. injection (modified release) 75 mg (as palmitate) in pre-filled syringe</w:t>
            </w:r>
            <w:r w:rsidRPr="006A5A05">
              <w:rPr>
                <w:rFonts w:asciiTheme="minorHAnsi" w:hAnsiTheme="minorHAnsi" w:cstheme="minorHAnsi"/>
                <w:color w:val="000000"/>
                <w:sz w:val="18"/>
                <w:szCs w:val="18"/>
              </w:rPr>
              <w:br/>
              <w:t>I.M. injection (modified release) 100 mg (as palmitate) in pre-filled syringe</w:t>
            </w:r>
            <w:r w:rsidRPr="006A5A05">
              <w:rPr>
                <w:rFonts w:asciiTheme="minorHAnsi" w:hAnsiTheme="minorHAnsi" w:cstheme="minorHAnsi"/>
                <w:color w:val="000000"/>
                <w:sz w:val="18"/>
                <w:szCs w:val="18"/>
              </w:rPr>
              <w:br/>
              <w:t>I.M. injection (modified release) 150 mg (as palmitate) in pre-filled syringe</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r>
            <w:proofErr w:type="spellStart"/>
            <w:r w:rsidRPr="006A5A05">
              <w:rPr>
                <w:rFonts w:asciiTheme="minorHAnsi" w:hAnsiTheme="minorHAnsi" w:cstheme="minorHAnsi"/>
                <w:color w:val="000000"/>
                <w:sz w:val="18"/>
                <w:szCs w:val="18"/>
              </w:rPr>
              <w:t>Paljuna</w:t>
            </w:r>
            <w:proofErr w:type="spellEnd"/>
            <w:r w:rsidRPr="006A5A05">
              <w:rPr>
                <w:rFonts w:asciiTheme="minorHAnsi" w:hAnsiTheme="minorHAnsi" w:cstheme="minorHAnsi"/>
                <w:color w:val="000000"/>
                <w:sz w:val="18"/>
                <w:szCs w:val="18"/>
              </w:rPr>
              <w:t xml:space="preserve"> Monthly</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JUNO PHARMACEUTICALS PTY LTD</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r>
            <w:r w:rsidR="00EC00A2" w:rsidRPr="006A5A05">
              <w:rPr>
                <w:rFonts w:asciiTheme="minorHAnsi" w:eastAsia="Calibri" w:hAnsiTheme="minorHAnsi" w:cstheme="minorHAnsi"/>
                <w:color w:val="000000" w:themeColor="text1"/>
                <w:sz w:val="18"/>
                <w:szCs w:val="18"/>
              </w:rPr>
              <w:t xml:space="preserve">Category </w:t>
            </w:r>
            <w:r w:rsidR="00C75DD5">
              <w:rPr>
                <w:rFonts w:asciiTheme="minorHAnsi" w:eastAsia="Calibri" w:hAnsiTheme="minorHAnsi" w:cstheme="minorHAnsi"/>
                <w:color w:val="000000" w:themeColor="text1"/>
                <w:sz w:val="18"/>
                <w:szCs w:val="18"/>
              </w:rPr>
              <w:t>3</w:t>
            </w:r>
          </w:p>
          <w:p w14:paraId="376F530F" w14:textId="5C44637A" w:rsidR="006F43C1" w:rsidRPr="006A5A05" w:rsidRDefault="006F43C1"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vAlign w:val="center"/>
          </w:tcPr>
          <w:p w14:paraId="4C010855" w14:textId="7D167A8F" w:rsidR="006F43C1" w:rsidRPr="006A5A05" w:rsidRDefault="006F43C1"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Schizophrenia</w:t>
            </w:r>
          </w:p>
        </w:tc>
        <w:tc>
          <w:tcPr>
            <w:tcW w:w="29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3A6A721" w14:textId="6A814A91" w:rsidR="006F43C1" w:rsidRPr="006A5A05" w:rsidRDefault="006F43C1"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To request General Schedule Authority Required (STREAMLINED) listings of a new generic brand of paliperidone monthly long-acting injection for the maintenance treatment of schizophrenia.</w:t>
            </w:r>
          </w:p>
        </w:tc>
        <w:tc>
          <w:tcPr>
            <w:tcW w:w="1584" w:type="dxa"/>
            <w:tcBorders>
              <w:top w:val="single" w:sz="4" w:space="0" w:color="auto"/>
              <w:left w:val="single" w:sz="4" w:space="0" w:color="auto"/>
              <w:bottom w:val="single" w:sz="4" w:space="0" w:color="auto"/>
              <w:right w:val="single" w:sz="4" w:space="0" w:color="auto"/>
            </w:tcBorders>
            <w:vAlign w:val="center"/>
          </w:tcPr>
          <w:p w14:paraId="09038FC0" w14:textId="39550EBE" w:rsidR="006F43C1" w:rsidRPr="006A5A05" w:rsidDel="008F66B5" w:rsidRDefault="00F2751A" w:rsidP="00DC3166">
            <w:pPr>
              <w:pStyle w:val="ListParagraph"/>
              <w:keepLines/>
              <w:ind w:left="0"/>
              <w:jc w:val="center"/>
              <w:rPr>
                <w:rFonts w:asciiTheme="minorHAnsi" w:hAnsiTheme="minorHAnsi" w:cstheme="minorHAnsi"/>
                <w:color w:val="000000"/>
                <w:sz w:val="18"/>
                <w:szCs w:val="18"/>
              </w:rPr>
            </w:pPr>
            <w:r w:rsidRPr="00F2751A">
              <w:rPr>
                <w:rFonts w:asciiTheme="minorHAnsi" w:hAnsiTheme="minorHAnsi" w:cstheme="minorHAnsi"/>
                <w:color w:val="000000"/>
                <w:sz w:val="18"/>
                <w:szCs w:val="18"/>
              </w:rPr>
              <w:t>Recommended</w:t>
            </w:r>
          </w:p>
        </w:tc>
        <w:tc>
          <w:tcPr>
            <w:tcW w:w="4836" w:type="dxa"/>
            <w:tcBorders>
              <w:top w:val="single" w:sz="4" w:space="0" w:color="auto"/>
              <w:left w:val="single" w:sz="4" w:space="0" w:color="auto"/>
              <w:bottom w:val="single" w:sz="4" w:space="0" w:color="auto"/>
              <w:right w:val="single" w:sz="4" w:space="0" w:color="auto"/>
            </w:tcBorders>
          </w:tcPr>
          <w:p w14:paraId="1DF037AE" w14:textId="77777777" w:rsidR="008343F6" w:rsidRDefault="008343F6" w:rsidP="00DC3166">
            <w:pPr>
              <w:jc w:val="both"/>
              <w:rPr>
                <w:rFonts w:asciiTheme="minorHAnsi" w:hAnsiTheme="minorHAnsi" w:cstheme="minorBidi"/>
                <w:color w:val="000000"/>
                <w:sz w:val="18"/>
                <w:szCs w:val="18"/>
              </w:rPr>
            </w:pPr>
            <w:r w:rsidRPr="008343F6">
              <w:rPr>
                <w:rFonts w:asciiTheme="minorHAnsi" w:hAnsiTheme="minorHAnsi" w:cstheme="minorBidi"/>
                <w:color w:val="000000"/>
                <w:sz w:val="18"/>
                <w:szCs w:val="18"/>
              </w:rPr>
              <w:t>The PBAC recommended the General Schedule Authority Required (STREAMLINED) listings for a new generic brand of paliperidone monthly long-acting injection (</w:t>
            </w:r>
            <w:proofErr w:type="spellStart"/>
            <w:r w:rsidRPr="008343F6">
              <w:rPr>
                <w:rFonts w:asciiTheme="minorHAnsi" w:hAnsiTheme="minorHAnsi" w:cstheme="minorBidi"/>
                <w:color w:val="000000"/>
                <w:sz w:val="18"/>
                <w:szCs w:val="18"/>
              </w:rPr>
              <w:t>Paljuna</w:t>
            </w:r>
            <w:proofErr w:type="spellEnd"/>
            <w:r w:rsidRPr="008343F6">
              <w:rPr>
                <w:rFonts w:asciiTheme="minorHAnsi" w:hAnsiTheme="minorHAnsi" w:cstheme="minorBidi"/>
                <w:color w:val="000000"/>
                <w:sz w:val="18"/>
                <w:szCs w:val="18"/>
              </w:rPr>
              <w:t xml:space="preserve"> Monthly) in 25 mg, 50 mg, 75 mg, 100 mg, and 150 mg strength pre-filled syringe (PFS) forms, under the same circumstances as the PBS-listed originator brand, Invega </w:t>
            </w:r>
            <w:proofErr w:type="spellStart"/>
            <w:r w:rsidRPr="008343F6">
              <w:rPr>
                <w:rFonts w:asciiTheme="minorHAnsi" w:hAnsiTheme="minorHAnsi" w:cstheme="minorBidi"/>
                <w:color w:val="000000"/>
                <w:sz w:val="18"/>
                <w:szCs w:val="18"/>
              </w:rPr>
              <w:t>Sustenna</w:t>
            </w:r>
            <w:proofErr w:type="spellEnd"/>
            <w:r w:rsidRPr="008343F6">
              <w:rPr>
                <w:rFonts w:asciiTheme="minorHAnsi" w:hAnsiTheme="minorHAnsi" w:cstheme="minorBidi"/>
                <w:color w:val="000000"/>
                <w:sz w:val="18"/>
                <w:szCs w:val="18"/>
              </w:rPr>
              <w:t xml:space="preserve">®, for the treatment of schizophrenia. The PBAC’s recommendation for listing was based on, among other matters, its assessment that the cost-effectiveness of </w:t>
            </w:r>
            <w:proofErr w:type="spellStart"/>
            <w:r w:rsidRPr="008343F6">
              <w:rPr>
                <w:rFonts w:asciiTheme="minorHAnsi" w:hAnsiTheme="minorHAnsi" w:cstheme="minorBidi"/>
                <w:color w:val="000000"/>
                <w:sz w:val="18"/>
                <w:szCs w:val="18"/>
              </w:rPr>
              <w:t>Paljuna</w:t>
            </w:r>
            <w:proofErr w:type="spellEnd"/>
            <w:r w:rsidRPr="008343F6">
              <w:rPr>
                <w:rFonts w:asciiTheme="minorHAnsi" w:hAnsiTheme="minorHAnsi" w:cstheme="minorBidi"/>
                <w:color w:val="000000"/>
                <w:sz w:val="18"/>
                <w:szCs w:val="18"/>
              </w:rPr>
              <w:t xml:space="preserve"> Monthly would be acceptable if it were cost-minimised to Invega </w:t>
            </w:r>
            <w:proofErr w:type="spellStart"/>
            <w:r w:rsidRPr="008343F6">
              <w:rPr>
                <w:rFonts w:asciiTheme="minorHAnsi" w:hAnsiTheme="minorHAnsi" w:cstheme="minorBidi"/>
                <w:color w:val="000000"/>
                <w:sz w:val="18"/>
                <w:szCs w:val="18"/>
              </w:rPr>
              <w:t>Sustenna</w:t>
            </w:r>
            <w:proofErr w:type="spellEnd"/>
            <w:r w:rsidRPr="008343F6">
              <w:rPr>
                <w:rFonts w:asciiTheme="minorHAnsi" w:hAnsiTheme="minorHAnsi" w:cstheme="minorBidi"/>
                <w:color w:val="000000"/>
                <w:sz w:val="18"/>
                <w:szCs w:val="18"/>
              </w:rPr>
              <w:t>.</w:t>
            </w:r>
          </w:p>
          <w:p w14:paraId="03E61965" w14:textId="77777777" w:rsidR="004E09C0" w:rsidRPr="008343F6" w:rsidRDefault="004E09C0" w:rsidP="00DC3166">
            <w:pPr>
              <w:jc w:val="both"/>
              <w:rPr>
                <w:rFonts w:asciiTheme="minorHAnsi" w:hAnsiTheme="minorHAnsi" w:cstheme="minorBidi"/>
                <w:color w:val="000000"/>
                <w:sz w:val="18"/>
                <w:szCs w:val="18"/>
                <w:lang w:val="en-GB"/>
              </w:rPr>
            </w:pPr>
          </w:p>
          <w:p w14:paraId="2394D2FF" w14:textId="77777777" w:rsidR="008343F6" w:rsidRPr="008343F6" w:rsidRDefault="008343F6" w:rsidP="00DC3166">
            <w:pPr>
              <w:jc w:val="both"/>
              <w:rPr>
                <w:rFonts w:asciiTheme="minorHAnsi" w:hAnsiTheme="minorHAnsi" w:cstheme="minorBidi"/>
                <w:color w:val="000000"/>
                <w:sz w:val="18"/>
                <w:szCs w:val="18"/>
              </w:rPr>
            </w:pPr>
            <w:r w:rsidRPr="008343F6">
              <w:rPr>
                <w:rFonts w:asciiTheme="minorHAnsi" w:hAnsiTheme="minorHAnsi" w:cstheme="minorBidi"/>
                <w:color w:val="000000"/>
                <w:sz w:val="18"/>
                <w:szCs w:val="18"/>
              </w:rPr>
              <w:t xml:space="preserve">The PBAC advised that </w:t>
            </w:r>
            <w:proofErr w:type="spellStart"/>
            <w:r w:rsidRPr="008343F6">
              <w:rPr>
                <w:rFonts w:asciiTheme="minorHAnsi" w:hAnsiTheme="minorHAnsi" w:cstheme="minorBidi"/>
                <w:color w:val="000000"/>
                <w:sz w:val="18"/>
                <w:szCs w:val="18"/>
              </w:rPr>
              <w:t>Paljuna</w:t>
            </w:r>
            <w:proofErr w:type="spellEnd"/>
            <w:r w:rsidRPr="008343F6">
              <w:rPr>
                <w:rFonts w:asciiTheme="minorHAnsi" w:hAnsiTheme="minorHAnsi" w:cstheme="minorBidi"/>
                <w:color w:val="000000"/>
                <w:sz w:val="18"/>
                <w:szCs w:val="18"/>
              </w:rPr>
              <w:t xml:space="preserve"> Monthly and Invega </w:t>
            </w:r>
            <w:proofErr w:type="spellStart"/>
            <w:r w:rsidRPr="008343F6">
              <w:rPr>
                <w:rFonts w:asciiTheme="minorHAnsi" w:hAnsiTheme="minorHAnsi" w:cstheme="minorBidi"/>
                <w:color w:val="000000"/>
                <w:sz w:val="18"/>
                <w:szCs w:val="18"/>
              </w:rPr>
              <w:t>Sustenna</w:t>
            </w:r>
            <w:proofErr w:type="spellEnd"/>
            <w:r w:rsidRPr="008343F6">
              <w:rPr>
                <w:rFonts w:asciiTheme="minorHAnsi" w:hAnsiTheme="minorHAnsi" w:cstheme="minorBidi"/>
                <w:color w:val="000000"/>
                <w:sz w:val="18"/>
                <w:szCs w:val="18"/>
              </w:rPr>
              <w:t xml:space="preserve"> should be considered equivalent for the purposes of substitution (i.e., ‘a’ flagged in the Schedule) at equivalent strengths. The PBAC considered that listing </w:t>
            </w:r>
            <w:proofErr w:type="spellStart"/>
            <w:r w:rsidRPr="008343F6">
              <w:rPr>
                <w:rFonts w:asciiTheme="minorHAnsi" w:hAnsiTheme="minorHAnsi" w:cstheme="minorBidi"/>
                <w:color w:val="000000"/>
                <w:sz w:val="18"/>
                <w:szCs w:val="18"/>
              </w:rPr>
              <w:t>Paljuna</w:t>
            </w:r>
            <w:proofErr w:type="spellEnd"/>
            <w:r w:rsidRPr="008343F6">
              <w:rPr>
                <w:rFonts w:asciiTheme="minorHAnsi" w:hAnsiTheme="minorHAnsi" w:cstheme="minorBidi"/>
                <w:color w:val="000000"/>
                <w:sz w:val="18"/>
                <w:szCs w:val="18"/>
              </w:rPr>
              <w:t xml:space="preserve"> Monthly would not result in a net cost to the PBS/RPBS, as it is expected to substitute for Invega </w:t>
            </w:r>
            <w:proofErr w:type="spellStart"/>
            <w:r w:rsidRPr="008343F6">
              <w:rPr>
                <w:rFonts w:asciiTheme="minorHAnsi" w:hAnsiTheme="minorHAnsi" w:cstheme="minorBidi"/>
                <w:color w:val="000000"/>
                <w:sz w:val="18"/>
                <w:szCs w:val="18"/>
              </w:rPr>
              <w:t>Sustenna</w:t>
            </w:r>
            <w:proofErr w:type="spellEnd"/>
            <w:r w:rsidRPr="008343F6">
              <w:rPr>
                <w:rFonts w:asciiTheme="minorHAnsi" w:hAnsiTheme="minorHAnsi" w:cstheme="minorBidi"/>
                <w:color w:val="000000"/>
                <w:sz w:val="18"/>
                <w:szCs w:val="18"/>
              </w:rPr>
              <w:t xml:space="preserve"> without increasing overall market utilisation.</w:t>
            </w:r>
          </w:p>
          <w:p w14:paraId="68AE7271" w14:textId="7DE27A68" w:rsidR="006F43C1" w:rsidRPr="00F03408" w:rsidDel="008F66B5" w:rsidRDefault="006F43C1" w:rsidP="00DC3166">
            <w:pPr>
              <w:jc w:val="both"/>
              <w:rPr>
                <w:rFonts w:asciiTheme="minorHAnsi" w:hAnsiTheme="minorHAnsi" w:cstheme="minorBidi"/>
                <w:color w:val="000000"/>
                <w:sz w:val="18"/>
                <w:szCs w:val="18"/>
              </w:rPr>
            </w:pPr>
          </w:p>
        </w:tc>
      </w:tr>
      <w:tr w:rsidR="006F43C1" w:rsidRPr="008059F4" w:rsidDel="008F66B5" w14:paraId="592A9517" w14:textId="77777777" w:rsidTr="0022411B">
        <w:trPr>
          <w:cantSplit/>
          <w:trHeight w:val="1721"/>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A027B89" w14:textId="77777777" w:rsidR="002D3921" w:rsidRDefault="006F43C1" w:rsidP="00DC3166">
            <w:pPr>
              <w:jc w:val="center"/>
              <w:rPr>
                <w:rFonts w:asciiTheme="minorHAnsi" w:eastAsia="Calibri" w:hAnsiTheme="minorHAnsi" w:cstheme="minorHAnsi"/>
                <w:color w:val="000000" w:themeColor="text1"/>
                <w:sz w:val="18"/>
                <w:szCs w:val="18"/>
              </w:rPr>
            </w:pPr>
            <w:r w:rsidRPr="00F657EC">
              <w:rPr>
                <w:rFonts w:asciiTheme="minorHAnsi" w:eastAsia="Calibri" w:hAnsiTheme="minorHAnsi" w:cstheme="minorHAnsi"/>
                <w:color w:val="000000" w:themeColor="text1"/>
                <w:sz w:val="18"/>
                <w:szCs w:val="18"/>
              </w:rPr>
              <w:t>PALOPEGTERIPARATIDE</w:t>
            </w:r>
            <w:r w:rsidRPr="006A5A05">
              <w:rPr>
                <w:rFonts w:asciiTheme="minorHAnsi" w:hAnsiTheme="minorHAnsi" w:cstheme="minorHAnsi"/>
                <w:sz w:val="18"/>
                <w:szCs w:val="18"/>
              </w:rPr>
              <w:br/>
            </w:r>
            <w:r w:rsidRPr="006A5A05">
              <w:rPr>
                <w:rFonts w:asciiTheme="minorHAnsi" w:hAnsiTheme="minorHAnsi" w:cstheme="minorHAnsi"/>
                <w:sz w:val="18"/>
                <w:szCs w:val="18"/>
              </w:rPr>
              <w:br/>
            </w:r>
            <w:r w:rsidRPr="006A5A05">
              <w:rPr>
                <w:rFonts w:asciiTheme="minorHAnsi" w:eastAsia="Calibri" w:hAnsiTheme="minorHAnsi" w:cstheme="minorHAnsi"/>
                <w:color w:val="000000" w:themeColor="text1"/>
                <w:sz w:val="18"/>
                <w:szCs w:val="18"/>
              </w:rPr>
              <w:t>Solution for subcutaneous injection 168 micrograms in 0.56 mL pre-filled pen</w:t>
            </w:r>
            <w:r w:rsidRPr="006A5A05">
              <w:rPr>
                <w:rFonts w:asciiTheme="minorHAnsi" w:hAnsiTheme="minorHAnsi" w:cstheme="minorHAnsi"/>
                <w:sz w:val="18"/>
                <w:szCs w:val="18"/>
              </w:rPr>
              <w:br/>
            </w:r>
            <w:r w:rsidRPr="006A5A05">
              <w:rPr>
                <w:rFonts w:asciiTheme="minorHAnsi" w:eastAsia="Calibri" w:hAnsiTheme="minorHAnsi" w:cstheme="minorHAnsi"/>
                <w:color w:val="000000" w:themeColor="text1"/>
                <w:sz w:val="18"/>
                <w:szCs w:val="18"/>
              </w:rPr>
              <w:t>Solution for subcutaneous injection 294 micrograms in 0.98 mL pre-filled pen</w:t>
            </w:r>
            <w:r w:rsidRPr="006A5A05">
              <w:rPr>
                <w:rFonts w:asciiTheme="minorHAnsi" w:hAnsiTheme="minorHAnsi" w:cstheme="minorHAnsi"/>
                <w:sz w:val="18"/>
                <w:szCs w:val="18"/>
              </w:rPr>
              <w:br/>
            </w:r>
            <w:r w:rsidRPr="006A5A05">
              <w:rPr>
                <w:rFonts w:asciiTheme="minorHAnsi" w:eastAsia="Calibri" w:hAnsiTheme="minorHAnsi" w:cstheme="minorHAnsi"/>
                <w:color w:val="000000" w:themeColor="text1"/>
                <w:sz w:val="18"/>
                <w:szCs w:val="18"/>
              </w:rPr>
              <w:t>Solution for subcutaneous injection 420 micrograms in 1.4 mL pre-filled pen</w:t>
            </w:r>
            <w:r w:rsidRPr="006A5A05">
              <w:rPr>
                <w:rFonts w:asciiTheme="minorHAnsi" w:hAnsiTheme="minorHAnsi" w:cstheme="minorHAnsi"/>
                <w:sz w:val="18"/>
                <w:szCs w:val="18"/>
              </w:rPr>
              <w:br/>
            </w:r>
            <w:r w:rsidRPr="006A5A05">
              <w:rPr>
                <w:rFonts w:asciiTheme="minorHAnsi" w:hAnsiTheme="minorHAnsi" w:cstheme="minorHAnsi"/>
                <w:sz w:val="18"/>
                <w:szCs w:val="18"/>
              </w:rPr>
              <w:br/>
            </w:r>
            <w:r w:rsidRPr="006A5A05">
              <w:rPr>
                <w:rFonts w:asciiTheme="minorHAnsi" w:eastAsia="Calibri" w:hAnsiTheme="minorHAnsi" w:cstheme="minorHAnsi"/>
                <w:color w:val="000000" w:themeColor="text1"/>
                <w:sz w:val="18"/>
                <w:szCs w:val="18"/>
              </w:rPr>
              <w:t>Yorvipath</w:t>
            </w:r>
            <w:r w:rsidRPr="006A5A05">
              <w:rPr>
                <w:rFonts w:asciiTheme="minorHAnsi" w:eastAsia="Calibri" w:hAnsiTheme="minorHAnsi" w:cstheme="minorHAnsi"/>
                <w:color w:val="000000" w:themeColor="text1"/>
                <w:sz w:val="18"/>
                <w:szCs w:val="18"/>
                <w:vertAlign w:val="superscript"/>
              </w:rPr>
              <w:t>®</w:t>
            </w:r>
            <w:r w:rsidRPr="006A5A05">
              <w:rPr>
                <w:rFonts w:asciiTheme="minorHAnsi" w:hAnsiTheme="minorHAnsi" w:cstheme="minorHAnsi"/>
                <w:sz w:val="18"/>
                <w:szCs w:val="18"/>
              </w:rPr>
              <w:br/>
            </w:r>
            <w:r w:rsidRPr="006A5A05">
              <w:rPr>
                <w:rFonts w:asciiTheme="minorHAnsi" w:hAnsiTheme="minorHAnsi" w:cstheme="minorHAnsi"/>
                <w:sz w:val="18"/>
                <w:szCs w:val="18"/>
              </w:rPr>
              <w:br/>
            </w:r>
            <w:r w:rsidRPr="006A5A05">
              <w:rPr>
                <w:rFonts w:asciiTheme="minorHAnsi" w:eastAsia="Calibri" w:hAnsiTheme="minorHAnsi" w:cstheme="minorHAnsi"/>
                <w:color w:val="000000" w:themeColor="text1"/>
                <w:sz w:val="18"/>
                <w:szCs w:val="18"/>
              </w:rPr>
              <w:t>SPECIALISED THERAPEUTICS PHARMA PTY LTD</w:t>
            </w:r>
            <w:r w:rsidRPr="006A5A05">
              <w:rPr>
                <w:rFonts w:asciiTheme="minorHAnsi" w:hAnsiTheme="minorHAnsi" w:cstheme="minorHAnsi"/>
                <w:sz w:val="18"/>
                <w:szCs w:val="18"/>
              </w:rPr>
              <w:br/>
            </w:r>
            <w:r w:rsidRPr="006A5A05">
              <w:rPr>
                <w:rFonts w:asciiTheme="minorHAnsi" w:hAnsiTheme="minorHAnsi" w:cstheme="minorHAnsi"/>
                <w:sz w:val="18"/>
                <w:szCs w:val="18"/>
              </w:rPr>
              <w:br/>
            </w:r>
            <w:r w:rsidR="0027428A" w:rsidRPr="0027428A">
              <w:rPr>
                <w:rFonts w:asciiTheme="minorHAnsi" w:eastAsia="Calibri" w:hAnsiTheme="minorHAnsi" w:cstheme="minorHAnsi"/>
                <w:color w:val="000000" w:themeColor="text1"/>
                <w:sz w:val="18"/>
                <w:szCs w:val="18"/>
              </w:rPr>
              <w:t>Early re-entry</w:t>
            </w:r>
            <w:r w:rsidR="0027428A" w:rsidRPr="0027428A" w:rsidDel="0027428A">
              <w:rPr>
                <w:rFonts w:asciiTheme="minorHAnsi" w:eastAsia="Calibri" w:hAnsiTheme="minorHAnsi" w:cstheme="minorHAnsi"/>
                <w:color w:val="000000" w:themeColor="text1"/>
                <w:sz w:val="18"/>
                <w:szCs w:val="18"/>
              </w:rPr>
              <w:t xml:space="preserve"> </w:t>
            </w:r>
          </w:p>
          <w:p w14:paraId="2278B038" w14:textId="6303207E" w:rsidR="006F43C1" w:rsidRPr="006A5A05" w:rsidRDefault="006F43C1" w:rsidP="00DC3166">
            <w:pPr>
              <w:jc w:val="center"/>
              <w:rPr>
                <w:rFonts w:asciiTheme="minorHAnsi" w:hAnsiTheme="minorHAnsi" w:cstheme="minorHAnsi"/>
                <w:sz w:val="18"/>
                <w:szCs w:val="18"/>
              </w:rPr>
            </w:pPr>
            <w:r w:rsidRPr="006A5A05">
              <w:rPr>
                <w:rFonts w:asciiTheme="minorHAnsi" w:eastAsia="Calibri" w:hAnsiTheme="minorHAnsi" w:cstheme="minorHAnsi"/>
                <w:color w:val="000000" w:themeColor="text1"/>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vAlign w:val="center"/>
          </w:tcPr>
          <w:p w14:paraId="0B0D0EB7" w14:textId="09358105" w:rsidR="006F43C1" w:rsidRPr="006A5A05" w:rsidRDefault="006F43C1" w:rsidP="00DC3166">
            <w:pPr>
              <w:jc w:val="center"/>
              <w:rPr>
                <w:rFonts w:asciiTheme="minorHAnsi" w:hAnsiTheme="minorHAnsi" w:cstheme="minorHAnsi"/>
                <w:sz w:val="18"/>
                <w:szCs w:val="18"/>
              </w:rPr>
            </w:pPr>
            <w:r w:rsidRPr="006A5A05">
              <w:rPr>
                <w:rFonts w:asciiTheme="minorHAnsi" w:eastAsia="Calibri" w:hAnsiTheme="minorHAnsi" w:cstheme="minorHAnsi"/>
                <w:color w:val="000000" w:themeColor="text1"/>
                <w:sz w:val="18"/>
                <w:szCs w:val="18"/>
              </w:rPr>
              <w:t>Chronic hypoparathyroidism</w:t>
            </w:r>
          </w:p>
        </w:tc>
        <w:tc>
          <w:tcPr>
            <w:tcW w:w="29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EFA4911" w14:textId="46A91C15" w:rsidR="006F43C1" w:rsidRPr="006A5A05" w:rsidRDefault="006F43C1" w:rsidP="00DC3166">
            <w:pPr>
              <w:jc w:val="center"/>
              <w:rPr>
                <w:rFonts w:asciiTheme="minorHAnsi" w:hAnsiTheme="minorHAnsi" w:cstheme="minorHAnsi"/>
                <w:sz w:val="18"/>
                <w:szCs w:val="18"/>
              </w:rPr>
            </w:pPr>
            <w:r w:rsidRPr="006A5A05">
              <w:rPr>
                <w:rFonts w:asciiTheme="minorHAnsi" w:eastAsia="Calibri" w:hAnsiTheme="minorHAnsi" w:cstheme="minorHAnsi"/>
                <w:color w:val="000000" w:themeColor="text1"/>
                <w:sz w:val="18"/>
                <w:szCs w:val="18"/>
              </w:rPr>
              <w:t>Resubmission to request a General Schedule Authority Required (Telephone/Online) listing for the treatment of chronic hypoparathyroidism.</w:t>
            </w:r>
          </w:p>
        </w:tc>
        <w:tc>
          <w:tcPr>
            <w:tcW w:w="1584" w:type="dxa"/>
            <w:vAlign w:val="center"/>
          </w:tcPr>
          <w:p w14:paraId="32D1C8B3" w14:textId="5233B317" w:rsidR="006F43C1" w:rsidRPr="006A5A05" w:rsidDel="008F66B5" w:rsidRDefault="00A25588" w:rsidP="00DC3166">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Not r</w:t>
            </w:r>
            <w:r w:rsidRPr="00A25588">
              <w:rPr>
                <w:rFonts w:asciiTheme="minorHAnsi" w:hAnsiTheme="minorHAnsi" w:cstheme="minorHAnsi"/>
                <w:color w:val="000000"/>
                <w:sz w:val="18"/>
                <w:szCs w:val="18"/>
              </w:rPr>
              <w:t>ecommended</w:t>
            </w:r>
          </w:p>
        </w:tc>
        <w:tc>
          <w:tcPr>
            <w:tcW w:w="4836" w:type="dxa"/>
            <w:vAlign w:val="center"/>
          </w:tcPr>
          <w:p w14:paraId="618549EC" w14:textId="77777777" w:rsidR="001F099A" w:rsidRDefault="00224703" w:rsidP="00DC3166">
            <w:pPr>
              <w:pStyle w:val="3-BodyText"/>
              <w:keepNext/>
              <w:keepLines/>
              <w:ind w:left="0" w:firstLine="0"/>
              <w:rPr>
                <w:sz w:val="18"/>
                <w:szCs w:val="18"/>
                <w:lang w:val="en-GB"/>
              </w:rPr>
            </w:pPr>
            <w:r w:rsidRPr="002D3921">
              <w:rPr>
                <w:sz w:val="18"/>
                <w:szCs w:val="18"/>
                <w:lang w:val="en-GB"/>
              </w:rPr>
              <w:t xml:space="preserve">The PBAC did not recommend palopegteriparatide for the treatment of patients with chronic hypoparathyroidism (HPT) who are inadequately controlled on conventional therapy (i.e. active vitamin D and calcium supplements). </w:t>
            </w:r>
          </w:p>
          <w:p w14:paraId="032D8A6F" w14:textId="52532900" w:rsidR="00005AC8" w:rsidRDefault="00224703" w:rsidP="00DC3166">
            <w:pPr>
              <w:pStyle w:val="3-BodyText"/>
              <w:keepNext/>
              <w:keepLines/>
              <w:ind w:left="0" w:firstLine="0"/>
            </w:pPr>
            <w:r w:rsidRPr="002D3921">
              <w:rPr>
                <w:sz w:val="18"/>
                <w:szCs w:val="18"/>
                <w:lang w:val="en-GB"/>
              </w:rPr>
              <w:t xml:space="preserve">The PBAC recalled the input it received from individuals, organisations and health professionals when palopegteriparatide was considered at the March 2025 meeting and welcomed further input from one individual to this meeting. The PBAC acknowledged that there is a clinical need for palopegteriparatide in a proportion of patients with HPT who have difficulty maintaining calcium levels with conventional therapy and for those who develop nephrocalcinosis, kidney stones or kidney impairment. The PBAC noted the burden associated with conventional therapy and acknowledged that the listing of palopegteriparatide would likely improve HPT control and reduce complications in patients who are inadequately controlled on calcium and vitamin D supplements. </w:t>
            </w:r>
          </w:p>
          <w:p w14:paraId="089BE550" w14:textId="423CCF9A" w:rsidR="00005AC8" w:rsidRDefault="00224703" w:rsidP="00DC3166">
            <w:pPr>
              <w:pStyle w:val="3-BodyText"/>
              <w:keepNext/>
              <w:keepLines/>
              <w:ind w:left="0" w:firstLine="0"/>
              <w:rPr>
                <w:sz w:val="18"/>
                <w:szCs w:val="18"/>
              </w:rPr>
            </w:pPr>
            <w:r w:rsidRPr="002D3921">
              <w:rPr>
                <w:sz w:val="18"/>
                <w:szCs w:val="18"/>
                <w:lang w:val="en-GB"/>
              </w:rPr>
              <w:t>T</w:t>
            </w:r>
            <w:r w:rsidRPr="002D3921">
              <w:rPr>
                <w:sz w:val="18"/>
                <w:szCs w:val="18"/>
              </w:rPr>
              <w:t xml:space="preserve">he PBAC reaffirmed that it was satisfied that palopegteriparatide was effective at treating HPT in patients who were inadequately controlled on conventional therapy and had similar safety to conventional therapy. However, the PBAC noted that the sponsor’s resubmission did not adequately address the issues it had raised in March 2025 relating to the economic evaluation. </w:t>
            </w:r>
          </w:p>
          <w:p w14:paraId="2C7F05E4" w14:textId="77777777" w:rsidR="00377FA1" w:rsidRDefault="00224703" w:rsidP="00DC3166">
            <w:pPr>
              <w:pStyle w:val="3-BodyText"/>
              <w:keepNext/>
              <w:keepLines/>
              <w:ind w:left="0" w:firstLine="0"/>
              <w:rPr>
                <w:sz w:val="18"/>
                <w:szCs w:val="18"/>
                <w:lang w:val="en-GB"/>
              </w:rPr>
            </w:pPr>
            <w:r w:rsidRPr="002D3921">
              <w:rPr>
                <w:sz w:val="18"/>
                <w:szCs w:val="18"/>
              </w:rPr>
              <w:t xml:space="preserve">The sponsor continued to claim benefits in support of its proposed price that were overly optimistic. In particular, the PBAC considered the duration of benefit claimed by the sponsor was exceptionally long given the main clinical study assessed patients for 26 weeks. The PBAC considered palopegteriparatide would be cost-effective with a substantial reduction in the price, to reflect more realistic estimates of future benefits. </w:t>
            </w:r>
            <w:r w:rsidRPr="002D3921">
              <w:rPr>
                <w:sz w:val="18"/>
                <w:szCs w:val="18"/>
                <w:lang w:val="en-GB"/>
              </w:rPr>
              <w:t xml:space="preserve">The PBAC considered that the changes to the utilisation estimates were reasonable. The PBAC maintained its previous view that a risk sharing arrangement would be required to mitigate the risk of usage in the first line </w:t>
            </w:r>
            <w:r w:rsidR="00661FDA">
              <w:rPr>
                <w:sz w:val="18"/>
                <w:szCs w:val="18"/>
                <w:lang w:val="en-GB"/>
              </w:rPr>
              <w:t xml:space="preserve">setting. </w:t>
            </w:r>
            <w:r w:rsidRPr="002D3921">
              <w:rPr>
                <w:sz w:val="18"/>
                <w:szCs w:val="18"/>
                <w:lang w:val="en-GB"/>
              </w:rPr>
              <w:t>The previous submission was considered in March 2025.</w:t>
            </w:r>
          </w:p>
          <w:p w14:paraId="473FF0F0" w14:textId="77777777" w:rsidR="00377FA1" w:rsidRDefault="00224703" w:rsidP="00DC3166">
            <w:pPr>
              <w:pStyle w:val="3-BodyText"/>
              <w:keepNext/>
              <w:keepLines/>
              <w:ind w:left="0" w:firstLine="0"/>
              <w:rPr>
                <w:u w:val="single"/>
              </w:rPr>
            </w:pPr>
            <w:r w:rsidRPr="002D3921">
              <w:rPr>
                <w:sz w:val="18"/>
                <w:szCs w:val="18"/>
                <w:u w:val="single"/>
              </w:rPr>
              <w:t>Comparator: Conventional therapy, consisting of active vitamin D and calcium supplements</w:t>
            </w:r>
          </w:p>
          <w:p w14:paraId="062034BE" w14:textId="64987150" w:rsidR="00224703" w:rsidRPr="002D3921" w:rsidRDefault="00224703" w:rsidP="00DC3166">
            <w:pPr>
              <w:pStyle w:val="3-BodyText"/>
              <w:keepNext/>
              <w:keepLines/>
              <w:ind w:left="0" w:firstLine="0"/>
              <w:rPr>
                <w:sz w:val="18"/>
                <w:szCs w:val="18"/>
                <w:lang w:val="en-GB"/>
              </w:rPr>
            </w:pPr>
            <w:r w:rsidRPr="002D3921">
              <w:rPr>
                <w:sz w:val="18"/>
                <w:szCs w:val="18"/>
              </w:rPr>
              <w:t>The PBAC reaffirmed its previous view that the proposed comparator was reasonable.</w:t>
            </w:r>
          </w:p>
          <w:p w14:paraId="306E7F1E" w14:textId="77777777" w:rsidR="00224703" w:rsidRPr="002D3921" w:rsidRDefault="00224703" w:rsidP="00DC3166">
            <w:pPr>
              <w:pStyle w:val="3-BodyText"/>
              <w:keepNext/>
              <w:keepLines/>
              <w:ind w:left="0" w:firstLine="0"/>
              <w:rPr>
                <w:sz w:val="18"/>
                <w:szCs w:val="18"/>
                <w:u w:val="single"/>
              </w:rPr>
            </w:pPr>
          </w:p>
          <w:p w14:paraId="1A0F6EB4" w14:textId="05B542F9" w:rsidR="00224703" w:rsidRPr="002D3921" w:rsidRDefault="00224703" w:rsidP="00DC3166">
            <w:pPr>
              <w:pStyle w:val="3-BodyText"/>
              <w:keepNext/>
              <w:keepLines/>
              <w:spacing w:after="0"/>
              <w:ind w:left="0" w:firstLine="0"/>
              <w:rPr>
                <w:sz w:val="18"/>
                <w:szCs w:val="18"/>
                <w:u w:val="single"/>
              </w:rPr>
            </w:pPr>
            <w:r w:rsidRPr="002D3921">
              <w:rPr>
                <w:sz w:val="18"/>
                <w:szCs w:val="18"/>
                <w:u w:val="single"/>
              </w:rPr>
              <w:t>Clinical claim: Superior effectiveness and non-inferior safety compared to conventional therapy</w:t>
            </w:r>
          </w:p>
          <w:p w14:paraId="5D16A9D5" w14:textId="2F4D324C" w:rsidR="00224703" w:rsidRPr="002D3921" w:rsidRDefault="00224703" w:rsidP="00DC3166">
            <w:pPr>
              <w:pStyle w:val="3-BodyText"/>
              <w:keepNext/>
              <w:keepLines/>
              <w:ind w:left="0" w:firstLine="0"/>
              <w:rPr>
                <w:sz w:val="18"/>
                <w:szCs w:val="18"/>
              </w:rPr>
            </w:pPr>
            <w:r w:rsidRPr="002D3921">
              <w:rPr>
                <w:sz w:val="18"/>
                <w:szCs w:val="18"/>
              </w:rPr>
              <w:t>The PBAC reaffirmed its previous view that palopegteriparatide was superior compared to the nominated comparator of conventional therapy in terms of efficacy and likely comparable in terms of safety</w:t>
            </w:r>
            <w:r w:rsidR="00F41489">
              <w:rPr>
                <w:sz w:val="18"/>
                <w:szCs w:val="18"/>
              </w:rPr>
              <w:t>.</w:t>
            </w:r>
          </w:p>
          <w:p w14:paraId="497E444B" w14:textId="77777777" w:rsidR="00224703" w:rsidRPr="002D3921" w:rsidRDefault="00224703" w:rsidP="00DC3166">
            <w:pPr>
              <w:pStyle w:val="3-BodyText"/>
              <w:keepNext/>
              <w:keepLines/>
              <w:ind w:left="0" w:firstLine="0"/>
              <w:rPr>
                <w:sz w:val="18"/>
                <w:szCs w:val="18"/>
                <w:u w:val="single"/>
              </w:rPr>
            </w:pPr>
          </w:p>
          <w:p w14:paraId="0C0ECB04" w14:textId="77777777" w:rsidR="00224703" w:rsidRPr="002D3921" w:rsidRDefault="00224703" w:rsidP="00DC3166">
            <w:pPr>
              <w:pStyle w:val="3-BodyText"/>
              <w:keepNext/>
              <w:keepLines/>
              <w:ind w:left="0" w:firstLine="0"/>
              <w:rPr>
                <w:sz w:val="18"/>
                <w:szCs w:val="18"/>
                <w:u w:val="single"/>
              </w:rPr>
            </w:pPr>
            <w:r w:rsidRPr="002D3921">
              <w:rPr>
                <w:sz w:val="18"/>
                <w:szCs w:val="18"/>
                <w:u w:val="single"/>
              </w:rPr>
              <w:t>Economic claim: Cost-utility analysis comparing palopegteriparatide with conventional therapy</w:t>
            </w:r>
          </w:p>
          <w:p w14:paraId="1C4B0F32" w14:textId="77777777" w:rsidR="001769A5" w:rsidRDefault="001769A5" w:rsidP="00DC3166">
            <w:pPr>
              <w:pStyle w:val="3-BodyText"/>
              <w:keepNext/>
              <w:keepLines/>
              <w:ind w:left="0" w:firstLine="0"/>
              <w:rPr>
                <w:rFonts w:cstheme="minorBidi"/>
                <w:color w:val="000000"/>
                <w:sz w:val="18"/>
                <w:szCs w:val="18"/>
              </w:rPr>
            </w:pPr>
          </w:p>
          <w:p w14:paraId="4A15C6AC" w14:textId="77777777" w:rsidR="00E43C83" w:rsidRPr="000514D7" w:rsidRDefault="001769A5" w:rsidP="00E43C83">
            <w:pPr>
              <w:pStyle w:val="3-BodyText"/>
              <w:keepNext/>
              <w:keepLines/>
              <w:spacing w:after="0"/>
              <w:ind w:left="0" w:firstLine="0"/>
            </w:pPr>
            <w:r w:rsidRPr="000514D7">
              <w:rPr>
                <w:rFonts w:cstheme="minorBidi"/>
                <w:color w:val="000000"/>
                <w:sz w:val="18"/>
                <w:szCs w:val="18"/>
                <w:u w:val="single"/>
              </w:rPr>
              <w:t>Sponsor’s Comment:</w:t>
            </w:r>
            <w:r w:rsidR="00720E2B" w:rsidRPr="000514D7">
              <w:t xml:space="preserve"> </w:t>
            </w:r>
          </w:p>
          <w:p w14:paraId="350D455B" w14:textId="32A70EFE" w:rsidR="001769A5" w:rsidRPr="00F03408" w:rsidDel="008F66B5" w:rsidRDefault="001546BC" w:rsidP="0022411B">
            <w:pPr>
              <w:pStyle w:val="3-BodyText"/>
              <w:keepNext/>
              <w:keepLines/>
              <w:spacing w:after="0"/>
              <w:ind w:left="28" w:hanging="28"/>
              <w:rPr>
                <w:rFonts w:cstheme="minorBidi"/>
                <w:color w:val="000000"/>
                <w:sz w:val="18"/>
                <w:szCs w:val="18"/>
              </w:rPr>
            </w:pPr>
            <w:r w:rsidRPr="001546BC">
              <w:rPr>
                <w:rFonts w:cstheme="minorBidi"/>
                <w:color w:val="000000"/>
                <w:sz w:val="18"/>
                <w:szCs w:val="18"/>
              </w:rPr>
              <w:t>Specialised Therapeutics (ST) acknowledges the significant input from patient groups, individuals, and 46 healthcare professionals who supported the submissions for Yorvipath. Whilst we appreciate the PBAC have recognised the clinical need for, and superior effectiveness of Yorvipath compared to current treatments, we are disappointed the treatment has not met PBAC’s willingness-to-pay expectations. Consequently, it is with regret Yorvipath will not be made available to Australian patients at this time, as further and highly costly submissions to the PBAC are unlikely to be successful given the current impasse on pricing.</w:t>
            </w:r>
          </w:p>
        </w:tc>
      </w:tr>
      <w:tr w:rsidR="00161965" w:rsidRPr="008059F4" w:rsidDel="008F66B5" w14:paraId="3C6187AE" w14:textId="77777777" w:rsidTr="09589B60">
        <w:trPr>
          <w:cantSplit/>
          <w:trHeight w:val="755"/>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F449D0F" w14:textId="4D0BCE45" w:rsidR="00EC00A2" w:rsidRPr="006A5A05" w:rsidRDefault="006F43C1" w:rsidP="00DC3166">
            <w:pPr>
              <w:jc w:val="center"/>
              <w:rPr>
                <w:rFonts w:asciiTheme="minorHAnsi" w:eastAsia="Calibri" w:hAnsiTheme="minorHAnsi" w:cstheme="minorHAnsi"/>
                <w:color w:val="000000" w:themeColor="text1"/>
                <w:sz w:val="18"/>
                <w:szCs w:val="18"/>
              </w:rPr>
            </w:pPr>
            <w:r w:rsidRPr="006A5A05">
              <w:rPr>
                <w:rFonts w:asciiTheme="minorHAnsi" w:hAnsiTheme="minorHAnsi" w:cstheme="minorHAnsi"/>
                <w:color w:val="000000"/>
                <w:sz w:val="18"/>
                <w:szCs w:val="18"/>
              </w:rPr>
              <w:t>PEGUNIGALSIDASE ALFA</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Solution for I.V. injection 20 mg in 10 mL vial</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Elfabrio</w:t>
            </w:r>
            <w:r w:rsidRPr="006A5A05">
              <w:rPr>
                <w:rFonts w:asciiTheme="minorHAnsi" w:hAnsiTheme="minorHAnsi" w:cstheme="minorHAnsi"/>
                <w:color w:val="000000"/>
                <w:sz w:val="18"/>
                <w:szCs w:val="18"/>
                <w:vertAlign w:val="superscript"/>
              </w:rPr>
              <w:t>®</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CHIESI AUSTRALIA PTY LTD</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r>
            <w:r w:rsidR="00EC00A2" w:rsidRPr="006A5A05">
              <w:rPr>
                <w:rFonts w:asciiTheme="minorHAnsi" w:eastAsia="Calibri" w:hAnsiTheme="minorHAnsi" w:cstheme="minorHAnsi"/>
                <w:color w:val="000000" w:themeColor="text1"/>
                <w:sz w:val="18"/>
                <w:szCs w:val="18"/>
              </w:rPr>
              <w:t xml:space="preserve">Category </w:t>
            </w:r>
            <w:r w:rsidR="0027428A">
              <w:rPr>
                <w:rFonts w:asciiTheme="minorHAnsi" w:eastAsia="Calibri" w:hAnsiTheme="minorHAnsi" w:cstheme="minorHAnsi"/>
                <w:color w:val="000000" w:themeColor="text1"/>
                <w:sz w:val="18"/>
                <w:szCs w:val="18"/>
              </w:rPr>
              <w:t>2</w:t>
            </w:r>
          </w:p>
          <w:p w14:paraId="30285A4F" w14:textId="65C1C874" w:rsidR="006F43C1" w:rsidRPr="006A5A05" w:rsidRDefault="006F43C1"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vAlign w:val="center"/>
          </w:tcPr>
          <w:p w14:paraId="171D5534" w14:textId="3CF53790" w:rsidR="006F43C1" w:rsidRPr="006A5A05" w:rsidRDefault="006F43C1"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Fabry disease</w:t>
            </w:r>
          </w:p>
        </w:tc>
        <w:tc>
          <w:tcPr>
            <w:tcW w:w="29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B5A70D3" w14:textId="4A807429" w:rsidR="006F43C1" w:rsidRPr="006A5A05" w:rsidRDefault="006F43C1"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To request a Section 100 (Highly Specialised Drugs Program) Authority Required (Written) listing for the treatment of Fabry disease.</w:t>
            </w:r>
          </w:p>
        </w:tc>
        <w:tc>
          <w:tcPr>
            <w:tcW w:w="1584" w:type="dxa"/>
            <w:vAlign w:val="center"/>
          </w:tcPr>
          <w:p w14:paraId="37A72CB0" w14:textId="6D7F2561" w:rsidR="006F43C1" w:rsidRPr="006A5A05" w:rsidDel="008F66B5" w:rsidRDefault="00391545" w:rsidP="00DC3166">
            <w:pPr>
              <w:pStyle w:val="ListParagraph"/>
              <w:keepLines/>
              <w:ind w:left="0"/>
              <w:jc w:val="center"/>
              <w:rPr>
                <w:rFonts w:asciiTheme="minorHAnsi" w:hAnsiTheme="minorHAnsi" w:cstheme="minorHAnsi"/>
                <w:color w:val="000000"/>
                <w:sz w:val="18"/>
                <w:szCs w:val="18"/>
              </w:rPr>
            </w:pPr>
            <w:r w:rsidRPr="00391545">
              <w:rPr>
                <w:rFonts w:asciiTheme="minorHAnsi" w:hAnsiTheme="minorHAnsi" w:cstheme="minorHAnsi"/>
                <w:color w:val="000000"/>
                <w:sz w:val="18"/>
                <w:szCs w:val="18"/>
              </w:rPr>
              <w:t>Recommended</w:t>
            </w:r>
          </w:p>
        </w:tc>
        <w:tc>
          <w:tcPr>
            <w:tcW w:w="4836" w:type="dxa"/>
            <w:vAlign w:val="center"/>
          </w:tcPr>
          <w:p w14:paraId="7CDE96F7" w14:textId="067B0E1A" w:rsidR="004A4ADF" w:rsidRPr="00D17534" w:rsidRDefault="004A4ADF" w:rsidP="00DC3166">
            <w:pPr>
              <w:widowControl w:val="0"/>
              <w:rPr>
                <w:rFonts w:asciiTheme="minorHAnsi" w:hAnsiTheme="minorHAnsi"/>
                <w:snapToGrid w:val="0"/>
                <w:sz w:val="18"/>
                <w:szCs w:val="18"/>
                <w:lang w:val="en-GB"/>
              </w:rPr>
            </w:pPr>
            <w:r w:rsidRPr="00D17534">
              <w:rPr>
                <w:rFonts w:asciiTheme="minorHAnsi" w:hAnsiTheme="minorHAnsi"/>
                <w:snapToGrid w:val="0"/>
                <w:sz w:val="18"/>
                <w:szCs w:val="18"/>
                <w:lang w:val="en-GB"/>
              </w:rPr>
              <w:t xml:space="preserve">The PBAC recommended the listing of pegunigalsidase alfa for </w:t>
            </w:r>
            <w:r w:rsidR="000527A8" w:rsidRPr="00D17534">
              <w:rPr>
                <w:rFonts w:asciiTheme="minorHAnsi" w:hAnsiTheme="minorHAnsi"/>
                <w:snapToGrid w:val="0"/>
                <w:sz w:val="18"/>
                <w:szCs w:val="18"/>
                <w:lang w:val="en-GB"/>
              </w:rPr>
              <w:t>the</w:t>
            </w:r>
            <w:r w:rsidR="0001374F" w:rsidRPr="00D17534">
              <w:rPr>
                <w:rFonts w:asciiTheme="minorHAnsi" w:hAnsiTheme="minorHAnsi"/>
                <w:snapToGrid w:val="0"/>
                <w:sz w:val="18"/>
                <w:szCs w:val="18"/>
                <w:lang w:val="en-GB"/>
              </w:rPr>
              <w:t xml:space="preserve"> </w:t>
            </w:r>
            <w:r w:rsidRPr="00D17534">
              <w:rPr>
                <w:rFonts w:asciiTheme="minorHAnsi" w:hAnsiTheme="minorHAnsi"/>
                <w:snapToGrid w:val="0"/>
                <w:sz w:val="18"/>
                <w:szCs w:val="18"/>
                <w:lang w:val="en-GB"/>
              </w:rPr>
              <w:t xml:space="preserve">treatment </w:t>
            </w:r>
            <w:r w:rsidR="00DF2936" w:rsidRPr="00D17534">
              <w:rPr>
                <w:rFonts w:asciiTheme="minorHAnsi" w:hAnsiTheme="minorHAnsi"/>
                <w:snapToGrid w:val="0"/>
                <w:sz w:val="18"/>
                <w:szCs w:val="18"/>
                <w:lang w:val="en-GB"/>
              </w:rPr>
              <w:t xml:space="preserve">of </w:t>
            </w:r>
            <w:r w:rsidRPr="00D17534">
              <w:rPr>
                <w:rFonts w:asciiTheme="minorHAnsi" w:hAnsiTheme="minorHAnsi"/>
                <w:snapToGrid w:val="0"/>
                <w:sz w:val="18"/>
                <w:szCs w:val="18"/>
                <w:lang w:val="en-GB"/>
              </w:rPr>
              <w:t>Fabry Disease (FD), on the basis that it should be available only under Section 100 (Highly Specialised Drugs Program (Public and Private)), and on a cost-minimisation basis to migalastat. The PBAC considered pegunigalsidase alfa provides an alternative therapy for FD to migalastat</w:t>
            </w:r>
            <w:r w:rsidR="00DA0C40" w:rsidRPr="00D17534">
              <w:rPr>
                <w:rFonts w:asciiTheme="minorHAnsi" w:hAnsiTheme="minorHAnsi"/>
                <w:snapToGrid w:val="0"/>
                <w:sz w:val="18"/>
                <w:szCs w:val="18"/>
                <w:lang w:val="en-GB"/>
              </w:rPr>
              <w:t>, which is</w:t>
            </w:r>
            <w:r w:rsidRPr="00D17534">
              <w:rPr>
                <w:rFonts w:asciiTheme="minorHAnsi" w:hAnsiTheme="minorHAnsi"/>
                <w:snapToGrid w:val="0"/>
                <w:sz w:val="18"/>
                <w:szCs w:val="18"/>
                <w:lang w:val="en-GB"/>
              </w:rPr>
              <w:t xml:space="preserve"> currently listed on the PBS and other enzyme replacement therapies currently on the Life Saving Drugs Program. It noted consumer comments citing the need for access to effective treatments for FD. </w:t>
            </w:r>
          </w:p>
          <w:p w14:paraId="02526ED5" w14:textId="77777777" w:rsidR="004A4ADF" w:rsidRPr="00D17534" w:rsidRDefault="004A4ADF" w:rsidP="00DC3166">
            <w:pPr>
              <w:widowControl w:val="0"/>
              <w:rPr>
                <w:rFonts w:asciiTheme="minorHAnsi" w:hAnsiTheme="minorHAnsi"/>
                <w:snapToGrid w:val="0"/>
                <w:sz w:val="18"/>
                <w:szCs w:val="18"/>
                <w:lang w:val="en-GB"/>
              </w:rPr>
            </w:pPr>
          </w:p>
          <w:p w14:paraId="2F72807A" w14:textId="536890B7" w:rsidR="004A4ADF" w:rsidRPr="00D17534" w:rsidRDefault="004A4ADF" w:rsidP="00DC3166">
            <w:pPr>
              <w:widowControl w:val="0"/>
              <w:rPr>
                <w:rFonts w:asciiTheme="minorHAnsi" w:hAnsiTheme="minorHAnsi"/>
                <w:snapToGrid w:val="0"/>
                <w:sz w:val="18"/>
                <w:szCs w:val="18"/>
                <w:lang w:val="en-GB"/>
              </w:rPr>
            </w:pPr>
            <w:r w:rsidRPr="00D17534">
              <w:rPr>
                <w:rFonts w:asciiTheme="minorHAnsi" w:hAnsiTheme="minorHAnsi"/>
                <w:snapToGrid w:val="0"/>
                <w:sz w:val="18"/>
                <w:szCs w:val="18"/>
                <w:lang w:val="en-GB"/>
              </w:rPr>
              <w:t xml:space="preserve">The PBAC considered that migalastat was an appropriate comparator, and that pegunigalsidase alfa demonstrates </w:t>
            </w:r>
            <w:r w:rsidR="002902C0" w:rsidRPr="00D17534">
              <w:rPr>
                <w:rFonts w:asciiTheme="minorHAnsi" w:hAnsiTheme="minorHAnsi"/>
                <w:snapToGrid w:val="0"/>
                <w:sz w:val="18"/>
                <w:szCs w:val="18"/>
                <w:lang w:val="en-GB"/>
              </w:rPr>
              <w:t>similar</w:t>
            </w:r>
            <w:r w:rsidRPr="00D17534">
              <w:rPr>
                <w:rFonts w:asciiTheme="minorHAnsi" w:hAnsiTheme="minorHAnsi"/>
                <w:snapToGrid w:val="0"/>
                <w:sz w:val="18"/>
                <w:szCs w:val="18"/>
                <w:lang w:val="en-GB"/>
              </w:rPr>
              <w:t xml:space="preserve"> effectiveness to migalastat, with a high level of uncertainty, and </w:t>
            </w:r>
            <w:r w:rsidR="002902C0" w:rsidRPr="00D17534">
              <w:rPr>
                <w:rFonts w:asciiTheme="minorHAnsi" w:hAnsiTheme="minorHAnsi"/>
                <w:snapToGrid w:val="0"/>
                <w:sz w:val="18"/>
                <w:szCs w:val="18"/>
                <w:lang w:val="en-GB"/>
              </w:rPr>
              <w:t>is as</w:t>
            </w:r>
            <w:r w:rsidRPr="00D17534">
              <w:rPr>
                <w:rFonts w:asciiTheme="minorHAnsi" w:hAnsiTheme="minorHAnsi"/>
                <w:snapToGrid w:val="0"/>
                <w:sz w:val="18"/>
                <w:szCs w:val="18"/>
                <w:lang w:val="en-GB"/>
              </w:rPr>
              <w:t xml:space="preserve"> safe </w:t>
            </w:r>
            <w:r w:rsidR="001C2026" w:rsidRPr="00D17534">
              <w:rPr>
                <w:rFonts w:asciiTheme="minorHAnsi" w:hAnsiTheme="minorHAnsi"/>
                <w:snapToGrid w:val="0"/>
                <w:sz w:val="18"/>
                <w:szCs w:val="18"/>
                <w:lang w:val="en-GB"/>
              </w:rPr>
              <w:t>as</w:t>
            </w:r>
            <w:r w:rsidRPr="00D17534">
              <w:rPr>
                <w:rFonts w:asciiTheme="minorHAnsi" w:hAnsiTheme="minorHAnsi"/>
                <w:snapToGrid w:val="0"/>
                <w:sz w:val="18"/>
                <w:szCs w:val="18"/>
                <w:lang w:val="en-GB"/>
              </w:rPr>
              <w:t xml:space="preserve"> migalastat. The PBAC therefore recommended listing pegunigalsidase alfa on a cost-minimisation basis to migalastat. The PBAC advised the equi-effective doses are pegunigalsidase alfa 78.9 mg every 2 weeks to migalastat 123 mg every other day.</w:t>
            </w:r>
          </w:p>
          <w:p w14:paraId="56B78A69" w14:textId="77777777" w:rsidR="004A4ADF" w:rsidRPr="00D17534" w:rsidRDefault="004A4ADF" w:rsidP="00DC3166">
            <w:pPr>
              <w:widowControl w:val="0"/>
              <w:rPr>
                <w:rFonts w:asciiTheme="minorHAnsi" w:hAnsiTheme="minorHAnsi"/>
                <w:snapToGrid w:val="0"/>
                <w:sz w:val="18"/>
                <w:szCs w:val="18"/>
                <w:lang w:val="en-GB"/>
              </w:rPr>
            </w:pPr>
          </w:p>
          <w:p w14:paraId="236A3435" w14:textId="6F9562AE" w:rsidR="006F43C1" w:rsidRPr="00D17534" w:rsidDel="008F66B5" w:rsidRDefault="004A4ADF" w:rsidP="00DC3166">
            <w:pPr>
              <w:widowControl w:val="0"/>
              <w:rPr>
                <w:rFonts w:asciiTheme="minorHAnsi" w:hAnsiTheme="minorHAnsi" w:cstheme="minorBidi"/>
                <w:color w:val="000000"/>
                <w:sz w:val="18"/>
                <w:szCs w:val="18"/>
              </w:rPr>
            </w:pPr>
            <w:r w:rsidRPr="00D17534">
              <w:rPr>
                <w:rFonts w:asciiTheme="minorHAnsi" w:hAnsiTheme="minorHAnsi"/>
                <w:snapToGrid w:val="0"/>
                <w:sz w:val="18"/>
                <w:szCs w:val="18"/>
                <w:lang w:val="en-GB"/>
              </w:rPr>
              <w:t>The PBAC recommended that the PBS listing for pegunigals</w:t>
            </w:r>
            <w:r w:rsidR="00A23B81" w:rsidRPr="00D17534">
              <w:rPr>
                <w:rFonts w:asciiTheme="minorHAnsi" w:hAnsiTheme="minorHAnsi"/>
                <w:snapToGrid w:val="0"/>
                <w:sz w:val="18"/>
                <w:szCs w:val="18"/>
                <w:lang w:val="en-GB"/>
              </w:rPr>
              <w:t>i</w:t>
            </w:r>
            <w:r w:rsidRPr="00D17534">
              <w:rPr>
                <w:rFonts w:asciiTheme="minorHAnsi" w:hAnsiTheme="minorHAnsi"/>
                <w:snapToGrid w:val="0"/>
                <w:sz w:val="18"/>
                <w:szCs w:val="18"/>
                <w:lang w:val="en-GB"/>
              </w:rPr>
              <w:t>dase alfa should include the clinical criterion ‘The treatment must be the sole PBS subsidised therapy for this condition’, to prevent concomitant use of FD therapies and that this be flowed</w:t>
            </w:r>
            <w:r w:rsidR="00D55D4F" w:rsidRPr="00D17534">
              <w:rPr>
                <w:rFonts w:asciiTheme="minorHAnsi" w:hAnsiTheme="minorHAnsi"/>
                <w:snapToGrid w:val="0"/>
                <w:sz w:val="18"/>
                <w:szCs w:val="18"/>
                <w:lang w:val="en-GB"/>
              </w:rPr>
              <w:t xml:space="preserve"> </w:t>
            </w:r>
            <w:r w:rsidRPr="00D17534">
              <w:rPr>
                <w:rFonts w:asciiTheme="minorHAnsi" w:hAnsiTheme="minorHAnsi"/>
                <w:snapToGrid w:val="0"/>
                <w:sz w:val="18"/>
                <w:szCs w:val="18"/>
                <w:lang w:val="en-GB"/>
              </w:rPr>
              <w:t xml:space="preserve">on to the current migalastat listing. The PBAC also recommended inclusion of a separate treatment phase to both the pegunigalsidase alfa and migalastat listings to allow patients to switch from using pegunigalsidase alfa to migalastat and vice versa. The PBAC considered it would be appropriate that there be a risk sharing arrangement for pegunigalsidase </w:t>
            </w:r>
            <w:proofErr w:type="gramStart"/>
            <w:r w:rsidRPr="00D17534">
              <w:rPr>
                <w:rFonts w:asciiTheme="minorHAnsi" w:hAnsiTheme="minorHAnsi"/>
                <w:snapToGrid w:val="0"/>
                <w:sz w:val="18"/>
                <w:szCs w:val="18"/>
                <w:lang w:val="en-GB"/>
              </w:rPr>
              <w:t>alfa, and</w:t>
            </w:r>
            <w:proofErr w:type="gramEnd"/>
            <w:r w:rsidRPr="00D17534">
              <w:rPr>
                <w:rFonts w:asciiTheme="minorHAnsi" w:hAnsiTheme="minorHAnsi"/>
                <w:snapToGrid w:val="0"/>
                <w:sz w:val="18"/>
                <w:szCs w:val="18"/>
                <w:lang w:val="en-GB"/>
              </w:rPr>
              <w:t xml:space="preserve"> requested that a review of the utilisation of medicines for FD on the PBS be undertaken at a future point in time.</w:t>
            </w:r>
          </w:p>
        </w:tc>
      </w:tr>
      <w:tr w:rsidR="002C39DA" w:rsidRPr="008059F4" w:rsidDel="008F66B5" w14:paraId="2F07FA81" w14:textId="77777777" w:rsidTr="0022411B">
        <w:trPr>
          <w:cantSplit/>
          <w:trHeight w:val="3138"/>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BA05DFE" w14:textId="58F51657" w:rsidR="00EC00A2" w:rsidRPr="006A5A05" w:rsidRDefault="006F43C1" w:rsidP="00DC3166">
            <w:pPr>
              <w:jc w:val="center"/>
              <w:rPr>
                <w:rFonts w:asciiTheme="minorHAnsi" w:eastAsia="Calibri" w:hAnsiTheme="minorHAnsi" w:cstheme="minorHAnsi"/>
                <w:color w:val="000000" w:themeColor="text1"/>
                <w:sz w:val="18"/>
                <w:szCs w:val="18"/>
              </w:rPr>
            </w:pPr>
            <w:r w:rsidRPr="00F657EC">
              <w:rPr>
                <w:rFonts w:asciiTheme="minorHAnsi" w:hAnsiTheme="minorHAnsi" w:cstheme="minorHAnsi"/>
                <w:color w:val="000000"/>
                <w:sz w:val="18"/>
                <w:szCs w:val="18"/>
              </w:rPr>
              <w:t>PEMBROLIZUMAB</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Solution concentrate for I.V. infusion 100 mg in 4 mL</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Keytruda</w:t>
            </w:r>
            <w:r w:rsidRPr="006A5A05">
              <w:rPr>
                <w:rFonts w:asciiTheme="minorHAnsi" w:hAnsiTheme="minorHAnsi" w:cstheme="minorHAnsi"/>
                <w:color w:val="000000"/>
                <w:sz w:val="18"/>
                <w:szCs w:val="18"/>
                <w:vertAlign w:val="superscript"/>
              </w:rPr>
              <w:t>®</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MERCK SHARP &amp; DOHME (AUSTRALIA) PTY LTD</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r>
            <w:r w:rsidR="00EC00A2" w:rsidRPr="006A5A05">
              <w:rPr>
                <w:rFonts w:asciiTheme="minorHAnsi" w:eastAsia="Calibri" w:hAnsiTheme="minorHAnsi" w:cstheme="minorHAnsi"/>
                <w:color w:val="000000" w:themeColor="text1"/>
                <w:sz w:val="18"/>
                <w:szCs w:val="18"/>
              </w:rPr>
              <w:t xml:space="preserve">Category </w:t>
            </w:r>
            <w:r w:rsidR="004B02F7">
              <w:rPr>
                <w:rFonts w:asciiTheme="minorHAnsi" w:eastAsia="Calibri" w:hAnsiTheme="minorHAnsi" w:cstheme="minorHAnsi"/>
                <w:color w:val="000000" w:themeColor="text1"/>
                <w:sz w:val="18"/>
                <w:szCs w:val="18"/>
              </w:rPr>
              <w:t>2</w:t>
            </w:r>
          </w:p>
          <w:p w14:paraId="63091967" w14:textId="4B213475" w:rsidR="006F43C1" w:rsidRPr="006A5A05" w:rsidRDefault="006F43C1"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(Change to existing listing)</w:t>
            </w:r>
          </w:p>
        </w:tc>
        <w:tc>
          <w:tcPr>
            <w:tcW w:w="2767" w:type="dxa"/>
            <w:tcBorders>
              <w:top w:val="single" w:sz="4" w:space="0" w:color="auto"/>
              <w:left w:val="single" w:sz="4" w:space="0" w:color="auto"/>
              <w:bottom w:val="single" w:sz="4" w:space="0" w:color="auto"/>
              <w:right w:val="single" w:sz="4" w:space="0" w:color="auto"/>
            </w:tcBorders>
            <w:vAlign w:val="center"/>
          </w:tcPr>
          <w:p w14:paraId="6F206AD8" w14:textId="228C8587" w:rsidR="006F43C1" w:rsidRPr="006A5A05" w:rsidRDefault="006F43C1"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Endometrial cancer</w:t>
            </w:r>
          </w:p>
        </w:tc>
        <w:tc>
          <w:tcPr>
            <w:tcW w:w="29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9AFC5EC" w14:textId="5633F6B6" w:rsidR="006F43C1" w:rsidRPr="006A5A05" w:rsidRDefault="006F43C1"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To request a Section 100 (Efficient Funding of Chemotherapy Program) Authority Required (STREAMLINED) listing for pembrolizumab in combination with platinum-based chemotherapy, followed by pembrolizumab monotherapy, for primary advanced or recurrent endometrial cancer, regardless of mismatch repair status.</w:t>
            </w:r>
          </w:p>
        </w:tc>
        <w:tc>
          <w:tcPr>
            <w:tcW w:w="1584" w:type="dxa"/>
            <w:tcBorders>
              <w:top w:val="single" w:sz="4" w:space="0" w:color="auto"/>
              <w:left w:val="single" w:sz="4" w:space="0" w:color="auto"/>
              <w:bottom w:val="single" w:sz="4" w:space="0" w:color="auto"/>
              <w:right w:val="single" w:sz="4" w:space="0" w:color="auto"/>
            </w:tcBorders>
            <w:vAlign w:val="center"/>
          </w:tcPr>
          <w:p w14:paraId="7748C679" w14:textId="3EDCB5D7" w:rsidR="006F43C1" w:rsidRPr="006A5A05" w:rsidDel="008F66B5" w:rsidRDefault="004D684B" w:rsidP="00DC3166">
            <w:pPr>
              <w:pStyle w:val="ListParagraph"/>
              <w:keepLines/>
              <w:ind w:left="0"/>
              <w:jc w:val="center"/>
              <w:rPr>
                <w:rFonts w:asciiTheme="minorHAnsi" w:hAnsiTheme="minorHAnsi" w:cstheme="minorHAnsi"/>
                <w:color w:val="000000"/>
                <w:sz w:val="18"/>
                <w:szCs w:val="18"/>
              </w:rPr>
            </w:pPr>
            <w:r w:rsidRPr="004D684B">
              <w:rPr>
                <w:rFonts w:asciiTheme="minorHAnsi" w:hAnsiTheme="minorHAnsi" w:cstheme="minorHAnsi"/>
                <w:color w:val="000000"/>
                <w:sz w:val="18"/>
                <w:szCs w:val="18"/>
              </w:rPr>
              <w:t>Not recommended</w:t>
            </w:r>
          </w:p>
        </w:tc>
        <w:tc>
          <w:tcPr>
            <w:tcW w:w="4836" w:type="dxa"/>
            <w:tcBorders>
              <w:top w:val="single" w:sz="4" w:space="0" w:color="auto"/>
              <w:left w:val="single" w:sz="4" w:space="0" w:color="auto"/>
              <w:bottom w:val="single" w:sz="4" w:space="0" w:color="auto"/>
              <w:right w:val="single" w:sz="4" w:space="0" w:color="auto"/>
            </w:tcBorders>
          </w:tcPr>
          <w:p w14:paraId="7341A919" w14:textId="0A976625" w:rsidR="2374C154" w:rsidRPr="00062143" w:rsidRDefault="2374C154" w:rsidP="00DC3166">
            <w:pPr>
              <w:spacing w:after="120"/>
              <w:jc w:val="both"/>
              <w:rPr>
                <w:rFonts w:ascii="Calibri" w:eastAsia="Calibri" w:hAnsi="Calibri" w:cs="Calibri"/>
                <w:sz w:val="18"/>
                <w:szCs w:val="18"/>
                <w:lang w:val="en-GB"/>
              </w:rPr>
            </w:pPr>
            <w:r w:rsidRPr="00062143">
              <w:rPr>
                <w:rFonts w:ascii="Calibri" w:eastAsia="Calibri" w:hAnsi="Calibri" w:cs="Calibri"/>
                <w:sz w:val="18"/>
                <w:szCs w:val="18"/>
                <w:lang w:val="en-GB"/>
              </w:rPr>
              <w:t xml:space="preserve">The PBAC did not recommend pembrolizumab for the treatment of primary advanced or recurrent endometrial cancer. The submission had initially sought listing on the PBS for patients irrespective of whether their endometrial cancer cells had a functioning mismatch repair (MMR) system. However, the submission did not include a comparison of pembrolizumab against the current standard of care for endometrial cancer with proficient MMR (functioning MMR or pMMR). The sponsor subsequently requested the PBAC only consider use for endometrial cancer where mismatch repair is deficient (dMMR) as part of this submission. </w:t>
            </w:r>
          </w:p>
          <w:p w14:paraId="2F38FDF1" w14:textId="13AEDE7E" w:rsidR="2374C154" w:rsidRPr="00062143" w:rsidRDefault="2374C154" w:rsidP="00DC3166">
            <w:pPr>
              <w:spacing w:after="120"/>
              <w:jc w:val="both"/>
              <w:rPr>
                <w:rFonts w:ascii="Calibri" w:eastAsia="Calibri" w:hAnsi="Calibri" w:cs="Calibri"/>
                <w:sz w:val="18"/>
                <w:szCs w:val="18"/>
                <w:lang w:val="en-GB"/>
              </w:rPr>
            </w:pPr>
            <w:r w:rsidRPr="00062143">
              <w:rPr>
                <w:rFonts w:ascii="Calibri" w:eastAsia="Calibri" w:hAnsi="Calibri" w:cs="Calibri"/>
                <w:sz w:val="18"/>
                <w:szCs w:val="18"/>
                <w:lang w:val="en-GB"/>
              </w:rPr>
              <w:t xml:space="preserve">The PBAC received and welcomed input from organisations. Overall, the PBAC considered there was limited clinical need in the dMMR endometrial cancer setting given alternative treatments (dostarlimab and durvalumab) are subsidised through the PBS. The PBAC acknowledged the potential for pembrolizumab to be beneficial for some patients as an alternative to dostarlimab or durvalumab given it has a shorter maximum treatment duration (two years for pembrolizumab versus three years for dostarlimab or durvalumab). </w:t>
            </w:r>
          </w:p>
          <w:p w14:paraId="08E056A3" w14:textId="3A4F9A40" w:rsidR="2374C154" w:rsidRPr="00062143" w:rsidRDefault="2374C154" w:rsidP="00DC3166">
            <w:pPr>
              <w:spacing w:after="120"/>
              <w:jc w:val="both"/>
              <w:rPr>
                <w:rFonts w:ascii="Calibri" w:eastAsia="Calibri" w:hAnsi="Calibri" w:cs="Calibri"/>
                <w:sz w:val="18"/>
                <w:szCs w:val="18"/>
                <w:lang w:val="en-GB"/>
              </w:rPr>
            </w:pPr>
            <w:r w:rsidRPr="00062143">
              <w:rPr>
                <w:rFonts w:ascii="Calibri" w:eastAsia="Calibri" w:hAnsi="Calibri" w:cs="Calibri"/>
                <w:sz w:val="18"/>
                <w:szCs w:val="18"/>
                <w:lang w:val="en-GB"/>
              </w:rPr>
              <w:t>However, the clinical evidence presented in the submission did not satisfy the PBAC that pembrolizumab was as effective as dostarlimab or durvalumab at improving the progression free and overall survival of patients with dMMR endometrial cancer. The comparisons of pembrolizumab with dostarlimab and durvalumab showed that progression free and overall survival for patients who had received pembrolizumab varied widely. Further, point estimates generally favoured dostarlimab and durvalumab. The PBAC considered that these results did not sufficiently rule out the possibility that pembrolizumab would provide worse outcomes for patients than dostarlimab and durvalumab.</w:t>
            </w:r>
          </w:p>
          <w:p w14:paraId="248C9272" w14:textId="77777777" w:rsidR="001769A5" w:rsidRDefault="001769A5" w:rsidP="00DC3166">
            <w:pPr>
              <w:jc w:val="both"/>
              <w:rPr>
                <w:rFonts w:asciiTheme="minorHAnsi" w:hAnsiTheme="minorHAnsi" w:cstheme="minorBidi"/>
                <w:color w:val="000000"/>
                <w:sz w:val="18"/>
                <w:szCs w:val="18"/>
              </w:rPr>
            </w:pPr>
          </w:p>
          <w:p w14:paraId="16239B23" w14:textId="77777777" w:rsidR="009E779E" w:rsidRPr="00B465FA" w:rsidRDefault="001769A5" w:rsidP="00DC3166">
            <w:pPr>
              <w:jc w:val="both"/>
              <w:rPr>
                <w:rFonts w:asciiTheme="minorHAnsi" w:hAnsiTheme="minorHAnsi" w:cstheme="minorBidi"/>
                <w:color w:val="000000"/>
                <w:sz w:val="18"/>
                <w:szCs w:val="18"/>
                <w:u w:val="single"/>
              </w:rPr>
            </w:pPr>
            <w:r w:rsidRPr="00B465FA">
              <w:rPr>
                <w:rFonts w:asciiTheme="minorHAnsi" w:hAnsiTheme="minorHAnsi" w:cstheme="minorBidi"/>
                <w:color w:val="000000"/>
                <w:sz w:val="18"/>
                <w:szCs w:val="18"/>
                <w:u w:val="single"/>
              </w:rPr>
              <w:t>Sponsor’s Comment:</w:t>
            </w:r>
          </w:p>
          <w:p w14:paraId="3DF304B2" w14:textId="280BEEE2" w:rsidR="001769A5" w:rsidRPr="00F03408" w:rsidDel="008F66B5" w:rsidRDefault="00D939A5" w:rsidP="00DC3166">
            <w:pPr>
              <w:jc w:val="both"/>
              <w:rPr>
                <w:rFonts w:asciiTheme="minorHAnsi" w:hAnsiTheme="minorHAnsi" w:cstheme="minorBidi"/>
                <w:color w:val="000000"/>
                <w:sz w:val="18"/>
                <w:szCs w:val="18"/>
              </w:rPr>
            </w:pPr>
            <w:r w:rsidRPr="00B465FA">
              <w:rPr>
                <w:rFonts w:asciiTheme="minorHAnsi" w:hAnsiTheme="minorHAnsi" w:cstheme="minorBidi"/>
                <w:color w:val="000000"/>
                <w:sz w:val="18"/>
                <w:szCs w:val="18"/>
              </w:rPr>
              <w:t xml:space="preserve">MSD is disappointed by the PBAC’s decision not to recommend pembrolizumab (KEYTRUDA®) plus chemotherapy for advanced/recurrent (A/R) dMMR endometrial cancer (EC). </w:t>
            </w:r>
            <w:r w:rsidR="009833DD">
              <w:t xml:space="preserve"> </w:t>
            </w:r>
            <w:r w:rsidR="009833DD" w:rsidRPr="009833DD">
              <w:rPr>
                <w:rFonts w:asciiTheme="minorHAnsi" w:hAnsiTheme="minorHAnsi" w:cstheme="minorBidi"/>
                <w:color w:val="000000"/>
                <w:sz w:val="18"/>
                <w:szCs w:val="18"/>
              </w:rPr>
              <w:t xml:space="preserve">It is disappointing that the PBAC considered the clinical need for additional treatment options was limited </w:t>
            </w:r>
            <w:r w:rsidRPr="00B465FA">
              <w:rPr>
                <w:rFonts w:asciiTheme="minorHAnsi" w:hAnsiTheme="minorHAnsi" w:cstheme="minorBidi"/>
                <w:color w:val="000000"/>
                <w:sz w:val="18"/>
                <w:szCs w:val="18"/>
              </w:rPr>
              <w:t>, especially given that MOGA considered the submission to be a “high priority for PBS listing”. MSD considers the clinical trial results (NRG-GY018) and analyses presented establish non-inferiority to current treatments, despite patients in the study being prematurely unblinded. Accordingly, international guidelines have universally recommended pembrolizumab as one of the preferred treatment options for 1L dMMR A/R EC alongside dostarlimab and durvalumab. MSD will work with the PBAC to understand if there is a pathway for Australian women with endometrial cancer to have access to pembrolizumab (Keytruda)®</w:t>
            </w:r>
            <w:r w:rsidR="002511E3">
              <w:t xml:space="preserve"> </w:t>
            </w:r>
            <w:r w:rsidR="002511E3" w:rsidRPr="002511E3">
              <w:rPr>
                <w:rFonts w:asciiTheme="minorHAnsi" w:hAnsiTheme="minorHAnsi" w:cstheme="minorBidi"/>
                <w:color w:val="000000"/>
                <w:sz w:val="18"/>
                <w:szCs w:val="18"/>
              </w:rPr>
              <w:t>in the first-line setting</w:t>
            </w:r>
            <w:r w:rsidRPr="00B465FA">
              <w:rPr>
                <w:rFonts w:asciiTheme="minorHAnsi" w:hAnsiTheme="minorHAnsi" w:cstheme="minorBidi"/>
                <w:color w:val="000000"/>
                <w:sz w:val="18"/>
                <w:szCs w:val="18"/>
              </w:rPr>
              <w:t>.</w:t>
            </w:r>
          </w:p>
        </w:tc>
      </w:tr>
      <w:tr w:rsidR="002C39DA" w:rsidRPr="008059F4" w:rsidDel="008F66B5" w14:paraId="1C1B3721" w14:textId="77777777" w:rsidTr="005B2098">
        <w:trPr>
          <w:cantSplit/>
          <w:trHeight w:val="1300"/>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F9BF055" w14:textId="77777777" w:rsidR="00E21864" w:rsidRDefault="00E21864" w:rsidP="00DC3166">
            <w:pPr>
              <w:jc w:val="center"/>
              <w:rPr>
                <w:rFonts w:asciiTheme="minorHAnsi" w:hAnsiTheme="minorHAnsi" w:cstheme="minorHAnsi"/>
                <w:color w:val="000000"/>
                <w:sz w:val="18"/>
                <w:szCs w:val="18"/>
              </w:rPr>
            </w:pPr>
            <w:r w:rsidRPr="00E21864">
              <w:rPr>
                <w:rFonts w:asciiTheme="minorHAnsi" w:hAnsiTheme="minorHAnsi" w:cstheme="minorHAnsi"/>
                <w:color w:val="000000"/>
                <w:sz w:val="18"/>
                <w:szCs w:val="18"/>
              </w:rPr>
              <w:t>PEMBROLIZUMAB</w:t>
            </w:r>
          </w:p>
          <w:p w14:paraId="53FC608C" w14:textId="77777777" w:rsidR="0029636A" w:rsidRDefault="0029636A" w:rsidP="00DC3166">
            <w:pPr>
              <w:jc w:val="center"/>
              <w:rPr>
                <w:rFonts w:asciiTheme="minorHAnsi" w:hAnsiTheme="minorHAnsi" w:cstheme="minorHAnsi"/>
                <w:color w:val="000000"/>
                <w:sz w:val="18"/>
                <w:szCs w:val="18"/>
              </w:rPr>
            </w:pPr>
          </w:p>
          <w:p w14:paraId="3DCA07BB" w14:textId="48D1B210" w:rsidR="00BD7A6A" w:rsidRDefault="00BD7A6A" w:rsidP="00DC3166">
            <w:pPr>
              <w:jc w:val="center"/>
              <w:rPr>
                <w:rFonts w:asciiTheme="minorHAnsi" w:hAnsiTheme="minorHAnsi" w:cstheme="minorHAnsi"/>
                <w:color w:val="000000"/>
                <w:sz w:val="18"/>
                <w:szCs w:val="18"/>
              </w:rPr>
            </w:pPr>
            <w:r w:rsidRPr="00BD7A6A">
              <w:rPr>
                <w:rFonts w:asciiTheme="minorHAnsi" w:hAnsiTheme="minorHAnsi" w:cstheme="minorHAnsi"/>
                <w:color w:val="000000"/>
                <w:sz w:val="18"/>
                <w:szCs w:val="18"/>
              </w:rPr>
              <w:t>Solution concentrate for I.V. infusion 100 mg in 4 mL</w:t>
            </w:r>
          </w:p>
          <w:p w14:paraId="69666604" w14:textId="77777777" w:rsidR="00BD7A6A" w:rsidRDefault="00BD7A6A" w:rsidP="00DC3166">
            <w:pPr>
              <w:jc w:val="center"/>
              <w:rPr>
                <w:rFonts w:asciiTheme="minorHAnsi" w:hAnsiTheme="minorHAnsi" w:cstheme="minorHAnsi"/>
                <w:color w:val="000000"/>
                <w:sz w:val="18"/>
                <w:szCs w:val="18"/>
              </w:rPr>
            </w:pPr>
          </w:p>
          <w:p w14:paraId="0BE331D5" w14:textId="39ECA88D" w:rsidR="00FB0DC5" w:rsidRDefault="00FB0DC5" w:rsidP="00DC3166">
            <w:pPr>
              <w:jc w:val="center"/>
              <w:rPr>
                <w:rFonts w:asciiTheme="minorHAnsi" w:hAnsiTheme="minorHAnsi" w:cstheme="minorHAnsi"/>
                <w:color w:val="000000"/>
                <w:sz w:val="18"/>
                <w:szCs w:val="18"/>
              </w:rPr>
            </w:pPr>
            <w:r w:rsidRPr="00FB0DC5">
              <w:rPr>
                <w:rFonts w:asciiTheme="minorHAnsi" w:hAnsiTheme="minorHAnsi" w:cstheme="minorHAnsi"/>
                <w:color w:val="000000"/>
                <w:sz w:val="18"/>
                <w:szCs w:val="18"/>
              </w:rPr>
              <w:t>Keytruda®</w:t>
            </w:r>
          </w:p>
          <w:p w14:paraId="30FB26E2" w14:textId="77777777" w:rsidR="00FB0DC5" w:rsidRDefault="00FB0DC5" w:rsidP="00DC3166">
            <w:pPr>
              <w:jc w:val="center"/>
              <w:rPr>
                <w:rFonts w:asciiTheme="minorHAnsi" w:hAnsiTheme="minorHAnsi" w:cstheme="minorHAnsi"/>
                <w:color w:val="000000"/>
                <w:sz w:val="18"/>
                <w:szCs w:val="18"/>
              </w:rPr>
            </w:pPr>
          </w:p>
          <w:p w14:paraId="63503240" w14:textId="77777777" w:rsidR="0029636A" w:rsidRDefault="0029636A" w:rsidP="00DC3166">
            <w:pPr>
              <w:jc w:val="center"/>
              <w:rPr>
                <w:rFonts w:asciiTheme="minorHAnsi" w:hAnsiTheme="minorHAnsi" w:cstheme="minorHAnsi"/>
                <w:color w:val="000000"/>
                <w:sz w:val="18"/>
                <w:szCs w:val="18"/>
              </w:rPr>
            </w:pPr>
            <w:r w:rsidRPr="0029636A">
              <w:rPr>
                <w:rFonts w:asciiTheme="minorHAnsi" w:hAnsiTheme="minorHAnsi" w:cstheme="minorHAnsi"/>
                <w:color w:val="000000"/>
                <w:sz w:val="18"/>
                <w:szCs w:val="18"/>
              </w:rPr>
              <w:t>MERCK SHARP &amp; DOHME (AUSTRALIA) PTY LTD</w:t>
            </w:r>
          </w:p>
          <w:p w14:paraId="3E83D1DF" w14:textId="77777777" w:rsidR="003F0708" w:rsidRDefault="003F0708" w:rsidP="00DC3166">
            <w:pPr>
              <w:jc w:val="center"/>
              <w:rPr>
                <w:rFonts w:asciiTheme="minorHAnsi" w:hAnsiTheme="minorHAnsi" w:cstheme="minorHAnsi"/>
                <w:color w:val="000000"/>
                <w:sz w:val="18"/>
                <w:szCs w:val="18"/>
              </w:rPr>
            </w:pPr>
          </w:p>
          <w:p w14:paraId="251D3C02" w14:textId="7C2EF5A0" w:rsidR="003F0708" w:rsidRDefault="00310C0F" w:rsidP="00DC3166">
            <w:pPr>
              <w:jc w:val="center"/>
              <w:rPr>
                <w:rFonts w:asciiTheme="minorHAnsi" w:hAnsiTheme="minorHAnsi" w:cstheme="minorHAnsi"/>
                <w:color w:val="000000"/>
                <w:sz w:val="18"/>
                <w:szCs w:val="18"/>
              </w:rPr>
            </w:pPr>
            <w:r>
              <w:rPr>
                <w:rFonts w:asciiTheme="minorHAnsi" w:hAnsiTheme="minorHAnsi" w:cstheme="minorHAnsi"/>
                <w:color w:val="000000"/>
                <w:sz w:val="18"/>
                <w:szCs w:val="18"/>
              </w:rPr>
              <w:t>Other matters</w:t>
            </w:r>
          </w:p>
          <w:p w14:paraId="2327D9A2" w14:textId="73DED2DF" w:rsidR="002E4496" w:rsidRPr="006A5A05" w:rsidRDefault="00232FCA" w:rsidP="00DC3166">
            <w:pPr>
              <w:jc w:val="center"/>
              <w:rPr>
                <w:rFonts w:asciiTheme="minorHAnsi" w:hAnsiTheme="minorHAnsi" w:cstheme="minorHAnsi"/>
                <w:color w:val="000000"/>
                <w:sz w:val="18"/>
                <w:szCs w:val="18"/>
              </w:rPr>
            </w:pPr>
            <w:r>
              <w:rPr>
                <w:rFonts w:asciiTheme="minorHAnsi" w:hAnsiTheme="minorHAnsi" w:cstheme="minorHAnsi"/>
                <w:color w:val="000000"/>
                <w:sz w:val="18"/>
                <w:szCs w:val="18"/>
              </w:rPr>
              <w:t>(</w:t>
            </w:r>
            <w:r w:rsidR="002E4496" w:rsidRPr="002E4496">
              <w:rPr>
                <w:rFonts w:asciiTheme="minorHAnsi" w:hAnsiTheme="minorHAnsi" w:cstheme="minorHAnsi"/>
                <w:color w:val="000000"/>
                <w:sz w:val="18"/>
                <w:szCs w:val="18"/>
              </w:rPr>
              <w:t>Change to existing listing</w:t>
            </w:r>
            <w:r>
              <w:rPr>
                <w:rFonts w:asciiTheme="minorHAnsi" w:hAnsiTheme="minorHAnsi" w:cstheme="minorHAnsi"/>
                <w:color w:val="000000"/>
                <w:sz w:val="18"/>
                <w:szCs w:val="18"/>
              </w:rPr>
              <w:t>)</w:t>
            </w:r>
          </w:p>
        </w:tc>
        <w:tc>
          <w:tcPr>
            <w:tcW w:w="2767" w:type="dxa"/>
            <w:tcBorders>
              <w:top w:val="single" w:sz="4" w:space="0" w:color="auto"/>
              <w:left w:val="single" w:sz="4" w:space="0" w:color="auto"/>
              <w:bottom w:val="single" w:sz="4" w:space="0" w:color="auto"/>
              <w:right w:val="single" w:sz="4" w:space="0" w:color="auto"/>
            </w:tcBorders>
            <w:vAlign w:val="center"/>
          </w:tcPr>
          <w:p w14:paraId="4AD4EBBA" w14:textId="0C943B19" w:rsidR="00E21864" w:rsidRPr="006A5A05" w:rsidRDefault="00FB0DC5" w:rsidP="00DC3166">
            <w:pPr>
              <w:jc w:val="center"/>
              <w:rPr>
                <w:rFonts w:asciiTheme="minorHAnsi" w:hAnsiTheme="minorHAnsi" w:cstheme="minorHAnsi"/>
                <w:color w:val="000000"/>
                <w:sz w:val="18"/>
                <w:szCs w:val="18"/>
              </w:rPr>
            </w:pPr>
            <w:r w:rsidRPr="00FB0DC5">
              <w:rPr>
                <w:rFonts w:asciiTheme="minorHAnsi" w:hAnsiTheme="minorHAnsi" w:cstheme="minorHAnsi"/>
                <w:color w:val="000000"/>
                <w:sz w:val="18"/>
                <w:szCs w:val="18"/>
              </w:rPr>
              <w:t>Unresectable advanced and metastatic cancer</w:t>
            </w:r>
          </w:p>
        </w:tc>
        <w:tc>
          <w:tcPr>
            <w:tcW w:w="29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5640A2C" w14:textId="1527AE89" w:rsidR="00E21864" w:rsidRPr="006A5A05" w:rsidRDefault="00043B80" w:rsidP="00DC3166">
            <w:pPr>
              <w:jc w:val="center"/>
              <w:rPr>
                <w:rFonts w:asciiTheme="minorHAnsi" w:hAnsiTheme="minorHAnsi" w:cstheme="minorHAnsi"/>
                <w:color w:val="000000"/>
                <w:sz w:val="18"/>
                <w:szCs w:val="18"/>
              </w:rPr>
            </w:pPr>
            <w:r w:rsidRPr="00043B80">
              <w:rPr>
                <w:rFonts w:asciiTheme="minorHAnsi" w:hAnsiTheme="minorHAnsi" w:cstheme="minorHAnsi"/>
                <w:color w:val="000000"/>
                <w:sz w:val="18"/>
                <w:szCs w:val="18"/>
              </w:rPr>
              <w:t>To consider a proposal for an expanded listing to facilitate broad access for unresectable advanced and metastatic cancer.</w:t>
            </w:r>
          </w:p>
        </w:tc>
        <w:tc>
          <w:tcPr>
            <w:tcW w:w="1584" w:type="dxa"/>
            <w:tcBorders>
              <w:top w:val="single" w:sz="4" w:space="0" w:color="auto"/>
              <w:left w:val="single" w:sz="4" w:space="0" w:color="auto"/>
              <w:bottom w:val="single" w:sz="4" w:space="0" w:color="auto"/>
              <w:right w:val="single" w:sz="4" w:space="0" w:color="auto"/>
            </w:tcBorders>
            <w:vAlign w:val="center"/>
          </w:tcPr>
          <w:p w14:paraId="49E71E63" w14:textId="2F4F799D" w:rsidR="00E21864" w:rsidRPr="004D684B" w:rsidRDefault="00AC1D0D" w:rsidP="00DC3166">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 xml:space="preserve">Not recommended </w:t>
            </w:r>
          </w:p>
        </w:tc>
        <w:tc>
          <w:tcPr>
            <w:tcW w:w="4836" w:type="dxa"/>
            <w:tcBorders>
              <w:top w:val="single" w:sz="4" w:space="0" w:color="auto"/>
              <w:left w:val="single" w:sz="4" w:space="0" w:color="auto"/>
              <w:bottom w:val="single" w:sz="4" w:space="0" w:color="auto"/>
              <w:right w:val="single" w:sz="4" w:space="0" w:color="auto"/>
            </w:tcBorders>
          </w:tcPr>
          <w:p w14:paraId="104F1627" w14:textId="77777777" w:rsidR="00AC1D0D" w:rsidRPr="00AC1D0D" w:rsidRDefault="00AC1D0D" w:rsidP="00DC3166">
            <w:pPr>
              <w:jc w:val="both"/>
              <w:rPr>
                <w:rFonts w:asciiTheme="minorHAnsi" w:hAnsiTheme="minorHAnsi" w:cstheme="minorBidi"/>
                <w:color w:val="000000"/>
                <w:sz w:val="18"/>
                <w:szCs w:val="18"/>
              </w:rPr>
            </w:pPr>
            <w:r w:rsidRPr="00AC1D0D">
              <w:rPr>
                <w:rFonts w:asciiTheme="minorHAnsi" w:hAnsiTheme="minorHAnsi" w:cstheme="minorBidi"/>
                <w:color w:val="000000"/>
                <w:sz w:val="18"/>
                <w:szCs w:val="18"/>
              </w:rPr>
              <w:t>The PBAC did not recommend the proposal for a multi-indication (broad) listing for pembrolizumab in advanced or metastatic cancers. The PBAC considered the proposal for the broad listing did not establish a reliable basis for the financial estimates, which also raised significant uncertainty in the ability to achieve a cost-effective listing, given the complex pricing and Risk Sharing Arrangement (RSA) structure proposed. The PBAC considered the prices proposed for each of the extended circumstances of use—including the additional indications, extended time on treatment, and retreatment—to be too high, and concluded that a further price discount would be required to ensure cost-effectiveness.</w:t>
            </w:r>
          </w:p>
          <w:p w14:paraId="45119CC0" w14:textId="77777777" w:rsidR="00AC1D0D" w:rsidRPr="00AC1D0D" w:rsidRDefault="00AC1D0D" w:rsidP="00DC3166">
            <w:pPr>
              <w:jc w:val="both"/>
              <w:rPr>
                <w:rFonts w:asciiTheme="minorHAnsi" w:hAnsiTheme="minorHAnsi" w:cstheme="minorBidi"/>
                <w:color w:val="000000"/>
                <w:sz w:val="18"/>
                <w:szCs w:val="18"/>
              </w:rPr>
            </w:pPr>
          </w:p>
          <w:p w14:paraId="4FB74FA2" w14:textId="77777777" w:rsidR="00AC1D0D" w:rsidRPr="00AC1D0D" w:rsidRDefault="00AC1D0D" w:rsidP="00DC3166">
            <w:pPr>
              <w:jc w:val="both"/>
              <w:rPr>
                <w:rFonts w:asciiTheme="minorHAnsi" w:hAnsiTheme="minorHAnsi" w:cstheme="minorBidi"/>
                <w:color w:val="000000"/>
                <w:sz w:val="18"/>
                <w:szCs w:val="18"/>
              </w:rPr>
            </w:pPr>
            <w:r w:rsidRPr="00AC1D0D">
              <w:rPr>
                <w:rFonts w:asciiTheme="minorHAnsi" w:hAnsiTheme="minorHAnsi" w:cstheme="minorBidi"/>
                <w:color w:val="000000"/>
                <w:sz w:val="18"/>
                <w:szCs w:val="18"/>
              </w:rPr>
              <w:t xml:space="preserve">The PBAC noted the proposal was restricted to the indications for which pembrolizumab was registered with the Therapeutic Goods Administration and, as such, would not provide access to some patient groups in which there is a significant unmet clinical need, such as rare cancers. The PBAC noted a regulatory and subsequent submission for subsidy was unlikely to be made for these patient groups and recalled it was access for this area of clinical need that was one of the initial driving factors behind the broad listing proposals for PD-L(1) inhibitors. The PBAC considered it was important that any broad listing proposal was paired with consideration of this area of unmet need, either as part of the proposal or in parallel with it. </w:t>
            </w:r>
          </w:p>
          <w:p w14:paraId="0B6E2476" w14:textId="77777777" w:rsidR="005C26F7" w:rsidRPr="00AC1D0D" w:rsidRDefault="005C26F7" w:rsidP="00DC3166">
            <w:pPr>
              <w:jc w:val="both"/>
              <w:rPr>
                <w:rFonts w:asciiTheme="minorHAnsi" w:hAnsiTheme="minorHAnsi" w:cstheme="minorBidi"/>
                <w:color w:val="000000"/>
                <w:sz w:val="18"/>
                <w:szCs w:val="18"/>
              </w:rPr>
            </w:pPr>
          </w:p>
          <w:p w14:paraId="5BA09029" w14:textId="77777777" w:rsidR="00E21864" w:rsidRDefault="00AC1D0D" w:rsidP="00DC3166">
            <w:pPr>
              <w:jc w:val="both"/>
              <w:rPr>
                <w:rFonts w:asciiTheme="minorHAnsi" w:hAnsiTheme="minorHAnsi" w:cstheme="minorBidi"/>
                <w:color w:val="000000"/>
                <w:sz w:val="18"/>
                <w:szCs w:val="18"/>
              </w:rPr>
            </w:pPr>
            <w:r w:rsidRPr="00AC1D0D">
              <w:rPr>
                <w:rFonts w:asciiTheme="minorHAnsi" w:hAnsiTheme="minorHAnsi" w:cstheme="minorBidi"/>
                <w:color w:val="000000"/>
                <w:sz w:val="18"/>
                <w:szCs w:val="18"/>
              </w:rPr>
              <w:t>The PBAC acknowledged the collaborative efforts of the sponsor and Department in preparing the proposal and the significant work that had been undertaken to date. The PBAC encouraged the sponsor to continue to work with the Department and to consider whether a revised set of financial estimates and pricing proposal that addressed the issues raised in this consideration could be brought forward for consideration at a future meeting.</w:t>
            </w:r>
          </w:p>
          <w:p w14:paraId="7D7368EA" w14:textId="77777777" w:rsidR="00D66608" w:rsidRDefault="00D66608" w:rsidP="00DC3166">
            <w:pPr>
              <w:jc w:val="both"/>
              <w:rPr>
                <w:rFonts w:asciiTheme="minorHAnsi" w:hAnsiTheme="minorHAnsi" w:cstheme="minorBidi"/>
                <w:color w:val="000000"/>
                <w:sz w:val="18"/>
                <w:szCs w:val="18"/>
              </w:rPr>
            </w:pPr>
          </w:p>
          <w:p w14:paraId="67259901" w14:textId="395BB235" w:rsidR="005B2098" w:rsidRPr="005B2098" w:rsidRDefault="005B2098" w:rsidP="00DC3166">
            <w:pPr>
              <w:jc w:val="both"/>
              <w:rPr>
                <w:rFonts w:asciiTheme="minorHAnsi" w:hAnsiTheme="minorHAnsi" w:cstheme="minorBidi"/>
                <w:color w:val="000000"/>
                <w:sz w:val="18"/>
                <w:szCs w:val="18"/>
                <w:u w:val="single"/>
              </w:rPr>
            </w:pPr>
            <w:r w:rsidRPr="005B2098">
              <w:rPr>
                <w:rFonts w:asciiTheme="minorHAnsi" w:hAnsiTheme="minorHAnsi" w:cstheme="minorBidi"/>
                <w:color w:val="000000"/>
                <w:sz w:val="18"/>
                <w:szCs w:val="18"/>
                <w:u w:val="single"/>
              </w:rPr>
              <w:t>Sponsor’s comment:</w:t>
            </w:r>
          </w:p>
          <w:p w14:paraId="4285A517" w14:textId="6CA67B76" w:rsidR="00D66608" w:rsidRDefault="00D66608" w:rsidP="00DC3166">
            <w:pPr>
              <w:jc w:val="both"/>
              <w:rPr>
                <w:rFonts w:asciiTheme="minorHAnsi" w:hAnsiTheme="minorHAnsi" w:cstheme="minorBidi"/>
                <w:color w:val="000000"/>
                <w:sz w:val="18"/>
                <w:szCs w:val="18"/>
              </w:rPr>
            </w:pPr>
            <w:r w:rsidRPr="005B2098">
              <w:rPr>
                <w:rFonts w:asciiTheme="minorHAnsi" w:hAnsiTheme="minorHAnsi" w:cstheme="minorBidi"/>
                <w:color w:val="000000"/>
                <w:sz w:val="18"/>
                <w:szCs w:val="18"/>
              </w:rPr>
              <w:t>MSD is disappointed by this decision. MSD partnered closely with clinicians and patient advocacy groups during the development of this submission to ensure it would improve affordable access to immunotherapy for Australian cancer</w:t>
            </w:r>
            <w:r w:rsidR="005B2098" w:rsidRPr="005B2098">
              <w:rPr>
                <w:rFonts w:asciiTheme="minorHAnsi" w:hAnsiTheme="minorHAnsi" w:cstheme="minorBidi"/>
                <w:color w:val="000000"/>
                <w:sz w:val="18"/>
                <w:szCs w:val="18"/>
              </w:rPr>
              <w:t xml:space="preserve"> patients.</w:t>
            </w:r>
            <w:r w:rsidR="00B465FA" w:rsidRPr="005B2098">
              <w:rPr>
                <w:rFonts w:asciiTheme="minorHAnsi" w:hAnsiTheme="minorHAnsi" w:cstheme="minorBidi"/>
                <w:color w:val="000000"/>
                <w:sz w:val="18"/>
                <w:szCs w:val="18"/>
              </w:rPr>
              <w:t xml:space="preserve"> </w:t>
            </w:r>
            <w:r w:rsidR="003424B9" w:rsidRPr="005B2098">
              <w:rPr>
                <w:rFonts w:asciiTheme="minorHAnsi" w:hAnsiTheme="minorHAnsi" w:cstheme="minorBidi"/>
                <w:color w:val="000000"/>
                <w:sz w:val="18"/>
                <w:szCs w:val="18"/>
              </w:rPr>
              <w:t xml:space="preserve">We hope to find </w:t>
            </w:r>
            <w:r w:rsidR="005B2098" w:rsidRPr="005B2098">
              <w:rPr>
                <w:rFonts w:asciiTheme="minorHAnsi" w:hAnsiTheme="minorHAnsi" w:cstheme="minorBidi"/>
                <w:color w:val="000000"/>
                <w:sz w:val="18"/>
                <w:szCs w:val="18"/>
              </w:rPr>
              <w:t>clarity</w:t>
            </w:r>
            <w:r w:rsidR="003424B9" w:rsidRPr="005B2098">
              <w:rPr>
                <w:rFonts w:asciiTheme="minorHAnsi" w:hAnsiTheme="minorHAnsi" w:cstheme="minorBidi"/>
                <w:color w:val="000000"/>
                <w:sz w:val="18"/>
                <w:szCs w:val="18"/>
              </w:rPr>
              <w:t xml:space="preserve"> on a way forward during upcoming engagements with the PBAC and Department of Health </w:t>
            </w:r>
            <w:proofErr w:type="gramStart"/>
            <w:r w:rsidR="003424B9" w:rsidRPr="005B2098">
              <w:rPr>
                <w:rFonts w:asciiTheme="minorHAnsi" w:hAnsiTheme="minorHAnsi" w:cstheme="minorBidi"/>
                <w:color w:val="000000"/>
                <w:sz w:val="18"/>
                <w:szCs w:val="18"/>
              </w:rPr>
              <w:t>in order to</w:t>
            </w:r>
            <w:proofErr w:type="gramEnd"/>
            <w:r w:rsidR="003424B9" w:rsidRPr="005B2098">
              <w:rPr>
                <w:rFonts w:asciiTheme="minorHAnsi" w:hAnsiTheme="minorHAnsi" w:cstheme="minorBidi"/>
                <w:color w:val="000000"/>
                <w:sz w:val="18"/>
                <w:szCs w:val="18"/>
              </w:rPr>
              <w:t xml:space="preserve"> provide an equitable solution for Australian cancer patients.</w:t>
            </w:r>
          </w:p>
        </w:tc>
      </w:tr>
      <w:tr w:rsidR="002C39DA" w:rsidRPr="008059F4" w:rsidDel="008F66B5" w14:paraId="76BF20AF" w14:textId="77777777" w:rsidTr="00FE441C">
        <w:trPr>
          <w:cantSplit/>
          <w:trHeight w:val="26"/>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72AD79B" w14:textId="77777777" w:rsidR="004D185A" w:rsidRPr="00F657EC" w:rsidRDefault="004D185A" w:rsidP="00DC3166">
            <w:pPr>
              <w:jc w:val="center"/>
              <w:rPr>
                <w:rFonts w:asciiTheme="minorHAnsi" w:hAnsiTheme="minorHAnsi" w:cstheme="minorHAnsi"/>
                <w:color w:val="000000"/>
                <w:sz w:val="18"/>
                <w:szCs w:val="18"/>
              </w:rPr>
            </w:pPr>
            <w:r w:rsidRPr="00F657EC">
              <w:rPr>
                <w:rFonts w:asciiTheme="minorHAnsi" w:hAnsiTheme="minorHAnsi" w:cstheme="minorHAnsi"/>
                <w:color w:val="000000"/>
                <w:sz w:val="18"/>
                <w:szCs w:val="18"/>
              </w:rPr>
              <w:t>RESPIRATORY SYNCYTIAL VIRUSYVACCINE</w:t>
            </w:r>
          </w:p>
          <w:p w14:paraId="7E815429" w14:textId="77777777" w:rsidR="004D185A" w:rsidRPr="004D185A" w:rsidRDefault="004D185A" w:rsidP="00DC3166">
            <w:pPr>
              <w:jc w:val="center"/>
              <w:rPr>
                <w:rFonts w:asciiTheme="minorHAnsi" w:hAnsiTheme="minorHAnsi" w:cstheme="minorHAnsi"/>
                <w:color w:val="000000"/>
                <w:sz w:val="18"/>
                <w:szCs w:val="18"/>
              </w:rPr>
            </w:pPr>
          </w:p>
          <w:p w14:paraId="4286B66F" w14:textId="77777777" w:rsidR="004D185A" w:rsidRPr="004D185A" w:rsidRDefault="004D185A" w:rsidP="00DC3166">
            <w:pPr>
              <w:jc w:val="center"/>
              <w:rPr>
                <w:rFonts w:asciiTheme="minorHAnsi" w:hAnsiTheme="minorHAnsi" w:cstheme="minorHAnsi"/>
                <w:color w:val="000000"/>
                <w:sz w:val="18"/>
                <w:szCs w:val="18"/>
              </w:rPr>
            </w:pPr>
            <w:r w:rsidRPr="004D185A">
              <w:rPr>
                <w:rFonts w:asciiTheme="minorHAnsi" w:hAnsiTheme="minorHAnsi" w:cstheme="minorHAnsi"/>
                <w:color w:val="000000"/>
                <w:sz w:val="18"/>
                <w:szCs w:val="18"/>
              </w:rPr>
              <w:t>Injection (0.5 mL)</w:t>
            </w:r>
          </w:p>
          <w:p w14:paraId="45119ECF" w14:textId="77777777" w:rsidR="004D185A" w:rsidRPr="004D185A" w:rsidRDefault="004D185A" w:rsidP="00DC3166">
            <w:pPr>
              <w:jc w:val="center"/>
              <w:rPr>
                <w:rFonts w:asciiTheme="minorHAnsi" w:hAnsiTheme="minorHAnsi" w:cstheme="minorHAnsi"/>
                <w:color w:val="000000"/>
                <w:sz w:val="18"/>
                <w:szCs w:val="18"/>
              </w:rPr>
            </w:pPr>
          </w:p>
          <w:p w14:paraId="500646E9" w14:textId="77777777" w:rsidR="004D185A" w:rsidRPr="004D185A" w:rsidRDefault="004D185A" w:rsidP="00DC3166">
            <w:pPr>
              <w:jc w:val="center"/>
              <w:rPr>
                <w:rFonts w:asciiTheme="minorHAnsi" w:hAnsiTheme="minorHAnsi" w:cstheme="minorHAnsi"/>
                <w:color w:val="000000"/>
                <w:sz w:val="18"/>
                <w:szCs w:val="18"/>
              </w:rPr>
            </w:pPr>
            <w:proofErr w:type="spellStart"/>
            <w:r w:rsidRPr="004D185A">
              <w:rPr>
                <w:rFonts w:asciiTheme="minorHAnsi" w:hAnsiTheme="minorHAnsi" w:cstheme="minorHAnsi"/>
                <w:color w:val="000000"/>
                <w:sz w:val="18"/>
                <w:szCs w:val="18"/>
              </w:rPr>
              <w:t>Abrysvo</w:t>
            </w:r>
            <w:proofErr w:type="spellEnd"/>
            <w:r w:rsidRPr="004D185A">
              <w:rPr>
                <w:rFonts w:asciiTheme="minorHAnsi" w:hAnsiTheme="minorHAnsi" w:cstheme="minorHAnsi"/>
                <w:color w:val="000000"/>
                <w:sz w:val="18"/>
                <w:szCs w:val="18"/>
              </w:rPr>
              <w:t>®</w:t>
            </w:r>
          </w:p>
          <w:p w14:paraId="1BDB3F13" w14:textId="77777777" w:rsidR="004D185A" w:rsidRPr="004D185A" w:rsidRDefault="004D185A" w:rsidP="00DC3166">
            <w:pPr>
              <w:jc w:val="center"/>
              <w:rPr>
                <w:rFonts w:asciiTheme="minorHAnsi" w:hAnsiTheme="minorHAnsi" w:cstheme="minorHAnsi"/>
                <w:color w:val="000000"/>
                <w:sz w:val="18"/>
                <w:szCs w:val="18"/>
              </w:rPr>
            </w:pPr>
          </w:p>
          <w:p w14:paraId="450F7AFE" w14:textId="77777777" w:rsidR="004D185A" w:rsidRPr="004D185A" w:rsidRDefault="004D185A" w:rsidP="00DC3166">
            <w:pPr>
              <w:jc w:val="center"/>
              <w:rPr>
                <w:rFonts w:asciiTheme="minorHAnsi" w:hAnsiTheme="minorHAnsi" w:cstheme="minorHAnsi"/>
                <w:color w:val="000000"/>
                <w:sz w:val="18"/>
                <w:szCs w:val="18"/>
              </w:rPr>
            </w:pPr>
            <w:r w:rsidRPr="004D185A">
              <w:rPr>
                <w:rFonts w:asciiTheme="minorHAnsi" w:hAnsiTheme="minorHAnsi" w:cstheme="minorHAnsi"/>
                <w:color w:val="000000"/>
                <w:sz w:val="18"/>
                <w:szCs w:val="18"/>
              </w:rPr>
              <w:t>PFIZER AUSTRALIA PTY LTD</w:t>
            </w:r>
          </w:p>
          <w:p w14:paraId="7DEE39DC" w14:textId="77777777" w:rsidR="004D185A" w:rsidRPr="004D185A" w:rsidRDefault="004D185A" w:rsidP="00DC3166">
            <w:pPr>
              <w:jc w:val="center"/>
              <w:rPr>
                <w:rFonts w:asciiTheme="minorHAnsi" w:hAnsiTheme="minorHAnsi" w:cstheme="minorHAnsi"/>
                <w:color w:val="000000"/>
                <w:sz w:val="18"/>
                <w:szCs w:val="18"/>
              </w:rPr>
            </w:pPr>
          </w:p>
          <w:p w14:paraId="372EBA16" w14:textId="77777777" w:rsidR="004D185A" w:rsidRPr="004D185A" w:rsidRDefault="004D185A" w:rsidP="00DC3166">
            <w:pPr>
              <w:jc w:val="center"/>
              <w:rPr>
                <w:rFonts w:asciiTheme="minorHAnsi" w:hAnsiTheme="minorHAnsi" w:cstheme="minorHAnsi"/>
                <w:color w:val="000000"/>
                <w:sz w:val="18"/>
                <w:szCs w:val="18"/>
              </w:rPr>
            </w:pPr>
            <w:r w:rsidRPr="004D185A">
              <w:rPr>
                <w:rFonts w:asciiTheme="minorHAnsi" w:hAnsiTheme="minorHAnsi" w:cstheme="minorHAnsi"/>
                <w:color w:val="000000"/>
                <w:sz w:val="18"/>
                <w:szCs w:val="18"/>
              </w:rPr>
              <w:t xml:space="preserve">Matters arising from the minutes </w:t>
            </w:r>
          </w:p>
          <w:p w14:paraId="580943ED" w14:textId="16A5BFED" w:rsidR="000F5F40" w:rsidRPr="006A5A05" w:rsidRDefault="004D185A" w:rsidP="00DC3166">
            <w:pPr>
              <w:jc w:val="center"/>
              <w:rPr>
                <w:rFonts w:asciiTheme="minorHAnsi" w:hAnsiTheme="minorHAnsi" w:cstheme="minorHAnsi"/>
                <w:color w:val="000000"/>
                <w:sz w:val="18"/>
                <w:szCs w:val="18"/>
              </w:rPr>
            </w:pPr>
            <w:r w:rsidRPr="004D185A">
              <w:rPr>
                <w:rFonts w:asciiTheme="minorHAnsi" w:hAnsiTheme="minorHAnsi" w:cstheme="minorHAnsi"/>
                <w:color w:val="000000"/>
                <w:sz w:val="18"/>
                <w:szCs w:val="18"/>
              </w:rPr>
              <w:t>(New NIP listing)</w:t>
            </w:r>
          </w:p>
        </w:tc>
        <w:tc>
          <w:tcPr>
            <w:tcW w:w="2767" w:type="dxa"/>
            <w:tcBorders>
              <w:top w:val="single" w:sz="4" w:space="0" w:color="auto"/>
              <w:left w:val="single" w:sz="4" w:space="0" w:color="auto"/>
              <w:bottom w:val="single" w:sz="4" w:space="0" w:color="auto"/>
              <w:right w:val="single" w:sz="4" w:space="0" w:color="auto"/>
            </w:tcBorders>
            <w:vAlign w:val="center"/>
          </w:tcPr>
          <w:p w14:paraId="767FAE44" w14:textId="6AB8AE5F" w:rsidR="000F5F40" w:rsidRPr="006A5A05" w:rsidRDefault="007170CE" w:rsidP="00DC3166">
            <w:pPr>
              <w:jc w:val="center"/>
              <w:rPr>
                <w:rFonts w:asciiTheme="minorHAnsi" w:hAnsiTheme="minorHAnsi" w:cstheme="minorHAnsi"/>
                <w:color w:val="000000"/>
                <w:sz w:val="18"/>
                <w:szCs w:val="18"/>
              </w:rPr>
            </w:pPr>
            <w:r w:rsidRPr="007170CE">
              <w:rPr>
                <w:rFonts w:asciiTheme="minorHAnsi" w:hAnsiTheme="minorHAnsi" w:cstheme="minorHAnsi"/>
                <w:color w:val="000000"/>
                <w:sz w:val="18"/>
                <w:szCs w:val="18"/>
              </w:rPr>
              <w:t>Respiratory syncytial virus (RSV)</w:t>
            </w:r>
          </w:p>
        </w:tc>
        <w:tc>
          <w:tcPr>
            <w:tcW w:w="29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B4D585F" w14:textId="76F0CC88" w:rsidR="000F5F40" w:rsidRPr="006A5A05" w:rsidRDefault="000F5F40" w:rsidP="00DC3166">
            <w:pPr>
              <w:jc w:val="center"/>
              <w:rPr>
                <w:rFonts w:asciiTheme="minorHAnsi" w:hAnsiTheme="minorHAnsi" w:cstheme="minorHAnsi"/>
                <w:color w:val="000000"/>
                <w:sz w:val="18"/>
                <w:szCs w:val="18"/>
              </w:rPr>
            </w:pPr>
            <w:r w:rsidRPr="000F5F40">
              <w:rPr>
                <w:rFonts w:asciiTheme="minorHAnsi" w:hAnsiTheme="minorHAnsi" w:cstheme="minorHAnsi"/>
                <w:color w:val="000000"/>
                <w:sz w:val="18"/>
                <w:szCs w:val="18"/>
              </w:rPr>
              <w:t>To request National Immunisation Program (NIP) listing for the prevention of lower respiratory tract illness (LRTI) caused by RSV for adults 75 years of age and above, and for Aboriginal and Torres Strait Islander peoples aged 60 to 74 years.</w:t>
            </w:r>
          </w:p>
        </w:tc>
        <w:tc>
          <w:tcPr>
            <w:tcW w:w="1584" w:type="dxa"/>
            <w:tcBorders>
              <w:top w:val="single" w:sz="4" w:space="0" w:color="auto"/>
              <w:left w:val="single" w:sz="4" w:space="0" w:color="auto"/>
              <w:bottom w:val="single" w:sz="4" w:space="0" w:color="auto"/>
              <w:right w:val="single" w:sz="4" w:space="0" w:color="auto"/>
            </w:tcBorders>
            <w:vAlign w:val="center"/>
          </w:tcPr>
          <w:p w14:paraId="0143FD1F" w14:textId="6FB3A279" w:rsidR="000F5F40" w:rsidRPr="00237288" w:rsidRDefault="00404D17" w:rsidP="00DC3166">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Recommended</w:t>
            </w:r>
          </w:p>
        </w:tc>
        <w:tc>
          <w:tcPr>
            <w:tcW w:w="4836" w:type="dxa"/>
            <w:tcBorders>
              <w:top w:val="single" w:sz="4" w:space="0" w:color="auto"/>
              <w:left w:val="single" w:sz="4" w:space="0" w:color="auto"/>
              <w:bottom w:val="single" w:sz="4" w:space="0" w:color="auto"/>
              <w:right w:val="single" w:sz="4" w:space="0" w:color="auto"/>
            </w:tcBorders>
          </w:tcPr>
          <w:p w14:paraId="2DEE1F00" w14:textId="1B9C848F" w:rsidR="00404D17" w:rsidRPr="00404D17" w:rsidRDefault="00404D17" w:rsidP="00DC3166">
            <w:pPr>
              <w:jc w:val="both"/>
              <w:rPr>
                <w:rFonts w:asciiTheme="minorHAnsi" w:hAnsiTheme="minorHAnsi" w:cstheme="minorBidi"/>
                <w:bCs/>
                <w:color w:val="000000"/>
                <w:sz w:val="18"/>
                <w:szCs w:val="18"/>
              </w:rPr>
            </w:pPr>
            <w:r w:rsidRPr="00404D17">
              <w:rPr>
                <w:rFonts w:asciiTheme="minorHAnsi" w:hAnsiTheme="minorHAnsi" w:cstheme="minorBidi"/>
                <w:bCs/>
                <w:color w:val="000000"/>
                <w:sz w:val="18"/>
                <w:szCs w:val="18"/>
              </w:rPr>
              <w:t xml:space="preserve">The purpose of the July 2025 PBAC consideration was to seek advice on a proposal from the sponsor including a revised price for the proposed NIP listing of </w:t>
            </w:r>
            <w:proofErr w:type="spellStart"/>
            <w:r w:rsidRPr="00404D17">
              <w:rPr>
                <w:rFonts w:asciiTheme="minorHAnsi" w:hAnsiTheme="minorHAnsi" w:cstheme="minorBidi"/>
                <w:bCs/>
                <w:color w:val="000000"/>
                <w:sz w:val="18"/>
                <w:szCs w:val="18"/>
              </w:rPr>
              <w:t>RSVpreF</w:t>
            </w:r>
            <w:proofErr w:type="spellEnd"/>
            <w:r w:rsidRPr="00404D17">
              <w:rPr>
                <w:rFonts w:asciiTheme="minorHAnsi" w:hAnsiTheme="minorHAnsi" w:cstheme="minorBidi"/>
                <w:bCs/>
                <w:color w:val="000000"/>
                <w:sz w:val="18"/>
                <w:szCs w:val="18"/>
              </w:rPr>
              <w:t xml:space="preserve"> (</w:t>
            </w:r>
            <w:proofErr w:type="spellStart"/>
            <w:r w:rsidRPr="00404D17">
              <w:rPr>
                <w:rFonts w:asciiTheme="minorHAnsi" w:hAnsiTheme="minorHAnsi" w:cstheme="minorBidi"/>
                <w:bCs/>
                <w:color w:val="000000"/>
                <w:sz w:val="18"/>
                <w:szCs w:val="18"/>
              </w:rPr>
              <w:t>Abrysvo</w:t>
            </w:r>
            <w:proofErr w:type="spellEnd"/>
            <w:r w:rsidRPr="00404D17">
              <w:rPr>
                <w:rFonts w:asciiTheme="minorHAnsi" w:hAnsiTheme="minorHAnsi" w:cstheme="minorBidi"/>
                <w:bCs/>
                <w:color w:val="000000"/>
                <w:sz w:val="18"/>
                <w:szCs w:val="18"/>
              </w:rPr>
              <w:t>®) for the LRTI caused by RSV for adults 75 years of age and above, and for Aboriginal and Torres Strait Islander peoples aged 60 to 74 years.  Consistent with its November 2024 advice, the PBAC recommended that respiratory syncytial virus vaccine (</w:t>
            </w:r>
            <w:proofErr w:type="spellStart"/>
            <w:r w:rsidRPr="00404D17">
              <w:rPr>
                <w:rFonts w:asciiTheme="minorHAnsi" w:hAnsiTheme="minorHAnsi" w:cstheme="minorBidi"/>
                <w:bCs/>
                <w:color w:val="000000"/>
                <w:sz w:val="18"/>
                <w:szCs w:val="18"/>
              </w:rPr>
              <w:t>Abrysvo</w:t>
            </w:r>
            <w:proofErr w:type="spellEnd"/>
            <w:r w:rsidRPr="00404D17">
              <w:rPr>
                <w:rFonts w:asciiTheme="minorHAnsi" w:hAnsiTheme="minorHAnsi" w:cstheme="minorBidi"/>
                <w:bCs/>
                <w:color w:val="000000"/>
                <w:sz w:val="18"/>
                <w:szCs w:val="18"/>
              </w:rPr>
              <w:t xml:space="preserve">, </w:t>
            </w:r>
            <w:proofErr w:type="spellStart"/>
            <w:r w:rsidRPr="00404D17">
              <w:rPr>
                <w:rFonts w:asciiTheme="minorHAnsi" w:hAnsiTheme="minorHAnsi" w:cstheme="minorBidi"/>
                <w:bCs/>
                <w:color w:val="000000"/>
                <w:sz w:val="18"/>
                <w:szCs w:val="18"/>
              </w:rPr>
              <w:t>RSVpreF</w:t>
            </w:r>
            <w:proofErr w:type="spellEnd"/>
            <w:r w:rsidRPr="00404D17">
              <w:rPr>
                <w:rFonts w:asciiTheme="minorHAnsi" w:hAnsiTheme="minorHAnsi" w:cstheme="minorBidi"/>
                <w:bCs/>
                <w:color w:val="000000"/>
                <w:sz w:val="18"/>
                <w:szCs w:val="18"/>
              </w:rPr>
              <w:t xml:space="preserve">) be a designated vaccine for the purposes of the </w:t>
            </w:r>
            <w:r w:rsidRPr="00062143">
              <w:rPr>
                <w:rFonts w:asciiTheme="minorHAnsi" w:hAnsiTheme="minorHAnsi" w:cstheme="minorBidi"/>
                <w:bCs/>
                <w:i/>
                <w:iCs/>
                <w:color w:val="000000"/>
                <w:sz w:val="18"/>
                <w:szCs w:val="18"/>
              </w:rPr>
              <w:t>National Health Act 1953</w:t>
            </w:r>
            <w:r w:rsidRPr="00404D17">
              <w:rPr>
                <w:rFonts w:asciiTheme="minorHAnsi" w:hAnsiTheme="minorHAnsi" w:cstheme="minorBidi"/>
                <w:bCs/>
                <w:color w:val="000000"/>
                <w:sz w:val="18"/>
                <w:szCs w:val="18"/>
              </w:rPr>
              <w:t xml:space="preserve"> for the prevention of LRTI caused by RSV for adults 75 years of age and above, and for Aboriginal and Torres Strait Islander peoples aged 60 to 74 years. </w:t>
            </w:r>
          </w:p>
          <w:p w14:paraId="23281F2A" w14:textId="77777777" w:rsidR="00404D17" w:rsidRPr="00404D17" w:rsidRDefault="00404D17" w:rsidP="00DC3166">
            <w:pPr>
              <w:jc w:val="both"/>
              <w:rPr>
                <w:rFonts w:asciiTheme="minorHAnsi" w:hAnsiTheme="minorHAnsi" w:cstheme="minorBidi"/>
                <w:bCs/>
                <w:color w:val="000000"/>
                <w:sz w:val="18"/>
                <w:szCs w:val="18"/>
              </w:rPr>
            </w:pPr>
          </w:p>
          <w:p w14:paraId="728E68DF" w14:textId="659E9664" w:rsidR="00114830" w:rsidRDefault="00404D17" w:rsidP="00DC3166">
            <w:pPr>
              <w:jc w:val="both"/>
              <w:rPr>
                <w:rFonts w:asciiTheme="minorHAnsi" w:hAnsiTheme="minorHAnsi" w:cstheme="minorBidi"/>
                <w:color w:val="000000"/>
                <w:sz w:val="18"/>
                <w:szCs w:val="18"/>
              </w:rPr>
            </w:pPr>
            <w:r w:rsidRPr="00404D17">
              <w:rPr>
                <w:rFonts w:asciiTheme="minorHAnsi" w:hAnsiTheme="minorHAnsi" w:cstheme="minorBidi"/>
                <w:color w:val="000000"/>
                <w:sz w:val="18"/>
                <w:szCs w:val="18"/>
              </w:rPr>
              <w:t xml:space="preserve">The PBAC recalled that input from individuals and organisations was considered at the time of the November 2024 PBAC consideration. The PBAC agreed that there is a high clinical need for vaccines to reduce the risk of RSV in older adults. The PBAC noted that RSV is a common respiratory infection and although symptoms may be mild, some older adults develop severe disease such as acute bronchitis, pneumonia, or exacerbation of pre-existing conditions including asthma, chronic obstructive pulmonary disease and congestive heart failure. </w:t>
            </w:r>
            <w:r w:rsidRPr="00404D17">
              <w:rPr>
                <w:rFonts w:asciiTheme="minorHAnsi" w:hAnsiTheme="minorHAnsi" w:cstheme="minorBidi"/>
                <w:bCs/>
                <w:color w:val="000000"/>
                <w:sz w:val="18"/>
                <w:szCs w:val="18"/>
              </w:rPr>
              <w:t xml:space="preserve">The PBAC considered that the vaccine was effective at preventing LRTI and had an acceptable safety profile. </w:t>
            </w:r>
            <w:proofErr w:type="gramStart"/>
            <w:r w:rsidRPr="00404D17">
              <w:rPr>
                <w:rFonts w:asciiTheme="minorHAnsi" w:hAnsiTheme="minorHAnsi" w:cstheme="minorBidi"/>
                <w:bCs/>
                <w:color w:val="000000"/>
                <w:sz w:val="18"/>
                <w:szCs w:val="18"/>
              </w:rPr>
              <w:t>However</w:t>
            </w:r>
            <w:proofErr w:type="gramEnd"/>
            <w:r w:rsidRPr="00404D17">
              <w:rPr>
                <w:rFonts w:asciiTheme="minorHAnsi" w:hAnsiTheme="minorHAnsi" w:cstheme="minorBidi"/>
                <w:bCs/>
                <w:color w:val="000000"/>
                <w:sz w:val="18"/>
                <w:szCs w:val="18"/>
              </w:rPr>
              <w:t xml:space="preserve"> the evidence provided by the sponsor did not provide certainty about the duration or extent of protection in the requested populations. The PBAC considered the revised information presented by the sponsor, and advised that it would</w:t>
            </w:r>
            <w:r w:rsidRPr="00404D17">
              <w:rPr>
                <w:rFonts w:asciiTheme="minorHAnsi" w:hAnsiTheme="minorHAnsi" w:cstheme="minorBidi"/>
                <w:color w:val="000000"/>
                <w:sz w:val="18"/>
                <w:szCs w:val="18"/>
              </w:rPr>
              <w:t xml:space="preserve"> be reasonable to assume the vaccine would provide protection from RSV for three years, as compared with two years which had been supported by the PBAC in November 2024 based on information available at that time.  </w:t>
            </w:r>
          </w:p>
          <w:p w14:paraId="26095EC3" w14:textId="77777777" w:rsidR="00114830" w:rsidRDefault="00114830" w:rsidP="00DC3166">
            <w:pPr>
              <w:jc w:val="both"/>
              <w:rPr>
                <w:rFonts w:asciiTheme="minorHAnsi" w:hAnsiTheme="minorHAnsi" w:cstheme="minorBidi"/>
                <w:color w:val="000000"/>
                <w:sz w:val="18"/>
                <w:szCs w:val="18"/>
              </w:rPr>
            </w:pPr>
          </w:p>
          <w:p w14:paraId="1F8DBF4C" w14:textId="62FC52CF" w:rsidR="00404D17" w:rsidRDefault="00404D17" w:rsidP="00DC3166">
            <w:pPr>
              <w:jc w:val="both"/>
              <w:rPr>
                <w:rFonts w:asciiTheme="minorHAnsi" w:hAnsiTheme="minorHAnsi" w:cstheme="minorBidi"/>
                <w:color w:val="000000"/>
                <w:sz w:val="18"/>
                <w:szCs w:val="18"/>
              </w:rPr>
            </w:pPr>
            <w:r w:rsidRPr="00404D17">
              <w:rPr>
                <w:rFonts w:asciiTheme="minorHAnsi" w:hAnsiTheme="minorHAnsi" w:cstheme="minorBidi"/>
                <w:color w:val="000000"/>
                <w:sz w:val="18"/>
                <w:szCs w:val="18"/>
              </w:rPr>
              <w:t xml:space="preserve">The PBAC noted that the proposal had offered a lower price and revised economic evaluation, however the ICER based on the PBAC’s recommended inputs and the proposed price </w:t>
            </w:r>
            <w:r w:rsidR="00605714">
              <w:rPr>
                <w:rFonts w:asciiTheme="minorHAnsi" w:hAnsiTheme="minorHAnsi" w:cstheme="minorBidi"/>
                <w:color w:val="000000"/>
                <w:sz w:val="18"/>
                <w:szCs w:val="18"/>
              </w:rPr>
              <w:t xml:space="preserve">remained </w:t>
            </w:r>
            <w:r w:rsidRPr="00404D17">
              <w:rPr>
                <w:rFonts w:asciiTheme="minorHAnsi" w:hAnsiTheme="minorHAnsi" w:cstheme="minorBidi"/>
                <w:color w:val="000000"/>
                <w:sz w:val="18"/>
                <w:szCs w:val="18"/>
              </w:rPr>
              <w:t>unacceptably high. The PBAC did not agree the cost at the price requested would be commensurate with the benefits. On this basis, the PBAC considered that a price reduction would be required to ensure the vaccine is cost-effective in the proposed circumstances of use.</w:t>
            </w:r>
          </w:p>
          <w:p w14:paraId="17DE2CB0" w14:textId="77777777" w:rsidR="00FE441C" w:rsidRPr="00404D17" w:rsidRDefault="00FE441C" w:rsidP="00DC3166">
            <w:pPr>
              <w:jc w:val="both"/>
              <w:rPr>
                <w:rFonts w:asciiTheme="minorHAnsi" w:hAnsiTheme="minorHAnsi" w:cstheme="minorBidi"/>
                <w:color w:val="000000"/>
                <w:sz w:val="18"/>
                <w:szCs w:val="18"/>
              </w:rPr>
            </w:pPr>
          </w:p>
          <w:p w14:paraId="117C344D" w14:textId="77777777" w:rsidR="000F5F40" w:rsidRDefault="00404D17" w:rsidP="00DC3166">
            <w:pPr>
              <w:jc w:val="both"/>
              <w:rPr>
                <w:rFonts w:asciiTheme="minorHAnsi" w:hAnsiTheme="minorHAnsi" w:cstheme="minorBidi"/>
                <w:bCs/>
                <w:color w:val="000000"/>
                <w:sz w:val="18"/>
                <w:szCs w:val="18"/>
              </w:rPr>
            </w:pPr>
            <w:bookmarkStart w:id="6" w:name="_Hlk204795253"/>
            <w:r w:rsidRPr="00404D17">
              <w:rPr>
                <w:rFonts w:asciiTheme="minorHAnsi" w:hAnsiTheme="minorHAnsi" w:cstheme="minorBidi"/>
                <w:bCs/>
                <w:color w:val="000000"/>
                <w:sz w:val="18"/>
                <w:szCs w:val="18"/>
              </w:rPr>
              <w:t>The PBAC noted that in addition to the two recommended populations, the Australian Technical Advisory Group on Immunisation (ATAGI) supported a listing for high</w:t>
            </w:r>
            <w:r w:rsidRPr="00404D17">
              <w:rPr>
                <w:rFonts w:asciiTheme="minorHAnsi" w:hAnsiTheme="minorHAnsi" w:cstheme="minorBidi"/>
                <w:bCs/>
                <w:color w:val="000000"/>
                <w:sz w:val="18"/>
                <w:szCs w:val="18"/>
              </w:rPr>
              <w:noBreakHyphen/>
              <w:t xml:space="preserve">risk people aged 60 to 74 years with risk factors as defined by the ATAGI.  Consistent with its previous advice, the PBAC considered </w:t>
            </w:r>
            <w:r w:rsidRPr="00404D17">
              <w:rPr>
                <w:rFonts w:asciiTheme="minorHAnsi" w:hAnsiTheme="minorHAnsi" w:cstheme="minorBidi"/>
                <w:color w:val="000000"/>
                <w:sz w:val="18"/>
                <w:szCs w:val="18"/>
              </w:rPr>
              <w:t xml:space="preserve">there is a high clinical need for an effective vaccine for this population.  </w:t>
            </w:r>
            <w:r w:rsidRPr="00404D17">
              <w:rPr>
                <w:rFonts w:asciiTheme="minorHAnsi" w:hAnsiTheme="minorHAnsi" w:cstheme="minorBidi"/>
                <w:bCs/>
                <w:color w:val="000000"/>
                <w:sz w:val="18"/>
                <w:szCs w:val="18"/>
              </w:rPr>
              <w:t>The PBAC noted that this population would be addressed in a future resubmission.</w:t>
            </w:r>
            <w:bookmarkEnd w:id="6"/>
          </w:p>
          <w:p w14:paraId="54BB2093" w14:textId="77777777" w:rsidR="00401A6E" w:rsidRDefault="00401A6E" w:rsidP="00DC3166">
            <w:pPr>
              <w:jc w:val="both"/>
              <w:rPr>
                <w:rFonts w:asciiTheme="minorHAnsi" w:hAnsiTheme="minorHAnsi" w:cstheme="minorBidi"/>
                <w:bCs/>
                <w:color w:val="000000"/>
                <w:sz w:val="18"/>
                <w:szCs w:val="18"/>
              </w:rPr>
            </w:pPr>
          </w:p>
          <w:p w14:paraId="2852421D" w14:textId="082F97E1" w:rsidR="000F5F40" w:rsidRPr="00F03408" w:rsidDel="008F66B5" w:rsidRDefault="00401A6E" w:rsidP="00DC3166">
            <w:pPr>
              <w:jc w:val="both"/>
              <w:rPr>
                <w:rFonts w:asciiTheme="minorHAnsi" w:hAnsiTheme="minorHAnsi" w:cstheme="minorBidi"/>
                <w:color w:val="000000"/>
                <w:sz w:val="18"/>
                <w:szCs w:val="18"/>
              </w:rPr>
            </w:pPr>
            <w:r>
              <w:rPr>
                <w:rFonts w:asciiTheme="minorHAnsi" w:hAnsiTheme="minorHAnsi" w:cstheme="minorBidi"/>
                <w:color w:val="000000"/>
                <w:sz w:val="18"/>
                <w:szCs w:val="18"/>
              </w:rPr>
              <w:t xml:space="preserve">The </w:t>
            </w:r>
            <w:r w:rsidRPr="003D7BDC">
              <w:rPr>
                <w:rFonts w:asciiTheme="minorHAnsi" w:hAnsiTheme="minorHAnsi" w:cstheme="minorBidi"/>
                <w:color w:val="000000"/>
                <w:sz w:val="18"/>
                <w:szCs w:val="18"/>
              </w:rPr>
              <w:t xml:space="preserve">National Immunisation Program (NIP) is the main mechanism through which the Australian Government can fund free vaccines for eligible people, </w:t>
            </w:r>
            <w:proofErr w:type="gramStart"/>
            <w:r w:rsidRPr="003D7BDC">
              <w:rPr>
                <w:rFonts w:asciiTheme="minorHAnsi" w:hAnsiTheme="minorHAnsi" w:cstheme="minorBidi"/>
                <w:color w:val="000000"/>
                <w:sz w:val="18"/>
                <w:szCs w:val="18"/>
              </w:rPr>
              <w:t>in order to</w:t>
            </w:r>
            <w:proofErr w:type="gramEnd"/>
            <w:r w:rsidRPr="003D7BDC">
              <w:rPr>
                <w:rFonts w:asciiTheme="minorHAnsi" w:hAnsiTheme="minorHAnsi" w:cstheme="minorBidi"/>
                <w:color w:val="000000"/>
                <w:sz w:val="18"/>
                <w:szCs w:val="18"/>
              </w:rPr>
              <w:t xml:space="preserve"> increase immunisation rates and help reduce vaccine</w:t>
            </w:r>
            <w:r w:rsidRPr="003D7BDC">
              <w:rPr>
                <w:rFonts w:ascii="Cambria Math" w:hAnsi="Cambria Math" w:cs="Cambria Math"/>
                <w:color w:val="000000"/>
                <w:sz w:val="18"/>
                <w:szCs w:val="18"/>
              </w:rPr>
              <w:t>‑</w:t>
            </w:r>
            <w:r w:rsidRPr="003D7BDC">
              <w:rPr>
                <w:rFonts w:asciiTheme="minorHAnsi" w:hAnsiTheme="minorHAnsi" w:cstheme="minorBidi"/>
                <w:color w:val="000000"/>
                <w:sz w:val="18"/>
                <w:szCs w:val="18"/>
              </w:rPr>
              <w:t xml:space="preserve">preventable diseases. Vaccines can only be provided for free under the NIP after the PBAC has recommended that the vaccine be a designated vaccine, as required by the </w:t>
            </w:r>
            <w:r w:rsidRPr="003D7BDC">
              <w:rPr>
                <w:rFonts w:asciiTheme="minorHAnsi" w:hAnsiTheme="minorHAnsi" w:cstheme="minorBidi"/>
                <w:i/>
                <w:iCs/>
                <w:color w:val="000000"/>
                <w:sz w:val="18"/>
                <w:szCs w:val="18"/>
              </w:rPr>
              <w:t>National Health Act 1953</w:t>
            </w:r>
            <w:r w:rsidRPr="003D7BDC">
              <w:rPr>
                <w:rFonts w:asciiTheme="minorHAnsi" w:hAnsiTheme="minorHAnsi" w:cstheme="minorBidi"/>
                <w:color w:val="000000"/>
                <w:sz w:val="18"/>
                <w:szCs w:val="18"/>
              </w:rPr>
              <w:t>.</w:t>
            </w:r>
          </w:p>
        </w:tc>
      </w:tr>
      <w:tr w:rsidR="002C39DA" w:rsidRPr="008059F4" w:rsidDel="008F66B5" w14:paraId="53631EA4" w14:textId="77777777" w:rsidTr="09589B60">
        <w:trPr>
          <w:cantSplit/>
          <w:trHeight w:val="897"/>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611D06A" w14:textId="00117683" w:rsidR="00804990" w:rsidRPr="006A5A05" w:rsidRDefault="006F43C1" w:rsidP="00DC3166">
            <w:pPr>
              <w:jc w:val="center"/>
              <w:rPr>
                <w:rFonts w:asciiTheme="minorHAnsi" w:eastAsia="Calibri" w:hAnsiTheme="minorHAnsi" w:cstheme="minorHAnsi"/>
                <w:color w:val="000000" w:themeColor="text1"/>
                <w:sz w:val="18"/>
                <w:szCs w:val="18"/>
              </w:rPr>
            </w:pPr>
            <w:r w:rsidRPr="00F657EC">
              <w:rPr>
                <w:rFonts w:asciiTheme="minorHAnsi" w:hAnsiTheme="minorHAnsi" w:cstheme="minorHAnsi"/>
                <w:color w:val="000000"/>
                <w:sz w:val="18"/>
                <w:szCs w:val="18"/>
              </w:rPr>
              <w:t>RESPIRATORY SYNCYTIAL VIRUS VACCINE</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Powder and suspension for injection (0.5 mL)</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r>
            <w:proofErr w:type="spellStart"/>
            <w:r w:rsidRPr="006A5A05">
              <w:rPr>
                <w:rFonts w:asciiTheme="minorHAnsi" w:hAnsiTheme="minorHAnsi" w:cstheme="minorHAnsi"/>
                <w:color w:val="000000"/>
                <w:sz w:val="18"/>
                <w:szCs w:val="18"/>
              </w:rPr>
              <w:t>Arexvy</w:t>
            </w:r>
            <w:proofErr w:type="spellEnd"/>
            <w:r w:rsidRPr="006A5A05">
              <w:rPr>
                <w:rFonts w:asciiTheme="minorHAnsi" w:hAnsiTheme="minorHAnsi" w:cstheme="minorHAnsi"/>
                <w:color w:val="000000"/>
                <w:sz w:val="18"/>
                <w:szCs w:val="18"/>
                <w:vertAlign w:val="superscript"/>
              </w:rPr>
              <w:t>®</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GLAXOSMITHKLINE AUSTRALIA PTY LTD</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r>
            <w:r w:rsidR="0077250B" w:rsidRPr="0077250B">
              <w:rPr>
                <w:rFonts w:asciiTheme="minorHAnsi" w:eastAsia="Calibri" w:hAnsiTheme="minorHAnsi" w:cstheme="minorHAnsi"/>
                <w:color w:val="000000" w:themeColor="text1"/>
                <w:sz w:val="18"/>
                <w:szCs w:val="18"/>
              </w:rPr>
              <w:t>Standard re-entry</w:t>
            </w:r>
          </w:p>
          <w:p w14:paraId="581B1B2F" w14:textId="3C906AE8" w:rsidR="006F43C1" w:rsidRPr="006A5A05" w:rsidRDefault="006F43C1"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(New NIP listing)</w:t>
            </w:r>
          </w:p>
        </w:tc>
        <w:tc>
          <w:tcPr>
            <w:tcW w:w="2767" w:type="dxa"/>
            <w:tcBorders>
              <w:top w:val="single" w:sz="4" w:space="0" w:color="auto"/>
              <w:left w:val="single" w:sz="4" w:space="0" w:color="auto"/>
              <w:bottom w:val="single" w:sz="4" w:space="0" w:color="auto"/>
              <w:right w:val="single" w:sz="4" w:space="0" w:color="auto"/>
            </w:tcBorders>
            <w:vAlign w:val="center"/>
          </w:tcPr>
          <w:p w14:paraId="22EEC320" w14:textId="076D2654" w:rsidR="006F43C1" w:rsidRPr="006A5A05" w:rsidRDefault="006F43C1"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Prevention of lower respiratory tract disease caused by respiratory syncytial virus (RSV)</w:t>
            </w:r>
          </w:p>
        </w:tc>
        <w:tc>
          <w:tcPr>
            <w:tcW w:w="29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CC06F6D" w14:textId="11911F5E" w:rsidR="006F43C1" w:rsidRPr="006A5A05" w:rsidRDefault="006F43C1"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Resubmission to request a National Immunisation Program (NIP) listing for the prevention of lower respiratory tract disease caused by RSV in older adults.</w:t>
            </w:r>
          </w:p>
        </w:tc>
        <w:tc>
          <w:tcPr>
            <w:tcW w:w="1584" w:type="dxa"/>
            <w:tcBorders>
              <w:top w:val="single" w:sz="4" w:space="0" w:color="auto"/>
              <w:left w:val="single" w:sz="4" w:space="0" w:color="auto"/>
              <w:bottom w:val="single" w:sz="4" w:space="0" w:color="auto"/>
              <w:right w:val="single" w:sz="4" w:space="0" w:color="auto"/>
            </w:tcBorders>
            <w:vAlign w:val="center"/>
          </w:tcPr>
          <w:p w14:paraId="3D7F8968" w14:textId="085C9472" w:rsidR="006F43C1" w:rsidRPr="006A5A05" w:rsidDel="008F66B5" w:rsidRDefault="00237288" w:rsidP="00DC3166">
            <w:pPr>
              <w:pStyle w:val="ListParagraph"/>
              <w:keepLines/>
              <w:ind w:left="0"/>
              <w:jc w:val="center"/>
              <w:rPr>
                <w:rFonts w:asciiTheme="minorHAnsi" w:hAnsiTheme="minorHAnsi" w:cstheme="minorHAnsi"/>
                <w:color w:val="000000"/>
                <w:sz w:val="18"/>
                <w:szCs w:val="18"/>
              </w:rPr>
            </w:pPr>
            <w:r w:rsidRPr="00237288">
              <w:rPr>
                <w:rFonts w:asciiTheme="minorHAnsi" w:hAnsiTheme="minorHAnsi" w:cstheme="minorHAnsi"/>
                <w:color w:val="000000"/>
                <w:sz w:val="18"/>
                <w:szCs w:val="18"/>
              </w:rPr>
              <w:t>Recommended</w:t>
            </w:r>
          </w:p>
        </w:tc>
        <w:tc>
          <w:tcPr>
            <w:tcW w:w="4836" w:type="dxa"/>
            <w:tcBorders>
              <w:top w:val="single" w:sz="4" w:space="0" w:color="auto"/>
              <w:left w:val="single" w:sz="4" w:space="0" w:color="auto"/>
              <w:bottom w:val="single" w:sz="4" w:space="0" w:color="auto"/>
              <w:right w:val="single" w:sz="4" w:space="0" w:color="auto"/>
            </w:tcBorders>
          </w:tcPr>
          <w:p w14:paraId="41B1423E" w14:textId="126C3FBF" w:rsidR="00401A6E" w:rsidRDefault="003D7BDC" w:rsidP="00DC3166">
            <w:pPr>
              <w:jc w:val="both"/>
              <w:rPr>
                <w:rFonts w:asciiTheme="minorHAnsi" w:hAnsiTheme="minorHAnsi" w:cstheme="minorBidi"/>
                <w:color w:val="000000"/>
                <w:sz w:val="18"/>
                <w:szCs w:val="18"/>
              </w:rPr>
            </w:pPr>
            <w:r w:rsidRPr="003D7BDC">
              <w:rPr>
                <w:rFonts w:asciiTheme="minorHAnsi" w:hAnsiTheme="minorHAnsi" w:cstheme="minorBidi"/>
                <w:color w:val="000000"/>
                <w:sz w:val="18"/>
                <w:szCs w:val="18"/>
              </w:rPr>
              <w:t>The PBAC recommended that respiratory syncytial virus vaccine (</w:t>
            </w:r>
            <w:proofErr w:type="spellStart"/>
            <w:r w:rsidRPr="003D7BDC">
              <w:rPr>
                <w:rFonts w:asciiTheme="minorHAnsi" w:hAnsiTheme="minorHAnsi" w:cstheme="minorBidi"/>
                <w:color w:val="000000"/>
                <w:sz w:val="18"/>
                <w:szCs w:val="18"/>
              </w:rPr>
              <w:t>Arexvy</w:t>
            </w:r>
            <w:proofErr w:type="spellEnd"/>
            <w:r w:rsidRPr="003D7BDC">
              <w:rPr>
                <w:rFonts w:asciiTheme="minorHAnsi" w:hAnsiTheme="minorHAnsi" w:cstheme="minorBidi"/>
                <w:color w:val="000000"/>
                <w:sz w:val="18"/>
                <w:szCs w:val="18"/>
              </w:rPr>
              <w:t xml:space="preserve">, RSVPreF3 OA) be a designated vaccine for the purposes of the </w:t>
            </w:r>
            <w:r w:rsidRPr="003D7BDC">
              <w:rPr>
                <w:rFonts w:asciiTheme="minorHAnsi" w:hAnsiTheme="minorHAnsi" w:cstheme="minorBidi"/>
                <w:i/>
                <w:iCs/>
                <w:color w:val="000000"/>
                <w:sz w:val="18"/>
                <w:szCs w:val="18"/>
              </w:rPr>
              <w:t>National Health Act 1953</w:t>
            </w:r>
            <w:r w:rsidRPr="003D7BDC">
              <w:rPr>
                <w:rFonts w:asciiTheme="minorHAnsi" w:hAnsiTheme="minorHAnsi" w:cstheme="minorBidi"/>
                <w:color w:val="000000"/>
                <w:sz w:val="18"/>
                <w:szCs w:val="18"/>
              </w:rPr>
              <w:t xml:space="preserve"> for the prevention of lower respiratory tract disease (LRTD) caused by RSV in the two populations requested by the resubmission, which included adults 75 years of age and above, and  Aboriginal and Torres Strait Islander peoples aged 60 to 74 years. </w:t>
            </w:r>
          </w:p>
          <w:p w14:paraId="344F3FA4" w14:textId="77777777" w:rsidR="00401A6E" w:rsidRDefault="00401A6E" w:rsidP="00DC3166">
            <w:pPr>
              <w:jc w:val="both"/>
              <w:rPr>
                <w:rFonts w:asciiTheme="minorHAnsi" w:hAnsiTheme="minorHAnsi" w:cstheme="minorBidi"/>
                <w:color w:val="000000"/>
                <w:sz w:val="18"/>
                <w:szCs w:val="18"/>
              </w:rPr>
            </w:pPr>
          </w:p>
          <w:p w14:paraId="7BF71483" w14:textId="77777777" w:rsidR="00401A6E" w:rsidRDefault="003D7BDC" w:rsidP="00DC3166">
            <w:pPr>
              <w:jc w:val="both"/>
              <w:rPr>
                <w:rFonts w:asciiTheme="minorHAnsi" w:hAnsiTheme="minorHAnsi" w:cstheme="minorBidi"/>
                <w:color w:val="000000"/>
                <w:sz w:val="18"/>
                <w:szCs w:val="18"/>
              </w:rPr>
            </w:pPr>
            <w:r w:rsidRPr="003D7BDC">
              <w:rPr>
                <w:rFonts w:asciiTheme="minorHAnsi" w:hAnsiTheme="minorHAnsi" w:cstheme="minorBidi"/>
                <w:color w:val="000000"/>
                <w:sz w:val="18"/>
                <w:szCs w:val="18"/>
              </w:rPr>
              <w:t xml:space="preserve">The PBAC welcomed input from individuals and organisations. The PBAC considered that there is a high clinical need for vaccines to reduce the risk of RSV in older adults. </w:t>
            </w:r>
          </w:p>
          <w:p w14:paraId="4971D747" w14:textId="77777777" w:rsidR="00401A6E" w:rsidRDefault="00401A6E" w:rsidP="00DC3166">
            <w:pPr>
              <w:jc w:val="both"/>
              <w:rPr>
                <w:rFonts w:asciiTheme="minorHAnsi" w:hAnsiTheme="minorHAnsi" w:cstheme="minorBidi"/>
                <w:color w:val="000000"/>
                <w:sz w:val="18"/>
                <w:szCs w:val="18"/>
              </w:rPr>
            </w:pPr>
          </w:p>
          <w:p w14:paraId="78360880" w14:textId="60AE9ED2" w:rsidR="003D7BDC" w:rsidRDefault="003D7BDC" w:rsidP="00DC3166">
            <w:pPr>
              <w:jc w:val="both"/>
              <w:rPr>
                <w:rFonts w:asciiTheme="minorHAnsi" w:hAnsiTheme="minorHAnsi" w:cstheme="minorBidi"/>
                <w:color w:val="000000"/>
                <w:sz w:val="18"/>
                <w:szCs w:val="18"/>
              </w:rPr>
            </w:pPr>
            <w:r w:rsidRPr="48B13182">
              <w:rPr>
                <w:rFonts w:asciiTheme="minorHAnsi" w:hAnsiTheme="minorHAnsi" w:cstheme="minorBidi"/>
                <w:color w:val="000000" w:themeColor="text1"/>
                <w:sz w:val="18"/>
                <w:szCs w:val="18"/>
              </w:rPr>
              <w:t xml:space="preserve">The PBAC considered that </w:t>
            </w:r>
            <w:proofErr w:type="spellStart"/>
            <w:r w:rsidRPr="48B13182">
              <w:rPr>
                <w:rFonts w:asciiTheme="minorHAnsi" w:hAnsiTheme="minorHAnsi" w:cstheme="minorBidi"/>
                <w:color w:val="000000" w:themeColor="text1"/>
                <w:sz w:val="18"/>
                <w:szCs w:val="18"/>
              </w:rPr>
              <w:t>Arexvy</w:t>
            </w:r>
            <w:proofErr w:type="spellEnd"/>
            <w:r w:rsidRPr="48B13182">
              <w:rPr>
                <w:rFonts w:asciiTheme="minorHAnsi" w:hAnsiTheme="minorHAnsi" w:cstheme="minorBidi"/>
                <w:color w:val="000000" w:themeColor="text1"/>
                <w:sz w:val="18"/>
                <w:szCs w:val="18"/>
              </w:rPr>
              <w:t xml:space="preserve"> helped protect against LRTD caused by RSV more than not getting the vaccine and considered it was generally safe and well tolerated although there were some uncertainties around how long </w:t>
            </w:r>
            <w:proofErr w:type="spellStart"/>
            <w:r w:rsidRPr="48B13182">
              <w:rPr>
                <w:rFonts w:asciiTheme="minorHAnsi" w:hAnsiTheme="minorHAnsi" w:cstheme="minorBidi"/>
                <w:color w:val="000000" w:themeColor="text1"/>
                <w:sz w:val="18"/>
                <w:szCs w:val="18"/>
              </w:rPr>
              <w:t>Arexvy’s</w:t>
            </w:r>
            <w:proofErr w:type="spellEnd"/>
            <w:r w:rsidRPr="48B13182">
              <w:rPr>
                <w:rFonts w:asciiTheme="minorHAnsi" w:hAnsiTheme="minorHAnsi" w:cstheme="minorBidi"/>
                <w:color w:val="000000" w:themeColor="text1"/>
                <w:sz w:val="18"/>
                <w:szCs w:val="18"/>
              </w:rPr>
              <w:t xml:space="preserve"> protection would last. </w:t>
            </w:r>
            <w:r w:rsidR="007702B7">
              <w:t xml:space="preserve"> </w:t>
            </w:r>
            <w:r w:rsidR="007702B7" w:rsidRPr="007702B7">
              <w:rPr>
                <w:rFonts w:asciiTheme="minorHAnsi" w:hAnsiTheme="minorHAnsi" w:cstheme="minorBidi"/>
                <w:color w:val="000000" w:themeColor="text1"/>
                <w:sz w:val="18"/>
                <w:szCs w:val="18"/>
              </w:rPr>
              <w:t xml:space="preserve">The PBAC noted the clinical evidence for </w:t>
            </w:r>
            <w:proofErr w:type="spellStart"/>
            <w:r w:rsidR="007702B7" w:rsidRPr="007702B7">
              <w:rPr>
                <w:rFonts w:asciiTheme="minorHAnsi" w:hAnsiTheme="minorHAnsi" w:cstheme="minorBidi"/>
                <w:color w:val="000000" w:themeColor="text1"/>
                <w:sz w:val="18"/>
                <w:szCs w:val="18"/>
              </w:rPr>
              <w:t>Arexvy</w:t>
            </w:r>
            <w:proofErr w:type="spellEnd"/>
            <w:r w:rsidR="007702B7" w:rsidRPr="007702B7">
              <w:rPr>
                <w:rFonts w:asciiTheme="minorHAnsi" w:hAnsiTheme="minorHAnsi" w:cstheme="minorBidi"/>
                <w:color w:val="000000" w:themeColor="text1"/>
                <w:sz w:val="18"/>
                <w:szCs w:val="18"/>
              </w:rPr>
              <w:t xml:space="preserve"> over three seasons, and advised that it would be reasonable to accept vaccine efficacy (VE) over a period of three years for the purposes of the economic evaluation</w:t>
            </w:r>
            <w:r w:rsidRPr="48B13182">
              <w:rPr>
                <w:rFonts w:asciiTheme="minorHAnsi" w:hAnsiTheme="minorHAnsi" w:cstheme="minorBidi"/>
                <w:color w:val="000000" w:themeColor="text1"/>
                <w:sz w:val="18"/>
                <w:szCs w:val="18"/>
              </w:rPr>
              <w:t xml:space="preserve">.  The PBAC recalled that  it recommended another RSV vaccine, </w:t>
            </w:r>
            <w:proofErr w:type="spellStart"/>
            <w:r w:rsidRPr="48B13182">
              <w:rPr>
                <w:rFonts w:asciiTheme="minorHAnsi" w:hAnsiTheme="minorHAnsi" w:cstheme="minorBidi"/>
                <w:color w:val="000000" w:themeColor="text1"/>
                <w:sz w:val="18"/>
                <w:szCs w:val="18"/>
              </w:rPr>
              <w:t>Abrysvo</w:t>
            </w:r>
            <w:proofErr w:type="spellEnd"/>
            <w:r w:rsidRPr="48B13182">
              <w:rPr>
                <w:rFonts w:asciiTheme="minorHAnsi" w:hAnsiTheme="minorHAnsi" w:cstheme="minorBidi"/>
                <w:color w:val="000000" w:themeColor="text1"/>
                <w:sz w:val="18"/>
                <w:szCs w:val="18"/>
              </w:rPr>
              <w:t xml:space="preserve">, be a designated vaccine at its November 2024 meeting for the same populations (people ≥75 years and Aboriginal and Torres Strait Islander peoples aged 60 to 74 years).  The PBAC considered that on balance, based on the available evidence, </w:t>
            </w:r>
            <w:proofErr w:type="spellStart"/>
            <w:r w:rsidRPr="48B13182">
              <w:rPr>
                <w:rFonts w:asciiTheme="minorHAnsi" w:hAnsiTheme="minorHAnsi" w:cstheme="minorBidi"/>
                <w:color w:val="000000" w:themeColor="text1"/>
                <w:sz w:val="18"/>
                <w:szCs w:val="18"/>
              </w:rPr>
              <w:t>Arexvy</w:t>
            </w:r>
            <w:proofErr w:type="spellEnd"/>
            <w:r w:rsidRPr="48B13182">
              <w:rPr>
                <w:rFonts w:asciiTheme="minorHAnsi" w:hAnsiTheme="minorHAnsi" w:cstheme="minorBidi"/>
                <w:color w:val="000000" w:themeColor="text1"/>
                <w:sz w:val="18"/>
                <w:szCs w:val="18"/>
              </w:rPr>
              <w:t xml:space="preserve"> was likely just as safe and just as effective as </w:t>
            </w:r>
            <w:proofErr w:type="spellStart"/>
            <w:r w:rsidRPr="48B13182">
              <w:rPr>
                <w:rFonts w:asciiTheme="minorHAnsi" w:hAnsiTheme="minorHAnsi" w:cstheme="minorBidi"/>
                <w:color w:val="000000" w:themeColor="text1"/>
                <w:sz w:val="18"/>
                <w:szCs w:val="18"/>
              </w:rPr>
              <w:t>Abrysvo</w:t>
            </w:r>
            <w:proofErr w:type="spellEnd"/>
            <w:r w:rsidRPr="48B13182">
              <w:rPr>
                <w:rFonts w:asciiTheme="minorHAnsi" w:hAnsiTheme="minorHAnsi" w:cstheme="minorBidi"/>
                <w:color w:val="000000" w:themeColor="text1"/>
                <w:sz w:val="18"/>
                <w:szCs w:val="18"/>
              </w:rPr>
              <w:t xml:space="preserve"> in preventing LRTD caused by RSV.</w:t>
            </w:r>
            <w:r w:rsidR="004F65FF">
              <w:rPr>
                <w:rFonts w:asciiTheme="minorHAnsi" w:hAnsiTheme="minorHAnsi" w:cstheme="minorBidi"/>
                <w:color w:val="000000" w:themeColor="text1"/>
                <w:sz w:val="18"/>
                <w:szCs w:val="18"/>
              </w:rPr>
              <w:t xml:space="preserve"> </w:t>
            </w:r>
            <w:r w:rsidR="004F65FF" w:rsidRPr="004F65FF">
              <w:rPr>
                <w:rFonts w:asciiTheme="minorHAnsi" w:hAnsiTheme="minorHAnsi" w:cstheme="minorBidi"/>
                <w:color w:val="000000" w:themeColor="text1"/>
                <w:sz w:val="18"/>
                <w:szCs w:val="18"/>
              </w:rPr>
              <w:t xml:space="preserve">On this basis, the PBAC advised that </w:t>
            </w:r>
            <w:proofErr w:type="spellStart"/>
            <w:r w:rsidR="004F65FF" w:rsidRPr="004F65FF">
              <w:rPr>
                <w:rFonts w:asciiTheme="minorHAnsi" w:hAnsiTheme="minorHAnsi" w:cstheme="minorBidi"/>
                <w:color w:val="000000" w:themeColor="text1"/>
                <w:sz w:val="18"/>
                <w:szCs w:val="18"/>
              </w:rPr>
              <w:t>Arexvy</w:t>
            </w:r>
            <w:proofErr w:type="spellEnd"/>
            <w:r w:rsidR="004F65FF" w:rsidRPr="004F65FF">
              <w:rPr>
                <w:rFonts w:asciiTheme="minorHAnsi" w:hAnsiTheme="minorHAnsi" w:cstheme="minorBidi"/>
                <w:color w:val="000000" w:themeColor="text1"/>
                <w:sz w:val="18"/>
                <w:szCs w:val="18"/>
              </w:rPr>
              <w:t xml:space="preserve"> would be cost-effective at the price that was recommended for </w:t>
            </w:r>
            <w:proofErr w:type="spellStart"/>
            <w:r w:rsidR="004F65FF" w:rsidRPr="004F65FF">
              <w:rPr>
                <w:rFonts w:asciiTheme="minorHAnsi" w:hAnsiTheme="minorHAnsi" w:cstheme="minorBidi"/>
                <w:color w:val="000000" w:themeColor="text1"/>
                <w:sz w:val="18"/>
                <w:szCs w:val="18"/>
              </w:rPr>
              <w:t>RSVPreF</w:t>
            </w:r>
            <w:proofErr w:type="spellEnd"/>
            <w:r w:rsidR="004F65FF">
              <w:rPr>
                <w:rFonts w:asciiTheme="minorHAnsi" w:hAnsiTheme="minorHAnsi" w:cstheme="minorBidi"/>
                <w:color w:val="000000" w:themeColor="text1"/>
                <w:sz w:val="18"/>
                <w:szCs w:val="18"/>
              </w:rPr>
              <w:t xml:space="preserve"> </w:t>
            </w:r>
            <w:r w:rsidR="004F65FF" w:rsidRPr="004F65FF">
              <w:rPr>
                <w:rFonts w:asciiTheme="minorHAnsi" w:hAnsiTheme="minorHAnsi" w:cstheme="minorBidi"/>
                <w:color w:val="000000" w:themeColor="text1"/>
                <w:sz w:val="18"/>
                <w:szCs w:val="18"/>
              </w:rPr>
              <w:t>(</w:t>
            </w:r>
            <w:proofErr w:type="spellStart"/>
            <w:r w:rsidR="004F65FF" w:rsidRPr="004F65FF">
              <w:rPr>
                <w:rFonts w:asciiTheme="minorHAnsi" w:hAnsiTheme="minorHAnsi" w:cstheme="minorBidi"/>
                <w:color w:val="000000" w:themeColor="text1"/>
                <w:sz w:val="18"/>
                <w:szCs w:val="18"/>
              </w:rPr>
              <w:t>Abrysvo</w:t>
            </w:r>
            <w:proofErr w:type="spellEnd"/>
            <w:r w:rsidR="004F65FF">
              <w:rPr>
                <w:rFonts w:asciiTheme="minorHAnsi" w:hAnsiTheme="minorHAnsi" w:cstheme="minorBidi"/>
                <w:color w:val="000000" w:themeColor="text1"/>
                <w:sz w:val="18"/>
                <w:szCs w:val="18"/>
              </w:rPr>
              <w:t>)</w:t>
            </w:r>
            <w:r w:rsidRPr="48B13182">
              <w:rPr>
                <w:rFonts w:asciiTheme="minorHAnsi" w:hAnsiTheme="minorHAnsi" w:cstheme="minorBidi"/>
                <w:color w:val="000000" w:themeColor="text1"/>
                <w:sz w:val="18"/>
                <w:szCs w:val="18"/>
              </w:rPr>
              <w:t xml:space="preserve">. The PBAC considered, given the comparable effectiveness and safety of the </w:t>
            </w:r>
            <w:proofErr w:type="spellStart"/>
            <w:r w:rsidRPr="48B13182">
              <w:rPr>
                <w:rFonts w:asciiTheme="minorHAnsi" w:hAnsiTheme="minorHAnsi" w:cstheme="minorBidi"/>
                <w:color w:val="000000" w:themeColor="text1"/>
                <w:sz w:val="18"/>
                <w:szCs w:val="18"/>
              </w:rPr>
              <w:t>Arexvy</w:t>
            </w:r>
            <w:proofErr w:type="spellEnd"/>
            <w:r w:rsidRPr="48B13182">
              <w:rPr>
                <w:rFonts w:asciiTheme="minorHAnsi" w:hAnsiTheme="minorHAnsi" w:cstheme="minorBidi"/>
                <w:color w:val="000000" w:themeColor="text1"/>
                <w:sz w:val="18"/>
                <w:szCs w:val="18"/>
              </w:rPr>
              <w:t xml:space="preserve"> and </w:t>
            </w:r>
            <w:proofErr w:type="spellStart"/>
            <w:r w:rsidRPr="48B13182">
              <w:rPr>
                <w:rFonts w:asciiTheme="minorHAnsi" w:hAnsiTheme="minorHAnsi" w:cstheme="minorBidi"/>
                <w:color w:val="000000" w:themeColor="text1"/>
                <w:sz w:val="18"/>
                <w:szCs w:val="18"/>
              </w:rPr>
              <w:t>Abrysvo</w:t>
            </w:r>
            <w:proofErr w:type="spellEnd"/>
            <w:r w:rsidRPr="48B13182">
              <w:rPr>
                <w:rFonts w:asciiTheme="minorHAnsi" w:hAnsiTheme="minorHAnsi" w:cstheme="minorBidi"/>
                <w:color w:val="000000" w:themeColor="text1"/>
                <w:sz w:val="18"/>
                <w:szCs w:val="18"/>
              </w:rPr>
              <w:t xml:space="preserve"> vaccines, that  their inclusion on the NIP should not result in any additional net cost to Government.</w:t>
            </w:r>
          </w:p>
          <w:p w14:paraId="458E2ECA" w14:textId="77777777" w:rsidR="00BF558B" w:rsidRPr="003D7BDC" w:rsidRDefault="00BF558B" w:rsidP="00DC3166">
            <w:pPr>
              <w:jc w:val="both"/>
              <w:rPr>
                <w:rFonts w:asciiTheme="minorHAnsi" w:hAnsiTheme="minorHAnsi" w:cstheme="minorBidi"/>
                <w:color w:val="000000"/>
                <w:sz w:val="18"/>
                <w:szCs w:val="18"/>
              </w:rPr>
            </w:pPr>
          </w:p>
          <w:p w14:paraId="7556DD8D" w14:textId="0216B3D1" w:rsidR="00401A6E" w:rsidRDefault="003D7BDC" w:rsidP="00DC3166">
            <w:pPr>
              <w:jc w:val="both"/>
              <w:rPr>
                <w:rFonts w:asciiTheme="minorHAnsi" w:hAnsiTheme="minorHAnsi" w:cstheme="minorBidi"/>
                <w:bCs/>
                <w:color w:val="000000"/>
                <w:sz w:val="18"/>
                <w:szCs w:val="18"/>
              </w:rPr>
            </w:pPr>
            <w:r w:rsidRPr="48B13182">
              <w:rPr>
                <w:rFonts w:asciiTheme="minorHAnsi" w:hAnsiTheme="minorHAnsi" w:cstheme="minorBidi"/>
                <w:color w:val="000000" w:themeColor="text1"/>
                <w:sz w:val="18"/>
                <w:szCs w:val="18"/>
              </w:rPr>
              <w:t xml:space="preserve">The PBAC noted that in addition to the two recommended populations, the Australian Technical Advisory Group on Immunisation (ATAGI) supported a listing for </w:t>
            </w:r>
            <w:proofErr w:type="gramStart"/>
            <w:r w:rsidRPr="48B13182">
              <w:rPr>
                <w:rFonts w:asciiTheme="minorHAnsi" w:hAnsiTheme="minorHAnsi" w:cstheme="minorBidi"/>
                <w:color w:val="000000" w:themeColor="text1"/>
                <w:sz w:val="18"/>
                <w:szCs w:val="18"/>
              </w:rPr>
              <w:t>high</w:t>
            </w:r>
            <w:r w:rsidR="00CF0F9C">
              <w:rPr>
                <w:rFonts w:asciiTheme="minorHAnsi" w:hAnsiTheme="minorHAnsi" w:cstheme="minorBidi"/>
                <w:color w:val="000000" w:themeColor="text1"/>
                <w:sz w:val="18"/>
                <w:szCs w:val="18"/>
              </w:rPr>
              <w:t xml:space="preserve"> </w:t>
            </w:r>
            <w:r w:rsidRPr="48B13182">
              <w:rPr>
                <w:rFonts w:asciiTheme="minorHAnsi" w:hAnsiTheme="minorHAnsi" w:cstheme="minorBidi"/>
                <w:color w:val="000000" w:themeColor="text1"/>
                <w:sz w:val="18"/>
                <w:szCs w:val="18"/>
              </w:rPr>
              <w:t>risk</w:t>
            </w:r>
            <w:proofErr w:type="gramEnd"/>
            <w:r w:rsidRPr="48B13182">
              <w:rPr>
                <w:rFonts w:asciiTheme="minorHAnsi" w:hAnsiTheme="minorHAnsi" w:cstheme="minorBidi"/>
                <w:color w:val="000000" w:themeColor="text1"/>
                <w:sz w:val="18"/>
                <w:szCs w:val="18"/>
              </w:rPr>
              <w:t xml:space="preserve"> people aged 60 to 74 years with risk factors as defined by the ATAGI.  Consistent with its previous advice, the PBAC considered there is a high clinical need for an effective vaccine for this population.  The PBAC noted that this population would be addressed in a future resubmission.</w:t>
            </w:r>
          </w:p>
          <w:p w14:paraId="307714C0" w14:textId="3827BDF6" w:rsidR="48B13182" w:rsidRDefault="48B13182" w:rsidP="00DC3166">
            <w:pPr>
              <w:jc w:val="both"/>
              <w:rPr>
                <w:rFonts w:asciiTheme="minorHAnsi" w:hAnsiTheme="minorHAnsi" w:cstheme="minorBidi"/>
                <w:color w:val="000000" w:themeColor="text1"/>
                <w:sz w:val="18"/>
                <w:szCs w:val="18"/>
              </w:rPr>
            </w:pPr>
          </w:p>
          <w:p w14:paraId="60C72855" w14:textId="0B80F993" w:rsidR="006F43C1" w:rsidRPr="00F03408" w:rsidDel="008F66B5" w:rsidRDefault="00401A6E" w:rsidP="00DC3166">
            <w:pPr>
              <w:jc w:val="both"/>
              <w:rPr>
                <w:rFonts w:asciiTheme="minorHAnsi" w:hAnsiTheme="minorHAnsi" w:cstheme="minorBidi"/>
                <w:color w:val="000000"/>
                <w:sz w:val="18"/>
                <w:szCs w:val="18"/>
              </w:rPr>
            </w:pPr>
            <w:r>
              <w:rPr>
                <w:rFonts w:asciiTheme="minorHAnsi" w:hAnsiTheme="minorHAnsi" w:cstheme="minorBidi"/>
                <w:color w:val="000000"/>
                <w:sz w:val="18"/>
                <w:szCs w:val="18"/>
              </w:rPr>
              <w:t xml:space="preserve">The </w:t>
            </w:r>
            <w:r w:rsidRPr="003D7BDC">
              <w:rPr>
                <w:rFonts w:asciiTheme="minorHAnsi" w:hAnsiTheme="minorHAnsi" w:cstheme="minorBidi"/>
                <w:color w:val="000000"/>
                <w:sz w:val="18"/>
                <w:szCs w:val="18"/>
              </w:rPr>
              <w:t xml:space="preserve">National Immunisation Program (NIP) is the main mechanism through which the Australian Government can fund free vaccines for eligible people, </w:t>
            </w:r>
            <w:proofErr w:type="gramStart"/>
            <w:r w:rsidRPr="003D7BDC">
              <w:rPr>
                <w:rFonts w:asciiTheme="minorHAnsi" w:hAnsiTheme="minorHAnsi" w:cstheme="minorBidi"/>
                <w:color w:val="000000"/>
                <w:sz w:val="18"/>
                <w:szCs w:val="18"/>
              </w:rPr>
              <w:t>in order to</w:t>
            </w:r>
            <w:proofErr w:type="gramEnd"/>
            <w:r w:rsidRPr="003D7BDC">
              <w:rPr>
                <w:rFonts w:asciiTheme="minorHAnsi" w:hAnsiTheme="minorHAnsi" w:cstheme="minorBidi"/>
                <w:color w:val="000000"/>
                <w:sz w:val="18"/>
                <w:szCs w:val="18"/>
              </w:rPr>
              <w:t xml:space="preserve"> increase immunisation rates and help reduce vaccine</w:t>
            </w:r>
            <w:r w:rsidRPr="003D7BDC">
              <w:rPr>
                <w:rFonts w:ascii="Cambria Math" w:hAnsi="Cambria Math" w:cs="Cambria Math"/>
                <w:color w:val="000000"/>
                <w:sz w:val="18"/>
                <w:szCs w:val="18"/>
              </w:rPr>
              <w:t>‑</w:t>
            </w:r>
            <w:r w:rsidRPr="003D7BDC">
              <w:rPr>
                <w:rFonts w:asciiTheme="minorHAnsi" w:hAnsiTheme="minorHAnsi" w:cstheme="minorBidi"/>
                <w:color w:val="000000"/>
                <w:sz w:val="18"/>
                <w:szCs w:val="18"/>
              </w:rPr>
              <w:t xml:space="preserve">preventable diseases. Vaccines can only be provided for free under the NIP after the PBAC has recommended that the vaccine be a designated vaccine, as required by the </w:t>
            </w:r>
            <w:r w:rsidRPr="003D7BDC">
              <w:rPr>
                <w:rFonts w:asciiTheme="minorHAnsi" w:hAnsiTheme="minorHAnsi" w:cstheme="minorBidi"/>
                <w:i/>
                <w:iCs/>
                <w:color w:val="000000"/>
                <w:sz w:val="18"/>
                <w:szCs w:val="18"/>
              </w:rPr>
              <w:t>National Health Act 1953</w:t>
            </w:r>
            <w:r w:rsidRPr="003D7BDC">
              <w:rPr>
                <w:rFonts w:asciiTheme="minorHAnsi" w:hAnsiTheme="minorHAnsi" w:cstheme="minorBidi"/>
                <w:color w:val="000000"/>
                <w:sz w:val="18"/>
                <w:szCs w:val="18"/>
              </w:rPr>
              <w:t>.</w:t>
            </w:r>
          </w:p>
        </w:tc>
      </w:tr>
      <w:tr w:rsidR="006C6181" w:rsidRPr="008059F4" w:rsidDel="008F66B5" w14:paraId="7D9F49F3" w14:textId="77777777" w:rsidTr="09589B60">
        <w:trPr>
          <w:cantSplit/>
          <w:trHeight w:val="2948"/>
        </w:trPr>
        <w:tc>
          <w:tcPr>
            <w:tcW w:w="3016" w:type="dxa"/>
            <w:tcMar>
              <w:top w:w="28" w:type="dxa"/>
              <w:bottom w:w="28" w:type="dxa"/>
            </w:tcMar>
            <w:vAlign w:val="center"/>
          </w:tcPr>
          <w:p w14:paraId="78522F89" w14:textId="77777777" w:rsidR="006C6181" w:rsidRPr="009809A6" w:rsidRDefault="006C6181" w:rsidP="00DC3166">
            <w:pPr>
              <w:jc w:val="center"/>
              <w:rPr>
                <w:rFonts w:asciiTheme="minorHAnsi" w:hAnsiTheme="minorHAnsi" w:cstheme="minorHAnsi"/>
                <w:color w:val="000000"/>
                <w:sz w:val="18"/>
                <w:szCs w:val="18"/>
              </w:rPr>
            </w:pPr>
            <w:r w:rsidRPr="009809A6">
              <w:rPr>
                <w:rFonts w:asciiTheme="minorHAnsi" w:hAnsiTheme="minorHAnsi" w:cstheme="minorHAnsi"/>
                <w:color w:val="000000"/>
                <w:sz w:val="18"/>
                <w:szCs w:val="18"/>
              </w:rPr>
              <w:t>Review of PBS-listed medicines for nurse</w:t>
            </w:r>
          </w:p>
          <w:p w14:paraId="03F69BA6" w14:textId="77777777" w:rsidR="006C6181" w:rsidRDefault="006C6181" w:rsidP="00DC3166">
            <w:pPr>
              <w:jc w:val="center"/>
              <w:rPr>
                <w:rFonts w:asciiTheme="minorHAnsi" w:hAnsiTheme="minorHAnsi" w:cstheme="minorHAnsi"/>
                <w:color w:val="000000"/>
                <w:sz w:val="18"/>
                <w:szCs w:val="18"/>
              </w:rPr>
            </w:pPr>
            <w:r w:rsidRPr="009809A6">
              <w:rPr>
                <w:rFonts w:asciiTheme="minorHAnsi" w:hAnsiTheme="minorHAnsi" w:cstheme="minorHAnsi"/>
                <w:color w:val="000000"/>
                <w:sz w:val="18"/>
                <w:szCs w:val="18"/>
              </w:rPr>
              <w:t>practitioner prescribing</w:t>
            </w:r>
          </w:p>
          <w:p w14:paraId="26BDF2F8" w14:textId="77777777" w:rsidR="006C6181" w:rsidRDefault="006C6181" w:rsidP="00DC3166">
            <w:pPr>
              <w:jc w:val="center"/>
              <w:rPr>
                <w:rFonts w:asciiTheme="minorHAnsi" w:hAnsiTheme="minorHAnsi" w:cstheme="minorHAnsi"/>
                <w:color w:val="000000"/>
                <w:sz w:val="18"/>
                <w:szCs w:val="18"/>
              </w:rPr>
            </w:pPr>
          </w:p>
          <w:p w14:paraId="601EC864" w14:textId="77777777" w:rsidR="006C6181" w:rsidRDefault="006C6181" w:rsidP="00DC3166">
            <w:pPr>
              <w:jc w:val="center"/>
              <w:rPr>
                <w:rFonts w:asciiTheme="minorHAnsi" w:hAnsiTheme="minorHAnsi" w:cstheme="minorHAnsi"/>
                <w:color w:val="000000"/>
                <w:sz w:val="18"/>
                <w:szCs w:val="18"/>
              </w:rPr>
            </w:pPr>
            <w:r w:rsidRPr="00943644">
              <w:rPr>
                <w:rFonts w:asciiTheme="minorHAnsi" w:hAnsiTheme="minorHAnsi" w:cstheme="minorHAnsi"/>
                <w:color w:val="000000"/>
                <w:sz w:val="18"/>
                <w:szCs w:val="18"/>
              </w:rPr>
              <w:t>Various forms and strengths</w:t>
            </w:r>
          </w:p>
          <w:p w14:paraId="17FA9C4B" w14:textId="77777777" w:rsidR="006C6181" w:rsidRDefault="006C6181" w:rsidP="00DC3166">
            <w:pPr>
              <w:jc w:val="center"/>
              <w:rPr>
                <w:rFonts w:asciiTheme="minorHAnsi" w:hAnsiTheme="minorHAnsi" w:cstheme="minorHAnsi"/>
                <w:color w:val="000000"/>
                <w:sz w:val="18"/>
                <w:szCs w:val="18"/>
              </w:rPr>
            </w:pPr>
          </w:p>
          <w:p w14:paraId="044A954F" w14:textId="77777777" w:rsidR="006C6181" w:rsidRDefault="006C6181" w:rsidP="00DC3166">
            <w:pPr>
              <w:jc w:val="center"/>
              <w:rPr>
                <w:rFonts w:asciiTheme="minorHAnsi" w:hAnsiTheme="minorHAnsi" w:cstheme="minorHAnsi"/>
                <w:color w:val="000000"/>
                <w:sz w:val="18"/>
                <w:szCs w:val="18"/>
              </w:rPr>
            </w:pPr>
            <w:r w:rsidRPr="001A7A91">
              <w:rPr>
                <w:rFonts w:asciiTheme="minorHAnsi" w:hAnsiTheme="minorHAnsi" w:cstheme="minorHAnsi"/>
                <w:color w:val="000000"/>
                <w:sz w:val="18"/>
                <w:szCs w:val="18"/>
              </w:rPr>
              <w:t>Various brands</w:t>
            </w:r>
          </w:p>
          <w:p w14:paraId="3C4EA3AF" w14:textId="77777777" w:rsidR="006C6181" w:rsidRDefault="006C6181" w:rsidP="00DC3166">
            <w:pPr>
              <w:jc w:val="center"/>
              <w:rPr>
                <w:rFonts w:asciiTheme="minorHAnsi" w:hAnsiTheme="minorHAnsi" w:cstheme="minorHAnsi"/>
                <w:color w:val="000000"/>
                <w:sz w:val="18"/>
                <w:szCs w:val="18"/>
              </w:rPr>
            </w:pPr>
          </w:p>
          <w:p w14:paraId="5D239B45" w14:textId="2FEA3BF4" w:rsidR="006C6181" w:rsidRPr="006A5A05" w:rsidRDefault="006C6181" w:rsidP="00DC3166">
            <w:pPr>
              <w:jc w:val="center"/>
              <w:rPr>
                <w:rFonts w:asciiTheme="minorHAnsi" w:hAnsiTheme="minorHAnsi" w:cstheme="minorHAnsi"/>
                <w:color w:val="000000"/>
                <w:sz w:val="18"/>
                <w:szCs w:val="18"/>
              </w:rPr>
            </w:pPr>
            <w:r w:rsidRPr="00BC5931">
              <w:rPr>
                <w:rFonts w:asciiTheme="minorHAnsi" w:hAnsiTheme="minorHAnsi" w:cstheme="minorHAnsi"/>
                <w:color w:val="000000"/>
                <w:sz w:val="18"/>
                <w:szCs w:val="18"/>
              </w:rPr>
              <w:t>Various sponsors</w:t>
            </w:r>
          </w:p>
        </w:tc>
        <w:tc>
          <w:tcPr>
            <w:tcW w:w="2767" w:type="dxa"/>
            <w:vAlign w:val="center"/>
          </w:tcPr>
          <w:p w14:paraId="3A089F60" w14:textId="480ACF24" w:rsidR="006C6181" w:rsidRPr="006A5A05" w:rsidRDefault="006C6181" w:rsidP="00DC3166">
            <w:pPr>
              <w:jc w:val="center"/>
              <w:rPr>
                <w:rFonts w:asciiTheme="minorHAnsi" w:hAnsiTheme="minorHAnsi" w:cstheme="minorHAnsi"/>
                <w:color w:val="000000"/>
                <w:sz w:val="18"/>
                <w:szCs w:val="18"/>
              </w:rPr>
            </w:pPr>
            <w:r w:rsidRPr="004F01A7">
              <w:rPr>
                <w:rFonts w:asciiTheme="minorHAnsi" w:hAnsiTheme="minorHAnsi" w:cstheme="minorHAnsi"/>
                <w:color w:val="000000"/>
                <w:sz w:val="18"/>
                <w:szCs w:val="18"/>
              </w:rPr>
              <w:t>Various</w:t>
            </w:r>
          </w:p>
        </w:tc>
        <w:tc>
          <w:tcPr>
            <w:tcW w:w="2976" w:type="dxa"/>
            <w:tcMar>
              <w:top w:w="28" w:type="dxa"/>
              <w:bottom w:w="28" w:type="dxa"/>
            </w:tcMar>
            <w:vAlign w:val="center"/>
          </w:tcPr>
          <w:p w14:paraId="77D702A2" w14:textId="61B96733" w:rsidR="006C6181" w:rsidRPr="006A5A05" w:rsidRDefault="006C6181" w:rsidP="00DC3166">
            <w:pPr>
              <w:jc w:val="center"/>
              <w:rPr>
                <w:rFonts w:asciiTheme="minorHAnsi" w:hAnsiTheme="minorHAnsi" w:cstheme="minorHAnsi"/>
                <w:color w:val="000000"/>
                <w:sz w:val="18"/>
                <w:szCs w:val="18"/>
              </w:rPr>
            </w:pPr>
            <w:r w:rsidRPr="008F5EDD">
              <w:rPr>
                <w:rFonts w:asciiTheme="minorHAnsi" w:hAnsiTheme="minorHAnsi" w:cstheme="minorHAnsi"/>
                <w:color w:val="000000"/>
                <w:sz w:val="18"/>
                <w:szCs w:val="18"/>
              </w:rPr>
              <w:t>To request the PBAC consider a tranche of PBS-listed medicines which do not include nurse practitioners as authorised prescribers but may be suitable for prescribing by these health professionals.</w:t>
            </w:r>
          </w:p>
        </w:tc>
        <w:tc>
          <w:tcPr>
            <w:tcW w:w="1584" w:type="dxa"/>
            <w:vAlign w:val="center"/>
          </w:tcPr>
          <w:p w14:paraId="0E8CFC1D" w14:textId="186CA685" w:rsidR="006C6181" w:rsidRPr="00237288" w:rsidRDefault="006C6181" w:rsidP="00DC3166">
            <w:pPr>
              <w:pStyle w:val="ListParagraph"/>
              <w:keepLines/>
              <w:ind w:left="0"/>
              <w:jc w:val="center"/>
              <w:rPr>
                <w:rFonts w:asciiTheme="minorHAnsi" w:hAnsiTheme="minorHAnsi" w:cstheme="minorHAnsi"/>
                <w:color w:val="000000"/>
                <w:sz w:val="18"/>
                <w:szCs w:val="18"/>
              </w:rPr>
            </w:pPr>
            <w:r w:rsidRPr="006C6181">
              <w:rPr>
                <w:rFonts w:asciiTheme="minorHAnsi" w:hAnsiTheme="minorHAnsi" w:cstheme="minorHAnsi"/>
                <w:color w:val="000000"/>
                <w:sz w:val="18"/>
                <w:szCs w:val="18"/>
              </w:rPr>
              <w:t>Recommended</w:t>
            </w:r>
          </w:p>
        </w:tc>
        <w:tc>
          <w:tcPr>
            <w:tcW w:w="4836" w:type="dxa"/>
            <w:vAlign w:val="center"/>
          </w:tcPr>
          <w:p w14:paraId="6494F473" w14:textId="77777777" w:rsidR="00244914" w:rsidRPr="00244914" w:rsidRDefault="00244914" w:rsidP="00DC3166">
            <w:pPr>
              <w:jc w:val="both"/>
              <w:rPr>
                <w:rFonts w:asciiTheme="minorHAnsi" w:hAnsiTheme="minorHAnsi" w:cstheme="minorBidi"/>
                <w:color w:val="000000"/>
                <w:sz w:val="18"/>
                <w:szCs w:val="18"/>
              </w:rPr>
            </w:pPr>
            <w:r w:rsidRPr="00244914">
              <w:rPr>
                <w:rFonts w:asciiTheme="minorHAnsi" w:hAnsiTheme="minorHAnsi" w:cstheme="minorBidi"/>
                <w:color w:val="000000"/>
                <w:sz w:val="18"/>
                <w:szCs w:val="18"/>
              </w:rPr>
              <w:t xml:space="preserve">The PBAC considered the final tranche of medicines for the Review of PBS prescribing by nurse practitioners and endorsed midwives (the Review). The PBAC reviewed a list of stakeholder-identified General Schedule oncology and haematology medicines, and Section 100 (S100) Highly Specialised Drugs (HSD) program medicines for which nurse practitioners are not eligible prescribers. </w:t>
            </w:r>
          </w:p>
          <w:p w14:paraId="4172DB09" w14:textId="77777777" w:rsidR="00244914" w:rsidRPr="00244914" w:rsidRDefault="00244914" w:rsidP="00DC3166">
            <w:pPr>
              <w:jc w:val="both"/>
              <w:rPr>
                <w:rFonts w:asciiTheme="minorHAnsi" w:hAnsiTheme="minorHAnsi" w:cstheme="minorBidi"/>
                <w:color w:val="000000"/>
                <w:sz w:val="18"/>
                <w:szCs w:val="18"/>
              </w:rPr>
            </w:pPr>
          </w:p>
          <w:p w14:paraId="6E49BA63" w14:textId="77777777" w:rsidR="00244914" w:rsidRPr="00244914" w:rsidRDefault="00244914" w:rsidP="00DC3166">
            <w:pPr>
              <w:jc w:val="both"/>
              <w:rPr>
                <w:rFonts w:asciiTheme="minorHAnsi" w:hAnsiTheme="minorHAnsi" w:cstheme="minorBidi"/>
                <w:color w:val="000000"/>
                <w:sz w:val="18"/>
                <w:szCs w:val="18"/>
              </w:rPr>
            </w:pPr>
            <w:r w:rsidRPr="00244914">
              <w:rPr>
                <w:rFonts w:asciiTheme="minorHAnsi" w:hAnsiTheme="minorHAnsi" w:cstheme="minorBidi"/>
                <w:color w:val="000000"/>
                <w:sz w:val="18"/>
                <w:szCs w:val="18"/>
              </w:rPr>
              <w:t xml:space="preserve">The PBAC recommended amendment of most of the identified General Schedule oncology and haematology medicines to allow nurse practitioners to continue existing therapy where patient care is being shared with a medical practitioner. </w:t>
            </w:r>
          </w:p>
          <w:p w14:paraId="1D806B2B" w14:textId="77777777" w:rsidR="00244914" w:rsidRPr="00244914" w:rsidRDefault="00244914" w:rsidP="00DC3166">
            <w:pPr>
              <w:jc w:val="both"/>
              <w:rPr>
                <w:rFonts w:asciiTheme="minorHAnsi" w:hAnsiTheme="minorHAnsi" w:cstheme="minorBidi"/>
                <w:color w:val="000000"/>
                <w:sz w:val="18"/>
                <w:szCs w:val="18"/>
              </w:rPr>
            </w:pPr>
          </w:p>
          <w:p w14:paraId="16A68123" w14:textId="7EF49828" w:rsidR="00244914" w:rsidRDefault="00244914" w:rsidP="00DC3166">
            <w:pPr>
              <w:jc w:val="both"/>
              <w:rPr>
                <w:rFonts w:asciiTheme="minorHAnsi" w:hAnsiTheme="minorHAnsi" w:cstheme="minorBidi"/>
                <w:color w:val="000000"/>
                <w:sz w:val="18"/>
                <w:szCs w:val="18"/>
              </w:rPr>
            </w:pPr>
            <w:r w:rsidRPr="00244914">
              <w:rPr>
                <w:rFonts w:asciiTheme="minorHAnsi" w:hAnsiTheme="minorHAnsi" w:cstheme="minorBidi"/>
                <w:color w:val="000000"/>
                <w:sz w:val="18"/>
                <w:szCs w:val="18"/>
              </w:rPr>
              <w:t xml:space="preserve">The PBAC recommended that several medicines on the S100 HSD program are suitable for prescribing by nurse practitioners for continuing treatment, where there is agreement from the treating medical specialist. Further, the PBAC was supportive of nurse practitioners prescribing initial or continuing treatment with S100 HSD listed iron chelating medicines (deferasirox, deferiprone, </w:t>
            </w:r>
            <w:proofErr w:type="spellStart"/>
            <w:r w:rsidRPr="00244914">
              <w:rPr>
                <w:rFonts w:asciiTheme="minorHAnsi" w:hAnsiTheme="minorHAnsi" w:cstheme="minorBidi"/>
                <w:color w:val="000000"/>
                <w:sz w:val="18"/>
                <w:szCs w:val="18"/>
              </w:rPr>
              <w:t>desferrioxamine</w:t>
            </w:r>
            <w:proofErr w:type="spellEnd"/>
            <w:r w:rsidRPr="00244914">
              <w:rPr>
                <w:rFonts w:asciiTheme="minorHAnsi" w:hAnsiTheme="minorHAnsi" w:cstheme="minorBidi"/>
                <w:color w:val="000000"/>
                <w:sz w:val="18"/>
                <w:szCs w:val="18"/>
              </w:rPr>
              <w:t>) where the patient’s care is shared with a medical practitioner. The PBAC noted that amendments to the s100 HSD program legislative instrument would be required before these S100 HSD recommendations could be implemented.</w:t>
            </w:r>
          </w:p>
          <w:p w14:paraId="6E8AAAA8" w14:textId="77777777" w:rsidR="00EF1244" w:rsidRPr="00244914" w:rsidRDefault="00EF1244" w:rsidP="00DC3166">
            <w:pPr>
              <w:jc w:val="both"/>
              <w:rPr>
                <w:rFonts w:asciiTheme="minorHAnsi" w:hAnsiTheme="minorHAnsi" w:cstheme="minorBidi"/>
                <w:color w:val="000000"/>
                <w:sz w:val="18"/>
                <w:szCs w:val="18"/>
              </w:rPr>
            </w:pPr>
          </w:p>
          <w:p w14:paraId="0CB4CE72" w14:textId="77777777" w:rsidR="00244914" w:rsidRPr="00244914" w:rsidRDefault="00244914" w:rsidP="00DC3166">
            <w:pPr>
              <w:jc w:val="both"/>
              <w:rPr>
                <w:rFonts w:asciiTheme="minorHAnsi" w:hAnsiTheme="minorHAnsi" w:cstheme="minorBidi"/>
                <w:color w:val="000000"/>
                <w:sz w:val="18"/>
                <w:szCs w:val="18"/>
              </w:rPr>
            </w:pPr>
            <w:r w:rsidRPr="00244914">
              <w:rPr>
                <w:rFonts w:asciiTheme="minorHAnsi" w:hAnsiTheme="minorHAnsi" w:cstheme="minorBidi"/>
                <w:color w:val="000000"/>
                <w:sz w:val="18"/>
                <w:szCs w:val="18"/>
              </w:rPr>
              <w:t>For consistency with its November 2024 consideration of listings with a nurse-practitioner continuing therapy only (CTO) note, the PBAC recommended removal of the CTO note for the following PBS-listed medicines: estradiol 0.06% (750 microgram/actuation) gel (</w:t>
            </w:r>
            <w:proofErr w:type="spellStart"/>
            <w:r w:rsidRPr="00244914">
              <w:rPr>
                <w:rFonts w:asciiTheme="minorHAnsi" w:hAnsiTheme="minorHAnsi" w:cstheme="minorBidi"/>
                <w:color w:val="000000"/>
                <w:sz w:val="18"/>
                <w:szCs w:val="18"/>
              </w:rPr>
              <w:t>Estrogel</w:t>
            </w:r>
            <w:proofErr w:type="spellEnd"/>
            <w:r w:rsidRPr="00244914">
              <w:rPr>
                <w:rFonts w:asciiTheme="minorHAnsi" w:hAnsiTheme="minorHAnsi" w:cstheme="minorBidi"/>
                <w:color w:val="000000"/>
                <w:sz w:val="18"/>
                <w:szCs w:val="18"/>
              </w:rPr>
              <w:t>®), progesterone 100 mg capsule (</w:t>
            </w:r>
            <w:proofErr w:type="spellStart"/>
            <w:r w:rsidRPr="00244914">
              <w:rPr>
                <w:rFonts w:asciiTheme="minorHAnsi" w:hAnsiTheme="minorHAnsi" w:cstheme="minorBidi"/>
                <w:color w:val="000000"/>
                <w:sz w:val="18"/>
                <w:szCs w:val="18"/>
              </w:rPr>
              <w:t>Prometrium</w:t>
            </w:r>
            <w:proofErr w:type="spellEnd"/>
            <w:r w:rsidRPr="00244914">
              <w:rPr>
                <w:rFonts w:asciiTheme="minorHAnsi" w:hAnsiTheme="minorHAnsi" w:cstheme="minorBidi"/>
                <w:color w:val="000000"/>
                <w:sz w:val="18"/>
                <w:szCs w:val="18"/>
              </w:rPr>
              <w:t>®), progesterone 100 mg capsule [30] (&amp;) estradiol 0.06% (750 microgram/actuation) gel (</w:t>
            </w:r>
            <w:proofErr w:type="spellStart"/>
            <w:r w:rsidRPr="00244914">
              <w:rPr>
                <w:rFonts w:asciiTheme="minorHAnsi" w:hAnsiTheme="minorHAnsi" w:cstheme="minorBidi"/>
                <w:color w:val="000000"/>
                <w:sz w:val="18"/>
                <w:szCs w:val="18"/>
              </w:rPr>
              <w:t>Estrogel</w:t>
            </w:r>
            <w:proofErr w:type="spellEnd"/>
            <w:r w:rsidRPr="00244914">
              <w:rPr>
                <w:rFonts w:asciiTheme="minorHAnsi" w:hAnsiTheme="minorHAnsi" w:cstheme="minorBidi"/>
                <w:color w:val="000000"/>
                <w:sz w:val="18"/>
                <w:szCs w:val="18"/>
              </w:rPr>
              <w:t xml:space="preserve"> Pro®).</w:t>
            </w:r>
          </w:p>
          <w:p w14:paraId="0F609DC5" w14:textId="77777777" w:rsidR="00244914" w:rsidRPr="00244914" w:rsidRDefault="00244914" w:rsidP="00DC3166">
            <w:pPr>
              <w:jc w:val="both"/>
              <w:rPr>
                <w:rFonts w:asciiTheme="minorHAnsi" w:hAnsiTheme="minorHAnsi" w:cstheme="minorBidi"/>
                <w:color w:val="000000"/>
                <w:sz w:val="18"/>
                <w:szCs w:val="18"/>
              </w:rPr>
            </w:pPr>
          </w:p>
          <w:p w14:paraId="51B0905E" w14:textId="08914472" w:rsidR="006C6181" w:rsidRPr="00F03408" w:rsidDel="008F66B5" w:rsidRDefault="00244914" w:rsidP="00DC3166">
            <w:pPr>
              <w:jc w:val="both"/>
              <w:rPr>
                <w:rFonts w:asciiTheme="minorHAnsi" w:hAnsiTheme="minorHAnsi" w:cstheme="minorBidi"/>
                <w:color w:val="000000"/>
                <w:sz w:val="18"/>
                <w:szCs w:val="18"/>
              </w:rPr>
            </w:pPr>
            <w:r w:rsidRPr="00244914">
              <w:rPr>
                <w:rFonts w:asciiTheme="minorHAnsi" w:hAnsiTheme="minorHAnsi" w:cstheme="minorBidi"/>
                <w:color w:val="000000"/>
                <w:sz w:val="18"/>
                <w:szCs w:val="18"/>
              </w:rPr>
              <w:t xml:space="preserve">In making its recommendations, the PBAC reiterated that the intent of the Review is not to expand or vary the scope of practice of nurse practitioners and endorsed midwives as prescribing is limited by a health practitioner’s scope of practice, adherence to professional practice standards, and state or territory prescribing regulations.  </w:t>
            </w:r>
          </w:p>
        </w:tc>
      </w:tr>
      <w:tr w:rsidR="006F43C1" w:rsidRPr="008059F4" w:rsidDel="008F66B5" w14:paraId="38A7E9A0" w14:textId="77777777" w:rsidTr="09589B60">
        <w:trPr>
          <w:cantSplit/>
          <w:trHeight w:val="2948"/>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4B5A872" w14:textId="38FC27E7" w:rsidR="00804990" w:rsidRPr="006A5A05" w:rsidRDefault="006F43C1" w:rsidP="00DC3166">
            <w:pPr>
              <w:jc w:val="center"/>
              <w:rPr>
                <w:rFonts w:asciiTheme="minorHAnsi" w:eastAsia="Calibri" w:hAnsiTheme="minorHAnsi" w:cstheme="minorHAnsi"/>
                <w:color w:val="000000" w:themeColor="text1"/>
                <w:sz w:val="18"/>
                <w:szCs w:val="18"/>
              </w:rPr>
            </w:pPr>
            <w:r w:rsidRPr="00F657EC">
              <w:rPr>
                <w:rFonts w:asciiTheme="minorHAnsi" w:hAnsiTheme="minorHAnsi" w:cstheme="minorHAnsi"/>
                <w:color w:val="000000"/>
                <w:sz w:val="18"/>
                <w:szCs w:val="18"/>
              </w:rPr>
              <w:t>RIBOCICLIB</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Tablet 200 mg</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r>
            <w:proofErr w:type="spellStart"/>
            <w:r w:rsidRPr="006A5A05">
              <w:rPr>
                <w:rFonts w:asciiTheme="minorHAnsi" w:hAnsiTheme="minorHAnsi" w:cstheme="minorHAnsi"/>
                <w:color w:val="000000"/>
                <w:sz w:val="18"/>
                <w:szCs w:val="18"/>
              </w:rPr>
              <w:t>Kisqali</w:t>
            </w:r>
            <w:proofErr w:type="spellEnd"/>
            <w:r w:rsidRPr="006A5A05">
              <w:rPr>
                <w:rFonts w:asciiTheme="minorHAnsi" w:hAnsiTheme="minorHAnsi" w:cstheme="minorHAnsi"/>
                <w:color w:val="000000"/>
                <w:sz w:val="18"/>
                <w:szCs w:val="18"/>
                <w:vertAlign w:val="superscript"/>
              </w:rPr>
              <w:t>®</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NOVARTIS PHARMACEUTICALS AUSTRALIA PTY LIMITED</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r>
            <w:r w:rsidR="00804990" w:rsidRPr="006A5A05">
              <w:rPr>
                <w:rFonts w:asciiTheme="minorHAnsi" w:eastAsia="Calibri" w:hAnsiTheme="minorHAnsi" w:cstheme="minorHAnsi"/>
                <w:color w:val="000000" w:themeColor="text1"/>
                <w:sz w:val="18"/>
                <w:szCs w:val="18"/>
              </w:rPr>
              <w:t xml:space="preserve">Category </w:t>
            </w:r>
            <w:r w:rsidR="002A05D5">
              <w:rPr>
                <w:rFonts w:asciiTheme="minorHAnsi" w:eastAsia="Calibri" w:hAnsiTheme="minorHAnsi" w:cstheme="minorHAnsi"/>
                <w:color w:val="000000" w:themeColor="text1"/>
                <w:sz w:val="18"/>
                <w:szCs w:val="18"/>
              </w:rPr>
              <w:t>2</w:t>
            </w:r>
          </w:p>
          <w:p w14:paraId="31436AA5" w14:textId="28AA357C" w:rsidR="006F43C1" w:rsidRPr="006A5A05" w:rsidRDefault="006F43C1"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(Change to existing listing)</w:t>
            </w:r>
          </w:p>
        </w:tc>
        <w:tc>
          <w:tcPr>
            <w:tcW w:w="2767" w:type="dxa"/>
            <w:tcBorders>
              <w:top w:val="single" w:sz="4" w:space="0" w:color="auto"/>
              <w:left w:val="single" w:sz="4" w:space="0" w:color="auto"/>
              <w:bottom w:val="single" w:sz="4" w:space="0" w:color="auto"/>
              <w:right w:val="single" w:sz="4" w:space="0" w:color="auto"/>
            </w:tcBorders>
            <w:vAlign w:val="center"/>
          </w:tcPr>
          <w:p w14:paraId="025EFEB5" w14:textId="1FF59CEA" w:rsidR="006F43C1" w:rsidRPr="006A5A05" w:rsidRDefault="006F43C1"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Hormone receptor positive (HR+) and human epidermal growth factor receptor 2 negative (HER2-) early breast cancer</w:t>
            </w:r>
          </w:p>
        </w:tc>
        <w:tc>
          <w:tcPr>
            <w:tcW w:w="29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15E132A" w14:textId="535F74A9" w:rsidR="006F43C1" w:rsidRPr="006A5A05" w:rsidRDefault="006F43C1"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To request a General Schedule Authority Required (Telephone/Online) listing for the treatment of patients with HR+/HER2- resected, Stage II or III early breast cancer at high risk of recurrence.</w:t>
            </w:r>
          </w:p>
        </w:tc>
        <w:tc>
          <w:tcPr>
            <w:tcW w:w="1584" w:type="dxa"/>
            <w:vAlign w:val="center"/>
          </w:tcPr>
          <w:p w14:paraId="6111E895" w14:textId="15DEB558" w:rsidR="006F43C1" w:rsidRPr="006A5A05" w:rsidDel="008F66B5" w:rsidRDefault="00B57EE9" w:rsidP="00DC3166">
            <w:pPr>
              <w:pStyle w:val="ListParagraph"/>
              <w:keepLines/>
              <w:ind w:left="0"/>
              <w:jc w:val="center"/>
              <w:rPr>
                <w:rFonts w:asciiTheme="minorHAnsi" w:hAnsiTheme="minorHAnsi" w:cstheme="minorHAnsi"/>
                <w:color w:val="000000"/>
                <w:sz w:val="18"/>
                <w:szCs w:val="18"/>
              </w:rPr>
            </w:pPr>
            <w:r w:rsidRPr="00B57EE9">
              <w:rPr>
                <w:rFonts w:asciiTheme="minorHAnsi" w:hAnsiTheme="minorHAnsi" w:cstheme="minorHAnsi"/>
                <w:color w:val="000000"/>
                <w:sz w:val="18"/>
                <w:szCs w:val="18"/>
              </w:rPr>
              <w:t>Not recommended</w:t>
            </w:r>
          </w:p>
        </w:tc>
        <w:tc>
          <w:tcPr>
            <w:tcW w:w="4836" w:type="dxa"/>
            <w:vAlign w:val="center"/>
          </w:tcPr>
          <w:p w14:paraId="4838EAF0" w14:textId="2FA4E9BF" w:rsidR="006F43C1" w:rsidRDefault="74D1BA89" w:rsidP="00DC3166">
            <w:pPr>
              <w:jc w:val="both"/>
              <w:rPr>
                <w:rFonts w:asciiTheme="minorHAnsi" w:hAnsiTheme="minorHAnsi" w:cstheme="minorBidi"/>
                <w:color w:val="000000" w:themeColor="text1"/>
                <w:sz w:val="18"/>
                <w:szCs w:val="18"/>
              </w:rPr>
            </w:pPr>
            <w:r w:rsidRPr="6E371D26">
              <w:rPr>
                <w:rFonts w:asciiTheme="minorHAnsi" w:hAnsiTheme="minorHAnsi" w:cstheme="minorBidi"/>
                <w:color w:val="000000" w:themeColor="text1"/>
                <w:sz w:val="18"/>
                <w:szCs w:val="18"/>
              </w:rPr>
              <w:t>The PBAC did not recommend the listing of ribociclib, as combination therapy with adjuvant endocrine therapy (ET), for the treatment of HR+, HER2-, resected early breast cancer (</w:t>
            </w:r>
            <w:proofErr w:type="spellStart"/>
            <w:r w:rsidRPr="6E371D26">
              <w:rPr>
                <w:rFonts w:asciiTheme="minorHAnsi" w:hAnsiTheme="minorHAnsi" w:cstheme="minorBidi"/>
                <w:color w:val="000000" w:themeColor="text1"/>
                <w:sz w:val="18"/>
                <w:szCs w:val="18"/>
              </w:rPr>
              <w:t>eBC</w:t>
            </w:r>
            <w:proofErr w:type="spellEnd"/>
            <w:r w:rsidRPr="6E371D26">
              <w:rPr>
                <w:rFonts w:asciiTheme="minorHAnsi" w:hAnsiTheme="minorHAnsi" w:cstheme="minorBidi"/>
                <w:color w:val="000000" w:themeColor="text1"/>
                <w:sz w:val="18"/>
                <w:szCs w:val="18"/>
              </w:rPr>
              <w:t>). The PBAC noted the risk of recurrence is lower in the proposed population compared with the HR+, HER2- adjuvant population already funded through the PBS.</w:t>
            </w:r>
          </w:p>
          <w:p w14:paraId="45743C8C" w14:textId="7B837ADC" w:rsidR="006F43C1" w:rsidRDefault="74D1BA89" w:rsidP="00DC3166">
            <w:pPr>
              <w:jc w:val="both"/>
            </w:pPr>
            <w:r w:rsidRPr="6E371D26">
              <w:rPr>
                <w:rFonts w:asciiTheme="minorHAnsi" w:hAnsiTheme="minorHAnsi" w:cstheme="minorBidi"/>
                <w:color w:val="000000" w:themeColor="text1"/>
                <w:sz w:val="18"/>
                <w:szCs w:val="18"/>
              </w:rPr>
              <w:t xml:space="preserve"> </w:t>
            </w:r>
          </w:p>
          <w:p w14:paraId="6865B4BF" w14:textId="528CD74E" w:rsidR="006F43C1" w:rsidRDefault="74D1BA89" w:rsidP="00DC3166">
            <w:pPr>
              <w:jc w:val="both"/>
            </w:pPr>
            <w:r w:rsidRPr="6E371D26">
              <w:rPr>
                <w:rFonts w:asciiTheme="minorHAnsi" w:hAnsiTheme="minorHAnsi" w:cstheme="minorBidi"/>
                <w:color w:val="000000" w:themeColor="text1"/>
                <w:sz w:val="18"/>
                <w:szCs w:val="18"/>
              </w:rPr>
              <w:t>The PBAC acknowledged the input from patients, clinicians and organisations highlighted the physical and mental impacts of breast cancer, the fear and anxiety of recurrence in the years following cancer treatment and the need for additional therapies. The PBAC also noted the input describing the serious side effects associated with current care; however, the PBAC noted treatment with ribociclib was additive to ET, which would further increase the risk of adverse events.</w:t>
            </w:r>
          </w:p>
          <w:p w14:paraId="375A6130" w14:textId="57120B68" w:rsidR="006F43C1" w:rsidRDefault="74D1BA89" w:rsidP="00DC3166">
            <w:pPr>
              <w:jc w:val="both"/>
            </w:pPr>
            <w:r w:rsidRPr="6E371D26">
              <w:rPr>
                <w:rFonts w:asciiTheme="minorHAnsi" w:hAnsiTheme="minorHAnsi" w:cstheme="minorBidi"/>
                <w:color w:val="000000" w:themeColor="text1"/>
                <w:sz w:val="18"/>
                <w:szCs w:val="18"/>
              </w:rPr>
              <w:t xml:space="preserve"> </w:t>
            </w:r>
          </w:p>
          <w:p w14:paraId="6A6182D0" w14:textId="0DBEBB36" w:rsidR="006F43C1" w:rsidRDefault="74D1BA89" w:rsidP="00DC3166">
            <w:pPr>
              <w:jc w:val="both"/>
            </w:pPr>
            <w:r w:rsidRPr="6E371D26">
              <w:rPr>
                <w:rFonts w:asciiTheme="minorHAnsi" w:hAnsiTheme="minorHAnsi" w:cstheme="minorBidi"/>
                <w:color w:val="000000" w:themeColor="text1"/>
                <w:sz w:val="18"/>
                <w:szCs w:val="18"/>
              </w:rPr>
              <w:t>The PBAC noted that whilst the reductions in invasive disease-free survival (</w:t>
            </w:r>
            <w:proofErr w:type="spellStart"/>
            <w:r w:rsidRPr="6E371D26">
              <w:rPr>
                <w:rFonts w:asciiTheme="minorHAnsi" w:hAnsiTheme="minorHAnsi" w:cstheme="minorBidi"/>
                <w:color w:val="000000" w:themeColor="text1"/>
                <w:sz w:val="18"/>
                <w:szCs w:val="18"/>
              </w:rPr>
              <w:t>iDFS</w:t>
            </w:r>
            <w:proofErr w:type="spellEnd"/>
            <w:r w:rsidRPr="6E371D26">
              <w:rPr>
                <w:rFonts w:asciiTheme="minorHAnsi" w:hAnsiTheme="minorHAnsi" w:cstheme="minorBidi"/>
                <w:color w:val="000000" w:themeColor="text1"/>
                <w:sz w:val="18"/>
                <w:szCs w:val="18"/>
              </w:rPr>
              <w:t xml:space="preserve">) and distant recurrence-free survival (DRFS) were statistically significant, reflecting the overall low rate of recurrence for node negative/low patients, the reductions were small and smaller than observed for the current </w:t>
            </w:r>
            <w:r w:rsidR="00F512BE" w:rsidRPr="6E371D26">
              <w:rPr>
                <w:rFonts w:asciiTheme="minorHAnsi" w:hAnsiTheme="minorHAnsi" w:cstheme="minorBidi"/>
                <w:color w:val="000000" w:themeColor="text1"/>
                <w:sz w:val="18"/>
                <w:szCs w:val="18"/>
              </w:rPr>
              <w:t>list</w:t>
            </w:r>
            <w:r w:rsidR="00F512BE">
              <w:rPr>
                <w:rFonts w:asciiTheme="minorHAnsi" w:hAnsiTheme="minorHAnsi" w:cstheme="minorBidi"/>
                <w:color w:val="000000" w:themeColor="text1"/>
                <w:sz w:val="18"/>
                <w:szCs w:val="18"/>
              </w:rPr>
              <w:t xml:space="preserve">ing for the treatment of </w:t>
            </w:r>
            <w:r w:rsidRPr="6E371D26">
              <w:rPr>
                <w:rFonts w:asciiTheme="minorHAnsi" w:hAnsiTheme="minorHAnsi" w:cstheme="minorBidi"/>
                <w:color w:val="000000" w:themeColor="text1"/>
                <w:sz w:val="18"/>
                <w:szCs w:val="18"/>
              </w:rPr>
              <w:t xml:space="preserve">node positive patients. In the context of the increase in the number adverse events reported with the addition of ribociclib to ET, and that patients treated in the adjuvant setting forego treatment with a CDK4/6 in the metastatic setting, the PBAC considered the overall benefit associated with adding ribociclib to ET in node negative/low patients had not been demonstrated to be clinically meaningful. </w:t>
            </w:r>
          </w:p>
          <w:p w14:paraId="0A313F37" w14:textId="7DAC1D5E" w:rsidR="006F43C1" w:rsidRDefault="74D1BA89" w:rsidP="00DC3166">
            <w:pPr>
              <w:jc w:val="both"/>
            </w:pPr>
            <w:r w:rsidRPr="6E371D26">
              <w:rPr>
                <w:rFonts w:asciiTheme="minorHAnsi" w:hAnsiTheme="minorHAnsi" w:cstheme="minorBidi"/>
                <w:color w:val="000000" w:themeColor="text1"/>
                <w:sz w:val="18"/>
                <w:szCs w:val="18"/>
              </w:rPr>
              <w:t xml:space="preserve"> </w:t>
            </w:r>
          </w:p>
          <w:p w14:paraId="56F77A23" w14:textId="11DE0E7F" w:rsidR="006F43C1" w:rsidRPr="00EF1244" w:rsidRDefault="74D1BA89" w:rsidP="00DC3166">
            <w:pPr>
              <w:jc w:val="both"/>
            </w:pPr>
            <w:r w:rsidRPr="6E371D26">
              <w:rPr>
                <w:rFonts w:asciiTheme="minorHAnsi" w:hAnsiTheme="minorHAnsi" w:cstheme="minorBidi"/>
                <w:color w:val="000000" w:themeColor="text1"/>
                <w:sz w:val="18"/>
                <w:szCs w:val="18"/>
              </w:rPr>
              <w:t>The PBAC noted the economic model presented in the submission estimated that the clinical benefit in node negative/low patients would be greater than that previously accepted for node positive patients, and considered this result to be implausible.</w:t>
            </w:r>
          </w:p>
          <w:p w14:paraId="7BE9D254" w14:textId="77777777" w:rsidR="001769A5" w:rsidRDefault="001769A5" w:rsidP="00DC3166">
            <w:pPr>
              <w:jc w:val="both"/>
              <w:rPr>
                <w:rFonts w:asciiTheme="minorHAnsi" w:hAnsiTheme="minorHAnsi" w:cstheme="minorBidi"/>
                <w:color w:val="000000"/>
                <w:sz w:val="18"/>
                <w:szCs w:val="18"/>
              </w:rPr>
            </w:pPr>
          </w:p>
          <w:p w14:paraId="315AF0C1" w14:textId="77777777" w:rsidR="009C6BF2" w:rsidRDefault="001769A5" w:rsidP="00993262">
            <w:pPr>
              <w:jc w:val="both"/>
              <w:rPr>
                <w:rFonts w:asciiTheme="minorHAnsi" w:hAnsiTheme="minorHAnsi" w:cstheme="minorBidi"/>
                <w:color w:val="000000"/>
                <w:sz w:val="18"/>
                <w:szCs w:val="18"/>
              </w:rPr>
            </w:pPr>
            <w:r w:rsidRPr="009C6BF2">
              <w:rPr>
                <w:rFonts w:asciiTheme="minorHAnsi" w:hAnsiTheme="minorHAnsi" w:cstheme="minorBidi"/>
                <w:color w:val="000000"/>
                <w:sz w:val="18"/>
                <w:szCs w:val="18"/>
                <w:u w:val="single"/>
              </w:rPr>
              <w:t>Sponsor’s Comment:</w:t>
            </w:r>
            <w:r w:rsidR="00993262">
              <w:rPr>
                <w:rFonts w:asciiTheme="minorHAnsi" w:hAnsiTheme="minorHAnsi" w:cstheme="minorBidi"/>
                <w:color w:val="000000"/>
                <w:sz w:val="18"/>
                <w:szCs w:val="18"/>
              </w:rPr>
              <w:t xml:space="preserve"> </w:t>
            </w:r>
            <w:r w:rsidR="00993262" w:rsidRPr="00993262">
              <w:rPr>
                <w:sz w:val="24"/>
                <w:szCs w:val="24"/>
              </w:rPr>
              <w:t xml:space="preserve"> </w:t>
            </w:r>
          </w:p>
          <w:p w14:paraId="07148110" w14:textId="32549525" w:rsidR="001769A5" w:rsidRPr="00F03408" w:rsidDel="008F66B5" w:rsidRDefault="00993262" w:rsidP="00DC3166">
            <w:pPr>
              <w:jc w:val="both"/>
              <w:rPr>
                <w:rFonts w:asciiTheme="minorHAnsi" w:hAnsiTheme="minorHAnsi" w:cstheme="minorBidi"/>
                <w:color w:val="000000"/>
                <w:sz w:val="18"/>
                <w:szCs w:val="18"/>
              </w:rPr>
            </w:pPr>
            <w:r w:rsidRPr="00993262">
              <w:rPr>
                <w:rFonts w:asciiTheme="minorHAnsi" w:hAnsiTheme="minorHAnsi" w:cstheme="minorBidi"/>
                <w:color w:val="000000"/>
                <w:sz w:val="18"/>
                <w:szCs w:val="18"/>
              </w:rPr>
              <w:t xml:space="preserve">Novartis believes all Australians with early breast cancer at high risk of recurrence should have equitable access to effective treatment options. The PBAC's decision not to recommend </w:t>
            </w:r>
            <w:proofErr w:type="spellStart"/>
            <w:r w:rsidRPr="00993262">
              <w:rPr>
                <w:rFonts w:asciiTheme="minorHAnsi" w:hAnsiTheme="minorHAnsi" w:cstheme="minorBidi"/>
                <w:color w:val="000000"/>
                <w:sz w:val="18"/>
                <w:szCs w:val="18"/>
              </w:rPr>
              <w:t>Kisqali</w:t>
            </w:r>
            <w:proofErr w:type="spellEnd"/>
            <w:r w:rsidRPr="00993262">
              <w:rPr>
                <w:rFonts w:asciiTheme="minorHAnsi" w:hAnsiTheme="minorHAnsi" w:cstheme="minorBidi"/>
                <w:color w:val="000000"/>
                <w:sz w:val="18"/>
                <w:szCs w:val="18"/>
              </w:rPr>
              <w:t xml:space="preserve"> leaves some women with HR+/HER2- high-risk early breast cancer without access to a treatment that can reduce their risk of disease recurrence. Novartis will continue to partner with the breast cancer community to advance care through collaboration and innovation.</w:t>
            </w:r>
          </w:p>
        </w:tc>
      </w:tr>
      <w:tr w:rsidR="006F43C1" w:rsidRPr="008059F4" w:rsidDel="008F66B5" w14:paraId="71CFCD2E" w14:textId="77777777" w:rsidTr="005B49F4">
        <w:trPr>
          <w:cantSplit/>
          <w:trHeight w:val="2716"/>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FB81F85" w14:textId="3C93981E" w:rsidR="00804990" w:rsidRPr="006A5A05" w:rsidRDefault="006F43C1" w:rsidP="00DC3166">
            <w:pPr>
              <w:jc w:val="center"/>
              <w:rPr>
                <w:rFonts w:asciiTheme="minorHAnsi" w:eastAsia="Calibri" w:hAnsiTheme="minorHAnsi" w:cstheme="minorHAnsi"/>
                <w:color w:val="000000" w:themeColor="text1"/>
                <w:sz w:val="18"/>
                <w:szCs w:val="18"/>
              </w:rPr>
            </w:pPr>
            <w:r w:rsidRPr="00F657EC">
              <w:rPr>
                <w:rFonts w:asciiTheme="minorHAnsi" w:hAnsiTheme="minorHAnsi" w:cstheme="minorHAnsi"/>
                <w:color w:val="000000"/>
                <w:sz w:val="18"/>
                <w:szCs w:val="18"/>
              </w:rPr>
              <w:t>SELADELPAR</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Capsule 10 mg</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r>
            <w:proofErr w:type="spellStart"/>
            <w:r w:rsidRPr="006A5A05">
              <w:rPr>
                <w:rFonts w:asciiTheme="minorHAnsi" w:hAnsiTheme="minorHAnsi" w:cstheme="minorHAnsi"/>
                <w:color w:val="000000"/>
                <w:sz w:val="18"/>
                <w:szCs w:val="18"/>
              </w:rPr>
              <w:t>Livdelzi</w:t>
            </w:r>
            <w:proofErr w:type="spellEnd"/>
            <w:r w:rsidRPr="006A5A05">
              <w:rPr>
                <w:rFonts w:asciiTheme="minorHAnsi" w:hAnsiTheme="minorHAnsi" w:cstheme="minorHAnsi"/>
                <w:color w:val="000000"/>
                <w:sz w:val="18"/>
                <w:szCs w:val="18"/>
                <w:vertAlign w:val="superscript"/>
              </w:rPr>
              <w:t>®</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GILEAD SCIENCES PTY LTD</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r>
            <w:r w:rsidR="00804990" w:rsidRPr="006A5A05">
              <w:rPr>
                <w:rFonts w:asciiTheme="minorHAnsi" w:eastAsia="Calibri" w:hAnsiTheme="minorHAnsi" w:cstheme="minorHAnsi"/>
                <w:color w:val="000000" w:themeColor="text1"/>
                <w:sz w:val="18"/>
                <w:szCs w:val="18"/>
              </w:rPr>
              <w:t xml:space="preserve">Category </w:t>
            </w:r>
            <w:r w:rsidR="00A27101">
              <w:rPr>
                <w:rFonts w:asciiTheme="minorHAnsi" w:eastAsia="Calibri" w:hAnsiTheme="minorHAnsi" w:cstheme="minorHAnsi"/>
                <w:color w:val="000000" w:themeColor="text1"/>
                <w:sz w:val="18"/>
                <w:szCs w:val="18"/>
              </w:rPr>
              <w:t>2</w:t>
            </w:r>
          </w:p>
          <w:p w14:paraId="5525B23D" w14:textId="567A93D3" w:rsidR="006F43C1" w:rsidRPr="006A5A05" w:rsidRDefault="006F43C1"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vAlign w:val="center"/>
          </w:tcPr>
          <w:p w14:paraId="0C02FFB9" w14:textId="77777777" w:rsidR="00E20A6A" w:rsidRPr="00E20A6A" w:rsidRDefault="00E20A6A" w:rsidP="00C043C0">
            <w:pPr>
              <w:jc w:val="center"/>
              <w:rPr>
                <w:rFonts w:asciiTheme="minorHAnsi" w:hAnsiTheme="minorHAnsi" w:cstheme="minorHAnsi"/>
                <w:sz w:val="18"/>
                <w:szCs w:val="18"/>
              </w:rPr>
            </w:pPr>
          </w:p>
          <w:p w14:paraId="5E33A17A" w14:textId="77777777" w:rsidR="00E20A6A" w:rsidRPr="00E20A6A" w:rsidRDefault="00E20A6A" w:rsidP="00C043C0">
            <w:pPr>
              <w:jc w:val="center"/>
              <w:rPr>
                <w:rFonts w:asciiTheme="minorHAnsi" w:hAnsiTheme="minorHAnsi" w:cstheme="minorHAnsi"/>
                <w:sz w:val="18"/>
                <w:szCs w:val="18"/>
              </w:rPr>
            </w:pPr>
          </w:p>
          <w:p w14:paraId="4BB46CF3" w14:textId="77777777" w:rsidR="00E20A6A" w:rsidRPr="00E20A6A" w:rsidRDefault="00E20A6A" w:rsidP="00C043C0">
            <w:pPr>
              <w:jc w:val="center"/>
              <w:rPr>
                <w:rFonts w:asciiTheme="minorHAnsi" w:hAnsiTheme="minorHAnsi" w:cstheme="minorHAnsi"/>
                <w:sz w:val="18"/>
                <w:szCs w:val="18"/>
              </w:rPr>
            </w:pPr>
          </w:p>
          <w:p w14:paraId="040C553B" w14:textId="77777777" w:rsidR="00E20A6A" w:rsidRPr="00E20A6A" w:rsidRDefault="00E20A6A" w:rsidP="00C043C0">
            <w:pPr>
              <w:jc w:val="center"/>
              <w:rPr>
                <w:rFonts w:asciiTheme="minorHAnsi" w:hAnsiTheme="minorHAnsi" w:cstheme="minorHAnsi"/>
                <w:sz w:val="18"/>
                <w:szCs w:val="18"/>
              </w:rPr>
            </w:pPr>
          </w:p>
          <w:p w14:paraId="5719E4E3" w14:textId="77777777" w:rsidR="00E20A6A" w:rsidRPr="00E20A6A" w:rsidRDefault="00E20A6A" w:rsidP="00C043C0">
            <w:pPr>
              <w:jc w:val="center"/>
              <w:rPr>
                <w:rFonts w:asciiTheme="minorHAnsi" w:hAnsiTheme="minorHAnsi" w:cstheme="minorHAnsi"/>
                <w:sz w:val="18"/>
                <w:szCs w:val="18"/>
              </w:rPr>
            </w:pPr>
          </w:p>
          <w:p w14:paraId="0D4ADB43" w14:textId="77777777" w:rsidR="005B49F4" w:rsidRDefault="005B49F4" w:rsidP="005B49F4">
            <w:pPr>
              <w:jc w:val="center"/>
              <w:rPr>
                <w:rFonts w:asciiTheme="minorHAnsi" w:hAnsiTheme="minorHAnsi" w:cstheme="minorHAnsi"/>
                <w:sz w:val="18"/>
                <w:szCs w:val="18"/>
              </w:rPr>
            </w:pPr>
          </w:p>
          <w:p w14:paraId="0356F6BD" w14:textId="685B2FEF" w:rsidR="00C043C0" w:rsidRPr="00C043C0" w:rsidRDefault="00C043C0" w:rsidP="005B49F4">
            <w:pPr>
              <w:jc w:val="center"/>
              <w:rPr>
                <w:rFonts w:asciiTheme="minorHAnsi" w:hAnsiTheme="minorHAnsi" w:cstheme="minorHAnsi"/>
                <w:sz w:val="18"/>
                <w:szCs w:val="18"/>
              </w:rPr>
            </w:pPr>
            <w:r w:rsidRPr="00C043C0">
              <w:rPr>
                <w:rFonts w:asciiTheme="minorHAnsi" w:hAnsiTheme="minorHAnsi" w:cstheme="minorHAnsi"/>
                <w:sz w:val="18"/>
                <w:szCs w:val="18"/>
              </w:rPr>
              <w:t>Primary biliary cholangitis (PBC)</w:t>
            </w:r>
          </w:p>
          <w:p w14:paraId="0C5F3026" w14:textId="77777777" w:rsidR="00E20A6A" w:rsidRPr="00E20A6A" w:rsidRDefault="00E20A6A" w:rsidP="00C043C0">
            <w:pPr>
              <w:jc w:val="center"/>
              <w:rPr>
                <w:rFonts w:asciiTheme="minorHAnsi" w:hAnsiTheme="minorHAnsi" w:cstheme="minorHAnsi"/>
                <w:sz w:val="18"/>
                <w:szCs w:val="18"/>
              </w:rPr>
            </w:pPr>
          </w:p>
          <w:p w14:paraId="7B63A0A2" w14:textId="77777777" w:rsidR="00E20A6A" w:rsidRPr="00E20A6A" w:rsidRDefault="00E20A6A" w:rsidP="00C043C0">
            <w:pPr>
              <w:jc w:val="center"/>
              <w:rPr>
                <w:rFonts w:asciiTheme="minorHAnsi" w:hAnsiTheme="minorHAnsi" w:cstheme="minorHAnsi"/>
                <w:sz w:val="18"/>
                <w:szCs w:val="18"/>
              </w:rPr>
            </w:pPr>
          </w:p>
          <w:p w14:paraId="4C03F249" w14:textId="77777777" w:rsidR="00E20A6A" w:rsidRDefault="00E20A6A" w:rsidP="00C043C0">
            <w:pPr>
              <w:jc w:val="center"/>
              <w:rPr>
                <w:rFonts w:asciiTheme="minorHAnsi" w:hAnsiTheme="minorHAnsi" w:cstheme="minorHAnsi"/>
                <w:color w:val="000000"/>
                <w:sz w:val="18"/>
                <w:szCs w:val="18"/>
              </w:rPr>
            </w:pPr>
          </w:p>
          <w:p w14:paraId="205BAC28" w14:textId="77777777" w:rsidR="00E20A6A" w:rsidRPr="00E20A6A" w:rsidRDefault="00E20A6A" w:rsidP="00C043C0">
            <w:pPr>
              <w:jc w:val="center"/>
              <w:rPr>
                <w:rFonts w:asciiTheme="minorHAnsi" w:hAnsiTheme="minorHAnsi" w:cstheme="minorHAnsi"/>
                <w:sz w:val="18"/>
                <w:szCs w:val="18"/>
              </w:rPr>
            </w:pPr>
          </w:p>
          <w:p w14:paraId="260AFCEB" w14:textId="77777777" w:rsidR="00E20A6A" w:rsidRPr="00E20A6A" w:rsidRDefault="00E20A6A" w:rsidP="00C043C0">
            <w:pPr>
              <w:jc w:val="center"/>
              <w:rPr>
                <w:rFonts w:asciiTheme="minorHAnsi" w:hAnsiTheme="minorHAnsi" w:cstheme="minorHAnsi"/>
                <w:sz w:val="18"/>
                <w:szCs w:val="18"/>
              </w:rPr>
            </w:pPr>
          </w:p>
          <w:p w14:paraId="1C32F880" w14:textId="77777777" w:rsidR="00E20A6A" w:rsidRPr="00E20A6A" w:rsidRDefault="00E20A6A" w:rsidP="00C043C0">
            <w:pPr>
              <w:jc w:val="center"/>
              <w:rPr>
                <w:rFonts w:asciiTheme="minorHAnsi" w:hAnsiTheme="minorHAnsi" w:cstheme="minorHAnsi"/>
                <w:sz w:val="18"/>
                <w:szCs w:val="18"/>
              </w:rPr>
            </w:pPr>
          </w:p>
          <w:p w14:paraId="2233BE08" w14:textId="4DF1F766" w:rsidR="006F43C1" w:rsidRPr="006A5A05" w:rsidRDefault="006F43C1" w:rsidP="00C043C0">
            <w:pPr>
              <w:jc w:val="center"/>
              <w:rPr>
                <w:rFonts w:asciiTheme="minorHAnsi" w:hAnsiTheme="minorHAnsi" w:cstheme="minorHAnsi"/>
                <w:sz w:val="18"/>
                <w:szCs w:val="18"/>
              </w:rPr>
            </w:pPr>
          </w:p>
        </w:tc>
        <w:tc>
          <w:tcPr>
            <w:tcW w:w="29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60DF3A7" w14:textId="3C8824A1" w:rsidR="006F43C1" w:rsidRPr="006A5A05" w:rsidRDefault="006F43C1"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To request a General Schedule Authority Required (STREAMLINED) listing for the treatment of PBC in patients who have had an inadequate response to first line therapy with ursodeoxycholic acid (UDCA) or are intolerant to UDCA.</w:t>
            </w:r>
          </w:p>
        </w:tc>
        <w:tc>
          <w:tcPr>
            <w:tcW w:w="1584" w:type="dxa"/>
            <w:vAlign w:val="center"/>
          </w:tcPr>
          <w:p w14:paraId="504910BA" w14:textId="0442D1B0" w:rsidR="006F43C1" w:rsidRPr="006A5A05" w:rsidDel="008F66B5" w:rsidRDefault="00152D92" w:rsidP="00DC3166">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Not Applicable</w:t>
            </w:r>
          </w:p>
        </w:tc>
        <w:tc>
          <w:tcPr>
            <w:tcW w:w="4836" w:type="dxa"/>
            <w:vAlign w:val="center"/>
          </w:tcPr>
          <w:p w14:paraId="1E139F37" w14:textId="5A8222CB" w:rsidR="006F43C1" w:rsidRPr="00E20A6A" w:rsidDel="008F66B5" w:rsidRDefault="00E20A6A" w:rsidP="00DC3166">
            <w:pPr>
              <w:rPr>
                <w:rFonts w:ascii="Calibri" w:eastAsia="Calibri" w:hAnsi="Calibri" w:cs="Calibri"/>
                <w:sz w:val="18"/>
                <w:szCs w:val="18"/>
              </w:rPr>
            </w:pPr>
            <w:r w:rsidRPr="00E20A6A">
              <w:rPr>
                <w:rFonts w:ascii="Calibri" w:eastAsia="Calibri" w:hAnsi="Calibri" w:cs="Calibri"/>
                <w:sz w:val="18"/>
                <w:szCs w:val="18"/>
              </w:rPr>
              <w:t>The PBAC recommendation cannot be made public until the TGA outcome is known</w:t>
            </w:r>
            <w:r>
              <w:rPr>
                <w:rFonts w:ascii="Calibri" w:eastAsia="Calibri" w:hAnsi="Calibri" w:cs="Calibri"/>
                <w:sz w:val="18"/>
                <w:szCs w:val="18"/>
              </w:rPr>
              <w:t>.</w:t>
            </w:r>
          </w:p>
        </w:tc>
      </w:tr>
      <w:tr w:rsidR="00D924B9" w:rsidRPr="008059F4" w:rsidDel="008F66B5" w14:paraId="0F2D4F9A" w14:textId="77777777" w:rsidTr="09589B60">
        <w:trPr>
          <w:cantSplit/>
          <w:trHeight w:val="472"/>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4240CB6" w14:textId="053F9E27" w:rsidR="00804990" w:rsidRPr="006A5A05" w:rsidRDefault="006F43C1" w:rsidP="00DC3166">
            <w:pPr>
              <w:jc w:val="center"/>
              <w:rPr>
                <w:rFonts w:asciiTheme="minorHAnsi" w:eastAsia="Calibri" w:hAnsiTheme="minorHAnsi" w:cstheme="minorHAnsi"/>
                <w:color w:val="000000" w:themeColor="text1"/>
                <w:sz w:val="18"/>
                <w:szCs w:val="18"/>
              </w:rPr>
            </w:pPr>
            <w:r w:rsidRPr="00F657EC">
              <w:rPr>
                <w:rFonts w:asciiTheme="minorHAnsi" w:hAnsiTheme="minorHAnsi" w:cstheme="minorHAnsi"/>
                <w:color w:val="000000"/>
                <w:sz w:val="18"/>
                <w:szCs w:val="18"/>
              </w:rPr>
              <w:t>TACROLIMUS</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Ointment 1 mg per g, 30 g</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r>
            <w:proofErr w:type="spellStart"/>
            <w:r w:rsidRPr="006A5A05">
              <w:rPr>
                <w:rFonts w:asciiTheme="minorHAnsi" w:hAnsiTheme="minorHAnsi" w:cstheme="minorHAnsi"/>
                <w:color w:val="000000"/>
                <w:sz w:val="18"/>
                <w:szCs w:val="18"/>
              </w:rPr>
              <w:t>aZematop</w:t>
            </w:r>
            <w:proofErr w:type="spellEnd"/>
            <w:r w:rsidRPr="006A5A05">
              <w:rPr>
                <w:rFonts w:asciiTheme="minorHAnsi" w:hAnsiTheme="minorHAnsi" w:cstheme="minorHAnsi"/>
                <w:color w:val="000000"/>
                <w:sz w:val="18"/>
                <w:szCs w:val="18"/>
                <w:vertAlign w:val="superscript"/>
              </w:rPr>
              <w:t>®</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ARROTEX PHARMACEUTICALS PTY LTD</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r>
            <w:r w:rsidR="00804990" w:rsidRPr="006A5A05">
              <w:rPr>
                <w:rFonts w:asciiTheme="minorHAnsi" w:eastAsia="Calibri" w:hAnsiTheme="minorHAnsi" w:cstheme="minorHAnsi"/>
                <w:color w:val="000000" w:themeColor="text1"/>
                <w:sz w:val="18"/>
                <w:szCs w:val="18"/>
              </w:rPr>
              <w:t xml:space="preserve">Category </w:t>
            </w:r>
            <w:r w:rsidR="00A27101">
              <w:rPr>
                <w:rFonts w:asciiTheme="minorHAnsi" w:eastAsia="Calibri" w:hAnsiTheme="minorHAnsi" w:cstheme="minorHAnsi"/>
                <w:color w:val="000000" w:themeColor="text1"/>
                <w:sz w:val="18"/>
                <w:szCs w:val="18"/>
              </w:rPr>
              <w:t>2</w:t>
            </w:r>
          </w:p>
          <w:p w14:paraId="7FFFE0F2" w14:textId="1A2D2380" w:rsidR="006F43C1" w:rsidRPr="006A5A05" w:rsidRDefault="006F43C1"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vAlign w:val="center"/>
          </w:tcPr>
          <w:p w14:paraId="1665B221" w14:textId="71642F7C" w:rsidR="006F43C1" w:rsidRPr="006A5A05" w:rsidRDefault="006F43C1"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Atopic dermatitis</w:t>
            </w:r>
          </w:p>
        </w:tc>
        <w:tc>
          <w:tcPr>
            <w:tcW w:w="29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66F6C89" w14:textId="0C3046FD" w:rsidR="006F43C1" w:rsidRPr="006A5A05" w:rsidRDefault="006F43C1"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To request a General Schedule Authority Required (STREAMLINED) listing for the treatment of moderate to severe atopic dermatitis.</w:t>
            </w:r>
          </w:p>
        </w:tc>
        <w:tc>
          <w:tcPr>
            <w:tcW w:w="1584" w:type="dxa"/>
            <w:vAlign w:val="center"/>
          </w:tcPr>
          <w:p w14:paraId="0BA3A7BA" w14:textId="365E7321" w:rsidR="006F43C1" w:rsidRPr="006A5A05" w:rsidDel="008F66B5" w:rsidRDefault="00111038" w:rsidP="00DC3166">
            <w:pPr>
              <w:pStyle w:val="ListParagraph"/>
              <w:keepLines/>
              <w:ind w:left="0"/>
              <w:jc w:val="center"/>
              <w:rPr>
                <w:rFonts w:asciiTheme="minorHAnsi" w:hAnsiTheme="minorHAnsi" w:cstheme="minorHAnsi"/>
                <w:color w:val="000000"/>
                <w:sz w:val="18"/>
                <w:szCs w:val="18"/>
              </w:rPr>
            </w:pPr>
            <w:r w:rsidRPr="00111038">
              <w:rPr>
                <w:rFonts w:asciiTheme="minorHAnsi" w:hAnsiTheme="minorHAnsi" w:cstheme="minorHAnsi"/>
                <w:color w:val="000000"/>
                <w:sz w:val="18"/>
                <w:szCs w:val="18"/>
              </w:rPr>
              <w:t>Recommended</w:t>
            </w:r>
          </w:p>
        </w:tc>
        <w:tc>
          <w:tcPr>
            <w:tcW w:w="4836" w:type="dxa"/>
          </w:tcPr>
          <w:p w14:paraId="05645B71" w14:textId="77777777" w:rsidR="009220BE" w:rsidRDefault="009220BE" w:rsidP="00DC3166">
            <w:pPr>
              <w:jc w:val="both"/>
              <w:rPr>
                <w:rFonts w:asciiTheme="minorHAnsi" w:hAnsiTheme="minorHAnsi" w:cstheme="minorBidi"/>
                <w:color w:val="000000"/>
                <w:sz w:val="18"/>
                <w:szCs w:val="18"/>
                <w:lang w:val="en-GB"/>
              </w:rPr>
            </w:pPr>
            <w:r w:rsidRPr="009220BE">
              <w:rPr>
                <w:rFonts w:asciiTheme="minorHAnsi" w:hAnsiTheme="minorHAnsi" w:cstheme="minorBidi"/>
                <w:color w:val="000000"/>
                <w:sz w:val="18"/>
                <w:szCs w:val="18"/>
                <w:lang w:val="en-GB"/>
              </w:rPr>
              <w:t xml:space="preserve">The PBAC recommended listing of 0.1% tacrolimus (TAC) ointment for the treatment of moderate to severe atopic dermatitis (AD) affecting the body, face and eyelids. The PBAC welcomed input from health care professionals and organisations. The PBAC noted input which highlighted the issues with the currently available TAC compounded products, including drug stability issues, secondary bacterial infections, the significant cost and accessibility issues. The PBAC noted that comments highlighted the need for treatment options for patients who are unable to use topical corticosteroid (TCS) therapies. </w:t>
            </w:r>
          </w:p>
          <w:p w14:paraId="01A3EE2D" w14:textId="77777777" w:rsidR="00BF558B" w:rsidRPr="009220BE" w:rsidRDefault="00BF558B" w:rsidP="00DC3166">
            <w:pPr>
              <w:jc w:val="both"/>
              <w:rPr>
                <w:rFonts w:asciiTheme="minorHAnsi" w:hAnsiTheme="minorHAnsi" w:cstheme="minorBidi"/>
                <w:color w:val="000000"/>
                <w:sz w:val="18"/>
                <w:szCs w:val="18"/>
                <w:lang w:val="en-GB"/>
              </w:rPr>
            </w:pPr>
          </w:p>
          <w:p w14:paraId="7614BC63" w14:textId="77777777" w:rsidR="009220BE" w:rsidRDefault="009220BE" w:rsidP="00DC3166">
            <w:pPr>
              <w:jc w:val="both"/>
              <w:rPr>
                <w:rFonts w:asciiTheme="minorHAnsi" w:hAnsiTheme="minorHAnsi" w:cstheme="minorBidi"/>
                <w:color w:val="000000"/>
                <w:sz w:val="18"/>
                <w:szCs w:val="18"/>
                <w:lang w:val="en-GB"/>
              </w:rPr>
            </w:pPr>
            <w:r w:rsidRPr="009220BE">
              <w:rPr>
                <w:rFonts w:asciiTheme="minorHAnsi" w:hAnsiTheme="minorHAnsi" w:cstheme="minorBidi"/>
                <w:color w:val="000000"/>
                <w:sz w:val="18"/>
                <w:szCs w:val="18"/>
                <w:lang w:val="en-GB"/>
              </w:rPr>
              <w:t xml:space="preserve">The PBAC noted that the submission nominated two comparators, 1% pimecrolimus (PIM) cream for the treatment of moderately severe flares on the face and eyelids and vehicle ointment (VO) for flare and maintenance treatment of moderate to severe AD on the body and severe AD on the face and eyelids. </w:t>
            </w:r>
          </w:p>
          <w:p w14:paraId="71976823" w14:textId="77777777" w:rsidR="004E2178" w:rsidRPr="009220BE" w:rsidRDefault="004E2178" w:rsidP="00DC3166">
            <w:pPr>
              <w:jc w:val="both"/>
              <w:rPr>
                <w:rFonts w:asciiTheme="minorHAnsi" w:hAnsiTheme="minorHAnsi" w:cstheme="minorBidi"/>
                <w:color w:val="000000"/>
                <w:sz w:val="18"/>
                <w:szCs w:val="18"/>
                <w:lang w:val="en-GB"/>
              </w:rPr>
            </w:pPr>
          </w:p>
          <w:p w14:paraId="148C26F7" w14:textId="77777777" w:rsidR="009220BE" w:rsidRDefault="009220BE" w:rsidP="00DC3166">
            <w:pPr>
              <w:jc w:val="both"/>
              <w:rPr>
                <w:rFonts w:asciiTheme="minorHAnsi" w:hAnsiTheme="minorHAnsi" w:cstheme="minorBidi"/>
                <w:color w:val="000000"/>
                <w:sz w:val="18"/>
                <w:szCs w:val="18"/>
                <w:lang w:val="en-GB"/>
              </w:rPr>
            </w:pPr>
            <w:r w:rsidRPr="009220BE">
              <w:rPr>
                <w:rFonts w:asciiTheme="minorHAnsi" w:hAnsiTheme="minorHAnsi" w:cstheme="minorBidi"/>
                <w:color w:val="000000"/>
                <w:sz w:val="18"/>
                <w:szCs w:val="18"/>
                <w:lang w:val="en-GB"/>
              </w:rPr>
              <w:t xml:space="preserve">For the treatment of moderately severe flares on the face and eyelids, the PBAC considered that 0.1% TAC was likely to have similar efficacy and safety to 1% PIM and, for this use, accepted the sponsor’s proposal that 0.1% TAC cost no more than 1% PIM. </w:t>
            </w:r>
          </w:p>
          <w:p w14:paraId="287D43EF" w14:textId="77777777" w:rsidR="00452485" w:rsidRPr="009220BE" w:rsidRDefault="00452485" w:rsidP="00DC3166">
            <w:pPr>
              <w:jc w:val="both"/>
              <w:rPr>
                <w:rFonts w:asciiTheme="minorHAnsi" w:hAnsiTheme="minorHAnsi" w:cstheme="minorBidi"/>
                <w:color w:val="000000"/>
                <w:sz w:val="18"/>
                <w:szCs w:val="18"/>
                <w:lang w:val="en-GB"/>
              </w:rPr>
            </w:pPr>
          </w:p>
          <w:p w14:paraId="0307DAD2" w14:textId="45046C75" w:rsidR="00B644DB" w:rsidRDefault="009220BE" w:rsidP="00DC3166">
            <w:pPr>
              <w:jc w:val="both"/>
              <w:rPr>
                <w:rFonts w:asciiTheme="minorHAnsi" w:hAnsiTheme="minorHAnsi" w:cstheme="minorBidi"/>
                <w:color w:val="000000"/>
                <w:sz w:val="18"/>
                <w:szCs w:val="18"/>
                <w:lang w:val="en-GB"/>
              </w:rPr>
            </w:pPr>
            <w:r w:rsidRPr="009220BE">
              <w:rPr>
                <w:rFonts w:asciiTheme="minorHAnsi" w:hAnsiTheme="minorHAnsi" w:cstheme="minorBidi"/>
                <w:color w:val="000000"/>
                <w:sz w:val="18"/>
                <w:szCs w:val="18"/>
                <w:lang w:val="en-GB"/>
              </w:rPr>
              <w:t xml:space="preserve">For flare and maintenance treatment of moderate to severe AD on the body and severe AD on the face and eyelids, the PBAC did not consider VO to be an appropriate comparator. The PBAC considered standard medical management, which would include TCS treatments, to be a more appropriate comparator, noting that broad use of 0.1% TAC is expected and, in a substantial proportion of patients, it is likely that 0.1% TAC would be used as an alternative to moderate to high potency TCS. Noting the issues with the comparative data presented in the submission, the PBAC accepted, based on the results of meta-analyses, that 0.1% TAC was likely to be as effective and safe as standard medical management, including TCS. The PBAC therefore considered that, for this use, 0.1% TAC should cost no more than TCS. </w:t>
            </w:r>
          </w:p>
          <w:p w14:paraId="7E605919" w14:textId="77777777" w:rsidR="0091193D" w:rsidRDefault="0091193D" w:rsidP="00DC3166">
            <w:pPr>
              <w:jc w:val="both"/>
              <w:rPr>
                <w:rFonts w:asciiTheme="minorHAnsi" w:hAnsiTheme="minorHAnsi" w:cstheme="minorBidi"/>
                <w:color w:val="000000"/>
                <w:sz w:val="18"/>
                <w:szCs w:val="18"/>
                <w:lang w:val="en-GB"/>
              </w:rPr>
            </w:pPr>
          </w:p>
          <w:p w14:paraId="206649E3" w14:textId="1A18F7C3" w:rsidR="006F43C1" w:rsidRPr="00F03408" w:rsidDel="008F66B5" w:rsidRDefault="009220BE" w:rsidP="00DC3166">
            <w:pPr>
              <w:jc w:val="both"/>
              <w:rPr>
                <w:rFonts w:asciiTheme="minorHAnsi" w:hAnsiTheme="minorHAnsi" w:cstheme="minorBidi"/>
                <w:color w:val="000000"/>
                <w:sz w:val="18"/>
                <w:szCs w:val="18"/>
              </w:rPr>
            </w:pPr>
            <w:r w:rsidRPr="009220BE">
              <w:rPr>
                <w:rFonts w:asciiTheme="minorHAnsi" w:hAnsiTheme="minorHAnsi" w:cstheme="minorBidi"/>
                <w:color w:val="000000"/>
                <w:sz w:val="18"/>
                <w:szCs w:val="18"/>
                <w:lang w:val="en-GB"/>
              </w:rPr>
              <w:t xml:space="preserve">The PBAC considered that a weighted price, based on assumed usage </w:t>
            </w:r>
            <w:r w:rsidR="001C0AF5">
              <w:rPr>
                <w:rFonts w:asciiTheme="minorHAnsi" w:hAnsiTheme="minorHAnsi" w:cstheme="minorBidi"/>
                <w:color w:val="000000"/>
                <w:sz w:val="18"/>
                <w:szCs w:val="18"/>
                <w:lang w:val="en-GB"/>
              </w:rPr>
              <w:t>across the two treatment settings</w:t>
            </w:r>
            <w:r w:rsidRPr="009220BE">
              <w:rPr>
                <w:rFonts w:asciiTheme="minorHAnsi" w:hAnsiTheme="minorHAnsi" w:cstheme="minorBidi"/>
                <w:color w:val="000000"/>
                <w:sz w:val="18"/>
                <w:szCs w:val="18"/>
                <w:lang w:val="en-GB"/>
              </w:rPr>
              <w:t>, should be calculated.</w:t>
            </w:r>
          </w:p>
        </w:tc>
      </w:tr>
      <w:tr w:rsidR="00BC2FBD" w:rsidRPr="008059F4" w:rsidDel="008F66B5" w14:paraId="464B1655" w14:textId="77777777" w:rsidTr="008B6DC2">
        <w:trPr>
          <w:cantSplit/>
          <w:trHeight w:val="1720"/>
        </w:trPr>
        <w:tc>
          <w:tcPr>
            <w:tcW w:w="3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1BDB60F2" w14:textId="77777777" w:rsidR="00BC2FBD" w:rsidRDefault="00BC2FBD" w:rsidP="00DC3166">
            <w:pPr>
              <w:jc w:val="center"/>
              <w:rPr>
                <w:rFonts w:asciiTheme="minorHAnsi" w:hAnsiTheme="minorHAnsi" w:cstheme="minorHAnsi"/>
                <w:color w:val="000000"/>
                <w:sz w:val="18"/>
                <w:szCs w:val="18"/>
              </w:rPr>
            </w:pPr>
            <w:r>
              <w:rPr>
                <w:rFonts w:asciiTheme="minorHAnsi" w:hAnsiTheme="minorHAnsi" w:cstheme="minorHAnsi"/>
                <w:color w:val="000000"/>
                <w:sz w:val="18"/>
                <w:szCs w:val="18"/>
              </w:rPr>
              <w:t>TARLATAMAB</w:t>
            </w:r>
            <w:r w:rsidR="00982065">
              <w:rPr>
                <w:rFonts w:asciiTheme="minorHAnsi" w:hAnsiTheme="minorHAnsi" w:cstheme="minorHAnsi"/>
                <w:color w:val="000000"/>
                <w:sz w:val="18"/>
                <w:szCs w:val="18"/>
              </w:rPr>
              <w:br/>
            </w:r>
            <w:r w:rsidR="00982065">
              <w:rPr>
                <w:rFonts w:asciiTheme="minorHAnsi" w:hAnsiTheme="minorHAnsi" w:cstheme="minorHAnsi"/>
                <w:color w:val="000000"/>
                <w:sz w:val="18"/>
                <w:szCs w:val="18"/>
              </w:rPr>
              <w:br/>
            </w:r>
            <w:r w:rsidR="00982065">
              <w:t xml:space="preserve"> </w:t>
            </w:r>
            <w:r w:rsidR="00982065" w:rsidRPr="00982065">
              <w:rPr>
                <w:rFonts w:asciiTheme="minorHAnsi" w:hAnsiTheme="minorHAnsi" w:cstheme="minorHAnsi"/>
                <w:color w:val="000000"/>
                <w:sz w:val="18"/>
                <w:szCs w:val="18"/>
              </w:rPr>
              <w:t>Powder for injection 10 mg</w:t>
            </w:r>
            <w:r w:rsidR="00982065">
              <w:rPr>
                <w:rFonts w:asciiTheme="minorHAnsi" w:hAnsiTheme="minorHAnsi" w:cstheme="minorHAnsi"/>
                <w:color w:val="000000"/>
                <w:sz w:val="18"/>
                <w:szCs w:val="18"/>
              </w:rPr>
              <w:br/>
            </w:r>
            <w:r w:rsidR="00982065">
              <w:rPr>
                <w:rFonts w:asciiTheme="minorHAnsi" w:hAnsiTheme="minorHAnsi" w:cstheme="minorHAnsi"/>
                <w:color w:val="000000"/>
                <w:sz w:val="18"/>
                <w:szCs w:val="18"/>
              </w:rPr>
              <w:br/>
            </w:r>
            <w:proofErr w:type="spellStart"/>
            <w:r w:rsidR="000F59DF">
              <w:rPr>
                <w:rFonts w:asciiTheme="minorHAnsi" w:hAnsiTheme="minorHAnsi" w:cstheme="minorHAnsi"/>
                <w:color w:val="000000"/>
                <w:sz w:val="18"/>
                <w:szCs w:val="18"/>
              </w:rPr>
              <w:t>Imdelltra</w:t>
            </w:r>
            <w:proofErr w:type="spellEnd"/>
            <w:r w:rsidR="000F59DF">
              <w:rPr>
                <w:rFonts w:asciiTheme="minorHAnsi" w:hAnsiTheme="minorHAnsi" w:cstheme="minorHAnsi"/>
                <w:color w:val="000000"/>
                <w:sz w:val="18"/>
                <w:szCs w:val="18"/>
              </w:rPr>
              <w:t>®</w:t>
            </w:r>
            <w:r w:rsidR="000F59DF">
              <w:rPr>
                <w:rFonts w:asciiTheme="minorHAnsi" w:hAnsiTheme="minorHAnsi" w:cstheme="minorHAnsi"/>
                <w:color w:val="000000"/>
                <w:sz w:val="18"/>
                <w:szCs w:val="18"/>
              </w:rPr>
              <w:br/>
            </w:r>
            <w:r w:rsidR="000F59DF">
              <w:rPr>
                <w:rFonts w:asciiTheme="minorHAnsi" w:hAnsiTheme="minorHAnsi" w:cstheme="minorHAnsi"/>
                <w:color w:val="000000"/>
                <w:sz w:val="18"/>
                <w:szCs w:val="18"/>
              </w:rPr>
              <w:br/>
              <w:t>AMGEN AUSTRALIA PTY LTD</w:t>
            </w:r>
          </w:p>
          <w:p w14:paraId="6154E30B" w14:textId="77777777" w:rsidR="00B913C8" w:rsidRDefault="00B913C8" w:rsidP="00DC3166">
            <w:pPr>
              <w:jc w:val="center"/>
              <w:rPr>
                <w:rFonts w:asciiTheme="minorHAnsi" w:hAnsiTheme="minorHAnsi" w:cstheme="minorHAnsi"/>
                <w:color w:val="000000"/>
                <w:sz w:val="18"/>
                <w:szCs w:val="18"/>
              </w:rPr>
            </w:pPr>
          </w:p>
          <w:p w14:paraId="35B7F88C" w14:textId="4BFBF67A" w:rsidR="000F59DF" w:rsidRDefault="00B913C8" w:rsidP="00DC3166">
            <w:pPr>
              <w:jc w:val="center"/>
              <w:rPr>
                <w:rFonts w:asciiTheme="minorHAnsi" w:hAnsiTheme="minorHAnsi" w:cstheme="minorHAnsi"/>
                <w:color w:val="000000"/>
                <w:sz w:val="18"/>
                <w:szCs w:val="18"/>
              </w:rPr>
            </w:pPr>
            <w:r w:rsidRPr="00B913C8">
              <w:rPr>
                <w:rFonts w:asciiTheme="minorHAnsi" w:hAnsiTheme="minorHAnsi" w:cstheme="minorHAnsi"/>
                <w:color w:val="000000"/>
                <w:sz w:val="18"/>
                <w:szCs w:val="18"/>
              </w:rPr>
              <w:t>Category 1</w:t>
            </w:r>
          </w:p>
          <w:p w14:paraId="0809598B" w14:textId="0B687755" w:rsidR="000F59DF" w:rsidRPr="006A5A05" w:rsidRDefault="00B913C8" w:rsidP="00DC3166">
            <w:pPr>
              <w:jc w:val="center"/>
              <w:rPr>
                <w:rFonts w:asciiTheme="minorHAnsi" w:hAnsiTheme="minorHAnsi" w:cstheme="minorHAnsi"/>
                <w:color w:val="000000"/>
                <w:sz w:val="18"/>
                <w:szCs w:val="18"/>
              </w:rPr>
            </w:pPr>
            <w:r>
              <w:rPr>
                <w:rFonts w:asciiTheme="minorHAnsi" w:hAnsiTheme="minorHAnsi" w:cstheme="minorHAnsi"/>
                <w:color w:val="000000"/>
                <w:sz w:val="18"/>
                <w:szCs w:val="18"/>
              </w:rPr>
              <w:t>(</w:t>
            </w:r>
            <w:r w:rsidR="00F93455">
              <w:rPr>
                <w:rFonts w:asciiTheme="minorHAnsi" w:hAnsiTheme="minorHAnsi" w:cstheme="minorHAnsi"/>
                <w:color w:val="000000"/>
                <w:sz w:val="18"/>
                <w:szCs w:val="18"/>
              </w:rPr>
              <w:t>New PBS listing</w:t>
            </w:r>
            <w:r>
              <w:rPr>
                <w:rFonts w:asciiTheme="minorHAnsi" w:hAnsiTheme="minorHAnsi" w:cstheme="minorHAnsi"/>
                <w:color w:val="000000"/>
                <w:sz w:val="18"/>
                <w:szCs w:val="18"/>
              </w:rPr>
              <w:t>)</w:t>
            </w:r>
          </w:p>
        </w:tc>
        <w:tc>
          <w:tcPr>
            <w:tcW w:w="27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BCE835" w14:textId="6DD0334D" w:rsidR="00BC2FBD" w:rsidRPr="006A5A05" w:rsidRDefault="009173EB" w:rsidP="00DC3166">
            <w:pPr>
              <w:jc w:val="center"/>
              <w:rPr>
                <w:rFonts w:asciiTheme="minorHAnsi" w:hAnsiTheme="minorHAnsi" w:cstheme="minorHAnsi"/>
                <w:color w:val="000000"/>
                <w:sz w:val="18"/>
                <w:szCs w:val="18"/>
              </w:rPr>
            </w:pPr>
            <w:r>
              <w:rPr>
                <w:rFonts w:asciiTheme="minorHAnsi" w:hAnsiTheme="minorHAnsi" w:cstheme="minorHAnsi"/>
                <w:color w:val="000000"/>
                <w:sz w:val="18"/>
                <w:szCs w:val="18"/>
              </w:rPr>
              <w:t>Small cell lung cancer</w:t>
            </w:r>
          </w:p>
        </w:tc>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0F253ABC" w14:textId="54FEC022" w:rsidR="00BC2FBD" w:rsidRPr="006A5A05" w:rsidRDefault="00940EA0" w:rsidP="00DC3166">
            <w:pPr>
              <w:jc w:val="center"/>
              <w:rPr>
                <w:rFonts w:asciiTheme="minorHAnsi" w:hAnsiTheme="minorHAnsi" w:cstheme="minorHAnsi"/>
                <w:color w:val="000000"/>
                <w:sz w:val="18"/>
                <w:szCs w:val="18"/>
              </w:rPr>
            </w:pPr>
            <w:r w:rsidRPr="00940EA0">
              <w:rPr>
                <w:rFonts w:asciiTheme="minorHAnsi" w:hAnsiTheme="minorHAnsi" w:cstheme="minorHAnsi"/>
                <w:color w:val="000000"/>
                <w:sz w:val="18"/>
                <w:szCs w:val="18"/>
              </w:rPr>
              <w:t xml:space="preserve">To request a Section 100 (Efficient Funding of Chemotherapy Program) Authority Required (STREAMLINED) listing for the </w:t>
            </w:r>
            <w:proofErr w:type="gramStart"/>
            <w:r w:rsidRPr="00940EA0">
              <w:rPr>
                <w:rFonts w:asciiTheme="minorHAnsi" w:hAnsiTheme="minorHAnsi" w:cstheme="minorHAnsi"/>
                <w:color w:val="000000"/>
                <w:sz w:val="18"/>
                <w:szCs w:val="18"/>
              </w:rPr>
              <w:t>third-line</w:t>
            </w:r>
            <w:proofErr w:type="gramEnd"/>
            <w:r w:rsidRPr="00940EA0">
              <w:rPr>
                <w:rFonts w:asciiTheme="minorHAnsi" w:hAnsiTheme="minorHAnsi" w:cstheme="minorHAnsi"/>
                <w:color w:val="000000"/>
                <w:sz w:val="18"/>
                <w:szCs w:val="18"/>
              </w:rPr>
              <w:t xml:space="preserve"> plus treatment of extensive-stage small cell lung cancer.</w:t>
            </w:r>
          </w:p>
        </w:tc>
        <w:tc>
          <w:tcPr>
            <w:tcW w:w="1584" w:type="dxa"/>
            <w:shd w:val="clear" w:color="auto" w:fill="D9D9D9" w:themeFill="background1" w:themeFillShade="D9"/>
            <w:vAlign w:val="center"/>
          </w:tcPr>
          <w:p w14:paraId="224AECFB" w14:textId="5BA12C3B" w:rsidR="00BC2FBD" w:rsidRPr="00FD72B4" w:rsidRDefault="00940EA0" w:rsidP="00DC3166">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Not applicable</w:t>
            </w:r>
          </w:p>
        </w:tc>
        <w:tc>
          <w:tcPr>
            <w:tcW w:w="4836" w:type="dxa"/>
            <w:shd w:val="clear" w:color="auto" w:fill="D9D9D9" w:themeFill="background1" w:themeFillShade="D9"/>
            <w:vAlign w:val="center"/>
          </w:tcPr>
          <w:p w14:paraId="2F7212E1" w14:textId="6C87EF5C" w:rsidR="00BC2FBD" w:rsidRPr="00B438B9" w:rsidRDefault="00940EA0" w:rsidP="000D0AF8">
            <w:pPr>
              <w:rPr>
                <w:rFonts w:asciiTheme="minorHAnsi" w:hAnsiTheme="minorHAnsi" w:cstheme="minorBidi"/>
                <w:color w:val="000000"/>
                <w:sz w:val="18"/>
                <w:szCs w:val="18"/>
              </w:rPr>
            </w:pPr>
            <w:r>
              <w:rPr>
                <w:rFonts w:asciiTheme="minorHAnsi" w:hAnsiTheme="minorHAnsi" w:cstheme="minorBidi"/>
                <w:color w:val="000000"/>
                <w:sz w:val="18"/>
                <w:szCs w:val="18"/>
              </w:rPr>
              <w:t>This item was withdrawn.</w:t>
            </w:r>
          </w:p>
        </w:tc>
      </w:tr>
      <w:tr w:rsidR="000D1C99" w:rsidRPr="008059F4" w:rsidDel="008F66B5" w14:paraId="0792CF75" w14:textId="77777777" w:rsidTr="09589B60">
        <w:trPr>
          <w:cantSplit/>
          <w:trHeight w:val="2948"/>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AEE5645" w14:textId="74A2FD2E" w:rsidR="00804990" w:rsidRPr="006A5A05" w:rsidRDefault="000D1C99" w:rsidP="00DC3166">
            <w:pPr>
              <w:jc w:val="center"/>
              <w:rPr>
                <w:rFonts w:asciiTheme="minorHAnsi" w:eastAsia="Calibri" w:hAnsiTheme="minorHAnsi" w:cstheme="minorHAnsi"/>
                <w:color w:val="000000" w:themeColor="text1"/>
                <w:sz w:val="18"/>
                <w:szCs w:val="18"/>
              </w:rPr>
            </w:pPr>
            <w:r w:rsidRPr="006A5A05">
              <w:rPr>
                <w:rFonts w:asciiTheme="minorHAnsi" w:hAnsiTheme="minorHAnsi" w:cstheme="minorHAnsi"/>
                <w:color w:val="000000"/>
                <w:sz w:val="18"/>
                <w:szCs w:val="18"/>
              </w:rPr>
              <w:t>TERIPARATIDE</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Injection 250 micrograms per mL, 2.4 mL in multi-dose pre-filled pen</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Ritosa</w:t>
            </w:r>
            <w:r w:rsidRPr="006A5A05">
              <w:rPr>
                <w:rFonts w:asciiTheme="minorHAnsi" w:hAnsiTheme="minorHAnsi" w:cstheme="minorHAnsi"/>
                <w:color w:val="000000"/>
                <w:sz w:val="18"/>
                <w:szCs w:val="18"/>
                <w:vertAlign w:val="superscript"/>
              </w:rPr>
              <w:br/>
            </w:r>
            <w:r w:rsidRPr="006A5A05">
              <w:rPr>
                <w:rFonts w:asciiTheme="minorHAnsi" w:hAnsiTheme="minorHAnsi" w:cstheme="minorHAnsi"/>
                <w:color w:val="000000"/>
                <w:sz w:val="18"/>
                <w:szCs w:val="18"/>
              </w:rPr>
              <w:br/>
              <w:t>SUN PHARMA ANZ PTY LTD</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r>
            <w:r w:rsidR="00804990" w:rsidRPr="006A5A05">
              <w:rPr>
                <w:rFonts w:asciiTheme="minorHAnsi" w:eastAsia="Calibri" w:hAnsiTheme="minorHAnsi" w:cstheme="minorHAnsi"/>
                <w:color w:val="000000" w:themeColor="text1"/>
                <w:sz w:val="18"/>
                <w:szCs w:val="18"/>
              </w:rPr>
              <w:t xml:space="preserve">Category </w:t>
            </w:r>
            <w:r w:rsidR="00F54805">
              <w:rPr>
                <w:rFonts w:asciiTheme="minorHAnsi" w:eastAsia="Calibri" w:hAnsiTheme="minorHAnsi" w:cstheme="minorHAnsi"/>
                <w:color w:val="000000" w:themeColor="text1"/>
                <w:sz w:val="18"/>
                <w:szCs w:val="18"/>
              </w:rPr>
              <w:t>4</w:t>
            </w:r>
          </w:p>
          <w:p w14:paraId="0755B7B0" w14:textId="0BA574B8" w:rsidR="000D1C99" w:rsidRPr="006A5A05" w:rsidRDefault="000D1C99"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vAlign w:val="center"/>
          </w:tcPr>
          <w:p w14:paraId="7E7482B9" w14:textId="304BEB49" w:rsidR="000D1C99" w:rsidRPr="006A5A05" w:rsidRDefault="000D1C99"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Osteoporosis</w:t>
            </w:r>
          </w:p>
        </w:tc>
        <w:tc>
          <w:tcPr>
            <w:tcW w:w="29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6C7DE5A" w14:textId="50B7A543" w:rsidR="000D1C99" w:rsidRPr="006A5A05" w:rsidRDefault="000D1C99"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To request a General Schedule Authority Required (STREAMLINED) listing under the same conditions as the currently listed brands of teriparatide for the treatment of severe established osteoporosis.</w:t>
            </w:r>
          </w:p>
        </w:tc>
        <w:tc>
          <w:tcPr>
            <w:tcW w:w="1584" w:type="dxa"/>
            <w:vAlign w:val="center"/>
          </w:tcPr>
          <w:p w14:paraId="4CAA194E" w14:textId="6D8D1EF1" w:rsidR="000D1C99" w:rsidRPr="006A5A05" w:rsidDel="008F66B5" w:rsidRDefault="00FD72B4" w:rsidP="00DC3166">
            <w:pPr>
              <w:pStyle w:val="ListParagraph"/>
              <w:keepLines/>
              <w:ind w:left="0"/>
              <w:jc w:val="center"/>
              <w:rPr>
                <w:rFonts w:asciiTheme="minorHAnsi" w:hAnsiTheme="minorHAnsi" w:cstheme="minorHAnsi"/>
                <w:color w:val="000000"/>
                <w:sz w:val="18"/>
                <w:szCs w:val="18"/>
              </w:rPr>
            </w:pPr>
            <w:r w:rsidRPr="00FD72B4">
              <w:rPr>
                <w:rFonts w:asciiTheme="minorHAnsi" w:hAnsiTheme="minorHAnsi" w:cstheme="minorHAnsi"/>
                <w:color w:val="000000"/>
                <w:sz w:val="18"/>
                <w:szCs w:val="18"/>
              </w:rPr>
              <w:t>Recommended</w:t>
            </w:r>
          </w:p>
        </w:tc>
        <w:tc>
          <w:tcPr>
            <w:tcW w:w="4836" w:type="dxa"/>
          </w:tcPr>
          <w:p w14:paraId="665C8312" w14:textId="77777777" w:rsidR="00B438B9" w:rsidRPr="00B438B9" w:rsidRDefault="00B438B9" w:rsidP="00DC3166">
            <w:pPr>
              <w:jc w:val="both"/>
              <w:rPr>
                <w:rFonts w:asciiTheme="minorHAnsi" w:hAnsiTheme="minorHAnsi" w:cstheme="minorBidi"/>
                <w:color w:val="000000"/>
                <w:sz w:val="18"/>
                <w:szCs w:val="18"/>
              </w:rPr>
            </w:pPr>
            <w:r w:rsidRPr="00B438B9">
              <w:rPr>
                <w:rFonts w:asciiTheme="minorHAnsi" w:hAnsiTheme="minorHAnsi" w:cstheme="minorBidi"/>
                <w:color w:val="000000"/>
                <w:sz w:val="18"/>
                <w:szCs w:val="18"/>
              </w:rPr>
              <w:t xml:space="preserve">The PBAC recommended listing of teriparatide injection 250 micrograms per mL, 2.4 mL in multi-dose pre-filled pen (Ritosa®) under the same circumstances as the currently listed teriparatide injections 250 micrograms per mL, 2.4 mL in multi-dose pre-filled pens (Teriparatide Lupin® and </w:t>
            </w:r>
            <w:proofErr w:type="spellStart"/>
            <w:r w:rsidRPr="00B438B9">
              <w:rPr>
                <w:rFonts w:asciiTheme="minorHAnsi" w:hAnsiTheme="minorHAnsi" w:cstheme="minorBidi"/>
                <w:color w:val="000000"/>
                <w:sz w:val="18"/>
                <w:szCs w:val="18"/>
              </w:rPr>
              <w:t>Terrosa</w:t>
            </w:r>
            <w:proofErr w:type="spellEnd"/>
            <w:r w:rsidRPr="00B438B9">
              <w:rPr>
                <w:rFonts w:asciiTheme="minorHAnsi" w:hAnsiTheme="minorHAnsi" w:cstheme="minorBidi"/>
                <w:color w:val="000000"/>
                <w:sz w:val="18"/>
                <w:szCs w:val="18"/>
              </w:rPr>
              <w:t xml:space="preserve">®). The PBAC noted that the TGA established bioequivalence between Ritosa and the reference brand </w:t>
            </w:r>
            <w:proofErr w:type="spellStart"/>
            <w:r w:rsidRPr="00B438B9">
              <w:rPr>
                <w:rFonts w:asciiTheme="minorHAnsi" w:hAnsiTheme="minorHAnsi" w:cstheme="minorBidi"/>
                <w:color w:val="000000"/>
                <w:sz w:val="18"/>
                <w:szCs w:val="18"/>
              </w:rPr>
              <w:t>Forteo</w:t>
            </w:r>
            <w:proofErr w:type="spellEnd"/>
            <w:r w:rsidRPr="00B438B9">
              <w:rPr>
                <w:rFonts w:asciiTheme="minorHAnsi" w:hAnsiTheme="minorHAnsi" w:cstheme="minorBidi"/>
                <w:color w:val="000000"/>
                <w:sz w:val="18"/>
                <w:szCs w:val="18"/>
              </w:rPr>
              <w:t xml:space="preserve">®. The PBAC considered the equi-effective dose of Ritosa 20 µg once daily subcutaneous injection = </w:t>
            </w:r>
            <w:proofErr w:type="spellStart"/>
            <w:r w:rsidRPr="00B438B9">
              <w:rPr>
                <w:rFonts w:asciiTheme="minorHAnsi" w:hAnsiTheme="minorHAnsi" w:cstheme="minorBidi"/>
                <w:color w:val="000000"/>
                <w:sz w:val="18"/>
                <w:szCs w:val="18"/>
              </w:rPr>
              <w:t>Terrosa</w:t>
            </w:r>
            <w:proofErr w:type="spellEnd"/>
            <w:r w:rsidRPr="00B438B9">
              <w:rPr>
                <w:rFonts w:asciiTheme="minorHAnsi" w:hAnsiTheme="minorHAnsi" w:cstheme="minorBidi"/>
                <w:color w:val="000000"/>
                <w:sz w:val="18"/>
                <w:szCs w:val="18"/>
              </w:rPr>
              <w:t xml:space="preserve"> 20 µg once daily subcutaneous injection = Teriparatide Lupin 20  µg once daily subcutaneous injection. </w:t>
            </w:r>
          </w:p>
          <w:p w14:paraId="061D3A9C" w14:textId="77777777" w:rsidR="00B438B9" w:rsidRPr="00B438B9" w:rsidRDefault="00B438B9" w:rsidP="00DC3166">
            <w:pPr>
              <w:jc w:val="both"/>
              <w:rPr>
                <w:rFonts w:asciiTheme="minorHAnsi" w:hAnsiTheme="minorHAnsi" w:cstheme="minorBidi"/>
                <w:b/>
                <w:bCs/>
                <w:color w:val="000000"/>
                <w:sz w:val="18"/>
                <w:szCs w:val="18"/>
              </w:rPr>
            </w:pPr>
          </w:p>
          <w:p w14:paraId="3499B3C8" w14:textId="08058BA7" w:rsidR="000D1C99" w:rsidRPr="007E25D0" w:rsidDel="008F66B5" w:rsidRDefault="00B438B9" w:rsidP="00DC3166">
            <w:pPr>
              <w:jc w:val="both"/>
              <w:rPr>
                <w:rFonts w:asciiTheme="minorHAnsi" w:hAnsiTheme="minorHAnsi" w:cstheme="minorBidi"/>
                <w:color w:val="000000"/>
                <w:sz w:val="18"/>
                <w:szCs w:val="18"/>
              </w:rPr>
            </w:pPr>
            <w:r w:rsidRPr="00B438B9">
              <w:rPr>
                <w:rFonts w:asciiTheme="minorHAnsi" w:hAnsiTheme="minorHAnsi" w:cstheme="minorBidi"/>
                <w:color w:val="000000"/>
                <w:sz w:val="18"/>
                <w:szCs w:val="18"/>
              </w:rPr>
              <w:t xml:space="preserve">The PBAC advised, under Section 101(4AACD) of the </w:t>
            </w:r>
            <w:r w:rsidRPr="0075419B">
              <w:rPr>
                <w:rFonts w:asciiTheme="minorHAnsi" w:hAnsiTheme="minorHAnsi" w:cstheme="minorBidi"/>
                <w:i/>
                <w:iCs/>
                <w:color w:val="000000"/>
                <w:sz w:val="18"/>
                <w:szCs w:val="18"/>
              </w:rPr>
              <w:t>National Health Act</w:t>
            </w:r>
            <w:r w:rsidR="00C9084D" w:rsidRPr="0075419B">
              <w:rPr>
                <w:rFonts w:asciiTheme="minorHAnsi" w:hAnsiTheme="minorHAnsi" w:cstheme="minorBidi"/>
                <w:i/>
                <w:iCs/>
                <w:color w:val="000000"/>
                <w:sz w:val="18"/>
                <w:szCs w:val="18"/>
              </w:rPr>
              <w:t xml:space="preserve"> 1953</w:t>
            </w:r>
            <w:r w:rsidRPr="00B438B9">
              <w:rPr>
                <w:rFonts w:asciiTheme="minorHAnsi" w:hAnsiTheme="minorHAnsi" w:cstheme="minorBidi"/>
                <w:color w:val="000000"/>
                <w:sz w:val="18"/>
                <w:szCs w:val="18"/>
              </w:rPr>
              <w:t xml:space="preserve">, that brands </w:t>
            </w:r>
            <w:proofErr w:type="spellStart"/>
            <w:r w:rsidRPr="00B438B9">
              <w:rPr>
                <w:rFonts w:asciiTheme="minorHAnsi" w:hAnsiTheme="minorHAnsi" w:cstheme="minorBidi"/>
                <w:color w:val="000000"/>
                <w:sz w:val="18"/>
                <w:szCs w:val="18"/>
              </w:rPr>
              <w:t>Ritosa</w:t>
            </w:r>
            <w:proofErr w:type="spellEnd"/>
            <w:r w:rsidRPr="00B438B9">
              <w:rPr>
                <w:rFonts w:asciiTheme="minorHAnsi" w:hAnsiTheme="minorHAnsi" w:cstheme="minorBidi"/>
                <w:color w:val="000000"/>
                <w:sz w:val="18"/>
                <w:szCs w:val="18"/>
              </w:rPr>
              <w:t xml:space="preserve"> and </w:t>
            </w:r>
            <w:proofErr w:type="spellStart"/>
            <w:r w:rsidRPr="00B438B9">
              <w:rPr>
                <w:rFonts w:asciiTheme="minorHAnsi" w:hAnsiTheme="minorHAnsi" w:cstheme="minorBidi"/>
                <w:color w:val="000000"/>
                <w:sz w:val="18"/>
                <w:szCs w:val="18"/>
              </w:rPr>
              <w:t>Terrosa</w:t>
            </w:r>
            <w:proofErr w:type="spellEnd"/>
            <w:r w:rsidRPr="00B438B9">
              <w:rPr>
                <w:rFonts w:asciiTheme="minorHAnsi" w:hAnsiTheme="minorHAnsi" w:cstheme="minorBidi"/>
                <w:color w:val="000000"/>
                <w:sz w:val="18"/>
                <w:szCs w:val="18"/>
              </w:rPr>
              <w:t xml:space="preserve"> and Teriparatide Lupin of teriparatide injection 250 micrograms per mL, 2.4 mL in multi-dose pre-filled pen should be considered equivalent for the purposes of substitution (i.e., ‘a’ flagged in the Schedule). </w:t>
            </w:r>
          </w:p>
        </w:tc>
      </w:tr>
      <w:tr w:rsidR="000D1C99" w:rsidRPr="008059F4" w:rsidDel="008F66B5" w14:paraId="6AC59386" w14:textId="77777777" w:rsidTr="09589B60">
        <w:trPr>
          <w:cantSplit/>
          <w:trHeight w:val="47"/>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636E3E5" w14:textId="0FA1CB97" w:rsidR="00804990" w:rsidRPr="006A5A05" w:rsidRDefault="000D1C99" w:rsidP="00DC3166">
            <w:pPr>
              <w:jc w:val="center"/>
              <w:rPr>
                <w:rFonts w:asciiTheme="minorHAnsi" w:eastAsia="Calibri" w:hAnsiTheme="minorHAnsi" w:cstheme="minorHAnsi"/>
                <w:color w:val="000000" w:themeColor="text1"/>
                <w:sz w:val="18"/>
                <w:szCs w:val="18"/>
              </w:rPr>
            </w:pPr>
            <w:r w:rsidRPr="00F657EC">
              <w:rPr>
                <w:rFonts w:asciiTheme="minorHAnsi" w:hAnsiTheme="minorHAnsi" w:cstheme="minorHAnsi"/>
                <w:color w:val="000000"/>
                <w:sz w:val="18"/>
                <w:szCs w:val="18"/>
              </w:rPr>
              <w:t>TIRZEPATIDE</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Solution for injection 2.5 mg in 0.5 mL vial/pre-filled pen</w:t>
            </w:r>
            <w:r w:rsidRPr="006A5A05">
              <w:rPr>
                <w:rFonts w:asciiTheme="minorHAnsi" w:hAnsiTheme="minorHAnsi" w:cstheme="minorHAnsi"/>
                <w:color w:val="000000"/>
                <w:sz w:val="18"/>
                <w:szCs w:val="18"/>
              </w:rPr>
              <w:br/>
              <w:t>Solution for injection 5 mg in 0.5 mL vial/pre-filled pen</w:t>
            </w:r>
            <w:r w:rsidRPr="006A5A05">
              <w:rPr>
                <w:rFonts w:asciiTheme="minorHAnsi" w:hAnsiTheme="minorHAnsi" w:cstheme="minorHAnsi"/>
                <w:color w:val="000000"/>
                <w:sz w:val="18"/>
                <w:szCs w:val="18"/>
              </w:rPr>
              <w:br/>
              <w:t>Solution for injection 7.5 mg in 0.5 mL vial/pre-filled pen</w:t>
            </w:r>
            <w:r w:rsidRPr="006A5A05">
              <w:rPr>
                <w:rFonts w:asciiTheme="minorHAnsi" w:hAnsiTheme="minorHAnsi" w:cstheme="minorHAnsi"/>
                <w:color w:val="000000"/>
                <w:sz w:val="18"/>
                <w:szCs w:val="18"/>
              </w:rPr>
              <w:br/>
              <w:t>Solution for injection 10 mg in 0.5 mL vial/pre-filled pen</w:t>
            </w:r>
            <w:r w:rsidRPr="006A5A05">
              <w:rPr>
                <w:rFonts w:asciiTheme="minorHAnsi" w:hAnsiTheme="minorHAnsi" w:cstheme="minorHAnsi"/>
                <w:color w:val="000000"/>
                <w:sz w:val="18"/>
                <w:szCs w:val="18"/>
              </w:rPr>
              <w:br/>
              <w:t>Solution for injection 12.5 mg in 0.5 mL vial/pre-filled pen</w:t>
            </w:r>
            <w:r w:rsidRPr="006A5A05">
              <w:rPr>
                <w:rFonts w:asciiTheme="minorHAnsi" w:hAnsiTheme="minorHAnsi" w:cstheme="minorHAnsi"/>
                <w:color w:val="000000"/>
                <w:sz w:val="18"/>
                <w:szCs w:val="18"/>
              </w:rPr>
              <w:br/>
              <w:t>Solution for injection 15 mg in 0.5 mL vial/pre-filled pen</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Mounjaro</w:t>
            </w:r>
            <w:r w:rsidRPr="006A5A05">
              <w:rPr>
                <w:rFonts w:asciiTheme="minorHAnsi" w:hAnsiTheme="minorHAnsi" w:cstheme="minorHAnsi"/>
                <w:color w:val="000000"/>
                <w:sz w:val="18"/>
                <w:szCs w:val="18"/>
                <w:vertAlign w:val="superscript"/>
              </w:rPr>
              <w:t>®</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Injection 4.17 milligrams per mL (2.5 mg per dose) in multi-dose pre-filled pen, 4 dose</w:t>
            </w:r>
            <w:r w:rsidRPr="006A5A05">
              <w:rPr>
                <w:rFonts w:asciiTheme="minorHAnsi" w:hAnsiTheme="minorHAnsi" w:cstheme="minorHAnsi"/>
                <w:color w:val="000000"/>
                <w:sz w:val="18"/>
                <w:szCs w:val="18"/>
              </w:rPr>
              <w:br/>
              <w:t>Injection 8.33 milligrams per mL (5 mg per dose) in multi-dose pre-filled pen, 4 doses</w:t>
            </w:r>
            <w:r w:rsidRPr="006A5A05">
              <w:rPr>
                <w:rFonts w:asciiTheme="minorHAnsi" w:hAnsiTheme="minorHAnsi" w:cstheme="minorHAnsi"/>
                <w:color w:val="000000"/>
                <w:sz w:val="18"/>
                <w:szCs w:val="18"/>
              </w:rPr>
              <w:br/>
              <w:t>Injection 12.5 milligrams per mL (7.5 mg per dose) in multi-dose pre-filled pen, 4 doses</w:t>
            </w:r>
            <w:r w:rsidRPr="006A5A05">
              <w:rPr>
                <w:rFonts w:asciiTheme="minorHAnsi" w:hAnsiTheme="minorHAnsi" w:cstheme="minorHAnsi"/>
                <w:color w:val="000000"/>
                <w:sz w:val="18"/>
                <w:szCs w:val="18"/>
              </w:rPr>
              <w:br/>
              <w:t>Injection 16.67 milligrams per mL (10 mg per dose) in multi-dose pre-filled pen, 4 doses</w:t>
            </w:r>
            <w:r w:rsidRPr="006A5A05">
              <w:rPr>
                <w:rFonts w:asciiTheme="minorHAnsi" w:hAnsiTheme="minorHAnsi" w:cstheme="minorHAnsi"/>
                <w:color w:val="000000"/>
                <w:sz w:val="18"/>
                <w:szCs w:val="18"/>
              </w:rPr>
              <w:br/>
              <w:t>Injection 20.83 milligrams per mL (12.5 mg per dose) in multi-dose pre-filled pen, 4 doses</w:t>
            </w:r>
            <w:r w:rsidRPr="006A5A05">
              <w:rPr>
                <w:rFonts w:asciiTheme="minorHAnsi" w:hAnsiTheme="minorHAnsi" w:cstheme="minorHAnsi"/>
                <w:color w:val="000000"/>
                <w:sz w:val="18"/>
                <w:szCs w:val="18"/>
              </w:rPr>
              <w:br/>
              <w:t>Injection 25 milligrams per mL (15 mg per dose) in multi-dose pre-filled pen, 4 doses</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Mounjaro</w:t>
            </w:r>
            <w:r w:rsidRPr="006A5A05">
              <w:rPr>
                <w:rFonts w:asciiTheme="minorHAnsi" w:hAnsiTheme="minorHAnsi" w:cstheme="minorHAnsi"/>
                <w:color w:val="000000"/>
                <w:sz w:val="18"/>
                <w:szCs w:val="18"/>
                <w:vertAlign w:val="superscript"/>
              </w:rPr>
              <w:t>®</w:t>
            </w:r>
            <w:r w:rsidRPr="006A5A05">
              <w:rPr>
                <w:rFonts w:asciiTheme="minorHAnsi" w:hAnsiTheme="minorHAnsi" w:cstheme="minorHAnsi"/>
                <w:color w:val="000000"/>
                <w:sz w:val="18"/>
                <w:szCs w:val="18"/>
              </w:rPr>
              <w:t xml:space="preserve"> KwikPen</w:t>
            </w:r>
            <w:r w:rsidRPr="006A5A05">
              <w:rPr>
                <w:rFonts w:asciiTheme="minorHAnsi" w:hAnsiTheme="minorHAnsi" w:cstheme="minorHAnsi"/>
                <w:color w:val="000000"/>
                <w:sz w:val="18"/>
                <w:szCs w:val="18"/>
                <w:vertAlign w:val="superscript"/>
              </w:rPr>
              <w:t>®</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ELI LILLY AUSTRALIA PTY LTD</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r>
            <w:r w:rsidR="00BD5B57" w:rsidRPr="00BD5B57">
              <w:rPr>
                <w:rFonts w:asciiTheme="minorHAnsi" w:eastAsia="Calibri" w:hAnsiTheme="minorHAnsi" w:cstheme="minorHAnsi"/>
                <w:color w:val="000000" w:themeColor="text1"/>
                <w:sz w:val="18"/>
                <w:szCs w:val="18"/>
              </w:rPr>
              <w:t>Standard re-entry</w:t>
            </w:r>
          </w:p>
          <w:p w14:paraId="4F966227" w14:textId="753567A9" w:rsidR="000D1C99" w:rsidRPr="006A5A05" w:rsidRDefault="000D1C99"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vAlign w:val="center"/>
          </w:tcPr>
          <w:p w14:paraId="57404350" w14:textId="47DA4F47" w:rsidR="000D1C99" w:rsidRPr="006A5A05" w:rsidRDefault="000D1C99"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Type 2 diabetes mellitus (T2DM)</w:t>
            </w:r>
          </w:p>
        </w:tc>
        <w:tc>
          <w:tcPr>
            <w:tcW w:w="29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7634966" w14:textId="5B5430A0" w:rsidR="000D1C99" w:rsidRPr="006A5A05" w:rsidRDefault="000D1C99"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Resubmission to request a General Schedule Authority Required (Telephone/Online) listing for the treatment of adults with inadequately controlled T2DM.</w:t>
            </w:r>
          </w:p>
        </w:tc>
        <w:tc>
          <w:tcPr>
            <w:tcW w:w="1584" w:type="dxa"/>
            <w:vAlign w:val="center"/>
          </w:tcPr>
          <w:p w14:paraId="1703B921" w14:textId="17C5901E" w:rsidR="000D1C99" w:rsidRPr="000B06D8" w:rsidDel="008F66B5" w:rsidRDefault="00FC24A8" w:rsidP="00DC3166">
            <w:pPr>
              <w:pStyle w:val="ListParagraph"/>
              <w:keepLines/>
              <w:ind w:left="0"/>
              <w:jc w:val="center"/>
              <w:rPr>
                <w:rFonts w:asciiTheme="minorHAnsi" w:hAnsiTheme="minorHAnsi" w:cstheme="minorHAnsi"/>
                <w:color w:val="000000"/>
                <w:sz w:val="18"/>
                <w:szCs w:val="18"/>
              </w:rPr>
            </w:pPr>
            <w:r w:rsidRPr="000B06D8">
              <w:rPr>
                <w:rFonts w:asciiTheme="minorHAnsi" w:hAnsiTheme="minorHAnsi" w:cstheme="minorHAnsi"/>
                <w:color w:val="000000"/>
                <w:sz w:val="18"/>
                <w:szCs w:val="18"/>
              </w:rPr>
              <w:t>Deferred</w:t>
            </w:r>
          </w:p>
        </w:tc>
        <w:tc>
          <w:tcPr>
            <w:tcW w:w="4836" w:type="dxa"/>
            <w:vAlign w:val="center"/>
          </w:tcPr>
          <w:p w14:paraId="2E97003A" w14:textId="37D0BC82" w:rsidR="00BE7D3A" w:rsidRPr="000B06D8" w:rsidRDefault="00BE7D3A" w:rsidP="00DC3166">
            <w:pPr>
              <w:rPr>
                <w:rFonts w:ascii="Calibri" w:eastAsia="Calibri" w:hAnsi="Calibri" w:cs="Calibri"/>
                <w:sz w:val="18"/>
                <w:szCs w:val="18"/>
              </w:rPr>
            </w:pPr>
            <w:r w:rsidRPr="000B06D8">
              <w:rPr>
                <w:rFonts w:ascii="Calibri" w:eastAsia="Calibri" w:hAnsi="Calibri" w:cs="Calibri"/>
                <w:sz w:val="18"/>
                <w:szCs w:val="18"/>
              </w:rPr>
              <w:t xml:space="preserve">The PBAC deferred making a recommendation on listing tirzepatide (Mounjaro®) on the PBS for the treatment of adult patients with inadequately controlled T2DM. </w:t>
            </w:r>
          </w:p>
          <w:p w14:paraId="7D6B4414" w14:textId="77777777" w:rsidR="00974D49" w:rsidRPr="000B06D8" w:rsidRDefault="00974D49" w:rsidP="00DC3166">
            <w:pPr>
              <w:rPr>
                <w:rFonts w:ascii="Calibri" w:eastAsia="Calibri" w:hAnsi="Calibri" w:cs="Calibri"/>
                <w:sz w:val="18"/>
                <w:szCs w:val="18"/>
              </w:rPr>
            </w:pPr>
          </w:p>
          <w:p w14:paraId="3932715F" w14:textId="77777777" w:rsidR="00974D49" w:rsidRPr="000B06D8" w:rsidRDefault="00BE7D3A" w:rsidP="00DC3166">
            <w:pPr>
              <w:rPr>
                <w:rFonts w:ascii="Calibri" w:eastAsia="Calibri" w:hAnsi="Calibri" w:cs="Calibri"/>
                <w:sz w:val="18"/>
                <w:szCs w:val="18"/>
              </w:rPr>
            </w:pPr>
            <w:r w:rsidRPr="000B06D8">
              <w:rPr>
                <w:rFonts w:ascii="Calibri" w:eastAsia="Calibri" w:hAnsi="Calibri" w:cs="Calibri"/>
                <w:sz w:val="18"/>
                <w:szCs w:val="18"/>
              </w:rPr>
              <w:t xml:space="preserve">The PBAC agreed that, based on evidence provided by Eli Lilly Australia Pty Ltd, tirzepatide once per week was more effective than semaglutide once per week for managing blood sugar. However, the PBAC remained concerned that the higher price requested by Eli Lilly was more than what the evidence showed it was worth. </w:t>
            </w:r>
          </w:p>
          <w:p w14:paraId="11E5C059" w14:textId="77777777" w:rsidR="00974D49" w:rsidRPr="000B06D8" w:rsidRDefault="00974D49" w:rsidP="00DC3166">
            <w:pPr>
              <w:rPr>
                <w:rFonts w:ascii="Calibri" w:eastAsia="Calibri" w:hAnsi="Calibri" w:cs="Calibri"/>
                <w:sz w:val="18"/>
                <w:szCs w:val="18"/>
              </w:rPr>
            </w:pPr>
          </w:p>
          <w:p w14:paraId="71F07F98" w14:textId="59D66B78" w:rsidR="00BE7D3A" w:rsidRPr="000B06D8" w:rsidRDefault="00BE7D3A" w:rsidP="00DC3166">
            <w:pPr>
              <w:rPr>
                <w:rFonts w:ascii="Calibri" w:eastAsia="Calibri" w:hAnsi="Calibri" w:cs="Calibri"/>
                <w:sz w:val="18"/>
                <w:szCs w:val="18"/>
              </w:rPr>
            </w:pPr>
            <w:r w:rsidRPr="000B06D8">
              <w:rPr>
                <w:rFonts w:ascii="Calibri" w:eastAsia="Calibri" w:hAnsi="Calibri" w:cs="Calibri"/>
                <w:sz w:val="18"/>
                <w:szCs w:val="18"/>
              </w:rPr>
              <w:t xml:space="preserve">The PBAC considered the additional costs were overestimated and disproportionate to the modest additional benefits that tirzepatide might deliver over semaglutide. The PBAC was also concerned that if listed on the PBS, there was high likelihood that tirzepatide would be used for purposes other than for the treatment of T2DM. The PBAC did not consider the financial arrangements proposed by </w:t>
            </w:r>
            <w:r w:rsidR="00E62A22" w:rsidRPr="000B06D8">
              <w:rPr>
                <w:rFonts w:ascii="Calibri" w:eastAsia="Calibri" w:hAnsi="Calibri" w:cs="Calibri"/>
                <w:sz w:val="18"/>
                <w:szCs w:val="18"/>
              </w:rPr>
              <w:t>the sponsor</w:t>
            </w:r>
            <w:r w:rsidRPr="000B06D8">
              <w:rPr>
                <w:rFonts w:ascii="Calibri" w:eastAsia="Calibri" w:hAnsi="Calibri" w:cs="Calibri"/>
                <w:sz w:val="18"/>
                <w:szCs w:val="18"/>
              </w:rPr>
              <w:t xml:space="preserve"> would adequately manage this risk, and the impact on costs to the Commonwealth. </w:t>
            </w:r>
          </w:p>
          <w:p w14:paraId="7269749B" w14:textId="77777777" w:rsidR="00974D49" w:rsidRPr="000B06D8" w:rsidRDefault="00974D49" w:rsidP="00DC3166">
            <w:pPr>
              <w:rPr>
                <w:rFonts w:ascii="Calibri" w:eastAsia="Calibri" w:hAnsi="Calibri" w:cs="Calibri"/>
                <w:sz w:val="18"/>
                <w:szCs w:val="18"/>
              </w:rPr>
            </w:pPr>
          </w:p>
          <w:p w14:paraId="325BD1D9" w14:textId="7DD96489" w:rsidR="00BE7D3A" w:rsidRPr="000B06D8" w:rsidRDefault="00BE7D3A" w:rsidP="00DC3166">
            <w:pPr>
              <w:rPr>
                <w:rFonts w:ascii="Calibri" w:eastAsia="Calibri" w:hAnsi="Calibri" w:cs="Calibri"/>
                <w:sz w:val="18"/>
                <w:szCs w:val="18"/>
              </w:rPr>
            </w:pPr>
            <w:r w:rsidRPr="000B06D8">
              <w:rPr>
                <w:rFonts w:ascii="Calibri" w:eastAsia="Calibri" w:hAnsi="Calibri" w:cs="Calibri"/>
                <w:sz w:val="18"/>
                <w:szCs w:val="18"/>
              </w:rPr>
              <w:t xml:space="preserve">The PBAC deferred its decision so that it could have further discussions with </w:t>
            </w:r>
            <w:r w:rsidR="00E62A22" w:rsidRPr="000B06D8">
              <w:rPr>
                <w:rFonts w:ascii="Calibri" w:eastAsia="Calibri" w:hAnsi="Calibri" w:cs="Calibri"/>
                <w:sz w:val="18"/>
                <w:szCs w:val="18"/>
              </w:rPr>
              <w:t>the sponsor</w:t>
            </w:r>
            <w:r w:rsidRPr="000B06D8">
              <w:rPr>
                <w:rFonts w:ascii="Calibri" w:eastAsia="Calibri" w:hAnsi="Calibri" w:cs="Calibri"/>
                <w:sz w:val="18"/>
                <w:szCs w:val="18"/>
              </w:rPr>
              <w:t xml:space="preserve"> about listing tirzepatide on the PBS at a price consistent with expected benefits and with arrangements that would appropriately share financial risk.</w:t>
            </w:r>
          </w:p>
          <w:p w14:paraId="1A6A6BE1" w14:textId="77777777" w:rsidR="00F41D77" w:rsidRDefault="007E5921" w:rsidP="007E5921">
            <w:pPr>
              <w:jc w:val="both"/>
              <w:rPr>
                <w:rFonts w:asciiTheme="minorHAnsi" w:hAnsiTheme="minorHAnsi" w:cstheme="minorBidi"/>
                <w:color w:val="000000"/>
                <w:sz w:val="18"/>
                <w:szCs w:val="18"/>
              </w:rPr>
            </w:pPr>
            <w:r>
              <w:rPr>
                <w:rFonts w:asciiTheme="minorHAnsi" w:hAnsiTheme="minorHAnsi" w:cstheme="minorBidi"/>
                <w:color w:val="000000"/>
                <w:sz w:val="18"/>
                <w:szCs w:val="18"/>
              </w:rPr>
              <w:br/>
            </w:r>
            <w:r w:rsidRPr="00F41D77">
              <w:rPr>
                <w:rFonts w:asciiTheme="minorHAnsi" w:hAnsiTheme="minorHAnsi" w:cstheme="minorBidi"/>
                <w:color w:val="000000"/>
                <w:sz w:val="18"/>
                <w:szCs w:val="18"/>
                <w:u w:val="single"/>
              </w:rPr>
              <w:t>Sponsor’s comment:</w:t>
            </w:r>
            <w:r w:rsidR="001252F8">
              <w:rPr>
                <w:rFonts w:asciiTheme="minorHAnsi" w:hAnsiTheme="minorHAnsi" w:cstheme="minorBidi"/>
                <w:color w:val="000000"/>
                <w:sz w:val="18"/>
                <w:szCs w:val="18"/>
              </w:rPr>
              <w:t xml:space="preserve"> </w:t>
            </w:r>
          </w:p>
          <w:p w14:paraId="6F0FDD9F" w14:textId="219CE0D7" w:rsidR="007E5921" w:rsidRPr="007E5921" w:rsidRDefault="007E5921" w:rsidP="007E5921">
            <w:pPr>
              <w:jc w:val="both"/>
              <w:rPr>
                <w:rFonts w:asciiTheme="minorHAnsi" w:hAnsiTheme="minorHAnsi" w:cstheme="minorBidi"/>
                <w:color w:val="000000"/>
                <w:sz w:val="18"/>
                <w:szCs w:val="18"/>
              </w:rPr>
            </w:pPr>
            <w:r w:rsidRPr="007E5921">
              <w:rPr>
                <w:rFonts w:asciiTheme="minorHAnsi" w:hAnsiTheme="minorHAnsi" w:cstheme="minorBidi"/>
                <w:color w:val="000000"/>
                <w:sz w:val="18"/>
                <w:szCs w:val="18"/>
              </w:rPr>
              <w:t xml:space="preserve">Lilly is disappointed with the PBAC’s deferral of the decision on the listing of tirzepatide for adults with inadequately controlled T2DM, noting this marks the third submission over a span of more than two years. Lilly does, however, appreciate the opportunity to continue discussions with PBAC. We thank </w:t>
            </w:r>
            <w:proofErr w:type="gramStart"/>
            <w:r w:rsidRPr="007E5921">
              <w:rPr>
                <w:rFonts w:asciiTheme="minorHAnsi" w:hAnsiTheme="minorHAnsi" w:cstheme="minorBidi"/>
                <w:color w:val="000000"/>
                <w:sz w:val="18"/>
                <w:szCs w:val="18"/>
              </w:rPr>
              <w:t>all of</w:t>
            </w:r>
            <w:proofErr w:type="gramEnd"/>
            <w:r w:rsidRPr="007E5921">
              <w:rPr>
                <w:rFonts w:asciiTheme="minorHAnsi" w:hAnsiTheme="minorHAnsi" w:cstheme="minorBidi"/>
                <w:color w:val="000000"/>
                <w:sz w:val="18"/>
                <w:szCs w:val="18"/>
              </w:rPr>
              <w:t xml:space="preserve"> the healthcare professionals, professional societies, leadership bodies, patient organisations, and consumers for their ongoing support and advocacy and are aware of the importance of this listing for the diabetes community. Lilly acknowledges the differing perceptions of value between the parties and remains committed to working with PBAC to swiftly determine if there is a viable path forward — one that reflects a fair price and appropriate risk-sharing.</w:t>
            </w:r>
          </w:p>
          <w:p w14:paraId="04E1F01F" w14:textId="4EB60570" w:rsidR="000D1C99" w:rsidRPr="000B06D8" w:rsidDel="008F66B5" w:rsidRDefault="000D1C99" w:rsidP="00DC3166">
            <w:pPr>
              <w:jc w:val="both"/>
              <w:rPr>
                <w:rFonts w:asciiTheme="minorHAnsi" w:hAnsiTheme="minorHAnsi" w:cstheme="minorBidi"/>
                <w:color w:val="000000"/>
                <w:sz w:val="18"/>
                <w:szCs w:val="18"/>
              </w:rPr>
            </w:pPr>
          </w:p>
        </w:tc>
      </w:tr>
      <w:tr w:rsidR="00226D73" w:rsidRPr="008059F4" w:rsidDel="008F66B5" w14:paraId="56CFE731" w14:textId="77777777" w:rsidTr="09589B60">
        <w:trPr>
          <w:cantSplit/>
          <w:trHeight w:val="2948"/>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78D4539" w14:textId="77777777" w:rsidR="00226D73" w:rsidRPr="00F244F6" w:rsidRDefault="00226D73" w:rsidP="00DC3166">
            <w:pPr>
              <w:jc w:val="center"/>
              <w:rPr>
                <w:rFonts w:asciiTheme="minorHAnsi" w:hAnsiTheme="minorHAnsi" w:cstheme="minorHAnsi"/>
                <w:color w:val="000000"/>
                <w:sz w:val="18"/>
                <w:szCs w:val="18"/>
              </w:rPr>
            </w:pPr>
            <w:r w:rsidRPr="00F244F6">
              <w:rPr>
                <w:rFonts w:asciiTheme="minorHAnsi" w:hAnsiTheme="minorHAnsi" w:cstheme="minorHAnsi"/>
                <w:color w:val="000000"/>
                <w:sz w:val="18"/>
                <w:szCs w:val="18"/>
              </w:rPr>
              <w:t>TRIGLYCERIDES, MEDIUM CHAIN</w:t>
            </w:r>
            <w:r w:rsidRPr="00F244F6">
              <w:rPr>
                <w:rFonts w:asciiTheme="minorHAnsi" w:hAnsiTheme="minorHAnsi" w:cstheme="minorHAnsi"/>
                <w:color w:val="000000"/>
                <w:sz w:val="18"/>
                <w:szCs w:val="18"/>
              </w:rPr>
              <w:br/>
            </w:r>
            <w:r w:rsidRPr="00F244F6">
              <w:rPr>
                <w:rFonts w:asciiTheme="minorHAnsi" w:hAnsiTheme="minorHAnsi" w:cstheme="minorHAnsi"/>
                <w:color w:val="000000"/>
                <w:sz w:val="18"/>
                <w:szCs w:val="18"/>
              </w:rPr>
              <w:br/>
              <w:t>Oil 500 mL (MCT Oil)</w:t>
            </w:r>
          </w:p>
          <w:p w14:paraId="579ECC3C" w14:textId="11A57D7E" w:rsidR="00226D73" w:rsidRPr="00783755" w:rsidRDefault="00226D73" w:rsidP="00DC3166">
            <w:pPr>
              <w:jc w:val="center"/>
              <w:rPr>
                <w:rFonts w:asciiTheme="minorHAnsi" w:hAnsiTheme="minorHAnsi" w:cstheme="minorHAnsi"/>
                <w:color w:val="000000"/>
                <w:sz w:val="18"/>
                <w:szCs w:val="18"/>
              </w:rPr>
            </w:pPr>
            <w:r w:rsidRPr="00F244F6">
              <w:rPr>
                <w:rFonts w:asciiTheme="minorHAnsi" w:hAnsiTheme="minorHAnsi" w:cstheme="minorHAnsi"/>
                <w:color w:val="000000"/>
                <w:sz w:val="18"/>
                <w:szCs w:val="18"/>
              </w:rPr>
              <w:br/>
              <w:t>MCT Oil</w:t>
            </w:r>
            <w:r w:rsidRPr="00F244F6">
              <w:rPr>
                <w:rFonts w:asciiTheme="minorHAnsi" w:hAnsiTheme="minorHAnsi" w:cstheme="minorHAnsi"/>
                <w:color w:val="000000"/>
                <w:sz w:val="18"/>
                <w:szCs w:val="18"/>
              </w:rPr>
              <w:br/>
            </w:r>
            <w:r w:rsidRPr="00F244F6">
              <w:rPr>
                <w:rFonts w:asciiTheme="minorHAnsi" w:hAnsiTheme="minorHAnsi" w:cstheme="minorHAnsi"/>
                <w:color w:val="000000"/>
                <w:sz w:val="18"/>
                <w:szCs w:val="18"/>
              </w:rPr>
              <w:br/>
              <w:t>NUTRICIA AUSTRALIA PTY LIMITED</w:t>
            </w:r>
            <w:r w:rsidRPr="00F244F6">
              <w:rPr>
                <w:rFonts w:asciiTheme="minorHAnsi" w:hAnsiTheme="minorHAnsi" w:cstheme="minorHAnsi"/>
                <w:color w:val="000000"/>
                <w:sz w:val="18"/>
                <w:szCs w:val="18"/>
              </w:rPr>
              <w:br/>
            </w:r>
            <w:r w:rsidRPr="00F244F6">
              <w:rPr>
                <w:rFonts w:asciiTheme="minorHAnsi" w:hAnsiTheme="minorHAnsi" w:cstheme="minorHAnsi"/>
                <w:color w:val="000000"/>
                <w:sz w:val="18"/>
                <w:szCs w:val="18"/>
              </w:rPr>
              <w:br/>
            </w:r>
            <w:r w:rsidRPr="00F244F6">
              <w:rPr>
                <w:rFonts w:asciiTheme="minorHAnsi" w:hAnsiTheme="minorHAnsi" w:cstheme="minorHAnsi"/>
                <w:sz w:val="18"/>
                <w:szCs w:val="18"/>
              </w:rPr>
              <w:t>(Other matters)</w:t>
            </w:r>
          </w:p>
        </w:tc>
        <w:tc>
          <w:tcPr>
            <w:tcW w:w="2767" w:type="dxa"/>
            <w:tcBorders>
              <w:top w:val="single" w:sz="4" w:space="0" w:color="auto"/>
              <w:left w:val="single" w:sz="4" w:space="0" w:color="auto"/>
              <w:bottom w:val="single" w:sz="4" w:space="0" w:color="auto"/>
              <w:right w:val="single" w:sz="4" w:space="0" w:color="auto"/>
            </w:tcBorders>
            <w:vAlign w:val="center"/>
          </w:tcPr>
          <w:p w14:paraId="020DF61D" w14:textId="14CBFFD3" w:rsidR="00226D73" w:rsidRPr="00783755" w:rsidRDefault="00226D73" w:rsidP="00DC3166">
            <w:pPr>
              <w:jc w:val="center"/>
              <w:rPr>
                <w:rFonts w:asciiTheme="minorHAnsi" w:hAnsiTheme="minorHAnsi" w:cstheme="minorHAnsi"/>
                <w:color w:val="000000"/>
                <w:sz w:val="18"/>
                <w:szCs w:val="18"/>
              </w:rPr>
            </w:pPr>
            <w:r w:rsidRPr="00F244F6">
              <w:rPr>
                <w:rFonts w:asciiTheme="minorHAnsi" w:hAnsiTheme="minorHAnsi" w:cstheme="minorHAnsi"/>
                <w:color w:val="000000"/>
                <w:sz w:val="18"/>
                <w:szCs w:val="18"/>
              </w:rPr>
              <w:t>Chylous ascites</w:t>
            </w:r>
            <w:r w:rsidRPr="00F244F6">
              <w:rPr>
                <w:rFonts w:asciiTheme="minorHAnsi" w:hAnsiTheme="minorHAnsi" w:cstheme="minorHAnsi"/>
                <w:color w:val="000000"/>
                <w:sz w:val="18"/>
                <w:szCs w:val="18"/>
              </w:rPr>
              <w:br/>
              <w:t>Chylothorax</w:t>
            </w:r>
            <w:r w:rsidRPr="00F244F6">
              <w:rPr>
                <w:rFonts w:asciiTheme="minorHAnsi" w:hAnsiTheme="minorHAnsi" w:cstheme="minorHAnsi"/>
                <w:color w:val="000000"/>
                <w:sz w:val="18"/>
                <w:szCs w:val="18"/>
              </w:rPr>
              <w:br/>
              <w:t>Fat malabsorption</w:t>
            </w:r>
            <w:r w:rsidRPr="00F244F6">
              <w:rPr>
                <w:rFonts w:asciiTheme="minorHAnsi" w:hAnsiTheme="minorHAnsi" w:cstheme="minorHAnsi"/>
                <w:color w:val="000000"/>
                <w:sz w:val="18"/>
                <w:szCs w:val="18"/>
              </w:rPr>
              <w:br/>
            </w:r>
            <w:proofErr w:type="spellStart"/>
            <w:r w:rsidRPr="00F244F6">
              <w:rPr>
                <w:rFonts w:asciiTheme="minorHAnsi" w:hAnsiTheme="minorHAnsi" w:cstheme="minorHAnsi"/>
                <w:color w:val="000000"/>
                <w:sz w:val="18"/>
                <w:szCs w:val="18"/>
              </w:rPr>
              <w:t>Hyperlipoproteinaemia</w:t>
            </w:r>
            <w:proofErr w:type="spellEnd"/>
            <w:r w:rsidRPr="00F244F6">
              <w:rPr>
                <w:rFonts w:asciiTheme="minorHAnsi" w:hAnsiTheme="minorHAnsi" w:cstheme="minorHAnsi"/>
                <w:color w:val="000000"/>
                <w:sz w:val="18"/>
                <w:szCs w:val="18"/>
              </w:rPr>
              <w:t xml:space="preserve"> type 1</w:t>
            </w:r>
            <w:r w:rsidRPr="00F244F6">
              <w:rPr>
                <w:rFonts w:asciiTheme="minorHAnsi" w:hAnsiTheme="minorHAnsi" w:cstheme="minorHAnsi"/>
                <w:color w:val="000000"/>
                <w:sz w:val="18"/>
                <w:szCs w:val="18"/>
              </w:rPr>
              <w:br/>
              <w:t>Intractable childhood epilepsy</w:t>
            </w:r>
            <w:r w:rsidRPr="00F244F6">
              <w:rPr>
                <w:rFonts w:asciiTheme="minorHAnsi" w:hAnsiTheme="minorHAnsi" w:cstheme="minorHAnsi"/>
                <w:color w:val="000000"/>
                <w:sz w:val="18"/>
                <w:szCs w:val="18"/>
              </w:rPr>
              <w:br/>
              <w:t>Cerebrospinal fluid glucose transporter defect</w:t>
            </w:r>
            <w:r w:rsidRPr="00F244F6">
              <w:rPr>
                <w:rFonts w:asciiTheme="minorHAnsi" w:hAnsiTheme="minorHAnsi" w:cstheme="minorHAnsi"/>
                <w:color w:val="000000"/>
                <w:sz w:val="18"/>
                <w:szCs w:val="18"/>
              </w:rPr>
              <w:br/>
              <w:t>Long chain fatty acid oxidation disorders</w:t>
            </w:r>
          </w:p>
        </w:tc>
        <w:tc>
          <w:tcPr>
            <w:tcW w:w="29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CA7619E" w14:textId="71220C34" w:rsidR="00226D73" w:rsidRPr="00783755" w:rsidRDefault="00226D73" w:rsidP="00DC3166">
            <w:pPr>
              <w:jc w:val="center"/>
              <w:rPr>
                <w:rFonts w:asciiTheme="minorHAnsi" w:hAnsiTheme="minorHAnsi" w:cstheme="minorHAnsi"/>
                <w:color w:val="000000"/>
                <w:sz w:val="18"/>
                <w:szCs w:val="18"/>
              </w:rPr>
            </w:pPr>
            <w:r w:rsidRPr="00F244F6">
              <w:rPr>
                <w:rFonts w:asciiTheme="minorHAnsi" w:hAnsiTheme="minorHAnsi" w:cstheme="minorHAnsi"/>
                <w:color w:val="000000"/>
                <w:sz w:val="18"/>
                <w:szCs w:val="18"/>
              </w:rPr>
              <w:t>To request an increase in the maximum quantity of MCT Oil for all PBS-listed indications.</w:t>
            </w:r>
          </w:p>
        </w:tc>
        <w:tc>
          <w:tcPr>
            <w:tcW w:w="1584" w:type="dxa"/>
            <w:vAlign w:val="center"/>
          </w:tcPr>
          <w:p w14:paraId="6C58D53F" w14:textId="4CF608E1" w:rsidR="00226D73" w:rsidRPr="00FC24A8" w:rsidRDefault="00226D73" w:rsidP="00DC3166">
            <w:pPr>
              <w:pStyle w:val="ListParagraph"/>
              <w:keepLines/>
              <w:ind w:left="0"/>
              <w:jc w:val="center"/>
              <w:rPr>
                <w:rFonts w:asciiTheme="minorHAnsi" w:hAnsiTheme="minorHAnsi" w:cstheme="minorHAnsi"/>
                <w:color w:val="000000"/>
                <w:sz w:val="18"/>
                <w:szCs w:val="18"/>
              </w:rPr>
            </w:pPr>
            <w:r w:rsidRPr="00FD72B4">
              <w:rPr>
                <w:rFonts w:asciiTheme="minorHAnsi" w:hAnsiTheme="minorHAnsi" w:cstheme="minorHAnsi"/>
                <w:color w:val="000000"/>
                <w:sz w:val="18"/>
                <w:szCs w:val="18"/>
              </w:rPr>
              <w:t>Recommended</w:t>
            </w:r>
          </w:p>
        </w:tc>
        <w:tc>
          <w:tcPr>
            <w:tcW w:w="4836" w:type="dxa"/>
            <w:vAlign w:val="center"/>
          </w:tcPr>
          <w:p w14:paraId="26F9C38E" w14:textId="1DDF2E5A" w:rsidR="00226D73" w:rsidRPr="002C2C9B" w:rsidDel="008F66B5" w:rsidRDefault="000B46ED" w:rsidP="00DC3166">
            <w:pPr>
              <w:jc w:val="both"/>
              <w:rPr>
                <w:rFonts w:asciiTheme="minorHAnsi" w:hAnsiTheme="minorHAnsi" w:cstheme="minorBidi"/>
                <w:color w:val="000000"/>
                <w:sz w:val="18"/>
                <w:szCs w:val="18"/>
                <w:lang w:val="en-GB"/>
              </w:rPr>
            </w:pPr>
            <w:r w:rsidRPr="000B46ED">
              <w:rPr>
                <w:rFonts w:asciiTheme="minorHAnsi" w:hAnsiTheme="minorHAnsi" w:cstheme="minorBidi"/>
                <w:color w:val="000000"/>
                <w:sz w:val="18"/>
                <w:szCs w:val="18"/>
                <w:lang w:val="en-GB"/>
              </w:rPr>
              <w:t xml:space="preserve">The PBAC recommended removing the Administrative Advice ‘No increase in the maximum quantity or number of units may be authorised’ and ‘No increase in the maximum number of repeats may be authorised’ from the PBS listing of MCT Oil to enable patients requiring a larger quantity to receive prescriptions adequate for 1 months’ supply per dispensing. The PBAC advised that increasing the maximum quantity in the listing may result in increased wastage for patients not requiring the larger quantities, but allowing prescribers to request an increased quantity for situations where patients require larger amounts for 1 months’ supply will support patient access and reduce administrative burden while reducing the risk of wastage. The PBAC recommended that the removal of the Administrative Advice be </w:t>
            </w:r>
            <w:proofErr w:type="gramStart"/>
            <w:r w:rsidRPr="000B46ED">
              <w:rPr>
                <w:rFonts w:asciiTheme="minorHAnsi" w:hAnsiTheme="minorHAnsi" w:cstheme="minorBidi"/>
                <w:color w:val="000000"/>
                <w:sz w:val="18"/>
                <w:szCs w:val="18"/>
                <w:lang w:val="en-GB"/>
              </w:rPr>
              <w:t>flowed</w:t>
            </w:r>
            <w:r w:rsidR="0035562A">
              <w:rPr>
                <w:rFonts w:asciiTheme="minorHAnsi" w:hAnsiTheme="minorHAnsi" w:cstheme="minorBidi"/>
                <w:color w:val="000000"/>
                <w:sz w:val="18"/>
                <w:szCs w:val="18"/>
                <w:lang w:val="en-GB"/>
              </w:rPr>
              <w:t>-</w:t>
            </w:r>
            <w:r w:rsidRPr="000B46ED">
              <w:rPr>
                <w:rFonts w:asciiTheme="minorHAnsi" w:hAnsiTheme="minorHAnsi" w:cstheme="minorBidi"/>
                <w:color w:val="000000"/>
                <w:sz w:val="18"/>
                <w:szCs w:val="18"/>
                <w:lang w:val="en-GB"/>
              </w:rPr>
              <w:t>on</w:t>
            </w:r>
            <w:proofErr w:type="gramEnd"/>
            <w:r w:rsidRPr="000B46ED">
              <w:rPr>
                <w:rFonts w:asciiTheme="minorHAnsi" w:hAnsiTheme="minorHAnsi" w:cstheme="minorBidi"/>
                <w:color w:val="000000"/>
                <w:sz w:val="18"/>
                <w:szCs w:val="18"/>
                <w:lang w:val="en-GB"/>
              </w:rPr>
              <w:t xml:space="preserve"> to the listing of </w:t>
            </w:r>
            <w:proofErr w:type="spellStart"/>
            <w:r w:rsidRPr="000B46ED">
              <w:rPr>
                <w:rFonts w:asciiTheme="minorHAnsi" w:hAnsiTheme="minorHAnsi" w:cstheme="minorBidi"/>
                <w:color w:val="000000"/>
                <w:sz w:val="18"/>
                <w:szCs w:val="18"/>
                <w:lang w:val="en-GB"/>
              </w:rPr>
              <w:t>Liquigen</w:t>
            </w:r>
            <w:proofErr w:type="spellEnd"/>
            <w:r w:rsidRPr="000B46ED">
              <w:rPr>
                <w:rFonts w:asciiTheme="minorHAnsi" w:hAnsiTheme="minorHAnsi" w:cstheme="minorBidi"/>
                <w:color w:val="000000"/>
                <w:sz w:val="18"/>
                <w:szCs w:val="18"/>
                <w:lang w:val="en-GB"/>
              </w:rPr>
              <w:t>® (medium chain triglycerides oral liquid, 250 mL bottle).</w:t>
            </w:r>
          </w:p>
        </w:tc>
      </w:tr>
      <w:tr w:rsidR="00226D73" w:rsidRPr="008059F4" w:rsidDel="008F66B5" w14:paraId="5666D057" w14:textId="77777777" w:rsidTr="09589B60">
        <w:trPr>
          <w:cantSplit/>
          <w:trHeight w:val="2948"/>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0D7761E" w14:textId="7C863BE4" w:rsidR="00226D73" w:rsidRDefault="00226D73" w:rsidP="00DC3166">
            <w:pPr>
              <w:jc w:val="center"/>
              <w:rPr>
                <w:rFonts w:asciiTheme="minorHAnsi" w:hAnsiTheme="minorHAnsi" w:cstheme="minorHAnsi"/>
                <w:bCs/>
                <w:color w:val="000000"/>
                <w:sz w:val="18"/>
                <w:szCs w:val="18"/>
              </w:rPr>
            </w:pPr>
            <w:r w:rsidRPr="00030C95">
              <w:rPr>
                <w:rFonts w:asciiTheme="minorHAnsi" w:hAnsiTheme="minorHAnsi" w:cstheme="minorHAnsi"/>
                <w:bCs/>
                <w:color w:val="000000"/>
                <w:sz w:val="18"/>
                <w:szCs w:val="18"/>
              </w:rPr>
              <w:t>TRIGLYCERIDES - MEDIUM CHAIN, FORMULA</w:t>
            </w:r>
            <w:r w:rsidRPr="00030C95">
              <w:rPr>
                <w:rFonts w:asciiTheme="minorHAnsi" w:hAnsiTheme="minorHAnsi" w:cstheme="minorHAnsi"/>
                <w:bCs/>
                <w:color w:val="000000"/>
                <w:sz w:val="18"/>
                <w:szCs w:val="18"/>
              </w:rPr>
              <w:br/>
            </w:r>
            <w:r w:rsidRPr="00030C95">
              <w:rPr>
                <w:rFonts w:asciiTheme="minorHAnsi" w:hAnsiTheme="minorHAnsi" w:cstheme="minorHAnsi"/>
                <w:bCs/>
                <w:color w:val="000000"/>
                <w:sz w:val="18"/>
                <w:szCs w:val="18"/>
              </w:rPr>
              <w:br/>
              <w:t>Oral powder 400 g (</w:t>
            </w:r>
            <w:proofErr w:type="spellStart"/>
            <w:r w:rsidRPr="00030C95">
              <w:rPr>
                <w:rFonts w:asciiTheme="minorHAnsi" w:hAnsiTheme="minorHAnsi" w:cstheme="minorHAnsi"/>
                <w:bCs/>
                <w:color w:val="000000"/>
                <w:sz w:val="18"/>
                <w:szCs w:val="18"/>
              </w:rPr>
              <w:t>Monogen</w:t>
            </w:r>
            <w:proofErr w:type="spellEnd"/>
            <w:r w:rsidRPr="00030C95">
              <w:rPr>
                <w:rFonts w:asciiTheme="minorHAnsi" w:hAnsiTheme="minorHAnsi" w:cstheme="minorHAnsi"/>
                <w:bCs/>
                <w:color w:val="000000"/>
                <w:sz w:val="18"/>
                <w:szCs w:val="18"/>
              </w:rPr>
              <w:t>)</w:t>
            </w:r>
            <w:r w:rsidRPr="00030C95">
              <w:rPr>
                <w:rFonts w:asciiTheme="minorHAnsi" w:hAnsiTheme="minorHAnsi" w:cstheme="minorHAnsi"/>
                <w:bCs/>
                <w:color w:val="000000"/>
                <w:sz w:val="18"/>
                <w:szCs w:val="18"/>
              </w:rPr>
              <w:br/>
            </w:r>
            <w:r w:rsidRPr="00030C95">
              <w:rPr>
                <w:rFonts w:asciiTheme="minorHAnsi" w:hAnsiTheme="minorHAnsi" w:cstheme="minorHAnsi"/>
                <w:bCs/>
                <w:color w:val="000000"/>
                <w:sz w:val="18"/>
                <w:szCs w:val="18"/>
              </w:rPr>
              <w:br/>
            </w:r>
            <w:proofErr w:type="spellStart"/>
            <w:r w:rsidRPr="00030C95">
              <w:rPr>
                <w:rFonts w:asciiTheme="minorHAnsi" w:hAnsiTheme="minorHAnsi" w:cstheme="minorHAnsi"/>
                <w:bCs/>
                <w:color w:val="000000"/>
                <w:sz w:val="18"/>
                <w:szCs w:val="18"/>
              </w:rPr>
              <w:t>Monogen</w:t>
            </w:r>
            <w:proofErr w:type="spellEnd"/>
            <w:r w:rsidRPr="00030C95">
              <w:rPr>
                <w:rFonts w:asciiTheme="minorHAnsi" w:hAnsiTheme="minorHAnsi" w:cstheme="minorHAnsi"/>
                <w:bCs/>
                <w:color w:val="000000"/>
                <w:sz w:val="18"/>
                <w:szCs w:val="18"/>
                <w:vertAlign w:val="superscript"/>
              </w:rPr>
              <w:t>®</w:t>
            </w:r>
            <w:r w:rsidRPr="00030C95">
              <w:rPr>
                <w:rFonts w:asciiTheme="minorHAnsi" w:hAnsiTheme="minorHAnsi" w:cstheme="minorHAnsi"/>
                <w:bCs/>
                <w:color w:val="000000"/>
                <w:sz w:val="18"/>
                <w:szCs w:val="18"/>
                <w:vertAlign w:val="superscript"/>
              </w:rPr>
              <w:br/>
            </w:r>
            <w:r w:rsidRPr="00030C95">
              <w:rPr>
                <w:rFonts w:asciiTheme="minorHAnsi" w:hAnsiTheme="minorHAnsi" w:cstheme="minorHAnsi"/>
                <w:bCs/>
                <w:color w:val="000000"/>
                <w:sz w:val="18"/>
                <w:szCs w:val="18"/>
              </w:rPr>
              <w:br/>
              <w:t>NUTRICIA AUSTRALIA PTY LIMITED</w:t>
            </w:r>
            <w:r w:rsidRPr="00030C95">
              <w:rPr>
                <w:rFonts w:asciiTheme="minorHAnsi" w:hAnsiTheme="minorHAnsi" w:cstheme="minorHAnsi"/>
                <w:bCs/>
                <w:color w:val="000000"/>
                <w:sz w:val="18"/>
                <w:szCs w:val="18"/>
              </w:rPr>
              <w:br/>
            </w:r>
            <w:r w:rsidRPr="00030C95">
              <w:rPr>
                <w:rFonts w:asciiTheme="minorHAnsi" w:hAnsiTheme="minorHAnsi" w:cstheme="minorHAnsi"/>
                <w:bCs/>
                <w:color w:val="000000"/>
                <w:sz w:val="18"/>
                <w:szCs w:val="18"/>
              </w:rPr>
              <w:br/>
              <w:t>(Other matters)</w:t>
            </w:r>
          </w:p>
          <w:p w14:paraId="565D9CAD" w14:textId="77777777" w:rsidR="00226D73" w:rsidRPr="006A5A05" w:rsidRDefault="00226D73" w:rsidP="00DC3166">
            <w:pPr>
              <w:jc w:val="center"/>
              <w:rPr>
                <w:rFonts w:asciiTheme="minorHAnsi" w:hAnsiTheme="minorHAnsi" w:cstheme="minorHAnsi"/>
                <w:color w:val="000000"/>
                <w:sz w:val="18"/>
                <w:szCs w:val="18"/>
              </w:rPr>
            </w:pPr>
          </w:p>
        </w:tc>
        <w:tc>
          <w:tcPr>
            <w:tcW w:w="2767" w:type="dxa"/>
            <w:tcBorders>
              <w:top w:val="single" w:sz="4" w:space="0" w:color="auto"/>
              <w:left w:val="single" w:sz="4" w:space="0" w:color="auto"/>
              <w:bottom w:val="single" w:sz="4" w:space="0" w:color="auto"/>
              <w:right w:val="single" w:sz="4" w:space="0" w:color="auto"/>
            </w:tcBorders>
            <w:vAlign w:val="center"/>
          </w:tcPr>
          <w:p w14:paraId="483E276A" w14:textId="77777777" w:rsidR="00226D73" w:rsidRPr="00307ADA" w:rsidRDefault="00226D73" w:rsidP="00DC3166">
            <w:pPr>
              <w:jc w:val="center"/>
              <w:rPr>
                <w:rFonts w:asciiTheme="minorHAnsi" w:hAnsiTheme="minorHAnsi" w:cstheme="minorHAnsi"/>
                <w:color w:val="000000"/>
                <w:sz w:val="18"/>
                <w:szCs w:val="18"/>
              </w:rPr>
            </w:pPr>
            <w:r w:rsidRPr="00307ADA">
              <w:rPr>
                <w:rFonts w:asciiTheme="minorHAnsi" w:hAnsiTheme="minorHAnsi" w:cstheme="minorHAnsi"/>
                <w:color w:val="000000"/>
                <w:sz w:val="18"/>
                <w:szCs w:val="18"/>
              </w:rPr>
              <w:t>Dietary management of conditions requiring a source of medium chain triglycerides</w:t>
            </w:r>
          </w:p>
          <w:p w14:paraId="137AE75A" w14:textId="77777777" w:rsidR="00226D73" w:rsidRPr="00307ADA" w:rsidRDefault="00226D73" w:rsidP="00DC3166">
            <w:pPr>
              <w:jc w:val="center"/>
              <w:rPr>
                <w:rFonts w:asciiTheme="minorHAnsi" w:hAnsiTheme="minorHAnsi" w:cstheme="minorHAnsi"/>
                <w:color w:val="000000"/>
                <w:sz w:val="18"/>
                <w:szCs w:val="18"/>
              </w:rPr>
            </w:pPr>
            <w:proofErr w:type="spellStart"/>
            <w:r w:rsidRPr="00307ADA">
              <w:rPr>
                <w:rFonts w:asciiTheme="minorHAnsi" w:hAnsiTheme="minorHAnsi" w:cstheme="minorHAnsi"/>
                <w:color w:val="000000"/>
                <w:sz w:val="18"/>
                <w:szCs w:val="18"/>
              </w:rPr>
              <w:t>Hyperlipoproteinaemia</w:t>
            </w:r>
            <w:proofErr w:type="spellEnd"/>
            <w:r w:rsidRPr="00307ADA">
              <w:rPr>
                <w:rFonts w:asciiTheme="minorHAnsi" w:hAnsiTheme="minorHAnsi" w:cstheme="minorHAnsi"/>
                <w:color w:val="000000"/>
                <w:sz w:val="18"/>
                <w:szCs w:val="18"/>
              </w:rPr>
              <w:t xml:space="preserve"> type 1</w:t>
            </w:r>
          </w:p>
          <w:p w14:paraId="6D0A1300" w14:textId="77777777" w:rsidR="00226D73" w:rsidRPr="00307ADA" w:rsidRDefault="00226D73" w:rsidP="00DC3166">
            <w:pPr>
              <w:jc w:val="center"/>
              <w:rPr>
                <w:rFonts w:asciiTheme="minorHAnsi" w:hAnsiTheme="minorHAnsi" w:cstheme="minorHAnsi"/>
                <w:color w:val="000000"/>
                <w:sz w:val="18"/>
                <w:szCs w:val="18"/>
              </w:rPr>
            </w:pPr>
            <w:r w:rsidRPr="00307ADA">
              <w:rPr>
                <w:rFonts w:asciiTheme="minorHAnsi" w:hAnsiTheme="minorHAnsi" w:cstheme="minorHAnsi"/>
                <w:color w:val="000000"/>
                <w:sz w:val="18"/>
                <w:szCs w:val="18"/>
              </w:rPr>
              <w:t>Long chain fatty acid oxidation disorders</w:t>
            </w:r>
          </w:p>
          <w:p w14:paraId="3687E6C1" w14:textId="77777777" w:rsidR="00226D73" w:rsidRPr="00307ADA" w:rsidRDefault="00226D73" w:rsidP="00DC3166">
            <w:pPr>
              <w:jc w:val="center"/>
              <w:rPr>
                <w:rFonts w:asciiTheme="minorHAnsi" w:hAnsiTheme="minorHAnsi" w:cstheme="minorHAnsi"/>
                <w:color w:val="000000"/>
                <w:sz w:val="18"/>
                <w:szCs w:val="18"/>
              </w:rPr>
            </w:pPr>
            <w:r w:rsidRPr="00307ADA">
              <w:rPr>
                <w:rFonts w:asciiTheme="minorHAnsi" w:hAnsiTheme="minorHAnsi" w:cstheme="minorHAnsi"/>
                <w:color w:val="000000"/>
                <w:sz w:val="18"/>
                <w:szCs w:val="18"/>
              </w:rPr>
              <w:t>Chylous ascites</w:t>
            </w:r>
          </w:p>
          <w:p w14:paraId="60506CFE" w14:textId="16AC486B" w:rsidR="00226D73" w:rsidRPr="006A5A05" w:rsidRDefault="00226D73" w:rsidP="00DC3166">
            <w:pPr>
              <w:jc w:val="center"/>
              <w:rPr>
                <w:rFonts w:asciiTheme="minorHAnsi" w:hAnsiTheme="minorHAnsi" w:cstheme="minorHAnsi"/>
                <w:color w:val="000000"/>
                <w:sz w:val="18"/>
                <w:szCs w:val="18"/>
              </w:rPr>
            </w:pPr>
            <w:r w:rsidRPr="00307ADA">
              <w:rPr>
                <w:rFonts w:asciiTheme="minorHAnsi" w:hAnsiTheme="minorHAnsi" w:cstheme="minorHAnsi"/>
                <w:color w:val="000000"/>
                <w:sz w:val="18"/>
                <w:szCs w:val="18"/>
              </w:rPr>
              <w:t>Chylothorax</w:t>
            </w:r>
          </w:p>
        </w:tc>
        <w:tc>
          <w:tcPr>
            <w:tcW w:w="29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8722571" w14:textId="1AB0D8B3" w:rsidR="00226D73" w:rsidRPr="006A5A05" w:rsidRDefault="00226D73" w:rsidP="00DC3166">
            <w:pPr>
              <w:jc w:val="center"/>
              <w:rPr>
                <w:rFonts w:asciiTheme="minorHAnsi" w:hAnsiTheme="minorHAnsi" w:cstheme="minorHAnsi"/>
                <w:color w:val="000000"/>
                <w:sz w:val="18"/>
                <w:szCs w:val="18"/>
              </w:rPr>
            </w:pPr>
            <w:r w:rsidRPr="00552434">
              <w:rPr>
                <w:rFonts w:asciiTheme="minorHAnsi" w:hAnsiTheme="minorHAnsi" w:cstheme="minorHAnsi"/>
                <w:color w:val="000000"/>
                <w:sz w:val="18"/>
                <w:szCs w:val="18"/>
              </w:rPr>
              <w:t xml:space="preserve">To request an increase in the maximum quantity of </w:t>
            </w:r>
            <w:proofErr w:type="spellStart"/>
            <w:r w:rsidRPr="00552434">
              <w:rPr>
                <w:rFonts w:asciiTheme="minorHAnsi" w:hAnsiTheme="minorHAnsi" w:cstheme="minorHAnsi"/>
                <w:color w:val="000000"/>
                <w:sz w:val="18"/>
                <w:szCs w:val="18"/>
              </w:rPr>
              <w:t>Monogen</w:t>
            </w:r>
            <w:proofErr w:type="spellEnd"/>
            <w:r w:rsidRPr="00552434">
              <w:rPr>
                <w:rFonts w:asciiTheme="minorHAnsi" w:hAnsiTheme="minorHAnsi" w:cstheme="minorHAnsi"/>
                <w:color w:val="000000"/>
                <w:sz w:val="18"/>
                <w:szCs w:val="18"/>
              </w:rPr>
              <w:t xml:space="preserve"> for all PBS-listed indications.</w:t>
            </w:r>
          </w:p>
        </w:tc>
        <w:tc>
          <w:tcPr>
            <w:tcW w:w="1584" w:type="dxa"/>
            <w:vAlign w:val="center"/>
          </w:tcPr>
          <w:p w14:paraId="1E131960" w14:textId="51BD18C8" w:rsidR="00226D73" w:rsidRPr="00FC24A8" w:rsidRDefault="00226D73" w:rsidP="00DC3166">
            <w:pPr>
              <w:pStyle w:val="ListParagraph"/>
              <w:keepLines/>
              <w:ind w:left="0"/>
              <w:jc w:val="center"/>
              <w:rPr>
                <w:rFonts w:asciiTheme="minorHAnsi" w:hAnsiTheme="minorHAnsi" w:cstheme="minorHAnsi"/>
                <w:color w:val="000000"/>
                <w:sz w:val="18"/>
                <w:szCs w:val="18"/>
              </w:rPr>
            </w:pPr>
            <w:r w:rsidRPr="00FD72B4">
              <w:rPr>
                <w:rFonts w:asciiTheme="minorHAnsi" w:hAnsiTheme="minorHAnsi" w:cstheme="minorHAnsi"/>
                <w:color w:val="000000"/>
                <w:sz w:val="18"/>
                <w:szCs w:val="18"/>
              </w:rPr>
              <w:t>Recommended</w:t>
            </w:r>
          </w:p>
        </w:tc>
        <w:tc>
          <w:tcPr>
            <w:tcW w:w="4836" w:type="dxa"/>
            <w:vAlign w:val="center"/>
          </w:tcPr>
          <w:p w14:paraId="5DC129A0" w14:textId="54CA5379" w:rsidR="00226D73" w:rsidRPr="00783755" w:rsidDel="008F66B5" w:rsidRDefault="00226D73" w:rsidP="00DC3166">
            <w:pPr>
              <w:rPr>
                <w:rFonts w:asciiTheme="minorHAnsi" w:hAnsiTheme="minorHAnsi" w:cstheme="minorBidi"/>
                <w:color w:val="000000"/>
                <w:sz w:val="18"/>
                <w:szCs w:val="18"/>
              </w:rPr>
            </w:pPr>
            <w:r w:rsidRPr="00A753B8">
              <w:rPr>
                <w:rFonts w:ascii="Calibri" w:eastAsia="Calibri" w:hAnsi="Calibri" w:cs="Arial"/>
                <w:bCs/>
                <w:sz w:val="18"/>
                <w:szCs w:val="18"/>
                <w:lang w:val="en-GB"/>
              </w:rPr>
              <w:t xml:space="preserve">The PBAC recommended removing the Administrative Advice ‘No increase in the maximum quantity or number of units may be authorised’ and ‘No increase in the maximum number of repeats may be authorised’ from the PBS listing of </w:t>
            </w:r>
            <w:proofErr w:type="spellStart"/>
            <w:r w:rsidRPr="00A753B8">
              <w:rPr>
                <w:rFonts w:ascii="Calibri" w:eastAsia="Calibri" w:hAnsi="Calibri" w:cs="Arial"/>
                <w:bCs/>
                <w:sz w:val="18"/>
                <w:szCs w:val="18"/>
                <w:lang w:val="en-GB"/>
              </w:rPr>
              <w:t>Monogen</w:t>
            </w:r>
            <w:proofErr w:type="spellEnd"/>
            <w:r w:rsidRPr="00A753B8">
              <w:rPr>
                <w:rFonts w:ascii="Calibri" w:eastAsia="Calibri" w:hAnsi="Calibri" w:cs="Arial"/>
                <w:bCs/>
                <w:sz w:val="18"/>
                <w:szCs w:val="18"/>
                <w:lang w:val="en-GB"/>
              </w:rPr>
              <w:t xml:space="preserve"> </w:t>
            </w:r>
            <w:r w:rsidRPr="00A753B8">
              <w:rPr>
                <w:rFonts w:ascii="Calibri" w:eastAsia="Yu Mincho" w:hAnsi="Calibri" w:cs="Arial"/>
                <w:sz w:val="18"/>
                <w:szCs w:val="18"/>
                <w:lang w:val="en-GB"/>
              </w:rPr>
              <w:t>to enable patients requiring a larger quantity to receive prescriptions adequate for 1 months’ supply per dispensing</w:t>
            </w:r>
            <w:r w:rsidRPr="00A753B8">
              <w:rPr>
                <w:rFonts w:ascii="Calibri" w:eastAsia="Calibri" w:hAnsi="Calibri" w:cs="Arial"/>
                <w:bCs/>
                <w:sz w:val="18"/>
                <w:szCs w:val="18"/>
                <w:lang w:val="en-GB"/>
              </w:rPr>
              <w:t xml:space="preserve">. The PBAC also recommended simplifying the listings for </w:t>
            </w:r>
            <w:proofErr w:type="spellStart"/>
            <w:r w:rsidRPr="00A753B8">
              <w:rPr>
                <w:rFonts w:ascii="Calibri" w:eastAsia="Calibri" w:hAnsi="Calibri" w:cs="Arial"/>
                <w:bCs/>
                <w:sz w:val="18"/>
                <w:szCs w:val="18"/>
                <w:lang w:val="en-GB"/>
              </w:rPr>
              <w:t>Monogen</w:t>
            </w:r>
            <w:proofErr w:type="spellEnd"/>
            <w:r w:rsidRPr="00A753B8">
              <w:rPr>
                <w:rFonts w:ascii="Calibri" w:eastAsia="Calibri" w:hAnsi="Calibri" w:cs="Arial"/>
                <w:bCs/>
                <w:sz w:val="18"/>
                <w:szCs w:val="18"/>
                <w:lang w:val="en-GB"/>
              </w:rPr>
              <w:t xml:space="preserve"> by combining the existing listings into a single, new item code. The PBAC advised that the current maximum quantity for </w:t>
            </w:r>
            <w:proofErr w:type="spellStart"/>
            <w:r w:rsidRPr="00A753B8">
              <w:rPr>
                <w:rFonts w:ascii="Calibri" w:eastAsia="Calibri" w:hAnsi="Calibri" w:cs="Arial"/>
                <w:bCs/>
                <w:sz w:val="18"/>
                <w:szCs w:val="18"/>
                <w:lang w:val="en-GB"/>
              </w:rPr>
              <w:t>Monogen</w:t>
            </w:r>
            <w:proofErr w:type="spellEnd"/>
            <w:r w:rsidRPr="00A753B8">
              <w:rPr>
                <w:rFonts w:ascii="Calibri" w:eastAsia="Calibri" w:hAnsi="Calibri" w:cs="Arial"/>
                <w:bCs/>
                <w:sz w:val="18"/>
                <w:szCs w:val="18"/>
                <w:lang w:val="en-GB"/>
              </w:rPr>
              <w:t xml:space="preserve"> would be sufficient for most patients, however there may be some patients who would require increased quantities. The PBAC advised that allowing prescribers to request an increased quantity for situations where patients require larger amounts for 1 months’ supply will enable patients to access an increased quantity where required while reducing the risk of wastage. The PBAC recommended that the removal of the same Administrative </w:t>
            </w:r>
            <w:proofErr w:type="gramStart"/>
            <w:r w:rsidRPr="00A753B8">
              <w:rPr>
                <w:rFonts w:ascii="Calibri" w:eastAsia="Calibri" w:hAnsi="Calibri" w:cs="Arial"/>
                <w:bCs/>
                <w:sz w:val="18"/>
                <w:szCs w:val="18"/>
                <w:lang w:val="en-GB"/>
              </w:rPr>
              <w:t>Advices</w:t>
            </w:r>
            <w:proofErr w:type="gramEnd"/>
            <w:r w:rsidRPr="00A753B8">
              <w:rPr>
                <w:rFonts w:ascii="Calibri" w:eastAsia="Calibri" w:hAnsi="Calibri" w:cs="Arial"/>
                <w:bCs/>
                <w:sz w:val="18"/>
                <w:szCs w:val="18"/>
                <w:lang w:val="en-GB"/>
              </w:rPr>
              <w:t xml:space="preserve"> be </w:t>
            </w:r>
            <w:proofErr w:type="gramStart"/>
            <w:r w:rsidRPr="00A753B8">
              <w:rPr>
                <w:rFonts w:ascii="Calibri" w:eastAsia="Calibri" w:hAnsi="Calibri" w:cs="Arial"/>
                <w:bCs/>
                <w:sz w:val="18"/>
                <w:szCs w:val="18"/>
                <w:lang w:val="en-GB"/>
              </w:rPr>
              <w:t>flowed</w:t>
            </w:r>
            <w:r w:rsidR="000C474B">
              <w:rPr>
                <w:rFonts w:ascii="Calibri" w:eastAsia="Calibri" w:hAnsi="Calibri" w:cs="Arial"/>
                <w:bCs/>
                <w:sz w:val="18"/>
                <w:szCs w:val="18"/>
                <w:lang w:val="en-GB"/>
              </w:rPr>
              <w:t>-</w:t>
            </w:r>
            <w:r w:rsidRPr="00A753B8">
              <w:rPr>
                <w:rFonts w:ascii="Calibri" w:eastAsia="Calibri" w:hAnsi="Calibri" w:cs="Arial"/>
                <w:bCs/>
                <w:sz w:val="18"/>
                <w:szCs w:val="18"/>
                <w:lang w:val="en-GB"/>
              </w:rPr>
              <w:t>on</w:t>
            </w:r>
            <w:proofErr w:type="gramEnd"/>
            <w:r w:rsidRPr="00A753B8">
              <w:rPr>
                <w:rFonts w:ascii="Calibri" w:eastAsia="Calibri" w:hAnsi="Calibri" w:cs="Arial"/>
                <w:bCs/>
                <w:sz w:val="18"/>
                <w:szCs w:val="18"/>
                <w:lang w:val="en-GB"/>
              </w:rPr>
              <w:t xml:space="preserve"> to the other listings for triglycerides medium chain formula (Peptamen</w:t>
            </w:r>
            <w:r w:rsidRPr="00A753B8">
              <w:rPr>
                <w:rFonts w:ascii="Calibri" w:eastAsia="Calibri" w:hAnsi="Calibri" w:cs="Calibri"/>
                <w:bCs/>
                <w:sz w:val="18"/>
                <w:szCs w:val="18"/>
                <w:lang w:val="en-GB"/>
              </w:rPr>
              <w:t>®</w:t>
            </w:r>
            <w:r w:rsidRPr="00A753B8">
              <w:rPr>
                <w:rFonts w:ascii="Calibri" w:eastAsia="Calibri" w:hAnsi="Calibri" w:cs="Arial"/>
                <w:bCs/>
                <w:sz w:val="18"/>
                <w:szCs w:val="18"/>
                <w:lang w:val="en-GB"/>
              </w:rPr>
              <w:t xml:space="preserve"> Junior, </w:t>
            </w:r>
            <w:proofErr w:type="spellStart"/>
            <w:r w:rsidRPr="00A753B8">
              <w:rPr>
                <w:rFonts w:ascii="Calibri" w:eastAsia="Calibri" w:hAnsi="Calibri" w:cs="Arial"/>
                <w:bCs/>
                <w:sz w:val="18"/>
                <w:szCs w:val="18"/>
                <w:lang w:val="en-GB"/>
              </w:rPr>
              <w:t>Lipistart</w:t>
            </w:r>
            <w:proofErr w:type="spellEnd"/>
            <w:r w:rsidRPr="00A753B8">
              <w:rPr>
                <w:rFonts w:ascii="Calibri" w:eastAsia="Calibri" w:hAnsi="Calibri" w:cs="Calibri"/>
                <w:bCs/>
                <w:sz w:val="18"/>
                <w:szCs w:val="18"/>
                <w:lang w:val="en-GB"/>
              </w:rPr>
              <w:t>®</w:t>
            </w:r>
            <w:r w:rsidRPr="00A753B8">
              <w:rPr>
                <w:rFonts w:ascii="Calibri" w:eastAsia="Calibri" w:hAnsi="Calibri" w:cs="Arial"/>
                <w:bCs/>
                <w:sz w:val="18"/>
                <w:szCs w:val="18"/>
                <w:lang w:val="en-GB"/>
              </w:rPr>
              <w:t xml:space="preserve">, </w:t>
            </w:r>
            <w:proofErr w:type="spellStart"/>
            <w:r w:rsidRPr="00A753B8">
              <w:rPr>
                <w:rFonts w:ascii="Calibri" w:eastAsia="Calibri" w:hAnsi="Calibri" w:cs="Arial"/>
                <w:bCs/>
                <w:sz w:val="18"/>
                <w:szCs w:val="18"/>
                <w:lang w:val="en-GB"/>
              </w:rPr>
              <w:t>Nutrini</w:t>
            </w:r>
            <w:proofErr w:type="spellEnd"/>
            <w:r w:rsidRPr="00A753B8">
              <w:rPr>
                <w:rFonts w:ascii="Calibri" w:eastAsia="Calibri" w:hAnsi="Calibri" w:cs="Calibri"/>
                <w:bCs/>
                <w:sz w:val="18"/>
                <w:szCs w:val="18"/>
                <w:lang w:val="en-GB"/>
              </w:rPr>
              <w:t>®</w:t>
            </w:r>
            <w:r w:rsidRPr="00A753B8">
              <w:rPr>
                <w:rFonts w:ascii="Calibri" w:eastAsia="Calibri" w:hAnsi="Calibri" w:cs="Arial"/>
                <w:bCs/>
                <w:sz w:val="18"/>
                <w:szCs w:val="18"/>
                <w:lang w:val="en-GB"/>
              </w:rPr>
              <w:t xml:space="preserve"> Peptisorb).</w:t>
            </w:r>
          </w:p>
        </w:tc>
      </w:tr>
      <w:tr w:rsidR="001123B7" w:rsidRPr="008059F4" w:rsidDel="008F66B5" w14:paraId="569BE4F4" w14:textId="77777777" w:rsidTr="00CB26F0">
        <w:trPr>
          <w:cantSplit/>
          <w:trHeight w:val="2004"/>
        </w:trPr>
        <w:tc>
          <w:tcPr>
            <w:tcW w:w="3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128FF82A" w14:textId="77777777" w:rsidR="001123B7" w:rsidRDefault="001123B7" w:rsidP="00DC3166">
            <w:pPr>
              <w:jc w:val="center"/>
              <w:rPr>
                <w:rFonts w:asciiTheme="minorHAnsi" w:hAnsiTheme="minorHAnsi" w:cstheme="minorHAnsi"/>
                <w:bCs/>
                <w:color w:val="000000"/>
                <w:sz w:val="18"/>
                <w:szCs w:val="18"/>
              </w:rPr>
            </w:pPr>
            <w:r>
              <w:rPr>
                <w:rFonts w:asciiTheme="minorHAnsi" w:hAnsiTheme="minorHAnsi" w:cstheme="minorHAnsi"/>
                <w:bCs/>
                <w:color w:val="000000"/>
                <w:sz w:val="18"/>
                <w:szCs w:val="18"/>
              </w:rPr>
              <w:t>TRIGLYCERIDES – MEDIUM CHAIN</w:t>
            </w:r>
            <w:r>
              <w:rPr>
                <w:rFonts w:asciiTheme="minorHAnsi" w:hAnsiTheme="minorHAnsi" w:cstheme="minorHAnsi"/>
                <w:bCs/>
                <w:color w:val="000000"/>
                <w:sz w:val="18"/>
                <w:szCs w:val="18"/>
              </w:rPr>
              <w:br/>
            </w:r>
            <w:r>
              <w:rPr>
                <w:rFonts w:asciiTheme="minorHAnsi" w:hAnsiTheme="minorHAnsi" w:cstheme="minorHAnsi"/>
                <w:bCs/>
                <w:color w:val="000000"/>
                <w:sz w:val="18"/>
                <w:szCs w:val="18"/>
              </w:rPr>
              <w:br/>
              <w:t xml:space="preserve">Oil </w:t>
            </w:r>
            <w:r w:rsidR="001C44B5">
              <w:rPr>
                <w:rFonts w:asciiTheme="minorHAnsi" w:hAnsiTheme="minorHAnsi" w:cstheme="minorHAnsi"/>
                <w:bCs/>
                <w:color w:val="000000"/>
                <w:sz w:val="18"/>
                <w:szCs w:val="18"/>
              </w:rPr>
              <w:t>500 mL</w:t>
            </w:r>
            <w:r w:rsidR="001C44B5">
              <w:rPr>
                <w:rFonts w:asciiTheme="minorHAnsi" w:hAnsiTheme="minorHAnsi" w:cstheme="minorHAnsi"/>
                <w:bCs/>
                <w:color w:val="000000"/>
                <w:sz w:val="18"/>
                <w:szCs w:val="18"/>
              </w:rPr>
              <w:br/>
            </w:r>
            <w:r w:rsidR="001C44B5">
              <w:rPr>
                <w:rFonts w:asciiTheme="minorHAnsi" w:hAnsiTheme="minorHAnsi" w:cstheme="minorHAnsi"/>
                <w:bCs/>
                <w:color w:val="000000"/>
                <w:sz w:val="18"/>
                <w:szCs w:val="18"/>
              </w:rPr>
              <w:br/>
              <w:t>MCT Oil</w:t>
            </w:r>
            <w:r w:rsidR="001C44B5">
              <w:rPr>
                <w:rFonts w:asciiTheme="minorHAnsi" w:hAnsiTheme="minorHAnsi" w:cstheme="minorHAnsi"/>
                <w:bCs/>
                <w:color w:val="000000"/>
                <w:sz w:val="18"/>
                <w:szCs w:val="18"/>
              </w:rPr>
              <w:br/>
            </w:r>
            <w:r w:rsidR="001C44B5">
              <w:rPr>
                <w:rFonts w:asciiTheme="minorHAnsi" w:hAnsiTheme="minorHAnsi" w:cstheme="minorHAnsi"/>
                <w:bCs/>
                <w:color w:val="000000"/>
                <w:sz w:val="18"/>
                <w:szCs w:val="18"/>
              </w:rPr>
              <w:br/>
              <w:t>NUTRICIA AUSTRALIA PTY LIMITED</w:t>
            </w:r>
          </w:p>
          <w:p w14:paraId="29662AA4" w14:textId="77777777" w:rsidR="001C44B5" w:rsidRDefault="001C44B5" w:rsidP="00DC3166">
            <w:pPr>
              <w:jc w:val="center"/>
              <w:rPr>
                <w:rFonts w:asciiTheme="minorHAnsi" w:hAnsiTheme="minorHAnsi" w:cstheme="minorHAnsi"/>
                <w:bCs/>
                <w:color w:val="000000"/>
                <w:sz w:val="18"/>
                <w:szCs w:val="18"/>
              </w:rPr>
            </w:pPr>
          </w:p>
          <w:p w14:paraId="7632E39A" w14:textId="638FB55D" w:rsidR="001C44B5" w:rsidRPr="00030C95" w:rsidRDefault="001C44B5" w:rsidP="00DC3166">
            <w:pPr>
              <w:jc w:val="center"/>
              <w:rPr>
                <w:rFonts w:asciiTheme="minorHAnsi" w:hAnsiTheme="minorHAnsi" w:cstheme="minorHAnsi"/>
                <w:bCs/>
                <w:color w:val="000000"/>
                <w:sz w:val="18"/>
                <w:szCs w:val="18"/>
              </w:rPr>
            </w:pPr>
            <w:r>
              <w:rPr>
                <w:rFonts w:asciiTheme="minorHAnsi" w:hAnsiTheme="minorHAnsi" w:cstheme="minorHAnsi"/>
                <w:bCs/>
                <w:color w:val="000000"/>
                <w:sz w:val="18"/>
                <w:szCs w:val="18"/>
              </w:rPr>
              <w:t>Category 4</w:t>
            </w:r>
            <w:r>
              <w:rPr>
                <w:rFonts w:asciiTheme="minorHAnsi" w:hAnsiTheme="minorHAnsi" w:cstheme="minorHAnsi"/>
                <w:bCs/>
                <w:color w:val="000000"/>
                <w:sz w:val="18"/>
                <w:szCs w:val="18"/>
              </w:rPr>
              <w:br/>
              <w:t>(Change to existing listing)</w:t>
            </w:r>
          </w:p>
        </w:tc>
        <w:tc>
          <w:tcPr>
            <w:tcW w:w="27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519229" w14:textId="794E35A6" w:rsidR="009A0551" w:rsidRPr="009A0551" w:rsidRDefault="009A0551" w:rsidP="009A0551">
            <w:pPr>
              <w:jc w:val="center"/>
              <w:rPr>
                <w:rFonts w:asciiTheme="minorHAnsi" w:hAnsiTheme="minorHAnsi" w:cstheme="minorHAnsi"/>
                <w:color w:val="000000"/>
                <w:sz w:val="18"/>
                <w:szCs w:val="18"/>
              </w:rPr>
            </w:pPr>
            <w:r w:rsidRPr="009A0551">
              <w:rPr>
                <w:rFonts w:asciiTheme="minorHAnsi" w:hAnsiTheme="minorHAnsi" w:cstheme="minorHAnsi"/>
                <w:color w:val="000000"/>
                <w:sz w:val="18"/>
                <w:szCs w:val="18"/>
              </w:rPr>
              <w:t>Chylous ascites</w:t>
            </w:r>
          </w:p>
          <w:p w14:paraId="4D61024A" w14:textId="77777777" w:rsidR="009A0551" w:rsidRPr="009A0551" w:rsidRDefault="009A0551" w:rsidP="009A0551">
            <w:pPr>
              <w:jc w:val="center"/>
              <w:rPr>
                <w:rFonts w:asciiTheme="minorHAnsi" w:hAnsiTheme="minorHAnsi" w:cstheme="minorHAnsi"/>
                <w:color w:val="000000"/>
                <w:sz w:val="18"/>
                <w:szCs w:val="18"/>
              </w:rPr>
            </w:pPr>
            <w:r w:rsidRPr="009A0551">
              <w:rPr>
                <w:rFonts w:asciiTheme="minorHAnsi" w:hAnsiTheme="minorHAnsi" w:cstheme="minorHAnsi"/>
                <w:color w:val="000000"/>
                <w:sz w:val="18"/>
                <w:szCs w:val="18"/>
              </w:rPr>
              <w:t>Chylothorax</w:t>
            </w:r>
          </w:p>
          <w:p w14:paraId="1DA1B118" w14:textId="77777777" w:rsidR="009A0551" w:rsidRPr="009A0551" w:rsidRDefault="009A0551" w:rsidP="009A0551">
            <w:pPr>
              <w:jc w:val="center"/>
              <w:rPr>
                <w:rFonts w:asciiTheme="minorHAnsi" w:hAnsiTheme="minorHAnsi" w:cstheme="minorHAnsi"/>
                <w:color w:val="000000"/>
                <w:sz w:val="18"/>
                <w:szCs w:val="18"/>
              </w:rPr>
            </w:pPr>
            <w:r w:rsidRPr="009A0551">
              <w:rPr>
                <w:rFonts w:asciiTheme="minorHAnsi" w:hAnsiTheme="minorHAnsi" w:cstheme="minorHAnsi"/>
                <w:color w:val="000000"/>
                <w:sz w:val="18"/>
                <w:szCs w:val="18"/>
              </w:rPr>
              <w:t>Fat malabsorption</w:t>
            </w:r>
          </w:p>
          <w:p w14:paraId="5F13A1E2" w14:textId="77777777" w:rsidR="009A0551" w:rsidRPr="009A0551" w:rsidRDefault="009A0551" w:rsidP="009A0551">
            <w:pPr>
              <w:jc w:val="center"/>
              <w:rPr>
                <w:rFonts w:asciiTheme="minorHAnsi" w:hAnsiTheme="minorHAnsi" w:cstheme="minorHAnsi"/>
                <w:color w:val="000000"/>
                <w:sz w:val="18"/>
                <w:szCs w:val="18"/>
              </w:rPr>
            </w:pPr>
            <w:proofErr w:type="spellStart"/>
            <w:r w:rsidRPr="009A0551">
              <w:rPr>
                <w:rFonts w:asciiTheme="minorHAnsi" w:hAnsiTheme="minorHAnsi" w:cstheme="minorHAnsi"/>
                <w:color w:val="000000"/>
                <w:sz w:val="18"/>
                <w:szCs w:val="18"/>
              </w:rPr>
              <w:t>Hyperlipoproteinaemia</w:t>
            </w:r>
            <w:proofErr w:type="spellEnd"/>
            <w:r w:rsidRPr="009A0551">
              <w:rPr>
                <w:rFonts w:asciiTheme="minorHAnsi" w:hAnsiTheme="minorHAnsi" w:cstheme="minorHAnsi"/>
                <w:color w:val="000000"/>
                <w:sz w:val="18"/>
                <w:szCs w:val="18"/>
              </w:rPr>
              <w:t xml:space="preserve"> type 1</w:t>
            </w:r>
          </w:p>
          <w:p w14:paraId="0F3655D6" w14:textId="77777777" w:rsidR="009A0551" w:rsidRPr="009A0551" w:rsidRDefault="009A0551" w:rsidP="009A0551">
            <w:pPr>
              <w:jc w:val="center"/>
              <w:rPr>
                <w:rFonts w:asciiTheme="minorHAnsi" w:hAnsiTheme="minorHAnsi" w:cstheme="minorHAnsi"/>
                <w:color w:val="000000"/>
                <w:sz w:val="18"/>
                <w:szCs w:val="18"/>
              </w:rPr>
            </w:pPr>
            <w:r w:rsidRPr="009A0551">
              <w:rPr>
                <w:rFonts w:asciiTheme="minorHAnsi" w:hAnsiTheme="minorHAnsi" w:cstheme="minorHAnsi"/>
                <w:color w:val="000000"/>
                <w:sz w:val="18"/>
                <w:szCs w:val="18"/>
              </w:rPr>
              <w:t>Intractable childhood epilepsy</w:t>
            </w:r>
          </w:p>
          <w:p w14:paraId="3287BA73" w14:textId="77777777" w:rsidR="009A0551" w:rsidRPr="009A0551" w:rsidRDefault="009A0551" w:rsidP="009A0551">
            <w:pPr>
              <w:jc w:val="center"/>
              <w:rPr>
                <w:rFonts w:asciiTheme="minorHAnsi" w:hAnsiTheme="minorHAnsi" w:cstheme="minorHAnsi"/>
                <w:color w:val="000000"/>
                <w:sz w:val="18"/>
                <w:szCs w:val="18"/>
              </w:rPr>
            </w:pPr>
            <w:r w:rsidRPr="009A0551">
              <w:rPr>
                <w:rFonts w:asciiTheme="minorHAnsi" w:hAnsiTheme="minorHAnsi" w:cstheme="minorHAnsi"/>
                <w:color w:val="000000"/>
                <w:sz w:val="18"/>
                <w:szCs w:val="18"/>
              </w:rPr>
              <w:t>Cerebrospinal fluid glucose transporter defect</w:t>
            </w:r>
          </w:p>
          <w:p w14:paraId="19528070" w14:textId="4B1ED7EB" w:rsidR="001123B7" w:rsidRPr="00307ADA" w:rsidRDefault="009A0551" w:rsidP="009A0551">
            <w:pPr>
              <w:jc w:val="center"/>
              <w:rPr>
                <w:rFonts w:asciiTheme="minorHAnsi" w:hAnsiTheme="minorHAnsi" w:cstheme="minorHAnsi"/>
                <w:color w:val="000000"/>
                <w:sz w:val="18"/>
                <w:szCs w:val="18"/>
              </w:rPr>
            </w:pPr>
            <w:r w:rsidRPr="009A0551">
              <w:rPr>
                <w:rFonts w:asciiTheme="minorHAnsi" w:hAnsiTheme="minorHAnsi" w:cstheme="minorHAnsi"/>
                <w:color w:val="000000"/>
                <w:sz w:val="18"/>
                <w:szCs w:val="18"/>
              </w:rPr>
              <w:t>Long chain fatty acid oxidation disorders</w:t>
            </w:r>
          </w:p>
        </w:tc>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1BA97FC1" w14:textId="77777777" w:rsidR="00CB26F0" w:rsidRDefault="00CB26F0" w:rsidP="00DC3166">
            <w:pPr>
              <w:jc w:val="center"/>
              <w:rPr>
                <w:rFonts w:asciiTheme="minorHAnsi" w:hAnsiTheme="minorHAnsi" w:cstheme="minorHAnsi"/>
                <w:color w:val="000000"/>
                <w:sz w:val="18"/>
                <w:szCs w:val="18"/>
              </w:rPr>
            </w:pPr>
          </w:p>
          <w:p w14:paraId="46B05E9E" w14:textId="77777777" w:rsidR="00CB26F0" w:rsidRDefault="00CB26F0" w:rsidP="00DC3166">
            <w:pPr>
              <w:jc w:val="center"/>
              <w:rPr>
                <w:rFonts w:asciiTheme="minorHAnsi" w:hAnsiTheme="minorHAnsi" w:cstheme="minorHAnsi"/>
                <w:color w:val="000000"/>
                <w:sz w:val="18"/>
                <w:szCs w:val="18"/>
              </w:rPr>
            </w:pPr>
          </w:p>
          <w:p w14:paraId="3A6D3888" w14:textId="77777777" w:rsidR="00CB26F0" w:rsidRDefault="00CB26F0" w:rsidP="00DC3166">
            <w:pPr>
              <w:jc w:val="center"/>
              <w:rPr>
                <w:rFonts w:asciiTheme="minorHAnsi" w:hAnsiTheme="minorHAnsi" w:cstheme="minorHAnsi"/>
                <w:color w:val="000000"/>
                <w:sz w:val="18"/>
                <w:szCs w:val="18"/>
              </w:rPr>
            </w:pPr>
          </w:p>
          <w:p w14:paraId="1BCB3F80" w14:textId="772AA79D" w:rsidR="001123B7" w:rsidRDefault="009A0551" w:rsidP="00DC3166">
            <w:pPr>
              <w:jc w:val="center"/>
              <w:rPr>
                <w:rFonts w:asciiTheme="minorHAnsi" w:hAnsiTheme="minorHAnsi" w:cstheme="minorHAnsi"/>
                <w:color w:val="000000"/>
                <w:sz w:val="18"/>
                <w:szCs w:val="18"/>
              </w:rPr>
            </w:pPr>
            <w:r w:rsidRPr="009A0551">
              <w:rPr>
                <w:rFonts w:asciiTheme="minorHAnsi" w:hAnsiTheme="minorHAnsi" w:cstheme="minorHAnsi"/>
                <w:color w:val="000000"/>
                <w:sz w:val="18"/>
                <w:szCs w:val="18"/>
              </w:rPr>
              <w:t>To request an increase in the maximum quantity of MCT Oil for all PBS-listed indications.</w:t>
            </w:r>
          </w:p>
          <w:p w14:paraId="11DA2148" w14:textId="77777777" w:rsidR="009A0551" w:rsidRDefault="009A0551" w:rsidP="009A0551">
            <w:pPr>
              <w:rPr>
                <w:rFonts w:asciiTheme="minorHAnsi" w:hAnsiTheme="minorHAnsi" w:cstheme="minorHAnsi"/>
                <w:color w:val="000000"/>
                <w:sz w:val="18"/>
                <w:szCs w:val="18"/>
              </w:rPr>
            </w:pPr>
          </w:p>
          <w:p w14:paraId="1CA5CCFC" w14:textId="77777777" w:rsidR="009A0551" w:rsidRDefault="009A0551" w:rsidP="009A0551">
            <w:pPr>
              <w:rPr>
                <w:rFonts w:asciiTheme="minorHAnsi" w:hAnsiTheme="minorHAnsi" w:cstheme="minorHAnsi"/>
                <w:color w:val="000000"/>
                <w:sz w:val="18"/>
                <w:szCs w:val="18"/>
              </w:rPr>
            </w:pPr>
          </w:p>
          <w:p w14:paraId="14041CC9" w14:textId="77777777" w:rsidR="009A0551" w:rsidRDefault="009A0551" w:rsidP="009A0551">
            <w:pPr>
              <w:rPr>
                <w:rFonts w:asciiTheme="minorHAnsi" w:hAnsiTheme="minorHAnsi" w:cstheme="minorHAnsi"/>
                <w:color w:val="000000"/>
                <w:sz w:val="18"/>
                <w:szCs w:val="18"/>
              </w:rPr>
            </w:pPr>
          </w:p>
          <w:p w14:paraId="0D15F4F9" w14:textId="77777777" w:rsidR="009A0551" w:rsidRPr="009A0551" w:rsidRDefault="009A0551" w:rsidP="009A0551">
            <w:pPr>
              <w:rPr>
                <w:rFonts w:asciiTheme="minorHAnsi" w:hAnsiTheme="minorHAnsi" w:cstheme="minorHAnsi"/>
                <w:sz w:val="18"/>
                <w:szCs w:val="18"/>
              </w:rPr>
            </w:pPr>
          </w:p>
        </w:tc>
        <w:tc>
          <w:tcPr>
            <w:tcW w:w="1584" w:type="dxa"/>
            <w:shd w:val="clear" w:color="auto" w:fill="D9D9D9" w:themeFill="background1" w:themeFillShade="D9"/>
            <w:vAlign w:val="center"/>
          </w:tcPr>
          <w:p w14:paraId="1E63B559" w14:textId="1EA20E41" w:rsidR="001123B7" w:rsidRPr="00FD72B4" w:rsidRDefault="009A0551" w:rsidP="00DC3166">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Not applicable</w:t>
            </w:r>
          </w:p>
        </w:tc>
        <w:tc>
          <w:tcPr>
            <w:tcW w:w="4836" w:type="dxa"/>
            <w:shd w:val="clear" w:color="auto" w:fill="D9D9D9" w:themeFill="background1" w:themeFillShade="D9"/>
            <w:vAlign w:val="center"/>
          </w:tcPr>
          <w:p w14:paraId="7230D658" w14:textId="2C9D9CF6" w:rsidR="001123B7" w:rsidRPr="00A753B8" w:rsidRDefault="009A0551" w:rsidP="00DC3166">
            <w:pPr>
              <w:rPr>
                <w:rFonts w:ascii="Calibri" w:eastAsia="Calibri" w:hAnsi="Calibri" w:cs="Arial"/>
                <w:bCs/>
                <w:sz w:val="18"/>
                <w:szCs w:val="18"/>
                <w:lang w:val="en-GB"/>
              </w:rPr>
            </w:pPr>
            <w:r>
              <w:rPr>
                <w:rFonts w:ascii="Calibri" w:eastAsia="Calibri" w:hAnsi="Calibri" w:cs="Arial"/>
                <w:bCs/>
                <w:sz w:val="18"/>
                <w:szCs w:val="18"/>
                <w:lang w:val="en-GB"/>
              </w:rPr>
              <w:t xml:space="preserve">This item was withdrawn. </w:t>
            </w:r>
          </w:p>
        </w:tc>
      </w:tr>
      <w:tr w:rsidR="00226D73" w:rsidRPr="008059F4" w:rsidDel="008F66B5" w14:paraId="1058D71E" w14:textId="77777777" w:rsidTr="001C63B0">
        <w:trPr>
          <w:cantSplit/>
          <w:trHeight w:val="2016"/>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D5CD1C3" w14:textId="4D0C1B0C" w:rsidR="00226D73" w:rsidRPr="006A5A05" w:rsidRDefault="00226D73" w:rsidP="00DC3166">
            <w:pPr>
              <w:jc w:val="center"/>
              <w:rPr>
                <w:rFonts w:asciiTheme="minorHAnsi" w:eastAsia="Calibri" w:hAnsiTheme="minorHAnsi" w:cstheme="minorHAnsi"/>
                <w:color w:val="000000" w:themeColor="text1"/>
                <w:sz w:val="18"/>
                <w:szCs w:val="18"/>
              </w:rPr>
            </w:pPr>
            <w:r w:rsidRPr="00F657EC">
              <w:rPr>
                <w:rFonts w:asciiTheme="minorHAnsi" w:hAnsiTheme="minorHAnsi" w:cstheme="minorHAnsi"/>
                <w:color w:val="000000"/>
                <w:sz w:val="18"/>
                <w:szCs w:val="18"/>
              </w:rPr>
              <w:t>VANZACAFTOR WITH TEZACAFTOR AND WITH DEUTIVACAFTOR</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Pack containing 84 tablets vanzacaftor 4 mg with tezacaftor 20 mg and with deutivacaftor 50 mg</w:t>
            </w:r>
            <w:r w:rsidRPr="006A5A05">
              <w:rPr>
                <w:rFonts w:asciiTheme="minorHAnsi" w:hAnsiTheme="minorHAnsi" w:cstheme="minorHAnsi"/>
                <w:color w:val="000000"/>
                <w:sz w:val="18"/>
                <w:szCs w:val="18"/>
              </w:rPr>
              <w:br/>
              <w:t>Pack containing 56 tablet vanzacaftor 10 mg with tezacaftor 50 mg and with deutivacaftor 125 mg</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Alyftrek</w:t>
            </w:r>
            <w:r w:rsidRPr="006A5A05">
              <w:rPr>
                <w:rFonts w:asciiTheme="minorHAnsi" w:hAnsiTheme="minorHAnsi" w:cstheme="minorHAnsi"/>
                <w:color w:val="000000"/>
                <w:sz w:val="18"/>
                <w:szCs w:val="18"/>
                <w:vertAlign w:val="superscript"/>
              </w:rPr>
              <w:t>®</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VERTEX PHARMACEUTICALS PTY LTD</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r>
            <w:r w:rsidRPr="006A5A05">
              <w:rPr>
                <w:rFonts w:asciiTheme="minorHAnsi" w:eastAsia="Calibri" w:hAnsiTheme="minorHAnsi" w:cstheme="minorHAnsi"/>
                <w:color w:val="000000" w:themeColor="text1"/>
                <w:sz w:val="18"/>
                <w:szCs w:val="18"/>
              </w:rPr>
              <w:t xml:space="preserve">Category </w:t>
            </w:r>
            <w:r>
              <w:rPr>
                <w:rFonts w:asciiTheme="minorHAnsi" w:eastAsia="Calibri" w:hAnsiTheme="minorHAnsi" w:cstheme="minorHAnsi"/>
                <w:color w:val="000000" w:themeColor="text1"/>
                <w:sz w:val="18"/>
                <w:szCs w:val="18"/>
              </w:rPr>
              <w:t>2</w:t>
            </w:r>
          </w:p>
          <w:p w14:paraId="409DC759" w14:textId="0DB59AB5" w:rsidR="00226D73" w:rsidRPr="006A5A05" w:rsidRDefault="00226D73"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vAlign w:val="center"/>
          </w:tcPr>
          <w:p w14:paraId="7FF57E8A" w14:textId="49B17F05" w:rsidR="00226D73" w:rsidRPr="006A5A05" w:rsidRDefault="00226D73"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Cystic fibrosis</w:t>
            </w:r>
          </w:p>
        </w:tc>
        <w:tc>
          <w:tcPr>
            <w:tcW w:w="29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80472D7" w14:textId="53BE618F" w:rsidR="00226D73" w:rsidRPr="006A5A05" w:rsidRDefault="00226D73"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To request a Section 100 (Highly Specialised Drugs Program) Authority Required (Written) listing for the treatment of cystic fibrosis in patients who are aged 6 years and older and who have at least one F508del mutation or another responsive mutation in the cystic fibrosis transmembrane conductance regulator (CFTR) gene.</w:t>
            </w:r>
          </w:p>
        </w:tc>
        <w:tc>
          <w:tcPr>
            <w:tcW w:w="1584" w:type="dxa"/>
            <w:vAlign w:val="center"/>
          </w:tcPr>
          <w:p w14:paraId="2DB65B94" w14:textId="30CA07F6" w:rsidR="00226D73" w:rsidRPr="006A5A05" w:rsidDel="008F66B5" w:rsidRDefault="00AE5F8A" w:rsidP="00DC3166">
            <w:pPr>
              <w:pStyle w:val="ListParagraph"/>
              <w:keepLines/>
              <w:ind w:left="0"/>
              <w:jc w:val="center"/>
              <w:rPr>
                <w:rFonts w:asciiTheme="minorHAnsi" w:hAnsiTheme="minorHAnsi" w:cstheme="minorHAnsi"/>
                <w:color w:val="000000"/>
                <w:sz w:val="18"/>
                <w:szCs w:val="18"/>
              </w:rPr>
            </w:pPr>
            <w:r w:rsidRPr="00AE5F8A">
              <w:rPr>
                <w:rFonts w:asciiTheme="minorHAnsi" w:hAnsiTheme="minorHAnsi" w:cstheme="minorHAnsi"/>
                <w:color w:val="000000"/>
                <w:sz w:val="18"/>
                <w:szCs w:val="18"/>
              </w:rPr>
              <w:t>Deferred</w:t>
            </w:r>
          </w:p>
        </w:tc>
        <w:tc>
          <w:tcPr>
            <w:tcW w:w="4836" w:type="dxa"/>
            <w:vAlign w:val="center"/>
          </w:tcPr>
          <w:p w14:paraId="1F979654" w14:textId="77777777" w:rsidR="00CF065D" w:rsidRPr="00562024" w:rsidRDefault="00CF065D" w:rsidP="00CF065D">
            <w:pPr>
              <w:jc w:val="both"/>
              <w:rPr>
                <w:rFonts w:ascii="Calibri" w:hAnsi="Calibri" w:cs="Calibri"/>
                <w:color w:val="000000"/>
                <w:sz w:val="18"/>
                <w:szCs w:val="18"/>
              </w:rPr>
            </w:pPr>
            <w:r w:rsidRPr="00562024">
              <w:rPr>
                <w:rFonts w:ascii="Calibri" w:hAnsi="Calibri" w:cs="Calibri"/>
                <w:color w:val="000000"/>
                <w:sz w:val="18"/>
                <w:szCs w:val="18"/>
              </w:rPr>
              <w:t xml:space="preserve">The PBAC deferred making a recommendation for vanzacaftor, tezacaftor and deutivacaftor (VNZ/TEZ/D-IVA) for the treatment of cystic fibrosis in patients aged 6 years and older who have at least one mutation in the CFTR gene that is responsive to VNZ/TEZ/D-IVA based on clinical and/or in vitro assay data. The PBAC was of a mind to recommend VNZ/TEZ/D-IVA on receipt of the Therapeutic Goods Administration Delegate’s Overview which was not available at the time of PBAC consideration. </w:t>
            </w:r>
          </w:p>
          <w:p w14:paraId="156ED149" w14:textId="77777777" w:rsidR="00CF065D" w:rsidRPr="00562024" w:rsidRDefault="00CF065D" w:rsidP="00CF065D">
            <w:pPr>
              <w:jc w:val="both"/>
              <w:rPr>
                <w:rFonts w:ascii="Calibri" w:hAnsi="Calibri" w:cs="Calibri"/>
                <w:color w:val="000000"/>
                <w:sz w:val="18"/>
                <w:szCs w:val="18"/>
              </w:rPr>
            </w:pPr>
          </w:p>
          <w:p w14:paraId="575F9CE8" w14:textId="77777777" w:rsidR="00CF065D" w:rsidRPr="00562024" w:rsidRDefault="00CF065D" w:rsidP="00CF065D">
            <w:pPr>
              <w:jc w:val="both"/>
              <w:rPr>
                <w:rFonts w:ascii="Calibri" w:hAnsi="Calibri" w:cs="Calibri"/>
                <w:color w:val="000000"/>
                <w:sz w:val="18"/>
                <w:szCs w:val="18"/>
              </w:rPr>
            </w:pPr>
            <w:r w:rsidRPr="00562024">
              <w:rPr>
                <w:rFonts w:ascii="Calibri" w:hAnsi="Calibri" w:cs="Calibri"/>
                <w:color w:val="000000"/>
                <w:sz w:val="18"/>
                <w:szCs w:val="18"/>
              </w:rPr>
              <w:t xml:space="preserve">The PBAC welcomed input from clinicians and consumers. The PBAC acknowledged there was strong support for the listing of this medicine. The PBAC noted consumer comments that VNZ/TEZ/D-IVA would provide a once daily treatment option for patients with responsive mutations.  Additionally, the PBAC noted VNZ/TEZ/D-IVA would provide access to a CFTR modulator for a small number of patients (&lt;10) who have mutations that do not respond to elexacaftor, tezacaftor and ivacaftor (ELX/TEZ/IVA).   </w:t>
            </w:r>
          </w:p>
          <w:p w14:paraId="0A1363C0" w14:textId="77777777" w:rsidR="00CF065D" w:rsidRPr="00562024" w:rsidRDefault="00CF065D" w:rsidP="00CF065D">
            <w:pPr>
              <w:jc w:val="both"/>
              <w:rPr>
                <w:rFonts w:ascii="Calibri" w:hAnsi="Calibri" w:cs="Calibri"/>
                <w:color w:val="000000"/>
                <w:sz w:val="18"/>
                <w:szCs w:val="18"/>
              </w:rPr>
            </w:pPr>
          </w:p>
          <w:p w14:paraId="24E66CB5" w14:textId="77777777" w:rsidR="00CF065D" w:rsidRPr="00562024" w:rsidRDefault="00CF065D" w:rsidP="00CF065D">
            <w:pPr>
              <w:jc w:val="both"/>
              <w:rPr>
                <w:rFonts w:ascii="Calibri" w:hAnsi="Calibri" w:cs="Calibri"/>
                <w:color w:val="000000"/>
                <w:sz w:val="18"/>
                <w:szCs w:val="18"/>
              </w:rPr>
            </w:pPr>
            <w:r w:rsidRPr="00562024">
              <w:rPr>
                <w:rFonts w:ascii="Calibri" w:hAnsi="Calibri" w:cs="Calibri"/>
                <w:color w:val="000000"/>
                <w:sz w:val="18"/>
                <w:szCs w:val="18"/>
              </w:rPr>
              <w:t>The PBAC considered VNZ/TEZ/D-IVA was as effective and safe as ELX/TEZ/IVA. The PBAC noted the submission requested the same price as ELX/TEZ/IVA and considered this was reasonable. The PBAC considered that VNZ/TEZ/D-IVA could be included in the risk sharing arrangement currently in place for CFTR modulators with no increase in expenditure caps.</w:t>
            </w:r>
          </w:p>
          <w:p w14:paraId="36E518D2" w14:textId="77777777" w:rsidR="00CF065D" w:rsidRPr="00562024" w:rsidRDefault="00CF065D" w:rsidP="00CF065D">
            <w:pPr>
              <w:jc w:val="both"/>
              <w:rPr>
                <w:rFonts w:ascii="Calibri" w:hAnsi="Calibri" w:cs="Calibri"/>
                <w:color w:val="000000"/>
                <w:sz w:val="18"/>
                <w:szCs w:val="18"/>
              </w:rPr>
            </w:pPr>
          </w:p>
          <w:p w14:paraId="0DF60B8E" w14:textId="77777777" w:rsidR="00CF065D" w:rsidRPr="00562024" w:rsidRDefault="00CF065D" w:rsidP="00CF065D">
            <w:pPr>
              <w:jc w:val="both"/>
              <w:rPr>
                <w:rFonts w:ascii="Calibri" w:hAnsi="Calibri" w:cs="Calibri"/>
                <w:color w:val="000000"/>
                <w:sz w:val="18"/>
                <w:szCs w:val="18"/>
                <w:u w:val="single"/>
              </w:rPr>
            </w:pPr>
            <w:r w:rsidRPr="00562024">
              <w:rPr>
                <w:rFonts w:ascii="Calibri" w:hAnsi="Calibri" w:cs="Calibri"/>
                <w:color w:val="000000"/>
                <w:sz w:val="18"/>
                <w:szCs w:val="18"/>
                <w:u w:val="single"/>
              </w:rPr>
              <w:t>Sponsor’s comment:</w:t>
            </w:r>
          </w:p>
          <w:p w14:paraId="47E3FC74" w14:textId="78E08755" w:rsidR="00226D73" w:rsidRPr="001C63B0" w:rsidDel="008F66B5" w:rsidRDefault="00A2551D" w:rsidP="00CF065D">
            <w:pPr>
              <w:jc w:val="both"/>
              <w:rPr>
                <w:rFonts w:asciiTheme="minorHAnsi" w:hAnsiTheme="minorHAnsi" w:cstheme="minorBidi"/>
                <w:color w:val="000000"/>
                <w:sz w:val="18"/>
                <w:szCs w:val="18"/>
              </w:rPr>
            </w:pPr>
            <w:r>
              <w:rPr>
                <w:rFonts w:asciiTheme="minorHAnsi" w:hAnsiTheme="minorHAnsi" w:cstheme="minorBidi"/>
                <w:color w:val="000000"/>
                <w:sz w:val="18"/>
                <w:szCs w:val="18"/>
              </w:rPr>
              <w:t>The sponsor had no comment.</w:t>
            </w:r>
          </w:p>
        </w:tc>
      </w:tr>
      <w:tr w:rsidR="00226D73" w:rsidRPr="008059F4" w:rsidDel="008F66B5" w14:paraId="4961F596" w14:textId="77777777" w:rsidTr="09589B60">
        <w:trPr>
          <w:cantSplit/>
          <w:trHeight w:val="2948"/>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174B6A4" w14:textId="13C9E324" w:rsidR="00226D73" w:rsidRPr="006A5A05" w:rsidRDefault="00226D73" w:rsidP="00DC3166">
            <w:pPr>
              <w:jc w:val="center"/>
              <w:rPr>
                <w:rFonts w:asciiTheme="minorHAnsi" w:eastAsia="Calibri" w:hAnsiTheme="minorHAnsi" w:cstheme="minorHAnsi"/>
                <w:color w:val="000000" w:themeColor="text1"/>
                <w:sz w:val="18"/>
                <w:szCs w:val="18"/>
              </w:rPr>
            </w:pPr>
            <w:r w:rsidRPr="00F657EC">
              <w:rPr>
                <w:rFonts w:asciiTheme="minorHAnsi" w:hAnsiTheme="minorHAnsi" w:cstheme="minorHAnsi"/>
                <w:color w:val="000000"/>
                <w:sz w:val="18"/>
                <w:szCs w:val="18"/>
              </w:rPr>
              <w:t>VELMANASE ALPHA</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Powder for I.V. infusion 10 mg</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Lamzede</w:t>
            </w:r>
            <w:r w:rsidRPr="006A5A05">
              <w:rPr>
                <w:rFonts w:asciiTheme="minorHAnsi" w:hAnsiTheme="minorHAnsi" w:cstheme="minorHAnsi"/>
                <w:color w:val="000000"/>
                <w:sz w:val="18"/>
                <w:szCs w:val="18"/>
                <w:vertAlign w:val="superscript"/>
              </w:rPr>
              <w:t>®</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CHIESI AUSTRALIA PTY LTD</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r>
            <w:r w:rsidRPr="006A5A05">
              <w:rPr>
                <w:rFonts w:asciiTheme="minorHAnsi" w:eastAsia="Calibri" w:hAnsiTheme="minorHAnsi" w:cstheme="minorHAnsi"/>
                <w:color w:val="000000" w:themeColor="text1"/>
                <w:sz w:val="18"/>
                <w:szCs w:val="18"/>
              </w:rPr>
              <w:t xml:space="preserve">Category </w:t>
            </w:r>
            <w:r>
              <w:rPr>
                <w:rFonts w:asciiTheme="minorHAnsi" w:eastAsia="Calibri" w:hAnsiTheme="minorHAnsi" w:cstheme="minorHAnsi"/>
                <w:color w:val="000000" w:themeColor="text1"/>
                <w:sz w:val="18"/>
                <w:szCs w:val="18"/>
              </w:rPr>
              <w:t>1</w:t>
            </w:r>
          </w:p>
          <w:p w14:paraId="6EC11EF5" w14:textId="427ABFC4" w:rsidR="00226D73" w:rsidRPr="006A5A05" w:rsidRDefault="00226D73"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vAlign w:val="center"/>
          </w:tcPr>
          <w:p w14:paraId="01CD7C8B" w14:textId="2DD8D7C1" w:rsidR="00226D73" w:rsidRPr="006A5A05" w:rsidRDefault="00226D73"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Alpha- mannosidosis</w:t>
            </w:r>
          </w:p>
        </w:tc>
        <w:tc>
          <w:tcPr>
            <w:tcW w:w="29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32F8463" w14:textId="529EB6D4" w:rsidR="00226D73" w:rsidRPr="006A5A05" w:rsidRDefault="00226D73"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To request a Section 100 (Highly Specialised Drugs Program) Authority Required (Written) listing as an enzyme replacement therapy for the treatment of non-neurological manifestations in patients with alpha-mannosidosis.</w:t>
            </w:r>
          </w:p>
        </w:tc>
        <w:tc>
          <w:tcPr>
            <w:tcW w:w="1584" w:type="dxa"/>
            <w:vAlign w:val="center"/>
          </w:tcPr>
          <w:p w14:paraId="10F6A409" w14:textId="283A720B" w:rsidR="00226D73" w:rsidRPr="006A5A05" w:rsidDel="008F66B5" w:rsidRDefault="00226D73" w:rsidP="00DC3166">
            <w:pPr>
              <w:pStyle w:val="ListParagraph"/>
              <w:keepLines/>
              <w:ind w:left="0"/>
              <w:jc w:val="center"/>
              <w:rPr>
                <w:rFonts w:asciiTheme="minorHAnsi" w:hAnsiTheme="minorHAnsi" w:cstheme="minorHAnsi"/>
                <w:color w:val="000000"/>
                <w:sz w:val="18"/>
                <w:szCs w:val="18"/>
              </w:rPr>
            </w:pPr>
            <w:r w:rsidRPr="002F7640">
              <w:rPr>
                <w:rFonts w:asciiTheme="minorHAnsi" w:hAnsiTheme="minorHAnsi" w:cstheme="minorHAnsi"/>
                <w:color w:val="000000"/>
                <w:sz w:val="18"/>
                <w:szCs w:val="18"/>
              </w:rPr>
              <w:t>Deferred</w:t>
            </w:r>
          </w:p>
        </w:tc>
        <w:tc>
          <w:tcPr>
            <w:tcW w:w="4836" w:type="dxa"/>
            <w:vAlign w:val="center"/>
          </w:tcPr>
          <w:p w14:paraId="32E87BBB" w14:textId="744A6C60" w:rsidR="0081715A" w:rsidRPr="00236410" w:rsidRDefault="0081715A" w:rsidP="00DC3166">
            <w:pPr>
              <w:widowControl w:val="0"/>
              <w:rPr>
                <w:rFonts w:asciiTheme="minorHAnsi" w:hAnsiTheme="minorHAnsi"/>
                <w:snapToGrid w:val="0"/>
                <w:sz w:val="18"/>
                <w:szCs w:val="18"/>
                <w:lang w:val="en-GB"/>
              </w:rPr>
            </w:pPr>
            <w:r w:rsidRPr="00236410">
              <w:rPr>
                <w:rFonts w:asciiTheme="minorHAnsi" w:hAnsiTheme="minorHAnsi"/>
                <w:snapToGrid w:val="0"/>
                <w:sz w:val="18"/>
                <w:szCs w:val="18"/>
                <w:lang w:val="en-GB"/>
              </w:rPr>
              <w:t xml:space="preserve">The PBAC deferred making a recommendation for the listing of velmanase alfa for the treatment of non-neurological symptoms of alpha-mannosidosis (AM) to seek further information from the </w:t>
            </w:r>
            <w:r w:rsidR="00C24A4F">
              <w:rPr>
                <w:rFonts w:asciiTheme="minorHAnsi" w:hAnsiTheme="minorHAnsi"/>
                <w:snapToGrid w:val="0"/>
                <w:sz w:val="18"/>
                <w:szCs w:val="18"/>
                <w:lang w:val="en-GB"/>
              </w:rPr>
              <w:t>s</w:t>
            </w:r>
            <w:r w:rsidRPr="00236410">
              <w:rPr>
                <w:rFonts w:asciiTheme="minorHAnsi" w:hAnsiTheme="minorHAnsi"/>
                <w:snapToGrid w:val="0"/>
                <w:sz w:val="18"/>
                <w:szCs w:val="18"/>
                <w:lang w:val="en-GB"/>
              </w:rPr>
              <w:t>ponsor about the benefits of treatment and associated cost</w:t>
            </w:r>
            <w:r w:rsidR="00B644DB">
              <w:rPr>
                <w:rFonts w:asciiTheme="minorHAnsi" w:hAnsiTheme="minorHAnsi"/>
                <w:snapToGrid w:val="0"/>
                <w:sz w:val="18"/>
                <w:szCs w:val="18"/>
                <w:lang w:val="en-GB"/>
              </w:rPr>
              <w:t>-</w:t>
            </w:r>
            <w:r w:rsidRPr="00236410">
              <w:rPr>
                <w:rFonts w:asciiTheme="minorHAnsi" w:hAnsiTheme="minorHAnsi"/>
                <w:snapToGrid w:val="0"/>
                <w:sz w:val="18"/>
                <w:szCs w:val="18"/>
                <w:lang w:val="en-GB"/>
              </w:rPr>
              <w:t xml:space="preserve">effectiveness and to further develop the </w:t>
            </w:r>
            <w:r w:rsidR="0052529D">
              <w:rPr>
                <w:rFonts w:asciiTheme="minorHAnsi" w:hAnsiTheme="minorHAnsi"/>
                <w:snapToGrid w:val="0"/>
                <w:sz w:val="18"/>
                <w:szCs w:val="18"/>
                <w:lang w:val="en-GB"/>
              </w:rPr>
              <w:t>eligibility criteria for a PBS listing</w:t>
            </w:r>
            <w:r w:rsidRPr="00236410">
              <w:rPr>
                <w:rFonts w:asciiTheme="minorHAnsi" w:hAnsiTheme="minorHAnsi"/>
                <w:snapToGrid w:val="0"/>
                <w:sz w:val="18"/>
                <w:szCs w:val="18"/>
                <w:lang w:val="en-GB"/>
              </w:rPr>
              <w:t>.</w:t>
            </w:r>
          </w:p>
          <w:p w14:paraId="1BDF7B98" w14:textId="53586693" w:rsidR="0081715A" w:rsidRPr="00236410" w:rsidRDefault="0081715A" w:rsidP="00DC3166">
            <w:pPr>
              <w:widowControl w:val="0"/>
              <w:rPr>
                <w:rFonts w:asciiTheme="minorHAnsi" w:hAnsiTheme="minorHAnsi"/>
                <w:snapToGrid w:val="0"/>
                <w:sz w:val="18"/>
                <w:szCs w:val="18"/>
                <w:lang w:val="en-GB"/>
              </w:rPr>
            </w:pPr>
          </w:p>
          <w:p w14:paraId="335A8D76" w14:textId="77777777" w:rsidR="0081715A" w:rsidRPr="00236410" w:rsidRDefault="0081715A" w:rsidP="00DC3166">
            <w:pPr>
              <w:widowControl w:val="0"/>
              <w:rPr>
                <w:rFonts w:asciiTheme="minorHAnsi" w:hAnsiTheme="minorHAnsi"/>
                <w:snapToGrid w:val="0"/>
                <w:sz w:val="18"/>
                <w:szCs w:val="18"/>
                <w:lang w:val="en-GB"/>
              </w:rPr>
            </w:pPr>
            <w:r w:rsidRPr="00236410">
              <w:rPr>
                <w:rFonts w:asciiTheme="minorHAnsi" w:hAnsiTheme="minorHAnsi"/>
                <w:sz w:val="18"/>
                <w:szCs w:val="18"/>
                <w:lang w:val="en-GB"/>
              </w:rPr>
              <w:t>The PBAC acknowledged that AM is an extremely rare and devastating genetic condition arising from issues with the alpha-mannosidase enzyme, leading to excess oligosaccharides (complex sugar molecules) throughout the body, with multi-systemic effects on patients. The Committee noted no effective pharmacological treatments for this disease are currently available in Australia. The PBAC noted that some patients receive haematopoietic stem cell transplant (HSCT), which comes with a high mortality risk and is therefore generally reserved for patients where the benefits are expected to outweigh the high risk. The PBAC noted that the current number of patients in Australia known to have AM is very low, noting that one child is born with the condition every 3-4 years. The PBAC noted that some of these patients will be considered for HSCT or might not be suitable for treatment with velmanase alfa.</w:t>
            </w:r>
          </w:p>
          <w:p w14:paraId="6213F053" w14:textId="714A2B6F" w:rsidR="0081715A" w:rsidRPr="00236410" w:rsidRDefault="0081715A" w:rsidP="00DC3166">
            <w:pPr>
              <w:widowControl w:val="0"/>
              <w:rPr>
                <w:rFonts w:asciiTheme="minorHAnsi" w:hAnsiTheme="minorHAnsi"/>
                <w:snapToGrid w:val="0"/>
                <w:sz w:val="18"/>
                <w:szCs w:val="18"/>
                <w:lang w:val="en-GB"/>
              </w:rPr>
            </w:pPr>
          </w:p>
          <w:p w14:paraId="33F1BC3D" w14:textId="09A25C22" w:rsidR="0081715A" w:rsidRPr="00236410" w:rsidRDefault="0081715A" w:rsidP="00DC3166">
            <w:pPr>
              <w:widowControl w:val="0"/>
              <w:rPr>
                <w:rFonts w:asciiTheme="minorHAnsi" w:hAnsiTheme="minorHAnsi"/>
                <w:snapToGrid w:val="0"/>
                <w:sz w:val="18"/>
                <w:szCs w:val="18"/>
                <w:lang w:val="en-GB"/>
              </w:rPr>
            </w:pPr>
            <w:r w:rsidRPr="00236410">
              <w:rPr>
                <w:rFonts w:asciiTheme="minorHAnsi" w:hAnsiTheme="minorHAnsi"/>
                <w:sz w:val="18"/>
                <w:szCs w:val="18"/>
                <w:lang w:val="en-GB"/>
              </w:rPr>
              <w:t xml:space="preserve">Whilst </w:t>
            </w:r>
            <w:r w:rsidR="0052529D">
              <w:rPr>
                <w:rFonts w:asciiTheme="minorHAnsi" w:hAnsiTheme="minorHAnsi"/>
                <w:sz w:val="18"/>
                <w:szCs w:val="18"/>
                <w:lang w:val="en-GB"/>
              </w:rPr>
              <w:t>the PBAC</w:t>
            </w:r>
            <w:r w:rsidR="0052529D" w:rsidRPr="00236410">
              <w:rPr>
                <w:rFonts w:asciiTheme="minorHAnsi" w:hAnsiTheme="minorHAnsi"/>
                <w:sz w:val="18"/>
                <w:szCs w:val="18"/>
                <w:lang w:val="en-GB"/>
              </w:rPr>
              <w:t xml:space="preserve"> </w:t>
            </w:r>
            <w:r w:rsidRPr="00236410">
              <w:rPr>
                <w:rFonts w:asciiTheme="minorHAnsi" w:hAnsiTheme="minorHAnsi"/>
                <w:sz w:val="18"/>
                <w:szCs w:val="18"/>
                <w:lang w:val="en-GB"/>
              </w:rPr>
              <w:t xml:space="preserve">accepted velmanase alfa is effective for reducing the level of oligosaccharides in the blood, the available data showed an uncertain association with the clinical and more patient-relevant outcomes studied in the trial, including walking distance, stair-climbing ability and lung capacity. However, the PBAC acknowledged reliable clinical data was difficult to obtain, given the rarity of disease and as most patients with AM are children. Therefore, the PBAC considered it would be helpful to receive additional information clarifying the clinical and patient-relevant benefits of treatment with velmanase alfa. </w:t>
            </w:r>
          </w:p>
          <w:p w14:paraId="7F3229E1" w14:textId="4A3E12F4" w:rsidR="0081715A" w:rsidRPr="00236410" w:rsidRDefault="0081715A" w:rsidP="00DC3166">
            <w:pPr>
              <w:widowControl w:val="0"/>
              <w:rPr>
                <w:rFonts w:asciiTheme="minorHAnsi" w:hAnsiTheme="minorHAnsi"/>
                <w:snapToGrid w:val="0"/>
                <w:sz w:val="18"/>
                <w:szCs w:val="18"/>
                <w:lang w:val="en-GB"/>
              </w:rPr>
            </w:pPr>
          </w:p>
          <w:p w14:paraId="60FF9E1F" w14:textId="7EA80DFD" w:rsidR="00226D73" w:rsidRPr="009675D7" w:rsidDel="008F66B5" w:rsidRDefault="0081715A" w:rsidP="00DC3166">
            <w:pPr>
              <w:widowControl w:val="0"/>
              <w:rPr>
                <w:rFonts w:asciiTheme="minorHAnsi" w:hAnsiTheme="minorHAnsi"/>
                <w:snapToGrid w:val="0"/>
                <w:sz w:val="18"/>
                <w:szCs w:val="18"/>
              </w:rPr>
            </w:pPr>
            <w:r w:rsidRPr="00236410">
              <w:rPr>
                <w:rFonts w:asciiTheme="minorHAnsi" w:hAnsiTheme="minorHAnsi"/>
                <w:sz w:val="18"/>
                <w:szCs w:val="18"/>
                <w:lang w:val="en-GB"/>
              </w:rPr>
              <w:t>The PBAC considered the uncertainty in the clinical information made the economic model presented in the submission difficult to interpret. Further, the PBAC considered that the velmanase alfa was not cost</w:t>
            </w:r>
            <w:r w:rsidR="0052529D">
              <w:rPr>
                <w:rFonts w:asciiTheme="minorHAnsi" w:hAnsiTheme="minorHAnsi"/>
                <w:sz w:val="18"/>
                <w:szCs w:val="18"/>
                <w:lang w:val="en-GB"/>
              </w:rPr>
              <w:t>-</w:t>
            </w:r>
            <w:r w:rsidRPr="00236410">
              <w:rPr>
                <w:rFonts w:asciiTheme="minorHAnsi" w:hAnsiTheme="minorHAnsi"/>
                <w:sz w:val="18"/>
                <w:szCs w:val="18"/>
                <w:lang w:val="en-GB"/>
              </w:rPr>
              <w:t xml:space="preserve">effective at the price </w:t>
            </w:r>
            <w:r w:rsidR="0052529D">
              <w:rPr>
                <w:rFonts w:asciiTheme="minorHAnsi" w:hAnsiTheme="minorHAnsi"/>
                <w:sz w:val="18"/>
                <w:szCs w:val="18"/>
                <w:lang w:val="en-GB"/>
              </w:rPr>
              <w:t>proposed</w:t>
            </w:r>
            <w:r w:rsidRPr="00236410">
              <w:rPr>
                <w:rFonts w:asciiTheme="minorHAnsi" w:hAnsiTheme="minorHAnsi"/>
                <w:sz w:val="18"/>
                <w:szCs w:val="18"/>
                <w:lang w:val="en-GB"/>
              </w:rPr>
              <w:t>.  In recognition of the rarity of the condition and the high need for effective therapies, the Committee considered velmanase alfa would be acceptably cost-effective with a price reduction that would result in an acceptable cost per patient per year, in line with other treatments for rare diseases funded on the PBS, accounting for clinical need, available evidence, range of the benefits and size of the patient population.</w:t>
            </w:r>
            <w:r w:rsidR="007865E2">
              <w:rPr>
                <w:rFonts w:asciiTheme="minorHAnsi" w:hAnsiTheme="minorHAnsi"/>
                <w:sz w:val="18"/>
                <w:szCs w:val="18"/>
                <w:lang w:val="en-GB"/>
              </w:rPr>
              <w:br/>
            </w:r>
            <w:r w:rsidR="007865E2">
              <w:rPr>
                <w:rFonts w:asciiTheme="minorHAnsi" w:hAnsiTheme="minorHAnsi"/>
                <w:snapToGrid w:val="0"/>
                <w:sz w:val="18"/>
                <w:szCs w:val="18"/>
                <w:lang w:val="en-GB"/>
              </w:rPr>
              <w:br/>
            </w:r>
            <w:r w:rsidR="007865E2" w:rsidRPr="00E157E5">
              <w:rPr>
                <w:rFonts w:asciiTheme="minorHAnsi" w:hAnsiTheme="minorHAnsi"/>
                <w:snapToGrid w:val="0"/>
                <w:sz w:val="18"/>
                <w:szCs w:val="18"/>
                <w:u w:val="single"/>
                <w:lang w:val="en-GB"/>
              </w:rPr>
              <w:t>Sponsor</w:t>
            </w:r>
            <w:r w:rsidR="00E157E5" w:rsidRPr="00E157E5">
              <w:rPr>
                <w:rFonts w:asciiTheme="minorHAnsi" w:hAnsiTheme="minorHAnsi"/>
                <w:snapToGrid w:val="0"/>
                <w:sz w:val="18"/>
                <w:szCs w:val="18"/>
                <w:u w:val="single"/>
                <w:lang w:val="en-GB"/>
              </w:rPr>
              <w:t>’s</w:t>
            </w:r>
            <w:r w:rsidR="007865E2" w:rsidRPr="00E157E5">
              <w:rPr>
                <w:rFonts w:asciiTheme="minorHAnsi" w:hAnsiTheme="minorHAnsi"/>
                <w:snapToGrid w:val="0"/>
                <w:sz w:val="18"/>
                <w:szCs w:val="18"/>
                <w:u w:val="single"/>
                <w:lang w:val="en-GB"/>
              </w:rPr>
              <w:t xml:space="preserve"> comment:</w:t>
            </w:r>
            <w:r w:rsidR="007865E2">
              <w:rPr>
                <w:rFonts w:asciiTheme="minorHAnsi" w:hAnsiTheme="minorHAnsi"/>
                <w:snapToGrid w:val="0"/>
                <w:sz w:val="18"/>
                <w:szCs w:val="18"/>
                <w:lang w:val="en-GB"/>
              </w:rPr>
              <w:br/>
            </w:r>
            <w:r w:rsidR="007865E2" w:rsidRPr="007865E2">
              <w:rPr>
                <w:rFonts w:asciiTheme="minorHAnsi" w:hAnsiTheme="minorHAnsi"/>
                <w:snapToGrid w:val="0"/>
                <w:sz w:val="18"/>
                <w:szCs w:val="18"/>
              </w:rPr>
              <w:t>We thank the PBAC for acknowledging the unmet need in ultra-rare diseases and taking a flexible, patient-</w:t>
            </w:r>
            <w:proofErr w:type="spellStart"/>
            <w:r w:rsidR="007865E2" w:rsidRPr="007865E2">
              <w:rPr>
                <w:rFonts w:asciiTheme="minorHAnsi" w:hAnsiTheme="minorHAnsi"/>
                <w:snapToGrid w:val="0"/>
                <w:sz w:val="18"/>
                <w:szCs w:val="18"/>
              </w:rPr>
              <w:t>centered</w:t>
            </w:r>
            <w:proofErr w:type="spellEnd"/>
            <w:r w:rsidR="007865E2" w:rsidRPr="007865E2">
              <w:rPr>
                <w:rFonts w:asciiTheme="minorHAnsi" w:hAnsiTheme="minorHAnsi"/>
                <w:snapToGrid w:val="0"/>
                <w:sz w:val="18"/>
                <w:szCs w:val="18"/>
              </w:rPr>
              <w:t xml:space="preserve"> approach to the assessment of velmanase alfa (Lamzede®). Chiesi Australia is committed to working with the Department of Health on a path forward that ensures patients, and their families are no longer left waiting. </w:t>
            </w:r>
          </w:p>
        </w:tc>
      </w:tr>
      <w:tr w:rsidR="00226D73" w:rsidRPr="008059F4" w:rsidDel="008F66B5" w14:paraId="36CD1FE9" w14:textId="77777777" w:rsidTr="09589B60">
        <w:trPr>
          <w:cantSplit/>
          <w:trHeight w:val="188"/>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1B666C7" w14:textId="3255165A" w:rsidR="00226D73" w:rsidRPr="006A5A05" w:rsidRDefault="00226D73" w:rsidP="00DC3166">
            <w:pPr>
              <w:jc w:val="center"/>
              <w:rPr>
                <w:rFonts w:asciiTheme="minorHAnsi" w:eastAsia="Calibri" w:hAnsiTheme="minorHAnsi" w:cstheme="minorHAnsi"/>
                <w:color w:val="000000" w:themeColor="text1"/>
                <w:sz w:val="18"/>
                <w:szCs w:val="18"/>
              </w:rPr>
            </w:pPr>
            <w:r w:rsidRPr="00F657EC">
              <w:rPr>
                <w:rFonts w:asciiTheme="minorHAnsi" w:hAnsiTheme="minorHAnsi" w:cstheme="minorHAnsi"/>
                <w:color w:val="000000"/>
                <w:sz w:val="18"/>
                <w:szCs w:val="18"/>
              </w:rPr>
              <w:t>VORASIDENIB</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Tablet 10 mg</w:t>
            </w:r>
            <w:r w:rsidRPr="006A5A05">
              <w:rPr>
                <w:rFonts w:asciiTheme="minorHAnsi" w:hAnsiTheme="minorHAnsi" w:cstheme="minorHAnsi"/>
                <w:color w:val="000000"/>
                <w:sz w:val="18"/>
                <w:szCs w:val="18"/>
              </w:rPr>
              <w:br/>
              <w:t>Tablet 40 mg</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r>
            <w:proofErr w:type="spellStart"/>
            <w:r w:rsidRPr="006A5A05">
              <w:rPr>
                <w:rFonts w:asciiTheme="minorHAnsi" w:hAnsiTheme="minorHAnsi" w:cstheme="minorHAnsi"/>
                <w:color w:val="000000"/>
                <w:sz w:val="18"/>
                <w:szCs w:val="18"/>
              </w:rPr>
              <w:t>Voranigo</w:t>
            </w:r>
            <w:proofErr w:type="spellEnd"/>
            <w:r w:rsidRPr="006A5A05">
              <w:rPr>
                <w:rFonts w:asciiTheme="minorHAnsi" w:hAnsiTheme="minorHAnsi" w:cstheme="minorHAnsi"/>
                <w:color w:val="000000"/>
                <w:sz w:val="18"/>
                <w:szCs w:val="18"/>
                <w:vertAlign w:val="superscript"/>
              </w:rPr>
              <w:t>®</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t>SERVIER LABORATORIES (AUST.) PTY. LTD.</w:t>
            </w:r>
            <w:r w:rsidRPr="006A5A05">
              <w:rPr>
                <w:rFonts w:asciiTheme="minorHAnsi" w:hAnsiTheme="minorHAnsi" w:cstheme="minorHAnsi"/>
                <w:color w:val="000000"/>
                <w:sz w:val="18"/>
                <w:szCs w:val="18"/>
              </w:rPr>
              <w:br/>
            </w:r>
            <w:r w:rsidRPr="006A5A05">
              <w:rPr>
                <w:rFonts w:asciiTheme="minorHAnsi" w:hAnsiTheme="minorHAnsi" w:cstheme="minorHAnsi"/>
                <w:color w:val="000000"/>
                <w:sz w:val="18"/>
                <w:szCs w:val="18"/>
              </w:rPr>
              <w:br/>
            </w:r>
            <w:r w:rsidRPr="006A5A05">
              <w:rPr>
                <w:rFonts w:asciiTheme="minorHAnsi" w:eastAsia="Calibri" w:hAnsiTheme="minorHAnsi" w:cstheme="minorHAnsi"/>
                <w:color w:val="000000" w:themeColor="text1"/>
                <w:sz w:val="18"/>
                <w:szCs w:val="18"/>
              </w:rPr>
              <w:t xml:space="preserve">Category </w:t>
            </w:r>
            <w:r>
              <w:rPr>
                <w:rFonts w:asciiTheme="minorHAnsi" w:eastAsia="Calibri" w:hAnsiTheme="minorHAnsi" w:cstheme="minorHAnsi"/>
                <w:color w:val="000000" w:themeColor="text1"/>
                <w:sz w:val="18"/>
                <w:szCs w:val="18"/>
              </w:rPr>
              <w:t xml:space="preserve">1 </w:t>
            </w:r>
          </w:p>
          <w:p w14:paraId="64DEA9C3" w14:textId="569D059F" w:rsidR="00226D73" w:rsidRPr="006A5A05" w:rsidRDefault="00226D73"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vAlign w:val="center"/>
          </w:tcPr>
          <w:p w14:paraId="4D23999F" w14:textId="7C1CDCE7" w:rsidR="00226D73" w:rsidRPr="006A5A05" w:rsidRDefault="00226D73"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Astrocytoma or oligodendroglioma</w:t>
            </w:r>
          </w:p>
        </w:tc>
        <w:tc>
          <w:tcPr>
            <w:tcW w:w="29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9C9454C" w14:textId="0EFC3228" w:rsidR="00226D73" w:rsidRPr="006A5A05" w:rsidRDefault="00226D73" w:rsidP="00DC3166">
            <w:pPr>
              <w:jc w:val="center"/>
              <w:rPr>
                <w:rFonts w:asciiTheme="minorHAnsi" w:hAnsiTheme="minorHAnsi" w:cstheme="minorHAnsi"/>
                <w:sz w:val="18"/>
                <w:szCs w:val="18"/>
              </w:rPr>
            </w:pPr>
            <w:r w:rsidRPr="006A5A05">
              <w:rPr>
                <w:rFonts w:asciiTheme="minorHAnsi" w:hAnsiTheme="minorHAnsi" w:cstheme="minorHAnsi"/>
                <w:color w:val="000000"/>
                <w:sz w:val="18"/>
                <w:szCs w:val="18"/>
              </w:rPr>
              <w:t>To request a General Schedule Authority Required (STREAMLINED) listing for the treatment of isocitrate dehydrogenase-mutant astrocytoma or oligodendroglioma.</w:t>
            </w:r>
          </w:p>
        </w:tc>
        <w:tc>
          <w:tcPr>
            <w:tcW w:w="1584" w:type="dxa"/>
            <w:vAlign w:val="center"/>
          </w:tcPr>
          <w:p w14:paraId="69745AF6" w14:textId="3B7CD8E8" w:rsidR="00226D73" w:rsidRPr="006A5A05" w:rsidDel="008F66B5" w:rsidRDefault="00226D73" w:rsidP="00DC3166">
            <w:pPr>
              <w:pStyle w:val="ListParagraph"/>
              <w:keepLines/>
              <w:ind w:left="0"/>
              <w:jc w:val="center"/>
              <w:rPr>
                <w:rFonts w:asciiTheme="minorHAnsi" w:hAnsiTheme="minorHAnsi" w:cstheme="minorHAnsi"/>
                <w:color w:val="000000"/>
                <w:sz w:val="18"/>
                <w:szCs w:val="18"/>
              </w:rPr>
            </w:pPr>
            <w:r w:rsidRPr="000B4BEF">
              <w:rPr>
                <w:rFonts w:asciiTheme="minorHAnsi" w:hAnsiTheme="minorHAnsi" w:cstheme="minorHAnsi"/>
                <w:color w:val="000000"/>
                <w:sz w:val="18"/>
                <w:szCs w:val="18"/>
              </w:rPr>
              <w:t>Not recommended</w:t>
            </w:r>
          </w:p>
        </w:tc>
        <w:tc>
          <w:tcPr>
            <w:tcW w:w="4836" w:type="dxa"/>
            <w:vAlign w:val="center"/>
          </w:tcPr>
          <w:p w14:paraId="0141CCC8" w14:textId="1885F608" w:rsidR="00B12518" w:rsidRPr="00B12518" w:rsidRDefault="00B12518" w:rsidP="00DC3166">
            <w:pPr>
              <w:jc w:val="both"/>
              <w:rPr>
                <w:rFonts w:ascii="Calibri" w:eastAsia="Aptos" w:hAnsi="Calibri" w:cs="Calibri"/>
                <w:sz w:val="18"/>
                <w:szCs w:val="18"/>
                <w:lang w:val="en-GB"/>
              </w:rPr>
            </w:pPr>
            <w:r w:rsidRPr="00B12518">
              <w:rPr>
                <w:rFonts w:ascii="Calibri" w:eastAsia="Aptos" w:hAnsi="Calibri" w:cs="Calibri"/>
                <w:sz w:val="18"/>
                <w:szCs w:val="18"/>
                <w:lang w:val="en-GB"/>
              </w:rPr>
              <w:t>The PBAC did not recommend the listing of vorasidenib for the treatment of</w:t>
            </w:r>
            <w:r w:rsidR="0052529D">
              <w:t xml:space="preserve"> </w:t>
            </w:r>
            <w:r w:rsidR="0052529D" w:rsidRPr="0052529D">
              <w:rPr>
                <w:rFonts w:ascii="Calibri" w:eastAsia="Aptos" w:hAnsi="Calibri" w:cs="Calibri"/>
                <w:sz w:val="18"/>
                <w:szCs w:val="18"/>
                <w:lang w:val="en-GB"/>
              </w:rPr>
              <w:t>isocitrate dehydrogenase</w:t>
            </w:r>
            <w:r w:rsidRPr="00B12518">
              <w:rPr>
                <w:rFonts w:ascii="Calibri" w:eastAsia="Aptos" w:hAnsi="Calibri" w:cs="Calibri"/>
                <w:sz w:val="18"/>
                <w:szCs w:val="18"/>
                <w:lang w:val="en-GB"/>
              </w:rPr>
              <w:t xml:space="preserve"> </w:t>
            </w:r>
            <w:r w:rsidR="0052529D">
              <w:rPr>
                <w:rFonts w:ascii="Calibri" w:eastAsia="Aptos" w:hAnsi="Calibri" w:cs="Calibri"/>
                <w:sz w:val="18"/>
                <w:szCs w:val="18"/>
                <w:lang w:val="en-GB"/>
              </w:rPr>
              <w:t>(</w:t>
            </w:r>
            <w:r w:rsidRPr="00B12518">
              <w:rPr>
                <w:rFonts w:ascii="Calibri" w:eastAsia="Aptos" w:hAnsi="Calibri" w:cs="Calibri"/>
                <w:sz w:val="18"/>
                <w:szCs w:val="18"/>
                <w:lang w:val="en-GB"/>
              </w:rPr>
              <w:t>IDH</w:t>
            </w:r>
            <w:r w:rsidR="0052529D">
              <w:rPr>
                <w:rFonts w:ascii="Calibri" w:eastAsia="Aptos" w:hAnsi="Calibri" w:cs="Calibri"/>
                <w:sz w:val="18"/>
                <w:szCs w:val="18"/>
                <w:lang w:val="en-GB"/>
              </w:rPr>
              <w:t>)</w:t>
            </w:r>
            <w:r w:rsidRPr="00B12518">
              <w:rPr>
                <w:rFonts w:ascii="Calibri" w:eastAsia="Aptos" w:hAnsi="Calibri" w:cs="Calibri"/>
                <w:sz w:val="18"/>
                <w:szCs w:val="18"/>
                <w:lang w:val="en-GB"/>
              </w:rPr>
              <w:t xml:space="preserve">-mutant astrocytoma or oligodendroglioma.  </w:t>
            </w:r>
          </w:p>
          <w:p w14:paraId="5459BD31" w14:textId="77777777" w:rsidR="00B12518" w:rsidRPr="00B12518" w:rsidRDefault="00B12518" w:rsidP="00DC3166">
            <w:pPr>
              <w:jc w:val="both"/>
              <w:rPr>
                <w:rFonts w:ascii="Calibri" w:eastAsia="Aptos" w:hAnsi="Calibri" w:cs="Calibri"/>
                <w:sz w:val="18"/>
                <w:szCs w:val="18"/>
                <w:lang w:val="en-GB"/>
              </w:rPr>
            </w:pPr>
            <w:r w:rsidRPr="00B12518">
              <w:rPr>
                <w:rFonts w:ascii="Calibri" w:eastAsia="Aptos" w:hAnsi="Calibri" w:cs="Calibri"/>
                <w:sz w:val="18"/>
                <w:szCs w:val="18"/>
                <w:lang w:val="en-GB"/>
              </w:rPr>
              <w:t xml:space="preserve">  </w:t>
            </w:r>
          </w:p>
          <w:p w14:paraId="11BBE4E9" w14:textId="05ED3C76" w:rsidR="00B12518" w:rsidRPr="00B12518" w:rsidRDefault="00B12518" w:rsidP="00DC3166">
            <w:pPr>
              <w:jc w:val="both"/>
              <w:rPr>
                <w:rFonts w:ascii="Calibri" w:eastAsia="Aptos" w:hAnsi="Calibri" w:cs="Calibri"/>
                <w:sz w:val="18"/>
                <w:szCs w:val="18"/>
                <w:lang w:val="en-GB"/>
              </w:rPr>
            </w:pPr>
            <w:r w:rsidRPr="00B12518">
              <w:rPr>
                <w:rFonts w:ascii="Calibri" w:eastAsia="Aptos" w:hAnsi="Calibri" w:cs="Calibri"/>
                <w:sz w:val="18"/>
                <w:szCs w:val="18"/>
                <w:lang w:val="en-GB"/>
              </w:rPr>
              <w:t xml:space="preserve">The PBAC welcomed input from individuals, health care professionals and organisations. The PBAC acknowledged the high unmet clinical need for effective treatments for IDH-mutant astrocytoma or oligodendroglioma, noting that there are currently no other effective treatments available for patients not in immediate need of chemotherapy/radiotherapy. The PBAC noted that as the disease progresses patients experience headaches, nausea/vomiting, seizures, drowsiness, visual disturbance, speech/language problems, sensory loss, motor deficits and changes in cognitive and/or functional ability. These symptoms have a significant impact on </w:t>
            </w:r>
            <w:r w:rsidR="003E6BA9">
              <w:rPr>
                <w:rFonts w:ascii="Calibri" w:eastAsia="Aptos" w:hAnsi="Calibri" w:cs="Calibri"/>
                <w:sz w:val="18"/>
                <w:szCs w:val="18"/>
                <w:lang w:val="en-GB"/>
              </w:rPr>
              <w:t>quality of life</w:t>
            </w:r>
            <w:r w:rsidRPr="00B12518">
              <w:rPr>
                <w:rFonts w:ascii="Calibri" w:eastAsia="Aptos" w:hAnsi="Calibri" w:cs="Calibri"/>
                <w:sz w:val="18"/>
                <w:szCs w:val="18"/>
                <w:lang w:val="en-GB"/>
              </w:rPr>
              <w:t xml:space="preserve">, including inability to work, drive, remain independent, and anxiety is associated with surveillance only, knowing that the condition will inevitably progress. The PBAC also acknowledged that chemotherapy/radiotherapy is associated with substantial toxicity and worsening of neurological deficits.  </w:t>
            </w:r>
          </w:p>
          <w:p w14:paraId="704970FE" w14:textId="77777777" w:rsidR="00B12518" w:rsidRPr="00B12518" w:rsidRDefault="00B12518" w:rsidP="00DC3166">
            <w:pPr>
              <w:jc w:val="both"/>
              <w:rPr>
                <w:rFonts w:ascii="Calibri" w:eastAsia="Aptos" w:hAnsi="Calibri" w:cs="Calibri"/>
                <w:sz w:val="18"/>
                <w:szCs w:val="18"/>
                <w:lang w:val="en-GB"/>
              </w:rPr>
            </w:pPr>
            <w:r w:rsidRPr="00B12518">
              <w:rPr>
                <w:rFonts w:ascii="Calibri" w:eastAsia="Aptos" w:hAnsi="Calibri" w:cs="Calibri"/>
                <w:sz w:val="18"/>
                <w:szCs w:val="18"/>
                <w:lang w:val="en-GB"/>
              </w:rPr>
              <w:t xml:space="preserve">  </w:t>
            </w:r>
          </w:p>
          <w:p w14:paraId="4C80C2DF" w14:textId="77777777" w:rsidR="00B12518" w:rsidRPr="00B12518" w:rsidRDefault="00B12518" w:rsidP="00DC3166">
            <w:pPr>
              <w:jc w:val="both"/>
              <w:rPr>
                <w:rFonts w:ascii="Calibri" w:eastAsia="Aptos" w:hAnsi="Calibri" w:cs="Calibri"/>
                <w:sz w:val="18"/>
                <w:szCs w:val="18"/>
                <w:lang w:val="en-GB"/>
              </w:rPr>
            </w:pPr>
            <w:r w:rsidRPr="00B12518">
              <w:rPr>
                <w:rFonts w:ascii="Calibri" w:eastAsia="Aptos" w:hAnsi="Calibri" w:cs="Calibri"/>
                <w:sz w:val="18"/>
                <w:szCs w:val="18"/>
                <w:lang w:val="en-GB"/>
              </w:rPr>
              <w:t xml:space="preserve">The PBAC accepted the that clinical evidence showed vorasidenib was more effective than active surveillance in terms of radiographic progression (observable changes in medical imaging). The PBAC acknowledged that delaying the need for chemotherapy and radiotherapy is a treatment effect that is likely to have a meaningful impact on patient quality of life. The PBAC noted that, due to the slow progression of the disease, it was not possible to demonstrate a difference in overall survival or patient quality of life between vorasidenib and standard treatment within the trial.  </w:t>
            </w:r>
          </w:p>
          <w:p w14:paraId="02C0D5EF" w14:textId="77777777" w:rsidR="00B12518" w:rsidRPr="00B12518" w:rsidRDefault="00B12518" w:rsidP="00DC3166">
            <w:pPr>
              <w:jc w:val="both"/>
              <w:rPr>
                <w:rFonts w:ascii="Calibri" w:eastAsia="Aptos" w:hAnsi="Calibri" w:cs="Calibri"/>
                <w:sz w:val="18"/>
                <w:szCs w:val="18"/>
                <w:lang w:val="en-GB"/>
              </w:rPr>
            </w:pPr>
            <w:r w:rsidRPr="00B12518">
              <w:rPr>
                <w:rFonts w:ascii="Calibri" w:eastAsia="Aptos" w:hAnsi="Calibri" w:cs="Calibri"/>
                <w:sz w:val="18"/>
                <w:szCs w:val="18"/>
                <w:lang w:val="en-GB"/>
              </w:rPr>
              <w:t xml:space="preserve">  </w:t>
            </w:r>
          </w:p>
          <w:p w14:paraId="2372B4A0" w14:textId="77777777" w:rsidR="009B2010" w:rsidRDefault="00B12518" w:rsidP="00CF27F8">
            <w:pPr>
              <w:jc w:val="both"/>
              <w:rPr>
                <w:rFonts w:ascii="Calibri" w:eastAsia="Aptos" w:hAnsi="Calibri" w:cs="Calibri"/>
                <w:sz w:val="18"/>
                <w:szCs w:val="18"/>
              </w:rPr>
            </w:pPr>
            <w:r w:rsidRPr="00B12518">
              <w:rPr>
                <w:rFonts w:ascii="Calibri" w:eastAsia="Aptos" w:hAnsi="Calibri" w:cs="Calibri"/>
                <w:sz w:val="18"/>
                <w:szCs w:val="18"/>
                <w:lang w:val="en-GB"/>
              </w:rPr>
              <w:t>The PBAC noted that limitations of the clinical evidence made it uncertain whether benefits claimed in support of the proposed price would be realised. The PBAC considered the estimates of benefits in support of the proposed price were overly optimistic – particularly the estimated quality of life gains and the duration of progression free and overall survival. The PBAC considered the duration of treatment may be substantially longer than was assumed in the submission and a risk</w:t>
            </w:r>
            <w:r w:rsidR="0052529D">
              <w:rPr>
                <w:rFonts w:ascii="Calibri" w:eastAsia="Aptos" w:hAnsi="Calibri" w:cs="Calibri"/>
                <w:sz w:val="18"/>
                <w:szCs w:val="18"/>
                <w:lang w:val="en-GB"/>
              </w:rPr>
              <w:t xml:space="preserve"> </w:t>
            </w:r>
            <w:r w:rsidRPr="00B12518">
              <w:rPr>
                <w:rFonts w:ascii="Calibri" w:eastAsia="Aptos" w:hAnsi="Calibri" w:cs="Calibri"/>
                <w:sz w:val="18"/>
                <w:szCs w:val="18"/>
                <w:lang w:val="en-GB"/>
              </w:rPr>
              <w:t xml:space="preserve">sharing </w:t>
            </w:r>
            <w:r w:rsidR="00162DD8" w:rsidRPr="00B12518">
              <w:rPr>
                <w:rFonts w:ascii="Calibri" w:eastAsia="Aptos" w:hAnsi="Calibri" w:cs="Calibri"/>
                <w:sz w:val="18"/>
                <w:szCs w:val="18"/>
                <w:lang w:val="en-GB"/>
              </w:rPr>
              <w:t>arrangement would</w:t>
            </w:r>
            <w:r w:rsidRPr="00B12518">
              <w:rPr>
                <w:rFonts w:ascii="Calibri" w:eastAsia="Aptos" w:hAnsi="Calibri" w:cs="Calibri"/>
                <w:sz w:val="18"/>
                <w:szCs w:val="18"/>
                <w:lang w:val="en-GB"/>
              </w:rPr>
              <w:t xml:space="preserve"> be required to address the potential for use beyond progression. The PBAC considered these issues could be resolved in a resubmission using the early re-entry pathway. </w:t>
            </w:r>
            <w:r w:rsidR="00CF27F8">
              <w:rPr>
                <w:rFonts w:ascii="Calibri" w:eastAsia="Aptos" w:hAnsi="Calibri" w:cs="Calibri"/>
                <w:sz w:val="18"/>
                <w:szCs w:val="18"/>
                <w:lang w:val="en-GB"/>
              </w:rPr>
              <w:br/>
            </w:r>
            <w:r w:rsidR="00CF27F8">
              <w:rPr>
                <w:rFonts w:ascii="Calibri" w:eastAsia="Aptos" w:hAnsi="Calibri" w:cs="Calibri"/>
                <w:sz w:val="18"/>
                <w:szCs w:val="18"/>
                <w:lang w:val="en-GB"/>
              </w:rPr>
              <w:br/>
            </w:r>
            <w:r w:rsidR="00CF27F8" w:rsidRPr="009B2010">
              <w:rPr>
                <w:rFonts w:ascii="Calibri" w:eastAsia="Aptos" w:hAnsi="Calibri" w:cs="Calibri"/>
                <w:sz w:val="18"/>
                <w:szCs w:val="18"/>
                <w:u w:val="single"/>
                <w:lang w:val="en-GB"/>
              </w:rPr>
              <w:t>Sponsor’s comments:</w:t>
            </w:r>
            <w:r w:rsidR="00CF27F8">
              <w:rPr>
                <w:rFonts w:ascii="Calibri" w:eastAsia="Aptos" w:hAnsi="Calibri" w:cs="Calibri"/>
                <w:sz w:val="18"/>
                <w:szCs w:val="18"/>
                <w:lang w:val="en-GB"/>
              </w:rPr>
              <w:t xml:space="preserve"> </w:t>
            </w:r>
            <w:r w:rsidR="00CF27F8" w:rsidRPr="00CF27F8">
              <w:rPr>
                <w:sz w:val="24"/>
                <w:szCs w:val="24"/>
              </w:rPr>
              <w:t xml:space="preserve"> </w:t>
            </w:r>
          </w:p>
          <w:p w14:paraId="2FD26DDA" w14:textId="399C7DA7" w:rsidR="00226D73" w:rsidRPr="009675D7" w:rsidDel="008F66B5" w:rsidRDefault="00CF27F8" w:rsidP="09589B60">
            <w:pPr>
              <w:jc w:val="both"/>
              <w:rPr>
                <w:rFonts w:ascii="Calibri" w:eastAsia="Aptos" w:hAnsi="Calibri" w:cs="Calibri"/>
                <w:sz w:val="18"/>
                <w:szCs w:val="18"/>
              </w:rPr>
            </w:pPr>
            <w:r w:rsidRPr="00CF27F8">
              <w:rPr>
                <w:rFonts w:ascii="Calibri" w:eastAsia="Aptos" w:hAnsi="Calibri" w:cs="Calibri"/>
                <w:sz w:val="18"/>
                <w:szCs w:val="18"/>
              </w:rPr>
              <w:t>Servier is disappointed that the PBAC did not recommend the listing of vorasidenib for the treatment of isocitrate dehydrogenase (IDH)-mutant astrocytoma or oligodendroglioma. However, Servier is pleased that the PBAC has acknowledged the high unmet clinical need for effective treatments for IDH-mutant astrocytoma or oligodendroglioma and that treatment with vorasidenib is likely to have a meaningful impact on patient quality of life by delaying the need for chemotherapy and radiotherapy.</w:t>
            </w:r>
            <w:r w:rsidR="003E3C87">
              <w:rPr>
                <w:rFonts w:ascii="Calibri" w:eastAsia="Aptos" w:hAnsi="Calibri" w:cs="Calibri"/>
                <w:sz w:val="18"/>
                <w:szCs w:val="18"/>
              </w:rPr>
              <w:t xml:space="preserve"> </w:t>
            </w:r>
            <w:r w:rsidRPr="00CF27F8">
              <w:rPr>
                <w:rFonts w:ascii="Calibri" w:eastAsia="Aptos" w:hAnsi="Calibri" w:cs="Calibri"/>
                <w:sz w:val="18"/>
                <w:szCs w:val="18"/>
              </w:rPr>
              <w:t>Servier thanks the IDH-mutant astrocytoma and oligodendroglioma clinical and patient community for their valuable input to help inform the PBAC's decision making.</w:t>
            </w:r>
            <w:r w:rsidR="003E3C87">
              <w:rPr>
                <w:rFonts w:ascii="Calibri" w:eastAsia="Aptos" w:hAnsi="Calibri" w:cs="Calibri"/>
                <w:sz w:val="18"/>
                <w:szCs w:val="18"/>
              </w:rPr>
              <w:t xml:space="preserve"> </w:t>
            </w:r>
            <w:r w:rsidRPr="00CF27F8">
              <w:rPr>
                <w:rFonts w:ascii="Calibri" w:eastAsia="Aptos" w:hAnsi="Calibri" w:cs="Calibri"/>
                <w:sz w:val="18"/>
                <w:szCs w:val="18"/>
              </w:rPr>
              <w:t>Servier is committed to working with the Department to facilitate equitable patient access to vorasidenib as soon as possible.</w:t>
            </w:r>
          </w:p>
        </w:tc>
      </w:tr>
    </w:tbl>
    <w:p w14:paraId="235972BA" w14:textId="75FBB191" w:rsidR="00D63B5A" w:rsidRDefault="00DC3166">
      <w:r>
        <w:br w:type="textWrapping" w:clear="all"/>
      </w:r>
    </w:p>
    <w:p w14:paraId="41672DE0" w14:textId="107FD537" w:rsidR="00F44F4A" w:rsidRPr="00F44F4A" w:rsidRDefault="00F44F4A" w:rsidP="00F44F4A">
      <w:r>
        <w:br w:type="page"/>
      </w:r>
    </w:p>
    <w:tbl>
      <w:tblPr>
        <w:tblW w:w="5000" w:type="pct"/>
        <w:jc w:val="center"/>
        <w:tblLook w:val="04A0" w:firstRow="1" w:lastRow="0" w:firstColumn="1" w:lastColumn="0" w:noHBand="0" w:noVBand="1"/>
      </w:tblPr>
      <w:tblGrid>
        <w:gridCol w:w="3823"/>
        <w:gridCol w:w="3825"/>
        <w:gridCol w:w="3684"/>
        <w:gridCol w:w="4056"/>
      </w:tblGrid>
      <w:tr w:rsidR="00F44F4A" w:rsidRPr="00180C4A" w14:paraId="4475A4B2" w14:textId="77777777" w:rsidTr="00162DD8">
        <w:trPr>
          <w:cantSplit/>
          <w:trHeight w:val="699"/>
          <w:tblHeader/>
          <w:jc w:val="center"/>
        </w:trPr>
        <w:tc>
          <w:tcPr>
            <w:tcW w:w="1242" w:type="pct"/>
            <w:tcBorders>
              <w:top w:val="single" w:sz="4" w:space="0" w:color="auto"/>
              <w:left w:val="single" w:sz="4" w:space="0" w:color="auto"/>
              <w:bottom w:val="single" w:sz="4" w:space="0" w:color="auto"/>
              <w:right w:val="single" w:sz="4" w:space="0" w:color="auto"/>
            </w:tcBorders>
            <w:vAlign w:val="center"/>
            <w:hideMark/>
          </w:tcPr>
          <w:p w14:paraId="2E57BC20" w14:textId="77777777" w:rsidR="00F44F4A" w:rsidRPr="00180C4A" w:rsidRDefault="00F44F4A">
            <w:pPr>
              <w:widowControl w:val="0"/>
              <w:jc w:val="center"/>
              <w:rPr>
                <w:rFonts w:asciiTheme="minorHAnsi" w:hAnsiTheme="minorHAnsi" w:cstheme="minorHAnsi"/>
                <w:b/>
                <w:bCs/>
                <w:snapToGrid w:val="0"/>
                <w:color w:val="000000"/>
                <w:sz w:val="18"/>
                <w:szCs w:val="18"/>
              </w:rPr>
            </w:pPr>
            <w:r w:rsidRPr="00180C4A">
              <w:rPr>
                <w:rFonts w:asciiTheme="minorHAnsi" w:hAnsiTheme="minorHAnsi" w:cstheme="minorHAnsi"/>
                <w:b/>
                <w:bCs/>
                <w:snapToGrid w:val="0"/>
                <w:color w:val="000000"/>
                <w:sz w:val="18"/>
                <w:szCs w:val="18"/>
              </w:rPr>
              <w:t>DRUG NAME, FORM(S), STRENGTH(S) AND SPONSOR</w:t>
            </w:r>
          </w:p>
        </w:tc>
        <w:tc>
          <w:tcPr>
            <w:tcW w:w="1243" w:type="pct"/>
            <w:tcBorders>
              <w:top w:val="single" w:sz="4" w:space="0" w:color="auto"/>
              <w:left w:val="nil"/>
              <w:bottom w:val="single" w:sz="4" w:space="0" w:color="auto"/>
              <w:right w:val="single" w:sz="4" w:space="0" w:color="auto"/>
            </w:tcBorders>
            <w:vAlign w:val="center"/>
            <w:hideMark/>
          </w:tcPr>
          <w:p w14:paraId="76D8D19E" w14:textId="77777777" w:rsidR="00F44F4A" w:rsidRPr="00180C4A" w:rsidRDefault="00F44F4A">
            <w:pPr>
              <w:widowControl w:val="0"/>
              <w:jc w:val="center"/>
              <w:rPr>
                <w:rFonts w:asciiTheme="minorHAnsi" w:hAnsiTheme="minorHAnsi" w:cstheme="minorHAnsi"/>
                <w:b/>
                <w:bCs/>
                <w:snapToGrid w:val="0"/>
                <w:color w:val="000000"/>
                <w:sz w:val="18"/>
                <w:szCs w:val="18"/>
              </w:rPr>
            </w:pPr>
            <w:r w:rsidRPr="00180C4A">
              <w:rPr>
                <w:rFonts w:asciiTheme="minorHAnsi" w:hAnsiTheme="minorHAnsi" w:cstheme="minorHAnsi"/>
                <w:b/>
                <w:bCs/>
                <w:snapToGrid w:val="0"/>
                <w:color w:val="000000"/>
                <w:sz w:val="18"/>
                <w:szCs w:val="18"/>
              </w:rPr>
              <w:t>DRUG TYPE AND USE</w:t>
            </w:r>
          </w:p>
        </w:tc>
        <w:tc>
          <w:tcPr>
            <w:tcW w:w="1197" w:type="pct"/>
            <w:tcBorders>
              <w:top w:val="single" w:sz="4" w:space="0" w:color="auto"/>
              <w:left w:val="nil"/>
              <w:bottom w:val="single" w:sz="4" w:space="0" w:color="auto"/>
              <w:right w:val="single" w:sz="4" w:space="0" w:color="auto"/>
            </w:tcBorders>
            <w:vAlign w:val="center"/>
            <w:hideMark/>
          </w:tcPr>
          <w:p w14:paraId="76EE8ADD" w14:textId="77777777" w:rsidR="00F44F4A" w:rsidRPr="00180C4A" w:rsidRDefault="00F44F4A">
            <w:pPr>
              <w:widowControl w:val="0"/>
              <w:jc w:val="center"/>
              <w:rPr>
                <w:rFonts w:asciiTheme="minorHAnsi" w:hAnsiTheme="minorHAnsi" w:cstheme="minorHAnsi"/>
                <w:b/>
                <w:bCs/>
                <w:snapToGrid w:val="0"/>
                <w:color w:val="000000"/>
                <w:sz w:val="18"/>
                <w:szCs w:val="18"/>
              </w:rPr>
            </w:pPr>
            <w:r w:rsidRPr="00180C4A">
              <w:rPr>
                <w:rFonts w:asciiTheme="minorHAnsi" w:hAnsiTheme="minorHAnsi" w:cstheme="minorHAnsi"/>
                <w:b/>
                <w:bCs/>
                <w:snapToGrid w:val="0"/>
                <w:color w:val="000000"/>
                <w:sz w:val="18"/>
                <w:szCs w:val="18"/>
              </w:rPr>
              <w:t>LISTING REQUESTED BY SPONSOR / PURPOSE OF SUBMISSION</w:t>
            </w:r>
          </w:p>
        </w:tc>
        <w:tc>
          <w:tcPr>
            <w:tcW w:w="1318" w:type="pct"/>
            <w:tcBorders>
              <w:top w:val="single" w:sz="4" w:space="0" w:color="auto"/>
              <w:left w:val="nil"/>
              <w:bottom w:val="single" w:sz="4" w:space="0" w:color="auto"/>
              <w:right w:val="single" w:sz="4" w:space="0" w:color="auto"/>
            </w:tcBorders>
            <w:vAlign w:val="center"/>
          </w:tcPr>
          <w:p w14:paraId="385232DA" w14:textId="77777777" w:rsidR="00F44F4A" w:rsidRPr="00180C4A" w:rsidRDefault="00F44F4A">
            <w:pPr>
              <w:widowControl w:val="0"/>
              <w:jc w:val="center"/>
              <w:rPr>
                <w:rFonts w:asciiTheme="minorHAnsi" w:hAnsiTheme="minorHAnsi" w:cstheme="minorHAnsi"/>
                <w:b/>
                <w:bCs/>
                <w:snapToGrid w:val="0"/>
                <w:color w:val="000000"/>
                <w:sz w:val="18"/>
                <w:szCs w:val="18"/>
              </w:rPr>
            </w:pPr>
            <w:r w:rsidRPr="00180C4A">
              <w:rPr>
                <w:rFonts w:asciiTheme="minorHAnsi" w:hAnsiTheme="minorHAnsi" w:cstheme="minorHAnsi"/>
                <w:b/>
                <w:bCs/>
                <w:snapToGrid w:val="0"/>
                <w:color w:val="000000"/>
                <w:sz w:val="18"/>
                <w:szCs w:val="18"/>
              </w:rPr>
              <w:t>PBAC OUTCOME</w:t>
            </w:r>
          </w:p>
        </w:tc>
      </w:tr>
      <w:tr w:rsidR="007B6F84" w:rsidRPr="00180C4A" w14:paraId="531DF523" w14:textId="77777777" w:rsidTr="00162DD8">
        <w:trPr>
          <w:cantSplit/>
          <w:trHeight w:val="1281"/>
          <w:jc w:val="center"/>
        </w:trPr>
        <w:tc>
          <w:tcPr>
            <w:tcW w:w="1242" w:type="pct"/>
            <w:tcBorders>
              <w:top w:val="single" w:sz="6" w:space="0" w:color="auto"/>
              <w:left w:val="single" w:sz="6" w:space="0" w:color="auto"/>
              <w:bottom w:val="single" w:sz="6" w:space="0" w:color="auto"/>
              <w:right w:val="single" w:sz="6" w:space="0" w:color="auto"/>
            </w:tcBorders>
            <w:vAlign w:val="center"/>
          </w:tcPr>
          <w:p w14:paraId="2018D747" w14:textId="77777777" w:rsidR="007B6F84" w:rsidRPr="006A5A05" w:rsidRDefault="007B6F84" w:rsidP="007B6F84">
            <w:pPr>
              <w:pStyle w:val="paragraph"/>
              <w:spacing w:before="0" w:beforeAutospacing="0" w:after="0" w:afterAutospacing="0"/>
              <w:jc w:val="center"/>
              <w:textAlignment w:val="baseline"/>
              <w:rPr>
                <w:rFonts w:asciiTheme="minorHAnsi" w:hAnsiTheme="minorHAnsi" w:cstheme="minorHAnsi"/>
                <w:sz w:val="18"/>
                <w:szCs w:val="18"/>
              </w:rPr>
            </w:pPr>
            <w:r w:rsidRPr="006A5A05">
              <w:rPr>
                <w:rStyle w:val="normaltextrun"/>
                <w:rFonts w:asciiTheme="minorHAnsi" w:hAnsiTheme="minorHAnsi" w:cstheme="minorHAnsi"/>
                <w:color w:val="000000"/>
                <w:sz w:val="18"/>
                <w:szCs w:val="18"/>
              </w:rPr>
              <w:t>CARMELLOSE WITH GLYCEROL AND HYALURONIC ACID</w:t>
            </w:r>
          </w:p>
          <w:p w14:paraId="740778DC" w14:textId="77777777" w:rsidR="007B6F84" w:rsidRPr="006A5A05" w:rsidRDefault="007B6F84" w:rsidP="007B6F84">
            <w:pPr>
              <w:pStyle w:val="paragraph"/>
              <w:spacing w:before="0" w:beforeAutospacing="0" w:after="0" w:afterAutospacing="0"/>
              <w:jc w:val="center"/>
              <w:textAlignment w:val="baseline"/>
              <w:rPr>
                <w:rFonts w:asciiTheme="minorHAnsi" w:hAnsiTheme="minorHAnsi" w:cstheme="minorHAnsi"/>
                <w:sz w:val="18"/>
                <w:szCs w:val="18"/>
              </w:rPr>
            </w:pPr>
            <w:r w:rsidRPr="006A5A05">
              <w:rPr>
                <w:rFonts w:asciiTheme="minorHAnsi" w:hAnsiTheme="minorHAnsi" w:cstheme="minorHAnsi"/>
                <w:sz w:val="18"/>
                <w:szCs w:val="18"/>
              </w:rPr>
              <w:br/>
            </w:r>
            <w:r w:rsidRPr="006A5A05">
              <w:rPr>
                <w:rStyle w:val="normaltextrun"/>
                <w:rFonts w:asciiTheme="minorHAnsi" w:hAnsiTheme="minorHAnsi" w:cstheme="minorHAnsi"/>
                <w:color w:val="000000"/>
                <w:sz w:val="18"/>
                <w:szCs w:val="18"/>
              </w:rPr>
              <w:t xml:space="preserve">Eye drops containing </w:t>
            </w:r>
            <w:proofErr w:type="spellStart"/>
            <w:r w:rsidRPr="006A5A05">
              <w:rPr>
                <w:rStyle w:val="normaltextrun"/>
                <w:rFonts w:asciiTheme="minorHAnsi" w:hAnsiTheme="minorHAnsi" w:cstheme="minorHAnsi"/>
                <w:color w:val="000000"/>
                <w:sz w:val="18"/>
                <w:szCs w:val="18"/>
              </w:rPr>
              <w:t>carmellose</w:t>
            </w:r>
            <w:proofErr w:type="spellEnd"/>
            <w:r w:rsidRPr="006A5A05">
              <w:rPr>
                <w:rStyle w:val="normaltextrun"/>
                <w:rFonts w:asciiTheme="minorHAnsi" w:hAnsiTheme="minorHAnsi" w:cstheme="minorHAnsi"/>
                <w:color w:val="000000"/>
                <w:sz w:val="18"/>
                <w:szCs w:val="18"/>
              </w:rPr>
              <w:t xml:space="preserve"> sodium 5 mg with glycerol 9 mg and sodium hyaluronate 1 mg per mL</w:t>
            </w:r>
          </w:p>
          <w:p w14:paraId="703C0FC9" w14:textId="5653D84C" w:rsidR="007B6F84" w:rsidRPr="00180C4A" w:rsidRDefault="007B6F84" w:rsidP="007B6F84">
            <w:pPr>
              <w:jc w:val="center"/>
              <w:rPr>
                <w:rFonts w:asciiTheme="minorHAnsi" w:hAnsiTheme="minorHAnsi" w:cstheme="minorHAnsi"/>
                <w:sz w:val="18"/>
                <w:szCs w:val="18"/>
              </w:rPr>
            </w:pPr>
            <w:r w:rsidRPr="006A5A05">
              <w:rPr>
                <w:rFonts w:asciiTheme="minorHAnsi" w:hAnsiTheme="minorHAnsi" w:cstheme="minorHAnsi"/>
                <w:sz w:val="18"/>
                <w:szCs w:val="18"/>
              </w:rPr>
              <w:br/>
            </w:r>
            <w:proofErr w:type="spellStart"/>
            <w:r w:rsidRPr="006A5A05">
              <w:rPr>
                <w:rStyle w:val="normaltextrun"/>
                <w:rFonts w:asciiTheme="minorHAnsi" w:hAnsiTheme="minorHAnsi" w:cstheme="minorHAnsi"/>
                <w:color w:val="000000"/>
                <w:sz w:val="18"/>
                <w:szCs w:val="18"/>
              </w:rPr>
              <w:t>Optive</w:t>
            </w:r>
            <w:proofErr w:type="spellEnd"/>
            <w:r w:rsidRPr="006A5A05">
              <w:rPr>
                <w:rStyle w:val="normaltextrun"/>
                <w:rFonts w:asciiTheme="minorHAnsi" w:hAnsiTheme="minorHAnsi" w:cstheme="minorHAnsi"/>
                <w:color w:val="000000"/>
                <w:sz w:val="18"/>
                <w:szCs w:val="18"/>
              </w:rPr>
              <w:t xml:space="preserve"> Fusion</w:t>
            </w:r>
            <w:r w:rsidRPr="006A5A05">
              <w:rPr>
                <w:rStyle w:val="normaltextrun"/>
                <w:rFonts w:asciiTheme="minorHAnsi" w:hAnsiTheme="minorHAnsi" w:cstheme="minorHAnsi"/>
                <w:color w:val="000000"/>
                <w:sz w:val="18"/>
                <w:szCs w:val="18"/>
                <w:vertAlign w:val="superscript"/>
              </w:rPr>
              <w:t>®</w:t>
            </w:r>
            <w:r w:rsidRPr="006A5A05">
              <w:rPr>
                <w:rStyle w:val="normaltextrun"/>
                <w:rFonts w:asciiTheme="minorHAnsi" w:hAnsiTheme="minorHAnsi" w:cstheme="minorHAnsi"/>
                <w:color w:val="000000"/>
                <w:sz w:val="18"/>
                <w:szCs w:val="18"/>
              </w:rPr>
              <w:t xml:space="preserve"> </w:t>
            </w:r>
            <w:r w:rsidRPr="006A5A05">
              <w:rPr>
                <w:rStyle w:val="scxw258963981"/>
                <w:rFonts w:asciiTheme="minorHAnsi" w:hAnsiTheme="minorHAnsi" w:cstheme="minorHAnsi"/>
                <w:color w:val="000000"/>
                <w:sz w:val="18"/>
                <w:szCs w:val="18"/>
              </w:rPr>
              <w:t> </w:t>
            </w:r>
            <w:r w:rsidRPr="006A5A05">
              <w:rPr>
                <w:rFonts w:asciiTheme="minorHAnsi" w:hAnsiTheme="minorHAnsi" w:cstheme="minorHAnsi"/>
                <w:color w:val="000000"/>
                <w:sz w:val="18"/>
                <w:szCs w:val="18"/>
              </w:rPr>
              <w:br/>
            </w:r>
            <w:r w:rsidRPr="006A5A05">
              <w:rPr>
                <w:rFonts w:asciiTheme="minorHAnsi" w:hAnsiTheme="minorHAnsi" w:cstheme="minorHAnsi"/>
                <w:sz w:val="18"/>
                <w:szCs w:val="18"/>
              </w:rPr>
              <w:br/>
            </w:r>
            <w:r w:rsidRPr="006A5A05">
              <w:rPr>
                <w:rStyle w:val="normaltextrun"/>
                <w:rFonts w:asciiTheme="minorHAnsi" w:hAnsiTheme="minorHAnsi" w:cstheme="minorHAnsi"/>
                <w:color w:val="000000"/>
                <w:sz w:val="18"/>
                <w:szCs w:val="18"/>
              </w:rPr>
              <w:t>ABBVIE PTY LTD</w:t>
            </w:r>
            <w:r w:rsidRPr="006A5A05">
              <w:rPr>
                <w:rStyle w:val="scxw258963981"/>
                <w:rFonts w:asciiTheme="minorHAnsi" w:hAnsiTheme="minorHAnsi" w:cstheme="minorHAnsi"/>
                <w:color w:val="000000"/>
                <w:sz w:val="18"/>
                <w:szCs w:val="18"/>
              </w:rPr>
              <w:t> </w:t>
            </w:r>
          </w:p>
        </w:tc>
        <w:tc>
          <w:tcPr>
            <w:tcW w:w="1243" w:type="pct"/>
            <w:tcBorders>
              <w:top w:val="single" w:sz="6" w:space="0" w:color="auto"/>
              <w:left w:val="single" w:sz="6" w:space="0" w:color="auto"/>
              <w:bottom w:val="single" w:sz="6" w:space="0" w:color="auto"/>
              <w:right w:val="single" w:sz="6" w:space="0" w:color="auto"/>
            </w:tcBorders>
            <w:vAlign w:val="center"/>
          </w:tcPr>
          <w:p w14:paraId="4B368B07" w14:textId="71B99C93" w:rsidR="007B6F84" w:rsidRPr="00180C4A" w:rsidRDefault="007B6F84" w:rsidP="007B6F84">
            <w:pPr>
              <w:widowControl w:val="0"/>
              <w:jc w:val="center"/>
              <w:rPr>
                <w:rFonts w:asciiTheme="minorHAnsi" w:hAnsiTheme="minorHAnsi" w:cstheme="minorHAnsi"/>
                <w:bCs/>
                <w:sz w:val="18"/>
                <w:szCs w:val="18"/>
              </w:rPr>
            </w:pPr>
            <w:r w:rsidRPr="006A5A05">
              <w:rPr>
                <w:rStyle w:val="normaltextrun"/>
                <w:rFonts w:asciiTheme="minorHAnsi" w:hAnsiTheme="minorHAnsi" w:cstheme="minorHAnsi"/>
                <w:color w:val="000000"/>
                <w:sz w:val="18"/>
                <w:szCs w:val="18"/>
              </w:rPr>
              <w:t>Severe dry eye syndrome</w:t>
            </w:r>
          </w:p>
        </w:tc>
        <w:tc>
          <w:tcPr>
            <w:tcW w:w="1197" w:type="pct"/>
            <w:tcBorders>
              <w:top w:val="single" w:sz="6" w:space="0" w:color="auto"/>
              <w:left w:val="single" w:sz="6" w:space="0" w:color="auto"/>
              <w:bottom w:val="single" w:sz="6" w:space="0" w:color="auto"/>
              <w:right w:val="single" w:sz="6" w:space="0" w:color="auto"/>
            </w:tcBorders>
            <w:vAlign w:val="center"/>
          </w:tcPr>
          <w:p w14:paraId="068072DF" w14:textId="2794CC78" w:rsidR="007B6F84" w:rsidRPr="00180C4A" w:rsidRDefault="007B6F84" w:rsidP="007B6F84">
            <w:pPr>
              <w:widowControl w:val="0"/>
              <w:jc w:val="center"/>
              <w:rPr>
                <w:rFonts w:asciiTheme="minorHAnsi" w:hAnsiTheme="minorHAnsi" w:cstheme="minorHAnsi"/>
                <w:sz w:val="18"/>
                <w:szCs w:val="18"/>
              </w:rPr>
            </w:pPr>
            <w:r w:rsidRPr="006A5A05">
              <w:rPr>
                <w:rStyle w:val="normaltextrun"/>
                <w:rFonts w:asciiTheme="minorHAnsi" w:hAnsiTheme="minorHAnsi" w:cstheme="minorHAnsi"/>
                <w:color w:val="000000"/>
                <w:sz w:val="18"/>
                <w:szCs w:val="18"/>
              </w:rPr>
              <w:t>To request the PBAC review its May 2023 recommendation that has not yet been accepted by the applicant.</w:t>
            </w:r>
          </w:p>
        </w:tc>
        <w:tc>
          <w:tcPr>
            <w:tcW w:w="1318" w:type="pct"/>
            <w:tcBorders>
              <w:top w:val="single" w:sz="4" w:space="0" w:color="auto"/>
              <w:left w:val="nil"/>
              <w:bottom w:val="single" w:sz="4" w:space="0" w:color="auto"/>
              <w:right w:val="single" w:sz="4" w:space="0" w:color="auto"/>
            </w:tcBorders>
            <w:vAlign w:val="center"/>
          </w:tcPr>
          <w:p w14:paraId="08C39B00" w14:textId="42B3D0EC" w:rsidR="007B6F84" w:rsidRPr="00180C4A" w:rsidRDefault="00B20147" w:rsidP="007B6F84">
            <w:pPr>
              <w:widowControl w:val="0"/>
              <w:jc w:val="center"/>
              <w:rPr>
                <w:rFonts w:asciiTheme="minorHAnsi" w:hAnsiTheme="minorHAnsi" w:cstheme="minorHAnsi"/>
                <w:bCs/>
                <w:snapToGrid w:val="0"/>
                <w:sz w:val="18"/>
                <w:szCs w:val="18"/>
              </w:rPr>
            </w:pPr>
            <w:r w:rsidRPr="00B20147">
              <w:rPr>
                <w:rFonts w:asciiTheme="minorHAnsi" w:hAnsiTheme="minorHAnsi" w:cstheme="minorHAnsi"/>
                <w:bCs/>
                <w:snapToGrid w:val="0"/>
                <w:sz w:val="18"/>
                <w:szCs w:val="18"/>
              </w:rPr>
              <w:t xml:space="preserve">The PBAC rescinded the </w:t>
            </w:r>
            <w:r>
              <w:rPr>
                <w:rFonts w:asciiTheme="minorHAnsi" w:hAnsiTheme="minorHAnsi" w:cstheme="minorHAnsi"/>
                <w:bCs/>
                <w:snapToGrid w:val="0"/>
                <w:sz w:val="18"/>
                <w:szCs w:val="18"/>
              </w:rPr>
              <w:t>May</w:t>
            </w:r>
            <w:r w:rsidRPr="00B20147">
              <w:rPr>
                <w:rFonts w:asciiTheme="minorHAnsi" w:hAnsiTheme="minorHAnsi" w:cstheme="minorHAnsi"/>
                <w:bCs/>
                <w:snapToGrid w:val="0"/>
                <w:sz w:val="18"/>
                <w:szCs w:val="18"/>
              </w:rPr>
              <w:t xml:space="preserve"> 2023 recommendation for this drug.</w:t>
            </w:r>
          </w:p>
        </w:tc>
      </w:tr>
      <w:tr w:rsidR="007B6F84" w:rsidRPr="00180C4A" w14:paraId="1CA6785E" w14:textId="77777777" w:rsidTr="00162DD8">
        <w:trPr>
          <w:cantSplit/>
          <w:trHeight w:val="1281"/>
          <w:jc w:val="center"/>
        </w:trPr>
        <w:tc>
          <w:tcPr>
            <w:tcW w:w="1242" w:type="pct"/>
            <w:tcBorders>
              <w:top w:val="single" w:sz="6" w:space="0" w:color="auto"/>
              <w:left w:val="single" w:sz="6" w:space="0" w:color="auto"/>
              <w:bottom w:val="single" w:sz="6" w:space="0" w:color="auto"/>
              <w:right w:val="single" w:sz="6" w:space="0" w:color="auto"/>
            </w:tcBorders>
            <w:vAlign w:val="center"/>
          </w:tcPr>
          <w:p w14:paraId="6059386E" w14:textId="77777777" w:rsidR="007B6F84" w:rsidRPr="006A5A05" w:rsidRDefault="007B6F84" w:rsidP="007B6F84">
            <w:pPr>
              <w:pStyle w:val="paragraph"/>
              <w:spacing w:before="0" w:beforeAutospacing="0" w:after="0" w:afterAutospacing="0"/>
              <w:jc w:val="center"/>
              <w:textAlignment w:val="baseline"/>
              <w:rPr>
                <w:rFonts w:asciiTheme="minorHAnsi" w:hAnsiTheme="minorHAnsi" w:cstheme="minorHAnsi"/>
                <w:sz w:val="18"/>
                <w:szCs w:val="18"/>
              </w:rPr>
            </w:pPr>
            <w:r w:rsidRPr="006A5A05">
              <w:rPr>
                <w:rStyle w:val="normaltextrun"/>
                <w:rFonts w:asciiTheme="minorHAnsi" w:hAnsiTheme="minorHAnsi" w:cstheme="minorHAnsi"/>
                <w:color w:val="000000"/>
                <w:sz w:val="18"/>
                <w:szCs w:val="18"/>
              </w:rPr>
              <w:t>GALCANEZUMAB</w:t>
            </w:r>
            <w:r w:rsidRPr="006A5A05">
              <w:rPr>
                <w:rStyle w:val="normaltextrun"/>
                <w:rFonts w:asciiTheme="minorHAnsi" w:hAnsiTheme="minorHAnsi" w:cstheme="minorHAnsi"/>
                <w:color w:val="000000"/>
                <w:sz w:val="18"/>
                <w:szCs w:val="18"/>
              </w:rPr>
              <w:br/>
            </w:r>
            <w:r w:rsidRPr="006A5A05">
              <w:rPr>
                <w:rFonts w:asciiTheme="minorHAnsi" w:hAnsiTheme="minorHAnsi" w:cstheme="minorHAnsi"/>
                <w:sz w:val="18"/>
                <w:szCs w:val="18"/>
              </w:rPr>
              <w:br/>
            </w:r>
            <w:r w:rsidRPr="006A5A05">
              <w:rPr>
                <w:rStyle w:val="normaltextrun"/>
                <w:rFonts w:asciiTheme="minorHAnsi" w:hAnsiTheme="minorHAnsi" w:cstheme="minorHAnsi"/>
                <w:color w:val="000000"/>
                <w:sz w:val="18"/>
                <w:szCs w:val="18"/>
              </w:rPr>
              <w:t>Injection 120 mg in 1 mL pre-filled pen</w:t>
            </w:r>
          </w:p>
          <w:p w14:paraId="20FB2981" w14:textId="59BEDD8A" w:rsidR="007B6F84" w:rsidRPr="00180C4A" w:rsidRDefault="007B6F84" w:rsidP="007B6F84">
            <w:pPr>
              <w:jc w:val="center"/>
              <w:rPr>
                <w:rFonts w:asciiTheme="minorHAnsi" w:hAnsiTheme="minorHAnsi" w:cstheme="minorHAnsi"/>
                <w:sz w:val="18"/>
                <w:szCs w:val="18"/>
              </w:rPr>
            </w:pPr>
            <w:r w:rsidRPr="006A5A05">
              <w:rPr>
                <w:rFonts w:asciiTheme="minorHAnsi" w:hAnsiTheme="minorHAnsi" w:cstheme="minorHAnsi"/>
                <w:sz w:val="18"/>
                <w:szCs w:val="18"/>
              </w:rPr>
              <w:br/>
            </w:r>
            <w:proofErr w:type="spellStart"/>
            <w:r w:rsidRPr="006A5A05">
              <w:rPr>
                <w:rStyle w:val="normaltextrun"/>
                <w:rFonts w:asciiTheme="minorHAnsi" w:hAnsiTheme="minorHAnsi" w:cstheme="minorHAnsi"/>
                <w:color w:val="000000"/>
                <w:sz w:val="18"/>
                <w:szCs w:val="18"/>
              </w:rPr>
              <w:t>Emgality</w:t>
            </w:r>
            <w:proofErr w:type="spellEnd"/>
            <w:r w:rsidRPr="006A5A05">
              <w:rPr>
                <w:rStyle w:val="normaltextrun"/>
                <w:rFonts w:asciiTheme="minorHAnsi" w:hAnsiTheme="minorHAnsi" w:cstheme="minorHAnsi"/>
                <w:color w:val="000000"/>
                <w:sz w:val="18"/>
                <w:szCs w:val="18"/>
                <w:vertAlign w:val="superscript"/>
              </w:rPr>
              <w:t>®</w:t>
            </w:r>
            <w:r w:rsidRPr="006A5A05">
              <w:rPr>
                <w:rStyle w:val="eop"/>
                <w:rFonts w:asciiTheme="minorHAnsi" w:hAnsiTheme="minorHAnsi" w:cstheme="minorHAnsi"/>
                <w:color w:val="000000"/>
                <w:sz w:val="18"/>
                <w:szCs w:val="18"/>
              </w:rPr>
              <w:t> </w:t>
            </w:r>
            <w:r w:rsidRPr="006A5A05">
              <w:rPr>
                <w:rStyle w:val="eop"/>
                <w:rFonts w:asciiTheme="minorHAnsi" w:hAnsiTheme="minorHAnsi" w:cstheme="minorHAnsi"/>
                <w:color w:val="000000"/>
                <w:sz w:val="18"/>
                <w:szCs w:val="18"/>
              </w:rPr>
              <w:br/>
            </w:r>
            <w:r w:rsidRPr="006A5A05">
              <w:rPr>
                <w:rStyle w:val="eop"/>
                <w:rFonts w:asciiTheme="minorHAnsi" w:hAnsiTheme="minorHAnsi" w:cstheme="minorHAnsi"/>
                <w:color w:val="000000"/>
                <w:sz w:val="18"/>
                <w:szCs w:val="18"/>
              </w:rPr>
              <w:br/>
            </w:r>
            <w:r w:rsidRPr="006A5A05">
              <w:rPr>
                <w:rStyle w:val="normaltextrun"/>
                <w:rFonts w:asciiTheme="minorHAnsi" w:hAnsiTheme="minorHAnsi" w:cstheme="minorHAnsi"/>
                <w:color w:val="000000"/>
                <w:sz w:val="18"/>
                <w:szCs w:val="18"/>
              </w:rPr>
              <w:t>ELI LILLY AUSTRALIA PTY LTD</w:t>
            </w:r>
          </w:p>
        </w:tc>
        <w:tc>
          <w:tcPr>
            <w:tcW w:w="1243" w:type="pct"/>
            <w:tcBorders>
              <w:top w:val="single" w:sz="6" w:space="0" w:color="auto"/>
              <w:left w:val="single" w:sz="6" w:space="0" w:color="auto"/>
              <w:bottom w:val="single" w:sz="6" w:space="0" w:color="auto"/>
              <w:right w:val="single" w:sz="6" w:space="0" w:color="auto"/>
            </w:tcBorders>
            <w:vAlign w:val="center"/>
          </w:tcPr>
          <w:p w14:paraId="5E73F9ED" w14:textId="2031B0F8" w:rsidR="007B6F84" w:rsidRPr="00180C4A" w:rsidRDefault="007B6F84" w:rsidP="007B6F84">
            <w:pPr>
              <w:widowControl w:val="0"/>
              <w:jc w:val="center"/>
              <w:rPr>
                <w:rFonts w:asciiTheme="minorHAnsi" w:hAnsiTheme="minorHAnsi" w:cstheme="minorHAnsi"/>
                <w:bCs/>
                <w:sz w:val="18"/>
                <w:szCs w:val="18"/>
              </w:rPr>
            </w:pPr>
            <w:r w:rsidRPr="006A5A05">
              <w:rPr>
                <w:rStyle w:val="normaltextrun"/>
                <w:rFonts w:asciiTheme="minorHAnsi" w:hAnsiTheme="minorHAnsi" w:cstheme="minorHAnsi"/>
                <w:color w:val="000000"/>
                <w:sz w:val="18"/>
                <w:szCs w:val="18"/>
              </w:rPr>
              <w:t>Treatment-resistant high frequency episodic migraine</w:t>
            </w:r>
          </w:p>
        </w:tc>
        <w:tc>
          <w:tcPr>
            <w:tcW w:w="1197" w:type="pct"/>
            <w:tcBorders>
              <w:top w:val="single" w:sz="6" w:space="0" w:color="auto"/>
              <w:left w:val="single" w:sz="6" w:space="0" w:color="auto"/>
              <w:bottom w:val="single" w:sz="6" w:space="0" w:color="auto"/>
              <w:right w:val="single" w:sz="6" w:space="0" w:color="auto"/>
            </w:tcBorders>
            <w:vAlign w:val="center"/>
          </w:tcPr>
          <w:p w14:paraId="2247DE8D" w14:textId="4CE73F23" w:rsidR="007B6F84" w:rsidRPr="00180C4A" w:rsidRDefault="007B6F84" w:rsidP="007B6F84">
            <w:pPr>
              <w:widowControl w:val="0"/>
              <w:jc w:val="center"/>
              <w:rPr>
                <w:rFonts w:asciiTheme="minorHAnsi" w:hAnsiTheme="minorHAnsi" w:cstheme="minorHAnsi"/>
                <w:sz w:val="18"/>
                <w:szCs w:val="18"/>
              </w:rPr>
            </w:pPr>
            <w:r w:rsidRPr="006A5A05">
              <w:rPr>
                <w:rStyle w:val="normaltextrun"/>
                <w:rFonts w:asciiTheme="minorHAnsi" w:hAnsiTheme="minorHAnsi" w:cstheme="minorHAnsi"/>
                <w:color w:val="000000"/>
                <w:sz w:val="18"/>
                <w:szCs w:val="18"/>
              </w:rPr>
              <w:t>To request the PBAC review its March 2022 recommendation that has not yet been accepted by the applicant.</w:t>
            </w:r>
          </w:p>
        </w:tc>
        <w:tc>
          <w:tcPr>
            <w:tcW w:w="1318" w:type="pct"/>
            <w:tcBorders>
              <w:top w:val="single" w:sz="4" w:space="0" w:color="auto"/>
              <w:left w:val="nil"/>
              <w:bottom w:val="single" w:sz="4" w:space="0" w:color="auto"/>
              <w:right w:val="single" w:sz="4" w:space="0" w:color="auto"/>
            </w:tcBorders>
            <w:vAlign w:val="center"/>
          </w:tcPr>
          <w:p w14:paraId="3A319ED1" w14:textId="34640DEE" w:rsidR="007B6F84" w:rsidRPr="00180C4A" w:rsidRDefault="00824BEC" w:rsidP="007B6F84">
            <w:pPr>
              <w:widowControl w:val="0"/>
              <w:jc w:val="center"/>
              <w:rPr>
                <w:rFonts w:asciiTheme="minorHAnsi" w:hAnsiTheme="minorHAnsi" w:cstheme="minorHAnsi"/>
                <w:bCs/>
                <w:snapToGrid w:val="0"/>
                <w:sz w:val="18"/>
                <w:szCs w:val="18"/>
              </w:rPr>
            </w:pPr>
            <w:r w:rsidRPr="00824BEC">
              <w:rPr>
                <w:rFonts w:asciiTheme="minorHAnsi" w:hAnsiTheme="minorHAnsi" w:cstheme="minorHAnsi"/>
                <w:bCs/>
                <w:snapToGrid w:val="0"/>
                <w:sz w:val="18"/>
                <w:szCs w:val="18"/>
              </w:rPr>
              <w:t xml:space="preserve">The PBAC </w:t>
            </w:r>
            <w:r w:rsidR="00F5195A">
              <w:rPr>
                <w:rFonts w:asciiTheme="minorHAnsi" w:hAnsiTheme="minorHAnsi" w:cstheme="minorHAnsi"/>
                <w:bCs/>
                <w:snapToGrid w:val="0"/>
                <w:sz w:val="18"/>
                <w:szCs w:val="18"/>
              </w:rPr>
              <w:t>extended</w:t>
            </w:r>
            <w:r w:rsidRPr="00824BEC">
              <w:rPr>
                <w:rFonts w:asciiTheme="minorHAnsi" w:hAnsiTheme="minorHAnsi" w:cstheme="minorHAnsi"/>
                <w:bCs/>
                <w:snapToGrid w:val="0"/>
                <w:sz w:val="18"/>
                <w:szCs w:val="18"/>
              </w:rPr>
              <w:t xml:space="preserve"> the March 202</w:t>
            </w:r>
            <w:r w:rsidR="00F5195A">
              <w:rPr>
                <w:rFonts w:asciiTheme="minorHAnsi" w:hAnsiTheme="minorHAnsi" w:cstheme="minorHAnsi"/>
                <w:bCs/>
                <w:snapToGrid w:val="0"/>
                <w:sz w:val="18"/>
                <w:szCs w:val="18"/>
              </w:rPr>
              <w:t>2</w:t>
            </w:r>
            <w:r w:rsidRPr="00824BEC">
              <w:rPr>
                <w:rFonts w:asciiTheme="minorHAnsi" w:hAnsiTheme="minorHAnsi" w:cstheme="minorHAnsi"/>
                <w:bCs/>
                <w:snapToGrid w:val="0"/>
                <w:sz w:val="18"/>
                <w:szCs w:val="18"/>
              </w:rPr>
              <w:t xml:space="preserve"> recommendation for this drug</w:t>
            </w:r>
            <w:r w:rsidR="004B1B6E" w:rsidRPr="004B1B6E">
              <w:rPr>
                <w:rFonts w:ascii="Arial Narrow" w:hAnsi="Arial Narrow" w:cs="Arial"/>
              </w:rPr>
              <w:t xml:space="preserve"> </w:t>
            </w:r>
            <w:r w:rsidR="004B1B6E" w:rsidRPr="004B1B6E">
              <w:rPr>
                <w:rFonts w:asciiTheme="minorHAnsi" w:hAnsiTheme="minorHAnsi" w:cstheme="minorHAnsi"/>
                <w:bCs/>
                <w:snapToGrid w:val="0"/>
                <w:sz w:val="18"/>
                <w:szCs w:val="18"/>
              </w:rPr>
              <w:t>for a further 12 months.</w:t>
            </w:r>
          </w:p>
        </w:tc>
      </w:tr>
      <w:tr w:rsidR="007B6F84" w:rsidRPr="00180C4A" w14:paraId="505C1C37" w14:textId="77777777" w:rsidTr="00162DD8">
        <w:trPr>
          <w:cantSplit/>
          <w:trHeight w:val="1281"/>
          <w:jc w:val="center"/>
        </w:trPr>
        <w:tc>
          <w:tcPr>
            <w:tcW w:w="1242" w:type="pct"/>
            <w:tcBorders>
              <w:top w:val="single" w:sz="6" w:space="0" w:color="auto"/>
              <w:left w:val="single" w:sz="6" w:space="0" w:color="auto"/>
              <w:bottom w:val="single" w:sz="6" w:space="0" w:color="auto"/>
              <w:right w:val="single" w:sz="6" w:space="0" w:color="auto"/>
            </w:tcBorders>
            <w:vAlign w:val="center"/>
          </w:tcPr>
          <w:p w14:paraId="2E6A3E2D" w14:textId="2E27A128" w:rsidR="007B6F84" w:rsidRPr="00180C4A" w:rsidRDefault="007B6F84" w:rsidP="007B6F84">
            <w:pPr>
              <w:jc w:val="center"/>
              <w:rPr>
                <w:rFonts w:asciiTheme="minorHAnsi" w:hAnsiTheme="minorHAnsi" w:cstheme="minorHAnsi"/>
                <w:sz w:val="18"/>
                <w:szCs w:val="18"/>
              </w:rPr>
            </w:pPr>
            <w:r w:rsidRPr="006A5A05">
              <w:rPr>
                <w:rStyle w:val="normaltextrun"/>
                <w:rFonts w:asciiTheme="minorHAnsi" w:hAnsiTheme="minorHAnsi" w:cstheme="minorHAnsi"/>
                <w:color w:val="000000"/>
                <w:sz w:val="18"/>
                <w:szCs w:val="18"/>
              </w:rPr>
              <w:t>HYALURONIC ACID WITH POLYETHYLENE GLYCOL 400 WITH PROPYLENE GLYCOL WITH HYDROXYPROPYL GUAR</w:t>
            </w:r>
            <w:r w:rsidRPr="006A5A05">
              <w:rPr>
                <w:rStyle w:val="eop"/>
                <w:rFonts w:asciiTheme="minorHAnsi" w:hAnsiTheme="minorHAnsi" w:cstheme="minorHAnsi"/>
                <w:color w:val="000000"/>
                <w:sz w:val="18"/>
                <w:szCs w:val="18"/>
              </w:rPr>
              <w:t> </w:t>
            </w:r>
            <w:r w:rsidRPr="006A5A05">
              <w:rPr>
                <w:rStyle w:val="eop"/>
                <w:rFonts w:asciiTheme="minorHAnsi" w:hAnsiTheme="minorHAnsi" w:cstheme="minorHAnsi"/>
                <w:color w:val="000000"/>
                <w:sz w:val="18"/>
                <w:szCs w:val="18"/>
              </w:rPr>
              <w:br/>
            </w:r>
            <w:r w:rsidRPr="006A5A05">
              <w:rPr>
                <w:rStyle w:val="eop"/>
                <w:rFonts w:asciiTheme="minorHAnsi" w:hAnsiTheme="minorHAnsi" w:cstheme="minorHAnsi"/>
                <w:color w:val="000000"/>
                <w:sz w:val="18"/>
                <w:szCs w:val="18"/>
              </w:rPr>
              <w:br/>
            </w:r>
            <w:r w:rsidRPr="006A5A05">
              <w:rPr>
                <w:rStyle w:val="normaltextrun"/>
                <w:rFonts w:asciiTheme="minorHAnsi" w:hAnsiTheme="minorHAnsi" w:cstheme="minorHAnsi"/>
                <w:color w:val="000000"/>
                <w:sz w:val="18"/>
                <w:szCs w:val="18"/>
              </w:rPr>
              <w:t>Eye drops containing sodium hyaluronate 1.5 mg per mL with polyethylene glycol 400, propylene glycol and hydroxypropyl guar, 10 mL</w:t>
            </w:r>
            <w:r w:rsidRPr="006A5A05">
              <w:rPr>
                <w:rStyle w:val="normaltextrun"/>
                <w:rFonts w:asciiTheme="minorHAnsi" w:hAnsiTheme="minorHAnsi" w:cstheme="minorHAnsi"/>
                <w:color w:val="000000"/>
                <w:sz w:val="18"/>
                <w:szCs w:val="18"/>
              </w:rPr>
              <w:br/>
            </w:r>
            <w:r w:rsidRPr="006A5A05">
              <w:rPr>
                <w:rStyle w:val="normaltextrun"/>
                <w:rFonts w:asciiTheme="minorHAnsi" w:hAnsiTheme="minorHAnsi" w:cstheme="minorHAnsi"/>
                <w:sz w:val="18"/>
                <w:szCs w:val="18"/>
              </w:rPr>
              <w:br/>
            </w:r>
            <w:r w:rsidRPr="006A5A05">
              <w:rPr>
                <w:rStyle w:val="normaltextrun"/>
                <w:rFonts w:asciiTheme="minorHAnsi" w:hAnsiTheme="minorHAnsi" w:cstheme="minorHAnsi"/>
                <w:color w:val="000000"/>
                <w:sz w:val="18"/>
                <w:szCs w:val="18"/>
              </w:rPr>
              <w:t>Systane</w:t>
            </w:r>
            <w:r w:rsidRPr="006A5A05">
              <w:rPr>
                <w:rStyle w:val="normaltextrun"/>
                <w:rFonts w:asciiTheme="minorHAnsi" w:hAnsiTheme="minorHAnsi" w:cstheme="minorHAnsi"/>
                <w:color w:val="000000"/>
                <w:sz w:val="18"/>
                <w:szCs w:val="18"/>
                <w:vertAlign w:val="superscript"/>
              </w:rPr>
              <w:t xml:space="preserve">® </w:t>
            </w:r>
            <w:r w:rsidRPr="006A5A05">
              <w:rPr>
                <w:rStyle w:val="normaltextrun"/>
                <w:rFonts w:asciiTheme="minorHAnsi" w:hAnsiTheme="minorHAnsi" w:cstheme="minorHAnsi"/>
                <w:color w:val="000000"/>
                <w:sz w:val="18"/>
                <w:szCs w:val="18"/>
              </w:rPr>
              <w:t>Hydration</w:t>
            </w:r>
            <w:r w:rsidRPr="006A5A05">
              <w:rPr>
                <w:rStyle w:val="normaltextrun"/>
                <w:rFonts w:asciiTheme="minorHAnsi" w:hAnsiTheme="minorHAnsi" w:cstheme="minorHAnsi"/>
                <w:color w:val="000000"/>
                <w:sz w:val="18"/>
                <w:szCs w:val="18"/>
              </w:rPr>
              <w:br/>
            </w:r>
            <w:r w:rsidRPr="006A5A05">
              <w:rPr>
                <w:rStyle w:val="normaltextrun"/>
                <w:rFonts w:asciiTheme="minorHAnsi" w:hAnsiTheme="minorHAnsi" w:cstheme="minorHAnsi"/>
                <w:sz w:val="18"/>
                <w:szCs w:val="18"/>
              </w:rPr>
              <w:br/>
            </w:r>
            <w:r w:rsidRPr="006A5A05">
              <w:rPr>
                <w:rStyle w:val="normaltextrun"/>
                <w:rFonts w:asciiTheme="minorHAnsi" w:hAnsiTheme="minorHAnsi" w:cstheme="minorHAnsi"/>
                <w:color w:val="000000"/>
                <w:sz w:val="18"/>
                <w:szCs w:val="18"/>
              </w:rPr>
              <w:t>ALCON LABORATORIES (AUSTRALIA) PTY LTD</w:t>
            </w:r>
          </w:p>
        </w:tc>
        <w:tc>
          <w:tcPr>
            <w:tcW w:w="1243" w:type="pct"/>
            <w:tcBorders>
              <w:top w:val="single" w:sz="6" w:space="0" w:color="auto"/>
              <w:left w:val="single" w:sz="6" w:space="0" w:color="auto"/>
              <w:bottom w:val="single" w:sz="6" w:space="0" w:color="auto"/>
              <w:right w:val="single" w:sz="6" w:space="0" w:color="auto"/>
            </w:tcBorders>
            <w:vAlign w:val="center"/>
          </w:tcPr>
          <w:p w14:paraId="3CE01007" w14:textId="3C6C193B" w:rsidR="007B6F84" w:rsidRPr="00180C4A" w:rsidRDefault="007B6F84" w:rsidP="007B6F84">
            <w:pPr>
              <w:widowControl w:val="0"/>
              <w:jc w:val="center"/>
              <w:rPr>
                <w:rFonts w:asciiTheme="minorHAnsi" w:hAnsiTheme="minorHAnsi" w:cstheme="minorHAnsi"/>
                <w:bCs/>
                <w:sz w:val="18"/>
                <w:szCs w:val="18"/>
              </w:rPr>
            </w:pPr>
            <w:r w:rsidRPr="006A5A05">
              <w:rPr>
                <w:rStyle w:val="normaltextrun"/>
                <w:rFonts w:asciiTheme="minorHAnsi" w:hAnsiTheme="minorHAnsi" w:cstheme="minorHAnsi"/>
                <w:color w:val="000000"/>
                <w:sz w:val="18"/>
                <w:szCs w:val="18"/>
              </w:rPr>
              <w:t>Severe dry eye syndrome</w:t>
            </w:r>
          </w:p>
        </w:tc>
        <w:tc>
          <w:tcPr>
            <w:tcW w:w="1197" w:type="pct"/>
            <w:tcBorders>
              <w:top w:val="single" w:sz="6" w:space="0" w:color="auto"/>
              <w:left w:val="single" w:sz="6" w:space="0" w:color="auto"/>
              <w:bottom w:val="single" w:sz="6" w:space="0" w:color="auto"/>
              <w:right w:val="single" w:sz="6" w:space="0" w:color="auto"/>
            </w:tcBorders>
            <w:vAlign w:val="center"/>
          </w:tcPr>
          <w:p w14:paraId="7AD3A18C" w14:textId="69CCD366" w:rsidR="007B6F84" w:rsidRPr="00180C4A" w:rsidRDefault="007B6F84" w:rsidP="007B6F84">
            <w:pPr>
              <w:widowControl w:val="0"/>
              <w:jc w:val="center"/>
              <w:rPr>
                <w:rFonts w:asciiTheme="minorHAnsi" w:hAnsiTheme="minorHAnsi" w:cstheme="minorHAnsi"/>
                <w:sz w:val="18"/>
                <w:szCs w:val="18"/>
              </w:rPr>
            </w:pPr>
            <w:r w:rsidRPr="006A5A05">
              <w:rPr>
                <w:rStyle w:val="normaltextrun"/>
                <w:rFonts w:asciiTheme="minorHAnsi" w:hAnsiTheme="minorHAnsi" w:cstheme="minorHAnsi"/>
                <w:color w:val="000000"/>
                <w:sz w:val="18"/>
                <w:szCs w:val="18"/>
              </w:rPr>
              <w:t>To request the PBAC review its May 2023 recommendation that has not yet been accepted by the applicant.</w:t>
            </w:r>
          </w:p>
        </w:tc>
        <w:tc>
          <w:tcPr>
            <w:tcW w:w="1318" w:type="pct"/>
            <w:tcBorders>
              <w:top w:val="single" w:sz="4" w:space="0" w:color="auto"/>
              <w:left w:val="nil"/>
              <w:bottom w:val="single" w:sz="4" w:space="0" w:color="auto"/>
              <w:right w:val="single" w:sz="4" w:space="0" w:color="auto"/>
            </w:tcBorders>
            <w:vAlign w:val="center"/>
          </w:tcPr>
          <w:p w14:paraId="23E9833A" w14:textId="6A47DDDA" w:rsidR="007B6F84" w:rsidRPr="00180C4A" w:rsidRDefault="00620A21" w:rsidP="007B6F84">
            <w:pPr>
              <w:widowControl w:val="0"/>
              <w:jc w:val="center"/>
              <w:rPr>
                <w:rFonts w:asciiTheme="minorHAnsi" w:hAnsiTheme="minorHAnsi" w:cstheme="minorHAnsi"/>
                <w:bCs/>
                <w:snapToGrid w:val="0"/>
                <w:sz w:val="18"/>
                <w:szCs w:val="18"/>
              </w:rPr>
            </w:pPr>
            <w:r w:rsidRPr="00620A21">
              <w:rPr>
                <w:rFonts w:asciiTheme="minorHAnsi" w:hAnsiTheme="minorHAnsi" w:cstheme="minorHAnsi"/>
                <w:bCs/>
                <w:snapToGrid w:val="0"/>
                <w:sz w:val="18"/>
                <w:szCs w:val="18"/>
              </w:rPr>
              <w:t>The PBAC rescinded the Ma</w:t>
            </w:r>
            <w:r>
              <w:rPr>
                <w:rFonts w:asciiTheme="minorHAnsi" w:hAnsiTheme="minorHAnsi" w:cstheme="minorHAnsi"/>
                <w:bCs/>
                <w:snapToGrid w:val="0"/>
                <w:sz w:val="18"/>
                <w:szCs w:val="18"/>
              </w:rPr>
              <w:t>y</w:t>
            </w:r>
            <w:r w:rsidRPr="00620A21">
              <w:rPr>
                <w:rFonts w:asciiTheme="minorHAnsi" w:hAnsiTheme="minorHAnsi" w:cstheme="minorHAnsi"/>
                <w:bCs/>
                <w:snapToGrid w:val="0"/>
                <w:sz w:val="18"/>
                <w:szCs w:val="18"/>
              </w:rPr>
              <w:t xml:space="preserve"> 2023 recommendation for this drug.</w:t>
            </w:r>
          </w:p>
        </w:tc>
      </w:tr>
      <w:tr w:rsidR="007B6F84" w:rsidRPr="00180C4A" w14:paraId="39D44778" w14:textId="77777777" w:rsidTr="00162DD8">
        <w:trPr>
          <w:cantSplit/>
          <w:trHeight w:val="1281"/>
          <w:jc w:val="center"/>
        </w:trPr>
        <w:tc>
          <w:tcPr>
            <w:tcW w:w="1242" w:type="pct"/>
            <w:tcBorders>
              <w:top w:val="single" w:sz="6" w:space="0" w:color="auto"/>
              <w:left w:val="single" w:sz="6" w:space="0" w:color="auto"/>
              <w:bottom w:val="single" w:sz="6" w:space="0" w:color="auto"/>
              <w:right w:val="single" w:sz="6" w:space="0" w:color="auto"/>
            </w:tcBorders>
            <w:vAlign w:val="center"/>
          </w:tcPr>
          <w:p w14:paraId="10D702B7" w14:textId="5AF1EECE" w:rsidR="007B6F84" w:rsidRPr="00180C4A" w:rsidRDefault="007B6F84" w:rsidP="00B14E3A">
            <w:pPr>
              <w:pStyle w:val="paragraph"/>
              <w:spacing w:before="0" w:beforeAutospacing="0" w:after="0" w:afterAutospacing="0"/>
              <w:jc w:val="center"/>
              <w:textAlignment w:val="baseline"/>
              <w:rPr>
                <w:rFonts w:asciiTheme="minorHAnsi" w:hAnsiTheme="minorHAnsi" w:cstheme="minorHAnsi"/>
                <w:sz w:val="18"/>
                <w:szCs w:val="18"/>
              </w:rPr>
            </w:pPr>
            <w:r w:rsidRPr="006A5A05">
              <w:rPr>
                <w:rStyle w:val="normaltextrun"/>
                <w:rFonts w:asciiTheme="minorHAnsi" w:hAnsiTheme="minorHAnsi" w:cstheme="minorHAnsi"/>
                <w:color w:val="000000"/>
                <w:sz w:val="18"/>
                <w:szCs w:val="18"/>
              </w:rPr>
              <w:t>MIRIKIZUMAB</w:t>
            </w:r>
            <w:r w:rsidRPr="006A5A05">
              <w:rPr>
                <w:rStyle w:val="normaltextrun"/>
                <w:rFonts w:asciiTheme="minorHAnsi" w:hAnsiTheme="minorHAnsi" w:cstheme="minorHAnsi"/>
                <w:color w:val="000000"/>
                <w:sz w:val="18"/>
                <w:szCs w:val="18"/>
              </w:rPr>
              <w:br/>
            </w:r>
            <w:r w:rsidRPr="006A5A05">
              <w:rPr>
                <w:rStyle w:val="normaltextrun"/>
                <w:rFonts w:asciiTheme="minorHAnsi" w:hAnsiTheme="minorHAnsi" w:cstheme="minorHAnsi"/>
                <w:sz w:val="18"/>
                <w:szCs w:val="18"/>
              </w:rPr>
              <w:br/>
            </w:r>
            <w:r w:rsidRPr="006A5A05">
              <w:rPr>
                <w:rStyle w:val="normaltextrun"/>
                <w:rFonts w:asciiTheme="minorHAnsi" w:hAnsiTheme="minorHAnsi" w:cstheme="minorHAnsi"/>
                <w:color w:val="000000"/>
                <w:sz w:val="18"/>
                <w:szCs w:val="18"/>
              </w:rPr>
              <w:t>Solution concentrate for I.V. infusion 300 mg in 15 mL</w:t>
            </w:r>
            <w:r w:rsidRPr="006A5A05">
              <w:rPr>
                <w:rStyle w:val="normaltextrun"/>
                <w:rFonts w:asciiTheme="minorHAnsi" w:hAnsiTheme="minorHAnsi" w:cstheme="minorHAnsi"/>
                <w:color w:val="000000"/>
                <w:sz w:val="18"/>
                <w:szCs w:val="18"/>
              </w:rPr>
              <w:br/>
              <w:t>Solution for injection 100 mg in 1 mL pre-filled pen</w:t>
            </w:r>
            <w:r w:rsidRPr="006A5A05">
              <w:rPr>
                <w:rStyle w:val="normaltextrun"/>
                <w:rFonts w:asciiTheme="minorHAnsi" w:hAnsiTheme="minorHAnsi" w:cstheme="minorHAnsi"/>
                <w:color w:val="000000"/>
                <w:sz w:val="18"/>
                <w:szCs w:val="18"/>
              </w:rPr>
              <w:br/>
            </w:r>
            <w:r w:rsidRPr="006A5A05">
              <w:rPr>
                <w:rStyle w:val="normaltextrun"/>
                <w:rFonts w:asciiTheme="minorHAnsi" w:hAnsiTheme="minorHAnsi" w:cstheme="minorHAnsi"/>
                <w:sz w:val="18"/>
                <w:szCs w:val="18"/>
              </w:rPr>
              <w:br/>
            </w:r>
            <w:proofErr w:type="spellStart"/>
            <w:r w:rsidRPr="006A5A05">
              <w:rPr>
                <w:rStyle w:val="normaltextrun"/>
                <w:rFonts w:asciiTheme="minorHAnsi" w:hAnsiTheme="minorHAnsi" w:cstheme="minorHAnsi"/>
                <w:color w:val="000000"/>
                <w:sz w:val="18"/>
                <w:szCs w:val="18"/>
              </w:rPr>
              <w:t>Omvoh</w:t>
            </w:r>
            <w:proofErr w:type="spellEnd"/>
            <w:r w:rsidRPr="006A5A05">
              <w:rPr>
                <w:rStyle w:val="normaltextrun"/>
                <w:rFonts w:asciiTheme="minorHAnsi" w:hAnsiTheme="minorHAnsi" w:cstheme="minorHAnsi"/>
                <w:color w:val="000000"/>
                <w:sz w:val="18"/>
                <w:szCs w:val="18"/>
                <w:vertAlign w:val="superscript"/>
              </w:rPr>
              <w:t>®</w:t>
            </w:r>
            <w:r w:rsidRPr="006A5A05">
              <w:rPr>
                <w:rStyle w:val="eop"/>
                <w:rFonts w:asciiTheme="minorHAnsi" w:hAnsiTheme="minorHAnsi" w:cstheme="minorHAnsi"/>
                <w:color w:val="000000"/>
                <w:sz w:val="18"/>
                <w:szCs w:val="18"/>
              </w:rPr>
              <w:t> </w:t>
            </w:r>
            <w:r w:rsidRPr="006A5A05">
              <w:rPr>
                <w:rStyle w:val="eop"/>
                <w:rFonts w:asciiTheme="minorHAnsi" w:hAnsiTheme="minorHAnsi" w:cstheme="minorHAnsi"/>
                <w:color w:val="000000"/>
                <w:sz w:val="18"/>
                <w:szCs w:val="18"/>
              </w:rPr>
              <w:br/>
            </w:r>
            <w:r w:rsidRPr="006A5A05">
              <w:rPr>
                <w:rFonts w:asciiTheme="minorHAnsi" w:hAnsiTheme="minorHAnsi" w:cstheme="minorHAnsi"/>
                <w:sz w:val="18"/>
                <w:szCs w:val="18"/>
              </w:rPr>
              <w:br/>
            </w:r>
            <w:r w:rsidRPr="006A5A05">
              <w:rPr>
                <w:rStyle w:val="normaltextrun"/>
                <w:rFonts w:asciiTheme="minorHAnsi" w:hAnsiTheme="minorHAnsi" w:cstheme="minorHAnsi"/>
                <w:color w:val="000000"/>
                <w:sz w:val="18"/>
                <w:szCs w:val="18"/>
              </w:rPr>
              <w:t>ELI LILLY AUSTRALIA PTY LTD</w:t>
            </w:r>
          </w:p>
        </w:tc>
        <w:tc>
          <w:tcPr>
            <w:tcW w:w="1243" w:type="pct"/>
            <w:tcBorders>
              <w:top w:val="single" w:sz="6" w:space="0" w:color="auto"/>
              <w:left w:val="single" w:sz="6" w:space="0" w:color="auto"/>
              <w:bottom w:val="single" w:sz="6" w:space="0" w:color="auto"/>
              <w:right w:val="single" w:sz="6" w:space="0" w:color="auto"/>
            </w:tcBorders>
            <w:vAlign w:val="center"/>
          </w:tcPr>
          <w:p w14:paraId="238FEC77" w14:textId="52D3D24F" w:rsidR="007B6F84" w:rsidRPr="00180C4A" w:rsidRDefault="007B6F84" w:rsidP="007B6F84">
            <w:pPr>
              <w:widowControl w:val="0"/>
              <w:jc w:val="center"/>
              <w:rPr>
                <w:rFonts w:asciiTheme="minorHAnsi" w:hAnsiTheme="minorHAnsi" w:cstheme="minorHAnsi"/>
                <w:bCs/>
                <w:sz w:val="18"/>
                <w:szCs w:val="18"/>
              </w:rPr>
            </w:pPr>
            <w:r w:rsidRPr="006A5A05">
              <w:rPr>
                <w:rStyle w:val="normaltextrun"/>
                <w:rFonts w:asciiTheme="minorHAnsi" w:hAnsiTheme="minorHAnsi" w:cstheme="minorHAnsi"/>
                <w:color w:val="000000"/>
                <w:sz w:val="18"/>
                <w:szCs w:val="18"/>
              </w:rPr>
              <w:t>Ulcerative colitis</w:t>
            </w:r>
          </w:p>
        </w:tc>
        <w:tc>
          <w:tcPr>
            <w:tcW w:w="1197" w:type="pct"/>
            <w:tcBorders>
              <w:top w:val="single" w:sz="6" w:space="0" w:color="auto"/>
              <w:left w:val="single" w:sz="6" w:space="0" w:color="auto"/>
              <w:bottom w:val="single" w:sz="6" w:space="0" w:color="auto"/>
              <w:right w:val="single" w:sz="6" w:space="0" w:color="auto"/>
            </w:tcBorders>
            <w:vAlign w:val="center"/>
          </w:tcPr>
          <w:p w14:paraId="636F5DBB" w14:textId="7C386923" w:rsidR="007B6F84" w:rsidRPr="00180C4A" w:rsidRDefault="007B6F84" w:rsidP="007B6F84">
            <w:pPr>
              <w:widowControl w:val="0"/>
              <w:jc w:val="center"/>
              <w:rPr>
                <w:rFonts w:asciiTheme="minorHAnsi" w:hAnsiTheme="minorHAnsi" w:cstheme="minorHAnsi"/>
                <w:sz w:val="18"/>
                <w:szCs w:val="18"/>
              </w:rPr>
            </w:pPr>
            <w:r w:rsidRPr="006A5A05">
              <w:rPr>
                <w:rStyle w:val="normaltextrun"/>
                <w:rFonts w:asciiTheme="minorHAnsi" w:hAnsiTheme="minorHAnsi" w:cstheme="minorHAnsi"/>
                <w:color w:val="000000"/>
                <w:sz w:val="18"/>
                <w:szCs w:val="18"/>
              </w:rPr>
              <w:t>To request the PBAC review its July 2023 recommendation that has not yet been accepted by the applicant.</w:t>
            </w:r>
          </w:p>
        </w:tc>
        <w:tc>
          <w:tcPr>
            <w:tcW w:w="1318" w:type="pct"/>
            <w:tcBorders>
              <w:top w:val="single" w:sz="4" w:space="0" w:color="auto"/>
              <w:left w:val="nil"/>
              <w:bottom w:val="single" w:sz="4" w:space="0" w:color="auto"/>
              <w:right w:val="single" w:sz="4" w:space="0" w:color="auto"/>
            </w:tcBorders>
            <w:vAlign w:val="center"/>
          </w:tcPr>
          <w:p w14:paraId="426BBA3B" w14:textId="20863841" w:rsidR="007B6F84" w:rsidRPr="00180C4A" w:rsidRDefault="006F4D78" w:rsidP="007B6F84">
            <w:pPr>
              <w:widowControl w:val="0"/>
              <w:jc w:val="center"/>
              <w:rPr>
                <w:rFonts w:asciiTheme="minorHAnsi" w:hAnsiTheme="minorHAnsi" w:cstheme="minorHAnsi"/>
                <w:bCs/>
                <w:snapToGrid w:val="0"/>
                <w:sz w:val="18"/>
                <w:szCs w:val="18"/>
              </w:rPr>
            </w:pPr>
            <w:r>
              <w:rPr>
                <w:rFonts w:asciiTheme="minorHAnsi" w:hAnsiTheme="minorHAnsi" w:cstheme="minorHAnsi"/>
                <w:bCs/>
                <w:snapToGrid w:val="0"/>
                <w:sz w:val="18"/>
                <w:szCs w:val="18"/>
              </w:rPr>
              <w:t>T</w:t>
            </w:r>
            <w:r w:rsidR="00E70BC8" w:rsidRPr="00E70BC8">
              <w:rPr>
                <w:rFonts w:asciiTheme="minorHAnsi" w:hAnsiTheme="minorHAnsi" w:cstheme="minorHAnsi"/>
                <w:bCs/>
                <w:snapToGrid w:val="0"/>
                <w:sz w:val="18"/>
                <w:szCs w:val="18"/>
              </w:rPr>
              <w:t>he PBAC extended the July 2023 recommendation for this drug for a further 12 months.</w:t>
            </w:r>
          </w:p>
        </w:tc>
      </w:tr>
      <w:tr w:rsidR="007B6F84" w:rsidRPr="00180C4A" w14:paraId="394B787B" w14:textId="77777777" w:rsidTr="00162DD8">
        <w:trPr>
          <w:cantSplit/>
          <w:trHeight w:val="1281"/>
          <w:jc w:val="center"/>
        </w:trPr>
        <w:tc>
          <w:tcPr>
            <w:tcW w:w="1242" w:type="pct"/>
            <w:tcBorders>
              <w:top w:val="single" w:sz="6" w:space="0" w:color="auto"/>
              <w:left w:val="single" w:sz="6" w:space="0" w:color="auto"/>
              <w:bottom w:val="single" w:sz="6" w:space="0" w:color="auto"/>
              <w:right w:val="single" w:sz="6" w:space="0" w:color="auto"/>
            </w:tcBorders>
            <w:vAlign w:val="center"/>
          </w:tcPr>
          <w:p w14:paraId="1E384793" w14:textId="303FA0D8" w:rsidR="007B6F84" w:rsidRPr="00180C4A" w:rsidRDefault="007B6F84" w:rsidP="007B6F84">
            <w:pPr>
              <w:jc w:val="center"/>
              <w:rPr>
                <w:rFonts w:asciiTheme="minorHAnsi" w:hAnsiTheme="minorHAnsi" w:cstheme="minorHAnsi"/>
                <w:sz w:val="18"/>
                <w:szCs w:val="18"/>
              </w:rPr>
            </w:pPr>
            <w:r w:rsidRPr="006A5A05">
              <w:rPr>
                <w:rStyle w:val="normaltextrun"/>
                <w:rFonts w:asciiTheme="minorHAnsi" w:hAnsiTheme="minorHAnsi" w:cstheme="minorHAnsi"/>
                <w:color w:val="000000"/>
                <w:sz w:val="18"/>
                <w:szCs w:val="18"/>
              </w:rPr>
              <w:t>MOBOCERTINIB</w:t>
            </w:r>
            <w:r w:rsidRPr="006A5A05">
              <w:rPr>
                <w:rStyle w:val="normaltextrun"/>
                <w:rFonts w:asciiTheme="minorHAnsi" w:hAnsiTheme="minorHAnsi" w:cstheme="minorHAnsi"/>
                <w:color w:val="000000"/>
                <w:sz w:val="18"/>
                <w:szCs w:val="18"/>
              </w:rPr>
              <w:br/>
            </w:r>
            <w:r w:rsidRPr="006A5A05">
              <w:rPr>
                <w:rStyle w:val="normaltextrun"/>
                <w:rFonts w:asciiTheme="minorHAnsi" w:hAnsiTheme="minorHAnsi" w:cstheme="minorHAnsi"/>
                <w:sz w:val="18"/>
                <w:szCs w:val="18"/>
              </w:rPr>
              <w:br/>
            </w:r>
            <w:r w:rsidRPr="006A5A05">
              <w:rPr>
                <w:rStyle w:val="normaltextrun"/>
                <w:rFonts w:asciiTheme="minorHAnsi" w:hAnsiTheme="minorHAnsi" w:cstheme="minorHAnsi"/>
                <w:color w:val="000000"/>
                <w:sz w:val="18"/>
                <w:szCs w:val="18"/>
              </w:rPr>
              <w:t>Capsule 400 mg</w:t>
            </w:r>
            <w:r w:rsidRPr="006A5A05">
              <w:rPr>
                <w:rStyle w:val="normaltextrun"/>
                <w:rFonts w:asciiTheme="minorHAnsi" w:hAnsiTheme="minorHAnsi" w:cstheme="minorHAnsi"/>
                <w:color w:val="000000"/>
                <w:sz w:val="18"/>
                <w:szCs w:val="18"/>
              </w:rPr>
              <w:br/>
            </w:r>
            <w:r w:rsidRPr="006A5A05">
              <w:rPr>
                <w:rStyle w:val="normaltextrun"/>
                <w:rFonts w:asciiTheme="minorHAnsi" w:hAnsiTheme="minorHAnsi" w:cstheme="minorHAnsi"/>
                <w:sz w:val="18"/>
                <w:szCs w:val="18"/>
              </w:rPr>
              <w:br/>
            </w:r>
            <w:proofErr w:type="spellStart"/>
            <w:r w:rsidRPr="006A5A05">
              <w:rPr>
                <w:rStyle w:val="normaltextrun"/>
                <w:rFonts w:asciiTheme="minorHAnsi" w:hAnsiTheme="minorHAnsi" w:cstheme="minorHAnsi"/>
                <w:color w:val="000000"/>
                <w:sz w:val="18"/>
                <w:szCs w:val="18"/>
              </w:rPr>
              <w:t>Exkivity</w:t>
            </w:r>
            <w:proofErr w:type="spellEnd"/>
            <w:r w:rsidRPr="006A5A05">
              <w:rPr>
                <w:rStyle w:val="normaltextrun"/>
                <w:rFonts w:asciiTheme="minorHAnsi" w:hAnsiTheme="minorHAnsi" w:cstheme="minorHAnsi"/>
                <w:color w:val="000000"/>
                <w:sz w:val="18"/>
                <w:szCs w:val="18"/>
                <w:vertAlign w:val="superscript"/>
              </w:rPr>
              <w:t>®</w:t>
            </w:r>
            <w:r w:rsidRPr="006A5A05">
              <w:rPr>
                <w:rStyle w:val="eop"/>
                <w:rFonts w:asciiTheme="minorHAnsi" w:hAnsiTheme="minorHAnsi" w:cstheme="minorHAnsi"/>
                <w:color w:val="000000"/>
                <w:sz w:val="18"/>
                <w:szCs w:val="18"/>
              </w:rPr>
              <w:t> </w:t>
            </w:r>
            <w:r w:rsidRPr="006A5A05">
              <w:rPr>
                <w:rStyle w:val="eop"/>
                <w:rFonts w:asciiTheme="minorHAnsi" w:hAnsiTheme="minorHAnsi" w:cstheme="minorHAnsi"/>
                <w:color w:val="000000"/>
                <w:sz w:val="18"/>
                <w:szCs w:val="18"/>
              </w:rPr>
              <w:br/>
            </w:r>
            <w:r w:rsidRPr="006A5A05">
              <w:rPr>
                <w:rStyle w:val="eop"/>
                <w:rFonts w:asciiTheme="minorHAnsi" w:hAnsiTheme="minorHAnsi" w:cstheme="minorHAnsi"/>
                <w:color w:val="000000"/>
                <w:sz w:val="18"/>
                <w:szCs w:val="18"/>
              </w:rPr>
              <w:br/>
            </w:r>
            <w:r w:rsidRPr="006A5A05">
              <w:rPr>
                <w:rStyle w:val="normaltextrun"/>
                <w:rFonts w:asciiTheme="minorHAnsi" w:hAnsiTheme="minorHAnsi" w:cstheme="minorHAnsi"/>
                <w:color w:val="000000"/>
                <w:sz w:val="18"/>
                <w:szCs w:val="18"/>
              </w:rPr>
              <w:t>TAKEDA PHARMACEUTICALS AUSTRALIA PTY LTD</w:t>
            </w:r>
          </w:p>
        </w:tc>
        <w:tc>
          <w:tcPr>
            <w:tcW w:w="1243" w:type="pct"/>
            <w:tcBorders>
              <w:top w:val="single" w:sz="6" w:space="0" w:color="auto"/>
              <w:left w:val="single" w:sz="6" w:space="0" w:color="auto"/>
              <w:bottom w:val="single" w:sz="6" w:space="0" w:color="auto"/>
              <w:right w:val="single" w:sz="6" w:space="0" w:color="auto"/>
            </w:tcBorders>
            <w:vAlign w:val="center"/>
          </w:tcPr>
          <w:p w14:paraId="701E82BA" w14:textId="175470E5" w:rsidR="007B6F84" w:rsidRPr="00180C4A" w:rsidRDefault="007B6F84" w:rsidP="007B6F84">
            <w:pPr>
              <w:widowControl w:val="0"/>
              <w:jc w:val="center"/>
              <w:rPr>
                <w:rFonts w:asciiTheme="minorHAnsi" w:hAnsiTheme="minorHAnsi" w:cstheme="minorHAnsi"/>
                <w:bCs/>
                <w:sz w:val="18"/>
                <w:szCs w:val="18"/>
              </w:rPr>
            </w:pPr>
            <w:r w:rsidRPr="006A5A05">
              <w:rPr>
                <w:rStyle w:val="normaltextrun"/>
                <w:rFonts w:asciiTheme="minorHAnsi" w:hAnsiTheme="minorHAnsi" w:cstheme="minorHAnsi"/>
                <w:color w:val="000000"/>
                <w:sz w:val="18"/>
                <w:szCs w:val="18"/>
              </w:rPr>
              <w:t>Non-small cell lung cancer</w:t>
            </w:r>
          </w:p>
        </w:tc>
        <w:tc>
          <w:tcPr>
            <w:tcW w:w="1197" w:type="pct"/>
            <w:tcBorders>
              <w:top w:val="single" w:sz="6" w:space="0" w:color="auto"/>
              <w:left w:val="single" w:sz="6" w:space="0" w:color="auto"/>
              <w:bottom w:val="single" w:sz="6" w:space="0" w:color="auto"/>
              <w:right w:val="single" w:sz="6" w:space="0" w:color="auto"/>
            </w:tcBorders>
            <w:vAlign w:val="center"/>
          </w:tcPr>
          <w:p w14:paraId="5D8A1FD7" w14:textId="3971766C" w:rsidR="007B6F84" w:rsidRPr="00180C4A" w:rsidRDefault="007B6F84" w:rsidP="007B6F84">
            <w:pPr>
              <w:widowControl w:val="0"/>
              <w:jc w:val="center"/>
              <w:rPr>
                <w:rFonts w:asciiTheme="minorHAnsi" w:hAnsiTheme="minorHAnsi" w:cstheme="minorHAnsi"/>
                <w:sz w:val="18"/>
                <w:szCs w:val="18"/>
              </w:rPr>
            </w:pPr>
            <w:r w:rsidRPr="006A5A05">
              <w:rPr>
                <w:rStyle w:val="normaltextrun"/>
                <w:rFonts w:asciiTheme="minorHAnsi" w:hAnsiTheme="minorHAnsi" w:cstheme="minorHAnsi"/>
                <w:color w:val="000000"/>
                <w:sz w:val="18"/>
                <w:szCs w:val="18"/>
              </w:rPr>
              <w:t>To request the PBAC review its July 2023 recommendation that has not yet been accepted by the applicant.</w:t>
            </w:r>
          </w:p>
        </w:tc>
        <w:tc>
          <w:tcPr>
            <w:tcW w:w="1318" w:type="pct"/>
            <w:tcBorders>
              <w:top w:val="single" w:sz="4" w:space="0" w:color="auto"/>
              <w:left w:val="nil"/>
              <w:bottom w:val="single" w:sz="4" w:space="0" w:color="auto"/>
              <w:right w:val="single" w:sz="4" w:space="0" w:color="auto"/>
            </w:tcBorders>
            <w:vAlign w:val="center"/>
          </w:tcPr>
          <w:p w14:paraId="16F46821" w14:textId="6C8BEBE3" w:rsidR="007B6F84" w:rsidRPr="00180C4A" w:rsidRDefault="00122108" w:rsidP="007B6F84">
            <w:pPr>
              <w:widowControl w:val="0"/>
              <w:jc w:val="center"/>
              <w:rPr>
                <w:rFonts w:asciiTheme="minorHAnsi" w:hAnsiTheme="minorHAnsi" w:cstheme="minorHAnsi"/>
                <w:bCs/>
                <w:snapToGrid w:val="0"/>
                <w:sz w:val="18"/>
                <w:szCs w:val="18"/>
              </w:rPr>
            </w:pPr>
            <w:r w:rsidRPr="00122108">
              <w:rPr>
                <w:rFonts w:asciiTheme="minorHAnsi" w:hAnsiTheme="minorHAnsi" w:cstheme="minorHAnsi"/>
                <w:bCs/>
                <w:snapToGrid w:val="0"/>
                <w:sz w:val="18"/>
                <w:szCs w:val="18"/>
              </w:rPr>
              <w:t xml:space="preserve">The PBAC rescinded the </w:t>
            </w:r>
            <w:r>
              <w:rPr>
                <w:rFonts w:asciiTheme="minorHAnsi" w:hAnsiTheme="minorHAnsi" w:cstheme="minorHAnsi"/>
                <w:bCs/>
                <w:snapToGrid w:val="0"/>
                <w:sz w:val="18"/>
                <w:szCs w:val="18"/>
              </w:rPr>
              <w:t>July</w:t>
            </w:r>
            <w:r w:rsidRPr="00122108">
              <w:rPr>
                <w:rFonts w:asciiTheme="minorHAnsi" w:hAnsiTheme="minorHAnsi" w:cstheme="minorHAnsi"/>
                <w:bCs/>
                <w:snapToGrid w:val="0"/>
                <w:sz w:val="18"/>
                <w:szCs w:val="18"/>
              </w:rPr>
              <w:t xml:space="preserve"> 2023 recommendation for this drug.</w:t>
            </w:r>
          </w:p>
        </w:tc>
      </w:tr>
      <w:tr w:rsidR="007B6F84" w:rsidRPr="00180C4A" w14:paraId="2BC7529B" w14:textId="77777777" w:rsidTr="00162DD8">
        <w:trPr>
          <w:cantSplit/>
          <w:trHeight w:val="1281"/>
          <w:jc w:val="center"/>
        </w:trPr>
        <w:tc>
          <w:tcPr>
            <w:tcW w:w="1242" w:type="pct"/>
            <w:tcBorders>
              <w:top w:val="single" w:sz="6" w:space="0" w:color="auto"/>
              <w:left w:val="single" w:sz="6" w:space="0" w:color="auto"/>
              <w:bottom w:val="single" w:sz="6" w:space="0" w:color="auto"/>
              <w:right w:val="single" w:sz="6" w:space="0" w:color="auto"/>
            </w:tcBorders>
            <w:vAlign w:val="center"/>
          </w:tcPr>
          <w:p w14:paraId="3F522B03" w14:textId="1BB7D661" w:rsidR="007B6F84" w:rsidRPr="00180C4A" w:rsidRDefault="007B6F84" w:rsidP="007B6F84">
            <w:pPr>
              <w:jc w:val="center"/>
              <w:rPr>
                <w:rFonts w:asciiTheme="minorHAnsi" w:hAnsiTheme="minorHAnsi" w:cstheme="minorHAnsi"/>
                <w:color w:val="000000"/>
                <w:sz w:val="18"/>
                <w:szCs w:val="18"/>
              </w:rPr>
            </w:pPr>
            <w:r w:rsidRPr="006A5A05">
              <w:rPr>
                <w:rStyle w:val="normaltextrun"/>
                <w:rFonts w:asciiTheme="minorHAnsi" w:hAnsiTheme="minorHAnsi" w:cstheme="minorHAnsi"/>
                <w:color w:val="000000"/>
                <w:sz w:val="18"/>
                <w:szCs w:val="18"/>
              </w:rPr>
              <w:t>SECUKINUMAB</w:t>
            </w:r>
            <w:r w:rsidRPr="006A5A05">
              <w:rPr>
                <w:rStyle w:val="normaltextrun"/>
                <w:rFonts w:asciiTheme="minorHAnsi" w:hAnsiTheme="minorHAnsi" w:cstheme="minorHAnsi"/>
                <w:color w:val="000000"/>
                <w:sz w:val="18"/>
                <w:szCs w:val="18"/>
              </w:rPr>
              <w:br/>
            </w:r>
            <w:r w:rsidRPr="006A5A05">
              <w:rPr>
                <w:rStyle w:val="normaltextrun"/>
                <w:rFonts w:asciiTheme="minorHAnsi" w:hAnsiTheme="minorHAnsi" w:cstheme="minorHAnsi"/>
                <w:sz w:val="18"/>
                <w:szCs w:val="18"/>
              </w:rPr>
              <w:br/>
            </w:r>
            <w:r w:rsidRPr="006A5A05">
              <w:rPr>
                <w:rStyle w:val="normaltextrun"/>
                <w:rFonts w:asciiTheme="minorHAnsi" w:hAnsiTheme="minorHAnsi" w:cstheme="minorHAnsi"/>
                <w:color w:val="000000"/>
                <w:sz w:val="18"/>
                <w:szCs w:val="18"/>
              </w:rPr>
              <w:t>Solution for injection 300 mg in 2 mL pre-filled pen</w:t>
            </w:r>
            <w:r w:rsidRPr="006A5A05">
              <w:rPr>
                <w:rStyle w:val="normaltextrun"/>
                <w:rFonts w:asciiTheme="minorHAnsi" w:hAnsiTheme="minorHAnsi" w:cstheme="minorHAnsi"/>
                <w:color w:val="000000"/>
                <w:sz w:val="18"/>
                <w:szCs w:val="18"/>
              </w:rPr>
              <w:br/>
              <w:t>Solution for injection 300 mg in 2 mL pre-filled syringe</w:t>
            </w:r>
            <w:r w:rsidRPr="006A5A05">
              <w:rPr>
                <w:rStyle w:val="normaltextrun"/>
                <w:rFonts w:asciiTheme="minorHAnsi" w:hAnsiTheme="minorHAnsi" w:cstheme="minorHAnsi"/>
                <w:color w:val="000000"/>
                <w:sz w:val="18"/>
                <w:szCs w:val="18"/>
              </w:rPr>
              <w:br/>
            </w:r>
            <w:r w:rsidRPr="006A5A05">
              <w:rPr>
                <w:rFonts w:asciiTheme="minorHAnsi" w:hAnsiTheme="minorHAnsi" w:cstheme="minorHAnsi"/>
                <w:sz w:val="18"/>
                <w:szCs w:val="18"/>
              </w:rPr>
              <w:br/>
            </w:r>
            <w:r w:rsidRPr="006A5A05">
              <w:rPr>
                <w:rStyle w:val="normaltextrun"/>
                <w:rFonts w:asciiTheme="minorHAnsi" w:hAnsiTheme="minorHAnsi" w:cstheme="minorHAnsi"/>
                <w:color w:val="000000"/>
                <w:sz w:val="18"/>
                <w:szCs w:val="18"/>
              </w:rPr>
              <w:t>Cosentyx</w:t>
            </w:r>
            <w:r w:rsidRPr="006A5A05">
              <w:rPr>
                <w:rStyle w:val="normaltextrun"/>
                <w:rFonts w:asciiTheme="minorHAnsi" w:hAnsiTheme="minorHAnsi" w:cstheme="minorHAnsi"/>
                <w:color w:val="000000"/>
                <w:sz w:val="18"/>
                <w:szCs w:val="18"/>
                <w:vertAlign w:val="superscript"/>
              </w:rPr>
              <w:t>®</w:t>
            </w:r>
            <w:r w:rsidRPr="006A5A05">
              <w:rPr>
                <w:rStyle w:val="eop"/>
                <w:rFonts w:asciiTheme="minorHAnsi" w:hAnsiTheme="minorHAnsi" w:cstheme="minorHAnsi"/>
                <w:color w:val="000000"/>
                <w:sz w:val="18"/>
                <w:szCs w:val="18"/>
              </w:rPr>
              <w:t> </w:t>
            </w:r>
            <w:r w:rsidRPr="006A5A05">
              <w:rPr>
                <w:rStyle w:val="eop"/>
                <w:rFonts w:asciiTheme="minorHAnsi" w:hAnsiTheme="minorHAnsi" w:cstheme="minorHAnsi"/>
                <w:color w:val="000000"/>
                <w:sz w:val="18"/>
                <w:szCs w:val="18"/>
              </w:rPr>
              <w:br/>
            </w:r>
            <w:r w:rsidRPr="006A5A05">
              <w:rPr>
                <w:rStyle w:val="eop"/>
                <w:rFonts w:asciiTheme="minorHAnsi" w:hAnsiTheme="minorHAnsi" w:cstheme="minorHAnsi"/>
                <w:color w:val="000000"/>
                <w:sz w:val="18"/>
                <w:szCs w:val="18"/>
              </w:rPr>
              <w:br/>
            </w:r>
            <w:r w:rsidRPr="006A5A05">
              <w:rPr>
                <w:rStyle w:val="normaltextrun"/>
                <w:rFonts w:asciiTheme="minorHAnsi" w:hAnsiTheme="minorHAnsi" w:cstheme="minorHAnsi"/>
                <w:color w:val="000000"/>
                <w:sz w:val="18"/>
                <w:szCs w:val="18"/>
              </w:rPr>
              <w:t>NOVARTIS PHARMACEUTICALS AUSTRALIA PTY LIMITED</w:t>
            </w:r>
          </w:p>
        </w:tc>
        <w:tc>
          <w:tcPr>
            <w:tcW w:w="1243" w:type="pct"/>
            <w:tcBorders>
              <w:top w:val="single" w:sz="6" w:space="0" w:color="auto"/>
              <w:left w:val="single" w:sz="6" w:space="0" w:color="auto"/>
              <w:bottom w:val="single" w:sz="6" w:space="0" w:color="auto"/>
              <w:right w:val="single" w:sz="6" w:space="0" w:color="auto"/>
            </w:tcBorders>
            <w:vAlign w:val="center"/>
          </w:tcPr>
          <w:p w14:paraId="4E48F020" w14:textId="0E099376" w:rsidR="007B6F84" w:rsidRPr="00180C4A" w:rsidRDefault="007B6F84" w:rsidP="007B6F84">
            <w:pPr>
              <w:widowControl w:val="0"/>
              <w:jc w:val="center"/>
              <w:rPr>
                <w:rFonts w:asciiTheme="minorHAnsi" w:hAnsiTheme="minorHAnsi" w:cstheme="minorHAnsi"/>
                <w:bCs/>
                <w:sz w:val="18"/>
                <w:szCs w:val="18"/>
              </w:rPr>
            </w:pPr>
            <w:r w:rsidRPr="006A5A05">
              <w:rPr>
                <w:rStyle w:val="normaltextrun"/>
                <w:rFonts w:asciiTheme="minorHAnsi" w:hAnsiTheme="minorHAnsi" w:cstheme="minorHAnsi"/>
                <w:color w:val="000000"/>
                <w:sz w:val="18"/>
                <w:szCs w:val="18"/>
              </w:rPr>
              <w:t xml:space="preserve">Non-radiographic axial </w:t>
            </w:r>
            <w:proofErr w:type="spellStart"/>
            <w:r w:rsidRPr="006A5A05">
              <w:rPr>
                <w:rStyle w:val="normaltextrun"/>
                <w:rFonts w:asciiTheme="minorHAnsi" w:hAnsiTheme="minorHAnsi" w:cstheme="minorHAnsi"/>
                <w:color w:val="000000"/>
                <w:sz w:val="18"/>
                <w:szCs w:val="18"/>
              </w:rPr>
              <w:t>spondyloarthritis</w:t>
            </w:r>
            <w:proofErr w:type="spellEnd"/>
            <w:r w:rsidRPr="006A5A05">
              <w:rPr>
                <w:rStyle w:val="normaltextrun"/>
                <w:rFonts w:asciiTheme="minorHAnsi" w:hAnsiTheme="minorHAnsi" w:cstheme="minorHAnsi"/>
                <w:color w:val="000000"/>
                <w:sz w:val="18"/>
                <w:szCs w:val="18"/>
              </w:rPr>
              <w:br/>
              <w:t>Severe active psoriatic arthritis</w:t>
            </w:r>
            <w:r w:rsidRPr="006A5A05">
              <w:rPr>
                <w:rStyle w:val="normaltextrun"/>
                <w:rFonts w:asciiTheme="minorHAnsi" w:hAnsiTheme="minorHAnsi" w:cstheme="minorHAnsi"/>
                <w:color w:val="000000"/>
                <w:sz w:val="18"/>
                <w:szCs w:val="18"/>
              </w:rPr>
              <w:br/>
              <w:t>Severe psoriatic arthritis</w:t>
            </w:r>
            <w:r w:rsidRPr="006A5A05">
              <w:rPr>
                <w:rStyle w:val="normaltextrun"/>
                <w:rFonts w:asciiTheme="minorHAnsi" w:hAnsiTheme="minorHAnsi" w:cstheme="minorHAnsi"/>
                <w:color w:val="000000"/>
                <w:sz w:val="18"/>
                <w:szCs w:val="18"/>
              </w:rPr>
              <w:br/>
              <w:t>Ankylosing spondylitis</w:t>
            </w:r>
            <w:r w:rsidRPr="006A5A05">
              <w:rPr>
                <w:rStyle w:val="normaltextrun"/>
                <w:rFonts w:asciiTheme="minorHAnsi" w:hAnsiTheme="minorHAnsi" w:cstheme="minorHAnsi"/>
                <w:color w:val="000000"/>
                <w:sz w:val="18"/>
                <w:szCs w:val="18"/>
              </w:rPr>
              <w:br/>
              <w:t>Active ankylosing spondylitis</w:t>
            </w:r>
            <w:r w:rsidRPr="006A5A05">
              <w:rPr>
                <w:rStyle w:val="eop"/>
                <w:rFonts w:asciiTheme="minorHAnsi" w:hAnsiTheme="minorHAnsi" w:cstheme="minorHAnsi"/>
                <w:color w:val="000000"/>
                <w:sz w:val="18"/>
                <w:szCs w:val="18"/>
              </w:rPr>
              <w:br/>
            </w:r>
            <w:r w:rsidRPr="006A5A05">
              <w:rPr>
                <w:rStyle w:val="normaltextrun"/>
                <w:rFonts w:asciiTheme="minorHAnsi" w:hAnsiTheme="minorHAnsi" w:cstheme="minorHAnsi"/>
                <w:color w:val="000000"/>
                <w:sz w:val="18"/>
                <w:szCs w:val="18"/>
              </w:rPr>
              <w:t>Severe chronic plaque psoriasis</w:t>
            </w:r>
          </w:p>
        </w:tc>
        <w:tc>
          <w:tcPr>
            <w:tcW w:w="1197" w:type="pct"/>
            <w:tcBorders>
              <w:top w:val="single" w:sz="6" w:space="0" w:color="auto"/>
              <w:left w:val="single" w:sz="6" w:space="0" w:color="auto"/>
              <w:bottom w:val="single" w:sz="6" w:space="0" w:color="auto"/>
              <w:right w:val="single" w:sz="6" w:space="0" w:color="auto"/>
            </w:tcBorders>
            <w:vAlign w:val="center"/>
          </w:tcPr>
          <w:p w14:paraId="5F30D3E4" w14:textId="58D1B334" w:rsidR="007B6F84" w:rsidRPr="00180C4A" w:rsidRDefault="007B6F84" w:rsidP="007B6F84">
            <w:pPr>
              <w:widowControl w:val="0"/>
              <w:jc w:val="center"/>
              <w:rPr>
                <w:rFonts w:asciiTheme="minorHAnsi" w:hAnsiTheme="minorHAnsi" w:cstheme="minorHAnsi"/>
                <w:sz w:val="18"/>
                <w:szCs w:val="18"/>
              </w:rPr>
            </w:pPr>
            <w:r w:rsidRPr="006A5A05">
              <w:rPr>
                <w:rStyle w:val="normaltextrun"/>
                <w:rFonts w:asciiTheme="minorHAnsi" w:hAnsiTheme="minorHAnsi" w:cstheme="minorHAnsi"/>
                <w:color w:val="000000"/>
                <w:sz w:val="18"/>
                <w:szCs w:val="18"/>
              </w:rPr>
              <w:t>To request the PBAC review its March 2022 recommendation that has not yet been accepted by the applicant.</w:t>
            </w:r>
          </w:p>
        </w:tc>
        <w:tc>
          <w:tcPr>
            <w:tcW w:w="1318" w:type="pct"/>
            <w:tcBorders>
              <w:top w:val="single" w:sz="4" w:space="0" w:color="auto"/>
              <w:left w:val="nil"/>
              <w:bottom w:val="single" w:sz="4" w:space="0" w:color="auto"/>
              <w:right w:val="single" w:sz="4" w:space="0" w:color="auto"/>
            </w:tcBorders>
            <w:vAlign w:val="center"/>
          </w:tcPr>
          <w:p w14:paraId="6F3DAA9E" w14:textId="4BC383EA" w:rsidR="007B6F84" w:rsidRPr="00180C4A" w:rsidRDefault="00B74E48" w:rsidP="007B6F84">
            <w:pPr>
              <w:widowControl w:val="0"/>
              <w:jc w:val="center"/>
              <w:rPr>
                <w:rFonts w:asciiTheme="minorHAnsi" w:hAnsiTheme="minorHAnsi" w:cstheme="minorHAnsi"/>
                <w:bCs/>
                <w:snapToGrid w:val="0"/>
                <w:sz w:val="18"/>
                <w:szCs w:val="18"/>
              </w:rPr>
            </w:pPr>
            <w:r w:rsidRPr="00B74E48">
              <w:rPr>
                <w:rFonts w:asciiTheme="minorHAnsi" w:hAnsiTheme="minorHAnsi" w:cstheme="minorHAnsi"/>
                <w:bCs/>
                <w:snapToGrid w:val="0"/>
                <w:sz w:val="18"/>
                <w:szCs w:val="18"/>
              </w:rPr>
              <w:t xml:space="preserve">The PBAC </w:t>
            </w:r>
            <w:r>
              <w:rPr>
                <w:rFonts w:asciiTheme="minorHAnsi" w:hAnsiTheme="minorHAnsi" w:cstheme="minorHAnsi"/>
                <w:bCs/>
                <w:snapToGrid w:val="0"/>
                <w:sz w:val="18"/>
                <w:szCs w:val="18"/>
              </w:rPr>
              <w:t>extended</w:t>
            </w:r>
            <w:r w:rsidRPr="00B74E48">
              <w:rPr>
                <w:rFonts w:asciiTheme="minorHAnsi" w:hAnsiTheme="minorHAnsi" w:cstheme="minorHAnsi"/>
                <w:bCs/>
                <w:snapToGrid w:val="0"/>
                <w:sz w:val="18"/>
                <w:szCs w:val="18"/>
              </w:rPr>
              <w:t xml:space="preserve"> the March 202</w:t>
            </w:r>
            <w:r>
              <w:rPr>
                <w:rFonts w:asciiTheme="minorHAnsi" w:hAnsiTheme="minorHAnsi" w:cstheme="minorHAnsi"/>
                <w:bCs/>
                <w:snapToGrid w:val="0"/>
                <w:sz w:val="18"/>
                <w:szCs w:val="18"/>
              </w:rPr>
              <w:t>2</w:t>
            </w:r>
            <w:r w:rsidRPr="00B74E48">
              <w:rPr>
                <w:rFonts w:asciiTheme="minorHAnsi" w:hAnsiTheme="minorHAnsi" w:cstheme="minorHAnsi"/>
                <w:bCs/>
                <w:snapToGrid w:val="0"/>
                <w:sz w:val="18"/>
                <w:szCs w:val="18"/>
              </w:rPr>
              <w:t xml:space="preserve"> recommendation for this drug</w:t>
            </w:r>
            <w:r w:rsidR="00862A4A">
              <w:rPr>
                <w:rFonts w:asciiTheme="minorHAnsi" w:hAnsiTheme="minorHAnsi" w:cstheme="minorHAnsi"/>
                <w:bCs/>
                <w:snapToGrid w:val="0"/>
                <w:sz w:val="18"/>
                <w:szCs w:val="18"/>
              </w:rPr>
              <w:t xml:space="preserve"> </w:t>
            </w:r>
            <w:r w:rsidR="002D0A2C" w:rsidRPr="002D0A2C">
              <w:rPr>
                <w:rFonts w:asciiTheme="minorHAnsi" w:hAnsiTheme="minorHAnsi" w:cstheme="minorHAnsi"/>
                <w:bCs/>
                <w:snapToGrid w:val="0"/>
                <w:sz w:val="18"/>
                <w:szCs w:val="18"/>
              </w:rPr>
              <w:t>for a further 12 months.</w:t>
            </w:r>
          </w:p>
        </w:tc>
      </w:tr>
      <w:tr w:rsidR="007B6F84" w:rsidRPr="00180C4A" w14:paraId="5D0839C8" w14:textId="77777777" w:rsidTr="00162DD8">
        <w:trPr>
          <w:cantSplit/>
          <w:trHeight w:val="1281"/>
          <w:jc w:val="center"/>
        </w:trPr>
        <w:tc>
          <w:tcPr>
            <w:tcW w:w="1242" w:type="pct"/>
            <w:tcBorders>
              <w:top w:val="single" w:sz="6" w:space="0" w:color="auto"/>
              <w:left w:val="single" w:sz="6" w:space="0" w:color="auto"/>
              <w:bottom w:val="single" w:sz="6" w:space="0" w:color="auto"/>
              <w:right w:val="single" w:sz="6" w:space="0" w:color="auto"/>
            </w:tcBorders>
            <w:vAlign w:val="center"/>
          </w:tcPr>
          <w:p w14:paraId="18B8CAAB" w14:textId="2DB984BC" w:rsidR="007B6F84" w:rsidRPr="00180C4A" w:rsidRDefault="007B6F84" w:rsidP="007B6F84">
            <w:pPr>
              <w:jc w:val="center"/>
              <w:rPr>
                <w:rFonts w:asciiTheme="minorHAnsi" w:hAnsiTheme="minorHAnsi" w:cstheme="minorHAnsi"/>
                <w:sz w:val="18"/>
                <w:szCs w:val="18"/>
              </w:rPr>
            </w:pPr>
            <w:r w:rsidRPr="006A5A05">
              <w:rPr>
                <w:rStyle w:val="normaltextrun"/>
                <w:rFonts w:asciiTheme="minorHAnsi" w:hAnsiTheme="minorHAnsi" w:cstheme="minorHAnsi"/>
                <w:color w:val="000000"/>
                <w:sz w:val="18"/>
                <w:szCs w:val="18"/>
              </w:rPr>
              <w:t>SOMAPACITAN</w:t>
            </w:r>
            <w:r w:rsidRPr="006A5A05">
              <w:rPr>
                <w:rStyle w:val="normaltextrun"/>
                <w:rFonts w:asciiTheme="minorHAnsi" w:hAnsiTheme="minorHAnsi" w:cstheme="minorHAnsi"/>
                <w:color w:val="000000"/>
                <w:sz w:val="18"/>
                <w:szCs w:val="18"/>
              </w:rPr>
              <w:br/>
            </w:r>
            <w:r w:rsidRPr="006A5A05">
              <w:rPr>
                <w:rFonts w:asciiTheme="minorHAnsi" w:hAnsiTheme="minorHAnsi" w:cstheme="minorHAnsi"/>
                <w:sz w:val="18"/>
                <w:szCs w:val="18"/>
              </w:rPr>
              <w:br/>
            </w:r>
            <w:r w:rsidRPr="006A5A05">
              <w:rPr>
                <w:rStyle w:val="normaltextrun"/>
                <w:rFonts w:asciiTheme="minorHAnsi" w:hAnsiTheme="minorHAnsi" w:cstheme="minorHAnsi"/>
                <w:color w:val="000000"/>
                <w:sz w:val="18"/>
                <w:szCs w:val="18"/>
              </w:rPr>
              <w:t>Injection 5 mg in 1.5 mL pre-filled pen</w:t>
            </w:r>
            <w:r w:rsidRPr="006A5A05">
              <w:rPr>
                <w:rStyle w:val="normaltextrun"/>
                <w:rFonts w:asciiTheme="minorHAnsi" w:hAnsiTheme="minorHAnsi" w:cstheme="minorHAnsi"/>
                <w:color w:val="000000"/>
                <w:sz w:val="18"/>
                <w:szCs w:val="18"/>
              </w:rPr>
              <w:br/>
              <w:t>Injection 10 mg in 1.5 mL pre-filled pen</w:t>
            </w:r>
            <w:r w:rsidRPr="006A5A05">
              <w:rPr>
                <w:rStyle w:val="normaltextrun"/>
                <w:rFonts w:asciiTheme="minorHAnsi" w:hAnsiTheme="minorHAnsi" w:cstheme="minorHAnsi"/>
                <w:color w:val="000000"/>
                <w:sz w:val="18"/>
                <w:szCs w:val="18"/>
              </w:rPr>
              <w:br/>
              <w:t>Injection 15 mg in 1.5 mL pre-filled pen</w:t>
            </w:r>
            <w:r w:rsidRPr="006A5A05">
              <w:rPr>
                <w:rStyle w:val="normaltextrun"/>
                <w:rFonts w:asciiTheme="minorHAnsi" w:hAnsiTheme="minorHAnsi" w:cstheme="minorHAnsi"/>
                <w:color w:val="000000"/>
                <w:sz w:val="18"/>
                <w:szCs w:val="18"/>
              </w:rPr>
              <w:br/>
            </w:r>
            <w:r w:rsidRPr="006A5A05">
              <w:rPr>
                <w:rFonts w:asciiTheme="minorHAnsi" w:hAnsiTheme="minorHAnsi" w:cstheme="minorHAnsi"/>
                <w:sz w:val="18"/>
                <w:szCs w:val="18"/>
              </w:rPr>
              <w:br/>
            </w:r>
            <w:proofErr w:type="spellStart"/>
            <w:r w:rsidRPr="006A5A05">
              <w:rPr>
                <w:rStyle w:val="normaltextrun"/>
                <w:rFonts w:asciiTheme="minorHAnsi" w:hAnsiTheme="minorHAnsi" w:cstheme="minorHAnsi"/>
                <w:color w:val="000000"/>
                <w:sz w:val="18"/>
                <w:szCs w:val="18"/>
              </w:rPr>
              <w:t>Sogroya</w:t>
            </w:r>
            <w:proofErr w:type="spellEnd"/>
            <w:r w:rsidRPr="006A5A05">
              <w:rPr>
                <w:rStyle w:val="normaltextrun"/>
                <w:rFonts w:asciiTheme="minorHAnsi" w:hAnsiTheme="minorHAnsi" w:cstheme="minorHAnsi"/>
                <w:color w:val="000000"/>
                <w:sz w:val="18"/>
                <w:szCs w:val="18"/>
                <w:vertAlign w:val="superscript"/>
              </w:rPr>
              <w:t>®</w:t>
            </w:r>
            <w:r w:rsidRPr="006A5A05">
              <w:rPr>
                <w:rStyle w:val="eop"/>
                <w:rFonts w:asciiTheme="minorHAnsi" w:hAnsiTheme="minorHAnsi" w:cstheme="minorHAnsi"/>
                <w:color w:val="000000"/>
                <w:sz w:val="18"/>
                <w:szCs w:val="18"/>
              </w:rPr>
              <w:t> </w:t>
            </w:r>
            <w:r w:rsidRPr="006A5A05">
              <w:rPr>
                <w:rStyle w:val="eop"/>
                <w:rFonts w:asciiTheme="minorHAnsi" w:hAnsiTheme="minorHAnsi" w:cstheme="minorHAnsi"/>
                <w:color w:val="000000"/>
                <w:sz w:val="18"/>
                <w:szCs w:val="18"/>
              </w:rPr>
              <w:br/>
            </w:r>
            <w:r w:rsidRPr="006A5A05">
              <w:rPr>
                <w:rFonts w:asciiTheme="minorHAnsi" w:hAnsiTheme="minorHAnsi" w:cstheme="minorHAnsi"/>
                <w:sz w:val="18"/>
                <w:szCs w:val="18"/>
              </w:rPr>
              <w:br/>
            </w:r>
            <w:r w:rsidRPr="006A5A05">
              <w:rPr>
                <w:rStyle w:val="normaltextrun"/>
                <w:rFonts w:asciiTheme="minorHAnsi" w:hAnsiTheme="minorHAnsi" w:cstheme="minorHAnsi"/>
                <w:color w:val="000000"/>
                <w:sz w:val="18"/>
                <w:szCs w:val="18"/>
              </w:rPr>
              <w:t>NOVO NORDISK PHARMACEUTICALS PTY LIMITED</w:t>
            </w:r>
          </w:p>
        </w:tc>
        <w:tc>
          <w:tcPr>
            <w:tcW w:w="1243" w:type="pct"/>
            <w:tcBorders>
              <w:top w:val="single" w:sz="6" w:space="0" w:color="auto"/>
              <w:left w:val="single" w:sz="6" w:space="0" w:color="auto"/>
              <w:bottom w:val="single" w:sz="6" w:space="0" w:color="auto"/>
              <w:right w:val="single" w:sz="6" w:space="0" w:color="auto"/>
            </w:tcBorders>
            <w:vAlign w:val="center"/>
          </w:tcPr>
          <w:p w14:paraId="0443CB1B" w14:textId="3A41907C" w:rsidR="007B6F84" w:rsidRPr="00180C4A" w:rsidRDefault="007B6F84" w:rsidP="007B6F84">
            <w:pPr>
              <w:widowControl w:val="0"/>
              <w:jc w:val="center"/>
              <w:rPr>
                <w:rFonts w:asciiTheme="minorHAnsi" w:hAnsiTheme="minorHAnsi" w:cstheme="minorHAnsi"/>
                <w:bCs/>
                <w:sz w:val="18"/>
                <w:szCs w:val="18"/>
                <w:lang w:eastAsia="en-US"/>
              </w:rPr>
            </w:pPr>
            <w:r w:rsidRPr="006A5A05">
              <w:rPr>
                <w:rStyle w:val="normaltextrun"/>
                <w:rFonts w:asciiTheme="minorHAnsi" w:hAnsiTheme="minorHAnsi" w:cstheme="minorHAnsi"/>
                <w:color w:val="000000"/>
                <w:sz w:val="18"/>
                <w:szCs w:val="18"/>
              </w:rPr>
              <w:t>Paediatric patients with growth hormone deficiency</w:t>
            </w:r>
          </w:p>
        </w:tc>
        <w:tc>
          <w:tcPr>
            <w:tcW w:w="1197" w:type="pct"/>
            <w:tcBorders>
              <w:top w:val="single" w:sz="6" w:space="0" w:color="auto"/>
              <w:left w:val="single" w:sz="6" w:space="0" w:color="auto"/>
              <w:bottom w:val="single" w:sz="6" w:space="0" w:color="auto"/>
              <w:right w:val="single" w:sz="6" w:space="0" w:color="auto"/>
            </w:tcBorders>
            <w:vAlign w:val="center"/>
          </w:tcPr>
          <w:p w14:paraId="37D37B23" w14:textId="08A6F2ED" w:rsidR="007B6F84" w:rsidRPr="00180C4A" w:rsidRDefault="007B6F84" w:rsidP="007B6F84">
            <w:pPr>
              <w:widowControl w:val="0"/>
              <w:jc w:val="center"/>
              <w:rPr>
                <w:rFonts w:asciiTheme="minorHAnsi" w:hAnsiTheme="minorHAnsi" w:cstheme="minorHAnsi"/>
                <w:sz w:val="18"/>
                <w:szCs w:val="18"/>
                <w:lang w:eastAsia="en-US"/>
              </w:rPr>
            </w:pPr>
            <w:r w:rsidRPr="006A5A05">
              <w:rPr>
                <w:rStyle w:val="normaltextrun"/>
                <w:rFonts w:asciiTheme="minorHAnsi" w:hAnsiTheme="minorHAnsi" w:cstheme="minorHAnsi"/>
                <w:color w:val="000000"/>
                <w:sz w:val="18"/>
                <w:szCs w:val="18"/>
              </w:rPr>
              <w:t>To request the PBAC review its July 2023 recommendation that has not yet been accepted by the applicant.</w:t>
            </w:r>
          </w:p>
        </w:tc>
        <w:tc>
          <w:tcPr>
            <w:tcW w:w="1318" w:type="pct"/>
            <w:tcBorders>
              <w:top w:val="single" w:sz="4" w:space="0" w:color="auto"/>
              <w:left w:val="nil"/>
              <w:bottom w:val="single" w:sz="4" w:space="0" w:color="auto"/>
              <w:right w:val="single" w:sz="4" w:space="0" w:color="auto"/>
            </w:tcBorders>
            <w:vAlign w:val="center"/>
          </w:tcPr>
          <w:p w14:paraId="4727CD9F" w14:textId="2AAE7BEC" w:rsidR="007B6F84" w:rsidRPr="003F0301" w:rsidRDefault="0044189C" w:rsidP="007B6F84">
            <w:pPr>
              <w:widowControl w:val="0"/>
              <w:jc w:val="center"/>
              <w:rPr>
                <w:rFonts w:asciiTheme="minorHAnsi" w:hAnsiTheme="minorHAnsi" w:cstheme="minorHAnsi"/>
                <w:sz w:val="18"/>
                <w:szCs w:val="18"/>
              </w:rPr>
            </w:pPr>
            <w:r w:rsidRPr="0044189C">
              <w:rPr>
                <w:rFonts w:asciiTheme="minorHAnsi" w:hAnsiTheme="minorHAnsi" w:cstheme="minorHAnsi"/>
                <w:sz w:val="18"/>
                <w:szCs w:val="18"/>
              </w:rPr>
              <w:t xml:space="preserve">The PBAC </w:t>
            </w:r>
            <w:r>
              <w:rPr>
                <w:rFonts w:asciiTheme="minorHAnsi" w:hAnsiTheme="minorHAnsi" w:cstheme="minorHAnsi"/>
                <w:sz w:val="18"/>
                <w:szCs w:val="18"/>
              </w:rPr>
              <w:t>extended</w:t>
            </w:r>
            <w:r w:rsidRPr="0044189C">
              <w:rPr>
                <w:rFonts w:asciiTheme="minorHAnsi" w:hAnsiTheme="minorHAnsi" w:cstheme="minorHAnsi"/>
                <w:sz w:val="18"/>
                <w:szCs w:val="18"/>
              </w:rPr>
              <w:t xml:space="preserve"> the </w:t>
            </w:r>
            <w:r>
              <w:rPr>
                <w:rFonts w:asciiTheme="minorHAnsi" w:hAnsiTheme="minorHAnsi" w:cstheme="minorHAnsi"/>
                <w:sz w:val="18"/>
                <w:szCs w:val="18"/>
              </w:rPr>
              <w:t>July</w:t>
            </w:r>
            <w:r w:rsidRPr="0044189C">
              <w:rPr>
                <w:rFonts w:asciiTheme="minorHAnsi" w:hAnsiTheme="minorHAnsi" w:cstheme="minorHAnsi"/>
                <w:sz w:val="18"/>
                <w:szCs w:val="18"/>
              </w:rPr>
              <w:t xml:space="preserve"> 2023 recommendation for this drug</w:t>
            </w:r>
            <w:r w:rsidR="00487898">
              <w:rPr>
                <w:rFonts w:asciiTheme="minorHAnsi" w:hAnsiTheme="minorHAnsi" w:cstheme="minorHAnsi"/>
                <w:sz w:val="18"/>
                <w:szCs w:val="18"/>
              </w:rPr>
              <w:t xml:space="preserve"> </w:t>
            </w:r>
            <w:r w:rsidR="00487898" w:rsidRPr="00487898">
              <w:rPr>
                <w:rFonts w:asciiTheme="minorHAnsi" w:hAnsiTheme="minorHAnsi" w:cstheme="minorHAnsi"/>
                <w:bCs/>
                <w:snapToGrid w:val="0"/>
                <w:sz w:val="18"/>
                <w:szCs w:val="18"/>
              </w:rPr>
              <w:t xml:space="preserve"> </w:t>
            </w:r>
            <w:r w:rsidR="00487898" w:rsidRPr="00487898">
              <w:rPr>
                <w:rFonts w:asciiTheme="minorHAnsi" w:hAnsiTheme="minorHAnsi" w:cstheme="minorHAnsi"/>
                <w:bCs/>
                <w:sz w:val="18"/>
                <w:szCs w:val="18"/>
              </w:rPr>
              <w:t>for a further 12 months.</w:t>
            </w:r>
          </w:p>
        </w:tc>
      </w:tr>
      <w:tr w:rsidR="007B6F84" w:rsidRPr="00180C4A" w14:paraId="372FB1A0" w14:textId="77777777" w:rsidTr="00162DD8">
        <w:trPr>
          <w:cantSplit/>
          <w:trHeight w:val="1281"/>
          <w:jc w:val="center"/>
        </w:trPr>
        <w:tc>
          <w:tcPr>
            <w:tcW w:w="1242" w:type="pct"/>
            <w:tcBorders>
              <w:top w:val="single" w:sz="6" w:space="0" w:color="auto"/>
              <w:left w:val="single" w:sz="6" w:space="0" w:color="auto"/>
              <w:bottom w:val="single" w:sz="6" w:space="0" w:color="auto"/>
              <w:right w:val="single" w:sz="6" w:space="0" w:color="auto"/>
            </w:tcBorders>
            <w:vAlign w:val="center"/>
          </w:tcPr>
          <w:p w14:paraId="1F9D9283" w14:textId="5181E41E" w:rsidR="007B6F84" w:rsidRPr="00180C4A" w:rsidRDefault="007B6F84" w:rsidP="007B6F84">
            <w:pPr>
              <w:jc w:val="center"/>
              <w:rPr>
                <w:rFonts w:asciiTheme="minorHAnsi" w:hAnsiTheme="minorHAnsi" w:cstheme="minorHAnsi"/>
                <w:sz w:val="18"/>
                <w:szCs w:val="18"/>
              </w:rPr>
            </w:pPr>
            <w:r w:rsidRPr="006A5A05">
              <w:rPr>
                <w:rStyle w:val="normaltextrun"/>
                <w:rFonts w:asciiTheme="minorHAnsi" w:hAnsiTheme="minorHAnsi" w:cstheme="minorHAnsi"/>
                <w:color w:val="000000"/>
                <w:sz w:val="18"/>
                <w:szCs w:val="18"/>
              </w:rPr>
              <w:t>SOMAPACITAN</w:t>
            </w:r>
            <w:r w:rsidRPr="006A5A05">
              <w:rPr>
                <w:rStyle w:val="normaltextrun"/>
                <w:rFonts w:asciiTheme="minorHAnsi" w:hAnsiTheme="minorHAnsi" w:cstheme="minorHAnsi"/>
                <w:color w:val="000000"/>
                <w:sz w:val="18"/>
                <w:szCs w:val="18"/>
              </w:rPr>
              <w:br/>
            </w:r>
            <w:r w:rsidRPr="006A5A05">
              <w:rPr>
                <w:rFonts w:asciiTheme="minorHAnsi" w:hAnsiTheme="minorHAnsi" w:cstheme="minorHAnsi"/>
                <w:sz w:val="18"/>
                <w:szCs w:val="18"/>
              </w:rPr>
              <w:br/>
            </w:r>
            <w:r w:rsidRPr="006A5A05">
              <w:rPr>
                <w:rStyle w:val="normaltextrun"/>
                <w:rFonts w:asciiTheme="minorHAnsi" w:hAnsiTheme="minorHAnsi" w:cstheme="minorHAnsi"/>
                <w:color w:val="000000"/>
                <w:sz w:val="18"/>
                <w:szCs w:val="18"/>
              </w:rPr>
              <w:t>Injection 10 mg in 1.5 mL pre-filled pen</w:t>
            </w:r>
            <w:r w:rsidRPr="006A5A05">
              <w:rPr>
                <w:rStyle w:val="normaltextrun"/>
                <w:rFonts w:asciiTheme="minorHAnsi" w:hAnsiTheme="minorHAnsi" w:cstheme="minorHAnsi"/>
                <w:color w:val="000000"/>
                <w:sz w:val="18"/>
                <w:szCs w:val="18"/>
              </w:rPr>
              <w:br/>
            </w:r>
            <w:r w:rsidRPr="006A5A05">
              <w:rPr>
                <w:rFonts w:asciiTheme="minorHAnsi" w:hAnsiTheme="minorHAnsi" w:cstheme="minorHAnsi"/>
                <w:sz w:val="18"/>
                <w:szCs w:val="18"/>
              </w:rPr>
              <w:br/>
            </w:r>
            <w:proofErr w:type="spellStart"/>
            <w:r w:rsidRPr="006A5A05">
              <w:rPr>
                <w:rStyle w:val="normaltextrun"/>
                <w:rFonts w:asciiTheme="minorHAnsi" w:hAnsiTheme="minorHAnsi" w:cstheme="minorHAnsi"/>
                <w:color w:val="000000"/>
                <w:sz w:val="18"/>
                <w:szCs w:val="18"/>
              </w:rPr>
              <w:t>Sogroya</w:t>
            </w:r>
            <w:proofErr w:type="spellEnd"/>
            <w:r w:rsidRPr="006A5A05">
              <w:rPr>
                <w:rStyle w:val="normaltextrun"/>
                <w:rFonts w:asciiTheme="minorHAnsi" w:hAnsiTheme="minorHAnsi" w:cstheme="minorHAnsi"/>
                <w:color w:val="000000"/>
                <w:sz w:val="18"/>
                <w:szCs w:val="18"/>
                <w:vertAlign w:val="superscript"/>
              </w:rPr>
              <w:t>®</w:t>
            </w:r>
            <w:r w:rsidRPr="006A5A05">
              <w:rPr>
                <w:rStyle w:val="eop"/>
                <w:rFonts w:asciiTheme="minorHAnsi" w:hAnsiTheme="minorHAnsi" w:cstheme="minorHAnsi"/>
                <w:color w:val="000000"/>
                <w:sz w:val="18"/>
                <w:szCs w:val="18"/>
              </w:rPr>
              <w:t> </w:t>
            </w:r>
            <w:r w:rsidRPr="006A5A05">
              <w:rPr>
                <w:rStyle w:val="eop"/>
                <w:rFonts w:asciiTheme="minorHAnsi" w:hAnsiTheme="minorHAnsi" w:cstheme="minorHAnsi"/>
                <w:color w:val="000000"/>
                <w:sz w:val="18"/>
                <w:szCs w:val="18"/>
              </w:rPr>
              <w:br/>
            </w:r>
            <w:r w:rsidRPr="006A5A05">
              <w:rPr>
                <w:rStyle w:val="eop"/>
                <w:rFonts w:asciiTheme="minorHAnsi" w:hAnsiTheme="minorHAnsi" w:cstheme="minorHAnsi"/>
                <w:color w:val="000000"/>
                <w:sz w:val="18"/>
                <w:szCs w:val="18"/>
              </w:rPr>
              <w:br/>
            </w:r>
            <w:r w:rsidRPr="006A5A05">
              <w:rPr>
                <w:rStyle w:val="normaltextrun"/>
                <w:rFonts w:asciiTheme="minorHAnsi" w:hAnsiTheme="minorHAnsi" w:cstheme="minorHAnsi"/>
                <w:color w:val="000000"/>
                <w:sz w:val="18"/>
                <w:szCs w:val="18"/>
              </w:rPr>
              <w:t>NOVO NORDISK PHARMACEUTICALS PTY LIMITED</w:t>
            </w:r>
          </w:p>
        </w:tc>
        <w:tc>
          <w:tcPr>
            <w:tcW w:w="1243" w:type="pct"/>
            <w:tcBorders>
              <w:top w:val="single" w:sz="6" w:space="0" w:color="auto"/>
              <w:left w:val="single" w:sz="6" w:space="0" w:color="auto"/>
              <w:bottom w:val="single" w:sz="6" w:space="0" w:color="auto"/>
              <w:right w:val="single" w:sz="6" w:space="0" w:color="auto"/>
            </w:tcBorders>
            <w:vAlign w:val="center"/>
          </w:tcPr>
          <w:p w14:paraId="7B0A71CB" w14:textId="1645B2A4" w:rsidR="007B6F84" w:rsidRPr="00180C4A" w:rsidRDefault="007B6F84" w:rsidP="007B6F84">
            <w:pPr>
              <w:widowControl w:val="0"/>
              <w:jc w:val="center"/>
              <w:rPr>
                <w:rFonts w:asciiTheme="minorHAnsi" w:hAnsiTheme="minorHAnsi" w:cstheme="minorHAnsi"/>
                <w:color w:val="000000"/>
                <w:sz w:val="18"/>
                <w:szCs w:val="18"/>
              </w:rPr>
            </w:pPr>
            <w:r w:rsidRPr="006A5A05">
              <w:rPr>
                <w:rStyle w:val="normaltextrun"/>
                <w:rFonts w:asciiTheme="minorHAnsi" w:hAnsiTheme="minorHAnsi" w:cstheme="minorHAnsi"/>
                <w:color w:val="000000"/>
                <w:sz w:val="18"/>
                <w:szCs w:val="18"/>
              </w:rPr>
              <w:t>Adult-onset growth hormone deficiency</w:t>
            </w:r>
          </w:p>
        </w:tc>
        <w:tc>
          <w:tcPr>
            <w:tcW w:w="1197" w:type="pct"/>
            <w:tcBorders>
              <w:top w:val="single" w:sz="6" w:space="0" w:color="auto"/>
              <w:left w:val="single" w:sz="6" w:space="0" w:color="auto"/>
              <w:bottom w:val="single" w:sz="6" w:space="0" w:color="auto"/>
              <w:right w:val="single" w:sz="6" w:space="0" w:color="auto"/>
            </w:tcBorders>
            <w:vAlign w:val="center"/>
          </w:tcPr>
          <w:p w14:paraId="5ABC8084" w14:textId="10431B7D" w:rsidR="007B6F84" w:rsidRPr="00180C4A" w:rsidRDefault="007B6F84" w:rsidP="007B6F84">
            <w:pPr>
              <w:widowControl w:val="0"/>
              <w:jc w:val="center"/>
              <w:rPr>
                <w:rFonts w:asciiTheme="minorHAnsi" w:hAnsiTheme="minorHAnsi" w:cstheme="minorHAnsi"/>
                <w:sz w:val="18"/>
                <w:szCs w:val="18"/>
              </w:rPr>
            </w:pPr>
            <w:r w:rsidRPr="006A5A05">
              <w:rPr>
                <w:rStyle w:val="normaltextrun"/>
                <w:rFonts w:asciiTheme="minorHAnsi" w:hAnsiTheme="minorHAnsi" w:cstheme="minorHAnsi"/>
                <w:color w:val="000000"/>
                <w:sz w:val="18"/>
                <w:szCs w:val="18"/>
              </w:rPr>
              <w:t>To request the PBAC review its March 2022 recommendation that has not yet been accepted by the applicant.</w:t>
            </w:r>
          </w:p>
        </w:tc>
        <w:tc>
          <w:tcPr>
            <w:tcW w:w="1318" w:type="pct"/>
            <w:tcBorders>
              <w:top w:val="single" w:sz="4" w:space="0" w:color="auto"/>
              <w:left w:val="nil"/>
              <w:bottom w:val="single" w:sz="4" w:space="0" w:color="auto"/>
              <w:right w:val="single" w:sz="4" w:space="0" w:color="auto"/>
            </w:tcBorders>
            <w:vAlign w:val="center"/>
          </w:tcPr>
          <w:p w14:paraId="0C9B26E4" w14:textId="7CE16552" w:rsidR="007B6F84" w:rsidRPr="003F0301" w:rsidRDefault="008D452B" w:rsidP="007B6F84">
            <w:pPr>
              <w:widowControl w:val="0"/>
              <w:jc w:val="center"/>
              <w:rPr>
                <w:rFonts w:asciiTheme="minorHAnsi" w:hAnsiTheme="minorHAnsi" w:cstheme="minorHAnsi"/>
                <w:sz w:val="18"/>
                <w:szCs w:val="18"/>
              </w:rPr>
            </w:pPr>
            <w:r w:rsidRPr="008D452B">
              <w:rPr>
                <w:rFonts w:asciiTheme="minorHAnsi" w:hAnsiTheme="minorHAnsi" w:cstheme="minorHAnsi"/>
                <w:sz w:val="18"/>
                <w:szCs w:val="18"/>
              </w:rPr>
              <w:t xml:space="preserve">The PBAC extended the </w:t>
            </w:r>
            <w:r w:rsidR="00081E79">
              <w:rPr>
                <w:rFonts w:asciiTheme="minorHAnsi" w:hAnsiTheme="minorHAnsi" w:cstheme="minorHAnsi"/>
                <w:sz w:val="18"/>
                <w:szCs w:val="18"/>
              </w:rPr>
              <w:t>March</w:t>
            </w:r>
            <w:r w:rsidRPr="008D452B">
              <w:rPr>
                <w:rFonts w:asciiTheme="minorHAnsi" w:hAnsiTheme="minorHAnsi" w:cstheme="minorHAnsi"/>
                <w:sz w:val="18"/>
                <w:szCs w:val="18"/>
              </w:rPr>
              <w:t xml:space="preserve"> 202</w:t>
            </w:r>
            <w:r w:rsidR="0003235E">
              <w:rPr>
                <w:rFonts w:asciiTheme="minorHAnsi" w:hAnsiTheme="minorHAnsi" w:cstheme="minorHAnsi"/>
                <w:sz w:val="18"/>
                <w:szCs w:val="18"/>
              </w:rPr>
              <w:t>2</w:t>
            </w:r>
            <w:r w:rsidRPr="008D452B">
              <w:rPr>
                <w:rFonts w:asciiTheme="minorHAnsi" w:hAnsiTheme="minorHAnsi" w:cstheme="minorHAnsi"/>
                <w:sz w:val="18"/>
                <w:szCs w:val="18"/>
              </w:rPr>
              <w:t xml:space="preserve"> recommendation for this drug</w:t>
            </w:r>
            <w:r w:rsidR="000371D5">
              <w:rPr>
                <w:rFonts w:asciiTheme="minorHAnsi" w:hAnsiTheme="minorHAnsi" w:cstheme="minorHAnsi"/>
                <w:sz w:val="18"/>
                <w:szCs w:val="18"/>
              </w:rPr>
              <w:t xml:space="preserve"> </w:t>
            </w:r>
            <w:r w:rsidR="000371D5" w:rsidRPr="000371D5">
              <w:rPr>
                <w:rFonts w:asciiTheme="minorHAnsi" w:hAnsiTheme="minorHAnsi" w:cstheme="minorHAnsi"/>
                <w:bCs/>
                <w:sz w:val="18"/>
                <w:szCs w:val="18"/>
              </w:rPr>
              <w:t xml:space="preserve"> for a further 12 months</w:t>
            </w:r>
            <w:r w:rsidR="00DD2C66">
              <w:rPr>
                <w:rFonts w:asciiTheme="minorHAnsi" w:hAnsiTheme="minorHAnsi" w:cstheme="minorHAnsi"/>
                <w:bCs/>
                <w:sz w:val="18"/>
                <w:szCs w:val="18"/>
              </w:rPr>
              <w:t>.</w:t>
            </w:r>
          </w:p>
        </w:tc>
      </w:tr>
      <w:tr w:rsidR="003E7C14" w:rsidRPr="00180C4A" w14:paraId="6D4D41F8" w14:textId="77777777" w:rsidTr="00162DD8">
        <w:trPr>
          <w:cantSplit/>
          <w:trHeight w:val="1281"/>
          <w:jc w:val="center"/>
        </w:trPr>
        <w:tc>
          <w:tcPr>
            <w:tcW w:w="1242" w:type="pct"/>
            <w:tcBorders>
              <w:top w:val="single" w:sz="6" w:space="0" w:color="auto"/>
              <w:left w:val="single" w:sz="6" w:space="0" w:color="auto"/>
              <w:bottom w:val="single" w:sz="6" w:space="0" w:color="auto"/>
              <w:right w:val="single" w:sz="6" w:space="0" w:color="auto"/>
            </w:tcBorders>
            <w:vAlign w:val="center"/>
          </w:tcPr>
          <w:p w14:paraId="0B2E0B25" w14:textId="2A78B5A7" w:rsidR="00EC40B8" w:rsidRPr="00EC40B8" w:rsidRDefault="00EC40B8" w:rsidP="00EC40B8">
            <w:pPr>
              <w:jc w:val="center"/>
              <w:rPr>
                <w:rStyle w:val="normaltextrun"/>
                <w:rFonts w:asciiTheme="minorHAnsi" w:hAnsiTheme="minorHAnsi" w:cstheme="minorHAnsi"/>
                <w:color w:val="000000"/>
                <w:sz w:val="18"/>
                <w:szCs w:val="18"/>
              </w:rPr>
            </w:pPr>
            <w:r w:rsidRPr="00EC40B8">
              <w:rPr>
                <w:rStyle w:val="normaltextrun"/>
                <w:rFonts w:asciiTheme="minorHAnsi" w:hAnsiTheme="minorHAnsi" w:cstheme="minorHAnsi"/>
                <w:color w:val="000000"/>
                <w:sz w:val="18"/>
                <w:szCs w:val="18"/>
              </w:rPr>
              <w:t xml:space="preserve">Transition </w:t>
            </w:r>
            <w:r w:rsidR="00EF1786">
              <w:rPr>
                <w:rStyle w:val="normaltextrun"/>
                <w:rFonts w:asciiTheme="minorHAnsi" w:hAnsiTheme="minorHAnsi" w:cstheme="minorHAnsi"/>
                <w:color w:val="000000"/>
                <w:sz w:val="18"/>
                <w:szCs w:val="18"/>
              </w:rPr>
              <w:t xml:space="preserve">of </w:t>
            </w:r>
            <w:r w:rsidRPr="00EC40B8">
              <w:rPr>
                <w:rStyle w:val="normaltextrun"/>
                <w:rFonts w:asciiTheme="minorHAnsi" w:hAnsiTheme="minorHAnsi" w:cstheme="minorHAnsi"/>
                <w:color w:val="000000"/>
                <w:sz w:val="18"/>
                <w:szCs w:val="18"/>
              </w:rPr>
              <w:t>existing quadrivalent influenza</w:t>
            </w:r>
          </w:p>
          <w:p w14:paraId="006E3049" w14:textId="77777777" w:rsidR="00EC40B8" w:rsidRDefault="00EC40B8" w:rsidP="00EC40B8">
            <w:pPr>
              <w:jc w:val="center"/>
              <w:rPr>
                <w:rStyle w:val="normaltextrun"/>
                <w:rFonts w:asciiTheme="minorHAnsi" w:hAnsiTheme="minorHAnsi" w:cstheme="minorHAnsi"/>
                <w:color w:val="000000"/>
                <w:sz w:val="18"/>
                <w:szCs w:val="18"/>
              </w:rPr>
            </w:pPr>
            <w:r w:rsidRPr="00EC40B8">
              <w:rPr>
                <w:rStyle w:val="normaltextrun"/>
                <w:rFonts w:asciiTheme="minorHAnsi" w:hAnsiTheme="minorHAnsi" w:cstheme="minorHAnsi"/>
                <w:color w:val="000000"/>
                <w:sz w:val="18"/>
                <w:szCs w:val="18"/>
              </w:rPr>
              <w:t>formulations to trivalent formulations</w:t>
            </w:r>
          </w:p>
          <w:p w14:paraId="4544D9B7" w14:textId="77777777" w:rsidR="00EC40B8" w:rsidRPr="00EC40B8" w:rsidRDefault="00EC40B8" w:rsidP="00EC40B8">
            <w:pPr>
              <w:jc w:val="center"/>
              <w:rPr>
                <w:rStyle w:val="normaltextrun"/>
                <w:rFonts w:asciiTheme="minorHAnsi" w:hAnsiTheme="minorHAnsi" w:cstheme="minorHAnsi"/>
                <w:color w:val="000000"/>
                <w:sz w:val="18"/>
                <w:szCs w:val="18"/>
              </w:rPr>
            </w:pPr>
          </w:p>
          <w:p w14:paraId="1E3F0995" w14:textId="77777777" w:rsidR="00EC40B8" w:rsidRDefault="00EC40B8" w:rsidP="00EC40B8">
            <w:pPr>
              <w:jc w:val="center"/>
              <w:rPr>
                <w:rStyle w:val="normaltextrun"/>
                <w:rFonts w:asciiTheme="minorHAnsi" w:hAnsiTheme="minorHAnsi" w:cstheme="minorHAnsi"/>
                <w:color w:val="000000"/>
                <w:sz w:val="18"/>
                <w:szCs w:val="18"/>
              </w:rPr>
            </w:pPr>
            <w:r w:rsidRPr="00EC40B8">
              <w:rPr>
                <w:rStyle w:val="normaltextrun"/>
                <w:rFonts w:asciiTheme="minorHAnsi" w:hAnsiTheme="minorHAnsi" w:cstheme="minorHAnsi"/>
                <w:color w:val="000000"/>
                <w:sz w:val="18"/>
                <w:szCs w:val="18"/>
              </w:rPr>
              <w:t>Injection (0.5 mL)</w:t>
            </w:r>
          </w:p>
          <w:p w14:paraId="17F91FA4" w14:textId="77777777" w:rsidR="00EC40B8" w:rsidRPr="00EC40B8" w:rsidRDefault="00EC40B8" w:rsidP="00EC40B8">
            <w:pPr>
              <w:jc w:val="center"/>
              <w:rPr>
                <w:rStyle w:val="normaltextrun"/>
                <w:rFonts w:asciiTheme="minorHAnsi" w:hAnsiTheme="minorHAnsi" w:cstheme="minorHAnsi"/>
                <w:color w:val="000000"/>
                <w:sz w:val="18"/>
                <w:szCs w:val="18"/>
              </w:rPr>
            </w:pPr>
          </w:p>
          <w:p w14:paraId="735F6149" w14:textId="77777777" w:rsidR="00EC40B8" w:rsidRDefault="00EC40B8" w:rsidP="00EC40B8">
            <w:pPr>
              <w:jc w:val="center"/>
              <w:rPr>
                <w:rStyle w:val="normaltextrun"/>
                <w:rFonts w:asciiTheme="minorHAnsi" w:hAnsiTheme="minorHAnsi" w:cstheme="minorHAnsi"/>
                <w:color w:val="000000"/>
                <w:sz w:val="18"/>
                <w:szCs w:val="18"/>
              </w:rPr>
            </w:pPr>
            <w:r w:rsidRPr="00EC40B8">
              <w:rPr>
                <w:rStyle w:val="normaltextrun"/>
                <w:rFonts w:asciiTheme="minorHAnsi" w:hAnsiTheme="minorHAnsi" w:cstheme="minorHAnsi"/>
                <w:color w:val="000000"/>
                <w:sz w:val="18"/>
                <w:szCs w:val="18"/>
              </w:rPr>
              <w:t>Various brands</w:t>
            </w:r>
          </w:p>
          <w:p w14:paraId="73A7A9D1" w14:textId="77777777" w:rsidR="00EC40B8" w:rsidRPr="00EC40B8" w:rsidRDefault="00EC40B8" w:rsidP="00EC40B8">
            <w:pPr>
              <w:jc w:val="center"/>
              <w:rPr>
                <w:rStyle w:val="normaltextrun"/>
                <w:rFonts w:asciiTheme="minorHAnsi" w:hAnsiTheme="minorHAnsi" w:cstheme="minorHAnsi"/>
                <w:color w:val="000000"/>
                <w:sz w:val="18"/>
                <w:szCs w:val="18"/>
              </w:rPr>
            </w:pPr>
          </w:p>
          <w:p w14:paraId="2D240FCA" w14:textId="77777777" w:rsidR="00EC40B8" w:rsidRDefault="00EC40B8" w:rsidP="00EC40B8">
            <w:pPr>
              <w:jc w:val="center"/>
              <w:rPr>
                <w:rStyle w:val="normaltextrun"/>
                <w:rFonts w:asciiTheme="minorHAnsi" w:hAnsiTheme="minorHAnsi" w:cstheme="minorHAnsi"/>
                <w:color w:val="000000"/>
                <w:sz w:val="18"/>
                <w:szCs w:val="18"/>
              </w:rPr>
            </w:pPr>
            <w:r w:rsidRPr="00EC40B8">
              <w:rPr>
                <w:rStyle w:val="normaltextrun"/>
                <w:rFonts w:asciiTheme="minorHAnsi" w:hAnsiTheme="minorHAnsi" w:cstheme="minorHAnsi"/>
                <w:color w:val="000000"/>
                <w:sz w:val="18"/>
                <w:szCs w:val="18"/>
              </w:rPr>
              <w:t>Various sponsors</w:t>
            </w:r>
          </w:p>
          <w:p w14:paraId="5F884D51" w14:textId="77777777" w:rsidR="00EC40B8" w:rsidRPr="00EC40B8" w:rsidRDefault="00EC40B8" w:rsidP="00EC40B8">
            <w:pPr>
              <w:jc w:val="center"/>
              <w:rPr>
                <w:rStyle w:val="normaltextrun"/>
                <w:rFonts w:asciiTheme="minorHAnsi" w:hAnsiTheme="minorHAnsi" w:cstheme="minorHAnsi"/>
                <w:color w:val="000000"/>
                <w:sz w:val="18"/>
                <w:szCs w:val="18"/>
              </w:rPr>
            </w:pPr>
          </w:p>
          <w:p w14:paraId="76190E13" w14:textId="5B7E8795" w:rsidR="003E7C14" w:rsidRPr="006A5A05" w:rsidRDefault="00EC40B8" w:rsidP="00EC40B8">
            <w:pPr>
              <w:jc w:val="center"/>
              <w:rPr>
                <w:rStyle w:val="normaltextrun"/>
                <w:rFonts w:asciiTheme="minorHAnsi" w:hAnsiTheme="minorHAnsi" w:cstheme="minorHAnsi"/>
                <w:color w:val="000000"/>
                <w:sz w:val="18"/>
                <w:szCs w:val="18"/>
              </w:rPr>
            </w:pPr>
            <w:r w:rsidRPr="00EC40B8">
              <w:rPr>
                <w:rStyle w:val="normaltextrun"/>
                <w:rFonts w:asciiTheme="minorHAnsi" w:hAnsiTheme="minorHAnsi" w:cstheme="minorHAnsi"/>
                <w:color w:val="000000"/>
                <w:sz w:val="18"/>
                <w:szCs w:val="18"/>
              </w:rPr>
              <w:t>(Other matters)</w:t>
            </w:r>
          </w:p>
        </w:tc>
        <w:tc>
          <w:tcPr>
            <w:tcW w:w="1243" w:type="pct"/>
            <w:tcBorders>
              <w:top w:val="single" w:sz="6" w:space="0" w:color="auto"/>
              <w:left w:val="single" w:sz="6" w:space="0" w:color="auto"/>
              <w:bottom w:val="single" w:sz="6" w:space="0" w:color="auto"/>
              <w:right w:val="single" w:sz="6" w:space="0" w:color="auto"/>
            </w:tcBorders>
            <w:vAlign w:val="center"/>
          </w:tcPr>
          <w:p w14:paraId="3A3DD70E" w14:textId="1791D823" w:rsidR="003E7C14" w:rsidRPr="006A5A05" w:rsidRDefault="008749B2" w:rsidP="007B6F84">
            <w:pPr>
              <w:widowControl w:val="0"/>
              <w:jc w:val="center"/>
              <w:rPr>
                <w:rStyle w:val="normaltextrun"/>
                <w:rFonts w:asciiTheme="minorHAnsi" w:hAnsiTheme="minorHAnsi" w:cstheme="minorHAnsi"/>
                <w:color w:val="000000"/>
                <w:sz w:val="18"/>
                <w:szCs w:val="18"/>
              </w:rPr>
            </w:pPr>
            <w:r>
              <w:rPr>
                <w:rStyle w:val="normaltextrun"/>
                <w:rFonts w:asciiTheme="minorHAnsi" w:hAnsiTheme="minorHAnsi" w:cstheme="minorHAnsi"/>
                <w:color w:val="000000"/>
                <w:sz w:val="18"/>
                <w:szCs w:val="18"/>
              </w:rPr>
              <w:t>Prevention of influenza</w:t>
            </w:r>
          </w:p>
        </w:tc>
        <w:tc>
          <w:tcPr>
            <w:tcW w:w="1197" w:type="pct"/>
            <w:tcBorders>
              <w:top w:val="single" w:sz="6" w:space="0" w:color="auto"/>
              <w:left w:val="single" w:sz="6" w:space="0" w:color="auto"/>
              <w:bottom w:val="single" w:sz="6" w:space="0" w:color="auto"/>
              <w:right w:val="single" w:sz="6" w:space="0" w:color="auto"/>
            </w:tcBorders>
            <w:vAlign w:val="center"/>
          </w:tcPr>
          <w:p w14:paraId="34F39CF8" w14:textId="77777777" w:rsidR="00231A83" w:rsidRPr="00EC40B8" w:rsidRDefault="00231A83" w:rsidP="00231A83">
            <w:pPr>
              <w:jc w:val="center"/>
              <w:rPr>
                <w:rFonts w:ascii="Calibri" w:hAnsi="Calibri" w:cs="Calibri"/>
                <w:color w:val="000000"/>
                <w:sz w:val="18"/>
                <w:szCs w:val="18"/>
              </w:rPr>
            </w:pPr>
            <w:r w:rsidRPr="00EC40B8">
              <w:rPr>
                <w:rFonts w:ascii="Calibri" w:hAnsi="Calibri" w:cs="Calibri"/>
                <w:color w:val="000000"/>
                <w:sz w:val="18"/>
                <w:szCs w:val="18"/>
              </w:rPr>
              <w:t>To request advice from the PBAC on varying the National Health (Immunisation Program – Designated Vaccines) Determination 2014 (No. 1) to transition existing quadrivalent influenza vaccine formulations to trivalent formulations.</w:t>
            </w:r>
          </w:p>
          <w:p w14:paraId="716FFA24" w14:textId="77777777" w:rsidR="003E7C14" w:rsidRPr="006A5A05" w:rsidRDefault="003E7C14" w:rsidP="007B6F84">
            <w:pPr>
              <w:widowControl w:val="0"/>
              <w:jc w:val="center"/>
              <w:rPr>
                <w:rStyle w:val="normaltextrun"/>
                <w:rFonts w:asciiTheme="minorHAnsi" w:hAnsiTheme="minorHAnsi" w:cstheme="minorHAnsi"/>
                <w:color w:val="000000"/>
                <w:sz w:val="18"/>
                <w:szCs w:val="18"/>
              </w:rPr>
            </w:pPr>
          </w:p>
        </w:tc>
        <w:tc>
          <w:tcPr>
            <w:tcW w:w="1318" w:type="pct"/>
            <w:tcBorders>
              <w:top w:val="single" w:sz="4" w:space="0" w:color="auto"/>
              <w:left w:val="nil"/>
              <w:bottom w:val="single" w:sz="4" w:space="0" w:color="auto"/>
              <w:right w:val="single" w:sz="4" w:space="0" w:color="auto"/>
            </w:tcBorders>
            <w:vAlign w:val="center"/>
          </w:tcPr>
          <w:p w14:paraId="6FDC30E9" w14:textId="6D3836BD" w:rsidR="003E7C14" w:rsidRPr="008D452B" w:rsidRDefault="00BF1592" w:rsidP="00162DD8">
            <w:pPr>
              <w:widowControl w:val="0"/>
              <w:jc w:val="both"/>
              <w:rPr>
                <w:rFonts w:asciiTheme="minorHAnsi" w:hAnsiTheme="minorHAnsi" w:cstheme="minorHAnsi"/>
                <w:sz w:val="18"/>
                <w:szCs w:val="18"/>
              </w:rPr>
            </w:pPr>
            <w:r w:rsidRPr="00BF1592">
              <w:rPr>
                <w:rFonts w:asciiTheme="minorHAnsi" w:hAnsiTheme="minorHAnsi" w:cstheme="minorHAnsi"/>
                <w:sz w:val="18"/>
                <w:szCs w:val="18"/>
              </w:rPr>
              <w:t>The PBAC noted that, in accordance with the World Health Organisation’s recommendations, companies supplying influenza vaccines for the National Immunisation Program are transitioning their existing quadrivalent formulations to trivalent formulations. The PBAC also noted advice from the Australian Technical Advisory Group on Immunisation that studies comparing egg-based quadrivalent vaccines with trivalent vaccines have shown no significant difference in safety and reactogenicity outcomes. The PBAC recommended new brands containing trivalent formulations of influenza vaccines be designated vaccines. The PBAC also recommended specific changes to circumstances for currently designated trivalent influenza vaccines. The PBAC’s recommendations for the trivalent formulations were on a cost-minimisation basis to the existing quadrivalent formulations.</w:t>
            </w:r>
          </w:p>
        </w:tc>
      </w:tr>
    </w:tbl>
    <w:p w14:paraId="201778FA" w14:textId="77777777" w:rsidR="00F44F4A" w:rsidRPr="00015520" w:rsidRDefault="00F44F4A" w:rsidP="00F44F4A">
      <w:pPr>
        <w:ind w:left="360"/>
        <w:rPr>
          <w:rFonts w:asciiTheme="minorHAnsi" w:hAnsiTheme="minorHAnsi" w:cstheme="minorHAnsi"/>
          <w:bCs/>
          <w:sz w:val="18"/>
          <w:szCs w:val="18"/>
          <w:lang w:val="en-US"/>
        </w:rPr>
      </w:pPr>
      <w:r w:rsidRPr="00015520">
        <w:rPr>
          <w:rFonts w:asciiTheme="minorHAnsi" w:hAnsiTheme="minorHAnsi" w:cstheme="minorHAnsi"/>
          <w:bCs/>
          <w:sz w:val="18"/>
          <w:szCs w:val="18"/>
          <w:lang w:val="en-US"/>
        </w:rPr>
        <w:br w:type="page"/>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4"/>
        <w:gridCol w:w="3827"/>
        <w:gridCol w:w="3685"/>
        <w:gridCol w:w="4058"/>
      </w:tblGrid>
      <w:tr w:rsidR="00706227" w:rsidRPr="0004054A" w14:paraId="0F618CDC" w14:textId="77777777" w:rsidTr="00705B6A">
        <w:trPr>
          <w:cantSplit/>
          <w:trHeight w:val="58"/>
          <w:tblHeader/>
        </w:trPr>
        <w:tc>
          <w:tcPr>
            <w:tcW w:w="1242" w:type="pct"/>
            <w:vAlign w:val="center"/>
          </w:tcPr>
          <w:p w14:paraId="13D028B2" w14:textId="77777777" w:rsidR="00706227" w:rsidRPr="0004054A" w:rsidRDefault="00706227">
            <w:pPr>
              <w:keepLines/>
              <w:widowControl w:val="0"/>
              <w:jc w:val="center"/>
              <w:rPr>
                <w:rFonts w:asciiTheme="minorHAnsi" w:hAnsiTheme="minorHAnsi" w:cstheme="minorHAnsi"/>
                <w:b/>
                <w:sz w:val="18"/>
                <w:szCs w:val="18"/>
              </w:rPr>
            </w:pPr>
            <w:r w:rsidRPr="0004054A">
              <w:rPr>
                <w:rFonts w:asciiTheme="minorHAnsi" w:hAnsiTheme="minorHAnsi" w:cstheme="minorHAnsi"/>
                <w:b/>
                <w:sz w:val="18"/>
                <w:szCs w:val="18"/>
              </w:rPr>
              <w:t>DRUG NAME, FORM(S), STRENGTH(S), SPONSOR, TYPE OF SUBMISSION</w:t>
            </w:r>
          </w:p>
        </w:tc>
        <w:tc>
          <w:tcPr>
            <w:tcW w:w="1243" w:type="pct"/>
            <w:vAlign w:val="center"/>
          </w:tcPr>
          <w:p w14:paraId="33B5F720" w14:textId="77777777" w:rsidR="00706227" w:rsidRPr="0004054A" w:rsidRDefault="00706227">
            <w:pPr>
              <w:keepLines/>
              <w:widowControl w:val="0"/>
              <w:jc w:val="center"/>
              <w:rPr>
                <w:rFonts w:asciiTheme="minorHAnsi" w:hAnsiTheme="minorHAnsi" w:cstheme="minorHAnsi"/>
                <w:b/>
                <w:sz w:val="18"/>
                <w:szCs w:val="18"/>
              </w:rPr>
            </w:pPr>
            <w:r w:rsidRPr="0004054A">
              <w:rPr>
                <w:rFonts w:asciiTheme="minorHAnsi" w:hAnsiTheme="minorHAnsi" w:cstheme="minorHAnsi"/>
                <w:b/>
                <w:sz w:val="18"/>
                <w:szCs w:val="18"/>
              </w:rPr>
              <w:t>DRUG TYPE AND USE</w:t>
            </w:r>
          </w:p>
        </w:tc>
        <w:tc>
          <w:tcPr>
            <w:tcW w:w="1197" w:type="pct"/>
            <w:vAlign w:val="center"/>
          </w:tcPr>
          <w:p w14:paraId="66D664E2" w14:textId="77777777" w:rsidR="00706227" w:rsidRPr="0004054A" w:rsidRDefault="00706227">
            <w:pPr>
              <w:keepLines/>
              <w:widowControl w:val="0"/>
              <w:jc w:val="center"/>
              <w:rPr>
                <w:rFonts w:asciiTheme="minorHAnsi" w:hAnsiTheme="minorHAnsi" w:cstheme="minorHAnsi"/>
                <w:b/>
                <w:sz w:val="18"/>
                <w:szCs w:val="18"/>
              </w:rPr>
            </w:pPr>
            <w:r w:rsidRPr="0004054A">
              <w:rPr>
                <w:rFonts w:asciiTheme="minorHAnsi" w:hAnsiTheme="minorHAnsi" w:cstheme="minorHAnsi"/>
                <w:b/>
                <w:sz w:val="18"/>
                <w:szCs w:val="18"/>
              </w:rPr>
              <w:t>LISTING REQUESTED BY SPONSOR / PURPOSE OF SUBMISSION</w:t>
            </w:r>
          </w:p>
        </w:tc>
        <w:tc>
          <w:tcPr>
            <w:tcW w:w="1318" w:type="pct"/>
            <w:vAlign w:val="center"/>
          </w:tcPr>
          <w:p w14:paraId="49E91F46" w14:textId="77777777" w:rsidR="00706227" w:rsidRPr="0004054A" w:rsidRDefault="00706227">
            <w:pPr>
              <w:keepLines/>
              <w:jc w:val="center"/>
              <w:rPr>
                <w:rFonts w:asciiTheme="minorHAnsi" w:hAnsiTheme="minorHAnsi" w:cstheme="minorHAnsi"/>
                <w:b/>
                <w:sz w:val="18"/>
                <w:szCs w:val="18"/>
              </w:rPr>
            </w:pPr>
            <w:r w:rsidRPr="0004054A">
              <w:rPr>
                <w:rFonts w:asciiTheme="minorHAnsi" w:hAnsiTheme="minorHAnsi" w:cstheme="minorHAnsi"/>
                <w:b/>
                <w:sz w:val="18"/>
                <w:szCs w:val="18"/>
              </w:rPr>
              <w:t>PBAC OUTCOME</w:t>
            </w:r>
          </w:p>
        </w:tc>
      </w:tr>
      <w:tr w:rsidR="00710C71" w:rsidRPr="005406D0" w:rsidDel="00F00A70" w14:paraId="0867AAA2" w14:textId="77777777" w:rsidTr="00907598">
        <w:trPr>
          <w:cantSplit/>
          <w:trHeight w:val="2948"/>
        </w:trPr>
        <w:tc>
          <w:tcPr>
            <w:tcW w:w="1242" w:type="pct"/>
            <w:vAlign w:val="center"/>
          </w:tcPr>
          <w:p w14:paraId="54D49EC9" w14:textId="77777777" w:rsidR="00710C71" w:rsidRDefault="00363423" w:rsidP="00710C71">
            <w:pPr>
              <w:jc w:val="center"/>
              <w:rPr>
                <w:rFonts w:asciiTheme="minorHAnsi" w:hAnsiTheme="minorHAnsi" w:cstheme="minorHAnsi"/>
                <w:color w:val="000000"/>
                <w:sz w:val="18"/>
                <w:szCs w:val="18"/>
              </w:rPr>
            </w:pPr>
            <w:r>
              <w:rPr>
                <w:rFonts w:asciiTheme="minorHAnsi" w:hAnsiTheme="minorHAnsi" w:cstheme="minorHAnsi"/>
                <w:color w:val="000000"/>
                <w:sz w:val="18"/>
                <w:szCs w:val="18"/>
              </w:rPr>
              <w:t>Adalimuma</w:t>
            </w:r>
            <w:r w:rsidR="00A546E9">
              <w:rPr>
                <w:rFonts w:asciiTheme="minorHAnsi" w:hAnsiTheme="minorHAnsi" w:cstheme="minorHAnsi"/>
                <w:color w:val="000000"/>
                <w:sz w:val="18"/>
                <w:szCs w:val="18"/>
              </w:rPr>
              <w:t>b</w:t>
            </w:r>
          </w:p>
          <w:p w14:paraId="03EDE9AE" w14:textId="77777777" w:rsidR="00AF55D0" w:rsidRDefault="00AF55D0" w:rsidP="00710C71">
            <w:pPr>
              <w:jc w:val="center"/>
              <w:rPr>
                <w:rFonts w:asciiTheme="minorHAnsi" w:hAnsiTheme="minorHAnsi" w:cstheme="minorHAnsi"/>
                <w:color w:val="000000"/>
                <w:sz w:val="18"/>
                <w:szCs w:val="18"/>
              </w:rPr>
            </w:pPr>
          </w:p>
          <w:p w14:paraId="5F37AB51" w14:textId="28BAF991" w:rsidR="00AF55D0" w:rsidRPr="00AF55D0" w:rsidRDefault="00AF55D0" w:rsidP="00AF55D0">
            <w:pPr>
              <w:jc w:val="center"/>
              <w:rPr>
                <w:rFonts w:asciiTheme="minorHAnsi" w:hAnsiTheme="minorHAnsi" w:cstheme="minorHAnsi"/>
                <w:color w:val="000000"/>
                <w:sz w:val="18"/>
                <w:szCs w:val="18"/>
              </w:rPr>
            </w:pPr>
            <w:r w:rsidRPr="00AF55D0">
              <w:rPr>
                <w:rFonts w:asciiTheme="minorHAnsi" w:hAnsiTheme="minorHAnsi" w:cstheme="minorHAnsi"/>
                <w:color w:val="000000"/>
                <w:sz w:val="18"/>
                <w:szCs w:val="18"/>
              </w:rPr>
              <w:t>Injection 20 mg in 0.2 mL pre-filled syringe</w:t>
            </w:r>
          </w:p>
          <w:p w14:paraId="75B41A9D" w14:textId="77777777" w:rsidR="00AF55D0" w:rsidRPr="00AF55D0" w:rsidRDefault="00AF55D0" w:rsidP="00AF55D0">
            <w:pPr>
              <w:jc w:val="center"/>
              <w:rPr>
                <w:rFonts w:asciiTheme="minorHAnsi" w:hAnsiTheme="minorHAnsi" w:cstheme="minorHAnsi"/>
                <w:color w:val="000000"/>
                <w:sz w:val="18"/>
                <w:szCs w:val="18"/>
              </w:rPr>
            </w:pPr>
            <w:r w:rsidRPr="00AF55D0">
              <w:rPr>
                <w:rFonts w:asciiTheme="minorHAnsi" w:hAnsiTheme="minorHAnsi" w:cstheme="minorHAnsi"/>
                <w:color w:val="000000"/>
                <w:sz w:val="18"/>
                <w:szCs w:val="18"/>
              </w:rPr>
              <w:t>Injection 40 mg in 0.4 mL pre-filled syringe</w:t>
            </w:r>
          </w:p>
          <w:p w14:paraId="196DF139" w14:textId="77777777" w:rsidR="00AF55D0" w:rsidRPr="00AF55D0" w:rsidRDefault="00AF55D0" w:rsidP="00AF55D0">
            <w:pPr>
              <w:jc w:val="center"/>
              <w:rPr>
                <w:rFonts w:asciiTheme="minorHAnsi" w:hAnsiTheme="minorHAnsi" w:cstheme="minorHAnsi"/>
                <w:color w:val="000000"/>
                <w:sz w:val="18"/>
                <w:szCs w:val="18"/>
              </w:rPr>
            </w:pPr>
            <w:r w:rsidRPr="00AF55D0">
              <w:rPr>
                <w:rFonts w:asciiTheme="minorHAnsi" w:hAnsiTheme="minorHAnsi" w:cstheme="minorHAnsi"/>
                <w:color w:val="000000"/>
                <w:sz w:val="18"/>
                <w:szCs w:val="18"/>
              </w:rPr>
              <w:t>Injection 40 mg in 0.4 mL pre-filled pen</w:t>
            </w:r>
          </w:p>
          <w:p w14:paraId="29CBD8AC" w14:textId="77777777" w:rsidR="00AF55D0" w:rsidRPr="00AF55D0" w:rsidRDefault="00AF55D0" w:rsidP="00AF55D0">
            <w:pPr>
              <w:jc w:val="center"/>
              <w:rPr>
                <w:rFonts w:asciiTheme="minorHAnsi" w:hAnsiTheme="minorHAnsi" w:cstheme="minorHAnsi"/>
                <w:color w:val="000000"/>
                <w:sz w:val="18"/>
                <w:szCs w:val="18"/>
              </w:rPr>
            </w:pPr>
            <w:r w:rsidRPr="00AF55D0">
              <w:rPr>
                <w:rFonts w:asciiTheme="minorHAnsi" w:hAnsiTheme="minorHAnsi" w:cstheme="minorHAnsi"/>
                <w:color w:val="000000"/>
                <w:sz w:val="18"/>
                <w:szCs w:val="18"/>
              </w:rPr>
              <w:t>Injection 80 mg in 0.8 mL pre-filled syringe</w:t>
            </w:r>
          </w:p>
          <w:p w14:paraId="5C263275" w14:textId="1CE59EA4" w:rsidR="00AF55D0" w:rsidRDefault="00AF55D0" w:rsidP="00AF55D0">
            <w:pPr>
              <w:jc w:val="center"/>
              <w:rPr>
                <w:rFonts w:asciiTheme="minorHAnsi" w:hAnsiTheme="minorHAnsi" w:cstheme="minorHAnsi"/>
                <w:color w:val="000000"/>
                <w:sz w:val="18"/>
                <w:szCs w:val="18"/>
              </w:rPr>
            </w:pPr>
            <w:r w:rsidRPr="00AF55D0">
              <w:rPr>
                <w:rFonts w:asciiTheme="minorHAnsi" w:hAnsiTheme="minorHAnsi" w:cstheme="minorHAnsi"/>
                <w:color w:val="000000"/>
                <w:sz w:val="18"/>
                <w:szCs w:val="18"/>
              </w:rPr>
              <w:t>Injection 80 mg in 0.8 mL pre-filled pen</w:t>
            </w:r>
          </w:p>
          <w:p w14:paraId="326DA874" w14:textId="77777777" w:rsidR="00003926" w:rsidRDefault="00003926" w:rsidP="00710C71">
            <w:pPr>
              <w:jc w:val="center"/>
              <w:rPr>
                <w:rFonts w:asciiTheme="minorHAnsi" w:hAnsiTheme="minorHAnsi" w:cstheme="minorHAnsi"/>
                <w:color w:val="000000"/>
                <w:sz w:val="18"/>
                <w:szCs w:val="18"/>
              </w:rPr>
            </w:pPr>
          </w:p>
          <w:p w14:paraId="5C0391FE" w14:textId="77777777" w:rsidR="00003926" w:rsidRDefault="00003926" w:rsidP="00710C71">
            <w:pPr>
              <w:jc w:val="center"/>
              <w:rPr>
                <w:rFonts w:asciiTheme="minorHAnsi" w:hAnsiTheme="minorHAnsi" w:cstheme="minorHAnsi"/>
                <w:color w:val="000000"/>
                <w:sz w:val="18"/>
                <w:szCs w:val="18"/>
              </w:rPr>
            </w:pPr>
            <w:r w:rsidRPr="00003926">
              <w:rPr>
                <w:rFonts w:asciiTheme="minorHAnsi" w:hAnsiTheme="minorHAnsi" w:cstheme="minorHAnsi"/>
                <w:color w:val="000000"/>
                <w:sz w:val="18"/>
                <w:szCs w:val="18"/>
              </w:rPr>
              <w:t>Humira®</w:t>
            </w:r>
          </w:p>
          <w:p w14:paraId="08EDCA45" w14:textId="77777777" w:rsidR="00AF55D0" w:rsidRDefault="00AF55D0" w:rsidP="00710C71">
            <w:pPr>
              <w:jc w:val="center"/>
              <w:rPr>
                <w:rFonts w:asciiTheme="minorHAnsi" w:hAnsiTheme="minorHAnsi" w:cstheme="minorHAnsi"/>
                <w:color w:val="000000"/>
                <w:sz w:val="18"/>
                <w:szCs w:val="18"/>
              </w:rPr>
            </w:pPr>
          </w:p>
          <w:p w14:paraId="34341A93" w14:textId="77777777" w:rsidR="00AF55D0" w:rsidRDefault="00AF55D0" w:rsidP="00710C71">
            <w:pPr>
              <w:jc w:val="center"/>
              <w:rPr>
                <w:rFonts w:asciiTheme="minorHAnsi" w:hAnsiTheme="minorHAnsi" w:cstheme="minorHAnsi"/>
                <w:color w:val="000000"/>
                <w:sz w:val="18"/>
                <w:szCs w:val="18"/>
              </w:rPr>
            </w:pPr>
            <w:r w:rsidRPr="00AF55D0">
              <w:rPr>
                <w:rFonts w:asciiTheme="minorHAnsi" w:hAnsiTheme="minorHAnsi" w:cstheme="minorHAnsi"/>
                <w:color w:val="000000"/>
                <w:sz w:val="18"/>
                <w:szCs w:val="18"/>
              </w:rPr>
              <w:t>ABBVIE PTY LTD</w:t>
            </w:r>
          </w:p>
          <w:p w14:paraId="6024BFD7" w14:textId="77777777" w:rsidR="002F1BB1" w:rsidRDefault="002F1BB1" w:rsidP="00710C71">
            <w:pPr>
              <w:jc w:val="center"/>
              <w:rPr>
                <w:rFonts w:asciiTheme="minorHAnsi" w:hAnsiTheme="minorHAnsi" w:cstheme="minorHAnsi"/>
                <w:color w:val="000000"/>
                <w:sz w:val="18"/>
                <w:szCs w:val="18"/>
              </w:rPr>
            </w:pPr>
          </w:p>
          <w:p w14:paraId="2CEBA5A0" w14:textId="6EBE0C6E" w:rsidR="002F1BB1" w:rsidRDefault="002F1BB1" w:rsidP="00710C71">
            <w:pPr>
              <w:jc w:val="center"/>
              <w:rPr>
                <w:rFonts w:asciiTheme="minorHAnsi" w:hAnsiTheme="minorHAnsi" w:cstheme="minorHAnsi"/>
                <w:color w:val="000000"/>
                <w:sz w:val="18"/>
                <w:szCs w:val="18"/>
              </w:rPr>
            </w:pPr>
            <w:r>
              <w:rPr>
                <w:rFonts w:asciiTheme="minorHAnsi" w:hAnsiTheme="minorHAnsi" w:cstheme="minorHAnsi"/>
                <w:color w:val="000000"/>
                <w:sz w:val="18"/>
                <w:szCs w:val="18"/>
              </w:rPr>
              <w:t>Other matters</w:t>
            </w:r>
          </w:p>
          <w:p w14:paraId="2C6591E4" w14:textId="0818AF0C" w:rsidR="00107F58" w:rsidRPr="0004054A" w:rsidRDefault="00107F58" w:rsidP="00710C71">
            <w:pPr>
              <w:jc w:val="center"/>
              <w:rPr>
                <w:rFonts w:asciiTheme="minorHAnsi" w:hAnsiTheme="minorHAnsi" w:cstheme="minorHAnsi"/>
                <w:color w:val="000000"/>
                <w:sz w:val="18"/>
                <w:szCs w:val="18"/>
              </w:rPr>
            </w:pPr>
            <w:r>
              <w:rPr>
                <w:rFonts w:asciiTheme="minorHAnsi" w:hAnsiTheme="minorHAnsi" w:cstheme="minorHAnsi"/>
                <w:color w:val="000000"/>
                <w:sz w:val="18"/>
                <w:szCs w:val="18"/>
              </w:rPr>
              <w:t>(Change to existing listing)</w:t>
            </w:r>
          </w:p>
        </w:tc>
        <w:tc>
          <w:tcPr>
            <w:tcW w:w="1243" w:type="pct"/>
            <w:vAlign w:val="center"/>
          </w:tcPr>
          <w:p w14:paraId="025604C3" w14:textId="58608C92" w:rsidR="002B6BF6" w:rsidRPr="00EE502F" w:rsidRDefault="002B6BF6" w:rsidP="00907598">
            <w:pPr>
              <w:jc w:val="center"/>
              <w:rPr>
                <w:rFonts w:asciiTheme="minorHAnsi" w:hAnsiTheme="minorHAnsi" w:cstheme="minorHAnsi"/>
                <w:color w:val="000000"/>
                <w:sz w:val="18"/>
                <w:szCs w:val="18"/>
              </w:rPr>
            </w:pPr>
            <w:r w:rsidRPr="00EE502F">
              <w:rPr>
                <w:rFonts w:asciiTheme="minorHAnsi" w:hAnsiTheme="minorHAnsi" w:cstheme="minorHAnsi"/>
                <w:color w:val="000000"/>
                <w:sz w:val="18"/>
                <w:szCs w:val="18"/>
              </w:rPr>
              <w:t>paediatric chronic plaque psoriasis (CPP)</w:t>
            </w:r>
          </w:p>
          <w:p w14:paraId="4F9A939F" w14:textId="1579C4A4" w:rsidR="00710C71" w:rsidRPr="00EE502F" w:rsidRDefault="002B6BF6" w:rsidP="00907598">
            <w:pPr>
              <w:jc w:val="center"/>
              <w:rPr>
                <w:rFonts w:asciiTheme="minorHAnsi" w:hAnsiTheme="minorHAnsi" w:cstheme="minorHAnsi"/>
                <w:color w:val="000000"/>
                <w:sz w:val="18"/>
                <w:szCs w:val="18"/>
              </w:rPr>
            </w:pPr>
            <w:r w:rsidRPr="00EE502F">
              <w:rPr>
                <w:rFonts w:asciiTheme="minorHAnsi" w:hAnsiTheme="minorHAnsi" w:cstheme="minorHAnsi"/>
                <w:color w:val="000000"/>
                <w:sz w:val="18"/>
                <w:szCs w:val="18"/>
              </w:rPr>
              <w:t>paediatric enthesitis/spondylitis related juvenile idiopathic arthritis (ERA)</w:t>
            </w:r>
          </w:p>
        </w:tc>
        <w:tc>
          <w:tcPr>
            <w:tcW w:w="1197" w:type="pct"/>
            <w:vAlign w:val="center"/>
          </w:tcPr>
          <w:p w14:paraId="426E55ED" w14:textId="4DDC2005" w:rsidR="00EF5DFE" w:rsidRPr="00EF5DFE" w:rsidRDefault="00EF5DFE" w:rsidP="00262962">
            <w:pPr>
              <w:jc w:val="both"/>
              <w:rPr>
                <w:rFonts w:asciiTheme="minorHAnsi" w:hAnsiTheme="minorHAnsi" w:cstheme="minorHAnsi"/>
                <w:color w:val="000000"/>
                <w:sz w:val="18"/>
                <w:szCs w:val="18"/>
              </w:rPr>
            </w:pPr>
            <w:r w:rsidRPr="00EF5DFE">
              <w:rPr>
                <w:rFonts w:asciiTheme="minorHAnsi" w:hAnsiTheme="minorHAnsi" w:cstheme="minorHAnsi"/>
                <w:color w:val="000000"/>
                <w:sz w:val="18"/>
                <w:szCs w:val="18"/>
              </w:rPr>
              <w:t>To request the PBAC’s advice:</w:t>
            </w:r>
          </w:p>
          <w:p w14:paraId="1DE342AF" w14:textId="4EF90608" w:rsidR="00EF5DFE" w:rsidRPr="00EE502F" w:rsidRDefault="00EF5DFE" w:rsidP="00262962">
            <w:pPr>
              <w:pStyle w:val="ListParagraph"/>
              <w:numPr>
                <w:ilvl w:val="0"/>
                <w:numId w:val="64"/>
              </w:numPr>
              <w:jc w:val="both"/>
              <w:rPr>
                <w:rFonts w:asciiTheme="minorHAnsi" w:eastAsia="Times New Roman" w:hAnsiTheme="minorHAnsi" w:cstheme="minorHAnsi"/>
                <w:color w:val="000000"/>
                <w:sz w:val="18"/>
                <w:szCs w:val="18"/>
              </w:rPr>
            </w:pPr>
            <w:r w:rsidRPr="00EE502F">
              <w:rPr>
                <w:rFonts w:asciiTheme="minorHAnsi" w:eastAsia="Times New Roman" w:hAnsiTheme="minorHAnsi" w:cstheme="minorHAnsi"/>
                <w:color w:val="000000"/>
                <w:sz w:val="18"/>
                <w:szCs w:val="18"/>
              </w:rPr>
              <w:t>on amending the authority requirements for adalimumab for first continuing treatment of paediatric CPP.</w:t>
            </w:r>
          </w:p>
          <w:p w14:paraId="32820865" w14:textId="4F53BAE0" w:rsidR="00EF5DFE" w:rsidRPr="00EE502F" w:rsidRDefault="00EF5DFE" w:rsidP="00262962">
            <w:pPr>
              <w:pStyle w:val="ListParagraph"/>
              <w:numPr>
                <w:ilvl w:val="0"/>
                <w:numId w:val="64"/>
              </w:numPr>
              <w:jc w:val="both"/>
              <w:rPr>
                <w:rFonts w:asciiTheme="minorHAnsi" w:eastAsia="Times New Roman" w:hAnsiTheme="minorHAnsi" w:cstheme="minorHAnsi"/>
                <w:color w:val="000000"/>
                <w:sz w:val="18"/>
                <w:szCs w:val="18"/>
              </w:rPr>
            </w:pPr>
            <w:r w:rsidRPr="00EE502F">
              <w:rPr>
                <w:rFonts w:asciiTheme="minorHAnsi" w:eastAsia="Times New Roman" w:hAnsiTheme="minorHAnsi" w:cstheme="minorHAnsi"/>
                <w:color w:val="000000"/>
                <w:sz w:val="18"/>
                <w:szCs w:val="18"/>
              </w:rPr>
              <w:t>on amending the authority requirements for adalimumab for initial and first continuing treatment of paediatric ERA</w:t>
            </w:r>
            <w:r w:rsidR="00E6146A" w:rsidRPr="00EE502F">
              <w:rPr>
                <w:rFonts w:asciiTheme="minorHAnsi" w:eastAsia="Times New Roman" w:hAnsiTheme="minorHAnsi" w:cstheme="minorHAnsi"/>
                <w:color w:val="000000"/>
                <w:sz w:val="18"/>
                <w:szCs w:val="18"/>
              </w:rPr>
              <w:t>.</w:t>
            </w:r>
          </w:p>
          <w:p w14:paraId="781E12A6" w14:textId="66E6E2C4" w:rsidR="00710C71" w:rsidRPr="00EE502F" w:rsidRDefault="00EF5DFE" w:rsidP="00262962">
            <w:pPr>
              <w:pStyle w:val="ListParagraph"/>
              <w:numPr>
                <w:ilvl w:val="0"/>
                <w:numId w:val="64"/>
              </w:numPr>
              <w:jc w:val="both"/>
              <w:rPr>
                <w:rFonts w:asciiTheme="minorHAnsi" w:eastAsia="Times New Roman" w:hAnsiTheme="minorHAnsi" w:cstheme="minorHAnsi"/>
                <w:color w:val="000000"/>
                <w:sz w:val="18"/>
                <w:szCs w:val="18"/>
              </w:rPr>
            </w:pPr>
            <w:r w:rsidRPr="00EE502F">
              <w:rPr>
                <w:rFonts w:asciiTheme="minorHAnsi" w:eastAsia="Times New Roman" w:hAnsiTheme="minorHAnsi" w:cstheme="minorHAnsi"/>
                <w:color w:val="000000"/>
                <w:sz w:val="18"/>
                <w:szCs w:val="18"/>
              </w:rPr>
              <w:t xml:space="preserve">regarding inclusion of a </w:t>
            </w:r>
            <w:proofErr w:type="gramStart"/>
            <w:r w:rsidRPr="00EE502F">
              <w:rPr>
                <w:rFonts w:asciiTheme="minorHAnsi" w:eastAsia="Times New Roman" w:hAnsiTheme="minorHAnsi" w:cstheme="minorHAnsi"/>
                <w:color w:val="000000"/>
                <w:sz w:val="18"/>
                <w:szCs w:val="18"/>
              </w:rPr>
              <w:t>Grandfather</w:t>
            </w:r>
            <w:proofErr w:type="gramEnd"/>
            <w:r w:rsidRPr="00EE502F">
              <w:rPr>
                <w:rFonts w:asciiTheme="minorHAnsi" w:eastAsia="Times New Roman" w:hAnsiTheme="minorHAnsi" w:cstheme="minorHAnsi"/>
                <w:color w:val="000000"/>
                <w:sz w:val="18"/>
                <w:szCs w:val="18"/>
              </w:rPr>
              <w:t xml:space="preserve"> listing for juvenile idiopathic arthritis (JIA), to accommodate paediatric patients currently received adalimumab via the sponsor’s compassionate access program, who would otherwise meet the amended eligibility criteria for JIA ( as recommended by the PBAC in December 2024).</w:t>
            </w:r>
          </w:p>
        </w:tc>
        <w:tc>
          <w:tcPr>
            <w:tcW w:w="1318" w:type="pct"/>
            <w:vAlign w:val="center"/>
          </w:tcPr>
          <w:p w14:paraId="34BE6CFB" w14:textId="138AE777" w:rsidR="00710C71" w:rsidRPr="00AE357B" w:rsidDel="00F00A70" w:rsidRDefault="18715F9E" w:rsidP="00AE357B">
            <w:pPr>
              <w:spacing w:before="120"/>
              <w:jc w:val="both"/>
              <w:rPr>
                <w:rFonts w:ascii="Calibri" w:eastAsia="Calibri" w:hAnsi="Calibri" w:cs="Calibri"/>
                <w:sz w:val="18"/>
                <w:szCs w:val="18"/>
                <w:lang w:val="en-GB"/>
              </w:rPr>
            </w:pPr>
            <w:r w:rsidRPr="00AE357B">
              <w:rPr>
                <w:rFonts w:ascii="Calibri" w:eastAsia="Calibri" w:hAnsi="Calibri" w:cs="Calibri"/>
                <w:sz w:val="18"/>
                <w:szCs w:val="18"/>
                <w:lang w:val="en-GB"/>
              </w:rPr>
              <w:t xml:space="preserve">The PBAC recommended the inclusion of a </w:t>
            </w:r>
            <w:proofErr w:type="gramStart"/>
            <w:r w:rsidRPr="00AE357B">
              <w:rPr>
                <w:rFonts w:ascii="Calibri" w:eastAsia="Calibri" w:hAnsi="Calibri" w:cs="Calibri"/>
                <w:sz w:val="18"/>
                <w:szCs w:val="18"/>
                <w:lang w:val="en-GB"/>
              </w:rPr>
              <w:t>Grandfather</w:t>
            </w:r>
            <w:proofErr w:type="gramEnd"/>
            <w:r w:rsidRPr="00AE357B">
              <w:rPr>
                <w:rFonts w:ascii="Calibri" w:eastAsia="Calibri" w:hAnsi="Calibri" w:cs="Calibri"/>
                <w:sz w:val="18"/>
                <w:szCs w:val="18"/>
                <w:lang w:val="en-GB"/>
              </w:rPr>
              <w:t xml:space="preserve"> listing for the amended JIA population (recommended in December 2024). The PBAC recommended amending the authority requirements for adalimumab for the treatment of </w:t>
            </w:r>
            <w:r w:rsidRPr="00AE357B">
              <w:rPr>
                <w:rFonts w:ascii="Calibri" w:eastAsia="Calibri" w:hAnsi="Calibri" w:cs="Calibri"/>
                <w:sz w:val="18"/>
                <w:szCs w:val="18"/>
              </w:rPr>
              <w:t xml:space="preserve">paediatric ERA </w:t>
            </w:r>
            <w:r w:rsidRPr="00AE357B">
              <w:rPr>
                <w:rFonts w:ascii="Calibri" w:eastAsia="Calibri" w:hAnsi="Calibri" w:cs="Calibri"/>
                <w:sz w:val="18"/>
                <w:szCs w:val="18"/>
                <w:lang w:val="en-GB"/>
              </w:rPr>
              <w:t xml:space="preserve">(recommended in December 2024) to align with the current authority requirements for adalimumab for the treatment of JIA (paediatric patients). The PBAC did not recommend amending the authority requirements for adalimumab for the treatment of CPP.  The PBAC noted the requests from clinical stakeholders to amend the various authority requirements. The PBAC noted that the request from the sponsor for Humira® for a </w:t>
            </w:r>
            <w:proofErr w:type="gramStart"/>
            <w:r w:rsidRPr="00AE357B">
              <w:rPr>
                <w:rFonts w:ascii="Calibri" w:eastAsia="Calibri" w:hAnsi="Calibri" w:cs="Calibri"/>
                <w:sz w:val="18"/>
                <w:szCs w:val="18"/>
                <w:lang w:val="en-GB"/>
              </w:rPr>
              <w:t>Grandfather</w:t>
            </w:r>
            <w:proofErr w:type="gramEnd"/>
            <w:r w:rsidRPr="00AE357B">
              <w:rPr>
                <w:rFonts w:ascii="Calibri" w:eastAsia="Calibri" w:hAnsi="Calibri" w:cs="Calibri"/>
                <w:sz w:val="18"/>
                <w:szCs w:val="18"/>
                <w:lang w:val="en-GB"/>
              </w:rPr>
              <w:t xml:space="preserve"> listing would allow eligible children with JIA currently receiving treatment via the sponsor compassionate access program to transition to PBS subsidised therapy.</w:t>
            </w:r>
          </w:p>
        </w:tc>
      </w:tr>
    </w:tbl>
    <w:p w14:paraId="7B31C057" w14:textId="77777777" w:rsidR="00EF58E5" w:rsidRDefault="00EF58E5">
      <w:pPr>
        <w:rPr>
          <w:rFonts w:asciiTheme="minorHAnsi" w:hAnsiTheme="minorHAnsi" w:cstheme="minorHAnsi"/>
          <w:bCs/>
          <w:sz w:val="18"/>
          <w:szCs w:val="18"/>
          <w:lang w:val="en-US"/>
        </w:rPr>
      </w:pPr>
    </w:p>
    <w:p w14:paraId="5662EAF4" w14:textId="77777777" w:rsidR="00A2551D" w:rsidRDefault="00A2551D" w:rsidP="008C579F">
      <w:pPr>
        <w:rPr>
          <w:rFonts w:asciiTheme="minorHAnsi" w:hAnsiTheme="minorHAnsi" w:cstheme="minorHAnsi"/>
          <w:color w:val="000000"/>
          <w:sz w:val="18"/>
          <w:szCs w:val="18"/>
        </w:rPr>
      </w:pPr>
    </w:p>
    <w:p w14:paraId="71915EB5" w14:textId="77777777" w:rsidR="00A2551D" w:rsidRDefault="00A2551D" w:rsidP="008C579F">
      <w:pPr>
        <w:rPr>
          <w:rFonts w:asciiTheme="minorHAnsi" w:hAnsiTheme="minorHAnsi" w:cstheme="minorHAnsi"/>
          <w:b/>
          <w:bCs/>
          <w:color w:val="000000"/>
          <w:sz w:val="18"/>
          <w:szCs w:val="18"/>
        </w:rPr>
      </w:pPr>
      <w:r>
        <w:rPr>
          <w:rFonts w:asciiTheme="minorHAnsi" w:hAnsiTheme="minorHAnsi" w:cstheme="minorHAnsi"/>
          <w:b/>
          <w:bCs/>
          <w:color w:val="000000"/>
          <w:sz w:val="18"/>
          <w:szCs w:val="18"/>
        </w:rPr>
        <w:t>Version 3</w:t>
      </w:r>
    </w:p>
    <w:p w14:paraId="0AF37042" w14:textId="77777777" w:rsidR="00A2551D" w:rsidRDefault="00A2551D" w:rsidP="008C579F">
      <w:pPr>
        <w:rPr>
          <w:rFonts w:asciiTheme="minorHAnsi" w:hAnsiTheme="minorHAnsi" w:cstheme="minorHAnsi"/>
          <w:b/>
          <w:bCs/>
          <w:color w:val="000000"/>
          <w:sz w:val="18"/>
          <w:szCs w:val="18"/>
        </w:rPr>
      </w:pPr>
    </w:p>
    <w:p w14:paraId="503AA56D" w14:textId="77777777" w:rsidR="00A2551D" w:rsidRDefault="00A2551D" w:rsidP="00A2551D">
      <w:pPr>
        <w:rPr>
          <w:rFonts w:asciiTheme="minorHAnsi" w:hAnsiTheme="minorHAnsi" w:cstheme="minorHAnsi"/>
          <w:color w:val="000000"/>
          <w:sz w:val="18"/>
          <w:szCs w:val="18"/>
        </w:rPr>
      </w:pPr>
      <w:r w:rsidRPr="00A2551D">
        <w:rPr>
          <w:rFonts w:asciiTheme="minorHAnsi" w:hAnsiTheme="minorHAnsi" w:cstheme="minorHAnsi"/>
          <w:color w:val="000000"/>
          <w:sz w:val="18"/>
          <w:szCs w:val="18"/>
        </w:rPr>
        <w:t xml:space="preserve">Amendment: </w:t>
      </w:r>
    </w:p>
    <w:p w14:paraId="007D99F0" w14:textId="52F30831" w:rsidR="00541781" w:rsidRDefault="00816F09" w:rsidP="00A2551D">
      <w:pPr>
        <w:pStyle w:val="ListParagraph"/>
        <w:numPr>
          <w:ilvl w:val="0"/>
          <w:numId w:val="68"/>
        </w:numPr>
        <w:rPr>
          <w:rFonts w:asciiTheme="minorHAnsi" w:hAnsiTheme="minorHAnsi" w:cstheme="minorHAnsi"/>
          <w:color w:val="000000"/>
          <w:sz w:val="18"/>
          <w:szCs w:val="18"/>
        </w:rPr>
      </w:pPr>
      <w:r w:rsidRPr="00816F09">
        <w:rPr>
          <w:rFonts w:asciiTheme="minorHAnsi" w:hAnsiTheme="minorHAnsi" w:cstheme="minorHAnsi"/>
          <w:color w:val="000000"/>
          <w:sz w:val="18"/>
          <w:szCs w:val="18"/>
        </w:rPr>
        <w:t>MIRVETUXIMAB SORAVTANSINE</w:t>
      </w:r>
      <w:r>
        <w:rPr>
          <w:rFonts w:asciiTheme="minorHAnsi" w:hAnsiTheme="minorHAnsi" w:cstheme="minorHAnsi"/>
          <w:color w:val="000000"/>
          <w:sz w:val="18"/>
          <w:szCs w:val="18"/>
        </w:rPr>
        <w:t xml:space="preserve"> - </w:t>
      </w:r>
      <w:r w:rsidRPr="00816F09">
        <w:rPr>
          <w:rFonts w:asciiTheme="minorHAnsi" w:hAnsiTheme="minorHAnsi" w:cstheme="minorHAnsi"/>
          <w:color w:val="000000"/>
          <w:sz w:val="18"/>
          <w:szCs w:val="18"/>
        </w:rPr>
        <w:t>Added PBAC outcome</w:t>
      </w:r>
    </w:p>
    <w:p w14:paraId="26851018" w14:textId="40091405" w:rsidR="00C92196" w:rsidRDefault="00A2551D" w:rsidP="00A2551D">
      <w:pPr>
        <w:pStyle w:val="ListParagraph"/>
        <w:numPr>
          <w:ilvl w:val="0"/>
          <w:numId w:val="68"/>
        </w:numPr>
        <w:rPr>
          <w:rFonts w:asciiTheme="minorHAnsi" w:hAnsiTheme="minorHAnsi" w:cstheme="minorHAnsi"/>
          <w:color w:val="000000"/>
          <w:sz w:val="18"/>
          <w:szCs w:val="18"/>
        </w:rPr>
      </w:pPr>
      <w:r w:rsidRPr="00A2551D">
        <w:rPr>
          <w:rFonts w:asciiTheme="minorHAnsi" w:hAnsiTheme="minorHAnsi" w:cstheme="minorHAnsi"/>
          <w:color w:val="000000"/>
          <w:sz w:val="18"/>
          <w:szCs w:val="18"/>
        </w:rPr>
        <w:t>VANZACAFTOR WITH TEZACAFTOR AND WITH DEUTIVACAFTOR –</w:t>
      </w:r>
      <w:r w:rsidR="00C92196">
        <w:rPr>
          <w:rFonts w:asciiTheme="minorHAnsi" w:hAnsiTheme="minorHAnsi" w:cstheme="minorHAnsi"/>
          <w:color w:val="000000"/>
          <w:sz w:val="18"/>
          <w:szCs w:val="18"/>
        </w:rPr>
        <w:t xml:space="preserve"> </w:t>
      </w:r>
      <w:r w:rsidR="00182912">
        <w:rPr>
          <w:rFonts w:asciiTheme="minorHAnsi" w:hAnsiTheme="minorHAnsi" w:cstheme="minorHAnsi"/>
          <w:color w:val="000000"/>
          <w:sz w:val="18"/>
          <w:szCs w:val="18"/>
        </w:rPr>
        <w:t>Replace</w:t>
      </w:r>
      <w:r w:rsidR="004F3493">
        <w:rPr>
          <w:rFonts w:asciiTheme="minorHAnsi" w:hAnsiTheme="minorHAnsi" w:cstheme="minorHAnsi"/>
          <w:color w:val="000000"/>
          <w:sz w:val="18"/>
          <w:szCs w:val="18"/>
        </w:rPr>
        <w:t xml:space="preserve">d outcome detail ‘ Not </w:t>
      </w:r>
      <w:r w:rsidR="00B34127">
        <w:rPr>
          <w:rFonts w:asciiTheme="minorHAnsi" w:hAnsiTheme="minorHAnsi" w:cstheme="minorHAnsi"/>
          <w:color w:val="000000"/>
          <w:sz w:val="18"/>
          <w:szCs w:val="18"/>
        </w:rPr>
        <w:t xml:space="preserve">applicable’  with ‘Deferred’ </w:t>
      </w:r>
    </w:p>
    <w:p w14:paraId="5DCE8D05" w14:textId="77777777" w:rsidR="00C92196" w:rsidRDefault="00C92196" w:rsidP="00C92196">
      <w:pPr>
        <w:rPr>
          <w:rFonts w:asciiTheme="minorHAnsi" w:hAnsiTheme="minorHAnsi" w:cstheme="minorHAnsi"/>
          <w:color w:val="000000"/>
          <w:sz w:val="18"/>
          <w:szCs w:val="18"/>
        </w:rPr>
      </w:pPr>
    </w:p>
    <w:p w14:paraId="66173F45" w14:textId="3B540B8F" w:rsidR="00C92196" w:rsidRPr="00B34127" w:rsidRDefault="00C92196" w:rsidP="00B34127">
      <w:pPr>
        <w:rPr>
          <w:rFonts w:asciiTheme="minorHAnsi" w:hAnsiTheme="minorHAnsi" w:cstheme="minorHAnsi"/>
          <w:bCs/>
          <w:sz w:val="18"/>
          <w:szCs w:val="18"/>
          <w:lang w:val="en-US"/>
        </w:rPr>
      </w:pPr>
    </w:p>
    <w:p w14:paraId="02B0A3D6" w14:textId="5804F14D" w:rsidR="00F43E3C" w:rsidRPr="00C92196" w:rsidRDefault="008C579F" w:rsidP="00C92196">
      <w:pPr>
        <w:rPr>
          <w:rFonts w:asciiTheme="minorHAnsi" w:eastAsia="SimSun" w:hAnsiTheme="minorHAnsi" w:cstheme="minorHAnsi"/>
          <w:color w:val="000000"/>
          <w:sz w:val="18"/>
          <w:szCs w:val="18"/>
        </w:rPr>
      </w:pPr>
      <w:r w:rsidRPr="00C92196">
        <w:rPr>
          <w:rFonts w:asciiTheme="minorHAnsi" w:hAnsiTheme="minorHAnsi" w:cstheme="minorHAnsi"/>
          <w:color w:val="000000"/>
          <w:sz w:val="18"/>
          <w:szCs w:val="18"/>
        </w:rPr>
        <w:br w:type="page"/>
      </w:r>
    </w:p>
    <w:p w14:paraId="2741764B" w14:textId="77777777" w:rsidR="00F43E3C" w:rsidRDefault="00F43E3C">
      <w:pPr>
        <w:rPr>
          <w:rFonts w:asciiTheme="minorHAnsi" w:hAnsiTheme="minorHAnsi" w:cstheme="minorHAnsi"/>
          <w:bCs/>
          <w:sz w:val="18"/>
          <w:szCs w:val="18"/>
          <w:lang w:val="en-US"/>
        </w:rPr>
      </w:pPr>
    </w:p>
    <w:p w14:paraId="6B64D1DE" w14:textId="2D89D897" w:rsidR="007F48F6" w:rsidRPr="00292120" w:rsidDel="008F66B5" w:rsidRDefault="007F48F6" w:rsidP="00A94408">
      <w:pPr>
        <w:rPr>
          <w:rFonts w:ascii="Arial" w:hAnsi="Arial" w:cs="Arial"/>
          <w:b/>
          <w:bCs/>
          <w:lang w:val="en-US"/>
        </w:rPr>
      </w:pPr>
      <w:r w:rsidRPr="20381F86">
        <w:rPr>
          <w:rFonts w:ascii="Arial" w:hAnsi="Arial" w:cs="Arial"/>
          <w:b/>
          <w:bCs/>
          <w:lang w:val="en-US"/>
        </w:rPr>
        <w:t>Submission category types</w:t>
      </w:r>
    </w:p>
    <w:p w14:paraId="15D4233E" w14:textId="1C46F133" w:rsidR="007F48F6" w:rsidRPr="00292120" w:rsidDel="008F66B5" w:rsidRDefault="007F48F6" w:rsidP="00A94408">
      <w:pPr>
        <w:rPr>
          <w:rFonts w:ascii="Arial" w:hAnsi="Arial" w:cs="Arial"/>
          <w:b/>
          <w:bCs/>
          <w:lang w:val="en-US"/>
        </w:rPr>
      </w:pPr>
    </w:p>
    <w:tbl>
      <w:tblPr>
        <w:tblStyle w:val="TableGrid"/>
        <w:tblW w:w="14458" w:type="dxa"/>
        <w:tblInd w:w="421" w:type="dxa"/>
        <w:tblLook w:val="04A0" w:firstRow="1" w:lastRow="0" w:firstColumn="1" w:lastColumn="0" w:noHBand="0" w:noVBand="1"/>
      </w:tblPr>
      <w:tblGrid>
        <w:gridCol w:w="1984"/>
        <w:gridCol w:w="12474"/>
      </w:tblGrid>
      <w:tr w:rsidR="007F48F6" w:rsidRPr="00292120" w:rsidDel="008F66B5" w14:paraId="49C9D26F" w14:textId="501D6309" w:rsidTr="20381F86">
        <w:trPr>
          <w:trHeight w:val="300"/>
        </w:trPr>
        <w:tc>
          <w:tcPr>
            <w:tcW w:w="1984" w:type="dxa"/>
          </w:tcPr>
          <w:p w14:paraId="1640FA5D" w14:textId="5A043ED1" w:rsidR="007F48F6" w:rsidRPr="00292120" w:rsidDel="008F66B5" w:rsidRDefault="007F48F6" w:rsidP="00A94408">
            <w:pPr>
              <w:autoSpaceDE w:val="0"/>
              <w:autoSpaceDN w:val="0"/>
              <w:adjustRightInd w:val="0"/>
              <w:rPr>
                <w:rFonts w:ascii="Arial" w:hAnsi="Arial" w:cs="Arial"/>
                <w:b/>
                <w:bCs/>
                <w:lang w:val="en-US"/>
              </w:rPr>
            </w:pPr>
            <w:r w:rsidRPr="20381F86">
              <w:rPr>
                <w:rFonts w:ascii="Arial" w:hAnsi="Arial" w:cs="Arial"/>
                <w:b/>
                <w:bCs/>
                <w:color w:val="000000" w:themeColor="text1"/>
              </w:rPr>
              <w:t>Category 1</w:t>
            </w:r>
          </w:p>
        </w:tc>
        <w:tc>
          <w:tcPr>
            <w:tcW w:w="12474" w:type="dxa"/>
          </w:tcPr>
          <w:p w14:paraId="55D16D51" w14:textId="1C953CA4" w:rsidR="007F48F6" w:rsidRPr="00292120" w:rsidDel="008F66B5" w:rsidRDefault="007F48F6" w:rsidP="00A94408">
            <w:pPr>
              <w:autoSpaceDE w:val="0"/>
              <w:autoSpaceDN w:val="0"/>
              <w:adjustRightInd w:val="0"/>
              <w:rPr>
                <w:rFonts w:ascii="Arial" w:hAnsi="Arial" w:cs="Arial"/>
                <w:b/>
                <w:bCs/>
                <w:color w:val="000000"/>
              </w:rPr>
            </w:pPr>
            <w:r w:rsidRPr="20381F86">
              <w:rPr>
                <w:rFonts w:ascii="Arial" w:hAnsi="Arial" w:cs="Arial"/>
                <w:color w:val="000000" w:themeColor="text1"/>
              </w:rPr>
              <w:t xml:space="preserve">A request for PBS or NIP listing of one or more of the following: </w:t>
            </w:r>
          </w:p>
          <w:p w14:paraId="5E5BAAB8" w14:textId="64CF3868" w:rsidR="007F48F6" w:rsidRPr="00292120" w:rsidDel="008F66B5" w:rsidRDefault="007F48F6" w:rsidP="00A94408">
            <w:pPr>
              <w:pStyle w:val="ListParagraph"/>
              <w:numPr>
                <w:ilvl w:val="0"/>
                <w:numId w:val="3"/>
              </w:numPr>
              <w:autoSpaceDE w:val="0"/>
              <w:autoSpaceDN w:val="0"/>
              <w:adjustRightInd w:val="0"/>
              <w:ind w:left="360"/>
              <w:rPr>
                <w:rFonts w:ascii="Arial" w:hAnsi="Arial" w:cs="Arial"/>
                <w:b/>
                <w:bCs/>
                <w:color w:val="000000"/>
                <w:sz w:val="20"/>
                <w:szCs w:val="20"/>
              </w:rPr>
            </w:pPr>
            <w:r w:rsidRPr="20381F86">
              <w:rPr>
                <w:rFonts w:ascii="Arial" w:hAnsi="Arial" w:cs="Arial"/>
                <w:color w:val="000000" w:themeColor="text1"/>
                <w:sz w:val="20"/>
                <w:szCs w:val="20"/>
              </w:rPr>
              <w:t xml:space="preserve">A first in class medicine or vaccine, and/or a medicine or vaccine for a new population. OR </w:t>
            </w:r>
          </w:p>
          <w:p w14:paraId="7DB13D11" w14:textId="1D5BF29E" w:rsidR="007F48F6" w:rsidRPr="00292120" w:rsidDel="008F66B5" w:rsidRDefault="007F48F6" w:rsidP="00A94408">
            <w:pPr>
              <w:pStyle w:val="ListParagraph"/>
              <w:numPr>
                <w:ilvl w:val="0"/>
                <w:numId w:val="3"/>
              </w:numPr>
              <w:autoSpaceDE w:val="0"/>
              <w:autoSpaceDN w:val="0"/>
              <w:adjustRightInd w:val="0"/>
              <w:ind w:left="360"/>
              <w:rPr>
                <w:rFonts w:ascii="Arial" w:hAnsi="Arial" w:cs="Arial"/>
                <w:b/>
                <w:bCs/>
                <w:color w:val="000000"/>
                <w:sz w:val="20"/>
                <w:szCs w:val="20"/>
              </w:rPr>
            </w:pPr>
            <w:r w:rsidRPr="20381F86">
              <w:rPr>
                <w:rFonts w:ascii="Arial" w:hAnsi="Arial" w:cs="Arial"/>
                <w:color w:val="000000" w:themeColor="text1"/>
                <w:sz w:val="20"/>
                <w:szCs w:val="20"/>
              </w:rPr>
              <w:t xml:space="preserve">A drug with a codependent technology that requires an integrated codependent submission to the PBAC and MSAC. OR </w:t>
            </w:r>
          </w:p>
          <w:p w14:paraId="1380A86B" w14:textId="5E2F1AA0" w:rsidR="007F48F6" w:rsidRPr="00292120" w:rsidDel="008F66B5" w:rsidRDefault="007F48F6" w:rsidP="00A94408">
            <w:pPr>
              <w:pStyle w:val="ListParagraph"/>
              <w:numPr>
                <w:ilvl w:val="0"/>
                <w:numId w:val="3"/>
              </w:numPr>
              <w:autoSpaceDE w:val="0"/>
              <w:autoSpaceDN w:val="0"/>
              <w:adjustRightInd w:val="0"/>
              <w:ind w:left="360"/>
              <w:rPr>
                <w:rFonts w:ascii="Arial" w:hAnsi="Arial" w:cs="Arial"/>
                <w:b/>
                <w:bCs/>
                <w:color w:val="000000"/>
                <w:sz w:val="20"/>
                <w:szCs w:val="20"/>
              </w:rPr>
            </w:pPr>
            <w:r w:rsidRPr="20381F86">
              <w:rPr>
                <w:rFonts w:ascii="Arial" w:hAnsi="Arial" w:cs="Arial"/>
                <w:color w:val="000000" w:themeColor="text1"/>
                <w:sz w:val="20"/>
                <w:szCs w:val="20"/>
              </w:rPr>
              <w:t>A drug or designated vaccine with a TGA Provisional determination related to the proposed population.</w:t>
            </w:r>
          </w:p>
        </w:tc>
      </w:tr>
      <w:tr w:rsidR="007F48F6" w:rsidRPr="00292120" w:rsidDel="008F66B5" w14:paraId="55E97F75" w14:textId="03BFE596" w:rsidTr="20381F86">
        <w:trPr>
          <w:trHeight w:val="300"/>
        </w:trPr>
        <w:tc>
          <w:tcPr>
            <w:tcW w:w="1984" w:type="dxa"/>
          </w:tcPr>
          <w:p w14:paraId="5E9AC3B0" w14:textId="02795464" w:rsidR="007F48F6" w:rsidRPr="00292120" w:rsidDel="008F66B5" w:rsidRDefault="007F48F6" w:rsidP="00A94408">
            <w:pPr>
              <w:tabs>
                <w:tab w:val="left" w:pos="5210"/>
              </w:tabs>
              <w:rPr>
                <w:rFonts w:ascii="Arial" w:hAnsi="Arial" w:cs="Arial"/>
                <w:b/>
                <w:bCs/>
                <w:lang w:val="en-US"/>
              </w:rPr>
            </w:pPr>
            <w:r w:rsidRPr="20381F86">
              <w:rPr>
                <w:rFonts w:ascii="Arial" w:hAnsi="Arial" w:cs="Arial"/>
                <w:b/>
                <w:bCs/>
              </w:rPr>
              <w:t>Category 2</w:t>
            </w:r>
          </w:p>
        </w:tc>
        <w:tc>
          <w:tcPr>
            <w:tcW w:w="12474" w:type="dxa"/>
          </w:tcPr>
          <w:p w14:paraId="72522F32" w14:textId="07B69D5E" w:rsidR="007F48F6" w:rsidRPr="00292120" w:rsidDel="008F66B5" w:rsidRDefault="007F48F6" w:rsidP="00A94408">
            <w:pPr>
              <w:tabs>
                <w:tab w:val="left" w:pos="5210"/>
              </w:tabs>
              <w:rPr>
                <w:rFonts w:ascii="Arial" w:hAnsi="Arial" w:cs="Arial"/>
              </w:rPr>
            </w:pPr>
            <w:r w:rsidRPr="20381F86">
              <w:rPr>
                <w:rFonts w:ascii="Arial" w:hAnsi="Arial" w:cs="Arial"/>
              </w:rPr>
              <w:t>A request for PBS or NIP listing of a new medicine or new vaccine, a new indication of a currently listed medicine or vaccine, or to make material changes to a currently listed indication and do not meet the criteria for a Category 1 submission.</w:t>
            </w:r>
          </w:p>
        </w:tc>
      </w:tr>
      <w:tr w:rsidR="007F48F6" w:rsidRPr="00292120" w:rsidDel="008F66B5" w14:paraId="2189A220" w14:textId="61A0DBC9" w:rsidTr="20381F86">
        <w:trPr>
          <w:trHeight w:val="300"/>
        </w:trPr>
        <w:tc>
          <w:tcPr>
            <w:tcW w:w="1984" w:type="dxa"/>
          </w:tcPr>
          <w:p w14:paraId="79CB93BA" w14:textId="26E7B2D7" w:rsidR="007F48F6" w:rsidRPr="00292120" w:rsidDel="008F66B5" w:rsidRDefault="007F48F6" w:rsidP="00A94408">
            <w:pPr>
              <w:tabs>
                <w:tab w:val="left" w:pos="5210"/>
              </w:tabs>
              <w:rPr>
                <w:rFonts w:ascii="Arial" w:hAnsi="Arial" w:cs="Arial"/>
                <w:b/>
                <w:bCs/>
                <w:lang w:val="en-US"/>
              </w:rPr>
            </w:pPr>
            <w:r w:rsidRPr="20381F86">
              <w:rPr>
                <w:rFonts w:ascii="Arial" w:hAnsi="Arial" w:cs="Arial"/>
                <w:b/>
                <w:bCs/>
              </w:rPr>
              <w:t>Category 3</w:t>
            </w:r>
          </w:p>
        </w:tc>
        <w:tc>
          <w:tcPr>
            <w:tcW w:w="12474" w:type="dxa"/>
          </w:tcPr>
          <w:p w14:paraId="11EF39D0" w14:textId="6C5945B9" w:rsidR="007F48F6" w:rsidRPr="00292120" w:rsidDel="008F66B5" w:rsidRDefault="007F48F6" w:rsidP="00A94408">
            <w:pPr>
              <w:tabs>
                <w:tab w:val="left" w:pos="5210"/>
              </w:tabs>
              <w:rPr>
                <w:rFonts w:ascii="Arial" w:hAnsi="Arial" w:cs="Arial"/>
              </w:rPr>
            </w:pPr>
            <w:r w:rsidRPr="20381F86">
              <w:rPr>
                <w:rFonts w:ascii="Arial" w:hAnsi="Arial" w:cs="Arial"/>
              </w:rPr>
              <w:t xml:space="preserve">Requests to change existing listings that do not change the population or </w:t>
            </w:r>
            <w:r w:rsidRPr="00292120" w:rsidDel="008F66B5">
              <w:rPr>
                <w:rFonts w:ascii="Arial" w:hAnsi="Arial" w:cs="Arial"/>
              </w:rPr>
              <w:t>cost</w:t>
            </w:r>
            <w:r w:rsidR="00884764">
              <w:rPr>
                <w:rFonts w:ascii="Arial" w:hAnsi="Arial" w:cs="Arial"/>
              </w:rPr>
              <w:t xml:space="preserve"> </w:t>
            </w:r>
            <w:r w:rsidRPr="20381F86">
              <w:rPr>
                <w:rFonts w:ascii="Arial" w:hAnsi="Arial" w:cs="Arial"/>
              </w:rPr>
              <w:t>effectiveness</w:t>
            </w:r>
            <w:r w:rsidRPr="00292120" w:rsidDel="008F66B5">
              <w:rPr>
                <w:rFonts w:ascii="Arial" w:hAnsi="Arial" w:cs="Arial"/>
              </w:rPr>
              <w:t xml:space="preserve"> of the medicine or vaccine that do not meet the criteria for a Category 4 submission.</w:t>
            </w:r>
          </w:p>
        </w:tc>
      </w:tr>
      <w:tr w:rsidR="007F48F6" w:rsidRPr="00292120" w:rsidDel="008F66B5" w14:paraId="3189B6F0" w14:textId="58D078D0" w:rsidTr="20381F86">
        <w:trPr>
          <w:trHeight w:val="300"/>
        </w:trPr>
        <w:tc>
          <w:tcPr>
            <w:tcW w:w="1984" w:type="dxa"/>
          </w:tcPr>
          <w:p w14:paraId="381D7CFE" w14:textId="2C6348C1" w:rsidR="007F48F6" w:rsidRPr="00292120" w:rsidDel="008F66B5" w:rsidRDefault="007F48F6" w:rsidP="00A94408">
            <w:pPr>
              <w:pStyle w:val="Default"/>
              <w:rPr>
                <w:rFonts w:ascii="Arial" w:hAnsi="Arial" w:cs="Arial"/>
                <w:b/>
                <w:bCs/>
                <w:sz w:val="20"/>
                <w:szCs w:val="20"/>
                <w:lang w:val="en-US"/>
              </w:rPr>
            </w:pPr>
            <w:r w:rsidRPr="20381F86">
              <w:rPr>
                <w:rFonts w:ascii="Arial" w:hAnsi="Arial" w:cs="Arial"/>
                <w:b/>
                <w:bCs/>
                <w:sz w:val="20"/>
                <w:szCs w:val="20"/>
              </w:rPr>
              <w:t xml:space="preserve">Category 4 </w:t>
            </w:r>
          </w:p>
        </w:tc>
        <w:tc>
          <w:tcPr>
            <w:tcW w:w="12474" w:type="dxa"/>
          </w:tcPr>
          <w:p w14:paraId="5E50EE2B" w14:textId="0844D782" w:rsidR="007F48F6" w:rsidRPr="00292120" w:rsidDel="008F66B5" w:rsidRDefault="007F48F6" w:rsidP="00A94408">
            <w:pPr>
              <w:pStyle w:val="Default"/>
              <w:rPr>
                <w:rFonts w:ascii="Arial" w:hAnsi="Arial" w:cs="Arial"/>
                <w:b/>
                <w:bCs/>
                <w:sz w:val="20"/>
                <w:szCs w:val="20"/>
              </w:rPr>
            </w:pPr>
            <w:r w:rsidRPr="20381F86">
              <w:rPr>
                <w:rFonts w:ascii="Arial" w:hAnsi="Arial" w:cs="Arial"/>
                <w:sz w:val="20"/>
                <w:szCs w:val="20"/>
              </w:rPr>
              <w:t xml:space="preserve">A request for one or more of the following: </w:t>
            </w:r>
          </w:p>
          <w:p w14:paraId="61CDD5EA" w14:textId="78CA3529" w:rsidR="007F48F6" w:rsidRPr="00292120" w:rsidDel="008F66B5" w:rsidRDefault="007F48F6" w:rsidP="00A94408">
            <w:pPr>
              <w:pStyle w:val="ListParagraph"/>
              <w:numPr>
                <w:ilvl w:val="0"/>
                <w:numId w:val="4"/>
              </w:numPr>
              <w:autoSpaceDE w:val="0"/>
              <w:autoSpaceDN w:val="0"/>
              <w:adjustRightInd w:val="0"/>
              <w:ind w:left="360"/>
              <w:rPr>
                <w:rFonts w:ascii="Arial" w:hAnsi="Arial" w:cs="Arial"/>
                <w:b/>
                <w:bCs/>
                <w:color w:val="000000"/>
                <w:sz w:val="20"/>
                <w:szCs w:val="20"/>
              </w:rPr>
            </w:pPr>
            <w:r w:rsidRPr="20381F86">
              <w:rPr>
                <w:rFonts w:ascii="Arial" w:hAnsi="Arial" w:cs="Arial"/>
                <w:color w:val="000000" w:themeColor="text1"/>
                <w:sz w:val="20"/>
                <w:szCs w:val="20"/>
              </w:rPr>
              <w:t xml:space="preserve">Listing of a new pharmaceutical item of a listed medicine. </w:t>
            </w:r>
          </w:p>
          <w:p w14:paraId="30945A3C" w14:textId="40913576" w:rsidR="007F48F6" w:rsidRPr="00292120" w:rsidDel="008F66B5" w:rsidRDefault="007F48F6" w:rsidP="00A94408">
            <w:pPr>
              <w:pStyle w:val="ListParagraph"/>
              <w:numPr>
                <w:ilvl w:val="0"/>
                <w:numId w:val="4"/>
              </w:numPr>
              <w:autoSpaceDE w:val="0"/>
              <w:autoSpaceDN w:val="0"/>
              <w:adjustRightInd w:val="0"/>
              <w:ind w:left="360"/>
              <w:rPr>
                <w:rFonts w:ascii="Arial" w:hAnsi="Arial" w:cs="Arial"/>
                <w:b/>
                <w:bCs/>
                <w:color w:val="000000"/>
                <w:sz w:val="20"/>
                <w:szCs w:val="20"/>
              </w:rPr>
            </w:pPr>
            <w:r w:rsidRPr="20381F86">
              <w:rPr>
                <w:rFonts w:ascii="Arial" w:hAnsi="Arial" w:cs="Arial"/>
                <w:color w:val="000000" w:themeColor="text1"/>
                <w:sz w:val="20"/>
                <w:szCs w:val="20"/>
              </w:rPr>
              <w:t xml:space="preserve">Consideration as an exempt item (Exempt item as per subsection 84AH of the </w:t>
            </w:r>
            <w:r w:rsidRPr="20381F86">
              <w:rPr>
                <w:rFonts w:ascii="Arial" w:hAnsi="Arial" w:cs="Arial"/>
                <w:i/>
                <w:iCs/>
                <w:color w:val="000000" w:themeColor="text1"/>
                <w:sz w:val="20"/>
                <w:szCs w:val="20"/>
              </w:rPr>
              <w:t>National Health Act 1953</w:t>
            </w:r>
            <w:r w:rsidRPr="20381F86">
              <w:rPr>
                <w:rFonts w:ascii="Arial" w:hAnsi="Arial" w:cs="Arial"/>
                <w:color w:val="000000" w:themeColor="text1"/>
                <w:sz w:val="20"/>
                <w:szCs w:val="20"/>
              </w:rPr>
              <w:t xml:space="preserve">). </w:t>
            </w:r>
          </w:p>
          <w:p w14:paraId="46567CAC" w14:textId="241896B6" w:rsidR="007F48F6" w:rsidRPr="00292120" w:rsidDel="008F66B5" w:rsidRDefault="007F48F6" w:rsidP="00A94408">
            <w:pPr>
              <w:pStyle w:val="ListParagraph"/>
              <w:numPr>
                <w:ilvl w:val="0"/>
                <w:numId w:val="4"/>
              </w:numPr>
              <w:autoSpaceDE w:val="0"/>
              <w:autoSpaceDN w:val="0"/>
              <w:adjustRightInd w:val="0"/>
              <w:ind w:left="360"/>
              <w:rPr>
                <w:rFonts w:ascii="Arial" w:hAnsi="Arial" w:cs="Arial"/>
                <w:b/>
                <w:bCs/>
                <w:color w:val="000000"/>
                <w:sz w:val="20"/>
                <w:szCs w:val="20"/>
              </w:rPr>
            </w:pPr>
            <w:r w:rsidRPr="20381F86">
              <w:rPr>
                <w:rFonts w:ascii="Arial" w:hAnsi="Arial" w:cs="Arial"/>
                <w:sz w:val="20"/>
                <w:szCs w:val="20"/>
              </w:rPr>
              <w:t xml:space="preserve">Including a listed medicine on the prescriber bag, or varying an existing prescriber bag listing. </w:t>
            </w:r>
          </w:p>
          <w:p w14:paraId="7EF9BA42" w14:textId="54849C05" w:rsidR="007F48F6" w:rsidRPr="00292120" w:rsidDel="008F66B5" w:rsidRDefault="007F48F6" w:rsidP="00A94408">
            <w:pPr>
              <w:pStyle w:val="ListParagraph"/>
              <w:numPr>
                <w:ilvl w:val="0"/>
                <w:numId w:val="5"/>
              </w:numPr>
              <w:autoSpaceDE w:val="0"/>
              <w:autoSpaceDN w:val="0"/>
              <w:adjustRightInd w:val="0"/>
              <w:ind w:left="360"/>
              <w:rPr>
                <w:rFonts w:ascii="Arial" w:hAnsi="Arial" w:cs="Arial"/>
                <w:b/>
                <w:bCs/>
                <w:sz w:val="20"/>
                <w:szCs w:val="20"/>
              </w:rPr>
            </w:pPr>
            <w:r w:rsidRPr="20381F86">
              <w:rPr>
                <w:rFonts w:ascii="Arial" w:hAnsi="Arial" w:cs="Arial"/>
                <w:sz w:val="20"/>
                <w:szCs w:val="20"/>
              </w:rPr>
              <w:t xml:space="preserve">A change/new manner of administration of a listed medicine. </w:t>
            </w:r>
          </w:p>
          <w:p w14:paraId="4D6B65C5" w14:textId="1E6FA92B" w:rsidR="007F48F6" w:rsidRPr="00292120" w:rsidDel="008F66B5" w:rsidRDefault="007F48F6" w:rsidP="00A94408">
            <w:pPr>
              <w:pStyle w:val="ListParagraph"/>
              <w:numPr>
                <w:ilvl w:val="0"/>
                <w:numId w:val="5"/>
              </w:numPr>
              <w:autoSpaceDE w:val="0"/>
              <w:autoSpaceDN w:val="0"/>
              <w:adjustRightInd w:val="0"/>
              <w:ind w:left="360"/>
              <w:rPr>
                <w:rFonts w:ascii="Arial" w:hAnsi="Arial" w:cs="Arial"/>
                <w:b/>
                <w:bCs/>
                <w:sz w:val="20"/>
                <w:szCs w:val="20"/>
              </w:rPr>
            </w:pPr>
            <w:r w:rsidRPr="20381F86">
              <w:rPr>
                <w:rFonts w:ascii="Arial" w:hAnsi="Arial" w:cs="Arial"/>
                <w:sz w:val="20"/>
                <w:szCs w:val="20"/>
              </w:rPr>
              <w:t xml:space="preserve">A change to the maximum quantity and/or number of repeats of a listed medicine. </w:t>
            </w:r>
          </w:p>
          <w:p w14:paraId="2C2C10B5" w14:textId="34D1344F" w:rsidR="007F48F6" w:rsidRPr="00292120" w:rsidDel="008F66B5" w:rsidRDefault="007F48F6" w:rsidP="00A94408">
            <w:pPr>
              <w:pStyle w:val="ListParagraph"/>
              <w:numPr>
                <w:ilvl w:val="0"/>
                <w:numId w:val="5"/>
              </w:numPr>
              <w:autoSpaceDE w:val="0"/>
              <w:autoSpaceDN w:val="0"/>
              <w:adjustRightInd w:val="0"/>
              <w:ind w:left="360"/>
              <w:rPr>
                <w:rFonts w:ascii="Arial" w:hAnsi="Arial" w:cs="Arial"/>
                <w:b/>
                <w:bCs/>
                <w:sz w:val="20"/>
                <w:szCs w:val="20"/>
              </w:rPr>
            </w:pPr>
            <w:r w:rsidRPr="20381F86">
              <w:rPr>
                <w:rFonts w:ascii="Arial" w:hAnsi="Arial" w:cs="Arial"/>
                <w:sz w:val="20"/>
                <w:szCs w:val="20"/>
              </w:rPr>
              <w:t>A change or addition to the prescriber type(s) of a listed medicine.</w:t>
            </w:r>
          </w:p>
        </w:tc>
      </w:tr>
      <w:tr w:rsidR="009A1C75" w:rsidRPr="00292120" w:rsidDel="008F66B5" w14:paraId="5129ECF2" w14:textId="5315E1E8" w:rsidTr="20381F86">
        <w:trPr>
          <w:trHeight w:val="1026"/>
        </w:trPr>
        <w:tc>
          <w:tcPr>
            <w:tcW w:w="1984" w:type="dxa"/>
          </w:tcPr>
          <w:p w14:paraId="4FD9FAAA" w14:textId="327403AE" w:rsidR="009A1C75" w:rsidRPr="00292120" w:rsidDel="008F66B5" w:rsidRDefault="71EB8FAF" w:rsidP="00A94408">
            <w:pPr>
              <w:pStyle w:val="Default"/>
              <w:rPr>
                <w:rFonts w:ascii="Arial" w:hAnsi="Arial" w:cs="Arial"/>
                <w:sz w:val="20"/>
                <w:szCs w:val="20"/>
              </w:rPr>
            </w:pPr>
            <w:r w:rsidRPr="20381F86">
              <w:rPr>
                <w:rFonts w:ascii="Arial" w:hAnsi="Arial" w:cs="Arial"/>
                <w:b/>
                <w:bCs/>
                <w:sz w:val="20"/>
                <w:szCs w:val="20"/>
              </w:rPr>
              <w:t>Committee Secretariat</w:t>
            </w:r>
          </w:p>
        </w:tc>
        <w:tc>
          <w:tcPr>
            <w:tcW w:w="12474" w:type="dxa"/>
          </w:tcPr>
          <w:p w14:paraId="4E0E04D8" w14:textId="4029D2D5" w:rsidR="009A1C75" w:rsidRPr="00292120" w:rsidDel="008F66B5" w:rsidRDefault="71EB8FAF" w:rsidP="00A94408">
            <w:pPr>
              <w:rPr>
                <w:rFonts w:ascii="Arial" w:hAnsi="Arial" w:cs="Arial"/>
                <w:color w:val="000000"/>
              </w:rPr>
            </w:pPr>
            <w:r w:rsidRPr="20381F86">
              <w:rPr>
                <w:rFonts w:ascii="Arial" w:hAnsi="Arial" w:cs="Arial"/>
                <w:color w:val="000000" w:themeColor="text1"/>
              </w:rPr>
              <w:t>Application is not in Categories 1, 2, 3 or 4 and requests for one or more of the following:</w:t>
            </w:r>
          </w:p>
          <w:p w14:paraId="0ADCA80A" w14:textId="1095F094" w:rsidR="009A1C75" w:rsidRPr="00292120" w:rsidDel="008F66B5" w:rsidRDefault="71EB8FAF" w:rsidP="00A94408">
            <w:pPr>
              <w:pStyle w:val="ListParagraph"/>
              <w:numPr>
                <w:ilvl w:val="0"/>
                <w:numId w:val="8"/>
              </w:numPr>
              <w:rPr>
                <w:rFonts w:ascii="Arial" w:eastAsia="Times New Roman" w:hAnsi="Arial" w:cs="Arial"/>
                <w:sz w:val="20"/>
                <w:szCs w:val="20"/>
              </w:rPr>
            </w:pPr>
            <w:r w:rsidRPr="20381F86">
              <w:rPr>
                <w:rFonts w:ascii="Arial" w:eastAsia="Times New Roman" w:hAnsi="Arial" w:cs="Arial"/>
                <w:sz w:val="20"/>
                <w:szCs w:val="20"/>
              </w:rPr>
              <w:t>New or varied listed drugs, medicinal preparations and designated vaccines that pose no greater risk</w:t>
            </w:r>
          </w:p>
          <w:p w14:paraId="4E274BBE" w14:textId="6A427E04" w:rsidR="009A1C75" w:rsidRPr="00292120" w:rsidDel="008F66B5" w:rsidRDefault="71EB8FAF" w:rsidP="00A94408">
            <w:pPr>
              <w:pStyle w:val="ListParagraph"/>
              <w:numPr>
                <w:ilvl w:val="0"/>
                <w:numId w:val="8"/>
              </w:numPr>
              <w:rPr>
                <w:rFonts w:ascii="Arial" w:eastAsia="Times New Roman" w:hAnsi="Arial" w:cs="Arial"/>
                <w:sz w:val="20"/>
                <w:szCs w:val="20"/>
              </w:rPr>
            </w:pPr>
            <w:r w:rsidRPr="20381F86">
              <w:rPr>
                <w:rFonts w:ascii="Arial" w:eastAsia="Times New Roman" w:hAnsi="Arial" w:cs="Arial"/>
                <w:sz w:val="20"/>
                <w:szCs w:val="20"/>
              </w:rPr>
              <w:t>Pharmaceutical benefits that can no longer be supplied early</w:t>
            </w:r>
          </w:p>
          <w:p w14:paraId="78723A0D" w14:textId="76E8912A" w:rsidR="009A1C75" w:rsidRPr="00292120" w:rsidDel="008F66B5" w:rsidRDefault="71EB8FAF" w:rsidP="00A94408">
            <w:pPr>
              <w:pStyle w:val="ListParagraph"/>
              <w:numPr>
                <w:ilvl w:val="0"/>
                <w:numId w:val="8"/>
              </w:numPr>
              <w:rPr>
                <w:rFonts w:ascii="Arial" w:eastAsia="Times New Roman" w:hAnsi="Arial" w:cs="Arial"/>
                <w:sz w:val="20"/>
                <w:szCs w:val="20"/>
              </w:rPr>
            </w:pPr>
            <w:r w:rsidRPr="20381F86">
              <w:rPr>
                <w:rFonts w:ascii="Arial" w:eastAsia="Times New Roman" w:hAnsi="Arial" w:cs="Arial"/>
                <w:sz w:val="20"/>
                <w:szCs w:val="20"/>
              </w:rPr>
              <w:t>New brand of glucose indicator pharmaceutical item.</w:t>
            </w:r>
          </w:p>
        </w:tc>
      </w:tr>
    </w:tbl>
    <w:p w14:paraId="1A3326E0" w14:textId="09885F9F" w:rsidR="007F48F6" w:rsidRPr="00292120" w:rsidDel="008F66B5" w:rsidRDefault="007F48F6" w:rsidP="00A94408">
      <w:pPr>
        <w:rPr>
          <w:rFonts w:ascii="Arial" w:hAnsi="Arial" w:cs="Arial"/>
          <w:b/>
          <w:bCs/>
          <w:lang w:val="en-US"/>
        </w:rPr>
      </w:pPr>
    </w:p>
    <w:p w14:paraId="379497B6" w14:textId="6CCBCCA7" w:rsidR="008D62B4" w:rsidRPr="00292120" w:rsidDel="008F66B5" w:rsidRDefault="008D62B4" w:rsidP="00A94408">
      <w:pPr>
        <w:rPr>
          <w:rFonts w:ascii="Arial" w:hAnsi="Arial" w:cs="Arial"/>
          <w:b/>
          <w:bCs/>
          <w:lang w:val="en-US"/>
        </w:rPr>
      </w:pPr>
      <w:r w:rsidRPr="20381F86">
        <w:rPr>
          <w:rFonts w:ascii="Arial" w:hAnsi="Arial" w:cs="Arial"/>
          <w:b/>
          <w:bCs/>
          <w:lang w:val="en-US"/>
        </w:rPr>
        <w:br w:type="page"/>
      </w:r>
    </w:p>
    <w:p w14:paraId="6CE3C41E" w14:textId="2E62A626" w:rsidR="00640C80" w:rsidRPr="00292120" w:rsidDel="008F66B5" w:rsidRDefault="005A0A21" w:rsidP="00A94408">
      <w:pPr>
        <w:rPr>
          <w:rFonts w:ascii="Arial" w:hAnsi="Arial" w:cs="Arial"/>
          <w:b/>
          <w:bCs/>
          <w:lang w:val="en-US"/>
        </w:rPr>
      </w:pPr>
      <w:r w:rsidRPr="20381F86">
        <w:rPr>
          <w:rFonts w:ascii="Arial" w:hAnsi="Arial" w:cs="Arial"/>
          <w:b/>
          <w:bCs/>
          <w:lang w:val="en-US"/>
        </w:rPr>
        <w:t>Resubmission pathways</w:t>
      </w:r>
    </w:p>
    <w:p w14:paraId="025CE011" w14:textId="198CC318" w:rsidR="005A0A21" w:rsidRPr="00292120" w:rsidDel="008F66B5" w:rsidRDefault="005A0A21" w:rsidP="00A94408">
      <w:pPr>
        <w:tabs>
          <w:tab w:val="left" w:pos="5210"/>
        </w:tabs>
        <w:rPr>
          <w:rFonts w:ascii="Arial" w:hAnsi="Arial" w:cs="Arial"/>
          <w:b/>
          <w:bCs/>
          <w:lang w:val="en-US"/>
        </w:rPr>
      </w:pPr>
    </w:p>
    <w:tbl>
      <w:tblPr>
        <w:tblW w:w="4701" w:type="pct"/>
        <w:tblInd w:w="416" w:type="dxa"/>
        <w:tblCellMar>
          <w:left w:w="0" w:type="dxa"/>
          <w:right w:w="0" w:type="dxa"/>
        </w:tblCellMar>
        <w:tblLook w:val="04A0" w:firstRow="1" w:lastRow="0" w:firstColumn="1" w:lastColumn="0" w:noHBand="0" w:noVBand="1"/>
      </w:tblPr>
      <w:tblGrid>
        <w:gridCol w:w="2068"/>
        <w:gridCol w:w="12390"/>
      </w:tblGrid>
      <w:tr w:rsidR="004A3371" w:rsidRPr="00292120" w:rsidDel="008F66B5" w14:paraId="1B32CA1F" w14:textId="277FF3EC" w:rsidTr="20381F86">
        <w:trPr>
          <w:cantSplit/>
          <w:trHeight w:val="300"/>
        </w:trPr>
        <w:tc>
          <w:tcPr>
            <w:tcW w:w="1445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hideMark/>
          </w:tcPr>
          <w:p w14:paraId="16822E31" w14:textId="5BE62756" w:rsidR="004A3371" w:rsidRPr="00292120" w:rsidDel="008F66B5" w:rsidRDefault="790B7E0C" w:rsidP="00A94408">
            <w:pPr>
              <w:rPr>
                <w:rFonts w:ascii="Arial" w:hAnsi="Arial" w:cs="Arial"/>
              </w:rPr>
            </w:pPr>
            <w:r w:rsidRPr="20381F86">
              <w:rPr>
                <w:rFonts w:ascii="Arial" w:hAnsi="Arial" w:cs="Arial"/>
                <w:color w:val="333333"/>
              </w:rPr>
              <w:t xml:space="preserve">There are four different resubmission pathways available to applicants following a ‘not recommended’ PBAC outcome. Resubmission pathways are not available for submissions that receive a positive recommendation from the PBAC. </w:t>
            </w:r>
            <w:r w:rsidRPr="20381F86">
              <w:rPr>
                <w:rFonts w:ascii="Arial" w:hAnsi="Arial" w:cs="Arial"/>
              </w:rPr>
              <w:t>The resubmission pathways are classified into the following categories:</w:t>
            </w:r>
          </w:p>
        </w:tc>
      </w:tr>
      <w:tr w:rsidR="004A3371" w:rsidRPr="00292120" w:rsidDel="008F66B5" w14:paraId="5A78A628" w14:textId="684A0CE2" w:rsidTr="20381F86">
        <w:trPr>
          <w:cantSplit/>
          <w:trHeight w:val="300"/>
        </w:trPr>
        <w:tc>
          <w:tcPr>
            <w:tcW w:w="2068" w:type="dxa"/>
            <w:tcBorders>
              <w:top w:val="nil"/>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tcPr>
          <w:p w14:paraId="0680C335" w14:textId="67B9A116" w:rsidR="004A3371" w:rsidRPr="00292120" w:rsidDel="008F66B5" w:rsidRDefault="790B7E0C" w:rsidP="00A94408">
            <w:pPr>
              <w:contextualSpacing/>
              <w:rPr>
                <w:rFonts w:ascii="Arial" w:hAnsi="Arial" w:cs="Arial"/>
                <w:b/>
                <w:bCs/>
              </w:rPr>
            </w:pPr>
            <w:r w:rsidRPr="20381F86">
              <w:rPr>
                <w:rFonts w:ascii="Arial" w:hAnsi="Arial" w:cs="Arial"/>
                <w:b/>
                <w:bCs/>
              </w:rPr>
              <w:t>Standard re-entry</w:t>
            </w:r>
          </w:p>
          <w:p w14:paraId="14CD87B9" w14:textId="5765AC1F" w:rsidR="004A3371" w:rsidRPr="00292120" w:rsidDel="008F66B5" w:rsidRDefault="004A3371" w:rsidP="00A94408">
            <w:pPr>
              <w:rPr>
                <w:rFonts w:ascii="Arial" w:hAnsi="Arial" w:cs="Arial"/>
                <w:b/>
                <w:bCs/>
              </w:rPr>
            </w:pPr>
          </w:p>
        </w:tc>
        <w:tc>
          <w:tcPr>
            <w:tcW w:w="12390" w:type="dxa"/>
            <w:tcBorders>
              <w:top w:val="nil"/>
              <w:left w:val="nil"/>
              <w:bottom w:val="single" w:sz="8" w:space="0" w:color="000000" w:themeColor="text1"/>
              <w:right w:val="single" w:sz="8" w:space="0" w:color="000000" w:themeColor="text1"/>
            </w:tcBorders>
            <w:tcMar>
              <w:top w:w="57" w:type="dxa"/>
              <w:left w:w="57" w:type="dxa"/>
              <w:bottom w:w="57" w:type="dxa"/>
              <w:right w:w="57" w:type="dxa"/>
            </w:tcMar>
            <w:vAlign w:val="center"/>
            <w:hideMark/>
          </w:tcPr>
          <w:p w14:paraId="2BDC71EA" w14:textId="0DDEF18F" w:rsidR="004A3371" w:rsidRPr="00292120" w:rsidDel="008F66B5" w:rsidRDefault="790B7E0C" w:rsidP="00A94408">
            <w:pPr>
              <w:autoSpaceDE w:val="0"/>
              <w:autoSpaceDN w:val="0"/>
              <w:rPr>
                <w:rFonts w:ascii="Arial" w:hAnsi="Arial" w:cs="Arial"/>
                <w:color w:val="000000"/>
              </w:rPr>
            </w:pPr>
            <w:r w:rsidRPr="20381F86">
              <w:rPr>
                <w:rFonts w:ascii="Arial" w:hAnsi="Arial" w:cs="Arial"/>
                <w:color w:val="000000" w:themeColor="text1"/>
              </w:rPr>
              <w:t xml:space="preserve">The Standard Re-entry Pathway is the default pathway for resubmissions </w:t>
            </w:r>
            <w:proofErr w:type="gramStart"/>
            <w:r w:rsidRPr="20381F86">
              <w:rPr>
                <w:rFonts w:ascii="Arial" w:hAnsi="Arial" w:cs="Arial"/>
                <w:color w:val="000000" w:themeColor="text1"/>
              </w:rPr>
              <w:t>and also</w:t>
            </w:r>
            <w:proofErr w:type="gramEnd"/>
            <w:r w:rsidRPr="20381F86">
              <w:rPr>
                <w:rFonts w:ascii="Arial" w:hAnsi="Arial" w:cs="Arial"/>
                <w:color w:val="000000" w:themeColor="text1"/>
              </w:rPr>
              <w:t xml:space="preserve"> applies where: </w:t>
            </w:r>
          </w:p>
          <w:p w14:paraId="430AF034" w14:textId="51DD2338" w:rsidR="004A3371" w:rsidRPr="00292120" w:rsidDel="008F66B5" w:rsidRDefault="790B7E0C" w:rsidP="00A94408">
            <w:pPr>
              <w:pStyle w:val="ListParagraph"/>
              <w:numPr>
                <w:ilvl w:val="0"/>
                <w:numId w:val="1"/>
              </w:numPr>
              <w:autoSpaceDE w:val="0"/>
              <w:autoSpaceDN w:val="0"/>
              <w:rPr>
                <w:rFonts w:ascii="Arial" w:hAnsi="Arial" w:cs="Arial"/>
                <w:color w:val="000000"/>
                <w:sz w:val="20"/>
                <w:szCs w:val="20"/>
              </w:rPr>
            </w:pPr>
            <w:r w:rsidRPr="20381F86">
              <w:rPr>
                <w:rFonts w:ascii="Arial" w:hAnsi="Arial" w:cs="Arial"/>
                <w:color w:val="000000" w:themeColor="text1"/>
                <w:sz w:val="20"/>
                <w:szCs w:val="20"/>
              </w:rPr>
              <w:t xml:space="preserve">an applicant chooses not to accept the PBAC nominated resubmission pathway; or </w:t>
            </w:r>
          </w:p>
          <w:p w14:paraId="15ADDEB3" w14:textId="4C3EDDB6" w:rsidR="004A3371" w:rsidRPr="00292120" w:rsidDel="008F66B5" w:rsidRDefault="790B7E0C" w:rsidP="00A94408">
            <w:pPr>
              <w:pStyle w:val="ListParagraph"/>
              <w:numPr>
                <w:ilvl w:val="0"/>
                <w:numId w:val="1"/>
              </w:numPr>
              <w:autoSpaceDE w:val="0"/>
              <w:autoSpaceDN w:val="0"/>
              <w:rPr>
                <w:rFonts w:ascii="Arial" w:hAnsi="Arial" w:cs="Arial"/>
                <w:color w:val="000000"/>
                <w:sz w:val="20"/>
                <w:szCs w:val="20"/>
              </w:rPr>
            </w:pPr>
            <w:r w:rsidRPr="20381F86">
              <w:rPr>
                <w:rFonts w:ascii="Arial" w:hAnsi="Arial" w:cs="Arial"/>
                <w:color w:val="000000" w:themeColor="text1"/>
                <w:sz w:val="20"/>
                <w:szCs w:val="20"/>
              </w:rPr>
              <w:t xml:space="preserve">an Early Re-entry or Early Resolution Pathway has been nominated by the PBAC and an applicant decides to address issues other than those identified by the PBAC (including a subset of issues); or </w:t>
            </w:r>
          </w:p>
          <w:p w14:paraId="4A452A68" w14:textId="18E019CA" w:rsidR="004A3371" w:rsidRPr="00292120" w:rsidDel="008F66B5" w:rsidRDefault="790B7E0C" w:rsidP="00A94408">
            <w:pPr>
              <w:pStyle w:val="ListParagraph"/>
              <w:numPr>
                <w:ilvl w:val="0"/>
                <w:numId w:val="1"/>
              </w:numPr>
              <w:autoSpaceDE w:val="0"/>
              <w:autoSpaceDN w:val="0"/>
              <w:rPr>
                <w:rFonts w:ascii="Arial" w:hAnsi="Arial" w:cs="Arial"/>
                <w:color w:val="000000"/>
                <w:sz w:val="20"/>
                <w:szCs w:val="20"/>
              </w:rPr>
            </w:pPr>
            <w:r w:rsidRPr="20381F86">
              <w:rPr>
                <w:rFonts w:ascii="Arial" w:hAnsi="Arial" w:cs="Arial"/>
                <w:color w:val="000000" w:themeColor="text1"/>
                <w:sz w:val="20"/>
                <w:szCs w:val="20"/>
              </w:rPr>
              <w:t xml:space="preserve">an applicant decides to lodge later than the allowable timelines for the other pathways. </w:t>
            </w:r>
          </w:p>
        </w:tc>
      </w:tr>
      <w:tr w:rsidR="004A3371" w:rsidRPr="00292120" w:rsidDel="008F66B5" w14:paraId="46BDFCAF" w14:textId="3FB447C8" w:rsidTr="20381F86">
        <w:trPr>
          <w:cantSplit/>
          <w:trHeight w:val="300"/>
        </w:trPr>
        <w:tc>
          <w:tcPr>
            <w:tcW w:w="2068" w:type="dxa"/>
            <w:tcBorders>
              <w:top w:val="nil"/>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hideMark/>
          </w:tcPr>
          <w:p w14:paraId="618B2638" w14:textId="6DC57A07" w:rsidR="004A3371" w:rsidRPr="00292120" w:rsidDel="008F66B5" w:rsidRDefault="790B7E0C" w:rsidP="00A94408">
            <w:pPr>
              <w:contextualSpacing/>
              <w:rPr>
                <w:rFonts w:ascii="Arial" w:hAnsi="Arial" w:cs="Arial"/>
                <w:b/>
                <w:bCs/>
                <w:lang w:eastAsia="en-US"/>
              </w:rPr>
            </w:pPr>
            <w:r w:rsidRPr="20381F86">
              <w:rPr>
                <w:rFonts w:ascii="Arial" w:hAnsi="Arial" w:cs="Arial"/>
                <w:b/>
                <w:bCs/>
              </w:rPr>
              <w:t>Early re-entry pathway</w:t>
            </w:r>
          </w:p>
        </w:tc>
        <w:tc>
          <w:tcPr>
            <w:tcW w:w="12390" w:type="dxa"/>
            <w:tcBorders>
              <w:top w:val="nil"/>
              <w:left w:val="nil"/>
              <w:bottom w:val="single" w:sz="8" w:space="0" w:color="000000" w:themeColor="text1"/>
              <w:right w:val="single" w:sz="8" w:space="0" w:color="000000" w:themeColor="text1"/>
            </w:tcBorders>
            <w:tcMar>
              <w:top w:w="57" w:type="dxa"/>
              <w:left w:w="57" w:type="dxa"/>
              <w:bottom w:w="57" w:type="dxa"/>
              <w:right w:w="57" w:type="dxa"/>
            </w:tcMar>
            <w:vAlign w:val="center"/>
            <w:hideMark/>
          </w:tcPr>
          <w:p w14:paraId="32461C72" w14:textId="1FCABCA8" w:rsidR="004A3371" w:rsidRPr="00292120" w:rsidDel="008F66B5" w:rsidRDefault="790B7E0C" w:rsidP="00A94408">
            <w:pPr>
              <w:contextualSpacing/>
              <w:rPr>
                <w:rFonts w:ascii="Arial" w:hAnsi="Arial" w:cs="Arial"/>
                <w:color w:val="000000"/>
              </w:rPr>
            </w:pPr>
            <w:r w:rsidRPr="20381F86">
              <w:rPr>
                <w:rFonts w:ascii="Arial" w:hAnsi="Arial" w:cs="Arial"/>
              </w:rPr>
              <w:t xml:space="preserve">An Early Re-entry Pathway may be nominated by the PBAC where the PBAC considers that the remaining issues could be easily resolved and the medicine or vaccine does not represent </w:t>
            </w:r>
            <w:r w:rsidR="64EC2FDB" w:rsidRPr="20381F86">
              <w:rPr>
                <w:rFonts w:ascii="Arial" w:hAnsi="Arial" w:cs="Arial"/>
                <w:color w:val="000000" w:themeColor="text1"/>
              </w:rPr>
              <w:t xml:space="preserve">High Added Therapeutic Value (HATV) </w:t>
            </w:r>
            <w:r w:rsidRPr="20381F86">
              <w:rPr>
                <w:rFonts w:ascii="Arial" w:hAnsi="Arial" w:cs="Arial"/>
              </w:rPr>
              <w:t>for the proposed population. Applicants who accept this pathway are eligible for PBAC consideration at the immediate next meeting.</w:t>
            </w:r>
          </w:p>
        </w:tc>
      </w:tr>
      <w:tr w:rsidR="004A3371" w:rsidRPr="00292120" w:rsidDel="008F66B5" w14:paraId="1A2475F2" w14:textId="4E349E5C" w:rsidTr="20381F86">
        <w:trPr>
          <w:cantSplit/>
          <w:trHeight w:val="300"/>
        </w:trPr>
        <w:tc>
          <w:tcPr>
            <w:tcW w:w="2068" w:type="dxa"/>
            <w:tcBorders>
              <w:top w:val="nil"/>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tcPr>
          <w:p w14:paraId="0193930E" w14:textId="6A440925" w:rsidR="004A3371" w:rsidRPr="00292120" w:rsidDel="008F66B5" w:rsidRDefault="790B7E0C" w:rsidP="00A94408">
            <w:pPr>
              <w:rPr>
                <w:rFonts w:ascii="Arial" w:hAnsi="Arial" w:cs="Arial"/>
                <w:b/>
                <w:bCs/>
                <w:lang w:eastAsia="en-US"/>
              </w:rPr>
            </w:pPr>
            <w:r w:rsidRPr="20381F86">
              <w:rPr>
                <w:rFonts w:ascii="Arial" w:hAnsi="Arial" w:cs="Arial"/>
                <w:b/>
                <w:bCs/>
              </w:rPr>
              <w:t>Early resolution pathway</w:t>
            </w:r>
          </w:p>
          <w:p w14:paraId="157D2C85" w14:textId="4F1FB3F3" w:rsidR="004A3371" w:rsidRPr="00292120" w:rsidDel="008F66B5" w:rsidRDefault="004A3371" w:rsidP="00A94408">
            <w:pPr>
              <w:rPr>
                <w:rFonts w:ascii="Arial" w:hAnsi="Arial" w:cs="Arial"/>
              </w:rPr>
            </w:pPr>
          </w:p>
        </w:tc>
        <w:tc>
          <w:tcPr>
            <w:tcW w:w="12390" w:type="dxa"/>
            <w:tcBorders>
              <w:top w:val="nil"/>
              <w:left w:val="nil"/>
              <w:bottom w:val="single" w:sz="8" w:space="0" w:color="000000" w:themeColor="text1"/>
              <w:right w:val="single" w:sz="8" w:space="0" w:color="000000" w:themeColor="text1"/>
            </w:tcBorders>
            <w:tcMar>
              <w:top w:w="57" w:type="dxa"/>
              <w:left w:w="57" w:type="dxa"/>
              <w:bottom w:w="57" w:type="dxa"/>
              <w:right w:w="57" w:type="dxa"/>
            </w:tcMar>
            <w:vAlign w:val="center"/>
            <w:hideMark/>
          </w:tcPr>
          <w:p w14:paraId="7E21B924" w14:textId="5F0E3B99" w:rsidR="004A3371" w:rsidRPr="00292120" w:rsidDel="008F66B5" w:rsidRDefault="790B7E0C" w:rsidP="00A94408">
            <w:pPr>
              <w:autoSpaceDE w:val="0"/>
              <w:autoSpaceDN w:val="0"/>
              <w:rPr>
                <w:rFonts w:ascii="Arial" w:hAnsi="Arial" w:cs="Arial"/>
                <w:color w:val="000000"/>
              </w:rPr>
            </w:pPr>
            <w:r w:rsidRPr="20381F86">
              <w:rPr>
                <w:rFonts w:ascii="Arial" w:hAnsi="Arial" w:cs="Arial"/>
                <w:color w:val="000000" w:themeColor="text1"/>
              </w:rPr>
              <w:t xml:space="preserve">For medicines or vaccines deemed by the PBAC to represent HATV AND where the PBAC considers that the remaining issues could be easily resolved, including when: </w:t>
            </w:r>
          </w:p>
          <w:p w14:paraId="6EC882B7" w14:textId="521376DF" w:rsidR="004A3371" w:rsidRPr="00292120" w:rsidDel="008F66B5" w:rsidRDefault="790B7E0C" w:rsidP="00A94408">
            <w:pPr>
              <w:pStyle w:val="ListParagraph"/>
              <w:numPr>
                <w:ilvl w:val="0"/>
                <w:numId w:val="2"/>
              </w:numPr>
              <w:autoSpaceDE w:val="0"/>
              <w:autoSpaceDN w:val="0"/>
              <w:rPr>
                <w:rFonts w:ascii="Arial" w:hAnsi="Arial" w:cs="Arial"/>
                <w:color w:val="000000"/>
                <w:sz w:val="20"/>
                <w:szCs w:val="20"/>
              </w:rPr>
            </w:pPr>
            <w:r w:rsidRPr="20381F86">
              <w:rPr>
                <w:rFonts w:ascii="Arial" w:hAnsi="Arial" w:cs="Arial"/>
                <w:color w:val="000000" w:themeColor="text1"/>
                <w:sz w:val="20"/>
                <w:szCs w:val="20"/>
              </w:rPr>
              <w:t xml:space="preserve">new clinical study data requiring evaluation is not considered necessary by the PBAC to support new clinical claims to be made in the resubmission; and </w:t>
            </w:r>
          </w:p>
          <w:p w14:paraId="1D4B869E" w14:textId="7AD29ACC" w:rsidR="004A3371" w:rsidRPr="00292120" w:rsidDel="008F66B5" w:rsidRDefault="790B7E0C" w:rsidP="00A94408">
            <w:pPr>
              <w:pStyle w:val="ListParagraph"/>
              <w:numPr>
                <w:ilvl w:val="0"/>
                <w:numId w:val="2"/>
              </w:numPr>
              <w:autoSpaceDE w:val="0"/>
              <w:autoSpaceDN w:val="0"/>
              <w:rPr>
                <w:rFonts w:ascii="Arial" w:hAnsi="Arial" w:cs="Arial"/>
                <w:color w:val="000000"/>
                <w:sz w:val="20"/>
                <w:szCs w:val="20"/>
              </w:rPr>
            </w:pPr>
            <w:r w:rsidRPr="20381F86">
              <w:rPr>
                <w:rFonts w:ascii="Arial" w:hAnsi="Arial" w:cs="Arial"/>
                <w:color w:val="000000" w:themeColor="text1"/>
                <w:sz w:val="20"/>
                <w:szCs w:val="20"/>
              </w:rPr>
              <w:t xml:space="preserve">a revised model structure or input variable changes (beyond those specified by the PBAC) are not necessary to support any new economic claims, or to estimate the utilisation and financial impacts to be made in the resubmission. </w:t>
            </w:r>
          </w:p>
          <w:p w14:paraId="757810AB" w14:textId="4323C475" w:rsidR="004A3371" w:rsidRPr="00292120" w:rsidDel="008F66B5" w:rsidRDefault="790B7E0C" w:rsidP="00A94408">
            <w:pPr>
              <w:pStyle w:val="NormalWeb"/>
              <w:spacing w:before="0" w:beforeAutospacing="0" w:after="0" w:afterAutospacing="0"/>
              <w:rPr>
                <w:rFonts w:ascii="Arial" w:hAnsi="Arial" w:cs="Arial"/>
                <w:sz w:val="20"/>
                <w:szCs w:val="20"/>
              </w:rPr>
            </w:pPr>
            <w:r w:rsidRPr="20381F86">
              <w:rPr>
                <w:rFonts w:ascii="Arial" w:hAnsi="Arial" w:cs="Arial"/>
                <w:sz w:val="20"/>
                <w:szCs w:val="20"/>
              </w:rPr>
              <w:t xml:space="preserve">Applicants who accept this pathway are eligible for PBAC consideration out-of-session (before the main meeting), unless the department, in consultation with the PBAC Chair, identifies an unexpected issue such that the resubmission needs consideration at the next main PBAC meeting. </w:t>
            </w:r>
          </w:p>
        </w:tc>
      </w:tr>
      <w:tr w:rsidR="004A3371" w:rsidRPr="00292120" w:rsidDel="008F66B5" w14:paraId="1CF59836" w14:textId="2232F166" w:rsidTr="20381F86">
        <w:trPr>
          <w:cantSplit/>
          <w:trHeight w:val="300"/>
        </w:trPr>
        <w:tc>
          <w:tcPr>
            <w:tcW w:w="2068" w:type="dxa"/>
            <w:tcBorders>
              <w:top w:val="nil"/>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hideMark/>
          </w:tcPr>
          <w:p w14:paraId="03CD8847" w14:textId="0B33D246" w:rsidR="004A3371" w:rsidRPr="00292120" w:rsidDel="008F66B5" w:rsidRDefault="790B7E0C" w:rsidP="00A94408">
            <w:pPr>
              <w:rPr>
                <w:rFonts w:ascii="Arial" w:hAnsi="Arial" w:cs="Arial"/>
              </w:rPr>
            </w:pPr>
            <w:r w:rsidRPr="20381F86">
              <w:rPr>
                <w:rFonts w:ascii="Arial" w:hAnsi="Arial" w:cs="Arial"/>
                <w:b/>
                <w:bCs/>
              </w:rPr>
              <w:t>Facilitated resolution pathway</w:t>
            </w:r>
          </w:p>
        </w:tc>
        <w:tc>
          <w:tcPr>
            <w:tcW w:w="12390" w:type="dxa"/>
            <w:tcBorders>
              <w:top w:val="nil"/>
              <w:left w:val="nil"/>
              <w:bottom w:val="single" w:sz="8" w:space="0" w:color="000000" w:themeColor="text1"/>
              <w:right w:val="single" w:sz="8" w:space="0" w:color="000000" w:themeColor="text1"/>
            </w:tcBorders>
            <w:tcMar>
              <w:top w:w="57" w:type="dxa"/>
              <w:left w:w="57" w:type="dxa"/>
              <w:bottom w:w="57" w:type="dxa"/>
              <w:right w:w="57" w:type="dxa"/>
            </w:tcMar>
            <w:vAlign w:val="center"/>
            <w:hideMark/>
          </w:tcPr>
          <w:p w14:paraId="7EF1CA94" w14:textId="3681875E" w:rsidR="004A3371" w:rsidRPr="00F657EC" w:rsidDel="008F66B5" w:rsidRDefault="790B7E0C" w:rsidP="00A94408">
            <w:pPr>
              <w:autoSpaceDE w:val="0"/>
              <w:autoSpaceDN w:val="0"/>
              <w:rPr>
                <w:rFonts w:ascii="Arial" w:hAnsi="Arial" w:cs="Arial"/>
                <w:b/>
              </w:rPr>
            </w:pPr>
            <w:r w:rsidRPr="20381F86">
              <w:rPr>
                <w:rFonts w:ascii="Arial" w:hAnsi="Arial" w:cs="Arial"/>
                <w:color w:val="000000" w:themeColor="text1"/>
              </w:rPr>
              <w:t>A Facilitated Resolution Pathway may be nominated by the PBAC where the PBAC considers the issues for resolution could be explored through a workshop AND where the medicine or vaccine meets the HATV criteria. Applicants who accept this pathway are eligible for a solution-focussed workshop with one or more members of the PBAC. The workshop agenda will be based on the issues for resolution outlined in the PBAC Minutes. This can be further clarified during the post-PBAC meeting with the Chair.</w:t>
            </w:r>
          </w:p>
        </w:tc>
      </w:tr>
    </w:tbl>
    <w:p w14:paraId="4455E1A3" w14:textId="17639E23" w:rsidR="00AD3477" w:rsidRPr="00292120" w:rsidDel="008F66B5" w:rsidRDefault="00AD3477" w:rsidP="00A94408">
      <w:pPr>
        <w:tabs>
          <w:tab w:val="left" w:pos="5210"/>
        </w:tabs>
        <w:rPr>
          <w:rFonts w:ascii="Arial" w:hAnsi="Arial" w:cs="Arial"/>
          <w:lang w:val="en-US"/>
        </w:rPr>
      </w:pPr>
    </w:p>
    <w:p w14:paraId="6C9BA0D5" w14:textId="506E165D" w:rsidR="00461045" w:rsidRDefault="00461045" w:rsidP="00A94408">
      <w:pPr>
        <w:tabs>
          <w:tab w:val="left" w:pos="5210"/>
        </w:tabs>
        <w:rPr>
          <w:rFonts w:ascii="Arial" w:hAnsi="Arial" w:cs="Arial"/>
          <w:lang w:val="en-US"/>
        </w:rPr>
      </w:pPr>
    </w:p>
    <w:p w14:paraId="458289DD" w14:textId="77777777" w:rsidR="00FA3AE0" w:rsidRPr="00292120" w:rsidRDefault="00FA3AE0" w:rsidP="00A94408">
      <w:pPr>
        <w:tabs>
          <w:tab w:val="left" w:pos="5210"/>
        </w:tabs>
        <w:rPr>
          <w:rFonts w:ascii="Arial" w:hAnsi="Arial" w:cs="Arial"/>
          <w:lang w:val="en-US"/>
        </w:rPr>
      </w:pPr>
    </w:p>
    <w:sectPr w:rsidR="00FA3AE0" w:rsidRPr="00292120" w:rsidSect="00257615">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F048B" w14:textId="77777777" w:rsidR="00CF207E" w:rsidRDefault="00CF207E">
      <w:r>
        <w:separator/>
      </w:r>
    </w:p>
  </w:endnote>
  <w:endnote w:type="continuationSeparator" w:id="0">
    <w:p w14:paraId="3A9A5333" w14:textId="77777777" w:rsidR="00CF207E" w:rsidRDefault="00CF207E">
      <w:r>
        <w:continuationSeparator/>
      </w:r>
    </w:p>
  </w:endnote>
  <w:endnote w:type="continuationNotice" w:id="1">
    <w:p w14:paraId="5A03AC38" w14:textId="77777777" w:rsidR="00CF207E" w:rsidRDefault="00CF20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67BCB" w14:textId="2992B596" w:rsidR="00E902E8" w:rsidRDefault="00820372" w:rsidP="00FE2A81">
    <w:pPr>
      <w:pStyle w:val="Footer"/>
      <w:framePr w:wrap="around" w:vAnchor="text" w:hAnchor="margin" w:xAlign="right" w:y="1"/>
      <w:rPr>
        <w:rStyle w:val="PageNumber"/>
      </w:rPr>
    </w:pPr>
    <w:r>
      <w:rPr>
        <w:noProof/>
      </w:rPr>
      <mc:AlternateContent>
        <mc:Choice Requires="wps">
          <w:drawing>
            <wp:anchor distT="0" distB="0" distL="0" distR="0" simplePos="0" relativeHeight="251668480" behindDoc="0" locked="0" layoutInCell="1" allowOverlap="1" wp14:anchorId="7C4D0E96" wp14:editId="60931422">
              <wp:simplePos x="635" y="635"/>
              <wp:positionH relativeFrom="page">
                <wp:align>center</wp:align>
              </wp:positionH>
              <wp:positionV relativeFrom="page">
                <wp:align>bottom</wp:align>
              </wp:positionV>
              <wp:extent cx="551815" cy="376555"/>
              <wp:effectExtent l="0" t="0" r="635" b="0"/>
              <wp:wrapNone/>
              <wp:docPr id="114565746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5C3D374" w14:textId="6493DC02" w:rsidR="00820372" w:rsidRPr="00820372" w:rsidRDefault="00820372" w:rsidP="00820372">
                          <w:pPr>
                            <w:rPr>
                              <w:rFonts w:ascii="Calibri" w:eastAsia="Calibri" w:hAnsi="Calibri" w:cs="Calibri"/>
                              <w:noProof/>
                              <w:color w:val="FF0000"/>
                              <w:sz w:val="24"/>
                              <w:szCs w:val="24"/>
                            </w:rPr>
                          </w:pPr>
                          <w:r w:rsidRPr="00820372">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4D0E96"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25C3D374" w14:textId="6493DC02" w:rsidR="00820372" w:rsidRPr="00820372" w:rsidRDefault="00820372" w:rsidP="00820372">
                    <w:pPr>
                      <w:rPr>
                        <w:rFonts w:ascii="Calibri" w:eastAsia="Calibri" w:hAnsi="Calibri" w:cs="Calibri"/>
                        <w:noProof/>
                        <w:color w:val="FF0000"/>
                        <w:sz w:val="24"/>
                        <w:szCs w:val="24"/>
                      </w:rPr>
                    </w:pPr>
                    <w:r w:rsidRPr="00820372">
                      <w:rPr>
                        <w:rFonts w:ascii="Calibri" w:eastAsia="Calibri" w:hAnsi="Calibri" w:cs="Calibri"/>
                        <w:noProof/>
                        <w:color w:val="FF0000"/>
                        <w:sz w:val="24"/>
                        <w:szCs w:val="24"/>
                      </w:rPr>
                      <w:t>OFFICIAL</w:t>
                    </w:r>
                  </w:p>
                </w:txbxContent>
              </v:textbox>
              <w10:wrap anchorx="page" anchory="page"/>
            </v:shape>
          </w:pict>
        </mc:Fallback>
      </mc:AlternateContent>
    </w:r>
    <w:r w:rsidR="00E902E8">
      <w:rPr>
        <w:rStyle w:val="PageNumber"/>
      </w:rPr>
      <w:fldChar w:fldCharType="begin"/>
    </w:r>
    <w:r w:rsidR="00E902E8">
      <w:rPr>
        <w:rStyle w:val="PageNumber"/>
      </w:rPr>
      <w:instrText xml:space="preserve">PAGE  </w:instrText>
    </w:r>
    <w:r w:rsidR="00E902E8">
      <w:rPr>
        <w:rStyle w:val="PageNumber"/>
      </w:rPr>
      <w:fldChar w:fldCharType="end"/>
    </w:r>
  </w:p>
  <w:p w14:paraId="16481329" w14:textId="77777777" w:rsidR="00E902E8" w:rsidRDefault="00E902E8"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9180A" w14:textId="71AC717C" w:rsidR="00E902E8" w:rsidRPr="00287C89" w:rsidRDefault="00820372" w:rsidP="00FE2A81">
    <w:pPr>
      <w:pStyle w:val="Footer"/>
      <w:framePr w:wrap="around" w:vAnchor="text" w:hAnchor="margin" w:xAlign="right" w:y="1"/>
      <w:rPr>
        <w:rStyle w:val="PageNumber"/>
        <w:rFonts w:ascii="Arial" w:hAnsi="Arial" w:cs="Arial"/>
      </w:rPr>
    </w:pPr>
    <w:r>
      <w:rPr>
        <w:rFonts w:ascii="Arial" w:hAnsi="Arial" w:cs="Arial"/>
        <w:noProof/>
      </w:rPr>
      <mc:AlternateContent>
        <mc:Choice Requires="wps">
          <w:drawing>
            <wp:anchor distT="0" distB="0" distL="0" distR="0" simplePos="0" relativeHeight="251669504" behindDoc="0" locked="0" layoutInCell="1" allowOverlap="1" wp14:anchorId="7F8A97C1" wp14:editId="47C08A5E">
              <wp:simplePos x="635" y="635"/>
              <wp:positionH relativeFrom="page">
                <wp:align>center</wp:align>
              </wp:positionH>
              <wp:positionV relativeFrom="page">
                <wp:align>bottom</wp:align>
              </wp:positionV>
              <wp:extent cx="551815" cy="376555"/>
              <wp:effectExtent l="0" t="0" r="635" b="0"/>
              <wp:wrapNone/>
              <wp:docPr id="133068749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2B82860" w14:textId="7DF1D439" w:rsidR="00820372" w:rsidRPr="00820372" w:rsidRDefault="00820372" w:rsidP="00820372">
                          <w:pPr>
                            <w:rPr>
                              <w:rFonts w:ascii="Calibri" w:eastAsia="Calibri" w:hAnsi="Calibri" w:cs="Calibri"/>
                              <w:noProof/>
                              <w:color w:val="FF0000"/>
                              <w:sz w:val="24"/>
                              <w:szCs w:val="24"/>
                            </w:rPr>
                          </w:pPr>
                          <w:r w:rsidRPr="00820372">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8A97C1" id="_x0000_t202" coordsize="21600,21600" o:spt="202" path="m,l,21600r21600,l21600,xe">
              <v:stroke joinstyle="miter"/>
              <v:path gradientshapeok="t" o:connecttype="rect"/>
            </v:shapetype>
            <v:shape id="Text Box 6" o:spid="_x0000_s1029" type="#_x0000_t202" alt="OFFICIAL" style="position:absolute;margin-left:0;margin-top:0;width:43.45pt;height:29.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52B82860" w14:textId="7DF1D439" w:rsidR="00820372" w:rsidRPr="00820372" w:rsidRDefault="00820372" w:rsidP="00820372">
                    <w:pPr>
                      <w:rPr>
                        <w:rFonts w:ascii="Calibri" w:eastAsia="Calibri" w:hAnsi="Calibri" w:cs="Calibri"/>
                        <w:noProof/>
                        <w:color w:val="FF0000"/>
                        <w:sz w:val="24"/>
                        <w:szCs w:val="24"/>
                      </w:rPr>
                    </w:pPr>
                    <w:r w:rsidRPr="00820372">
                      <w:rPr>
                        <w:rFonts w:ascii="Calibri" w:eastAsia="Calibri" w:hAnsi="Calibri" w:cs="Calibri"/>
                        <w:noProof/>
                        <w:color w:val="FF0000"/>
                        <w:sz w:val="24"/>
                        <w:szCs w:val="24"/>
                      </w:rPr>
                      <w:t>OFFICIAL</w:t>
                    </w:r>
                  </w:p>
                </w:txbxContent>
              </v:textbox>
              <w10:wrap anchorx="page" anchory="page"/>
            </v:shape>
          </w:pict>
        </mc:Fallback>
      </mc:AlternateContent>
    </w:r>
    <w:r w:rsidR="00E902E8" w:rsidRPr="00287C89">
      <w:rPr>
        <w:rStyle w:val="PageNumber"/>
        <w:rFonts w:ascii="Arial" w:hAnsi="Arial" w:cs="Arial"/>
      </w:rPr>
      <w:fldChar w:fldCharType="begin"/>
    </w:r>
    <w:r w:rsidR="00E902E8" w:rsidRPr="00287C89">
      <w:rPr>
        <w:rStyle w:val="PageNumber"/>
        <w:rFonts w:ascii="Arial" w:hAnsi="Arial" w:cs="Arial"/>
      </w:rPr>
      <w:instrText xml:space="preserve">PAGE  </w:instrText>
    </w:r>
    <w:r w:rsidR="00E902E8" w:rsidRPr="00287C89">
      <w:rPr>
        <w:rStyle w:val="PageNumber"/>
        <w:rFonts w:ascii="Arial" w:hAnsi="Arial" w:cs="Arial"/>
      </w:rPr>
      <w:fldChar w:fldCharType="separate"/>
    </w:r>
    <w:r w:rsidR="00E902E8">
      <w:rPr>
        <w:rStyle w:val="PageNumber"/>
        <w:rFonts w:ascii="Arial" w:hAnsi="Arial" w:cs="Arial"/>
        <w:noProof/>
      </w:rPr>
      <w:t>65</w:t>
    </w:r>
    <w:r w:rsidR="00E902E8" w:rsidRPr="00287C89">
      <w:rPr>
        <w:rStyle w:val="PageNumber"/>
        <w:rFonts w:ascii="Arial" w:hAnsi="Arial" w:cs="Arial"/>
      </w:rPr>
      <w:fldChar w:fldCharType="end"/>
    </w:r>
  </w:p>
  <w:p w14:paraId="429295B6" w14:textId="77777777" w:rsidR="00E902E8" w:rsidRDefault="00E902E8" w:rsidP="00FE2A8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178C" w14:textId="213A5F8D" w:rsidR="001E12A6" w:rsidRDefault="00820372">
    <w:pPr>
      <w:pStyle w:val="Footer"/>
    </w:pPr>
    <w:r>
      <w:rPr>
        <w:noProof/>
      </w:rPr>
      <mc:AlternateContent>
        <mc:Choice Requires="wps">
          <w:drawing>
            <wp:anchor distT="0" distB="0" distL="0" distR="0" simplePos="0" relativeHeight="251667456" behindDoc="0" locked="0" layoutInCell="1" allowOverlap="1" wp14:anchorId="5770797D" wp14:editId="17C86396">
              <wp:simplePos x="635" y="635"/>
              <wp:positionH relativeFrom="page">
                <wp:align>center</wp:align>
              </wp:positionH>
              <wp:positionV relativeFrom="page">
                <wp:align>bottom</wp:align>
              </wp:positionV>
              <wp:extent cx="551815" cy="376555"/>
              <wp:effectExtent l="0" t="0" r="635" b="0"/>
              <wp:wrapNone/>
              <wp:docPr id="207938559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1621C1C" w14:textId="4BDD158B" w:rsidR="00820372" w:rsidRPr="00820372" w:rsidRDefault="00820372" w:rsidP="00820372">
                          <w:pPr>
                            <w:rPr>
                              <w:rFonts w:ascii="Calibri" w:eastAsia="Calibri" w:hAnsi="Calibri" w:cs="Calibri"/>
                              <w:noProof/>
                              <w:color w:val="FF0000"/>
                              <w:sz w:val="24"/>
                              <w:szCs w:val="24"/>
                            </w:rPr>
                          </w:pPr>
                          <w:r w:rsidRPr="00820372">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70797D"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21621C1C" w14:textId="4BDD158B" w:rsidR="00820372" w:rsidRPr="00820372" w:rsidRDefault="00820372" w:rsidP="00820372">
                    <w:pPr>
                      <w:rPr>
                        <w:rFonts w:ascii="Calibri" w:eastAsia="Calibri" w:hAnsi="Calibri" w:cs="Calibri"/>
                        <w:noProof/>
                        <w:color w:val="FF0000"/>
                        <w:sz w:val="24"/>
                        <w:szCs w:val="24"/>
                      </w:rPr>
                    </w:pPr>
                    <w:r w:rsidRPr="00820372">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006CB" w14:textId="77777777" w:rsidR="00CF207E" w:rsidRDefault="00CF207E">
      <w:r>
        <w:separator/>
      </w:r>
    </w:p>
  </w:footnote>
  <w:footnote w:type="continuationSeparator" w:id="0">
    <w:p w14:paraId="38BFEBCB" w14:textId="77777777" w:rsidR="00CF207E" w:rsidRDefault="00CF207E">
      <w:r>
        <w:continuationSeparator/>
      </w:r>
    </w:p>
  </w:footnote>
  <w:footnote w:type="continuationNotice" w:id="1">
    <w:p w14:paraId="79818916" w14:textId="77777777" w:rsidR="00CF207E" w:rsidRDefault="00CF20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95843" w14:textId="60AB91E4" w:rsidR="001E12A6" w:rsidRDefault="00820372">
    <w:pPr>
      <w:pStyle w:val="Header"/>
    </w:pPr>
    <w:r>
      <w:rPr>
        <w:noProof/>
      </w:rPr>
      <mc:AlternateContent>
        <mc:Choice Requires="wps">
          <w:drawing>
            <wp:anchor distT="0" distB="0" distL="0" distR="0" simplePos="0" relativeHeight="251665408" behindDoc="0" locked="0" layoutInCell="1" allowOverlap="1" wp14:anchorId="3108BEEE" wp14:editId="096BFD53">
              <wp:simplePos x="635" y="635"/>
              <wp:positionH relativeFrom="page">
                <wp:align>center</wp:align>
              </wp:positionH>
              <wp:positionV relativeFrom="page">
                <wp:align>top</wp:align>
              </wp:positionV>
              <wp:extent cx="551815" cy="376555"/>
              <wp:effectExtent l="0" t="0" r="635" b="4445"/>
              <wp:wrapNone/>
              <wp:docPr id="131820731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51781C8" w14:textId="51DABFD4" w:rsidR="00820372" w:rsidRPr="00820372" w:rsidRDefault="00820372" w:rsidP="00820372">
                          <w:pPr>
                            <w:rPr>
                              <w:rFonts w:ascii="Calibri" w:eastAsia="Calibri" w:hAnsi="Calibri" w:cs="Calibri"/>
                              <w:noProof/>
                              <w:color w:val="FF0000"/>
                              <w:sz w:val="24"/>
                              <w:szCs w:val="24"/>
                            </w:rPr>
                          </w:pPr>
                          <w:r w:rsidRPr="0082037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08BEEE"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651781C8" w14:textId="51DABFD4" w:rsidR="00820372" w:rsidRPr="00820372" w:rsidRDefault="00820372" w:rsidP="00820372">
                    <w:pPr>
                      <w:rPr>
                        <w:rFonts w:ascii="Calibri" w:eastAsia="Calibri" w:hAnsi="Calibri" w:cs="Calibri"/>
                        <w:noProof/>
                        <w:color w:val="FF0000"/>
                        <w:sz w:val="24"/>
                        <w:szCs w:val="24"/>
                      </w:rPr>
                    </w:pPr>
                    <w:r w:rsidRPr="00820372">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86D89" w14:textId="0FEBDB19" w:rsidR="00E902E8" w:rsidRPr="00571206" w:rsidRDefault="00820372" w:rsidP="00571206">
    <w:pPr>
      <w:autoSpaceDE w:val="0"/>
      <w:autoSpaceDN w:val="0"/>
      <w:adjustRightInd w:val="0"/>
      <w:rPr>
        <w:rFonts w:ascii="Arial" w:hAnsi="Arial" w:cs="Arial"/>
        <w:color w:val="000000"/>
        <w:sz w:val="24"/>
        <w:szCs w:val="24"/>
      </w:rPr>
    </w:pPr>
    <w:r>
      <w:rPr>
        <w:rFonts w:ascii="Arial" w:hAnsi="Arial" w:cs="Arial"/>
        <w:noProof/>
        <w:color w:val="000000"/>
        <w:sz w:val="24"/>
        <w:szCs w:val="24"/>
      </w:rPr>
      <mc:AlternateContent>
        <mc:Choice Requires="wps">
          <w:drawing>
            <wp:anchor distT="0" distB="0" distL="0" distR="0" simplePos="0" relativeHeight="251666432" behindDoc="0" locked="0" layoutInCell="1" allowOverlap="1" wp14:anchorId="6640F737" wp14:editId="73B1C5E4">
              <wp:simplePos x="635" y="635"/>
              <wp:positionH relativeFrom="page">
                <wp:align>center</wp:align>
              </wp:positionH>
              <wp:positionV relativeFrom="page">
                <wp:align>top</wp:align>
              </wp:positionV>
              <wp:extent cx="551815" cy="376555"/>
              <wp:effectExtent l="0" t="0" r="635" b="4445"/>
              <wp:wrapNone/>
              <wp:docPr id="128626435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FC1443E" w14:textId="5463BF69" w:rsidR="00820372" w:rsidRPr="00820372" w:rsidRDefault="00820372" w:rsidP="00820372">
                          <w:pPr>
                            <w:rPr>
                              <w:rFonts w:ascii="Calibri" w:eastAsia="Calibri" w:hAnsi="Calibri" w:cs="Calibri"/>
                              <w:noProof/>
                              <w:color w:val="FF0000"/>
                              <w:sz w:val="24"/>
                              <w:szCs w:val="24"/>
                            </w:rPr>
                          </w:pPr>
                          <w:r w:rsidRPr="0082037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40F737"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1FC1443E" w14:textId="5463BF69" w:rsidR="00820372" w:rsidRPr="00820372" w:rsidRDefault="00820372" w:rsidP="00820372">
                    <w:pPr>
                      <w:rPr>
                        <w:rFonts w:ascii="Calibri" w:eastAsia="Calibri" w:hAnsi="Calibri" w:cs="Calibri"/>
                        <w:noProof/>
                        <w:color w:val="FF0000"/>
                        <w:sz w:val="24"/>
                        <w:szCs w:val="24"/>
                      </w:rPr>
                    </w:pPr>
                    <w:r w:rsidRPr="00820372">
                      <w:rPr>
                        <w:rFonts w:ascii="Calibri" w:eastAsia="Calibri" w:hAnsi="Calibri" w:cs="Calibri"/>
                        <w:noProof/>
                        <w:color w:val="FF0000"/>
                        <w:sz w:val="24"/>
                        <w:szCs w:val="24"/>
                      </w:rPr>
                      <w:t>OFFICIAL</w:t>
                    </w:r>
                  </w:p>
                </w:txbxContent>
              </v:textbox>
              <w10:wrap anchorx="page" anchory="page"/>
            </v:shape>
          </w:pict>
        </mc:Fallback>
      </mc:AlternateContent>
    </w:r>
  </w:p>
  <w:p w14:paraId="117035EF" w14:textId="1E14CCFB" w:rsidR="00E902E8" w:rsidRDefault="00E902E8" w:rsidP="00571206">
    <w:pPr>
      <w:pStyle w:val="Header"/>
      <w:jc w:val="center"/>
      <w:rPr>
        <w:rFonts w:ascii="Arial" w:hAnsi="Arial" w:cs="Arial"/>
        <w:b/>
      </w:rPr>
    </w:pPr>
    <w:r w:rsidRPr="00571206">
      <w:rPr>
        <w:rFonts w:ascii="Arial" w:hAnsi="Arial" w:cs="Arial"/>
        <w:color w:val="000000"/>
        <w:sz w:val="24"/>
        <w:szCs w:val="24"/>
      </w:rPr>
      <w:t xml:space="preserve"> </w:t>
    </w:r>
    <w:r w:rsidRPr="00571206">
      <w:rPr>
        <w:rFonts w:ascii="Arial" w:hAnsi="Arial" w:cs="Arial"/>
        <w:b/>
        <w:bCs/>
        <w:color w:val="000000"/>
      </w:rPr>
      <w:t xml:space="preserve">PHARMACEUTICAL BENEFITS ADVISORY COMMITTEE (PBAC) MEETING </w:t>
    </w:r>
    <w:r w:rsidRPr="0071356F">
      <w:rPr>
        <w:rFonts w:ascii="Arial" w:hAnsi="Arial" w:cs="Arial"/>
        <w:b/>
      </w:rPr>
      <w:t>OUTCOMES</w:t>
    </w:r>
  </w:p>
  <w:p w14:paraId="69737A53" w14:textId="1ACDF11A" w:rsidR="00E902E8" w:rsidRDefault="000A2118" w:rsidP="00571206">
    <w:pPr>
      <w:pStyle w:val="Header"/>
      <w:jc w:val="center"/>
      <w:rPr>
        <w:rFonts w:ascii="Arial" w:hAnsi="Arial" w:cs="Arial"/>
        <w:b/>
      </w:rPr>
    </w:pPr>
    <w:r>
      <w:rPr>
        <w:rFonts w:ascii="Arial" w:hAnsi="Arial" w:cs="Arial"/>
        <w:b/>
      </w:rPr>
      <w:t xml:space="preserve">July </w:t>
    </w:r>
    <w:r w:rsidR="00375520">
      <w:rPr>
        <w:rFonts w:ascii="Arial" w:hAnsi="Arial" w:cs="Arial"/>
        <w:b/>
      </w:rPr>
      <w:t>202</w:t>
    </w:r>
    <w:r w:rsidR="004F3DAC">
      <w:rPr>
        <w:rFonts w:ascii="Arial" w:hAnsi="Arial" w:cs="Arial"/>
        <w:b/>
      </w:rPr>
      <w:t>5</w:t>
    </w:r>
    <w:r w:rsidR="00E902E8">
      <w:rPr>
        <w:rFonts w:ascii="Arial" w:hAnsi="Arial" w:cs="Arial"/>
        <w:b/>
      </w:rPr>
      <w:t xml:space="preserve"> PBAC MEETING</w:t>
    </w:r>
  </w:p>
  <w:p w14:paraId="0E28AC1B" w14:textId="77777777" w:rsidR="00E902E8" w:rsidRPr="0071356F" w:rsidRDefault="00E902E8" w:rsidP="0071356F">
    <w:pPr>
      <w:pStyle w:val="Header"/>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57A9" w14:textId="6A8495C1" w:rsidR="001E12A6" w:rsidRDefault="00820372">
    <w:pPr>
      <w:pStyle w:val="Header"/>
    </w:pPr>
    <w:r>
      <w:rPr>
        <w:noProof/>
      </w:rPr>
      <mc:AlternateContent>
        <mc:Choice Requires="wps">
          <w:drawing>
            <wp:anchor distT="0" distB="0" distL="0" distR="0" simplePos="0" relativeHeight="251664384" behindDoc="0" locked="0" layoutInCell="1" allowOverlap="1" wp14:anchorId="7B71F257" wp14:editId="749A934B">
              <wp:simplePos x="635" y="635"/>
              <wp:positionH relativeFrom="page">
                <wp:align>center</wp:align>
              </wp:positionH>
              <wp:positionV relativeFrom="page">
                <wp:align>top</wp:align>
              </wp:positionV>
              <wp:extent cx="551815" cy="376555"/>
              <wp:effectExtent l="0" t="0" r="635" b="4445"/>
              <wp:wrapNone/>
              <wp:docPr id="65827428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79FE5FB" w14:textId="7C46BCED" w:rsidR="00820372" w:rsidRPr="00820372" w:rsidRDefault="00820372" w:rsidP="00820372">
                          <w:pPr>
                            <w:rPr>
                              <w:rFonts w:ascii="Calibri" w:eastAsia="Calibri" w:hAnsi="Calibri" w:cs="Calibri"/>
                              <w:noProof/>
                              <w:color w:val="FF0000"/>
                              <w:sz w:val="24"/>
                              <w:szCs w:val="24"/>
                            </w:rPr>
                          </w:pPr>
                          <w:r w:rsidRPr="0082037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71F257"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679FE5FB" w14:textId="7C46BCED" w:rsidR="00820372" w:rsidRPr="00820372" w:rsidRDefault="00820372" w:rsidP="00820372">
                    <w:pPr>
                      <w:rPr>
                        <w:rFonts w:ascii="Calibri" w:eastAsia="Calibri" w:hAnsi="Calibri" w:cs="Calibri"/>
                        <w:noProof/>
                        <w:color w:val="FF0000"/>
                        <w:sz w:val="24"/>
                        <w:szCs w:val="24"/>
                      </w:rPr>
                    </w:pPr>
                    <w:r w:rsidRPr="00820372">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257C"/>
    <w:multiLevelType w:val="hybridMultilevel"/>
    <w:tmpl w:val="9DFA1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8F4DF7"/>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DE2887"/>
    <w:multiLevelType w:val="hybridMultilevel"/>
    <w:tmpl w:val="F54619A0"/>
    <w:lvl w:ilvl="0" w:tplc="0C090001">
      <w:start w:val="1"/>
      <w:numFmt w:val="bullet"/>
      <w:lvlText w:val=""/>
      <w:lvlJc w:val="left"/>
      <w:pPr>
        <w:ind w:left="371" w:hanging="360"/>
      </w:pPr>
      <w:rPr>
        <w:rFonts w:ascii="Symbol" w:hAnsi="Symbol" w:hint="default"/>
      </w:rPr>
    </w:lvl>
    <w:lvl w:ilvl="1" w:tplc="0C090003" w:tentative="1">
      <w:start w:val="1"/>
      <w:numFmt w:val="bullet"/>
      <w:lvlText w:val="o"/>
      <w:lvlJc w:val="left"/>
      <w:pPr>
        <w:ind w:left="1091" w:hanging="360"/>
      </w:pPr>
      <w:rPr>
        <w:rFonts w:ascii="Courier New" w:hAnsi="Courier New" w:cs="Courier New" w:hint="default"/>
      </w:rPr>
    </w:lvl>
    <w:lvl w:ilvl="2" w:tplc="0C090005" w:tentative="1">
      <w:start w:val="1"/>
      <w:numFmt w:val="bullet"/>
      <w:lvlText w:val=""/>
      <w:lvlJc w:val="left"/>
      <w:pPr>
        <w:ind w:left="1811" w:hanging="360"/>
      </w:pPr>
      <w:rPr>
        <w:rFonts w:ascii="Wingdings" w:hAnsi="Wingdings" w:hint="default"/>
      </w:rPr>
    </w:lvl>
    <w:lvl w:ilvl="3" w:tplc="0C090001" w:tentative="1">
      <w:start w:val="1"/>
      <w:numFmt w:val="bullet"/>
      <w:lvlText w:val=""/>
      <w:lvlJc w:val="left"/>
      <w:pPr>
        <w:ind w:left="2531" w:hanging="360"/>
      </w:pPr>
      <w:rPr>
        <w:rFonts w:ascii="Symbol" w:hAnsi="Symbol" w:hint="default"/>
      </w:rPr>
    </w:lvl>
    <w:lvl w:ilvl="4" w:tplc="0C090003" w:tentative="1">
      <w:start w:val="1"/>
      <w:numFmt w:val="bullet"/>
      <w:lvlText w:val="o"/>
      <w:lvlJc w:val="left"/>
      <w:pPr>
        <w:ind w:left="3251" w:hanging="360"/>
      </w:pPr>
      <w:rPr>
        <w:rFonts w:ascii="Courier New" w:hAnsi="Courier New" w:cs="Courier New" w:hint="default"/>
      </w:rPr>
    </w:lvl>
    <w:lvl w:ilvl="5" w:tplc="0C090005" w:tentative="1">
      <w:start w:val="1"/>
      <w:numFmt w:val="bullet"/>
      <w:lvlText w:val=""/>
      <w:lvlJc w:val="left"/>
      <w:pPr>
        <w:ind w:left="3971" w:hanging="360"/>
      </w:pPr>
      <w:rPr>
        <w:rFonts w:ascii="Wingdings" w:hAnsi="Wingdings" w:hint="default"/>
      </w:rPr>
    </w:lvl>
    <w:lvl w:ilvl="6" w:tplc="0C090001" w:tentative="1">
      <w:start w:val="1"/>
      <w:numFmt w:val="bullet"/>
      <w:lvlText w:val=""/>
      <w:lvlJc w:val="left"/>
      <w:pPr>
        <w:ind w:left="4691" w:hanging="360"/>
      </w:pPr>
      <w:rPr>
        <w:rFonts w:ascii="Symbol" w:hAnsi="Symbol" w:hint="default"/>
      </w:rPr>
    </w:lvl>
    <w:lvl w:ilvl="7" w:tplc="0C090003" w:tentative="1">
      <w:start w:val="1"/>
      <w:numFmt w:val="bullet"/>
      <w:lvlText w:val="o"/>
      <w:lvlJc w:val="left"/>
      <w:pPr>
        <w:ind w:left="5411" w:hanging="360"/>
      </w:pPr>
      <w:rPr>
        <w:rFonts w:ascii="Courier New" w:hAnsi="Courier New" w:cs="Courier New" w:hint="default"/>
      </w:rPr>
    </w:lvl>
    <w:lvl w:ilvl="8" w:tplc="0C090005" w:tentative="1">
      <w:start w:val="1"/>
      <w:numFmt w:val="bullet"/>
      <w:lvlText w:val=""/>
      <w:lvlJc w:val="left"/>
      <w:pPr>
        <w:ind w:left="6131" w:hanging="360"/>
      </w:pPr>
      <w:rPr>
        <w:rFonts w:ascii="Wingdings" w:hAnsi="Wingdings" w:hint="default"/>
      </w:rPr>
    </w:lvl>
  </w:abstractNum>
  <w:abstractNum w:abstractNumId="3" w15:restartNumberingAfterBreak="0">
    <w:nsid w:val="076D2057"/>
    <w:multiLevelType w:val="hybridMultilevel"/>
    <w:tmpl w:val="B6A20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074855"/>
    <w:multiLevelType w:val="hybridMultilevel"/>
    <w:tmpl w:val="5F92E2E8"/>
    <w:lvl w:ilvl="0" w:tplc="95705C56">
      <w:start w:val="1"/>
      <w:numFmt w:val="bullet"/>
      <w:lvlText w:val=""/>
      <w:lvlJc w:val="left"/>
      <w:pPr>
        <w:ind w:left="1440" w:hanging="360"/>
      </w:pPr>
      <w:rPr>
        <w:rFonts w:ascii="Symbol" w:hAnsi="Symbol"/>
      </w:rPr>
    </w:lvl>
    <w:lvl w:ilvl="1" w:tplc="DE4E0ADA">
      <w:start w:val="1"/>
      <w:numFmt w:val="bullet"/>
      <w:lvlText w:val=""/>
      <w:lvlJc w:val="left"/>
      <w:pPr>
        <w:ind w:left="1440" w:hanging="360"/>
      </w:pPr>
      <w:rPr>
        <w:rFonts w:ascii="Symbol" w:hAnsi="Symbol"/>
      </w:rPr>
    </w:lvl>
    <w:lvl w:ilvl="2" w:tplc="CEE476C8">
      <w:start w:val="1"/>
      <w:numFmt w:val="bullet"/>
      <w:lvlText w:val=""/>
      <w:lvlJc w:val="left"/>
      <w:pPr>
        <w:ind w:left="1440" w:hanging="360"/>
      </w:pPr>
      <w:rPr>
        <w:rFonts w:ascii="Symbol" w:hAnsi="Symbol"/>
      </w:rPr>
    </w:lvl>
    <w:lvl w:ilvl="3" w:tplc="687CFBD4">
      <w:start w:val="1"/>
      <w:numFmt w:val="bullet"/>
      <w:lvlText w:val=""/>
      <w:lvlJc w:val="left"/>
      <w:pPr>
        <w:ind w:left="1440" w:hanging="360"/>
      </w:pPr>
      <w:rPr>
        <w:rFonts w:ascii="Symbol" w:hAnsi="Symbol"/>
      </w:rPr>
    </w:lvl>
    <w:lvl w:ilvl="4" w:tplc="B7CED7FC">
      <w:start w:val="1"/>
      <w:numFmt w:val="bullet"/>
      <w:lvlText w:val=""/>
      <w:lvlJc w:val="left"/>
      <w:pPr>
        <w:ind w:left="1440" w:hanging="360"/>
      </w:pPr>
      <w:rPr>
        <w:rFonts w:ascii="Symbol" w:hAnsi="Symbol"/>
      </w:rPr>
    </w:lvl>
    <w:lvl w:ilvl="5" w:tplc="8EB8D116">
      <w:start w:val="1"/>
      <w:numFmt w:val="bullet"/>
      <w:lvlText w:val=""/>
      <w:lvlJc w:val="left"/>
      <w:pPr>
        <w:ind w:left="1440" w:hanging="360"/>
      </w:pPr>
      <w:rPr>
        <w:rFonts w:ascii="Symbol" w:hAnsi="Symbol"/>
      </w:rPr>
    </w:lvl>
    <w:lvl w:ilvl="6" w:tplc="F4D403D4">
      <w:start w:val="1"/>
      <w:numFmt w:val="bullet"/>
      <w:lvlText w:val=""/>
      <w:lvlJc w:val="left"/>
      <w:pPr>
        <w:ind w:left="1440" w:hanging="360"/>
      </w:pPr>
      <w:rPr>
        <w:rFonts w:ascii="Symbol" w:hAnsi="Symbol"/>
      </w:rPr>
    </w:lvl>
    <w:lvl w:ilvl="7" w:tplc="55F869F0">
      <w:start w:val="1"/>
      <w:numFmt w:val="bullet"/>
      <w:lvlText w:val=""/>
      <w:lvlJc w:val="left"/>
      <w:pPr>
        <w:ind w:left="1440" w:hanging="360"/>
      </w:pPr>
      <w:rPr>
        <w:rFonts w:ascii="Symbol" w:hAnsi="Symbol"/>
      </w:rPr>
    </w:lvl>
    <w:lvl w:ilvl="8" w:tplc="AC942B20">
      <w:start w:val="1"/>
      <w:numFmt w:val="bullet"/>
      <w:lvlText w:val=""/>
      <w:lvlJc w:val="left"/>
      <w:pPr>
        <w:ind w:left="1440" w:hanging="360"/>
      </w:pPr>
      <w:rPr>
        <w:rFonts w:ascii="Symbol" w:hAnsi="Symbol"/>
      </w:rPr>
    </w:lvl>
  </w:abstractNum>
  <w:abstractNum w:abstractNumId="5" w15:restartNumberingAfterBreak="0">
    <w:nsid w:val="0F5E2F98"/>
    <w:multiLevelType w:val="hybridMultilevel"/>
    <w:tmpl w:val="07106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172B47"/>
    <w:multiLevelType w:val="hybridMultilevel"/>
    <w:tmpl w:val="DFA08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620044"/>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E75F17"/>
    <w:multiLevelType w:val="hybridMultilevel"/>
    <w:tmpl w:val="A22AC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B542D2"/>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F32422"/>
    <w:multiLevelType w:val="hybridMultilevel"/>
    <w:tmpl w:val="A3629898"/>
    <w:lvl w:ilvl="0" w:tplc="0AD036BE">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962AD1"/>
    <w:multiLevelType w:val="hybridMultilevel"/>
    <w:tmpl w:val="CF08DD9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EAF4823"/>
    <w:multiLevelType w:val="hybridMultilevel"/>
    <w:tmpl w:val="A2EEF776"/>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F7F0F78"/>
    <w:multiLevelType w:val="hybridMultilevel"/>
    <w:tmpl w:val="6302C69E"/>
    <w:lvl w:ilvl="0" w:tplc="0C090001">
      <w:start w:val="1"/>
      <w:numFmt w:val="bullet"/>
      <w:lvlText w:val=""/>
      <w:lvlJc w:val="left"/>
      <w:pPr>
        <w:ind w:left="371" w:hanging="360"/>
      </w:pPr>
      <w:rPr>
        <w:rFonts w:ascii="Symbol" w:hAnsi="Symbol" w:hint="default"/>
      </w:rPr>
    </w:lvl>
    <w:lvl w:ilvl="1" w:tplc="0C090003" w:tentative="1">
      <w:start w:val="1"/>
      <w:numFmt w:val="bullet"/>
      <w:lvlText w:val="o"/>
      <w:lvlJc w:val="left"/>
      <w:pPr>
        <w:ind w:left="1091" w:hanging="360"/>
      </w:pPr>
      <w:rPr>
        <w:rFonts w:ascii="Courier New" w:hAnsi="Courier New" w:cs="Courier New" w:hint="default"/>
      </w:rPr>
    </w:lvl>
    <w:lvl w:ilvl="2" w:tplc="0C090005" w:tentative="1">
      <w:start w:val="1"/>
      <w:numFmt w:val="bullet"/>
      <w:lvlText w:val=""/>
      <w:lvlJc w:val="left"/>
      <w:pPr>
        <w:ind w:left="1811" w:hanging="360"/>
      </w:pPr>
      <w:rPr>
        <w:rFonts w:ascii="Wingdings" w:hAnsi="Wingdings" w:hint="default"/>
      </w:rPr>
    </w:lvl>
    <w:lvl w:ilvl="3" w:tplc="0C090001" w:tentative="1">
      <w:start w:val="1"/>
      <w:numFmt w:val="bullet"/>
      <w:lvlText w:val=""/>
      <w:lvlJc w:val="left"/>
      <w:pPr>
        <w:ind w:left="2531" w:hanging="360"/>
      </w:pPr>
      <w:rPr>
        <w:rFonts w:ascii="Symbol" w:hAnsi="Symbol" w:hint="default"/>
      </w:rPr>
    </w:lvl>
    <w:lvl w:ilvl="4" w:tplc="0C090003" w:tentative="1">
      <w:start w:val="1"/>
      <w:numFmt w:val="bullet"/>
      <w:lvlText w:val="o"/>
      <w:lvlJc w:val="left"/>
      <w:pPr>
        <w:ind w:left="3251" w:hanging="360"/>
      </w:pPr>
      <w:rPr>
        <w:rFonts w:ascii="Courier New" w:hAnsi="Courier New" w:cs="Courier New" w:hint="default"/>
      </w:rPr>
    </w:lvl>
    <w:lvl w:ilvl="5" w:tplc="0C090005" w:tentative="1">
      <w:start w:val="1"/>
      <w:numFmt w:val="bullet"/>
      <w:lvlText w:val=""/>
      <w:lvlJc w:val="left"/>
      <w:pPr>
        <w:ind w:left="3971" w:hanging="360"/>
      </w:pPr>
      <w:rPr>
        <w:rFonts w:ascii="Wingdings" w:hAnsi="Wingdings" w:hint="default"/>
      </w:rPr>
    </w:lvl>
    <w:lvl w:ilvl="6" w:tplc="0C090001" w:tentative="1">
      <w:start w:val="1"/>
      <w:numFmt w:val="bullet"/>
      <w:lvlText w:val=""/>
      <w:lvlJc w:val="left"/>
      <w:pPr>
        <w:ind w:left="4691" w:hanging="360"/>
      </w:pPr>
      <w:rPr>
        <w:rFonts w:ascii="Symbol" w:hAnsi="Symbol" w:hint="default"/>
      </w:rPr>
    </w:lvl>
    <w:lvl w:ilvl="7" w:tplc="0C090003" w:tentative="1">
      <w:start w:val="1"/>
      <w:numFmt w:val="bullet"/>
      <w:lvlText w:val="o"/>
      <w:lvlJc w:val="left"/>
      <w:pPr>
        <w:ind w:left="5411" w:hanging="360"/>
      </w:pPr>
      <w:rPr>
        <w:rFonts w:ascii="Courier New" w:hAnsi="Courier New" w:cs="Courier New" w:hint="default"/>
      </w:rPr>
    </w:lvl>
    <w:lvl w:ilvl="8" w:tplc="0C090005" w:tentative="1">
      <w:start w:val="1"/>
      <w:numFmt w:val="bullet"/>
      <w:lvlText w:val=""/>
      <w:lvlJc w:val="left"/>
      <w:pPr>
        <w:ind w:left="6131" w:hanging="360"/>
      </w:pPr>
      <w:rPr>
        <w:rFonts w:ascii="Wingdings" w:hAnsi="Wingdings" w:hint="default"/>
      </w:rPr>
    </w:lvl>
  </w:abstractNum>
  <w:abstractNum w:abstractNumId="14" w15:restartNumberingAfterBreak="0">
    <w:nsid w:val="20D30749"/>
    <w:multiLevelType w:val="hybridMultilevel"/>
    <w:tmpl w:val="33ACD6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47523A"/>
    <w:multiLevelType w:val="hybridMultilevel"/>
    <w:tmpl w:val="67BE3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4F0D99"/>
    <w:multiLevelType w:val="hybridMultilevel"/>
    <w:tmpl w:val="3110C4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43C4470"/>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6385B2A"/>
    <w:multiLevelType w:val="hybridMultilevel"/>
    <w:tmpl w:val="41E42586"/>
    <w:lvl w:ilvl="0" w:tplc="CF3846C0">
      <w:start w:val="1"/>
      <w:numFmt w:val="bullet"/>
      <w:lvlText w:val=""/>
      <w:lvlJc w:val="left"/>
      <w:pPr>
        <w:ind w:left="1440" w:hanging="360"/>
      </w:pPr>
      <w:rPr>
        <w:rFonts w:ascii="Symbol" w:hAnsi="Symbol"/>
      </w:rPr>
    </w:lvl>
    <w:lvl w:ilvl="1" w:tplc="B53C3900">
      <w:start w:val="1"/>
      <w:numFmt w:val="bullet"/>
      <w:lvlText w:val=""/>
      <w:lvlJc w:val="left"/>
      <w:pPr>
        <w:ind w:left="1440" w:hanging="360"/>
      </w:pPr>
      <w:rPr>
        <w:rFonts w:ascii="Symbol" w:hAnsi="Symbol"/>
      </w:rPr>
    </w:lvl>
    <w:lvl w:ilvl="2" w:tplc="3DBA6542">
      <w:start w:val="1"/>
      <w:numFmt w:val="bullet"/>
      <w:lvlText w:val=""/>
      <w:lvlJc w:val="left"/>
      <w:pPr>
        <w:ind w:left="1440" w:hanging="360"/>
      </w:pPr>
      <w:rPr>
        <w:rFonts w:ascii="Symbol" w:hAnsi="Symbol"/>
      </w:rPr>
    </w:lvl>
    <w:lvl w:ilvl="3" w:tplc="F0EC15F8">
      <w:start w:val="1"/>
      <w:numFmt w:val="bullet"/>
      <w:lvlText w:val=""/>
      <w:lvlJc w:val="left"/>
      <w:pPr>
        <w:ind w:left="1440" w:hanging="360"/>
      </w:pPr>
      <w:rPr>
        <w:rFonts w:ascii="Symbol" w:hAnsi="Symbol"/>
      </w:rPr>
    </w:lvl>
    <w:lvl w:ilvl="4" w:tplc="3482D43C">
      <w:start w:val="1"/>
      <w:numFmt w:val="bullet"/>
      <w:lvlText w:val=""/>
      <w:lvlJc w:val="left"/>
      <w:pPr>
        <w:ind w:left="1440" w:hanging="360"/>
      </w:pPr>
      <w:rPr>
        <w:rFonts w:ascii="Symbol" w:hAnsi="Symbol"/>
      </w:rPr>
    </w:lvl>
    <w:lvl w:ilvl="5" w:tplc="8D16FCD8">
      <w:start w:val="1"/>
      <w:numFmt w:val="bullet"/>
      <w:lvlText w:val=""/>
      <w:lvlJc w:val="left"/>
      <w:pPr>
        <w:ind w:left="1440" w:hanging="360"/>
      </w:pPr>
      <w:rPr>
        <w:rFonts w:ascii="Symbol" w:hAnsi="Symbol"/>
      </w:rPr>
    </w:lvl>
    <w:lvl w:ilvl="6" w:tplc="B0DA1F34">
      <w:start w:val="1"/>
      <w:numFmt w:val="bullet"/>
      <w:lvlText w:val=""/>
      <w:lvlJc w:val="left"/>
      <w:pPr>
        <w:ind w:left="1440" w:hanging="360"/>
      </w:pPr>
      <w:rPr>
        <w:rFonts w:ascii="Symbol" w:hAnsi="Symbol"/>
      </w:rPr>
    </w:lvl>
    <w:lvl w:ilvl="7" w:tplc="8B441676">
      <w:start w:val="1"/>
      <w:numFmt w:val="bullet"/>
      <w:lvlText w:val=""/>
      <w:lvlJc w:val="left"/>
      <w:pPr>
        <w:ind w:left="1440" w:hanging="360"/>
      </w:pPr>
      <w:rPr>
        <w:rFonts w:ascii="Symbol" w:hAnsi="Symbol"/>
      </w:rPr>
    </w:lvl>
    <w:lvl w:ilvl="8" w:tplc="ED8CD9E0">
      <w:start w:val="1"/>
      <w:numFmt w:val="bullet"/>
      <w:lvlText w:val=""/>
      <w:lvlJc w:val="left"/>
      <w:pPr>
        <w:ind w:left="1440" w:hanging="360"/>
      </w:pPr>
      <w:rPr>
        <w:rFonts w:ascii="Symbol" w:hAnsi="Symbol"/>
      </w:rPr>
    </w:lvl>
  </w:abstractNum>
  <w:abstractNum w:abstractNumId="19" w15:restartNumberingAfterBreak="0">
    <w:nsid w:val="26CF0056"/>
    <w:multiLevelType w:val="hybridMultilevel"/>
    <w:tmpl w:val="A4142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20" w15:restartNumberingAfterBreak="0">
    <w:nsid w:val="2AFD6A05"/>
    <w:multiLevelType w:val="hybridMultilevel"/>
    <w:tmpl w:val="34949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B1A3B8F"/>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25A5B08"/>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35C1725"/>
    <w:multiLevelType w:val="hybridMultilevel"/>
    <w:tmpl w:val="F0688B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40F6FA3"/>
    <w:multiLevelType w:val="hybridMultilevel"/>
    <w:tmpl w:val="282ECA06"/>
    <w:lvl w:ilvl="0" w:tplc="CEF8AB5A">
      <w:start w:val="1"/>
      <w:numFmt w:val="bullet"/>
      <w:lvlText w:val=""/>
      <w:lvlJc w:val="left"/>
      <w:pPr>
        <w:ind w:left="720" w:hanging="360"/>
      </w:pPr>
      <w:rPr>
        <w:rFonts w:ascii="Symbol" w:hAnsi="Symbol"/>
      </w:rPr>
    </w:lvl>
    <w:lvl w:ilvl="1" w:tplc="2040BF9A">
      <w:start w:val="1"/>
      <w:numFmt w:val="bullet"/>
      <w:lvlText w:val=""/>
      <w:lvlJc w:val="left"/>
      <w:pPr>
        <w:ind w:left="720" w:hanging="360"/>
      </w:pPr>
      <w:rPr>
        <w:rFonts w:ascii="Symbol" w:hAnsi="Symbol"/>
      </w:rPr>
    </w:lvl>
    <w:lvl w:ilvl="2" w:tplc="088AE166">
      <w:start w:val="1"/>
      <w:numFmt w:val="bullet"/>
      <w:lvlText w:val=""/>
      <w:lvlJc w:val="left"/>
      <w:pPr>
        <w:ind w:left="720" w:hanging="360"/>
      </w:pPr>
      <w:rPr>
        <w:rFonts w:ascii="Symbol" w:hAnsi="Symbol"/>
      </w:rPr>
    </w:lvl>
    <w:lvl w:ilvl="3" w:tplc="B93EF51C">
      <w:start w:val="1"/>
      <w:numFmt w:val="bullet"/>
      <w:lvlText w:val=""/>
      <w:lvlJc w:val="left"/>
      <w:pPr>
        <w:ind w:left="720" w:hanging="360"/>
      </w:pPr>
      <w:rPr>
        <w:rFonts w:ascii="Symbol" w:hAnsi="Symbol"/>
      </w:rPr>
    </w:lvl>
    <w:lvl w:ilvl="4" w:tplc="E7BE2682">
      <w:start w:val="1"/>
      <w:numFmt w:val="bullet"/>
      <w:lvlText w:val=""/>
      <w:lvlJc w:val="left"/>
      <w:pPr>
        <w:ind w:left="720" w:hanging="360"/>
      </w:pPr>
      <w:rPr>
        <w:rFonts w:ascii="Symbol" w:hAnsi="Symbol"/>
      </w:rPr>
    </w:lvl>
    <w:lvl w:ilvl="5" w:tplc="8C3C55EE">
      <w:start w:val="1"/>
      <w:numFmt w:val="bullet"/>
      <w:lvlText w:val=""/>
      <w:lvlJc w:val="left"/>
      <w:pPr>
        <w:ind w:left="720" w:hanging="360"/>
      </w:pPr>
      <w:rPr>
        <w:rFonts w:ascii="Symbol" w:hAnsi="Symbol"/>
      </w:rPr>
    </w:lvl>
    <w:lvl w:ilvl="6" w:tplc="1D18998C">
      <w:start w:val="1"/>
      <w:numFmt w:val="bullet"/>
      <w:lvlText w:val=""/>
      <w:lvlJc w:val="left"/>
      <w:pPr>
        <w:ind w:left="720" w:hanging="360"/>
      </w:pPr>
      <w:rPr>
        <w:rFonts w:ascii="Symbol" w:hAnsi="Symbol"/>
      </w:rPr>
    </w:lvl>
    <w:lvl w:ilvl="7" w:tplc="F5C2C564">
      <w:start w:val="1"/>
      <w:numFmt w:val="bullet"/>
      <w:lvlText w:val=""/>
      <w:lvlJc w:val="left"/>
      <w:pPr>
        <w:ind w:left="720" w:hanging="360"/>
      </w:pPr>
      <w:rPr>
        <w:rFonts w:ascii="Symbol" w:hAnsi="Symbol"/>
      </w:rPr>
    </w:lvl>
    <w:lvl w:ilvl="8" w:tplc="1E96C5B2">
      <w:start w:val="1"/>
      <w:numFmt w:val="bullet"/>
      <w:lvlText w:val=""/>
      <w:lvlJc w:val="left"/>
      <w:pPr>
        <w:ind w:left="720" w:hanging="360"/>
      </w:pPr>
      <w:rPr>
        <w:rFonts w:ascii="Symbol" w:hAnsi="Symbol"/>
      </w:rPr>
    </w:lvl>
  </w:abstractNum>
  <w:abstractNum w:abstractNumId="26" w15:restartNumberingAfterBreak="0">
    <w:nsid w:val="341554A2"/>
    <w:multiLevelType w:val="hybridMultilevel"/>
    <w:tmpl w:val="41B2A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4393A4C"/>
    <w:multiLevelType w:val="hybridMultilevel"/>
    <w:tmpl w:val="8DAC99CE"/>
    <w:lvl w:ilvl="0" w:tplc="EDC895E8">
      <w:start w:val="1"/>
      <w:numFmt w:val="decimal"/>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7DC32C2"/>
    <w:multiLevelType w:val="hybridMultilevel"/>
    <w:tmpl w:val="A8904258"/>
    <w:lvl w:ilvl="0" w:tplc="3A82E9D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B2B0EF9"/>
    <w:multiLevelType w:val="hybridMultilevel"/>
    <w:tmpl w:val="274E6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3B4D3EC3"/>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E3B13B7"/>
    <w:multiLevelType w:val="hybridMultilevel"/>
    <w:tmpl w:val="D6B45E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FDA598B"/>
    <w:multiLevelType w:val="multilevel"/>
    <w:tmpl w:val="CAD4E43E"/>
    <w:lvl w:ilvl="0">
      <w:start w:val="1"/>
      <w:numFmt w:val="bullet"/>
      <w:lvlText w:val=""/>
      <w:lvlJc w:val="left"/>
      <w:pPr>
        <w:ind w:left="1440" w:hanging="720"/>
      </w:pPr>
      <w:rPr>
        <w:rFonts w:ascii="Symbol" w:hAnsi="Symbol" w:hint="default"/>
      </w:rPr>
    </w:lvl>
    <w:lvl w:ilvl="1">
      <w:start w:val="1"/>
      <w:numFmt w:val="decimal"/>
      <w:lvlText w:val="%1.%2"/>
      <w:lvlJc w:val="left"/>
      <w:pPr>
        <w:ind w:left="1440" w:hanging="720"/>
      </w:pPr>
      <w:rPr>
        <w:rFonts w:hint="default"/>
        <w:color w:val="auto"/>
      </w:rPr>
    </w:lvl>
    <w:lvl w:ilvl="2">
      <w:start w:val="1"/>
      <w:numFmt w:val="lowerRoman"/>
      <w:lvlText w:val="%3."/>
      <w:lvlJc w:val="right"/>
      <w:pPr>
        <w:ind w:left="3237" w:hanging="177"/>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33" w15:restartNumberingAfterBreak="0">
    <w:nsid w:val="419E1075"/>
    <w:multiLevelType w:val="hybridMultilevel"/>
    <w:tmpl w:val="0CECF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2934841"/>
    <w:multiLevelType w:val="hybridMultilevel"/>
    <w:tmpl w:val="9D4C0956"/>
    <w:lvl w:ilvl="0" w:tplc="0ED2E4A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4510CFF"/>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7344C6C"/>
    <w:multiLevelType w:val="hybridMultilevel"/>
    <w:tmpl w:val="F72634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80368AB"/>
    <w:multiLevelType w:val="hybridMultilevel"/>
    <w:tmpl w:val="96667622"/>
    <w:lvl w:ilvl="0" w:tplc="4CC6CD4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88E2D82"/>
    <w:multiLevelType w:val="hybridMultilevel"/>
    <w:tmpl w:val="3F6A3322"/>
    <w:lvl w:ilvl="0" w:tplc="F036E636">
      <w:start w:val="1"/>
      <w:numFmt w:val="bullet"/>
      <w:lvlText w:val=""/>
      <w:lvlJc w:val="left"/>
      <w:pPr>
        <w:ind w:left="720" w:hanging="360"/>
      </w:pPr>
      <w:rPr>
        <w:rFonts w:ascii="Symbol" w:hAnsi="Symbol"/>
      </w:rPr>
    </w:lvl>
    <w:lvl w:ilvl="1" w:tplc="43882EFC">
      <w:start w:val="1"/>
      <w:numFmt w:val="bullet"/>
      <w:lvlText w:val=""/>
      <w:lvlJc w:val="left"/>
      <w:pPr>
        <w:ind w:left="720" w:hanging="360"/>
      </w:pPr>
      <w:rPr>
        <w:rFonts w:ascii="Symbol" w:hAnsi="Symbol"/>
      </w:rPr>
    </w:lvl>
    <w:lvl w:ilvl="2" w:tplc="CD54969C">
      <w:start w:val="1"/>
      <w:numFmt w:val="bullet"/>
      <w:lvlText w:val=""/>
      <w:lvlJc w:val="left"/>
      <w:pPr>
        <w:ind w:left="720" w:hanging="360"/>
      </w:pPr>
      <w:rPr>
        <w:rFonts w:ascii="Symbol" w:hAnsi="Symbol"/>
      </w:rPr>
    </w:lvl>
    <w:lvl w:ilvl="3" w:tplc="69E6105E">
      <w:start w:val="1"/>
      <w:numFmt w:val="bullet"/>
      <w:lvlText w:val=""/>
      <w:lvlJc w:val="left"/>
      <w:pPr>
        <w:ind w:left="720" w:hanging="360"/>
      </w:pPr>
      <w:rPr>
        <w:rFonts w:ascii="Symbol" w:hAnsi="Symbol"/>
      </w:rPr>
    </w:lvl>
    <w:lvl w:ilvl="4" w:tplc="61A68664">
      <w:start w:val="1"/>
      <w:numFmt w:val="bullet"/>
      <w:lvlText w:val=""/>
      <w:lvlJc w:val="left"/>
      <w:pPr>
        <w:ind w:left="720" w:hanging="360"/>
      </w:pPr>
      <w:rPr>
        <w:rFonts w:ascii="Symbol" w:hAnsi="Symbol"/>
      </w:rPr>
    </w:lvl>
    <w:lvl w:ilvl="5" w:tplc="460A48AE">
      <w:start w:val="1"/>
      <w:numFmt w:val="bullet"/>
      <w:lvlText w:val=""/>
      <w:lvlJc w:val="left"/>
      <w:pPr>
        <w:ind w:left="720" w:hanging="360"/>
      </w:pPr>
      <w:rPr>
        <w:rFonts w:ascii="Symbol" w:hAnsi="Symbol"/>
      </w:rPr>
    </w:lvl>
    <w:lvl w:ilvl="6" w:tplc="C696FB9E">
      <w:start w:val="1"/>
      <w:numFmt w:val="bullet"/>
      <w:lvlText w:val=""/>
      <w:lvlJc w:val="left"/>
      <w:pPr>
        <w:ind w:left="720" w:hanging="360"/>
      </w:pPr>
      <w:rPr>
        <w:rFonts w:ascii="Symbol" w:hAnsi="Symbol"/>
      </w:rPr>
    </w:lvl>
    <w:lvl w:ilvl="7" w:tplc="9190B6F4">
      <w:start w:val="1"/>
      <w:numFmt w:val="bullet"/>
      <w:lvlText w:val=""/>
      <w:lvlJc w:val="left"/>
      <w:pPr>
        <w:ind w:left="720" w:hanging="360"/>
      </w:pPr>
      <w:rPr>
        <w:rFonts w:ascii="Symbol" w:hAnsi="Symbol"/>
      </w:rPr>
    </w:lvl>
    <w:lvl w:ilvl="8" w:tplc="1C1255B6">
      <w:start w:val="1"/>
      <w:numFmt w:val="bullet"/>
      <w:lvlText w:val=""/>
      <w:lvlJc w:val="left"/>
      <w:pPr>
        <w:ind w:left="720" w:hanging="360"/>
      </w:pPr>
      <w:rPr>
        <w:rFonts w:ascii="Symbol" w:hAnsi="Symbol"/>
      </w:rPr>
    </w:lvl>
  </w:abstractNum>
  <w:abstractNum w:abstractNumId="40" w15:restartNumberingAfterBreak="0">
    <w:nsid w:val="48E5325C"/>
    <w:multiLevelType w:val="hybridMultilevel"/>
    <w:tmpl w:val="465A4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92B2D4C"/>
    <w:multiLevelType w:val="multilevel"/>
    <w:tmpl w:val="34F04474"/>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42" w15:restartNumberingAfterBreak="0">
    <w:nsid w:val="4DA92195"/>
    <w:multiLevelType w:val="multilevel"/>
    <w:tmpl w:val="E1CE3240"/>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43" w15:restartNumberingAfterBreak="0">
    <w:nsid w:val="4F3433AA"/>
    <w:multiLevelType w:val="hybridMultilevel"/>
    <w:tmpl w:val="2A3EE49E"/>
    <w:lvl w:ilvl="0" w:tplc="72188AA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502F4FE4"/>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7C97701"/>
    <w:multiLevelType w:val="hybridMultilevel"/>
    <w:tmpl w:val="522A98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5E617972"/>
    <w:multiLevelType w:val="hybridMultilevel"/>
    <w:tmpl w:val="CD32B0FA"/>
    <w:lvl w:ilvl="0" w:tplc="FF0899FC">
      <w:start w:val="1"/>
      <w:numFmt w:val="bullet"/>
      <w:lvlText w:val=""/>
      <w:lvlJc w:val="left"/>
      <w:pPr>
        <w:ind w:left="720" w:hanging="360"/>
      </w:pPr>
      <w:rPr>
        <w:rFonts w:ascii="Symbol" w:hAnsi="Symbol"/>
      </w:rPr>
    </w:lvl>
    <w:lvl w:ilvl="1" w:tplc="DAF69C6C">
      <w:start w:val="1"/>
      <w:numFmt w:val="bullet"/>
      <w:lvlText w:val=""/>
      <w:lvlJc w:val="left"/>
      <w:pPr>
        <w:ind w:left="720" w:hanging="360"/>
      </w:pPr>
      <w:rPr>
        <w:rFonts w:ascii="Symbol" w:hAnsi="Symbol"/>
      </w:rPr>
    </w:lvl>
    <w:lvl w:ilvl="2" w:tplc="7B8C1B16">
      <w:start w:val="1"/>
      <w:numFmt w:val="bullet"/>
      <w:lvlText w:val=""/>
      <w:lvlJc w:val="left"/>
      <w:pPr>
        <w:ind w:left="720" w:hanging="360"/>
      </w:pPr>
      <w:rPr>
        <w:rFonts w:ascii="Symbol" w:hAnsi="Symbol"/>
      </w:rPr>
    </w:lvl>
    <w:lvl w:ilvl="3" w:tplc="6DF85986">
      <w:start w:val="1"/>
      <w:numFmt w:val="bullet"/>
      <w:lvlText w:val=""/>
      <w:lvlJc w:val="left"/>
      <w:pPr>
        <w:ind w:left="720" w:hanging="360"/>
      </w:pPr>
      <w:rPr>
        <w:rFonts w:ascii="Symbol" w:hAnsi="Symbol"/>
      </w:rPr>
    </w:lvl>
    <w:lvl w:ilvl="4" w:tplc="E6226CE6">
      <w:start w:val="1"/>
      <w:numFmt w:val="bullet"/>
      <w:lvlText w:val=""/>
      <w:lvlJc w:val="left"/>
      <w:pPr>
        <w:ind w:left="720" w:hanging="360"/>
      </w:pPr>
      <w:rPr>
        <w:rFonts w:ascii="Symbol" w:hAnsi="Symbol"/>
      </w:rPr>
    </w:lvl>
    <w:lvl w:ilvl="5" w:tplc="4B846BD2">
      <w:start w:val="1"/>
      <w:numFmt w:val="bullet"/>
      <w:lvlText w:val=""/>
      <w:lvlJc w:val="left"/>
      <w:pPr>
        <w:ind w:left="720" w:hanging="360"/>
      </w:pPr>
      <w:rPr>
        <w:rFonts w:ascii="Symbol" w:hAnsi="Symbol"/>
      </w:rPr>
    </w:lvl>
    <w:lvl w:ilvl="6" w:tplc="C66CAB50">
      <w:start w:val="1"/>
      <w:numFmt w:val="bullet"/>
      <w:lvlText w:val=""/>
      <w:lvlJc w:val="left"/>
      <w:pPr>
        <w:ind w:left="720" w:hanging="360"/>
      </w:pPr>
      <w:rPr>
        <w:rFonts w:ascii="Symbol" w:hAnsi="Symbol"/>
      </w:rPr>
    </w:lvl>
    <w:lvl w:ilvl="7" w:tplc="CE4610C0">
      <w:start w:val="1"/>
      <w:numFmt w:val="bullet"/>
      <w:lvlText w:val=""/>
      <w:lvlJc w:val="left"/>
      <w:pPr>
        <w:ind w:left="720" w:hanging="360"/>
      </w:pPr>
      <w:rPr>
        <w:rFonts w:ascii="Symbol" w:hAnsi="Symbol"/>
      </w:rPr>
    </w:lvl>
    <w:lvl w:ilvl="8" w:tplc="119E41B6">
      <w:start w:val="1"/>
      <w:numFmt w:val="bullet"/>
      <w:lvlText w:val=""/>
      <w:lvlJc w:val="left"/>
      <w:pPr>
        <w:ind w:left="720" w:hanging="360"/>
      </w:pPr>
      <w:rPr>
        <w:rFonts w:ascii="Symbol" w:hAnsi="Symbol"/>
      </w:rPr>
    </w:lvl>
  </w:abstractNum>
  <w:abstractNum w:abstractNumId="47" w15:restartNumberingAfterBreak="0">
    <w:nsid w:val="62910E89"/>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42B1460"/>
    <w:multiLevelType w:val="hybridMultilevel"/>
    <w:tmpl w:val="B0A08F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67EB7BA9"/>
    <w:multiLevelType w:val="hybridMultilevel"/>
    <w:tmpl w:val="A75608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0" w15:restartNumberingAfterBreak="0">
    <w:nsid w:val="68321CCF"/>
    <w:multiLevelType w:val="hybridMultilevel"/>
    <w:tmpl w:val="F5D0E7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69DD1F31"/>
    <w:multiLevelType w:val="hybridMultilevel"/>
    <w:tmpl w:val="979EF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6E6F75A3"/>
    <w:multiLevelType w:val="hybridMultilevel"/>
    <w:tmpl w:val="617420A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1E0726B"/>
    <w:multiLevelType w:val="hybridMultilevel"/>
    <w:tmpl w:val="643A8A08"/>
    <w:lvl w:ilvl="0" w:tplc="B7C6AC5A">
      <w:start w:val="1"/>
      <w:numFmt w:val="decimal"/>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720A3D01"/>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2D074AA"/>
    <w:multiLevelType w:val="hybridMultilevel"/>
    <w:tmpl w:val="2A0208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2F15BEB"/>
    <w:multiLevelType w:val="hybridMultilevel"/>
    <w:tmpl w:val="1D34A118"/>
    <w:lvl w:ilvl="0" w:tplc="97181EEA">
      <w:start w:val="1"/>
      <w:numFmt w:val="bullet"/>
      <w:lvlText w:val=""/>
      <w:lvlJc w:val="left"/>
      <w:pPr>
        <w:ind w:left="1440" w:hanging="360"/>
      </w:pPr>
      <w:rPr>
        <w:rFonts w:ascii="Symbol" w:hAnsi="Symbol"/>
      </w:rPr>
    </w:lvl>
    <w:lvl w:ilvl="1" w:tplc="54884C16">
      <w:start w:val="1"/>
      <w:numFmt w:val="bullet"/>
      <w:lvlText w:val=""/>
      <w:lvlJc w:val="left"/>
      <w:pPr>
        <w:ind w:left="1440" w:hanging="360"/>
      </w:pPr>
      <w:rPr>
        <w:rFonts w:ascii="Symbol" w:hAnsi="Symbol"/>
      </w:rPr>
    </w:lvl>
    <w:lvl w:ilvl="2" w:tplc="3C9A4136">
      <w:start w:val="1"/>
      <w:numFmt w:val="bullet"/>
      <w:lvlText w:val=""/>
      <w:lvlJc w:val="left"/>
      <w:pPr>
        <w:ind w:left="1440" w:hanging="360"/>
      </w:pPr>
      <w:rPr>
        <w:rFonts w:ascii="Symbol" w:hAnsi="Symbol"/>
      </w:rPr>
    </w:lvl>
    <w:lvl w:ilvl="3" w:tplc="1B0E6CEC">
      <w:start w:val="1"/>
      <w:numFmt w:val="bullet"/>
      <w:lvlText w:val=""/>
      <w:lvlJc w:val="left"/>
      <w:pPr>
        <w:ind w:left="1440" w:hanging="360"/>
      </w:pPr>
      <w:rPr>
        <w:rFonts w:ascii="Symbol" w:hAnsi="Symbol"/>
      </w:rPr>
    </w:lvl>
    <w:lvl w:ilvl="4" w:tplc="11B4A37A">
      <w:start w:val="1"/>
      <w:numFmt w:val="bullet"/>
      <w:lvlText w:val=""/>
      <w:lvlJc w:val="left"/>
      <w:pPr>
        <w:ind w:left="1440" w:hanging="360"/>
      </w:pPr>
      <w:rPr>
        <w:rFonts w:ascii="Symbol" w:hAnsi="Symbol"/>
      </w:rPr>
    </w:lvl>
    <w:lvl w:ilvl="5" w:tplc="E73EC97E">
      <w:start w:val="1"/>
      <w:numFmt w:val="bullet"/>
      <w:lvlText w:val=""/>
      <w:lvlJc w:val="left"/>
      <w:pPr>
        <w:ind w:left="1440" w:hanging="360"/>
      </w:pPr>
      <w:rPr>
        <w:rFonts w:ascii="Symbol" w:hAnsi="Symbol"/>
      </w:rPr>
    </w:lvl>
    <w:lvl w:ilvl="6" w:tplc="6FA8F2E0">
      <w:start w:val="1"/>
      <w:numFmt w:val="bullet"/>
      <w:lvlText w:val=""/>
      <w:lvlJc w:val="left"/>
      <w:pPr>
        <w:ind w:left="1440" w:hanging="360"/>
      </w:pPr>
      <w:rPr>
        <w:rFonts w:ascii="Symbol" w:hAnsi="Symbol"/>
      </w:rPr>
    </w:lvl>
    <w:lvl w:ilvl="7" w:tplc="2C38D8A6">
      <w:start w:val="1"/>
      <w:numFmt w:val="bullet"/>
      <w:lvlText w:val=""/>
      <w:lvlJc w:val="left"/>
      <w:pPr>
        <w:ind w:left="1440" w:hanging="360"/>
      </w:pPr>
      <w:rPr>
        <w:rFonts w:ascii="Symbol" w:hAnsi="Symbol"/>
      </w:rPr>
    </w:lvl>
    <w:lvl w:ilvl="8" w:tplc="1588712E">
      <w:start w:val="1"/>
      <w:numFmt w:val="bullet"/>
      <w:lvlText w:val=""/>
      <w:lvlJc w:val="left"/>
      <w:pPr>
        <w:ind w:left="1440" w:hanging="360"/>
      </w:pPr>
      <w:rPr>
        <w:rFonts w:ascii="Symbol" w:hAnsi="Symbol"/>
      </w:rPr>
    </w:lvl>
  </w:abstractNum>
  <w:abstractNum w:abstractNumId="57" w15:restartNumberingAfterBreak="0">
    <w:nsid w:val="73234DD2"/>
    <w:multiLevelType w:val="hybridMultilevel"/>
    <w:tmpl w:val="9402B6BC"/>
    <w:lvl w:ilvl="0" w:tplc="E2D82A90">
      <w:start w:val="1"/>
      <w:numFmt w:val="bullet"/>
      <w:lvlText w:val=""/>
      <w:lvlJc w:val="left"/>
      <w:pPr>
        <w:ind w:left="720" w:hanging="360"/>
      </w:pPr>
      <w:rPr>
        <w:rFonts w:ascii="Symbol" w:hAnsi="Symbol"/>
      </w:rPr>
    </w:lvl>
    <w:lvl w:ilvl="1" w:tplc="5D782C0E">
      <w:start w:val="1"/>
      <w:numFmt w:val="bullet"/>
      <w:lvlText w:val=""/>
      <w:lvlJc w:val="left"/>
      <w:pPr>
        <w:ind w:left="720" w:hanging="360"/>
      </w:pPr>
      <w:rPr>
        <w:rFonts w:ascii="Symbol" w:hAnsi="Symbol"/>
      </w:rPr>
    </w:lvl>
    <w:lvl w:ilvl="2" w:tplc="6248DDC0">
      <w:start w:val="1"/>
      <w:numFmt w:val="bullet"/>
      <w:lvlText w:val=""/>
      <w:lvlJc w:val="left"/>
      <w:pPr>
        <w:ind w:left="720" w:hanging="360"/>
      </w:pPr>
      <w:rPr>
        <w:rFonts w:ascii="Symbol" w:hAnsi="Symbol"/>
      </w:rPr>
    </w:lvl>
    <w:lvl w:ilvl="3" w:tplc="CF1E3504">
      <w:start w:val="1"/>
      <w:numFmt w:val="bullet"/>
      <w:lvlText w:val=""/>
      <w:lvlJc w:val="left"/>
      <w:pPr>
        <w:ind w:left="720" w:hanging="360"/>
      </w:pPr>
      <w:rPr>
        <w:rFonts w:ascii="Symbol" w:hAnsi="Symbol"/>
      </w:rPr>
    </w:lvl>
    <w:lvl w:ilvl="4" w:tplc="47723E1E">
      <w:start w:val="1"/>
      <w:numFmt w:val="bullet"/>
      <w:lvlText w:val=""/>
      <w:lvlJc w:val="left"/>
      <w:pPr>
        <w:ind w:left="720" w:hanging="360"/>
      </w:pPr>
      <w:rPr>
        <w:rFonts w:ascii="Symbol" w:hAnsi="Symbol"/>
      </w:rPr>
    </w:lvl>
    <w:lvl w:ilvl="5" w:tplc="61A8C094">
      <w:start w:val="1"/>
      <w:numFmt w:val="bullet"/>
      <w:lvlText w:val=""/>
      <w:lvlJc w:val="left"/>
      <w:pPr>
        <w:ind w:left="720" w:hanging="360"/>
      </w:pPr>
      <w:rPr>
        <w:rFonts w:ascii="Symbol" w:hAnsi="Symbol"/>
      </w:rPr>
    </w:lvl>
    <w:lvl w:ilvl="6" w:tplc="731EDD8A">
      <w:start w:val="1"/>
      <w:numFmt w:val="bullet"/>
      <w:lvlText w:val=""/>
      <w:lvlJc w:val="left"/>
      <w:pPr>
        <w:ind w:left="720" w:hanging="360"/>
      </w:pPr>
      <w:rPr>
        <w:rFonts w:ascii="Symbol" w:hAnsi="Symbol"/>
      </w:rPr>
    </w:lvl>
    <w:lvl w:ilvl="7" w:tplc="7D908074">
      <w:start w:val="1"/>
      <w:numFmt w:val="bullet"/>
      <w:lvlText w:val=""/>
      <w:lvlJc w:val="left"/>
      <w:pPr>
        <w:ind w:left="720" w:hanging="360"/>
      </w:pPr>
      <w:rPr>
        <w:rFonts w:ascii="Symbol" w:hAnsi="Symbol"/>
      </w:rPr>
    </w:lvl>
    <w:lvl w:ilvl="8" w:tplc="6A6638C4">
      <w:start w:val="1"/>
      <w:numFmt w:val="bullet"/>
      <w:lvlText w:val=""/>
      <w:lvlJc w:val="left"/>
      <w:pPr>
        <w:ind w:left="720" w:hanging="360"/>
      </w:pPr>
      <w:rPr>
        <w:rFonts w:ascii="Symbol" w:hAnsi="Symbol"/>
      </w:rPr>
    </w:lvl>
  </w:abstractNum>
  <w:abstractNum w:abstractNumId="58" w15:restartNumberingAfterBreak="0">
    <w:nsid w:val="7390380D"/>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449763E"/>
    <w:multiLevelType w:val="hybridMultilevel"/>
    <w:tmpl w:val="880491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74F9586D"/>
    <w:multiLevelType w:val="hybridMultilevel"/>
    <w:tmpl w:val="142C2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5087ED8"/>
    <w:multiLevelType w:val="hybridMultilevel"/>
    <w:tmpl w:val="D3FE6A9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62" w15:restartNumberingAfterBreak="0">
    <w:nsid w:val="784D033C"/>
    <w:multiLevelType w:val="multilevel"/>
    <w:tmpl w:val="CC92A716"/>
    <w:lvl w:ilvl="0">
      <w:start w:val="1"/>
      <w:numFmt w:val="decimal"/>
      <w:pStyle w:val="2-SectionHeading"/>
      <w:lvlText w:val="%1"/>
      <w:lvlJc w:val="left"/>
      <w:pPr>
        <w:ind w:left="720" w:hanging="720"/>
      </w:pPr>
      <w:rPr>
        <w:b/>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webHidden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3" w15:restartNumberingAfterBreak="0">
    <w:nsid w:val="78AE75E8"/>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A6B2804"/>
    <w:multiLevelType w:val="hybridMultilevel"/>
    <w:tmpl w:val="9D60F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C021DBB"/>
    <w:multiLevelType w:val="hybridMultilevel"/>
    <w:tmpl w:val="7E5CF7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FF8135C"/>
    <w:multiLevelType w:val="hybridMultilevel"/>
    <w:tmpl w:val="2A0208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1843868">
    <w:abstractNumId w:val="4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8950695">
    <w:abstractNumId w:val="4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6997367">
    <w:abstractNumId w:val="52"/>
  </w:num>
  <w:num w:numId="4" w16cid:durableId="1955818708">
    <w:abstractNumId w:val="14"/>
  </w:num>
  <w:num w:numId="5" w16cid:durableId="1762793081">
    <w:abstractNumId w:val="19"/>
  </w:num>
  <w:num w:numId="6" w16cid:durableId="1063870176">
    <w:abstractNumId w:val="8"/>
  </w:num>
  <w:num w:numId="7" w16cid:durableId="17202420">
    <w:abstractNumId w:val="22"/>
  </w:num>
  <w:num w:numId="8" w16cid:durableId="1042025453">
    <w:abstractNumId w:val="45"/>
  </w:num>
  <w:num w:numId="9" w16cid:durableId="65380400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3588150">
    <w:abstractNumId w:val="31"/>
  </w:num>
  <w:num w:numId="11" w16cid:durableId="1146433718">
    <w:abstractNumId w:val="16"/>
  </w:num>
  <w:num w:numId="12" w16cid:durableId="403258695">
    <w:abstractNumId w:val="59"/>
  </w:num>
  <w:num w:numId="13" w16cid:durableId="1862627038">
    <w:abstractNumId w:val="64"/>
  </w:num>
  <w:num w:numId="14" w16cid:durableId="1933540907">
    <w:abstractNumId w:val="20"/>
  </w:num>
  <w:num w:numId="15" w16cid:durableId="410933758">
    <w:abstractNumId w:val="28"/>
  </w:num>
  <w:num w:numId="16" w16cid:durableId="1277060000">
    <w:abstractNumId w:val="36"/>
  </w:num>
  <w:num w:numId="17" w16cid:durableId="932201648">
    <w:abstractNumId w:val="62"/>
  </w:num>
  <w:num w:numId="18" w16cid:durableId="871497882">
    <w:abstractNumId w:val="12"/>
  </w:num>
  <w:num w:numId="19" w16cid:durableId="2057124610">
    <w:abstractNumId w:val="51"/>
  </w:num>
  <w:num w:numId="20" w16cid:durableId="174879048">
    <w:abstractNumId w:val="27"/>
  </w:num>
  <w:num w:numId="21" w16cid:durableId="258415052">
    <w:abstractNumId w:val="50"/>
  </w:num>
  <w:num w:numId="22" w16cid:durableId="1753772491">
    <w:abstractNumId w:val="53"/>
  </w:num>
  <w:num w:numId="23" w16cid:durableId="701518877">
    <w:abstractNumId w:val="48"/>
  </w:num>
  <w:num w:numId="24" w16cid:durableId="1493136778">
    <w:abstractNumId w:val="34"/>
  </w:num>
  <w:num w:numId="25" w16cid:durableId="527648721">
    <w:abstractNumId w:val="10"/>
  </w:num>
  <w:num w:numId="26" w16cid:durableId="753933244">
    <w:abstractNumId w:val="43"/>
  </w:num>
  <w:num w:numId="27" w16cid:durableId="1139153049">
    <w:abstractNumId w:val="37"/>
  </w:num>
  <w:num w:numId="28" w16cid:durableId="699205066">
    <w:abstractNumId w:val="23"/>
  </w:num>
  <w:num w:numId="29" w16cid:durableId="1951667345">
    <w:abstractNumId w:val="9"/>
  </w:num>
  <w:num w:numId="30" w16cid:durableId="860750086">
    <w:abstractNumId w:val="47"/>
  </w:num>
  <w:num w:numId="31" w16cid:durableId="2092240650">
    <w:abstractNumId w:val="1"/>
  </w:num>
  <w:num w:numId="32" w16cid:durableId="20669193">
    <w:abstractNumId w:val="7"/>
  </w:num>
  <w:num w:numId="33" w16cid:durableId="602032988">
    <w:abstractNumId w:val="35"/>
  </w:num>
  <w:num w:numId="34" w16cid:durableId="795491393">
    <w:abstractNumId w:val="21"/>
  </w:num>
  <w:num w:numId="35" w16cid:durableId="1371421239">
    <w:abstractNumId w:val="58"/>
  </w:num>
  <w:num w:numId="36" w16cid:durableId="495536337">
    <w:abstractNumId w:val="63"/>
  </w:num>
  <w:num w:numId="37" w16cid:durableId="508719203">
    <w:abstractNumId w:val="17"/>
  </w:num>
  <w:num w:numId="38" w16cid:durableId="258568966">
    <w:abstractNumId w:val="30"/>
  </w:num>
  <w:num w:numId="39" w16cid:durableId="1399867477">
    <w:abstractNumId w:val="44"/>
  </w:num>
  <w:num w:numId="40" w16cid:durableId="1150096549">
    <w:abstractNumId w:val="54"/>
  </w:num>
  <w:num w:numId="41" w16cid:durableId="1847667302">
    <w:abstractNumId w:val="33"/>
  </w:num>
  <w:num w:numId="42" w16cid:durableId="1178958632">
    <w:abstractNumId w:val="60"/>
  </w:num>
  <w:num w:numId="43" w16cid:durableId="764303977">
    <w:abstractNumId w:val="38"/>
  </w:num>
  <w:num w:numId="44" w16cid:durableId="645934640">
    <w:abstractNumId w:val="6"/>
  </w:num>
  <w:num w:numId="45" w16cid:durableId="1871991393">
    <w:abstractNumId w:val="5"/>
  </w:num>
  <w:num w:numId="46" w16cid:durableId="1059479469">
    <w:abstractNumId w:val="26"/>
  </w:num>
  <w:num w:numId="47" w16cid:durableId="2069498770">
    <w:abstractNumId w:val="15"/>
  </w:num>
  <w:num w:numId="48" w16cid:durableId="722487997">
    <w:abstractNumId w:val="3"/>
  </w:num>
  <w:num w:numId="49" w16cid:durableId="1622765155">
    <w:abstractNumId w:val="49"/>
  </w:num>
  <w:num w:numId="50" w16cid:durableId="1981885625">
    <w:abstractNumId w:val="65"/>
  </w:num>
  <w:num w:numId="51" w16cid:durableId="1588225749">
    <w:abstractNumId w:val="40"/>
  </w:num>
  <w:num w:numId="52" w16cid:durableId="1233615601">
    <w:abstractNumId w:val="56"/>
  </w:num>
  <w:num w:numId="53" w16cid:durableId="1957903164">
    <w:abstractNumId w:val="18"/>
  </w:num>
  <w:num w:numId="54" w16cid:durableId="113528507">
    <w:abstractNumId w:val="57"/>
  </w:num>
  <w:num w:numId="55" w16cid:durableId="609044352">
    <w:abstractNumId w:val="46"/>
  </w:num>
  <w:num w:numId="56" w16cid:durableId="1704600303">
    <w:abstractNumId w:val="25"/>
  </w:num>
  <w:num w:numId="57" w16cid:durableId="1602568203">
    <w:abstractNumId w:val="39"/>
  </w:num>
  <w:num w:numId="58" w16cid:durableId="1486430306">
    <w:abstractNumId w:val="0"/>
  </w:num>
  <w:num w:numId="59" w16cid:durableId="234127176">
    <w:abstractNumId w:val="32"/>
  </w:num>
  <w:num w:numId="60" w16cid:durableId="2103794336">
    <w:abstractNumId w:val="61"/>
  </w:num>
  <w:num w:numId="61" w16cid:durableId="1903590950">
    <w:abstractNumId w:val="29"/>
  </w:num>
  <w:num w:numId="62" w16cid:durableId="1809662724">
    <w:abstractNumId w:val="4"/>
  </w:num>
  <w:num w:numId="63" w16cid:durableId="1377510151">
    <w:abstractNumId w:val="24"/>
  </w:num>
  <w:num w:numId="64" w16cid:durableId="1164317413">
    <w:abstractNumId w:val="11"/>
  </w:num>
  <w:num w:numId="65" w16cid:durableId="21130120">
    <w:abstractNumId w:val="13"/>
  </w:num>
  <w:num w:numId="66" w16cid:durableId="1670324896">
    <w:abstractNumId w:val="2"/>
  </w:num>
  <w:num w:numId="67" w16cid:durableId="515734403">
    <w:abstractNumId w:val="66"/>
  </w:num>
  <w:num w:numId="68" w16cid:durableId="2077438438">
    <w:abstractNumId w:val="5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7DF"/>
    <w:rsid w:val="0000091B"/>
    <w:rsid w:val="0000099E"/>
    <w:rsid w:val="00000B27"/>
    <w:rsid w:val="00000C2B"/>
    <w:rsid w:val="00001364"/>
    <w:rsid w:val="0000162D"/>
    <w:rsid w:val="000017CE"/>
    <w:rsid w:val="000017FE"/>
    <w:rsid w:val="00001D91"/>
    <w:rsid w:val="0000217D"/>
    <w:rsid w:val="000021A6"/>
    <w:rsid w:val="00002288"/>
    <w:rsid w:val="00002868"/>
    <w:rsid w:val="00002E16"/>
    <w:rsid w:val="00002E7D"/>
    <w:rsid w:val="0000304C"/>
    <w:rsid w:val="000034C3"/>
    <w:rsid w:val="00003584"/>
    <w:rsid w:val="00003926"/>
    <w:rsid w:val="00004628"/>
    <w:rsid w:val="0000462B"/>
    <w:rsid w:val="00004D33"/>
    <w:rsid w:val="00004D75"/>
    <w:rsid w:val="00004F9D"/>
    <w:rsid w:val="000053F8"/>
    <w:rsid w:val="0000554D"/>
    <w:rsid w:val="00005AC8"/>
    <w:rsid w:val="00005B5B"/>
    <w:rsid w:val="00005DD2"/>
    <w:rsid w:val="00005EC6"/>
    <w:rsid w:val="00005F17"/>
    <w:rsid w:val="00005FA7"/>
    <w:rsid w:val="000063DB"/>
    <w:rsid w:val="0000656F"/>
    <w:rsid w:val="000065C9"/>
    <w:rsid w:val="000068DD"/>
    <w:rsid w:val="00006BB1"/>
    <w:rsid w:val="00006E1B"/>
    <w:rsid w:val="0000733C"/>
    <w:rsid w:val="000074BD"/>
    <w:rsid w:val="00007932"/>
    <w:rsid w:val="00007D69"/>
    <w:rsid w:val="00010012"/>
    <w:rsid w:val="000102AF"/>
    <w:rsid w:val="000102C6"/>
    <w:rsid w:val="00010379"/>
    <w:rsid w:val="000104B9"/>
    <w:rsid w:val="00010886"/>
    <w:rsid w:val="00010920"/>
    <w:rsid w:val="00010B32"/>
    <w:rsid w:val="00010EF9"/>
    <w:rsid w:val="00011394"/>
    <w:rsid w:val="00011420"/>
    <w:rsid w:val="0001152D"/>
    <w:rsid w:val="000118E3"/>
    <w:rsid w:val="00011DBF"/>
    <w:rsid w:val="00011EA7"/>
    <w:rsid w:val="000120D3"/>
    <w:rsid w:val="0001216B"/>
    <w:rsid w:val="000128E9"/>
    <w:rsid w:val="000129ED"/>
    <w:rsid w:val="00012DEC"/>
    <w:rsid w:val="00013238"/>
    <w:rsid w:val="00013284"/>
    <w:rsid w:val="0001362E"/>
    <w:rsid w:val="000136A0"/>
    <w:rsid w:val="0001374F"/>
    <w:rsid w:val="00013785"/>
    <w:rsid w:val="00013A82"/>
    <w:rsid w:val="00013F34"/>
    <w:rsid w:val="0001400E"/>
    <w:rsid w:val="00014746"/>
    <w:rsid w:val="000147E4"/>
    <w:rsid w:val="00014B96"/>
    <w:rsid w:val="00014DC1"/>
    <w:rsid w:val="00014FF8"/>
    <w:rsid w:val="00015091"/>
    <w:rsid w:val="00015520"/>
    <w:rsid w:val="000155A7"/>
    <w:rsid w:val="00015748"/>
    <w:rsid w:val="00015DFE"/>
    <w:rsid w:val="00016092"/>
    <w:rsid w:val="0001617C"/>
    <w:rsid w:val="00016211"/>
    <w:rsid w:val="0001634D"/>
    <w:rsid w:val="00016386"/>
    <w:rsid w:val="00016707"/>
    <w:rsid w:val="00016960"/>
    <w:rsid w:val="00016F44"/>
    <w:rsid w:val="00017050"/>
    <w:rsid w:val="000171D6"/>
    <w:rsid w:val="00017870"/>
    <w:rsid w:val="000179CE"/>
    <w:rsid w:val="00017CDE"/>
    <w:rsid w:val="00020127"/>
    <w:rsid w:val="00020827"/>
    <w:rsid w:val="000209C6"/>
    <w:rsid w:val="00020D50"/>
    <w:rsid w:val="00020EB1"/>
    <w:rsid w:val="000210EB"/>
    <w:rsid w:val="0002174C"/>
    <w:rsid w:val="00021B23"/>
    <w:rsid w:val="000220E8"/>
    <w:rsid w:val="00022361"/>
    <w:rsid w:val="000223D3"/>
    <w:rsid w:val="00022435"/>
    <w:rsid w:val="00022686"/>
    <w:rsid w:val="000228B1"/>
    <w:rsid w:val="00022BDB"/>
    <w:rsid w:val="00022BF5"/>
    <w:rsid w:val="0002300F"/>
    <w:rsid w:val="0002305C"/>
    <w:rsid w:val="000231EA"/>
    <w:rsid w:val="00023228"/>
    <w:rsid w:val="000233B7"/>
    <w:rsid w:val="000235A6"/>
    <w:rsid w:val="00023817"/>
    <w:rsid w:val="0002401C"/>
    <w:rsid w:val="00024248"/>
    <w:rsid w:val="000245BC"/>
    <w:rsid w:val="0002470A"/>
    <w:rsid w:val="00024CE2"/>
    <w:rsid w:val="0002564D"/>
    <w:rsid w:val="00025967"/>
    <w:rsid w:val="00025F56"/>
    <w:rsid w:val="00026187"/>
    <w:rsid w:val="0002655C"/>
    <w:rsid w:val="00026954"/>
    <w:rsid w:val="0002716D"/>
    <w:rsid w:val="00027346"/>
    <w:rsid w:val="00027672"/>
    <w:rsid w:val="00027773"/>
    <w:rsid w:val="00027845"/>
    <w:rsid w:val="00027AB0"/>
    <w:rsid w:val="0002DC56"/>
    <w:rsid w:val="0003017D"/>
    <w:rsid w:val="00030320"/>
    <w:rsid w:val="0003050A"/>
    <w:rsid w:val="00030887"/>
    <w:rsid w:val="00030A03"/>
    <w:rsid w:val="00030A49"/>
    <w:rsid w:val="00030C95"/>
    <w:rsid w:val="000311AC"/>
    <w:rsid w:val="00031946"/>
    <w:rsid w:val="00031C31"/>
    <w:rsid w:val="00031D9F"/>
    <w:rsid w:val="00032078"/>
    <w:rsid w:val="00032180"/>
    <w:rsid w:val="00032226"/>
    <w:rsid w:val="0003225B"/>
    <w:rsid w:val="000322EC"/>
    <w:rsid w:val="0003235E"/>
    <w:rsid w:val="000324DA"/>
    <w:rsid w:val="00032AB9"/>
    <w:rsid w:val="00032CE5"/>
    <w:rsid w:val="00032FC9"/>
    <w:rsid w:val="00033376"/>
    <w:rsid w:val="00033A72"/>
    <w:rsid w:val="00033AE2"/>
    <w:rsid w:val="00033C79"/>
    <w:rsid w:val="00033D0B"/>
    <w:rsid w:val="00034086"/>
    <w:rsid w:val="00034121"/>
    <w:rsid w:val="00034321"/>
    <w:rsid w:val="0003439A"/>
    <w:rsid w:val="00034AE8"/>
    <w:rsid w:val="000350A9"/>
    <w:rsid w:val="00035472"/>
    <w:rsid w:val="0003551E"/>
    <w:rsid w:val="00035622"/>
    <w:rsid w:val="00035C4A"/>
    <w:rsid w:val="00035CFA"/>
    <w:rsid w:val="00035E8D"/>
    <w:rsid w:val="00036501"/>
    <w:rsid w:val="00036531"/>
    <w:rsid w:val="000365B0"/>
    <w:rsid w:val="000367F9"/>
    <w:rsid w:val="00036CF7"/>
    <w:rsid w:val="00037175"/>
    <w:rsid w:val="000371D5"/>
    <w:rsid w:val="000378E8"/>
    <w:rsid w:val="00037F52"/>
    <w:rsid w:val="0004015A"/>
    <w:rsid w:val="0004019D"/>
    <w:rsid w:val="0004054A"/>
    <w:rsid w:val="000407E0"/>
    <w:rsid w:val="00040C0F"/>
    <w:rsid w:val="00040EC8"/>
    <w:rsid w:val="000410AA"/>
    <w:rsid w:val="0004126F"/>
    <w:rsid w:val="000412FE"/>
    <w:rsid w:val="00041467"/>
    <w:rsid w:val="0004160D"/>
    <w:rsid w:val="00041F3D"/>
    <w:rsid w:val="0004257E"/>
    <w:rsid w:val="00042593"/>
    <w:rsid w:val="00042704"/>
    <w:rsid w:val="0004283E"/>
    <w:rsid w:val="000428E8"/>
    <w:rsid w:val="00042970"/>
    <w:rsid w:val="00042FDF"/>
    <w:rsid w:val="000433CA"/>
    <w:rsid w:val="00043755"/>
    <w:rsid w:val="00043B80"/>
    <w:rsid w:val="00043C1D"/>
    <w:rsid w:val="00044146"/>
    <w:rsid w:val="0004459D"/>
    <w:rsid w:val="0004479C"/>
    <w:rsid w:val="00044BB4"/>
    <w:rsid w:val="00045450"/>
    <w:rsid w:val="00045BFA"/>
    <w:rsid w:val="00046725"/>
    <w:rsid w:val="000468C0"/>
    <w:rsid w:val="00046DA2"/>
    <w:rsid w:val="000470CA"/>
    <w:rsid w:val="000471FD"/>
    <w:rsid w:val="000478B3"/>
    <w:rsid w:val="00047C23"/>
    <w:rsid w:val="0005008F"/>
    <w:rsid w:val="00050762"/>
    <w:rsid w:val="000507B9"/>
    <w:rsid w:val="00050DA9"/>
    <w:rsid w:val="000510F0"/>
    <w:rsid w:val="0005132F"/>
    <w:rsid w:val="000514D7"/>
    <w:rsid w:val="0005150B"/>
    <w:rsid w:val="00051AF5"/>
    <w:rsid w:val="00051F8F"/>
    <w:rsid w:val="000527A8"/>
    <w:rsid w:val="00052E3F"/>
    <w:rsid w:val="00053AB1"/>
    <w:rsid w:val="000548C7"/>
    <w:rsid w:val="00054B8B"/>
    <w:rsid w:val="00054EA7"/>
    <w:rsid w:val="00055866"/>
    <w:rsid w:val="00055A01"/>
    <w:rsid w:val="000563D8"/>
    <w:rsid w:val="0005661F"/>
    <w:rsid w:val="00057006"/>
    <w:rsid w:val="000575B4"/>
    <w:rsid w:val="000601EA"/>
    <w:rsid w:val="000603A0"/>
    <w:rsid w:val="000603CB"/>
    <w:rsid w:val="000605F9"/>
    <w:rsid w:val="0006084C"/>
    <w:rsid w:val="000608FE"/>
    <w:rsid w:val="00060E7B"/>
    <w:rsid w:val="000615B0"/>
    <w:rsid w:val="000617D0"/>
    <w:rsid w:val="00061C73"/>
    <w:rsid w:val="00061E01"/>
    <w:rsid w:val="00062143"/>
    <w:rsid w:val="0006239E"/>
    <w:rsid w:val="0006295A"/>
    <w:rsid w:val="00062ABF"/>
    <w:rsid w:val="00062AF3"/>
    <w:rsid w:val="00062C54"/>
    <w:rsid w:val="00062DBE"/>
    <w:rsid w:val="00062EE7"/>
    <w:rsid w:val="00062F87"/>
    <w:rsid w:val="00062FEE"/>
    <w:rsid w:val="0006305A"/>
    <w:rsid w:val="00063210"/>
    <w:rsid w:val="0006339E"/>
    <w:rsid w:val="000634F5"/>
    <w:rsid w:val="0006357B"/>
    <w:rsid w:val="00063B11"/>
    <w:rsid w:val="00063D17"/>
    <w:rsid w:val="000643D0"/>
    <w:rsid w:val="000648E2"/>
    <w:rsid w:val="00064EDD"/>
    <w:rsid w:val="000650C3"/>
    <w:rsid w:val="00065195"/>
    <w:rsid w:val="00065584"/>
    <w:rsid w:val="00065C22"/>
    <w:rsid w:val="00065DA1"/>
    <w:rsid w:val="000662E0"/>
    <w:rsid w:val="000666A9"/>
    <w:rsid w:val="00066CF6"/>
    <w:rsid w:val="0006717D"/>
    <w:rsid w:val="000672D3"/>
    <w:rsid w:val="0006744F"/>
    <w:rsid w:val="000676EE"/>
    <w:rsid w:val="00067938"/>
    <w:rsid w:val="00067A06"/>
    <w:rsid w:val="00067E91"/>
    <w:rsid w:val="00070204"/>
    <w:rsid w:val="00070550"/>
    <w:rsid w:val="00070612"/>
    <w:rsid w:val="0007061C"/>
    <w:rsid w:val="00070B41"/>
    <w:rsid w:val="00070D59"/>
    <w:rsid w:val="00071230"/>
    <w:rsid w:val="000714CE"/>
    <w:rsid w:val="00071D67"/>
    <w:rsid w:val="0007221C"/>
    <w:rsid w:val="00072547"/>
    <w:rsid w:val="0007257C"/>
    <w:rsid w:val="00072584"/>
    <w:rsid w:val="000726C3"/>
    <w:rsid w:val="000728AC"/>
    <w:rsid w:val="00072E3B"/>
    <w:rsid w:val="00072F02"/>
    <w:rsid w:val="00072F85"/>
    <w:rsid w:val="0007309C"/>
    <w:rsid w:val="00073432"/>
    <w:rsid w:val="00073C8E"/>
    <w:rsid w:val="00074126"/>
    <w:rsid w:val="00074D5B"/>
    <w:rsid w:val="00074E67"/>
    <w:rsid w:val="0007567B"/>
    <w:rsid w:val="00075B7E"/>
    <w:rsid w:val="00076287"/>
    <w:rsid w:val="00076297"/>
    <w:rsid w:val="00076AED"/>
    <w:rsid w:val="00076BC0"/>
    <w:rsid w:val="00077533"/>
    <w:rsid w:val="00077555"/>
    <w:rsid w:val="00077A40"/>
    <w:rsid w:val="00077F45"/>
    <w:rsid w:val="00080510"/>
    <w:rsid w:val="000809F7"/>
    <w:rsid w:val="00081153"/>
    <w:rsid w:val="000816A0"/>
    <w:rsid w:val="00081DCD"/>
    <w:rsid w:val="00081E79"/>
    <w:rsid w:val="00082053"/>
    <w:rsid w:val="00082507"/>
    <w:rsid w:val="000827F9"/>
    <w:rsid w:val="00082A9D"/>
    <w:rsid w:val="00082ED9"/>
    <w:rsid w:val="000834C8"/>
    <w:rsid w:val="00083756"/>
    <w:rsid w:val="00083789"/>
    <w:rsid w:val="00083792"/>
    <w:rsid w:val="000839D5"/>
    <w:rsid w:val="00083A63"/>
    <w:rsid w:val="00083BE8"/>
    <w:rsid w:val="00083E6A"/>
    <w:rsid w:val="00084012"/>
    <w:rsid w:val="00084017"/>
    <w:rsid w:val="0008415A"/>
    <w:rsid w:val="00084264"/>
    <w:rsid w:val="000842BB"/>
    <w:rsid w:val="00084A03"/>
    <w:rsid w:val="00084B20"/>
    <w:rsid w:val="00084CED"/>
    <w:rsid w:val="00084D37"/>
    <w:rsid w:val="00084E9F"/>
    <w:rsid w:val="000855C9"/>
    <w:rsid w:val="0008574F"/>
    <w:rsid w:val="00085A38"/>
    <w:rsid w:val="00085F9C"/>
    <w:rsid w:val="00086013"/>
    <w:rsid w:val="0008619D"/>
    <w:rsid w:val="0008687E"/>
    <w:rsid w:val="000868A3"/>
    <w:rsid w:val="00086D66"/>
    <w:rsid w:val="000870D5"/>
    <w:rsid w:val="000872FA"/>
    <w:rsid w:val="0008737D"/>
    <w:rsid w:val="000879A5"/>
    <w:rsid w:val="00087B99"/>
    <w:rsid w:val="00090326"/>
    <w:rsid w:val="00090385"/>
    <w:rsid w:val="000908F9"/>
    <w:rsid w:val="00090D21"/>
    <w:rsid w:val="00090E77"/>
    <w:rsid w:val="00090F42"/>
    <w:rsid w:val="00091262"/>
    <w:rsid w:val="00091269"/>
    <w:rsid w:val="00091A13"/>
    <w:rsid w:val="00091CA9"/>
    <w:rsid w:val="000921BC"/>
    <w:rsid w:val="0009243B"/>
    <w:rsid w:val="00092523"/>
    <w:rsid w:val="0009260A"/>
    <w:rsid w:val="000927AD"/>
    <w:rsid w:val="00093960"/>
    <w:rsid w:val="00093FE9"/>
    <w:rsid w:val="0009470A"/>
    <w:rsid w:val="00094D14"/>
    <w:rsid w:val="00095C30"/>
    <w:rsid w:val="00095D43"/>
    <w:rsid w:val="0009607F"/>
    <w:rsid w:val="00096263"/>
    <w:rsid w:val="000968AD"/>
    <w:rsid w:val="00096AAC"/>
    <w:rsid w:val="00096B9F"/>
    <w:rsid w:val="00096E39"/>
    <w:rsid w:val="0009704F"/>
    <w:rsid w:val="000972AC"/>
    <w:rsid w:val="00097C0E"/>
    <w:rsid w:val="00097D99"/>
    <w:rsid w:val="00097ED4"/>
    <w:rsid w:val="000A0004"/>
    <w:rsid w:val="000A0466"/>
    <w:rsid w:val="000A06D9"/>
    <w:rsid w:val="000A084E"/>
    <w:rsid w:val="000A09E6"/>
    <w:rsid w:val="000A1188"/>
    <w:rsid w:val="000A1856"/>
    <w:rsid w:val="000A1D9B"/>
    <w:rsid w:val="000A1E1C"/>
    <w:rsid w:val="000A1F85"/>
    <w:rsid w:val="000A2118"/>
    <w:rsid w:val="000A2697"/>
    <w:rsid w:val="000A26EE"/>
    <w:rsid w:val="000A29FA"/>
    <w:rsid w:val="000A2A86"/>
    <w:rsid w:val="000A2C2D"/>
    <w:rsid w:val="000A2DE4"/>
    <w:rsid w:val="000A2DFF"/>
    <w:rsid w:val="000A2ED6"/>
    <w:rsid w:val="000A2FEC"/>
    <w:rsid w:val="000A30CC"/>
    <w:rsid w:val="000A3BB7"/>
    <w:rsid w:val="000A418B"/>
    <w:rsid w:val="000A46FC"/>
    <w:rsid w:val="000A4955"/>
    <w:rsid w:val="000A4C9A"/>
    <w:rsid w:val="000A4CDB"/>
    <w:rsid w:val="000A570D"/>
    <w:rsid w:val="000A59CC"/>
    <w:rsid w:val="000A5D40"/>
    <w:rsid w:val="000A6103"/>
    <w:rsid w:val="000A64C7"/>
    <w:rsid w:val="000A6654"/>
    <w:rsid w:val="000A7C8A"/>
    <w:rsid w:val="000A7F23"/>
    <w:rsid w:val="000B060D"/>
    <w:rsid w:val="000B06D8"/>
    <w:rsid w:val="000B0880"/>
    <w:rsid w:val="000B0C47"/>
    <w:rsid w:val="000B1170"/>
    <w:rsid w:val="000B1811"/>
    <w:rsid w:val="000B1A6E"/>
    <w:rsid w:val="000B215E"/>
    <w:rsid w:val="000B21DD"/>
    <w:rsid w:val="000B2F97"/>
    <w:rsid w:val="000B2FF6"/>
    <w:rsid w:val="000B3004"/>
    <w:rsid w:val="000B3043"/>
    <w:rsid w:val="000B3252"/>
    <w:rsid w:val="000B34FA"/>
    <w:rsid w:val="000B3688"/>
    <w:rsid w:val="000B36FE"/>
    <w:rsid w:val="000B372D"/>
    <w:rsid w:val="000B38D3"/>
    <w:rsid w:val="000B46ED"/>
    <w:rsid w:val="000B47CF"/>
    <w:rsid w:val="000B4A8E"/>
    <w:rsid w:val="000B4BEF"/>
    <w:rsid w:val="000B5120"/>
    <w:rsid w:val="000B588A"/>
    <w:rsid w:val="000B5B24"/>
    <w:rsid w:val="000B5D32"/>
    <w:rsid w:val="000B624B"/>
    <w:rsid w:val="000B6487"/>
    <w:rsid w:val="000B6824"/>
    <w:rsid w:val="000B6DBE"/>
    <w:rsid w:val="000B7528"/>
    <w:rsid w:val="000B771A"/>
    <w:rsid w:val="000B7A91"/>
    <w:rsid w:val="000B7BA3"/>
    <w:rsid w:val="000B7F45"/>
    <w:rsid w:val="000C0114"/>
    <w:rsid w:val="000C0211"/>
    <w:rsid w:val="000C040A"/>
    <w:rsid w:val="000C0497"/>
    <w:rsid w:val="000C0C31"/>
    <w:rsid w:val="000C0E21"/>
    <w:rsid w:val="000C11B0"/>
    <w:rsid w:val="000C147A"/>
    <w:rsid w:val="000C158C"/>
    <w:rsid w:val="000C15DB"/>
    <w:rsid w:val="000C1A94"/>
    <w:rsid w:val="000C1BA1"/>
    <w:rsid w:val="000C1D36"/>
    <w:rsid w:val="000C1DF3"/>
    <w:rsid w:val="000C219D"/>
    <w:rsid w:val="000C22B0"/>
    <w:rsid w:val="000C24CA"/>
    <w:rsid w:val="000C2786"/>
    <w:rsid w:val="000C294C"/>
    <w:rsid w:val="000C2E72"/>
    <w:rsid w:val="000C2FFA"/>
    <w:rsid w:val="000C3369"/>
    <w:rsid w:val="000C339F"/>
    <w:rsid w:val="000C3428"/>
    <w:rsid w:val="000C34BA"/>
    <w:rsid w:val="000C3841"/>
    <w:rsid w:val="000C3CAA"/>
    <w:rsid w:val="000C3F2C"/>
    <w:rsid w:val="000C3FC1"/>
    <w:rsid w:val="000C45E3"/>
    <w:rsid w:val="000C474B"/>
    <w:rsid w:val="000C4805"/>
    <w:rsid w:val="000C494F"/>
    <w:rsid w:val="000C4B6C"/>
    <w:rsid w:val="000C5084"/>
    <w:rsid w:val="000C545B"/>
    <w:rsid w:val="000C56B4"/>
    <w:rsid w:val="000C586F"/>
    <w:rsid w:val="000C5A78"/>
    <w:rsid w:val="000C5B48"/>
    <w:rsid w:val="000C661A"/>
    <w:rsid w:val="000C77A9"/>
    <w:rsid w:val="000D00BB"/>
    <w:rsid w:val="000D06E5"/>
    <w:rsid w:val="000D0AF8"/>
    <w:rsid w:val="000D0D8B"/>
    <w:rsid w:val="000D103F"/>
    <w:rsid w:val="000D1292"/>
    <w:rsid w:val="000D14F1"/>
    <w:rsid w:val="000D1785"/>
    <w:rsid w:val="000D17E0"/>
    <w:rsid w:val="000D1BB4"/>
    <w:rsid w:val="000D1C61"/>
    <w:rsid w:val="000D1C99"/>
    <w:rsid w:val="000D20F2"/>
    <w:rsid w:val="000D2AFE"/>
    <w:rsid w:val="000D2BC3"/>
    <w:rsid w:val="000D2D84"/>
    <w:rsid w:val="000D302B"/>
    <w:rsid w:val="000D3190"/>
    <w:rsid w:val="000D31D2"/>
    <w:rsid w:val="000D3239"/>
    <w:rsid w:val="000D3BC0"/>
    <w:rsid w:val="000D3DA7"/>
    <w:rsid w:val="000D3ECA"/>
    <w:rsid w:val="000D418F"/>
    <w:rsid w:val="000D4326"/>
    <w:rsid w:val="000D4551"/>
    <w:rsid w:val="000D53FC"/>
    <w:rsid w:val="000D5763"/>
    <w:rsid w:val="000D5D71"/>
    <w:rsid w:val="000D5EFB"/>
    <w:rsid w:val="000D6416"/>
    <w:rsid w:val="000D66F5"/>
    <w:rsid w:val="000D6756"/>
    <w:rsid w:val="000D7005"/>
    <w:rsid w:val="000D72A7"/>
    <w:rsid w:val="000D7515"/>
    <w:rsid w:val="000D7661"/>
    <w:rsid w:val="000D79EB"/>
    <w:rsid w:val="000D7E0C"/>
    <w:rsid w:val="000D7E79"/>
    <w:rsid w:val="000D7F3B"/>
    <w:rsid w:val="000E055E"/>
    <w:rsid w:val="000E08A5"/>
    <w:rsid w:val="000E0C55"/>
    <w:rsid w:val="000E1259"/>
    <w:rsid w:val="000E12D5"/>
    <w:rsid w:val="000E15F8"/>
    <w:rsid w:val="000E18FB"/>
    <w:rsid w:val="000E1E84"/>
    <w:rsid w:val="000E2097"/>
    <w:rsid w:val="000E21D8"/>
    <w:rsid w:val="000E2360"/>
    <w:rsid w:val="000E2C73"/>
    <w:rsid w:val="000E2C8F"/>
    <w:rsid w:val="000E2CCD"/>
    <w:rsid w:val="000E2CD7"/>
    <w:rsid w:val="000E2EA3"/>
    <w:rsid w:val="000E2EE8"/>
    <w:rsid w:val="000E31F7"/>
    <w:rsid w:val="000E3B38"/>
    <w:rsid w:val="000E3BFC"/>
    <w:rsid w:val="000E4B3E"/>
    <w:rsid w:val="000E4C15"/>
    <w:rsid w:val="000E539F"/>
    <w:rsid w:val="000E5563"/>
    <w:rsid w:val="000E5739"/>
    <w:rsid w:val="000E58C5"/>
    <w:rsid w:val="000E5D90"/>
    <w:rsid w:val="000E6793"/>
    <w:rsid w:val="000E6CF9"/>
    <w:rsid w:val="000E7005"/>
    <w:rsid w:val="000E72B8"/>
    <w:rsid w:val="000E73BD"/>
    <w:rsid w:val="000E7683"/>
    <w:rsid w:val="000E76F0"/>
    <w:rsid w:val="000F006A"/>
    <w:rsid w:val="000F0297"/>
    <w:rsid w:val="000F069C"/>
    <w:rsid w:val="000F0A1A"/>
    <w:rsid w:val="000F0B27"/>
    <w:rsid w:val="000F0D4C"/>
    <w:rsid w:val="000F0D73"/>
    <w:rsid w:val="000F0DFC"/>
    <w:rsid w:val="000F0E95"/>
    <w:rsid w:val="000F14EE"/>
    <w:rsid w:val="000F18F2"/>
    <w:rsid w:val="000F1B97"/>
    <w:rsid w:val="000F1D4F"/>
    <w:rsid w:val="000F26BE"/>
    <w:rsid w:val="000F2E82"/>
    <w:rsid w:val="000F305F"/>
    <w:rsid w:val="000F3A4F"/>
    <w:rsid w:val="000F3C12"/>
    <w:rsid w:val="000F3D50"/>
    <w:rsid w:val="000F428D"/>
    <w:rsid w:val="000F43D7"/>
    <w:rsid w:val="000F4952"/>
    <w:rsid w:val="000F56C3"/>
    <w:rsid w:val="000F59DF"/>
    <w:rsid w:val="000F5D35"/>
    <w:rsid w:val="000F5DDE"/>
    <w:rsid w:val="000F5F40"/>
    <w:rsid w:val="000F5FFA"/>
    <w:rsid w:val="000F6354"/>
    <w:rsid w:val="000F65BA"/>
    <w:rsid w:val="000F67B1"/>
    <w:rsid w:val="000F67F2"/>
    <w:rsid w:val="000F69EF"/>
    <w:rsid w:val="000F6F0D"/>
    <w:rsid w:val="000F71CE"/>
    <w:rsid w:val="000F7390"/>
    <w:rsid w:val="000F73F0"/>
    <w:rsid w:val="000F7992"/>
    <w:rsid w:val="000F7D67"/>
    <w:rsid w:val="001000EA"/>
    <w:rsid w:val="00100391"/>
    <w:rsid w:val="00100A53"/>
    <w:rsid w:val="00100B0B"/>
    <w:rsid w:val="001025E7"/>
    <w:rsid w:val="0010275F"/>
    <w:rsid w:val="001029B4"/>
    <w:rsid w:val="0010316E"/>
    <w:rsid w:val="001033CF"/>
    <w:rsid w:val="001038BB"/>
    <w:rsid w:val="00103D55"/>
    <w:rsid w:val="00103E13"/>
    <w:rsid w:val="00103F76"/>
    <w:rsid w:val="00104326"/>
    <w:rsid w:val="001049E3"/>
    <w:rsid w:val="00104A50"/>
    <w:rsid w:val="00104C50"/>
    <w:rsid w:val="00105880"/>
    <w:rsid w:val="001059F0"/>
    <w:rsid w:val="001060A3"/>
    <w:rsid w:val="0010621A"/>
    <w:rsid w:val="00106615"/>
    <w:rsid w:val="001067CF"/>
    <w:rsid w:val="00107038"/>
    <w:rsid w:val="00107219"/>
    <w:rsid w:val="00107405"/>
    <w:rsid w:val="001074AC"/>
    <w:rsid w:val="00107D47"/>
    <w:rsid w:val="00107F58"/>
    <w:rsid w:val="001101E1"/>
    <w:rsid w:val="00110379"/>
    <w:rsid w:val="001103CF"/>
    <w:rsid w:val="00110471"/>
    <w:rsid w:val="001108E0"/>
    <w:rsid w:val="00111038"/>
    <w:rsid w:val="00111F4C"/>
    <w:rsid w:val="00112358"/>
    <w:rsid w:val="001123B7"/>
    <w:rsid w:val="0011254F"/>
    <w:rsid w:val="00112561"/>
    <w:rsid w:val="001129E8"/>
    <w:rsid w:val="00112BA9"/>
    <w:rsid w:val="0011385A"/>
    <w:rsid w:val="00113C3D"/>
    <w:rsid w:val="00113C76"/>
    <w:rsid w:val="00114588"/>
    <w:rsid w:val="00114830"/>
    <w:rsid w:val="001149B9"/>
    <w:rsid w:val="00114A58"/>
    <w:rsid w:val="00114D12"/>
    <w:rsid w:val="00115257"/>
    <w:rsid w:val="00115629"/>
    <w:rsid w:val="00115899"/>
    <w:rsid w:val="001158B6"/>
    <w:rsid w:val="00115B67"/>
    <w:rsid w:val="00115C32"/>
    <w:rsid w:val="0011605A"/>
    <w:rsid w:val="00116222"/>
    <w:rsid w:val="001165DD"/>
    <w:rsid w:val="001171CB"/>
    <w:rsid w:val="00117210"/>
    <w:rsid w:val="0011744C"/>
    <w:rsid w:val="00117AF4"/>
    <w:rsid w:val="0012004F"/>
    <w:rsid w:val="00120070"/>
    <w:rsid w:val="0012010D"/>
    <w:rsid w:val="00120A89"/>
    <w:rsid w:val="00120F0F"/>
    <w:rsid w:val="00120FAC"/>
    <w:rsid w:val="00121311"/>
    <w:rsid w:val="001219C0"/>
    <w:rsid w:val="00121A8E"/>
    <w:rsid w:val="00121BF6"/>
    <w:rsid w:val="00122108"/>
    <w:rsid w:val="00122A1C"/>
    <w:rsid w:val="00123349"/>
    <w:rsid w:val="00123810"/>
    <w:rsid w:val="00123872"/>
    <w:rsid w:val="00123FD6"/>
    <w:rsid w:val="001242F1"/>
    <w:rsid w:val="00124585"/>
    <w:rsid w:val="00124CFC"/>
    <w:rsid w:val="00124D80"/>
    <w:rsid w:val="00125074"/>
    <w:rsid w:val="001252F8"/>
    <w:rsid w:val="00125CB8"/>
    <w:rsid w:val="001261A9"/>
    <w:rsid w:val="00126747"/>
    <w:rsid w:val="001267DB"/>
    <w:rsid w:val="00127574"/>
    <w:rsid w:val="001275A6"/>
    <w:rsid w:val="001276FB"/>
    <w:rsid w:val="00127B37"/>
    <w:rsid w:val="00130019"/>
    <w:rsid w:val="001302D0"/>
    <w:rsid w:val="00130C57"/>
    <w:rsid w:val="00130D30"/>
    <w:rsid w:val="00131290"/>
    <w:rsid w:val="001313C5"/>
    <w:rsid w:val="0013141F"/>
    <w:rsid w:val="001317A0"/>
    <w:rsid w:val="001317E4"/>
    <w:rsid w:val="0013184D"/>
    <w:rsid w:val="00131CB1"/>
    <w:rsid w:val="00131D1A"/>
    <w:rsid w:val="00132029"/>
    <w:rsid w:val="00132052"/>
    <w:rsid w:val="0013211B"/>
    <w:rsid w:val="0013270B"/>
    <w:rsid w:val="001329B7"/>
    <w:rsid w:val="001329EA"/>
    <w:rsid w:val="00132A3A"/>
    <w:rsid w:val="00132DAB"/>
    <w:rsid w:val="00132FA5"/>
    <w:rsid w:val="001334F9"/>
    <w:rsid w:val="001335DA"/>
    <w:rsid w:val="001337E6"/>
    <w:rsid w:val="00133B4C"/>
    <w:rsid w:val="00133D7F"/>
    <w:rsid w:val="00133E15"/>
    <w:rsid w:val="00134057"/>
    <w:rsid w:val="0013455E"/>
    <w:rsid w:val="001345C4"/>
    <w:rsid w:val="00134DF5"/>
    <w:rsid w:val="00134E9B"/>
    <w:rsid w:val="00134ECB"/>
    <w:rsid w:val="00134F08"/>
    <w:rsid w:val="00134F98"/>
    <w:rsid w:val="00135589"/>
    <w:rsid w:val="001357A1"/>
    <w:rsid w:val="0013587F"/>
    <w:rsid w:val="00135E47"/>
    <w:rsid w:val="001360BD"/>
    <w:rsid w:val="001361AA"/>
    <w:rsid w:val="001362A6"/>
    <w:rsid w:val="0013630E"/>
    <w:rsid w:val="00136B3F"/>
    <w:rsid w:val="00136D64"/>
    <w:rsid w:val="00136DF8"/>
    <w:rsid w:val="0013745F"/>
    <w:rsid w:val="00137472"/>
    <w:rsid w:val="001374F4"/>
    <w:rsid w:val="001377FA"/>
    <w:rsid w:val="00137894"/>
    <w:rsid w:val="00137CB8"/>
    <w:rsid w:val="00137EB6"/>
    <w:rsid w:val="00140035"/>
    <w:rsid w:val="00140465"/>
    <w:rsid w:val="00140C26"/>
    <w:rsid w:val="00140E09"/>
    <w:rsid w:val="0014101A"/>
    <w:rsid w:val="0014142D"/>
    <w:rsid w:val="0014148A"/>
    <w:rsid w:val="001416B8"/>
    <w:rsid w:val="00141FEB"/>
    <w:rsid w:val="00142347"/>
    <w:rsid w:val="00142693"/>
    <w:rsid w:val="001426D3"/>
    <w:rsid w:val="00142EED"/>
    <w:rsid w:val="00143382"/>
    <w:rsid w:val="00143436"/>
    <w:rsid w:val="00143743"/>
    <w:rsid w:val="001437D5"/>
    <w:rsid w:val="0014392F"/>
    <w:rsid w:val="00143E66"/>
    <w:rsid w:val="00143EB0"/>
    <w:rsid w:val="00143FEE"/>
    <w:rsid w:val="001444F7"/>
    <w:rsid w:val="0014495D"/>
    <w:rsid w:val="00144CCA"/>
    <w:rsid w:val="00145D66"/>
    <w:rsid w:val="00146059"/>
    <w:rsid w:val="00146A19"/>
    <w:rsid w:val="00146B29"/>
    <w:rsid w:val="00146F0E"/>
    <w:rsid w:val="00146FF4"/>
    <w:rsid w:val="00147165"/>
    <w:rsid w:val="00147178"/>
    <w:rsid w:val="001476A2"/>
    <w:rsid w:val="0014776D"/>
    <w:rsid w:val="00147845"/>
    <w:rsid w:val="00147FC1"/>
    <w:rsid w:val="001500C8"/>
    <w:rsid w:val="001502B0"/>
    <w:rsid w:val="00150357"/>
    <w:rsid w:val="00150381"/>
    <w:rsid w:val="0015080E"/>
    <w:rsid w:val="0015100D"/>
    <w:rsid w:val="001511D3"/>
    <w:rsid w:val="0015153E"/>
    <w:rsid w:val="00151705"/>
    <w:rsid w:val="00151A06"/>
    <w:rsid w:val="00151C88"/>
    <w:rsid w:val="00151D35"/>
    <w:rsid w:val="00152071"/>
    <w:rsid w:val="00152387"/>
    <w:rsid w:val="00152A0C"/>
    <w:rsid w:val="00152D92"/>
    <w:rsid w:val="00153157"/>
    <w:rsid w:val="00153217"/>
    <w:rsid w:val="0015339C"/>
    <w:rsid w:val="00153424"/>
    <w:rsid w:val="0015377C"/>
    <w:rsid w:val="00153867"/>
    <w:rsid w:val="0015395A"/>
    <w:rsid w:val="00153ABE"/>
    <w:rsid w:val="00153C15"/>
    <w:rsid w:val="00153EE1"/>
    <w:rsid w:val="0015402E"/>
    <w:rsid w:val="00154487"/>
    <w:rsid w:val="00154524"/>
    <w:rsid w:val="001546BC"/>
    <w:rsid w:val="001546E8"/>
    <w:rsid w:val="00154828"/>
    <w:rsid w:val="0015484C"/>
    <w:rsid w:val="00155698"/>
    <w:rsid w:val="00155809"/>
    <w:rsid w:val="00155BC9"/>
    <w:rsid w:val="00155C11"/>
    <w:rsid w:val="00157509"/>
    <w:rsid w:val="00157D22"/>
    <w:rsid w:val="00157F62"/>
    <w:rsid w:val="001600EB"/>
    <w:rsid w:val="00160327"/>
    <w:rsid w:val="00160423"/>
    <w:rsid w:val="001606A2"/>
    <w:rsid w:val="00160AB7"/>
    <w:rsid w:val="0016107B"/>
    <w:rsid w:val="0016107D"/>
    <w:rsid w:val="00161177"/>
    <w:rsid w:val="00161841"/>
    <w:rsid w:val="00161965"/>
    <w:rsid w:val="00161C25"/>
    <w:rsid w:val="00161CC6"/>
    <w:rsid w:val="00161CD7"/>
    <w:rsid w:val="001625CB"/>
    <w:rsid w:val="001628AD"/>
    <w:rsid w:val="00162DD8"/>
    <w:rsid w:val="0016312E"/>
    <w:rsid w:val="00163182"/>
    <w:rsid w:val="0016341E"/>
    <w:rsid w:val="001634CE"/>
    <w:rsid w:val="00163694"/>
    <w:rsid w:val="00163826"/>
    <w:rsid w:val="00163F8E"/>
    <w:rsid w:val="0016414D"/>
    <w:rsid w:val="00164303"/>
    <w:rsid w:val="00164617"/>
    <w:rsid w:val="001649B4"/>
    <w:rsid w:val="00164D3D"/>
    <w:rsid w:val="00164EA4"/>
    <w:rsid w:val="001653B2"/>
    <w:rsid w:val="001654A9"/>
    <w:rsid w:val="001656ED"/>
    <w:rsid w:val="00165A05"/>
    <w:rsid w:val="00165E5D"/>
    <w:rsid w:val="00166263"/>
    <w:rsid w:val="00166279"/>
    <w:rsid w:val="00166297"/>
    <w:rsid w:val="001663D5"/>
    <w:rsid w:val="0016683E"/>
    <w:rsid w:val="00166EDA"/>
    <w:rsid w:val="00166F24"/>
    <w:rsid w:val="00167277"/>
    <w:rsid w:val="0016782D"/>
    <w:rsid w:val="00167AC7"/>
    <w:rsid w:val="0017025D"/>
    <w:rsid w:val="00170573"/>
    <w:rsid w:val="001707C4"/>
    <w:rsid w:val="001711A9"/>
    <w:rsid w:val="001712DE"/>
    <w:rsid w:val="00171570"/>
    <w:rsid w:val="00171AD7"/>
    <w:rsid w:val="00171B2D"/>
    <w:rsid w:val="00171BE6"/>
    <w:rsid w:val="00171DC1"/>
    <w:rsid w:val="00171E1D"/>
    <w:rsid w:val="00171EF7"/>
    <w:rsid w:val="0017241D"/>
    <w:rsid w:val="00172EAB"/>
    <w:rsid w:val="00172EDD"/>
    <w:rsid w:val="00173940"/>
    <w:rsid w:val="00173B32"/>
    <w:rsid w:val="00174067"/>
    <w:rsid w:val="001740B9"/>
    <w:rsid w:val="0017449B"/>
    <w:rsid w:val="00174944"/>
    <w:rsid w:val="00175139"/>
    <w:rsid w:val="00175BA1"/>
    <w:rsid w:val="00176067"/>
    <w:rsid w:val="00176100"/>
    <w:rsid w:val="00176645"/>
    <w:rsid w:val="001766A8"/>
    <w:rsid w:val="0017687A"/>
    <w:rsid w:val="001769A5"/>
    <w:rsid w:val="00176D4B"/>
    <w:rsid w:val="00176E59"/>
    <w:rsid w:val="0017724C"/>
    <w:rsid w:val="001772D4"/>
    <w:rsid w:val="001772F0"/>
    <w:rsid w:val="0017743E"/>
    <w:rsid w:val="001774BD"/>
    <w:rsid w:val="00177845"/>
    <w:rsid w:val="00177D01"/>
    <w:rsid w:val="00180261"/>
    <w:rsid w:val="0018063A"/>
    <w:rsid w:val="001806A2"/>
    <w:rsid w:val="001807A5"/>
    <w:rsid w:val="00180A1D"/>
    <w:rsid w:val="001810C8"/>
    <w:rsid w:val="001812AE"/>
    <w:rsid w:val="001820AF"/>
    <w:rsid w:val="0018238C"/>
    <w:rsid w:val="001828A4"/>
    <w:rsid w:val="00182912"/>
    <w:rsid w:val="00182CAE"/>
    <w:rsid w:val="00182E45"/>
    <w:rsid w:val="00182F0D"/>
    <w:rsid w:val="0018345E"/>
    <w:rsid w:val="00183DEE"/>
    <w:rsid w:val="0018419E"/>
    <w:rsid w:val="001849E7"/>
    <w:rsid w:val="00184DA1"/>
    <w:rsid w:val="00184E8A"/>
    <w:rsid w:val="0018519A"/>
    <w:rsid w:val="00185571"/>
    <w:rsid w:val="00185989"/>
    <w:rsid w:val="00186C46"/>
    <w:rsid w:val="00186EE5"/>
    <w:rsid w:val="00186EF2"/>
    <w:rsid w:val="00187261"/>
    <w:rsid w:val="00190272"/>
    <w:rsid w:val="00190B36"/>
    <w:rsid w:val="00190B9C"/>
    <w:rsid w:val="00190D52"/>
    <w:rsid w:val="00190E20"/>
    <w:rsid w:val="0019138B"/>
    <w:rsid w:val="001919D3"/>
    <w:rsid w:val="00191E1A"/>
    <w:rsid w:val="00191E84"/>
    <w:rsid w:val="00192157"/>
    <w:rsid w:val="001925E9"/>
    <w:rsid w:val="00192900"/>
    <w:rsid w:val="00192D91"/>
    <w:rsid w:val="00192F48"/>
    <w:rsid w:val="0019395E"/>
    <w:rsid w:val="00193C35"/>
    <w:rsid w:val="0019441C"/>
    <w:rsid w:val="00194A59"/>
    <w:rsid w:val="001950D9"/>
    <w:rsid w:val="001950E9"/>
    <w:rsid w:val="00195379"/>
    <w:rsid w:val="00195430"/>
    <w:rsid w:val="001959C2"/>
    <w:rsid w:val="00195A6E"/>
    <w:rsid w:val="00195E76"/>
    <w:rsid w:val="00196144"/>
    <w:rsid w:val="00196284"/>
    <w:rsid w:val="00196644"/>
    <w:rsid w:val="00196994"/>
    <w:rsid w:val="001971B1"/>
    <w:rsid w:val="001971EA"/>
    <w:rsid w:val="001976B3"/>
    <w:rsid w:val="00197975"/>
    <w:rsid w:val="001A0090"/>
    <w:rsid w:val="001A0295"/>
    <w:rsid w:val="001A06F5"/>
    <w:rsid w:val="001A0765"/>
    <w:rsid w:val="001A093C"/>
    <w:rsid w:val="001A0DC8"/>
    <w:rsid w:val="001A0F43"/>
    <w:rsid w:val="001A110B"/>
    <w:rsid w:val="001A118B"/>
    <w:rsid w:val="001A14F5"/>
    <w:rsid w:val="001A1777"/>
    <w:rsid w:val="001A1A8A"/>
    <w:rsid w:val="001A1EF5"/>
    <w:rsid w:val="001A2649"/>
    <w:rsid w:val="001A2B45"/>
    <w:rsid w:val="001A307D"/>
    <w:rsid w:val="001A3986"/>
    <w:rsid w:val="001A3E19"/>
    <w:rsid w:val="001A4242"/>
    <w:rsid w:val="001A48FD"/>
    <w:rsid w:val="001A527D"/>
    <w:rsid w:val="001A5992"/>
    <w:rsid w:val="001A63A3"/>
    <w:rsid w:val="001A66C5"/>
    <w:rsid w:val="001A6A97"/>
    <w:rsid w:val="001A6DEF"/>
    <w:rsid w:val="001A7A6A"/>
    <w:rsid w:val="001A7A87"/>
    <w:rsid w:val="001A7A91"/>
    <w:rsid w:val="001A7FE7"/>
    <w:rsid w:val="001B049D"/>
    <w:rsid w:val="001B04E4"/>
    <w:rsid w:val="001B0553"/>
    <w:rsid w:val="001B0636"/>
    <w:rsid w:val="001B07B0"/>
    <w:rsid w:val="001B0E41"/>
    <w:rsid w:val="001B1577"/>
    <w:rsid w:val="001B15BA"/>
    <w:rsid w:val="001B16C3"/>
    <w:rsid w:val="001B1838"/>
    <w:rsid w:val="001B1C15"/>
    <w:rsid w:val="001B1C67"/>
    <w:rsid w:val="001B1D5D"/>
    <w:rsid w:val="001B2234"/>
    <w:rsid w:val="001B22B4"/>
    <w:rsid w:val="001B2C7D"/>
    <w:rsid w:val="001B322D"/>
    <w:rsid w:val="001B33F0"/>
    <w:rsid w:val="001B344B"/>
    <w:rsid w:val="001B3697"/>
    <w:rsid w:val="001B3984"/>
    <w:rsid w:val="001B3C3B"/>
    <w:rsid w:val="001B3E1C"/>
    <w:rsid w:val="001B3FE9"/>
    <w:rsid w:val="001B4216"/>
    <w:rsid w:val="001B46AE"/>
    <w:rsid w:val="001B5009"/>
    <w:rsid w:val="001B54F0"/>
    <w:rsid w:val="001B5950"/>
    <w:rsid w:val="001B5DCE"/>
    <w:rsid w:val="001B5F62"/>
    <w:rsid w:val="001B61CA"/>
    <w:rsid w:val="001B653E"/>
    <w:rsid w:val="001B6AAD"/>
    <w:rsid w:val="001B71B5"/>
    <w:rsid w:val="001B76C4"/>
    <w:rsid w:val="001B77E9"/>
    <w:rsid w:val="001B77FC"/>
    <w:rsid w:val="001B78E2"/>
    <w:rsid w:val="001B7BF2"/>
    <w:rsid w:val="001B7EED"/>
    <w:rsid w:val="001C00A8"/>
    <w:rsid w:val="001C0289"/>
    <w:rsid w:val="001C0AF5"/>
    <w:rsid w:val="001C0CEC"/>
    <w:rsid w:val="001C11E4"/>
    <w:rsid w:val="001C181C"/>
    <w:rsid w:val="001C1C01"/>
    <w:rsid w:val="001C1E19"/>
    <w:rsid w:val="001C2026"/>
    <w:rsid w:val="001C246E"/>
    <w:rsid w:val="001C27AF"/>
    <w:rsid w:val="001C3033"/>
    <w:rsid w:val="001C30BA"/>
    <w:rsid w:val="001C3403"/>
    <w:rsid w:val="001C342C"/>
    <w:rsid w:val="001C350F"/>
    <w:rsid w:val="001C3A40"/>
    <w:rsid w:val="001C3AAA"/>
    <w:rsid w:val="001C3D80"/>
    <w:rsid w:val="001C4100"/>
    <w:rsid w:val="001C41DA"/>
    <w:rsid w:val="001C432C"/>
    <w:rsid w:val="001C43B3"/>
    <w:rsid w:val="001C44B5"/>
    <w:rsid w:val="001C457D"/>
    <w:rsid w:val="001C4834"/>
    <w:rsid w:val="001C4C95"/>
    <w:rsid w:val="001C4FF2"/>
    <w:rsid w:val="001C56EB"/>
    <w:rsid w:val="001C5905"/>
    <w:rsid w:val="001C5BA6"/>
    <w:rsid w:val="001C5EAD"/>
    <w:rsid w:val="001C5F74"/>
    <w:rsid w:val="001C5FC4"/>
    <w:rsid w:val="001C63B0"/>
    <w:rsid w:val="001C68B6"/>
    <w:rsid w:val="001C7079"/>
    <w:rsid w:val="001C7181"/>
    <w:rsid w:val="001C74A8"/>
    <w:rsid w:val="001D0229"/>
    <w:rsid w:val="001D028A"/>
    <w:rsid w:val="001D0868"/>
    <w:rsid w:val="001D1636"/>
    <w:rsid w:val="001D181F"/>
    <w:rsid w:val="001D1A42"/>
    <w:rsid w:val="001D1EE1"/>
    <w:rsid w:val="001D2755"/>
    <w:rsid w:val="001D2EC1"/>
    <w:rsid w:val="001D2F4D"/>
    <w:rsid w:val="001D30A0"/>
    <w:rsid w:val="001D3816"/>
    <w:rsid w:val="001D39E8"/>
    <w:rsid w:val="001D3B1F"/>
    <w:rsid w:val="001D3ECA"/>
    <w:rsid w:val="001D4075"/>
    <w:rsid w:val="001D430E"/>
    <w:rsid w:val="001D4D25"/>
    <w:rsid w:val="001D4E5E"/>
    <w:rsid w:val="001D5062"/>
    <w:rsid w:val="001D548F"/>
    <w:rsid w:val="001D5714"/>
    <w:rsid w:val="001D600F"/>
    <w:rsid w:val="001D604E"/>
    <w:rsid w:val="001D6397"/>
    <w:rsid w:val="001D6843"/>
    <w:rsid w:val="001D7299"/>
    <w:rsid w:val="001D7641"/>
    <w:rsid w:val="001D7861"/>
    <w:rsid w:val="001D79BC"/>
    <w:rsid w:val="001D7A92"/>
    <w:rsid w:val="001D7D18"/>
    <w:rsid w:val="001E0221"/>
    <w:rsid w:val="001E0711"/>
    <w:rsid w:val="001E092F"/>
    <w:rsid w:val="001E0947"/>
    <w:rsid w:val="001E095D"/>
    <w:rsid w:val="001E11B9"/>
    <w:rsid w:val="001E12A6"/>
    <w:rsid w:val="001E152C"/>
    <w:rsid w:val="001E17F9"/>
    <w:rsid w:val="001E1ABD"/>
    <w:rsid w:val="001E24EA"/>
    <w:rsid w:val="001E25FF"/>
    <w:rsid w:val="001E2A5D"/>
    <w:rsid w:val="001E2BF5"/>
    <w:rsid w:val="001E2CF5"/>
    <w:rsid w:val="001E2D7F"/>
    <w:rsid w:val="001E35D6"/>
    <w:rsid w:val="001E389C"/>
    <w:rsid w:val="001E3B0A"/>
    <w:rsid w:val="001E3ED8"/>
    <w:rsid w:val="001E4080"/>
    <w:rsid w:val="001E40F0"/>
    <w:rsid w:val="001E411C"/>
    <w:rsid w:val="001E4950"/>
    <w:rsid w:val="001E5979"/>
    <w:rsid w:val="001E5C38"/>
    <w:rsid w:val="001E6EC5"/>
    <w:rsid w:val="001E70C9"/>
    <w:rsid w:val="001E776D"/>
    <w:rsid w:val="001E777A"/>
    <w:rsid w:val="001E77D9"/>
    <w:rsid w:val="001E79E9"/>
    <w:rsid w:val="001E7D4E"/>
    <w:rsid w:val="001E7D86"/>
    <w:rsid w:val="001F002D"/>
    <w:rsid w:val="001F099A"/>
    <w:rsid w:val="001F0D67"/>
    <w:rsid w:val="001F1A00"/>
    <w:rsid w:val="001F1A90"/>
    <w:rsid w:val="001F1B8A"/>
    <w:rsid w:val="001F1CEB"/>
    <w:rsid w:val="001F2058"/>
    <w:rsid w:val="001F23BC"/>
    <w:rsid w:val="001F29C8"/>
    <w:rsid w:val="001F2E04"/>
    <w:rsid w:val="001F3167"/>
    <w:rsid w:val="001F3474"/>
    <w:rsid w:val="001F391D"/>
    <w:rsid w:val="001F3E0E"/>
    <w:rsid w:val="001F49C4"/>
    <w:rsid w:val="001F524C"/>
    <w:rsid w:val="001F5561"/>
    <w:rsid w:val="001F5939"/>
    <w:rsid w:val="001F5B96"/>
    <w:rsid w:val="001F659C"/>
    <w:rsid w:val="001F67F2"/>
    <w:rsid w:val="001F6895"/>
    <w:rsid w:val="001F6A3C"/>
    <w:rsid w:val="001F6DCB"/>
    <w:rsid w:val="001F7055"/>
    <w:rsid w:val="001F716B"/>
    <w:rsid w:val="001F7437"/>
    <w:rsid w:val="001F7B2F"/>
    <w:rsid w:val="001F7B95"/>
    <w:rsid w:val="001F7E44"/>
    <w:rsid w:val="001F7FE1"/>
    <w:rsid w:val="0020062A"/>
    <w:rsid w:val="00200673"/>
    <w:rsid w:val="00200C34"/>
    <w:rsid w:val="002010D3"/>
    <w:rsid w:val="00201311"/>
    <w:rsid w:val="002017E3"/>
    <w:rsid w:val="00201885"/>
    <w:rsid w:val="0020188A"/>
    <w:rsid w:val="00201CF2"/>
    <w:rsid w:val="002024B2"/>
    <w:rsid w:val="002028FF"/>
    <w:rsid w:val="00202A17"/>
    <w:rsid w:val="0020322B"/>
    <w:rsid w:val="002032C8"/>
    <w:rsid w:val="00203A75"/>
    <w:rsid w:val="00203BD7"/>
    <w:rsid w:val="0020409B"/>
    <w:rsid w:val="00204875"/>
    <w:rsid w:val="00204CF4"/>
    <w:rsid w:val="00204F68"/>
    <w:rsid w:val="00205337"/>
    <w:rsid w:val="00205C7C"/>
    <w:rsid w:val="002060A5"/>
    <w:rsid w:val="0020622C"/>
    <w:rsid w:val="00206636"/>
    <w:rsid w:val="002068F5"/>
    <w:rsid w:val="002070E4"/>
    <w:rsid w:val="002070E6"/>
    <w:rsid w:val="002071F1"/>
    <w:rsid w:val="0020721C"/>
    <w:rsid w:val="002072C3"/>
    <w:rsid w:val="002077A1"/>
    <w:rsid w:val="00207813"/>
    <w:rsid w:val="0020790A"/>
    <w:rsid w:val="00207C47"/>
    <w:rsid w:val="00207E86"/>
    <w:rsid w:val="00210594"/>
    <w:rsid w:val="00210CDB"/>
    <w:rsid w:val="00210F65"/>
    <w:rsid w:val="002110F2"/>
    <w:rsid w:val="002114F0"/>
    <w:rsid w:val="002122A5"/>
    <w:rsid w:val="00212939"/>
    <w:rsid w:val="002129AB"/>
    <w:rsid w:val="002129CD"/>
    <w:rsid w:val="00212B8B"/>
    <w:rsid w:val="00212BEC"/>
    <w:rsid w:val="00213388"/>
    <w:rsid w:val="002133B8"/>
    <w:rsid w:val="00213543"/>
    <w:rsid w:val="0021371C"/>
    <w:rsid w:val="002139E7"/>
    <w:rsid w:val="00213C4D"/>
    <w:rsid w:val="00213C5E"/>
    <w:rsid w:val="00213F04"/>
    <w:rsid w:val="002144A1"/>
    <w:rsid w:val="002147A6"/>
    <w:rsid w:val="00214D4B"/>
    <w:rsid w:val="00214DAE"/>
    <w:rsid w:val="00215739"/>
    <w:rsid w:val="002157B5"/>
    <w:rsid w:val="00215A68"/>
    <w:rsid w:val="0021638C"/>
    <w:rsid w:val="00216869"/>
    <w:rsid w:val="00216CC6"/>
    <w:rsid w:val="00216E86"/>
    <w:rsid w:val="0021720D"/>
    <w:rsid w:val="002174AB"/>
    <w:rsid w:val="002175EB"/>
    <w:rsid w:val="00217667"/>
    <w:rsid w:val="00217D17"/>
    <w:rsid w:val="00217F0B"/>
    <w:rsid w:val="0022016A"/>
    <w:rsid w:val="00220206"/>
    <w:rsid w:val="00220CFF"/>
    <w:rsid w:val="00220F03"/>
    <w:rsid w:val="00221057"/>
    <w:rsid w:val="002212CB"/>
    <w:rsid w:val="002213D8"/>
    <w:rsid w:val="002213D9"/>
    <w:rsid w:val="00221694"/>
    <w:rsid w:val="00221B4C"/>
    <w:rsid w:val="00222077"/>
    <w:rsid w:val="00222212"/>
    <w:rsid w:val="002226A9"/>
    <w:rsid w:val="0022277E"/>
    <w:rsid w:val="00223034"/>
    <w:rsid w:val="0022322D"/>
    <w:rsid w:val="002234F2"/>
    <w:rsid w:val="00223614"/>
    <w:rsid w:val="002238E6"/>
    <w:rsid w:val="00223919"/>
    <w:rsid w:val="00223A10"/>
    <w:rsid w:val="0022411B"/>
    <w:rsid w:val="00224703"/>
    <w:rsid w:val="00225534"/>
    <w:rsid w:val="00225952"/>
    <w:rsid w:val="00225BBB"/>
    <w:rsid w:val="00225CB8"/>
    <w:rsid w:val="00226D73"/>
    <w:rsid w:val="00226E88"/>
    <w:rsid w:val="00226F8B"/>
    <w:rsid w:val="0022715D"/>
    <w:rsid w:val="00227ACE"/>
    <w:rsid w:val="0023053A"/>
    <w:rsid w:val="00230AF7"/>
    <w:rsid w:val="00230B76"/>
    <w:rsid w:val="00230BA9"/>
    <w:rsid w:val="00231068"/>
    <w:rsid w:val="00231A83"/>
    <w:rsid w:val="00231E52"/>
    <w:rsid w:val="00231F8F"/>
    <w:rsid w:val="00231FCB"/>
    <w:rsid w:val="00232048"/>
    <w:rsid w:val="00232FCA"/>
    <w:rsid w:val="0023358A"/>
    <w:rsid w:val="0023444B"/>
    <w:rsid w:val="00234DBA"/>
    <w:rsid w:val="00234FCD"/>
    <w:rsid w:val="00234FD9"/>
    <w:rsid w:val="0023596F"/>
    <w:rsid w:val="00235BAB"/>
    <w:rsid w:val="00236374"/>
    <w:rsid w:val="00236410"/>
    <w:rsid w:val="00236F49"/>
    <w:rsid w:val="00237288"/>
    <w:rsid w:val="00237E07"/>
    <w:rsid w:val="00237F8D"/>
    <w:rsid w:val="002400A1"/>
    <w:rsid w:val="00240222"/>
    <w:rsid w:val="00240255"/>
    <w:rsid w:val="00240568"/>
    <w:rsid w:val="002408E7"/>
    <w:rsid w:val="00240DC2"/>
    <w:rsid w:val="002410B4"/>
    <w:rsid w:val="002410D8"/>
    <w:rsid w:val="00241112"/>
    <w:rsid w:val="002411C9"/>
    <w:rsid w:val="002418BB"/>
    <w:rsid w:val="00241AD9"/>
    <w:rsid w:val="0024218B"/>
    <w:rsid w:val="002425FE"/>
    <w:rsid w:val="00242CD9"/>
    <w:rsid w:val="0024349D"/>
    <w:rsid w:val="00243967"/>
    <w:rsid w:val="00244034"/>
    <w:rsid w:val="002440F8"/>
    <w:rsid w:val="002441C4"/>
    <w:rsid w:val="0024424C"/>
    <w:rsid w:val="002444C2"/>
    <w:rsid w:val="00244914"/>
    <w:rsid w:val="00244BE9"/>
    <w:rsid w:val="0024523D"/>
    <w:rsid w:val="0024530D"/>
    <w:rsid w:val="00245393"/>
    <w:rsid w:val="0024566E"/>
    <w:rsid w:val="00245729"/>
    <w:rsid w:val="00245A74"/>
    <w:rsid w:val="00246563"/>
    <w:rsid w:val="00246A8F"/>
    <w:rsid w:val="00247085"/>
    <w:rsid w:val="0024723D"/>
    <w:rsid w:val="0024727D"/>
    <w:rsid w:val="0024736F"/>
    <w:rsid w:val="002475AF"/>
    <w:rsid w:val="00247783"/>
    <w:rsid w:val="00247EAA"/>
    <w:rsid w:val="00250208"/>
    <w:rsid w:val="0025050D"/>
    <w:rsid w:val="00250912"/>
    <w:rsid w:val="00250A5D"/>
    <w:rsid w:val="00250DBA"/>
    <w:rsid w:val="00251087"/>
    <w:rsid w:val="002511E3"/>
    <w:rsid w:val="00251294"/>
    <w:rsid w:val="002518F4"/>
    <w:rsid w:val="002518F5"/>
    <w:rsid w:val="00251AD5"/>
    <w:rsid w:val="00251E7D"/>
    <w:rsid w:val="00251E8A"/>
    <w:rsid w:val="002523E5"/>
    <w:rsid w:val="00252CD6"/>
    <w:rsid w:val="00253058"/>
    <w:rsid w:val="002536ED"/>
    <w:rsid w:val="00253764"/>
    <w:rsid w:val="0025420C"/>
    <w:rsid w:val="002548E8"/>
    <w:rsid w:val="002550D8"/>
    <w:rsid w:val="0025588E"/>
    <w:rsid w:val="00255896"/>
    <w:rsid w:val="0025593B"/>
    <w:rsid w:val="00256078"/>
    <w:rsid w:val="0025615D"/>
    <w:rsid w:val="002564FB"/>
    <w:rsid w:val="00256907"/>
    <w:rsid w:val="00256992"/>
    <w:rsid w:val="00256F48"/>
    <w:rsid w:val="0025733A"/>
    <w:rsid w:val="00257387"/>
    <w:rsid w:val="00257461"/>
    <w:rsid w:val="002575E2"/>
    <w:rsid w:val="00257615"/>
    <w:rsid w:val="00257660"/>
    <w:rsid w:val="00257EB8"/>
    <w:rsid w:val="0026049B"/>
    <w:rsid w:val="0026071E"/>
    <w:rsid w:val="002607D3"/>
    <w:rsid w:val="00260820"/>
    <w:rsid w:val="002609CC"/>
    <w:rsid w:val="00260EFA"/>
    <w:rsid w:val="00261377"/>
    <w:rsid w:val="00261714"/>
    <w:rsid w:val="00261D8F"/>
    <w:rsid w:val="00261EFF"/>
    <w:rsid w:val="00261FF1"/>
    <w:rsid w:val="00262160"/>
    <w:rsid w:val="0026262F"/>
    <w:rsid w:val="00262814"/>
    <w:rsid w:val="00262962"/>
    <w:rsid w:val="002629E0"/>
    <w:rsid w:val="00262A95"/>
    <w:rsid w:val="00262E2E"/>
    <w:rsid w:val="00263045"/>
    <w:rsid w:val="00263457"/>
    <w:rsid w:val="00263527"/>
    <w:rsid w:val="00263727"/>
    <w:rsid w:val="00263EF4"/>
    <w:rsid w:val="00264650"/>
    <w:rsid w:val="00264A64"/>
    <w:rsid w:val="00265312"/>
    <w:rsid w:val="00265607"/>
    <w:rsid w:val="00265C87"/>
    <w:rsid w:val="00265D31"/>
    <w:rsid w:val="00265E8F"/>
    <w:rsid w:val="00265FE9"/>
    <w:rsid w:val="00266CB9"/>
    <w:rsid w:val="00266D5F"/>
    <w:rsid w:val="00266F46"/>
    <w:rsid w:val="0026709A"/>
    <w:rsid w:val="0026773E"/>
    <w:rsid w:val="00267F1F"/>
    <w:rsid w:val="00270292"/>
    <w:rsid w:val="0027062D"/>
    <w:rsid w:val="00270AEE"/>
    <w:rsid w:val="00270E18"/>
    <w:rsid w:val="00271BEB"/>
    <w:rsid w:val="0027218C"/>
    <w:rsid w:val="002722CA"/>
    <w:rsid w:val="002723FD"/>
    <w:rsid w:val="002726EA"/>
    <w:rsid w:val="002728FE"/>
    <w:rsid w:val="00272E01"/>
    <w:rsid w:val="00272F1D"/>
    <w:rsid w:val="00273015"/>
    <w:rsid w:val="0027301B"/>
    <w:rsid w:val="00273042"/>
    <w:rsid w:val="00274171"/>
    <w:rsid w:val="0027428A"/>
    <w:rsid w:val="0027463A"/>
    <w:rsid w:val="00274815"/>
    <w:rsid w:val="0027487A"/>
    <w:rsid w:val="00274D0D"/>
    <w:rsid w:val="00274D8B"/>
    <w:rsid w:val="00275057"/>
    <w:rsid w:val="00275318"/>
    <w:rsid w:val="00275E28"/>
    <w:rsid w:val="00275FB7"/>
    <w:rsid w:val="00276041"/>
    <w:rsid w:val="002766B0"/>
    <w:rsid w:val="00276D26"/>
    <w:rsid w:val="002773BC"/>
    <w:rsid w:val="00277572"/>
    <w:rsid w:val="00277812"/>
    <w:rsid w:val="00277AA7"/>
    <w:rsid w:val="002802A1"/>
    <w:rsid w:val="002803B8"/>
    <w:rsid w:val="002805C4"/>
    <w:rsid w:val="002808CA"/>
    <w:rsid w:val="00280926"/>
    <w:rsid w:val="00281269"/>
    <w:rsid w:val="002812F7"/>
    <w:rsid w:val="00281303"/>
    <w:rsid w:val="00281922"/>
    <w:rsid w:val="00281B0A"/>
    <w:rsid w:val="00281FE4"/>
    <w:rsid w:val="00282363"/>
    <w:rsid w:val="0028257E"/>
    <w:rsid w:val="00282720"/>
    <w:rsid w:val="00282CDE"/>
    <w:rsid w:val="00282D03"/>
    <w:rsid w:val="00283073"/>
    <w:rsid w:val="0028348A"/>
    <w:rsid w:val="00283C7F"/>
    <w:rsid w:val="00283E5C"/>
    <w:rsid w:val="00284142"/>
    <w:rsid w:val="0028456B"/>
    <w:rsid w:val="00284579"/>
    <w:rsid w:val="00285478"/>
    <w:rsid w:val="00285792"/>
    <w:rsid w:val="002863EE"/>
    <w:rsid w:val="0028663C"/>
    <w:rsid w:val="00287329"/>
    <w:rsid w:val="002873F6"/>
    <w:rsid w:val="00287808"/>
    <w:rsid w:val="00287C21"/>
    <w:rsid w:val="00287C89"/>
    <w:rsid w:val="00287EC6"/>
    <w:rsid w:val="002902B6"/>
    <w:rsid w:val="002902C0"/>
    <w:rsid w:val="002905B5"/>
    <w:rsid w:val="002911D8"/>
    <w:rsid w:val="00292120"/>
    <w:rsid w:val="0029294F"/>
    <w:rsid w:val="00293203"/>
    <w:rsid w:val="0029322C"/>
    <w:rsid w:val="0029329A"/>
    <w:rsid w:val="00293A15"/>
    <w:rsid w:val="00293B56"/>
    <w:rsid w:val="00293D58"/>
    <w:rsid w:val="00294048"/>
    <w:rsid w:val="0029433D"/>
    <w:rsid w:val="00295349"/>
    <w:rsid w:val="00295693"/>
    <w:rsid w:val="00295727"/>
    <w:rsid w:val="00295B54"/>
    <w:rsid w:val="002960C3"/>
    <w:rsid w:val="0029636A"/>
    <w:rsid w:val="00296781"/>
    <w:rsid w:val="002969C0"/>
    <w:rsid w:val="0029707F"/>
    <w:rsid w:val="002972D4"/>
    <w:rsid w:val="002978B6"/>
    <w:rsid w:val="002979D2"/>
    <w:rsid w:val="002979E1"/>
    <w:rsid w:val="00297AEF"/>
    <w:rsid w:val="00297F02"/>
    <w:rsid w:val="002A039A"/>
    <w:rsid w:val="002A05D5"/>
    <w:rsid w:val="002A0622"/>
    <w:rsid w:val="002A06E1"/>
    <w:rsid w:val="002A0D05"/>
    <w:rsid w:val="002A13B2"/>
    <w:rsid w:val="002A1520"/>
    <w:rsid w:val="002A21E8"/>
    <w:rsid w:val="002A2863"/>
    <w:rsid w:val="002A29B6"/>
    <w:rsid w:val="002A2DC2"/>
    <w:rsid w:val="002A3220"/>
    <w:rsid w:val="002A3596"/>
    <w:rsid w:val="002A37BE"/>
    <w:rsid w:val="002A39E5"/>
    <w:rsid w:val="002A39FC"/>
    <w:rsid w:val="002A3AA9"/>
    <w:rsid w:val="002A3B67"/>
    <w:rsid w:val="002A570E"/>
    <w:rsid w:val="002A58F4"/>
    <w:rsid w:val="002A5AA2"/>
    <w:rsid w:val="002A5C1B"/>
    <w:rsid w:val="002A5C85"/>
    <w:rsid w:val="002A5C87"/>
    <w:rsid w:val="002A5D50"/>
    <w:rsid w:val="002A5DE5"/>
    <w:rsid w:val="002A6503"/>
    <w:rsid w:val="002A659A"/>
    <w:rsid w:val="002A7542"/>
    <w:rsid w:val="002A7692"/>
    <w:rsid w:val="002A76A7"/>
    <w:rsid w:val="002A7BE8"/>
    <w:rsid w:val="002A7EE2"/>
    <w:rsid w:val="002B0474"/>
    <w:rsid w:val="002B04C5"/>
    <w:rsid w:val="002B0534"/>
    <w:rsid w:val="002B0687"/>
    <w:rsid w:val="002B09C6"/>
    <w:rsid w:val="002B0C43"/>
    <w:rsid w:val="002B0E2A"/>
    <w:rsid w:val="002B0F52"/>
    <w:rsid w:val="002B1071"/>
    <w:rsid w:val="002B129B"/>
    <w:rsid w:val="002B1ABF"/>
    <w:rsid w:val="002B1B49"/>
    <w:rsid w:val="002B1C33"/>
    <w:rsid w:val="002B29E2"/>
    <w:rsid w:val="002B2C11"/>
    <w:rsid w:val="002B3708"/>
    <w:rsid w:val="002B396D"/>
    <w:rsid w:val="002B3DA7"/>
    <w:rsid w:val="002B42DE"/>
    <w:rsid w:val="002B47FB"/>
    <w:rsid w:val="002B4C86"/>
    <w:rsid w:val="002B4D46"/>
    <w:rsid w:val="002B4FB2"/>
    <w:rsid w:val="002B5625"/>
    <w:rsid w:val="002B5B68"/>
    <w:rsid w:val="002B5F00"/>
    <w:rsid w:val="002B5F9C"/>
    <w:rsid w:val="002B6147"/>
    <w:rsid w:val="002B6282"/>
    <w:rsid w:val="002B63E7"/>
    <w:rsid w:val="002B6BB5"/>
    <w:rsid w:val="002B6BF6"/>
    <w:rsid w:val="002B7BFD"/>
    <w:rsid w:val="002B7E81"/>
    <w:rsid w:val="002B7F35"/>
    <w:rsid w:val="002B7F98"/>
    <w:rsid w:val="002C0170"/>
    <w:rsid w:val="002C0278"/>
    <w:rsid w:val="002C0857"/>
    <w:rsid w:val="002C099C"/>
    <w:rsid w:val="002C0B1F"/>
    <w:rsid w:val="002C0E18"/>
    <w:rsid w:val="002C180D"/>
    <w:rsid w:val="002C1F7B"/>
    <w:rsid w:val="002C2427"/>
    <w:rsid w:val="002C2773"/>
    <w:rsid w:val="002C2A4F"/>
    <w:rsid w:val="002C2A5F"/>
    <w:rsid w:val="002C2C9B"/>
    <w:rsid w:val="002C2DB9"/>
    <w:rsid w:val="002C3502"/>
    <w:rsid w:val="002C35B9"/>
    <w:rsid w:val="002C397B"/>
    <w:rsid w:val="002C39DA"/>
    <w:rsid w:val="002C3B01"/>
    <w:rsid w:val="002C3BA0"/>
    <w:rsid w:val="002C436C"/>
    <w:rsid w:val="002C47C4"/>
    <w:rsid w:val="002C509B"/>
    <w:rsid w:val="002C5357"/>
    <w:rsid w:val="002C555E"/>
    <w:rsid w:val="002C5B67"/>
    <w:rsid w:val="002C5CD2"/>
    <w:rsid w:val="002C65DE"/>
    <w:rsid w:val="002C666E"/>
    <w:rsid w:val="002C6BD4"/>
    <w:rsid w:val="002C6D72"/>
    <w:rsid w:val="002C6E41"/>
    <w:rsid w:val="002C7181"/>
    <w:rsid w:val="002C7436"/>
    <w:rsid w:val="002C748E"/>
    <w:rsid w:val="002C7BFF"/>
    <w:rsid w:val="002C7D3C"/>
    <w:rsid w:val="002D01E4"/>
    <w:rsid w:val="002D04DB"/>
    <w:rsid w:val="002D0A2C"/>
    <w:rsid w:val="002D0DDF"/>
    <w:rsid w:val="002D17A5"/>
    <w:rsid w:val="002D1AC7"/>
    <w:rsid w:val="002D1D54"/>
    <w:rsid w:val="002D2926"/>
    <w:rsid w:val="002D347E"/>
    <w:rsid w:val="002D3507"/>
    <w:rsid w:val="002D37D6"/>
    <w:rsid w:val="002D3921"/>
    <w:rsid w:val="002D3C72"/>
    <w:rsid w:val="002D3D09"/>
    <w:rsid w:val="002D3D17"/>
    <w:rsid w:val="002D3DB2"/>
    <w:rsid w:val="002D42A0"/>
    <w:rsid w:val="002D43E8"/>
    <w:rsid w:val="002D440D"/>
    <w:rsid w:val="002D4BF8"/>
    <w:rsid w:val="002D4C8C"/>
    <w:rsid w:val="002D4EF6"/>
    <w:rsid w:val="002D52D4"/>
    <w:rsid w:val="002D5367"/>
    <w:rsid w:val="002D545A"/>
    <w:rsid w:val="002D550B"/>
    <w:rsid w:val="002D59E5"/>
    <w:rsid w:val="002D5BC8"/>
    <w:rsid w:val="002D5C23"/>
    <w:rsid w:val="002D5C34"/>
    <w:rsid w:val="002D5C3B"/>
    <w:rsid w:val="002D5CBC"/>
    <w:rsid w:val="002D5DC3"/>
    <w:rsid w:val="002D6635"/>
    <w:rsid w:val="002D6B4D"/>
    <w:rsid w:val="002D759A"/>
    <w:rsid w:val="002D774E"/>
    <w:rsid w:val="002D79CA"/>
    <w:rsid w:val="002E05D3"/>
    <w:rsid w:val="002E0FD6"/>
    <w:rsid w:val="002E1388"/>
    <w:rsid w:val="002E13B3"/>
    <w:rsid w:val="002E16E6"/>
    <w:rsid w:val="002E17C5"/>
    <w:rsid w:val="002E1AD3"/>
    <w:rsid w:val="002E1B83"/>
    <w:rsid w:val="002E1C1F"/>
    <w:rsid w:val="002E1EA3"/>
    <w:rsid w:val="002E2688"/>
    <w:rsid w:val="002E28A0"/>
    <w:rsid w:val="002E2DA1"/>
    <w:rsid w:val="002E2DBC"/>
    <w:rsid w:val="002E3036"/>
    <w:rsid w:val="002E307D"/>
    <w:rsid w:val="002E34A3"/>
    <w:rsid w:val="002E36E1"/>
    <w:rsid w:val="002E39FE"/>
    <w:rsid w:val="002E3BF5"/>
    <w:rsid w:val="002E3E6F"/>
    <w:rsid w:val="002E3F75"/>
    <w:rsid w:val="002E4496"/>
    <w:rsid w:val="002E45B7"/>
    <w:rsid w:val="002E4721"/>
    <w:rsid w:val="002E486A"/>
    <w:rsid w:val="002E4DC4"/>
    <w:rsid w:val="002E5281"/>
    <w:rsid w:val="002E5E0E"/>
    <w:rsid w:val="002E5E2F"/>
    <w:rsid w:val="002E5E35"/>
    <w:rsid w:val="002E5F1C"/>
    <w:rsid w:val="002E5F3E"/>
    <w:rsid w:val="002E6219"/>
    <w:rsid w:val="002E62ED"/>
    <w:rsid w:val="002E6BF6"/>
    <w:rsid w:val="002E6D48"/>
    <w:rsid w:val="002E7003"/>
    <w:rsid w:val="002E736D"/>
    <w:rsid w:val="002E765E"/>
    <w:rsid w:val="002E7754"/>
    <w:rsid w:val="002E78AC"/>
    <w:rsid w:val="002F0875"/>
    <w:rsid w:val="002F0884"/>
    <w:rsid w:val="002F1A5B"/>
    <w:rsid w:val="002F1B87"/>
    <w:rsid w:val="002F1BB1"/>
    <w:rsid w:val="002F1C7E"/>
    <w:rsid w:val="002F2228"/>
    <w:rsid w:val="002F2B2D"/>
    <w:rsid w:val="002F2C95"/>
    <w:rsid w:val="002F3470"/>
    <w:rsid w:val="002F3532"/>
    <w:rsid w:val="002F3A0F"/>
    <w:rsid w:val="002F446E"/>
    <w:rsid w:val="002F4600"/>
    <w:rsid w:val="002F4C7E"/>
    <w:rsid w:val="002F4CA2"/>
    <w:rsid w:val="002F51B3"/>
    <w:rsid w:val="002F527B"/>
    <w:rsid w:val="002F5306"/>
    <w:rsid w:val="002F5570"/>
    <w:rsid w:val="002F55A4"/>
    <w:rsid w:val="002F5792"/>
    <w:rsid w:val="002F5C9A"/>
    <w:rsid w:val="002F6157"/>
    <w:rsid w:val="002F6254"/>
    <w:rsid w:val="002F62B1"/>
    <w:rsid w:val="002F6315"/>
    <w:rsid w:val="002F6432"/>
    <w:rsid w:val="002F64A0"/>
    <w:rsid w:val="002F69EB"/>
    <w:rsid w:val="002F6A64"/>
    <w:rsid w:val="002F6D11"/>
    <w:rsid w:val="002F6D57"/>
    <w:rsid w:val="002F6FC4"/>
    <w:rsid w:val="002F7255"/>
    <w:rsid w:val="002F7427"/>
    <w:rsid w:val="002F7640"/>
    <w:rsid w:val="002F7D6F"/>
    <w:rsid w:val="002F7DAA"/>
    <w:rsid w:val="00300450"/>
    <w:rsid w:val="003005AA"/>
    <w:rsid w:val="0030078C"/>
    <w:rsid w:val="00300E4E"/>
    <w:rsid w:val="00300EA5"/>
    <w:rsid w:val="00301004"/>
    <w:rsid w:val="0030148D"/>
    <w:rsid w:val="0030194F"/>
    <w:rsid w:val="00301F15"/>
    <w:rsid w:val="003020B4"/>
    <w:rsid w:val="003022B8"/>
    <w:rsid w:val="003023C4"/>
    <w:rsid w:val="003023EB"/>
    <w:rsid w:val="003026B9"/>
    <w:rsid w:val="00302883"/>
    <w:rsid w:val="003028FC"/>
    <w:rsid w:val="00302996"/>
    <w:rsid w:val="00302C73"/>
    <w:rsid w:val="003035B2"/>
    <w:rsid w:val="00303697"/>
    <w:rsid w:val="00303733"/>
    <w:rsid w:val="003037A9"/>
    <w:rsid w:val="00303A2F"/>
    <w:rsid w:val="00303C94"/>
    <w:rsid w:val="00303EE4"/>
    <w:rsid w:val="00304BF7"/>
    <w:rsid w:val="00304CF9"/>
    <w:rsid w:val="00304F0A"/>
    <w:rsid w:val="00304F22"/>
    <w:rsid w:val="00304FE8"/>
    <w:rsid w:val="0030527B"/>
    <w:rsid w:val="00305FA4"/>
    <w:rsid w:val="00306076"/>
    <w:rsid w:val="003060BB"/>
    <w:rsid w:val="0030617A"/>
    <w:rsid w:val="00306989"/>
    <w:rsid w:val="00307214"/>
    <w:rsid w:val="0030755C"/>
    <w:rsid w:val="00307675"/>
    <w:rsid w:val="00307ADA"/>
    <w:rsid w:val="00310015"/>
    <w:rsid w:val="0031005D"/>
    <w:rsid w:val="00310992"/>
    <w:rsid w:val="00310C0F"/>
    <w:rsid w:val="00311387"/>
    <w:rsid w:val="00311883"/>
    <w:rsid w:val="003119DF"/>
    <w:rsid w:val="003119F0"/>
    <w:rsid w:val="00311EEA"/>
    <w:rsid w:val="00312151"/>
    <w:rsid w:val="00312593"/>
    <w:rsid w:val="00312763"/>
    <w:rsid w:val="00312BDD"/>
    <w:rsid w:val="00312C06"/>
    <w:rsid w:val="00313177"/>
    <w:rsid w:val="0031351E"/>
    <w:rsid w:val="00313537"/>
    <w:rsid w:val="003135CD"/>
    <w:rsid w:val="003138AC"/>
    <w:rsid w:val="00313C59"/>
    <w:rsid w:val="00314373"/>
    <w:rsid w:val="00314425"/>
    <w:rsid w:val="003146EE"/>
    <w:rsid w:val="003149BA"/>
    <w:rsid w:val="00314C28"/>
    <w:rsid w:val="003153EA"/>
    <w:rsid w:val="00315536"/>
    <w:rsid w:val="0031563D"/>
    <w:rsid w:val="00315A29"/>
    <w:rsid w:val="003160B4"/>
    <w:rsid w:val="0031641C"/>
    <w:rsid w:val="00316745"/>
    <w:rsid w:val="00316CCF"/>
    <w:rsid w:val="00316D1E"/>
    <w:rsid w:val="003172D2"/>
    <w:rsid w:val="003176CD"/>
    <w:rsid w:val="003177C4"/>
    <w:rsid w:val="00317FE3"/>
    <w:rsid w:val="00320015"/>
    <w:rsid w:val="00320263"/>
    <w:rsid w:val="003209C7"/>
    <w:rsid w:val="00320A02"/>
    <w:rsid w:val="00320AB2"/>
    <w:rsid w:val="003219EA"/>
    <w:rsid w:val="003225D5"/>
    <w:rsid w:val="0032265B"/>
    <w:rsid w:val="0032271E"/>
    <w:rsid w:val="0032293A"/>
    <w:rsid w:val="003229A0"/>
    <w:rsid w:val="00322BC4"/>
    <w:rsid w:val="00323247"/>
    <w:rsid w:val="003232F1"/>
    <w:rsid w:val="003233CF"/>
    <w:rsid w:val="00323655"/>
    <w:rsid w:val="0032378E"/>
    <w:rsid w:val="00323C12"/>
    <w:rsid w:val="00323C80"/>
    <w:rsid w:val="00323CB9"/>
    <w:rsid w:val="00323D04"/>
    <w:rsid w:val="003243CB"/>
    <w:rsid w:val="003245FB"/>
    <w:rsid w:val="0032477D"/>
    <w:rsid w:val="00324BA0"/>
    <w:rsid w:val="003250E2"/>
    <w:rsid w:val="0032569E"/>
    <w:rsid w:val="00325BC7"/>
    <w:rsid w:val="00326344"/>
    <w:rsid w:val="00326522"/>
    <w:rsid w:val="003270BF"/>
    <w:rsid w:val="003270C2"/>
    <w:rsid w:val="00327308"/>
    <w:rsid w:val="003277B3"/>
    <w:rsid w:val="00327A0C"/>
    <w:rsid w:val="003301A3"/>
    <w:rsid w:val="00330353"/>
    <w:rsid w:val="0033063D"/>
    <w:rsid w:val="0033094F"/>
    <w:rsid w:val="00330C46"/>
    <w:rsid w:val="00330D77"/>
    <w:rsid w:val="00330FFD"/>
    <w:rsid w:val="00331186"/>
    <w:rsid w:val="0033149A"/>
    <w:rsid w:val="00331B79"/>
    <w:rsid w:val="00331DCA"/>
    <w:rsid w:val="00332129"/>
    <w:rsid w:val="00332736"/>
    <w:rsid w:val="0033322F"/>
    <w:rsid w:val="003332EC"/>
    <w:rsid w:val="0033342F"/>
    <w:rsid w:val="00333EDB"/>
    <w:rsid w:val="003347D0"/>
    <w:rsid w:val="003347EC"/>
    <w:rsid w:val="00334912"/>
    <w:rsid w:val="00334969"/>
    <w:rsid w:val="00335779"/>
    <w:rsid w:val="0033637A"/>
    <w:rsid w:val="00336C17"/>
    <w:rsid w:val="00336CE8"/>
    <w:rsid w:val="00336FF2"/>
    <w:rsid w:val="0033709A"/>
    <w:rsid w:val="00337375"/>
    <w:rsid w:val="003376B5"/>
    <w:rsid w:val="003376DF"/>
    <w:rsid w:val="003402DF"/>
    <w:rsid w:val="003405F6"/>
    <w:rsid w:val="00340A89"/>
    <w:rsid w:val="00340D16"/>
    <w:rsid w:val="00340D94"/>
    <w:rsid w:val="00340EB5"/>
    <w:rsid w:val="003411B8"/>
    <w:rsid w:val="00341361"/>
    <w:rsid w:val="003415C8"/>
    <w:rsid w:val="00341682"/>
    <w:rsid w:val="00341AD8"/>
    <w:rsid w:val="003424B9"/>
    <w:rsid w:val="00342A29"/>
    <w:rsid w:val="00342CF5"/>
    <w:rsid w:val="00343AF7"/>
    <w:rsid w:val="00343D26"/>
    <w:rsid w:val="00343D77"/>
    <w:rsid w:val="00343E1B"/>
    <w:rsid w:val="00343F18"/>
    <w:rsid w:val="00344CBB"/>
    <w:rsid w:val="00345308"/>
    <w:rsid w:val="003455FE"/>
    <w:rsid w:val="00345652"/>
    <w:rsid w:val="00345B4F"/>
    <w:rsid w:val="0034620F"/>
    <w:rsid w:val="00346216"/>
    <w:rsid w:val="0034672E"/>
    <w:rsid w:val="00346BB9"/>
    <w:rsid w:val="00346CED"/>
    <w:rsid w:val="00346FD8"/>
    <w:rsid w:val="00347577"/>
    <w:rsid w:val="0034782B"/>
    <w:rsid w:val="00347C46"/>
    <w:rsid w:val="00347FAD"/>
    <w:rsid w:val="00350DDB"/>
    <w:rsid w:val="00351A7F"/>
    <w:rsid w:val="00352465"/>
    <w:rsid w:val="003524B1"/>
    <w:rsid w:val="003525C0"/>
    <w:rsid w:val="0035262D"/>
    <w:rsid w:val="00352CFB"/>
    <w:rsid w:val="00352F20"/>
    <w:rsid w:val="0035309E"/>
    <w:rsid w:val="003530B9"/>
    <w:rsid w:val="00353174"/>
    <w:rsid w:val="003533E6"/>
    <w:rsid w:val="00353798"/>
    <w:rsid w:val="0035396F"/>
    <w:rsid w:val="003541D1"/>
    <w:rsid w:val="003541DB"/>
    <w:rsid w:val="00354278"/>
    <w:rsid w:val="003544D9"/>
    <w:rsid w:val="0035489B"/>
    <w:rsid w:val="003548D7"/>
    <w:rsid w:val="003548F0"/>
    <w:rsid w:val="00354D94"/>
    <w:rsid w:val="00354FF0"/>
    <w:rsid w:val="003550C7"/>
    <w:rsid w:val="0035562A"/>
    <w:rsid w:val="003559AA"/>
    <w:rsid w:val="00355E80"/>
    <w:rsid w:val="00355FEC"/>
    <w:rsid w:val="003564E7"/>
    <w:rsid w:val="003565C4"/>
    <w:rsid w:val="003566E9"/>
    <w:rsid w:val="003569F1"/>
    <w:rsid w:val="00356F11"/>
    <w:rsid w:val="00357214"/>
    <w:rsid w:val="003577EB"/>
    <w:rsid w:val="00357869"/>
    <w:rsid w:val="0035791D"/>
    <w:rsid w:val="003607A0"/>
    <w:rsid w:val="00360CBD"/>
    <w:rsid w:val="00360D4F"/>
    <w:rsid w:val="00360D68"/>
    <w:rsid w:val="00361072"/>
    <w:rsid w:val="003613A9"/>
    <w:rsid w:val="00361851"/>
    <w:rsid w:val="00361D52"/>
    <w:rsid w:val="00362461"/>
    <w:rsid w:val="003628AA"/>
    <w:rsid w:val="00362D37"/>
    <w:rsid w:val="003632EB"/>
    <w:rsid w:val="00363423"/>
    <w:rsid w:val="00363DA3"/>
    <w:rsid w:val="0036400A"/>
    <w:rsid w:val="00364B18"/>
    <w:rsid w:val="00364D63"/>
    <w:rsid w:val="00365105"/>
    <w:rsid w:val="0036579C"/>
    <w:rsid w:val="003657E7"/>
    <w:rsid w:val="00365E78"/>
    <w:rsid w:val="00366857"/>
    <w:rsid w:val="003676EB"/>
    <w:rsid w:val="00370449"/>
    <w:rsid w:val="003708DD"/>
    <w:rsid w:val="003709D4"/>
    <w:rsid w:val="00370B5A"/>
    <w:rsid w:val="00370DAC"/>
    <w:rsid w:val="00370EE0"/>
    <w:rsid w:val="003713B0"/>
    <w:rsid w:val="003714A5"/>
    <w:rsid w:val="0037177B"/>
    <w:rsid w:val="003717F5"/>
    <w:rsid w:val="00371B3D"/>
    <w:rsid w:val="00372850"/>
    <w:rsid w:val="00372888"/>
    <w:rsid w:val="003728FE"/>
    <w:rsid w:val="00372C62"/>
    <w:rsid w:val="00372E16"/>
    <w:rsid w:val="00372E17"/>
    <w:rsid w:val="00372F44"/>
    <w:rsid w:val="0037362F"/>
    <w:rsid w:val="003736FF"/>
    <w:rsid w:val="0037380C"/>
    <w:rsid w:val="00374783"/>
    <w:rsid w:val="00374ACD"/>
    <w:rsid w:val="00374DD9"/>
    <w:rsid w:val="003750B5"/>
    <w:rsid w:val="00375135"/>
    <w:rsid w:val="00375165"/>
    <w:rsid w:val="00375520"/>
    <w:rsid w:val="00375687"/>
    <w:rsid w:val="00375E01"/>
    <w:rsid w:val="003763FF"/>
    <w:rsid w:val="00377224"/>
    <w:rsid w:val="00377360"/>
    <w:rsid w:val="0037737B"/>
    <w:rsid w:val="003774E1"/>
    <w:rsid w:val="003777B8"/>
    <w:rsid w:val="00377A8B"/>
    <w:rsid w:val="00377BAD"/>
    <w:rsid w:val="00377FA1"/>
    <w:rsid w:val="003809D0"/>
    <w:rsid w:val="00380A1B"/>
    <w:rsid w:val="0038138B"/>
    <w:rsid w:val="0038196D"/>
    <w:rsid w:val="00381DCB"/>
    <w:rsid w:val="00381DD2"/>
    <w:rsid w:val="00381F87"/>
    <w:rsid w:val="00382161"/>
    <w:rsid w:val="003821D7"/>
    <w:rsid w:val="00382EFE"/>
    <w:rsid w:val="003834EB"/>
    <w:rsid w:val="0038366A"/>
    <w:rsid w:val="003838D8"/>
    <w:rsid w:val="00383A59"/>
    <w:rsid w:val="00383FF3"/>
    <w:rsid w:val="00384485"/>
    <w:rsid w:val="00384800"/>
    <w:rsid w:val="00384833"/>
    <w:rsid w:val="00384B1C"/>
    <w:rsid w:val="00384B1D"/>
    <w:rsid w:val="00384CD4"/>
    <w:rsid w:val="00384EA5"/>
    <w:rsid w:val="0038505C"/>
    <w:rsid w:val="003853A1"/>
    <w:rsid w:val="0038574F"/>
    <w:rsid w:val="00385BBE"/>
    <w:rsid w:val="00385D5C"/>
    <w:rsid w:val="003862AE"/>
    <w:rsid w:val="00386843"/>
    <w:rsid w:val="00386C4E"/>
    <w:rsid w:val="00386E5D"/>
    <w:rsid w:val="00387E97"/>
    <w:rsid w:val="003902AD"/>
    <w:rsid w:val="003902C1"/>
    <w:rsid w:val="00390619"/>
    <w:rsid w:val="00390919"/>
    <w:rsid w:val="00390A7C"/>
    <w:rsid w:val="00390A91"/>
    <w:rsid w:val="00390AFB"/>
    <w:rsid w:val="0039142B"/>
    <w:rsid w:val="00391545"/>
    <w:rsid w:val="00391A35"/>
    <w:rsid w:val="00391E07"/>
    <w:rsid w:val="00392721"/>
    <w:rsid w:val="00392A6F"/>
    <w:rsid w:val="00392F69"/>
    <w:rsid w:val="00393110"/>
    <w:rsid w:val="00393B0C"/>
    <w:rsid w:val="00393DB1"/>
    <w:rsid w:val="00393DD4"/>
    <w:rsid w:val="003946AC"/>
    <w:rsid w:val="003947C0"/>
    <w:rsid w:val="00394F17"/>
    <w:rsid w:val="00395338"/>
    <w:rsid w:val="00395600"/>
    <w:rsid w:val="00395B97"/>
    <w:rsid w:val="0039698D"/>
    <w:rsid w:val="00396CE3"/>
    <w:rsid w:val="00397340"/>
    <w:rsid w:val="00397572"/>
    <w:rsid w:val="0039788C"/>
    <w:rsid w:val="003A000E"/>
    <w:rsid w:val="003A02FD"/>
    <w:rsid w:val="003A03EF"/>
    <w:rsid w:val="003A04A9"/>
    <w:rsid w:val="003A05C7"/>
    <w:rsid w:val="003A0717"/>
    <w:rsid w:val="003A074E"/>
    <w:rsid w:val="003A0F0B"/>
    <w:rsid w:val="003A1265"/>
    <w:rsid w:val="003A14BF"/>
    <w:rsid w:val="003A1531"/>
    <w:rsid w:val="003A1CFF"/>
    <w:rsid w:val="003A2BB7"/>
    <w:rsid w:val="003A312D"/>
    <w:rsid w:val="003A3520"/>
    <w:rsid w:val="003A3535"/>
    <w:rsid w:val="003A37BF"/>
    <w:rsid w:val="003A4216"/>
    <w:rsid w:val="003A4AB4"/>
    <w:rsid w:val="003A4C61"/>
    <w:rsid w:val="003A4D4A"/>
    <w:rsid w:val="003A4F09"/>
    <w:rsid w:val="003A546F"/>
    <w:rsid w:val="003A565B"/>
    <w:rsid w:val="003A5962"/>
    <w:rsid w:val="003A5C29"/>
    <w:rsid w:val="003A5D24"/>
    <w:rsid w:val="003A5DEB"/>
    <w:rsid w:val="003A5F75"/>
    <w:rsid w:val="003A61D4"/>
    <w:rsid w:val="003A6240"/>
    <w:rsid w:val="003A63B8"/>
    <w:rsid w:val="003A648B"/>
    <w:rsid w:val="003A6592"/>
    <w:rsid w:val="003A69A1"/>
    <w:rsid w:val="003A6A14"/>
    <w:rsid w:val="003A6A20"/>
    <w:rsid w:val="003A6B43"/>
    <w:rsid w:val="003A6ED9"/>
    <w:rsid w:val="003A6FDD"/>
    <w:rsid w:val="003A72E4"/>
    <w:rsid w:val="003A7535"/>
    <w:rsid w:val="003A7616"/>
    <w:rsid w:val="003A799B"/>
    <w:rsid w:val="003A7CBB"/>
    <w:rsid w:val="003A7D18"/>
    <w:rsid w:val="003B00C2"/>
    <w:rsid w:val="003B07D1"/>
    <w:rsid w:val="003B0A3B"/>
    <w:rsid w:val="003B0B89"/>
    <w:rsid w:val="003B0DFF"/>
    <w:rsid w:val="003B0F91"/>
    <w:rsid w:val="003B12DB"/>
    <w:rsid w:val="003B166A"/>
    <w:rsid w:val="003B1AF6"/>
    <w:rsid w:val="003B1B75"/>
    <w:rsid w:val="003B2C3B"/>
    <w:rsid w:val="003B2E0C"/>
    <w:rsid w:val="003B2EEF"/>
    <w:rsid w:val="003B2FBC"/>
    <w:rsid w:val="003B32CC"/>
    <w:rsid w:val="003B35CB"/>
    <w:rsid w:val="003B497D"/>
    <w:rsid w:val="003B498A"/>
    <w:rsid w:val="003B4BD8"/>
    <w:rsid w:val="003B4D75"/>
    <w:rsid w:val="003B4DA2"/>
    <w:rsid w:val="003B4DDF"/>
    <w:rsid w:val="003B4E68"/>
    <w:rsid w:val="003B4E76"/>
    <w:rsid w:val="003B4EE8"/>
    <w:rsid w:val="003B50C0"/>
    <w:rsid w:val="003B50EF"/>
    <w:rsid w:val="003B545C"/>
    <w:rsid w:val="003B57B7"/>
    <w:rsid w:val="003B5DA5"/>
    <w:rsid w:val="003B5E19"/>
    <w:rsid w:val="003B64D8"/>
    <w:rsid w:val="003B6D36"/>
    <w:rsid w:val="003B76F4"/>
    <w:rsid w:val="003B77B9"/>
    <w:rsid w:val="003B78AC"/>
    <w:rsid w:val="003C0428"/>
    <w:rsid w:val="003C08BD"/>
    <w:rsid w:val="003C1263"/>
    <w:rsid w:val="003C1A62"/>
    <w:rsid w:val="003C1E2C"/>
    <w:rsid w:val="003C1EF9"/>
    <w:rsid w:val="003C20BA"/>
    <w:rsid w:val="003C211B"/>
    <w:rsid w:val="003C27F3"/>
    <w:rsid w:val="003C2992"/>
    <w:rsid w:val="003C2F43"/>
    <w:rsid w:val="003C32FC"/>
    <w:rsid w:val="003C3793"/>
    <w:rsid w:val="003C3ABE"/>
    <w:rsid w:val="003C3FD4"/>
    <w:rsid w:val="003C457C"/>
    <w:rsid w:val="003C49A9"/>
    <w:rsid w:val="003C4EBE"/>
    <w:rsid w:val="003C5564"/>
    <w:rsid w:val="003C558C"/>
    <w:rsid w:val="003C5807"/>
    <w:rsid w:val="003C5A3A"/>
    <w:rsid w:val="003C5B31"/>
    <w:rsid w:val="003C5CC4"/>
    <w:rsid w:val="003C6367"/>
    <w:rsid w:val="003C66C3"/>
    <w:rsid w:val="003C67EB"/>
    <w:rsid w:val="003C6E22"/>
    <w:rsid w:val="003C6F87"/>
    <w:rsid w:val="003C7429"/>
    <w:rsid w:val="003C7502"/>
    <w:rsid w:val="003C755F"/>
    <w:rsid w:val="003C75BD"/>
    <w:rsid w:val="003C7E0E"/>
    <w:rsid w:val="003D0702"/>
    <w:rsid w:val="003D07CE"/>
    <w:rsid w:val="003D0802"/>
    <w:rsid w:val="003D098A"/>
    <w:rsid w:val="003D0B7A"/>
    <w:rsid w:val="003D0E03"/>
    <w:rsid w:val="003D1303"/>
    <w:rsid w:val="003D1634"/>
    <w:rsid w:val="003D17E4"/>
    <w:rsid w:val="003D1982"/>
    <w:rsid w:val="003D1A6C"/>
    <w:rsid w:val="003D1AE5"/>
    <w:rsid w:val="003D1AEC"/>
    <w:rsid w:val="003D1BA0"/>
    <w:rsid w:val="003D23D5"/>
    <w:rsid w:val="003D2533"/>
    <w:rsid w:val="003D295D"/>
    <w:rsid w:val="003D2F1C"/>
    <w:rsid w:val="003D2FE6"/>
    <w:rsid w:val="003D315A"/>
    <w:rsid w:val="003D3500"/>
    <w:rsid w:val="003D384C"/>
    <w:rsid w:val="003D3C58"/>
    <w:rsid w:val="003D3CD1"/>
    <w:rsid w:val="003D4417"/>
    <w:rsid w:val="003D489A"/>
    <w:rsid w:val="003D4974"/>
    <w:rsid w:val="003D4AED"/>
    <w:rsid w:val="003D4EA6"/>
    <w:rsid w:val="003D4FB9"/>
    <w:rsid w:val="003D5944"/>
    <w:rsid w:val="003D5C91"/>
    <w:rsid w:val="003D5D05"/>
    <w:rsid w:val="003D5ECA"/>
    <w:rsid w:val="003D5FB6"/>
    <w:rsid w:val="003D63D1"/>
    <w:rsid w:val="003D64B9"/>
    <w:rsid w:val="003D66AA"/>
    <w:rsid w:val="003D6CBF"/>
    <w:rsid w:val="003D6F2B"/>
    <w:rsid w:val="003D726B"/>
    <w:rsid w:val="003D72CC"/>
    <w:rsid w:val="003D7618"/>
    <w:rsid w:val="003D7BDC"/>
    <w:rsid w:val="003D7BFD"/>
    <w:rsid w:val="003D7D05"/>
    <w:rsid w:val="003D7FA5"/>
    <w:rsid w:val="003E03C3"/>
    <w:rsid w:val="003E064B"/>
    <w:rsid w:val="003E067B"/>
    <w:rsid w:val="003E0E09"/>
    <w:rsid w:val="003E11A4"/>
    <w:rsid w:val="003E1613"/>
    <w:rsid w:val="003E1A29"/>
    <w:rsid w:val="003E1AD1"/>
    <w:rsid w:val="003E1D3E"/>
    <w:rsid w:val="003E2244"/>
    <w:rsid w:val="003E230A"/>
    <w:rsid w:val="003E236D"/>
    <w:rsid w:val="003E2512"/>
    <w:rsid w:val="003E2B9C"/>
    <w:rsid w:val="003E2CFE"/>
    <w:rsid w:val="003E2E8C"/>
    <w:rsid w:val="003E3009"/>
    <w:rsid w:val="003E308A"/>
    <w:rsid w:val="003E356B"/>
    <w:rsid w:val="003E367A"/>
    <w:rsid w:val="003E37A4"/>
    <w:rsid w:val="003E3B07"/>
    <w:rsid w:val="003E3C87"/>
    <w:rsid w:val="003E3E23"/>
    <w:rsid w:val="003E4075"/>
    <w:rsid w:val="003E4136"/>
    <w:rsid w:val="003E4338"/>
    <w:rsid w:val="003E4B5F"/>
    <w:rsid w:val="003E4E45"/>
    <w:rsid w:val="003E5BD4"/>
    <w:rsid w:val="003E5E1C"/>
    <w:rsid w:val="003E61CB"/>
    <w:rsid w:val="003E652F"/>
    <w:rsid w:val="003E6BA9"/>
    <w:rsid w:val="003E6E90"/>
    <w:rsid w:val="003E731F"/>
    <w:rsid w:val="003E7AFC"/>
    <w:rsid w:val="003E7C04"/>
    <w:rsid w:val="003E7C14"/>
    <w:rsid w:val="003E7C95"/>
    <w:rsid w:val="003E7FDA"/>
    <w:rsid w:val="003F01F7"/>
    <w:rsid w:val="003F0570"/>
    <w:rsid w:val="003F0708"/>
    <w:rsid w:val="003F0D15"/>
    <w:rsid w:val="003F1283"/>
    <w:rsid w:val="003F13F6"/>
    <w:rsid w:val="003F148F"/>
    <w:rsid w:val="003F174E"/>
    <w:rsid w:val="003F18C5"/>
    <w:rsid w:val="003F1A53"/>
    <w:rsid w:val="003F1F13"/>
    <w:rsid w:val="003F2454"/>
    <w:rsid w:val="003F2716"/>
    <w:rsid w:val="003F29E1"/>
    <w:rsid w:val="003F2DAF"/>
    <w:rsid w:val="003F2ED2"/>
    <w:rsid w:val="003F3246"/>
    <w:rsid w:val="003F3276"/>
    <w:rsid w:val="003F3772"/>
    <w:rsid w:val="003F3A1B"/>
    <w:rsid w:val="003F3BB1"/>
    <w:rsid w:val="003F3ED2"/>
    <w:rsid w:val="003F40B6"/>
    <w:rsid w:val="003F4627"/>
    <w:rsid w:val="003F4850"/>
    <w:rsid w:val="003F4ABA"/>
    <w:rsid w:val="003F4FB4"/>
    <w:rsid w:val="003F53B6"/>
    <w:rsid w:val="003F5494"/>
    <w:rsid w:val="003F54D5"/>
    <w:rsid w:val="003F6169"/>
    <w:rsid w:val="003F6645"/>
    <w:rsid w:val="003F689E"/>
    <w:rsid w:val="003F72D7"/>
    <w:rsid w:val="003F747C"/>
    <w:rsid w:val="003F77A6"/>
    <w:rsid w:val="003F77DA"/>
    <w:rsid w:val="003F7B2D"/>
    <w:rsid w:val="003F7C7A"/>
    <w:rsid w:val="003F7EBB"/>
    <w:rsid w:val="003F7ECA"/>
    <w:rsid w:val="003F7F3F"/>
    <w:rsid w:val="0040065E"/>
    <w:rsid w:val="0040098F"/>
    <w:rsid w:val="00400BA3"/>
    <w:rsid w:val="00400C08"/>
    <w:rsid w:val="00400C8E"/>
    <w:rsid w:val="00400D40"/>
    <w:rsid w:val="0040144A"/>
    <w:rsid w:val="004014C9"/>
    <w:rsid w:val="00401A6E"/>
    <w:rsid w:val="00401B46"/>
    <w:rsid w:val="00401D0F"/>
    <w:rsid w:val="00401DDB"/>
    <w:rsid w:val="00402889"/>
    <w:rsid w:val="004028FD"/>
    <w:rsid w:val="00402B5F"/>
    <w:rsid w:val="00402C3D"/>
    <w:rsid w:val="00403087"/>
    <w:rsid w:val="004034C0"/>
    <w:rsid w:val="00403A5F"/>
    <w:rsid w:val="00403A91"/>
    <w:rsid w:val="00403C8D"/>
    <w:rsid w:val="00403D81"/>
    <w:rsid w:val="00403EDA"/>
    <w:rsid w:val="00403F44"/>
    <w:rsid w:val="0040409C"/>
    <w:rsid w:val="00404A45"/>
    <w:rsid w:val="00404D17"/>
    <w:rsid w:val="00405576"/>
    <w:rsid w:val="004058B8"/>
    <w:rsid w:val="00405A09"/>
    <w:rsid w:val="00405B3F"/>
    <w:rsid w:val="00406113"/>
    <w:rsid w:val="00406315"/>
    <w:rsid w:val="004063C4"/>
    <w:rsid w:val="0040647F"/>
    <w:rsid w:val="00406928"/>
    <w:rsid w:val="0040693D"/>
    <w:rsid w:val="004072FC"/>
    <w:rsid w:val="004074CB"/>
    <w:rsid w:val="004078F5"/>
    <w:rsid w:val="00407D7D"/>
    <w:rsid w:val="00407EDD"/>
    <w:rsid w:val="0041014C"/>
    <w:rsid w:val="00410247"/>
    <w:rsid w:val="00410B00"/>
    <w:rsid w:val="00410B21"/>
    <w:rsid w:val="00410B24"/>
    <w:rsid w:val="00410E12"/>
    <w:rsid w:val="00410E3B"/>
    <w:rsid w:val="004115C8"/>
    <w:rsid w:val="004118DA"/>
    <w:rsid w:val="004137AA"/>
    <w:rsid w:val="00413975"/>
    <w:rsid w:val="00413B36"/>
    <w:rsid w:val="00413BE9"/>
    <w:rsid w:val="00413E03"/>
    <w:rsid w:val="00413E97"/>
    <w:rsid w:val="004143DB"/>
    <w:rsid w:val="00414E73"/>
    <w:rsid w:val="00415330"/>
    <w:rsid w:val="00415367"/>
    <w:rsid w:val="004161C2"/>
    <w:rsid w:val="004163F8"/>
    <w:rsid w:val="004170A6"/>
    <w:rsid w:val="004174CB"/>
    <w:rsid w:val="004176BC"/>
    <w:rsid w:val="004176EB"/>
    <w:rsid w:val="004177A1"/>
    <w:rsid w:val="00417C3F"/>
    <w:rsid w:val="00417CB0"/>
    <w:rsid w:val="00417E9D"/>
    <w:rsid w:val="00417F47"/>
    <w:rsid w:val="00417FB8"/>
    <w:rsid w:val="00420584"/>
    <w:rsid w:val="004207B4"/>
    <w:rsid w:val="00420A61"/>
    <w:rsid w:val="00421048"/>
    <w:rsid w:val="0042164F"/>
    <w:rsid w:val="00421E8E"/>
    <w:rsid w:val="0042203D"/>
    <w:rsid w:val="00422084"/>
    <w:rsid w:val="004220CA"/>
    <w:rsid w:val="004220E5"/>
    <w:rsid w:val="00422A93"/>
    <w:rsid w:val="00422BB1"/>
    <w:rsid w:val="00422CB7"/>
    <w:rsid w:val="00422E7D"/>
    <w:rsid w:val="0042314F"/>
    <w:rsid w:val="0042315B"/>
    <w:rsid w:val="00423EA1"/>
    <w:rsid w:val="004247A9"/>
    <w:rsid w:val="00424D21"/>
    <w:rsid w:val="00424F1F"/>
    <w:rsid w:val="00424F3C"/>
    <w:rsid w:val="00425333"/>
    <w:rsid w:val="004256E2"/>
    <w:rsid w:val="00425A82"/>
    <w:rsid w:val="00425C24"/>
    <w:rsid w:val="00425EB0"/>
    <w:rsid w:val="0042646A"/>
    <w:rsid w:val="00426BBC"/>
    <w:rsid w:val="00427238"/>
    <w:rsid w:val="004273BF"/>
    <w:rsid w:val="0042760E"/>
    <w:rsid w:val="0042767A"/>
    <w:rsid w:val="00427E91"/>
    <w:rsid w:val="004311FF"/>
    <w:rsid w:val="00431211"/>
    <w:rsid w:val="0043123F"/>
    <w:rsid w:val="004314B6"/>
    <w:rsid w:val="00432185"/>
    <w:rsid w:val="00432447"/>
    <w:rsid w:val="00432B50"/>
    <w:rsid w:val="00432D97"/>
    <w:rsid w:val="00432F21"/>
    <w:rsid w:val="004332A0"/>
    <w:rsid w:val="004336D1"/>
    <w:rsid w:val="004337DF"/>
    <w:rsid w:val="004338BE"/>
    <w:rsid w:val="00433964"/>
    <w:rsid w:val="004342CE"/>
    <w:rsid w:val="004343AD"/>
    <w:rsid w:val="004349D9"/>
    <w:rsid w:val="00434C7F"/>
    <w:rsid w:val="004353AE"/>
    <w:rsid w:val="0043544F"/>
    <w:rsid w:val="004360C4"/>
    <w:rsid w:val="004362C0"/>
    <w:rsid w:val="00436425"/>
    <w:rsid w:val="004364E6"/>
    <w:rsid w:val="00436638"/>
    <w:rsid w:val="00436B27"/>
    <w:rsid w:val="00437069"/>
    <w:rsid w:val="0043710F"/>
    <w:rsid w:val="0043712E"/>
    <w:rsid w:val="00437E12"/>
    <w:rsid w:val="004400BC"/>
    <w:rsid w:val="00440B54"/>
    <w:rsid w:val="00440B81"/>
    <w:rsid w:val="00440BD9"/>
    <w:rsid w:val="00440F39"/>
    <w:rsid w:val="004412E8"/>
    <w:rsid w:val="0044189C"/>
    <w:rsid w:val="00441947"/>
    <w:rsid w:val="00441D2E"/>
    <w:rsid w:val="0044296C"/>
    <w:rsid w:val="0044305F"/>
    <w:rsid w:val="00443331"/>
    <w:rsid w:val="00443464"/>
    <w:rsid w:val="00443561"/>
    <w:rsid w:val="00443591"/>
    <w:rsid w:val="00444859"/>
    <w:rsid w:val="00444A0A"/>
    <w:rsid w:val="00444BA5"/>
    <w:rsid w:val="00444C04"/>
    <w:rsid w:val="00444DCE"/>
    <w:rsid w:val="0044501E"/>
    <w:rsid w:val="00445773"/>
    <w:rsid w:val="0044580B"/>
    <w:rsid w:val="00445B35"/>
    <w:rsid w:val="00445DFA"/>
    <w:rsid w:val="004462BD"/>
    <w:rsid w:val="004462FA"/>
    <w:rsid w:val="0044692E"/>
    <w:rsid w:val="0044732A"/>
    <w:rsid w:val="0044747E"/>
    <w:rsid w:val="00447CBD"/>
    <w:rsid w:val="00447D22"/>
    <w:rsid w:val="00450010"/>
    <w:rsid w:val="004501FE"/>
    <w:rsid w:val="00450BC1"/>
    <w:rsid w:val="00451103"/>
    <w:rsid w:val="0045165E"/>
    <w:rsid w:val="004519C6"/>
    <w:rsid w:val="00451E6D"/>
    <w:rsid w:val="00451F2C"/>
    <w:rsid w:val="0045203F"/>
    <w:rsid w:val="004520DB"/>
    <w:rsid w:val="004521E8"/>
    <w:rsid w:val="00452485"/>
    <w:rsid w:val="00452550"/>
    <w:rsid w:val="004525A5"/>
    <w:rsid w:val="00452613"/>
    <w:rsid w:val="004526B0"/>
    <w:rsid w:val="00453228"/>
    <w:rsid w:val="004534FB"/>
    <w:rsid w:val="00453DB2"/>
    <w:rsid w:val="00453E81"/>
    <w:rsid w:val="00453F45"/>
    <w:rsid w:val="0045442E"/>
    <w:rsid w:val="0045445E"/>
    <w:rsid w:val="00454471"/>
    <w:rsid w:val="00454829"/>
    <w:rsid w:val="00454D4D"/>
    <w:rsid w:val="00454F1D"/>
    <w:rsid w:val="00454FEF"/>
    <w:rsid w:val="00455817"/>
    <w:rsid w:val="00455982"/>
    <w:rsid w:val="00455AE4"/>
    <w:rsid w:val="004569E8"/>
    <w:rsid w:val="00456BD9"/>
    <w:rsid w:val="00457034"/>
    <w:rsid w:val="004574FC"/>
    <w:rsid w:val="00457512"/>
    <w:rsid w:val="00457BAA"/>
    <w:rsid w:val="00457EC6"/>
    <w:rsid w:val="00460981"/>
    <w:rsid w:val="004609DE"/>
    <w:rsid w:val="00461045"/>
    <w:rsid w:val="004612F6"/>
    <w:rsid w:val="00461A3E"/>
    <w:rsid w:val="00461AD5"/>
    <w:rsid w:val="00461DC0"/>
    <w:rsid w:val="00462516"/>
    <w:rsid w:val="00462699"/>
    <w:rsid w:val="00462787"/>
    <w:rsid w:val="004628F0"/>
    <w:rsid w:val="00462AAF"/>
    <w:rsid w:val="00462D54"/>
    <w:rsid w:val="00462D63"/>
    <w:rsid w:val="004636BC"/>
    <w:rsid w:val="00463886"/>
    <w:rsid w:val="004638A7"/>
    <w:rsid w:val="0046395D"/>
    <w:rsid w:val="00463ADC"/>
    <w:rsid w:val="00463AF8"/>
    <w:rsid w:val="004644E4"/>
    <w:rsid w:val="004645DD"/>
    <w:rsid w:val="0046482A"/>
    <w:rsid w:val="00464E03"/>
    <w:rsid w:val="00464F36"/>
    <w:rsid w:val="00464F3A"/>
    <w:rsid w:val="0046507A"/>
    <w:rsid w:val="0046528B"/>
    <w:rsid w:val="0046568B"/>
    <w:rsid w:val="0046569B"/>
    <w:rsid w:val="00466121"/>
    <w:rsid w:val="00466912"/>
    <w:rsid w:val="00466CD1"/>
    <w:rsid w:val="00467032"/>
    <w:rsid w:val="004670C3"/>
    <w:rsid w:val="00467686"/>
    <w:rsid w:val="00467792"/>
    <w:rsid w:val="004679AB"/>
    <w:rsid w:val="00470274"/>
    <w:rsid w:val="004705A6"/>
    <w:rsid w:val="00470B06"/>
    <w:rsid w:val="00471665"/>
    <w:rsid w:val="0047195F"/>
    <w:rsid w:val="00471A9E"/>
    <w:rsid w:val="00471AB1"/>
    <w:rsid w:val="00471B86"/>
    <w:rsid w:val="00472227"/>
    <w:rsid w:val="004727E2"/>
    <w:rsid w:val="00472E0B"/>
    <w:rsid w:val="00472E55"/>
    <w:rsid w:val="00472E9C"/>
    <w:rsid w:val="0047312A"/>
    <w:rsid w:val="004732E6"/>
    <w:rsid w:val="00473BD0"/>
    <w:rsid w:val="00473E2B"/>
    <w:rsid w:val="00473FF9"/>
    <w:rsid w:val="00474927"/>
    <w:rsid w:val="00474B4E"/>
    <w:rsid w:val="00474E6B"/>
    <w:rsid w:val="00474E70"/>
    <w:rsid w:val="00474FBE"/>
    <w:rsid w:val="00475122"/>
    <w:rsid w:val="0047540F"/>
    <w:rsid w:val="00475438"/>
    <w:rsid w:val="00476260"/>
    <w:rsid w:val="00476822"/>
    <w:rsid w:val="00476F8F"/>
    <w:rsid w:val="004772FF"/>
    <w:rsid w:val="00477324"/>
    <w:rsid w:val="00480310"/>
    <w:rsid w:val="0048048A"/>
    <w:rsid w:val="004807FF"/>
    <w:rsid w:val="004808F6"/>
    <w:rsid w:val="00480984"/>
    <w:rsid w:val="00480EB4"/>
    <w:rsid w:val="00481705"/>
    <w:rsid w:val="00481966"/>
    <w:rsid w:val="00481FA5"/>
    <w:rsid w:val="00482044"/>
    <w:rsid w:val="00482254"/>
    <w:rsid w:val="004823C6"/>
    <w:rsid w:val="0048252E"/>
    <w:rsid w:val="00482F51"/>
    <w:rsid w:val="00483166"/>
    <w:rsid w:val="0048333B"/>
    <w:rsid w:val="0048365C"/>
    <w:rsid w:val="004837B4"/>
    <w:rsid w:val="00483AAB"/>
    <w:rsid w:val="00483E46"/>
    <w:rsid w:val="00483E62"/>
    <w:rsid w:val="00483F8D"/>
    <w:rsid w:val="00484915"/>
    <w:rsid w:val="00484EEF"/>
    <w:rsid w:val="004853D8"/>
    <w:rsid w:val="0048589F"/>
    <w:rsid w:val="00486290"/>
    <w:rsid w:val="00486552"/>
    <w:rsid w:val="00486844"/>
    <w:rsid w:val="00486AEA"/>
    <w:rsid w:val="00486B59"/>
    <w:rsid w:val="00486DA8"/>
    <w:rsid w:val="00486EEE"/>
    <w:rsid w:val="0048735B"/>
    <w:rsid w:val="004875E6"/>
    <w:rsid w:val="004877B0"/>
    <w:rsid w:val="0048786C"/>
    <w:rsid w:val="00487898"/>
    <w:rsid w:val="00487AD4"/>
    <w:rsid w:val="00487BF3"/>
    <w:rsid w:val="00487E62"/>
    <w:rsid w:val="00490275"/>
    <w:rsid w:val="004904BA"/>
    <w:rsid w:val="00490628"/>
    <w:rsid w:val="0049071D"/>
    <w:rsid w:val="0049103F"/>
    <w:rsid w:val="004914A3"/>
    <w:rsid w:val="00491532"/>
    <w:rsid w:val="00491BF6"/>
    <w:rsid w:val="00491F80"/>
    <w:rsid w:val="004922EC"/>
    <w:rsid w:val="0049239D"/>
    <w:rsid w:val="004925C9"/>
    <w:rsid w:val="004929E0"/>
    <w:rsid w:val="00492B52"/>
    <w:rsid w:val="00493577"/>
    <w:rsid w:val="00493767"/>
    <w:rsid w:val="00493EB8"/>
    <w:rsid w:val="0049405F"/>
    <w:rsid w:val="004941F1"/>
    <w:rsid w:val="004942A0"/>
    <w:rsid w:val="00494307"/>
    <w:rsid w:val="00494B3B"/>
    <w:rsid w:val="004954A4"/>
    <w:rsid w:val="00495665"/>
    <w:rsid w:val="0049596B"/>
    <w:rsid w:val="0049608C"/>
    <w:rsid w:val="004963FE"/>
    <w:rsid w:val="00496996"/>
    <w:rsid w:val="00496DD2"/>
    <w:rsid w:val="00496DD8"/>
    <w:rsid w:val="00497692"/>
    <w:rsid w:val="00497AE7"/>
    <w:rsid w:val="004A020A"/>
    <w:rsid w:val="004A022A"/>
    <w:rsid w:val="004A036F"/>
    <w:rsid w:val="004A04FE"/>
    <w:rsid w:val="004A0859"/>
    <w:rsid w:val="004A0C71"/>
    <w:rsid w:val="004A0CF6"/>
    <w:rsid w:val="004A15D4"/>
    <w:rsid w:val="004A18E6"/>
    <w:rsid w:val="004A18FA"/>
    <w:rsid w:val="004A1B4E"/>
    <w:rsid w:val="004A1D8E"/>
    <w:rsid w:val="004A20DA"/>
    <w:rsid w:val="004A2509"/>
    <w:rsid w:val="004A294E"/>
    <w:rsid w:val="004A2B65"/>
    <w:rsid w:val="004A2E67"/>
    <w:rsid w:val="004A326C"/>
    <w:rsid w:val="004A3371"/>
    <w:rsid w:val="004A3391"/>
    <w:rsid w:val="004A398C"/>
    <w:rsid w:val="004A3AC0"/>
    <w:rsid w:val="004A3C39"/>
    <w:rsid w:val="004A3FAE"/>
    <w:rsid w:val="004A4291"/>
    <w:rsid w:val="004A4728"/>
    <w:rsid w:val="004A4812"/>
    <w:rsid w:val="004A4AC3"/>
    <w:rsid w:val="004A4ADF"/>
    <w:rsid w:val="004A4D02"/>
    <w:rsid w:val="004A4F2D"/>
    <w:rsid w:val="004A5AFA"/>
    <w:rsid w:val="004A5B38"/>
    <w:rsid w:val="004A711C"/>
    <w:rsid w:val="004B02F7"/>
    <w:rsid w:val="004B0AF1"/>
    <w:rsid w:val="004B1545"/>
    <w:rsid w:val="004B1768"/>
    <w:rsid w:val="004B17CE"/>
    <w:rsid w:val="004B18CE"/>
    <w:rsid w:val="004B1903"/>
    <w:rsid w:val="004B1A9C"/>
    <w:rsid w:val="004B1B15"/>
    <w:rsid w:val="004B1B6E"/>
    <w:rsid w:val="004B1C6F"/>
    <w:rsid w:val="004B1CB3"/>
    <w:rsid w:val="004B1F96"/>
    <w:rsid w:val="004B21DA"/>
    <w:rsid w:val="004B2241"/>
    <w:rsid w:val="004B25FA"/>
    <w:rsid w:val="004B27D6"/>
    <w:rsid w:val="004B2EBB"/>
    <w:rsid w:val="004B34C2"/>
    <w:rsid w:val="004B3507"/>
    <w:rsid w:val="004B36DF"/>
    <w:rsid w:val="004B36ED"/>
    <w:rsid w:val="004B36F4"/>
    <w:rsid w:val="004B3C81"/>
    <w:rsid w:val="004B3CA4"/>
    <w:rsid w:val="004B40FF"/>
    <w:rsid w:val="004B47F4"/>
    <w:rsid w:val="004B4919"/>
    <w:rsid w:val="004B4E38"/>
    <w:rsid w:val="004B4E4F"/>
    <w:rsid w:val="004B50CC"/>
    <w:rsid w:val="004B5825"/>
    <w:rsid w:val="004B5D8E"/>
    <w:rsid w:val="004B5DD6"/>
    <w:rsid w:val="004B61C8"/>
    <w:rsid w:val="004B622F"/>
    <w:rsid w:val="004B6415"/>
    <w:rsid w:val="004B64FA"/>
    <w:rsid w:val="004B6C14"/>
    <w:rsid w:val="004B73AA"/>
    <w:rsid w:val="004B758A"/>
    <w:rsid w:val="004B7F9F"/>
    <w:rsid w:val="004C03EA"/>
    <w:rsid w:val="004C0683"/>
    <w:rsid w:val="004C06CE"/>
    <w:rsid w:val="004C07CA"/>
    <w:rsid w:val="004C099B"/>
    <w:rsid w:val="004C0BAC"/>
    <w:rsid w:val="004C0DB4"/>
    <w:rsid w:val="004C10A2"/>
    <w:rsid w:val="004C13F1"/>
    <w:rsid w:val="004C16F5"/>
    <w:rsid w:val="004C1A4B"/>
    <w:rsid w:val="004C20D0"/>
    <w:rsid w:val="004C21B1"/>
    <w:rsid w:val="004C2A4A"/>
    <w:rsid w:val="004C2E64"/>
    <w:rsid w:val="004C33E8"/>
    <w:rsid w:val="004C34AD"/>
    <w:rsid w:val="004C366F"/>
    <w:rsid w:val="004C3B71"/>
    <w:rsid w:val="004C3DE2"/>
    <w:rsid w:val="004C44DD"/>
    <w:rsid w:val="004C4A96"/>
    <w:rsid w:val="004C4BB6"/>
    <w:rsid w:val="004C4E5F"/>
    <w:rsid w:val="004C51A0"/>
    <w:rsid w:val="004C5875"/>
    <w:rsid w:val="004C5F28"/>
    <w:rsid w:val="004C5FCF"/>
    <w:rsid w:val="004C6427"/>
    <w:rsid w:val="004C664B"/>
    <w:rsid w:val="004C66F8"/>
    <w:rsid w:val="004C6736"/>
    <w:rsid w:val="004C67EE"/>
    <w:rsid w:val="004C68C6"/>
    <w:rsid w:val="004C698E"/>
    <w:rsid w:val="004C6997"/>
    <w:rsid w:val="004C6CDB"/>
    <w:rsid w:val="004C723F"/>
    <w:rsid w:val="004C72C2"/>
    <w:rsid w:val="004C750E"/>
    <w:rsid w:val="004C7872"/>
    <w:rsid w:val="004C7933"/>
    <w:rsid w:val="004C7C36"/>
    <w:rsid w:val="004C7D16"/>
    <w:rsid w:val="004D0132"/>
    <w:rsid w:val="004D051C"/>
    <w:rsid w:val="004D080F"/>
    <w:rsid w:val="004D0D87"/>
    <w:rsid w:val="004D138E"/>
    <w:rsid w:val="004D14C8"/>
    <w:rsid w:val="004D1645"/>
    <w:rsid w:val="004D185A"/>
    <w:rsid w:val="004D185E"/>
    <w:rsid w:val="004D1EEB"/>
    <w:rsid w:val="004D2556"/>
    <w:rsid w:val="004D25D9"/>
    <w:rsid w:val="004D29F9"/>
    <w:rsid w:val="004D32FF"/>
    <w:rsid w:val="004D367C"/>
    <w:rsid w:val="004D3701"/>
    <w:rsid w:val="004D3753"/>
    <w:rsid w:val="004D3EA5"/>
    <w:rsid w:val="004D4115"/>
    <w:rsid w:val="004D41D8"/>
    <w:rsid w:val="004D47D5"/>
    <w:rsid w:val="004D4B61"/>
    <w:rsid w:val="004D4BEF"/>
    <w:rsid w:val="004D4CE4"/>
    <w:rsid w:val="004D59A5"/>
    <w:rsid w:val="004D5B84"/>
    <w:rsid w:val="004D6012"/>
    <w:rsid w:val="004D606D"/>
    <w:rsid w:val="004D618D"/>
    <w:rsid w:val="004D636D"/>
    <w:rsid w:val="004D65AB"/>
    <w:rsid w:val="004D67CB"/>
    <w:rsid w:val="004D684B"/>
    <w:rsid w:val="004D6B20"/>
    <w:rsid w:val="004D6C2F"/>
    <w:rsid w:val="004D71FE"/>
    <w:rsid w:val="004D72CE"/>
    <w:rsid w:val="004D73EF"/>
    <w:rsid w:val="004D7745"/>
    <w:rsid w:val="004D7964"/>
    <w:rsid w:val="004D7A80"/>
    <w:rsid w:val="004D7CA3"/>
    <w:rsid w:val="004E026B"/>
    <w:rsid w:val="004E0388"/>
    <w:rsid w:val="004E04C7"/>
    <w:rsid w:val="004E0894"/>
    <w:rsid w:val="004E09C0"/>
    <w:rsid w:val="004E0C77"/>
    <w:rsid w:val="004E0D20"/>
    <w:rsid w:val="004E135A"/>
    <w:rsid w:val="004E1AA0"/>
    <w:rsid w:val="004E1C50"/>
    <w:rsid w:val="004E1D36"/>
    <w:rsid w:val="004E1D74"/>
    <w:rsid w:val="004E20EE"/>
    <w:rsid w:val="004E2178"/>
    <w:rsid w:val="004E23BB"/>
    <w:rsid w:val="004E251F"/>
    <w:rsid w:val="004E2B23"/>
    <w:rsid w:val="004E2C16"/>
    <w:rsid w:val="004E2FB9"/>
    <w:rsid w:val="004E3390"/>
    <w:rsid w:val="004E37C8"/>
    <w:rsid w:val="004E3CC9"/>
    <w:rsid w:val="004E416F"/>
    <w:rsid w:val="004E424D"/>
    <w:rsid w:val="004E4439"/>
    <w:rsid w:val="004E499E"/>
    <w:rsid w:val="004E4DBF"/>
    <w:rsid w:val="004E5BF9"/>
    <w:rsid w:val="004E5F45"/>
    <w:rsid w:val="004E64DC"/>
    <w:rsid w:val="004E674C"/>
    <w:rsid w:val="004E6F86"/>
    <w:rsid w:val="004E706A"/>
    <w:rsid w:val="004E7C17"/>
    <w:rsid w:val="004F01A7"/>
    <w:rsid w:val="004F02D7"/>
    <w:rsid w:val="004F0671"/>
    <w:rsid w:val="004F0C01"/>
    <w:rsid w:val="004F126D"/>
    <w:rsid w:val="004F1E92"/>
    <w:rsid w:val="004F234E"/>
    <w:rsid w:val="004F23A2"/>
    <w:rsid w:val="004F24B5"/>
    <w:rsid w:val="004F28A5"/>
    <w:rsid w:val="004F2B02"/>
    <w:rsid w:val="004F2D1B"/>
    <w:rsid w:val="004F2E11"/>
    <w:rsid w:val="004F2E17"/>
    <w:rsid w:val="004F2E33"/>
    <w:rsid w:val="004F2FC0"/>
    <w:rsid w:val="004F31BD"/>
    <w:rsid w:val="004F3493"/>
    <w:rsid w:val="004F378C"/>
    <w:rsid w:val="004F3B34"/>
    <w:rsid w:val="004F3C86"/>
    <w:rsid w:val="004F3CFC"/>
    <w:rsid w:val="004F3DAC"/>
    <w:rsid w:val="004F3E23"/>
    <w:rsid w:val="004F4722"/>
    <w:rsid w:val="004F4767"/>
    <w:rsid w:val="004F498A"/>
    <w:rsid w:val="004F4D86"/>
    <w:rsid w:val="004F505C"/>
    <w:rsid w:val="004F51B2"/>
    <w:rsid w:val="004F52AA"/>
    <w:rsid w:val="004F59C4"/>
    <w:rsid w:val="004F5D65"/>
    <w:rsid w:val="004F65FF"/>
    <w:rsid w:val="004F6A63"/>
    <w:rsid w:val="004F705A"/>
    <w:rsid w:val="004F70F8"/>
    <w:rsid w:val="004F7230"/>
    <w:rsid w:val="004F7468"/>
    <w:rsid w:val="004F7D65"/>
    <w:rsid w:val="004F7D7B"/>
    <w:rsid w:val="00500199"/>
    <w:rsid w:val="005010A6"/>
    <w:rsid w:val="00501519"/>
    <w:rsid w:val="00501659"/>
    <w:rsid w:val="00501733"/>
    <w:rsid w:val="00501B75"/>
    <w:rsid w:val="00501C39"/>
    <w:rsid w:val="00502203"/>
    <w:rsid w:val="00502549"/>
    <w:rsid w:val="005026D4"/>
    <w:rsid w:val="005027B8"/>
    <w:rsid w:val="00503286"/>
    <w:rsid w:val="00503C6D"/>
    <w:rsid w:val="00503F42"/>
    <w:rsid w:val="00504176"/>
    <w:rsid w:val="0050449C"/>
    <w:rsid w:val="00504A61"/>
    <w:rsid w:val="00504D6F"/>
    <w:rsid w:val="005050AB"/>
    <w:rsid w:val="00505378"/>
    <w:rsid w:val="00505A20"/>
    <w:rsid w:val="00505A66"/>
    <w:rsid w:val="00505DD2"/>
    <w:rsid w:val="00505F9F"/>
    <w:rsid w:val="005060A2"/>
    <w:rsid w:val="00506192"/>
    <w:rsid w:val="00506576"/>
    <w:rsid w:val="00506710"/>
    <w:rsid w:val="00506DA6"/>
    <w:rsid w:val="00506E86"/>
    <w:rsid w:val="0050702C"/>
    <w:rsid w:val="0050722E"/>
    <w:rsid w:val="0050723E"/>
    <w:rsid w:val="005072DD"/>
    <w:rsid w:val="00507403"/>
    <w:rsid w:val="00507430"/>
    <w:rsid w:val="005077BC"/>
    <w:rsid w:val="005077FF"/>
    <w:rsid w:val="00507841"/>
    <w:rsid w:val="005101E5"/>
    <w:rsid w:val="00510A29"/>
    <w:rsid w:val="00511D75"/>
    <w:rsid w:val="00511FF2"/>
    <w:rsid w:val="005121CE"/>
    <w:rsid w:val="00512232"/>
    <w:rsid w:val="005123BF"/>
    <w:rsid w:val="005135C0"/>
    <w:rsid w:val="00513B7E"/>
    <w:rsid w:val="005140F7"/>
    <w:rsid w:val="00514326"/>
    <w:rsid w:val="00514597"/>
    <w:rsid w:val="00514F8E"/>
    <w:rsid w:val="005150AB"/>
    <w:rsid w:val="0051520F"/>
    <w:rsid w:val="0051557F"/>
    <w:rsid w:val="005159F9"/>
    <w:rsid w:val="00516164"/>
    <w:rsid w:val="005164CC"/>
    <w:rsid w:val="0051666B"/>
    <w:rsid w:val="005167C1"/>
    <w:rsid w:val="00517638"/>
    <w:rsid w:val="0051769B"/>
    <w:rsid w:val="00517A88"/>
    <w:rsid w:val="00517D26"/>
    <w:rsid w:val="0052052F"/>
    <w:rsid w:val="00520571"/>
    <w:rsid w:val="00520CFF"/>
    <w:rsid w:val="00520FBB"/>
    <w:rsid w:val="005212B6"/>
    <w:rsid w:val="005226FC"/>
    <w:rsid w:val="00522A4D"/>
    <w:rsid w:val="00522C8A"/>
    <w:rsid w:val="00523096"/>
    <w:rsid w:val="00523178"/>
    <w:rsid w:val="0052378A"/>
    <w:rsid w:val="00523AF8"/>
    <w:rsid w:val="00523F57"/>
    <w:rsid w:val="00523F8F"/>
    <w:rsid w:val="005242BC"/>
    <w:rsid w:val="005248F8"/>
    <w:rsid w:val="00524DE5"/>
    <w:rsid w:val="00524E1E"/>
    <w:rsid w:val="00524E25"/>
    <w:rsid w:val="0052529D"/>
    <w:rsid w:val="0052565F"/>
    <w:rsid w:val="00525D71"/>
    <w:rsid w:val="00525D92"/>
    <w:rsid w:val="0052654A"/>
    <w:rsid w:val="00526BEC"/>
    <w:rsid w:val="00526E9C"/>
    <w:rsid w:val="0052769F"/>
    <w:rsid w:val="005278F8"/>
    <w:rsid w:val="00527D11"/>
    <w:rsid w:val="005300ED"/>
    <w:rsid w:val="00530374"/>
    <w:rsid w:val="005306B9"/>
    <w:rsid w:val="00530A94"/>
    <w:rsid w:val="00531257"/>
    <w:rsid w:val="005314D8"/>
    <w:rsid w:val="00531656"/>
    <w:rsid w:val="00531706"/>
    <w:rsid w:val="00531F66"/>
    <w:rsid w:val="00532121"/>
    <w:rsid w:val="00532429"/>
    <w:rsid w:val="00532850"/>
    <w:rsid w:val="005328A9"/>
    <w:rsid w:val="00532C7A"/>
    <w:rsid w:val="00532DEF"/>
    <w:rsid w:val="00532E23"/>
    <w:rsid w:val="005331D3"/>
    <w:rsid w:val="005331DA"/>
    <w:rsid w:val="005332FA"/>
    <w:rsid w:val="00533317"/>
    <w:rsid w:val="005334C9"/>
    <w:rsid w:val="005335ED"/>
    <w:rsid w:val="0053446A"/>
    <w:rsid w:val="00534668"/>
    <w:rsid w:val="005346BF"/>
    <w:rsid w:val="0053472D"/>
    <w:rsid w:val="00534E23"/>
    <w:rsid w:val="00535189"/>
    <w:rsid w:val="005356B6"/>
    <w:rsid w:val="00535D75"/>
    <w:rsid w:val="00535FF9"/>
    <w:rsid w:val="0053609B"/>
    <w:rsid w:val="0053655A"/>
    <w:rsid w:val="00536ECF"/>
    <w:rsid w:val="00537355"/>
    <w:rsid w:val="0053740F"/>
    <w:rsid w:val="005406D0"/>
    <w:rsid w:val="00540B60"/>
    <w:rsid w:val="00540D9E"/>
    <w:rsid w:val="005410CB"/>
    <w:rsid w:val="0054145A"/>
    <w:rsid w:val="0054171A"/>
    <w:rsid w:val="00541781"/>
    <w:rsid w:val="005419E2"/>
    <w:rsid w:val="00541B9A"/>
    <w:rsid w:val="005420CF"/>
    <w:rsid w:val="005420D6"/>
    <w:rsid w:val="005423CF"/>
    <w:rsid w:val="00542B75"/>
    <w:rsid w:val="00542BDB"/>
    <w:rsid w:val="00542C2A"/>
    <w:rsid w:val="005430DD"/>
    <w:rsid w:val="00543202"/>
    <w:rsid w:val="0054337D"/>
    <w:rsid w:val="005434CF"/>
    <w:rsid w:val="005438E3"/>
    <w:rsid w:val="005439A8"/>
    <w:rsid w:val="00543CAC"/>
    <w:rsid w:val="00543CCD"/>
    <w:rsid w:val="00543E51"/>
    <w:rsid w:val="005440E4"/>
    <w:rsid w:val="00544497"/>
    <w:rsid w:val="005447D7"/>
    <w:rsid w:val="005448FE"/>
    <w:rsid w:val="0054544C"/>
    <w:rsid w:val="00545BEC"/>
    <w:rsid w:val="005460BB"/>
    <w:rsid w:val="005468A5"/>
    <w:rsid w:val="00546A1D"/>
    <w:rsid w:val="00546BF6"/>
    <w:rsid w:val="00546BF7"/>
    <w:rsid w:val="00546C8E"/>
    <w:rsid w:val="00546CB9"/>
    <w:rsid w:val="00546E83"/>
    <w:rsid w:val="00546ED1"/>
    <w:rsid w:val="005471C3"/>
    <w:rsid w:val="0054748C"/>
    <w:rsid w:val="00547725"/>
    <w:rsid w:val="00547886"/>
    <w:rsid w:val="0054795A"/>
    <w:rsid w:val="00550292"/>
    <w:rsid w:val="0055066D"/>
    <w:rsid w:val="005506E5"/>
    <w:rsid w:val="00550B6D"/>
    <w:rsid w:val="00551309"/>
    <w:rsid w:val="00551BDC"/>
    <w:rsid w:val="00551C79"/>
    <w:rsid w:val="00551D80"/>
    <w:rsid w:val="00552426"/>
    <w:rsid w:val="00552434"/>
    <w:rsid w:val="00552604"/>
    <w:rsid w:val="005528B0"/>
    <w:rsid w:val="00552DCE"/>
    <w:rsid w:val="00552EF1"/>
    <w:rsid w:val="00552F1A"/>
    <w:rsid w:val="0055363B"/>
    <w:rsid w:val="00553693"/>
    <w:rsid w:val="005536D5"/>
    <w:rsid w:val="00553848"/>
    <w:rsid w:val="00553934"/>
    <w:rsid w:val="00553B71"/>
    <w:rsid w:val="00553D3C"/>
    <w:rsid w:val="00554596"/>
    <w:rsid w:val="00554664"/>
    <w:rsid w:val="005547BB"/>
    <w:rsid w:val="00554999"/>
    <w:rsid w:val="00554C4D"/>
    <w:rsid w:val="00554DC4"/>
    <w:rsid w:val="00555241"/>
    <w:rsid w:val="00555817"/>
    <w:rsid w:val="00555C08"/>
    <w:rsid w:val="0055622C"/>
    <w:rsid w:val="005564BE"/>
    <w:rsid w:val="00556684"/>
    <w:rsid w:val="00556A43"/>
    <w:rsid w:val="00556A63"/>
    <w:rsid w:val="00556B51"/>
    <w:rsid w:val="0055727C"/>
    <w:rsid w:val="00557836"/>
    <w:rsid w:val="00557AA4"/>
    <w:rsid w:val="00557FCE"/>
    <w:rsid w:val="0056087F"/>
    <w:rsid w:val="00560D8A"/>
    <w:rsid w:val="0056121A"/>
    <w:rsid w:val="005617BD"/>
    <w:rsid w:val="00561B79"/>
    <w:rsid w:val="00561E1F"/>
    <w:rsid w:val="00561F60"/>
    <w:rsid w:val="00562195"/>
    <w:rsid w:val="0056261D"/>
    <w:rsid w:val="005627E1"/>
    <w:rsid w:val="005627E6"/>
    <w:rsid w:val="005627F2"/>
    <w:rsid w:val="00562918"/>
    <w:rsid w:val="00562964"/>
    <w:rsid w:val="00562C78"/>
    <w:rsid w:val="00562FB1"/>
    <w:rsid w:val="00563269"/>
    <w:rsid w:val="00564169"/>
    <w:rsid w:val="00564369"/>
    <w:rsid w:val="00564643"/>
    <w:rsid w:val="00564772"/>
    <w:rsid w:val="005654CF"/>
    <w:rsid w:val="00566119"/>
    <w:rsid w:val="00566518"/>
    <w:rsid w:val="0056694C"/>
    <w:rsid w:val="005669DA"/>
    <w:rsid w:val="00566B0A"/>
    <w:rsid w:val="0056700C"/>
    <w:rsid w:val="00567613"/>
    <w:rsid w:val="00567B8D"/>
    <w:rsid w:val="00567D48"/>
    <w:rsid w:val="00567EE4"/>
    <w:rsid w:val="005702D2"/>
    <w:rsid w:val="0057063C"/>
    <w:rsid w:val="00570A77"/>
    <w:rsid w:val="00570C88"/>
    <w:rsid w:val="005711BF"/>
    <w:rsid w:val="00571206"/>
    <w:rsid w:val="00571228"/>
    <w:rsid w:val="00571295"/>
    <w:rsid w:val="00571640"/>
    <w:rsid w:val="00571678"/>
    <w:rsid w:val="00571902"/>
    <w:rsid w:val="0057194C"/>
    <w:rsid w:val="00571D62"/>
    <w:rsid w:val="005720AF"/>
    <w:rsid w:val="00572150"/>
    <w:rsid w:val="00572283"/>
    <w:rsid w:val="00572E64"/>
    <w:rsid w:val="00572F6B"/>
    <w:rsid w:val="005730B0"/>
    <w:rsid w:val="00573604"/>
    <w:rsid w:val="00573DE2"/>
    <w:rsid w:val="00573F29"/>
    <w:rsid w:val="00574693"/>
    <w:rsid w:val="00574949"/>
    <w:rsid w:val="00574AD1"/>
    <w:rsid w:val="00574B23"/>
    <w:rsid w:val="0057501B"/>
    <w:rsid w:val="00575F52"/>
    <w:rsid w:val="00575F8F"/>
    <w:rsid w:val="005762C9"/>
    <w:rsid w:val="0057666F"/>
    <w:rsid w:val="005767F1"/>
    <w:rsid w:val="00576A19"/>
    <w:rsid w:val="00576A92"/>
    <w:rsid w:val="00577417"/>
    <w:rsid w:val="005779BD"/>
    <w:rsid w:val="00577DC0"/>
    <w:rsid w:val="00577E60"/>
    <w:rsid w:val="00577F36"/>
    <w:rsid w:val="00580009"/>
    <w:rsid w:val="00580850"/>
    <w:rsid w:val="00580912"/>
    <w:rsid w:val="00580D6B"/>
    <w:rsid w:val="00580F14"/>
    <w:rsid w:val="005812AE"/>
    <w:rsid w:val="00581412"/>
    <w:rsid w:val="0058144C"/>
    <w:rsid w:val="0058159E"/>
    <w:rsid w:val="00581A32"/>
    <w:rsid w:val="00581F46"/>
    <w:rsid w:val="00581F5D"/>
    <w:rsid w:val="0058215E"/>
    <w:rsid w:val="00582234"/>
    <w:rsid w:val="005824FB"/>
    <w:rsid w:val="00582686"/>
    <w:rsid w:val="00582706"/>
    <w:rsid w:val="005829C4"/>
    <w:rsid w:val="00582D45"/>
    <w:rsid w:val="00582E8D"/>
    <w:rsid w:val="00582FA1"/>
    <w:rsid w:val="00582FFE"/>
    <w:rsid w:val="0058313D"/>
    <w:rsid w:val="00583E9E"/>
    <w:rsid w:val="005843DF"/>
    <w:rsid w:val="00584640"/>
    <w:rsid w:val="005846E8"/>
    <w:rsid w:val="00584C79"/>
    <w:rsid w:val="0058513F"/>
    <w:rsid w:val="00585620"/>
    <w:rsid w:val="00585A7B"/>
    <w:rsid w:val="00585D15"/>
    <w:rsid w:val="005860BC"/>
    <w:rsid w:val="005862AF"/>
    <w:rsid w:val="00586CD8"/>
    <w:rsid w:val="00587129"/>
    <w:rsid w:val="0058724D"/>
    <w:rsid w:val="0058725A"/>
    <w:rsid w:val="005872C8"/>
    <w:rsid w:val="00587746"/>
    <w:rsid w:val="005879CE"/>
    <w:rsid w:val="0059000C"/>
    <w:rsid w:val="00590136"/>
    <w:rsid w:val="00590B24"/>
    <w:rsid w:val="00590B6C"/>
    <w:rsid w:val="00590E74"/>
    <w:rsid w:val="00591392"/>
    <w:rsid w:val="005913B9"/>
    <w:rsid w:val="00591429"/>
    <w:rsid w:val="005915E6"/>
    <w:rsid w:val="00591A74"/>
    <w:rsid w:val="00591BEC"/>
    <w:rsid w:val="00591C20"/>
    <w:rsid w:val="005921E8"/>
    <w:rsid w:val="005924E3"/>
    <w:rsid w:val="00592DE3"/>
    <w:rsid w:val="00593E27"/>
    <w:rsid w:val="00594948"/>
    <w:rsid w:val="00594ACF"/>
    <w:rsid w:val="005950B2"/>
    <w:rsid w:val="00595154"/>
    <w:rsid w:val="00595296"/>
    <w:rsid w:val="0059551E"/>
    <w:rsid w:val="00595917"/>
    <w:rsid w:val="00595C91"/>
    <w:rsid w:val="0059665C"/>
    <w:rsid w:val="00596676"/>
    <w:rsid w:val="005969F6"/>
    <w:rsid w:val="00596FAA"/>
    <w:rsid w:val="00596FEB"/>
    <w:rsid w:val="005976CA"/>
    <w:rsid w:val="00597A00"/>
    <w:rsid w:val="00597AB3"/>
    <w:rsid w:val="00597DBB"/>
    <w:rsid w:val="005A040D"/>
    <w:rsid w:val="005A050E"/>
    <w:rsid w:val="005A0A21"/>
    <w:rsid w:val="005A0A74"/>
    <w:rsid w:val="005A118A"/>
    <w:rsid w:val="005A1897"/>
    <w:rsid w:val="005A252B"/>
    <w:rsid w:val="005A2738"/>
    <w:rsid w:val="005A2898"/>
    <w:rsid w:val="005A2924"/>
    <w:rsid w:val="005A3B97"/>
    <w:rsid w:val="005A4017"/>
    <w:rsid w:val="005A43FA"/>
    <w:rsid w:val="005A45EC"/>
    <w:rsid w:val="005A46FF"/>
    <w:rsid w:val="005A4A89"/>
    <w:rsid w:val="005A55F6"/>
    <w:rsid w:val="005A57CE"/>
    <w:rsid w:val="005A57D4"/>
    <w:rsid w:val="005A5C00"/>
    <w:rsid w:val="005A5C31"/>
    <w:rsid w:val="005A5DB4"/>
    <w:rsid w:val="005A600A"/>
    <w:rsid w:val="005A6CA2"/>
    <w:rsid w:val="005A706F"/>
    <w:rsid w:val="005A74D9"/>
    <w:rsid w:val="005A7E88"/>
    <w:rsid w:val="005A7F92"/>
    <w:rsid w:val="005B01B1"/>
    <w:rsid w:val="005B01F4"/>
    <w:rsid w:val="005B05BE"/>
    <w:rsid w:val="005B0692"/>
    <w:rsid w:val="005B07C7"/>
    <w:rsid w:val="005B14C2"/>
    <w:rsid w:val="005B1529"/>
    <w:rsid w:val="005B1818"/>
    <w:rsid w:val="005B1AA0"/>
    <w:rsid w:val="005B1B4F"/>
    <w:rsid w:val="005B1E76"/>
    <w:rsid w:val="005B2098"/>
    <w:rsid w:val="005B20C4"/>
    <w:rsid w:val="005B2223"/>
    <w:rsid w:val="005B2237"/>
    <w:rsid w:val="005B22FC"/>
    <w:rsid w:val="005B2520"/>
    <w:rsid w:val="005B2564"/>
    <w:rsid w:val="005B2D65"/>
    <w:rsid w:val="005B2E53"/>
    <w:rsid w:val="005B2F26"/>
    <w:rsid w:val="005B3076"/>
    <w:rsid w:val="005B334E"/>
    <w:rsid w:val="005B360B"/>
    <w:rsid w:val="005B389B"/>
    <w:rsid w:val="005B3B79"/>
    <w:rsid w:val="005B3DA8"/>
    <w:rsid w:val="005B4224"/>
    <w:rsid w:val="005B426C"/>
    <w:rsid w:val="005B467F"/>
    <w:rsid w:val="005B4732"/>
    <w:rsid w:val="005B49F4"/>
    <w:rsid w:val="005B4B88"/>
    <w:rsid w:val="005B4C25"/>
    <w:rsid w:val="005B4E45"/>
    <w:rsid w:val="005B52D8"/>
    <w:rsid w:val="005B57E9"/>
    <w:rsid w:val="005B583D"/>
    <w:rsid w:val="005B5DAD"/>
    <w:rsid w:val="005B6035"/>
    <w:rsid w:val="005B62DC"/>
    <w:rsid w:val="005B659A"/>
    <w:rsid w:val="005B65CA"/>
    <w:rsid w:val="005B73BE"/>
    <w:rsid w:val="005B79C6"/>
    <w:rsid w:val="005C04C0"/>
    <w:rsid w:val="005C07DF"/>
    <w:rsid w:val="005C0912"/>
    <w:rsid w:val="005C1160"/>
    <w:rsid w:val="005C13C6"/>
    <w:rsid w:val="005C1821"/>
    <w:rsid w:val="005C1912"/>
    <w:rsid w:val="005C1B15"/>
    <w:rsid w:val="005C1B46"/>
    <w:rsid w:val="005C1DE2"/>
    <w:rsid w:val="005C1F7E"/>
    <w:rsid w:val="005C1FFA"/>
    <w:rsid w:val="005C2057"/>
    <w:rsid w:val="005C20A0"/>
    <w:rsid w:val="005C26F7"/>
    <w:rsid w:val="005C2DD0"/>
    <w:rsid w:val="005C2EF2"/>
    <w:rsid w:val="005C311F"/>
    <w:rsid w:val="005C31EC"/>
    <w:rsid w:val="005C3234"/>
    <w:rsid w:val="005C342F"/>
    <w:rsid w:val="005C34D5"/>
    <w:rsid w:val="005C3AE2"/>
    <w:rsid w:val="005C3AFD"/>
    <w:rsid w:val="005C3DA9"/>
    <w:rsid w:val="005C48A2"/>
    <w:rsid w:val="005C4AF3"/>
    <w:rsid w:val="005C4F09"/>
    <w:rsid w:val="005C511C"/>
    <w:rsid w:val="005C523E"/>
    <w:rsid w:val="005C5258"/>
    <w:rsid w:val="005C57F7"/>
    <w:rsid w:val="005C5E99"/>
    <w:rsid w:val="005C63C2"/>
    <w:rsid w:val="005C64B4"/>
    <w:rsid w:val="005C6589"/>
    <w:rsid w:val="005C671A"/>
    <w:rsid w:val="005C694E"/>
    <w:rsid w:val="005C7159"/>
    <w:rsid w:val="005C72AD"/>
    <w:rsid w:val="005C76FD"/>
    <w:rsid w:val="005C7A6D"/>
    <w:rsid w:val="005C7DC3"/>
    <w:rsid w:val="005D027B"/>
    <w:rsid w:val="005D09FF"/>
    <w:rsid w:val="005D0C0B"/>
    <w:rsid w:val="005D0DAF"/>
    <w:rsid w:val="005D0E2B"/>
    <w:rsid w:val="005D13FE"/>
    <w:rsid w:val="005D14A4"/>
    <w:rsid w:val="005D1A50"/>
    <w:rsid w:val="005D1D83"/>
    <w:rsid w:val="005D1F5F"/>
    <w:rsid w:val="005D26C1"/>
    <w:rsid w:val="005D2B25"/>
    <w:rsid w:val="005D2D12"/>
    <w:rsid w:val="005D2E2B"/>
    <w:rsid w:val="005D31E7"/>
    <w:rsid w:val="005D3633"/>
    <w:rsid w:val="005D3D10"/>
    <w:rsid w:val="005D4BA6"/>
    <w:rsid w:val="005D5A3A"/>
    <w:rsid w:val="005D63D9"/>
    <w:rsid w:val="005D65C7"/>
    <w:rsid w:val="005D6947"/>
    <w:rsid w:val="005D6BA6"/>
    <w:rsid w:val="005D6E2B"/>
    <w:rsid w:val="005D71BB"/>
    <w:rsid w:val="005D7565"/>
    <w:rsid w:val="005D7D0E"/>
    <w:rsid w:val="005D7EC6"/>
    <w:rsid w:val="005E01C9"/>
    <w:rsid w:val="005E07F3"/>
    <w:rsid w:val="005E0823"/>
    <w:rsid w:val="005E0D53"/>
    <w:rsid w:val="005E1008"/>
    <w:rsid w:val="005E10B7"/>
    <w:rsid w:val="005E11E2"/>
    <w:rsid w:val="005E11E9"/>
    <w:rsid w:val="005E170E"/>
    <w:rsid w:val="005E1717"/>
    <w:rsid w:val="005E1941"/>
    <w:rsid w:val="005E1DDB"/>
    <w:rsid w:val="005E1F3B"/>
    <w:rsid w:val="005E1F3F"/>
    <w:rsid w:val="005E23F5"/>
    <w:rsid w:val="005E250E"/>
    <w:rsid w:val="005E2826"/>
    <w:rsid w:val="005E2883"/>
    <w:rsid w:val="005E2961"/>
    <w:rsid w:val="005E2FF7"/>
    <w:rsid w:val="005E3042"/>
    <w:rsid w:val="005E30A9"/>
    <w:rsid w:val="005E3466"/>
    <w:rsid w:val="005E34F0"/>
    <w:rsid w:val="005E35A9"/>
    <w:rsid w:val="005E3769"/>
    <w:rsid w:val="005E3B68"/>
    <w:rsid w:val="005E3C8B"/>
    <w:rsid w:val="005E4148"/>
    <w:rsid w:val="005E4455"/>
    <w:rsid w:val="005E44B9"/>
    <w:rsid w:val="005E4538"/>
    <w:rsid w:val="005E4674"/>
    <w:rsid w:val="005E4AF5"/>
    <w:rsid w:val="005E4E6D"/>
    <w:rsid w:val="005E4EFC"/>
    <w:rsid w:val="005E4F30"/>
    <w:rsid w:val="005E511D"/>
    <w:rsid w:val="005E557C"/>
    <w:rsid w:val="005E5675"/>
    <w:rsid w:val="005E56C4"/>
    <w:rsid w:val="005E5BEB"/>
    <w:rsid w:val="005E6369"/>
    <w:rsid w:val="005E652A"/>
    <w:rsid w:val="005E68B2"/>
    <w:rsid w:val="005E6C14"/>
    <w:rsid w:val="005E6F87"/>
    <w:rsid w:val="005E7035"/>
    <w:rsid w:val="005E7038"/>
    <w:rsid w:val="005E79FE"/>
    <w:rsid w:val="005E7ADA"/>
    <w:rsid w:val="005F043C"/>
    <w:rsid w:val="005F0593"/>
    <w:rsid w:val="005F06F4"/>
    <w:rsid w:val="005F117A"/>
    <w:rsid w:val="005F156A"/>
    <w:rsid w:val="005F1A72"/>
    <w:rsid w:val="005F1AE6"/>
    <w:rsid w:val="005F1BE8"/>
    <w:rsid w:val="005F1C1F"/>
    <w:rsid w:val="005F20C7"/>
    <w:rsid w:val="005F267F"/>
    <w:rsid w:val="005F29BA"/>
    <w:rsid w:val="005F2ABB"/>
    <w:rsid w:val="005F3333"/>
    <w:rsid w:val="005F3375"/>
    <w:rsid w:val="005F354A"/>
    <w:rsid w:val="005F3FBF"/>
    <w:rsid w:val="005F405A"/>
    <w:rsid w:val="005F4391"/>
    <w:rsid w:val="005F570C"/>
    <w:rsid w:val="005F5922"/>
    <w:rsid w:val="005F5BD0"/>
    <w:rsid w:val="005F6314"/>
    <w:rsid w:val="005F65D4"/>
    <w:rsid w:val="005F725D"/>
    <w:rsid w:val="005F74BD"/>
    <w:rsid w:val="005F7B8C"/>
    <w:rsid w:val="005F7D2F"/>
    <w:rsid w:val="006003A9"/>
    <w:rsid w:val="006003EE"/>
    <w:rsid w:val="00600577"/>
    <w:rsid w:val="0060060C"/>
    <w:rsid w:val="00600D34"/>
    <w:rsid w:val="00600E8E"/>
    <w:rsid w:val="00600FD2"/>
    <w:rsid w:val="006017B8"/>
    <w:rsid w:val="006018CA"/>
    <w:rsid w:val="006019E6"/>
    <w:rsid w:val="00601AA5"/>
    <w:rsid w:val="006021EE"/>
    <w:rsid w:val="0060270D"/>
    <w:rsid w:val="00602A5A"/>
    <w:rsid w:val="006034A7"/>
    <w:rsid w:val="006037C0"/>
    <w:rsid w:val="006037CC"/>
    <w:rsid w:val="00603A6B"/>
    <w:rsid w:val="00603DCD"/>
    <w:rsid w:val="006040F2"/>
    <w:rsid w:val="0060449A"/>
    <w:rsid w:val="00604805"/>
    <w:rsid w:val="00604C62"/>
    <w:rsid w:val="00604D61"/>
    <w:rsid w:val="00604EA9"/>
    <w:rsid w:val="00605279"/>
    <w:rsid w:val="0060529E"/>
    <w:rsid w:val="00605384"/>
    <w:rsid w:val="00605714"/>
    <w:rsid w:val="00605829"/>
    <w:rsid w:val="006059CE"/>
    <w:rsid w:val="00605BA8"/>
    <w:rsid w:val="0060601A"/>
    <w:rsid w:val="00606C28"/>
    <w:rsid w:val="00606C78"/>
    <w:rsid w:val="00606CD7"/>
    <w:rsid w:val="00606FBC"/>
    <w:rsid w:val="006072E8"/>
    <w:rsid w:val="0060743C"/>
    <w:rsid w:val="006074C9"/>
    <w:rsid w:val="00607C2D"/>
    <w:rsid w:val="00607E71"/>
    <w:rsid w:val="00610178"/>
    <w:rsid w:val="006103A4"/>
    <w:rsid w:val="00610837"/>
    <w:rsid w:val="00610922"/>
    <w:rsid w:val="00610D06"/>
    <w:rsid w:val="00610EC4"/>
    <w:rsid w:val="00611250"/>
    <w:rsid w:val="006112E9"/>
    <w:rsid w:val="00611413"/>
    <w:rsid w:val="00611B57"/>
    <w:rsid w:val="00611D8D"/>
    <w:rsid w:val="00612075"/>
    <w:rsid w:val="006122E2"/>
    <w:rsid w:val="006125AA"/>
    <w:rsid w:val="00612638"/>
    <w:rsid w:val="0061367E"/>
    <w:rsid w:val="00613821"/>
    <w:rsid w:val="00613E9D"/>
    <w:rsid w:val="00613F8E"/>
    <w:rsid w:val="0061423C"/>
    <w:rsid w:val="0061427C"/>
    <w:rsid w:val="0061444C"/>
    <w:rsid w:val="006147F4"/>
    <w:rsid w:val="00614D83"/>
    <w:rsid w:val="00614E54"/>
    <w:rsid w:val="00615053"/>
    <w:rsid w:val="006150FD"/>
    <w:rsid w:val="00615136"/>
    <w:rsid w:val="00615427"/>
    <w:rsid w:val="006154F0"/>
    <w:rsid w:val="00615584"/>
    <w:rsid w:val="006155C4"/>
    <w:rsid w:val="00615DED"/>
    <w:rsid w:val="00615FAB"/>
    <w:rsid w:val="00616105"/>
    <w:rsid w:val="006161F8"/>
    <w:rsid w:val="006169BB"/>
    <w:rsid w:val="00616B50"/>
    <w:rsid w:val="00616F11"/>
    <w:rsid w:val="00617644"/>
    <w:rsid w:val="006177F0"/>
    <w:rsid w:val="0062005F"/>
    <w:rsid w:val="00620165"/>
    <w:rsid w:val="006201DC"/>
    <w:rsid w:val="0062039B"/>
    <w:rsid w:val="00620985"/>
    <w:rsid w:val="00620A21"/>
    <w:rsid w:val="00620BD5"/>
    <w:rsid w:val="00620F13"/>
    <w:rsid w:val="006211AA"/>
    <w:rsid w:val="006211D7"/>
    <w:rsid w:val="00621B17"/>
    <w:rsid w:val="00622289"/>
    <w:rsid w:val="00622344"/>
    <w:rsid w:val="00622543"/>
    <w:rsid w:val="0062261D"/>
    <w:rsid w:val="00622643"/>
    <w:rsid w:val="00622676"/>
    <w:rsid w:val="00623312"/>
    <w:rsid w:val="0062351E"/>
    <w:rsid w:val="00623D80"/>
    <w:rsid w:val="00623E92"/>
    <w:rsid w:val="00623E93"/>
    <w:rsid w:val="00624322"/>
    <w:rsid w:val="00624406"/>
    <w:rsid w:val="006248E3"/>
    <w:rsid w:val="00625685"/>
    <w:rsid w:val="00625D3D"/>
    <w:rsid w:val="00625DB6"/>
    <w:rsid w:val="00626280"/>
    <w:rsid w:val="00626CAC"/>
    <w:rsid w:val="006276ED"/>
    <w:rsid w:val="00627AD4"/>
    <w:rsid w:val="00630F33"/>
    <w:rsid w:val="006312A4"/>
    <w:rsid w:val="006312F8"/>
    <w:rsid w:val="006313C9"/>
    <w:rsid w:val="006317D2"/>
    <w:rsid w:val="00631C0F"/>
    <w:rsid w:val="0063210D"/>
    <w:rsid w:val="0063235E"/>
    <w:rsid w:val="0063261C"/>
    <w:rsid w:val="006326BD"/>
    <w:rsid w:val="00632B09"/>
    <w:rsid w:val="006337EA"/>
    <w:rsid w:val="00633B60"/>
    <w:rsid w:val="00634402"/>
    <w:rsid w:val="0063464B"/>
    <w:rsid w:val="00634871"/>
    <w:rsid w:val="006348ED"/>
    <w:rsid w:val="00634DF1"/>
    <w:rsid w:val="006355E6"/>
    <w:rsid w:val="0063593A"/>
    <w:rsid w:val="00635EFB"/>
    <w:rsid w:val="006366F8"/>
    <w:rsid w:val="00636A18"/>
    <w:rsid w:val="00636A48"/>
    <w:rsid w:val="00636C14"/>
    <w:rsid w:val="00636C52"/>
    <w:rsid w:val="00636EA3"/>
    <w:rsid w:val="0063771E"/>
    <w:rsid w:val="006401D2"/>
    <w:rsid w:val="0064038A"/>
    <w:rsid w:val="00640434"/>
    <w:rsid w:val="006406A6"/>
    <w:rsid w:val="006409F7"/>
    <w:rsid w:val="00640A5A"/>
    <w:rsid w:val="00640BE3"/>
    <w:rsid w:val="00640C80"/>
    <w:rsid w:val="00640E6C"/>
    <w:rsid w:val="00641820"/>
    <w:rsid w:val="00641F77"/>
    <w:rsid w:val="00642351"/>
    <w:rsid w:val="006424F7"/>
    <w:rsid w:val="00642A2C"/>
    <w:rsid w:val="00642B51"/>
    <w:rsid w:val="00642C32"/>
    <w:rsid w:val="0064314E"/>
    <w:rsid w:val="006433D0"/>
    <w:rsid w:val="00643467"/>
    <w:rsid w:val="00643A31"/>
    <w:rsid w:val="00643AAE"/>
    <w:rsid w:val="00643FAF"/>
    <w:rsid w:val="00644394"/>
    <w:rsid w:val="006443DD"/>
    <w:rsid w:val="006446AE"/>
    <w:rsid w:val="006446DF"/>
    <w:rsid w:val="00644A9F"/>
    <w:rsid w:val="00646037"/>
    <w:rsid w:val="0064660F"/>
    <w:rsid w:val="00646BA0"/>
    <w:rsid w:val="00646E09"/>
    <w:rsid w:val="00646F54"/>
    <w:rsid w:val="006476B0"/>
    <w:rsid w:val="00647DF9"/>
    <w:rsid w:val="0065002D"/>
    <w:rsid w:val="0065014C"/>
    <w:rsid w:val="00650254"/>
    <w:rsid w:val="006502BB"/>
    <w:rsid w:val="00650E45"/>
    <w:rsid w:val="00651019"/>
    <w:rsid w:val="00651121"/>
    <w:rsid w:val="0065159E"/>
    <w:rsid w:val="006515EF"/>
    <w:rsid w:val="00651FCE"/>
    <w:rsid w:val="0065219E"/>
    <w:rsid w:val="00652202"/>
    <w:rsid w:val="0065227F"/>
    <w:rsid w:val="0065234B"/>
    <w:rsid w:val="006530E2"/>
    <w:rsid w:val="006535DE"/>
    <w:rsid w:val="006538F2"/>
    <w:rsid w:val="00653C8C"/>
    <w:rsid w:val="006542B9"/>
    <w:rsid w:val="0065453F"/>
    <w:rsid w:val="00654758"/>
    <w:rsid w:val="00654E47"/>
    <w:rsid w:val="006551D3"/>
    <w:rsid w:val="00656256"/>
    <w:rsid w:val="006563FC"/>
    <w:rsid w:val="00656422"/>
    <w:rsid w:val="00656777"/>
    <w:rsid w:val="00656796"/>
    <w:rsid w:val="006569AF"/>
    <w:rsid w:val="00656D11"/>
    <w:rsid w:val="00656EAE"/>
    <w:rsid w:val="00656F61"/>
    <w:rsid w:val="00657269"/>
    <w:rsid w:val="00657344"/>
    <w:rsid w:val="00657AE2"/>
    <w:rsid w:val="00660186"/>
    <w:rsid w:val="006602CF"/>
    <w:rsid w:val="00660CB1"/>
    <w:rsid w:val="00660FB0"/>
    <w:rsid w:val="00661356"/>
    <w:rsid w:val="00661EA5"/>
    <w:rsid w:val="00661FA9"/>
    <w:rsid w:val="00661FDA"/>
    <w:rsid w:val="0066228C"/>
    <w:rsid w:val="006622CF"/>
    <w:rsid w:val="00662399"/>
    <w:rsid w:val="006628D0"/>
    <w:rsid w:val="0066292F"/>
    <w:rsid w:val="006631BA"/>
    <w:rsid w:val="00663205"/>
    <w:rsid w:val="00663E53"/>
    <w:rsid w:val="00664A30"/>
    <w:rsid w:val="00664B40"/>
    <w:rsid w:val="00664C5D"/>
    <w:rsid w:val="006652C0"/>
    <w:rsid w:val="006652FD"/>
    <w:rsid w:val="006653DF"/>
    <w:rsid w:val="006654BB"/>
    <w:rsid w:val="00665679"/>
    <w:rsid w:val="0066568C"/>
    <w:rsid w:val="0066590A"/>
    <w:rsid w:val="00665937"/>
    <w:rsid w:val="00665DB7"/>
    <w:rsid w:val="00666038"/>
    <w:rsid w:val="006662DF"/>
    <w:rsid w:val="0066633F"/>
    <w:rsid w:val="00666370"/>
    <w:rsid w:val="0066646F"/>
    <w:rsid w:val="00666775"/>
    <w:rsid w:val="00666A5B"/>
    <w:rsid w:val="00666C67"/>
    <w:rsid w:val="0066768F"/>
    <w:rsid w:val="00667BEA"/>
    <w:rsid w:val="006701F6"/>
    <w:rsid w:val="00670532"/>
    <w:rsid w:val="00670AA7"/>
    <w:rsid w:val="00670EFB"/>
    <w:rsid w:val="00671380"/>
    <w:rsid w:val="006713F9"/>
    <w:rsid w:val="006715DC"/>
    <w:rsid w:val="006715FF"/>
    <w:rsid w:val="00671C24"/>
    <w:rsid w:val="006720A4"/>
    <w:rsid w:val="00672B8A"/>
    <w:rsid w:val="00672F3E"/>
    <w:rsid w:val="00672FF4"/>
    <w:rsid w:val="00673BF2"/>
    <w:rsid w:val="00673C58"/>
    <w:rsid w:val="0067457D"/>
    <w:rsid w:val="0067488B"/>
    <w:rsid w:val="0067494B"/>
    <w:rsid w:val="00674DB0"/>
    <w:rsid w:val="00675296"/>
    <w:rsid w:val="006758C3"/>
    <w:rsid w:val="00675AC1"/>
    <w:rsid w:val="00676069"/>
    <w:rsid w:val="006761BE"/>
    <w:rsid w:val="006766B8"/>
    <w:rsid w:val="00677143"/>
    <w:rsid w:val="00677B77"/>
    <w:rsid w:val="006807E1"/>
    <w:rsid w:val="0068096D"/>
    <w:rsid w:val="006809A0"/>
    <w:rsid w:val="00680C81"/>
    <w:rsid w:val="00680C9A"/>
    <w:rsid w:val="00680DE4"/>
    <w:rsid w:val="0068116A"/>
    <w:rsid w:val="0068124F"/>
    <w:rsid w:val="00681353"/>
    <w:rsid w:val="00681663"/>
    <w:rsid w:val="006819C2"/>
    <w:rsid w:val="00681EF3"/>
    <w:rsid w:val="006823D9"/>
    <w:rsid w:val="00682434"/>
    <w:rsid w:val="00682741"/>
    <w:rsid w:val="006827CF"/>
    <w:rsid w:val="00683367"/>
    <w:rsid w:val="00683B8F"/>
    <w:rsid w:val="006841B1"/>
    <w:rsid w:val="006841F4"/>
    <w:rsid w:val="0068436A"/>
    <w:rsid w:val="0068454F"/>
    <w:rsid w:val="00684A55"/>
    <w:rsid w:val="00684E30"/>
    <w:rsid w:val="0068523F"/>
    <w:rsid w:val="006855A0"/>
    <w:rsid w:val="00685BE5"/>
    <w:rsid w:val="00686157"/>
    <w:rsid w:val="006861C4"/>
    <w:rsid w:val="00686494"/>
    <w:rsid w:val="006864D8"/>
    <w:rsid w:val="00686525"/>
    <w:rsid w:val="00686C10"/>
    <w:rsid w:val="00686C23"/>
    <w:rsid w:val="00686EE5"/>
    <w:rsid w:val="00687033"/>
    <w:rsid w:val="00687357"/>
    <w:rsid w:val="0068762F"/>
    <w:rsid w:val="00687774"/>
    <w:rsid w:val="00687D28"/>
    <w:rsid w:val="00687EC6"/>
    <w:rsid w:val="006905D9"/>
    <w:rsid w:val="00690AC8"/>
    <w:rsid w:val="00690CCF"/>
    <w:rsid w:val="00690E24"/>
    <w:rsid w:val="00691626"/>
    <w:rsid w:val="0069167D"/>
    <w:rsid w:val="00691F18"/>
    <w:rsid w:val="0069256A"/>
    <w:rsid w:val="00692A7E"/>
    <w:rsid w:val="00692F2B"/>
    <w:rsid w:val="00693053"/>
    <w:rsid w:val="00693166"/>
    <w:rsid w:val="006936CD"/>
    <w:rsid w:val="0069391C"/>
    <w:rsid w:val="00693EA8"/>
    <w:rsid w:val="00694188"/>
    <w:rsid w:val="00694430"/>
    <w:rsid w:val="006946EC"/>
    <w:rsid w:val="00694731"/>
    <w:rsid w:val="0069493D"/>
    <w:rsid w:val="00694BE5"/>
    <w:rsid w:val="00694C13"/>
    <w:rsid w:val="00694FF9"/>
    <w:rsid w:val="0069620B"/>
    <w:rsid w:val="00696363"/>
    <w:rsid w:val="0069659F"/>
    <w:rsid w:val="00696801"/>
    <w:rsid w:val="00696F04"/>
    <w:rsid w:val="0069709C"/>
    <w:rsid w:val="0069758F"/>
    <w:rsid w:val="006975C8"/>
    <w:rsid w:val="0069767A"/>
    <w:rsid w:val="0069782E"/>
    <w:rsid w:val="006978DB"/>
    <w:rsid w:val="00697989"/>
    <w:rsid w:val="006979EF"/>
    <w:rsid w:val="006A049D"/>
    <w:rsid w:val="006A0623"/>
    <w:rsid w:val="006A0DCE"/>
    <w:rsid w:val="006A12AE"/>
    <w:rsid w:val="006A12E9"/>
    <w:rsid w:val="006A1BC6"/>
    <w:rsid w:val="006A272F"/>
    <w:rsid w:val="006A2842"/>
    <w:rsid w:val="006A2855"/>
    <w:rsid w:val="006A2B81"/>
    <w:rsid w:val="006A329F"/>
    <w:rsid w:val="006A32FB"/>
    <w:rsid w:val="006A393F"/>
    <w:rsid w:val="006A4443"/>
    <w:rsid w:val="006A452C"/>
    <w:rsid w:val="006A4976"/>
    <w:rsid w:val="006A4B14"/>
    <w:rsid w:val="006A539D"/>
    <w:rsid w:val="006A54EF"/>
    <w:rsid w:val="006A58A2"/>
    <w:rsid w:val="006A5A05"/>
    <w:rsid w:val="006A5A39"/>
    <w:rsid w:val="006A5C7F"/>
    <w:rsid w:val="006A5EB5"/>
    <w:rsid w:val="006A5F5C"/>
    <w:rsid w:val="006A6263"/>
    <w:rsid w:val="006A6484"/>
    <w:rsid w:val="006A652E"/>
    <w:rsid w:val="006A67D8"/>
    <w:rsid w:val="006A7C98"/>
    <w:rsid w:val="006A7DAA"/>
    <w:rsid w:val="006A7EA3"/>
    <w:rsid w:val="006B022C"/>
    <w:rsid w:val="006B06CD"/>
    <w:rsid w:val="006B07D8"/>
    <w:rsid w:val="006B0CEB"/>
    <w:rsid w:val="006B13C1"/>
    <w:rsid w:val="006B1707"/>
    <w:rsid w:val="006B1B45"/>
    <w:rsid w:val="006B1CE8"/>
    <w:rsid w:val="006B1F80"/>
    <w:rsid w:val="006B2194"/>
    <w:rsid w:val="006B2489"/>
    <w:rsid w:val="006B271B"/>
    <w:rsid w:val="006B2E64"/>
    <w:rsid w:val="006B3215"/>
    <w:rsid w:val="006B3348"/>
    <w:rsid w:val="006B3448"/>
    <w:rsid w:val="006B34F6"/>
    <w:rsid w:val="006B35F1"/>
    <w:rsid w:val="006B4346"/>
    <w:rsid w:val="006B4A1E"/>
    <w:rsid w:val="006B4F5C"/>
    <w:rsid w:val="006B5062"/>
    <w:rsid w:val="006B50A3"/>
    <w:rsid w:val="006B5725"/>
    <w:rsid w:val="006B6BDE"/>
    <w:rsid w:val="006B6CBE"/>
    <w:rsid w:val="006B71E4"/>
    <w:rsid w:val="006B721B"/>
    <w:rsid w:val="006B721D"/>
    <w:rsid w:val="006B7256"/>
    <w:rsid w:val="006C00B5"/>
    <w:rsid w:val="006C04B0"/>
    <w:rsid w:val="006C062E"/>
    <w:rsid w:val="006C07E5"/>
    <w:rsid w:val="006C0AD7"/>
    <w:rsid w:val="006C1170"/>
    <w:rsid w:val="006C1284"/>
    <w:rsid w:val="006C17D4"/>
    <w:rsid w:val="006C1A53"/>
    <w:rsid w:val="006C1D88"/>
    <w:rsid w:val="006C2506"/>
    <w:rsid w:val="006C2793"/>
    <w:rsid w:val="006C2952"/>
    <w:rsid w:val="006C2BE7"/>
    <w:rsid w:val="006C3343"/>
    <w:rsid w:val="006C348B"/>
    <w:rsid w:val="006C34C1"/>
    <w:rsid w:val="006C374C"/>
    <w:rsid w:val="006C3974"/>
    <w:rsid w:val="006C3F13"/>
    <w:rsid w:val="006C441B"/>
    <w:rsid w:val="006C4B43"/>
    <w:rsid w:val="006C4E73"/>
    <w:rsid w:val="006C4EB7"/>
    <w:rsid w:val="006C5014"/>
    <w:rsid w:val="006C565B"/>
    <w:rsid w:val="006C5D35"/>
    <w:rsid w:val="006C6181"/>
    <w:rsid w:val="006C6470"/>
    <w:rsid w:val="006C6633"/>
    <w:rsid w:val="006C75FA"/>
    <w:rsid w:val="006C7E14"/>
    <w:rsid w:val="006C7FAC"/>
    <w:rsid w:val="006D002D"/>
    <w:rsid w:val="006D040A"/>
    <w:rsid w:val="006D0421"/>
    <w:rsid w:val="006D047B"/>
    <w:rsid w:val="006D0655"/>
    <w:rsid w:val="006D0F86"/>
    <w:rsid w:val="006D13C5"/>
    <w:rsid w:val="006D1480"/>
    <w:rsid w:val="006D1D18"/>
    <w:rsid w:val="006D2413"/>
    <w:rsid w:val="006D2594"/>
    <w:rsid w:val="006D2BD4"/>
    <w:rsid w:val="006D2F2E"/>
    <w:rsid w:val="006D3530"/>
    <w:rsid w:val="006D36C9"/>
    <w:rsid w:val="006D3BF4"/>
    <w:rsid w:val="006D407D"/>
    <w:rsid w:val="006D4343"/>
    <w:rsid w:val="006D4721"/>
    <w:rsid w:val="006D477F"/>
    <w:rsid w:val="006D47BC"/>
    <w:rsid w:val="006D4ACA"/>
    <w:rsid w:val="006D4B0A"/>
    <w:rsid w:val="006D4E9E"/>
    <w:rsid w:val="006D4F07"/>
    <w:rsid w:val="006D5843"/>
    <w:rsid w:val="006D6871"/>
    <w:rsid w:val="006D6CA2"/>
    <w:rsid w:val="006D71D3"/>
    <w:rsid w:val="006E02F2"/>
    <w:rsid w:val="006E1BA4"/>
    <w:rsid w:val="006E1FB4"/>
    <w:rsid w:val="006E23E0"/>
    <w:rsid w:val="006E24D7"/>
    <w:rsid w:val="006E2C40"/>
    <w:rsid w:val="006E2CC6"/>
    <w:rsid w:val="006E30DA"/>
    <w:rsid w:val="006E3415"/>
    <w:rsid w:val="006E3962"/>
    <w:rsid w:val="006E3A8F"/>
    <w:rsid w:val="006E3F3C"/>
    <w:rsid w:val="006E404F"/>
    <w:rsid w:val="006E464C"/>
    <w:rsid w:val="006E4970"/>
    <w:rsid w:val="006E4A6B"/>
    <w:rsid w:val="006E4CCB"/>
    <w:rsid w:val="006E4CCC"/>
    <w:rsid w:val="006E516B"/>
    <w:rsid w:val="006E559F"/>
    <w:rsid w:val="006E60E1"/>
    <w:rsid w:val="006E64FC"/>
    <w:rsid w:val="006E6536"/>
    <w:rsid w:val="006E6A28"/>
    <w:rsid w:val="006E6B1D"/>
    <w:rsid w:val="006E7542"/>
    <w:rsid w:val="006E77E5"/>
    <w:rsid w:val="006E78A4"/>
    <w:rsid w:val="006E7A04"/>
    <w:rsid w:val="006E7B89"/>
    <w:rsid w:val="006F065D"/>
    <w:rsid w:val="006F0B1D"/>
    <w:rsid w:val="006F0C10"/>
    <w:rsid w:val="006F14B1"/>
    <w:rsid w:val="006F27FA"/>
    <w:rsid w:val="006F290B"/>
    <w:rsid w:val="006F29B4"/>
    <w:rsid w:val="006F350F"/>
    <w:rsid w:val="006F36F0"/>
    <w:rsid w:val="006F3C48"/>
    <w:rsid w:val="006F43C1"/>
    <w:rsid w:val="006F46FC"/>
    <w:rsid w:val="006F49F2"/>
    <w:rsid w:val="006F4D78"/>
    <w:rsid w:val="006F4E12"/>
    <w:rsid w:val="006F533D"/>
    <w:rsid w:val="006F54B9"/>
    <w:rsid w:val="006F5879"/>
    <w:rsid w:val="006F5CC1"/>
    <w:rsid w:val="006F6172"/>
    <w:rsid w:val="006F6D3E"/>
    <w:rsid w:val="006F6DDA"/>
    <w:rsid w:val="006F6FFA"/>
    <w:rsid w:val="006F7041"/>
    <w:rsid w:val="006F726F"/>
    <w:rsid w:val="006F77A9"/>
    <w:rsid w:val="006F7BB7"/>
    <w:rsid w:val="006F7BBD"/>
    <w:rsid w:val="0070068B"/>
    <w:rsid w:val="00700990"/>
    <w:rsid w:val="00700C8D"/>
    <w:rsid w:val="00700CF4"/>
    <w:rsid w:val="00701179"/>
    <w:rsid w:val="007016BE"/>
    <w:rsid w:val="00701816"/>
    <w:rsid w:val="00702038"/>
    <w:rsid w:val="007025A3"/>
    <w:rsid w:val="00702A5C"/>
    <w:rsid w:val="00702C36"/>
    <w:rsid w:val="007030B9"/>
    <w:rsid w:val="00703181"/>
    <w:rsid w:val="007034E5"/>
    <w:rsid w:val="00703505"/>
    <w:rsid w:val="00703713"/>
    <w:rsid w:val="00703B08"/>
    <w:rsid w:val="00704001"/>
    <w:rsid w:val="007042E7"/>
    <w:rsid w:val="007044EC"/>
    <w:rsid w:val="00704571"/>
    <w:rsid w:val="007048F0"/>
    <w:rsid w:val="00705110"/>
    <w:rsid w:val="00705209"/>
    <w:rsid w:val="00705362"/>
    <w:rsid w:val="0070564E"/>
    <w:rsid w:val="00705780"/>
    <w:rsid w:val="00705793"/>
    <w:rsid w:val="00705B6A"/>
    <w:rsid w:val="0070604E"/>
    <w:rsid w:val="00706227"/>
    <w:rsid w:val="00706927"/>
    <w:rsid w:val="00706DF0"/>
    <w:rsid w:val="00706F51"/>
    <w:rsid w:val="00706F63"/>
    <w:rsid w:val="0070718C"/>
    <w:rsid w:val="00707670"/>
    <w:rsid w:val="00707E44"/>
    <w:rsid w:val="0071016B"/>
    <w:rsid w:val="00710339"/>
    <w:rsid w:val="00710630"/>
    <w:rsid w:val="00710C71"/>
    <w:rsid w:val="00710F4A"/>
    <w:rsid w:val="00711526"/>
    <w:rsid w:val="0071165C"/>
    <w:rsid w:val="00711CAD"/>
    <w:rsid w:val="0071201B"/>
    <w:rsid w:val="007128F7"/>
    <w:rsid w:val="0071320C"/>
    <w:rsid w:val="0071356F"/>
    <w:rsid w:val="00713A67"/>
    <w:rsid w:val="00713BCB"/>
    <w:rsid w:val="00713DC8"/>
    <w:rsid w:val="00714166"/>
    <w:rsid w:val="007153F0"/>
    <w:rsid w:val="007154CF"/>
    <w:rsid w:val="007159A1"/>
    <w:rsid w:val="00716550"/>
    <w:rsid w:val="00716561"/>
    <w:rsid w:val="007167FF"/>
    <w:rsid w:val="00716812"/>
    <w:rsid w:val="00716B78"/>
    <w:rsid w:val="00716C0F"/>
    <w:rsid w:val="00716C9C"/>
    <w:rsid w:val="007170CE"/>
    <w:rsid w:val="007171DB"/>
    <w:rsid w:val="00717651"/>
    <w:rsid w:val="0071796A"/>
    <w:rsid w:val="00717A8D"/>
    <w:rsid w:val="00717BF6"/>
    <w:rsid w:val="00717C21"/>
    <w:rsid w:val="00717F9F"/>
    <w:rsid w:val="00720493"/>
    <w:rsid w:val="007209F2"/>
    <w:rsid w:val="00720B9E"/>
    <w:rsid w:val="00720E2B"/>
    <w:rsid w:val="0072128E"/>
    <w:rsid w:val="007217CB"/>
    <w:rsid w:val="00721887"/>
    <w:rsid w:val="00721962"/>
    <w:rsid w:val="00721CC5"/>
    <w:rsid w:val="00721D7F"/>
    <w:rsid w:val="00721DE0"/>
    <w:rsid w:val="007224ED"/>
    <w:rsid w:val="00722FBB"/>
    <w:rsid w:val="00722FD8"/>
    <w:rsid w:val="0072337C"/>
    <w:rsid w:val="0072366C"/>
    <w:rsid w:val="00723865"/>
    <w:rsid w:val="00723B9D"/>
    <w:rsid w:val="00723F09"/>
    <w:rsid w:val="00724291"/>
    <w:rsid w:val="007247A1"/>
    <w:rsid w:val="0072486E"/>
    <w:rsid w:val="00724D0C"/>
    <w:rsid w:val="00725190"/>
    <w:rsid w:val="0072590A"/>
    <w:rsid w:val="00725996"/>
    <w:rsid w:val="00725BAC"/>
    <w:rsid w:val="00726886"/>
    <w:rsid w:val="0072724E"/>
    <w:rsid w:val="00727381"/>
    <w:rsid w:val="007273D5"/>
    <w:rsid w:val="00727566"/>
    <w:rsid w:val="00727924"/>
    <w:rsid w:val="00730896"/>
    <w:rsid w:val="00731044"/>
    <w:rsid w:val="007310CE"/>
    <w:rsid w:val="007314BA"/>
    <w:rsid w:val="00731927"/>
    <w:rsid w:val="007319B3"/>
    <w:rsid w:val="00731FE7"/>
    <w:rsid w:val="00732303"/>
    <w:rsid w:val="00732596"/>
    <w:rsid w:val="00732A2D"/>
    <w:rsid w:val="00732D06"/>
    <w:rsid w:val="0073377D"/>
    <w:rsid w:val="00733D78"/>
    <w:rsid w:val="00733E70"/>
    <w:rsid w:val="00733FFC"/>
    <w:rsid w:val="0073438B"/>
    <w:rsid w:val="007343F1"/>
    <w:rsid w:val="00734428"/>
    <w:rsid w:val="007344FF"/>
    <w:rsid w:val="007347C7"/>
    <w:rsid w:val="00734864"/>
    <w:rsid w:val="007348C6"/>
    <w:rsid w:val="0073490E"/>
    <w:rsid w:val="00734FE8"/>
    <w:rsid w:val="0073536C"/>
    <w:rsid w:val="007357EC"/>
    <w:rsid w:val="007359A2"/>
    <w:rsid w:val="007359BD"/>
    <w:rsid w:val="007360A9"/>
    <w:rsid w:val="0073699B"/>
    <w:rsid w:val="0073710F"/>
    <w:rsid w:val="00737362"/>
    <w:rsid w:val="007373AB"/>
    <w:rsid w:val="00737707"/>
    <w:rsid w:val="00737753"/>
    <w:rsid w:val="00737882"/>
    <w:rsid w:val="00737D49"/>
    <w:rsid w:val="007409AA"/>
    <w:rsid w:val="00740C6B"/>
    <w:rsid w:val="00740E1B"/>
    <w:rsid w:val="00740EE3"/>
    <w:rsid w:val="007410D2"/>
    <w:rsid w:val="007411F4"/>
    <w:rsid w:val="007413BF"/>
    <w:rsid w:val="00741968"/>
    <w:rsid w:val="00741BDD"/>
    <w:rsid w:val="007423E9"/>
    <w:rsid w:val="00742530"/>
    <w:rsid w:val="00742CEC"/>
    <w:rsid w:val="00742F63"/>
    <w:rsid w:val="007438D0"/>
    <w:rsid w:val="00743A58"/>
    <w:rsid w:val="00743D1C"/>
    <w:rsid w:val="00743D29"/>
    <w:rsid w:val="00744024"/>
    <w:rsid w:val="0074406C"/>
    <w:rsid w:val="00744146"/>
    <w:rsid w:val="0074472C"/>
    <w:rsid w:val="00744B1B"/>
    <w:rsid w:val="00745023"/>
    <w:rsid w:val="00745153"/>
    <w:rsid w:val="00745844"/>
    <w:rsid w:val="0074589E"/>
    <w:rsid w:val="00745D64"/>
    <w:rsid w:val="007460ED"/>
    <w:rsid w:val="0074661C"/>
    <w:rsid w:val="00746639"/>
    <w:rsid w:val="007467B0"/>
    <w:rsid w:val="00746A2F"/>
    <w:rsid w:val="00746B1E"/>
    <w:rsid w:val="007472EF"/>
    <w:rsid w:val="00747307"/>
    <w:rsid w:val="00747669"/>
    <w:rsid w:val="0074771E"/>
    <w:rsid w:val="007478AF"/>
    <w:rsid w:val="00747A9A"/>
    <w:rsid w:val="00747AFE"/>
    <w:rsid w:val="0075078C"/>
    <w:rsid w:val="00751097"/>
    <w:rsid w:val="007511E8"/>
    <w:rsid w:val="007519F6"/>
    <w:rsid w:val="00751E1F"/>
    <w:rsid w:val="00752745"/>
    <w:rsid w:val="0075296E"/>
    <w:rsid w:val="00752C51"/>
    <w:rsid w:val="00752F33"/>
    <w:rsid w:val="0075319C"/>
    <w:rsid w:val="007531A5"/>
    <w:rsid w:val="007535E3"/>
    <w:rsid w:val="00753FCB"/>
    <w:rsid w:val="0075419B"/>
    <w:rsid w:val="007542B1"/>
    <w:rsid w:val="007545D7"/>
    <w:rsid w:val="00754A0F"/>
    <w:rsid w:val="007550FE"/>
    <w:rsid w:val="00755616"/>
    <w:rsid w:val="00755EE8"/>
    <w:rsid w:val="0075603B"/>
    <w:rsid w:val="00756609"/>
    <w:rsid w:val="007566A7"/>
    <w:rsid w:val="007567D2"/>
    <w:rsid w:val="00756D9F"/>
    <w:rsid w:val="00756E30"/>
    <w:rsid w:val="0075707E"/>
    <w:rsid w:val="00757654"/>
    <w:rsid w:val="00757941"/>
    <w:rsid w:val="00757E40"/>
    <w:rsid w:val="0076001E"/>
    <w:rsid w:val="0076005C"/>
    <w:rsid w:val="007606E7"/>
    <w:rsid w:val="007606EC"/>
    <w:rsid w:val="00760C28"/>
    <w:rsid w:val="007615C0"/>
    <w:rsid w:val="0076181E"/>
    <w:rsid w:val="00761948"/>
    <w:rsid w:val="00761F21"/>
    <w:rsid w:val="0076225C"/>
    <w:rsid w:val="00762FCA"/>
    <w:rsid w:val="007639A5"/>
    <w:rsid w:val="00763DE8"/>
    <w:rsid w:val="00763EE9"/>
    <w:rsid w:val="00764375"/>
    <w:rsid w:val="00764D50"/>
    <w:rsid w:val="00764F40"/>
    <w:rsid w:val="007653BF"/>
    <w:rsid w:val="00765630"/>
    <w:rsid w:val="00765919"/>
    <w:rsid w:val="00765CA3"/>
    <w:rsid w:val="0076613B"/>
    <w:rsid w:val="007661BB"/>
    <w:rsid w:val="0076653E"/>
    <w:rsid w:val="00766647"/>
    <w:rsid w:val="0076786D"/>
    <w:rsid w:val="007700F8"/>
    <w:rsid w:val="007701D4"/>
    <w:rsid w:val="007702B7"/>
    <w:rsid w:val="00770685"/>
    <w:rsid w:val="0077094D"/>
    <w:rsid w:val="00770E63"/>
    <w:rsid w:val="00771D61"/>
    <w:rsid w:val="00771EC7"/>
    <w:rsid w:val="0077217E"/>
    <w:rsid w:val="0077250B"/>
    <w:rsid w:val="00772964"/>
    <w:rsid w:val="00772D0D"/>
    <w:rsid w:val="0077319D"/>
    <w:rsid w:val="0077372B"/>
    <w:rsid w:val="00773C06"/>
    <w:rsid w:val="00773C4C"/>
    <w:rsid w:val="00774311"/>
    <w:rsid w:val="00774469"/>
    <w:rsid w:val="007744B2"/>
    <w:rsid w:val="00774752"/>
    <w:rsid w:val="00774913"/>
    <w:rsid w:val="00775291"/>
    <w:rsid w:val="007755B3"/>
    <w:rsid w:val="0077594E"/>
    <w:rsid w:val="00775E61"/>
    <w:rsid w:val="00775FB9"/>
    <w:rsid w:val="00776268"/>
    <w:rsid w:val="00776B34"/>
    <w:rsid w:val="00776DD3"/>
    <w:rsid w:val="00776E9E"/>
    <w:rsid w:val="007771F8"/>
    <w:rsid w:val="0077734A"/>
    <w:rsid w:val="00777495"/>
    <w:rsid w:val="00777C2C"/>
    <w:rsid w:val="00777F38"/>
    <w:rsid w:val="0078016F"/>
    <w:rsid w:val="00780485"/>
    <w:rsid w:val="007804B1"/>
    <w:rsid w:val="007805EC"/>
    <w:rsid w:val="007807E9"/>
    <w:rsid w:val="007807EA"/>
    <w:rsid w:val="007808A4"/>
    <w:rsid w:val="00780928"/>
    <w:rsid w:val="00780B0E"/>
    <w:rsid w:val="00781063"/>
    <w:rsid w:val="00781689"/>
    <w:rsid w:val="00781F85"/>
    <w:rsid w:val="00782201"/>
    <w:rsid w:val="00782394"/>
    <w:rsid w:val="007824D0"/>
    <w:rsid w:val="0078251D"/>
    <w:rsid w:val="00782848"/>
    <w:rsid w:val="007829B1"/>
    <w:rsid w:val="00782C5A"/>
    <w:rsid w:val="00782D28"/>
    <w:rsid w:val="00782DAA"/>
    <w:rsid w:val="007830AC"/>
    <w:rsid w:val="007834C1"/>
    <w:rsid w:val="00783755"/>
    <w:rsid w:val="00783873"/>
    <w:rsid w:val="00783F1A"/>
    <w:rsid w:val="007847D1"/>
    <w:rsid w:val="00784924"/>
    <w:rsid w:val="00785B0C"/>
    <w:rsid w:val="00785D82"/>
    <w:rsid w:val="00785DE4"/>
    <w:rsid w:val="007863DD"/>
    <w:rsid w:val="0078647B"/>
    <w:rsid w:val="007865E2"/>
    <w:rsid w:val="00786627"/>
    <w:rsid w:val="007866B1"/>
    <w:rsid w:val="0078695B"/>
    <w:rsid w:val="00786C2F"/>
    <w:rsid w:val="00786ED4"/>
    <w:rsid w:val="0078716F"/>
    <w:rsid w:val="00787256"/>
    <w:rsid w:val="007873C8"/>
    <w:rsid w:val="007878EA"/>
    <w:rsid w:val="0078793D"/>
    <w:rsid w:val="007879F1"/>
    <w:rsid w:val="00787F80"/>
    <w:rsid w:val="00790F50"/>
    <w:rsid w:val="00791374"/>
    <w:rsid w:val="00791A9B"/>
    <w:rsid w:val="00791E05"/>
    <w:rsid w:val="0079263D"/>
    <w:rsid w:val="00792712"/>
    <w:rsid w:val="00792994"/>
    <w:rsid w:val="007929C5"/>
    <w:rsid w:val="00792B66"/>
    <w:rsid w:val="00792E11"/>
    <w:rsid w:val="0079301E"/>
    <w:rsid w:val="0079352C"/>
    <w:rsid w:val="007937E7"/>
    <w:rsid w:val="00793B34"/>
    <w:rsid w:val="00793B84"/>
    <w:rsid w:val="00793CBC"/>
    <w:rsid w:val="00793D87"/>
    <w:rsid w:val="00794795"/>
    <w:rsid w:val="007949E6"/>
    <w:rsid w:val="00794CC2"/>
    <w:rsid w:val="00794D98"/>
    <w:rsid w:val="00794F29"/>
    <w:rsid w:val="007954BD"/>
    <w:rsid w:val="00795767"/>
    <w:rsid w:val="00795A2A"/>
    <w:rsid w:val="00795DB3"/>
    <w:rsid w:val="00795E7E"/>
    <w:rsid w:val="00795EFD"/>
    <w:rsid w:val="007964B5"/>
    <w:rsid w:val="00796A67"/>
    <w:rsid w:val="007972BC"/>
    <w:rsid w:val="007972FB"/>
    <w:rsid w:val="007977AD"/>
    <w:rsid w:val="007978FC"/>
    <w:rsid w:val="00797DEC"/>
    <w:rsid w:val="007A02BC"/>
    <w:rsid w:val="007A099F"/>
    <w:rsid w:val="007A0ADA"/>
    <w:rsid w:val="007A0B0A"/>
    <w:rsid w:val="007A0B60"/>
    <w:rsid w:val="007A0D27"/>
    <w:rsid w:val="007A0F0F"/>
    <w:rsid w:val="007A16EB"/>
    <w:rsid w:val="007A172C"/>
    <w:rsid w:val="007A17E2"/>
    <w:rsid w:val="007A1AB4"/>
    <w:rsid w:val="007A214C"/>
    <w:rsid w:val="007A26C4"/>
    <w:rsid w:val="007A2742"/>
    <w:rsid w:val="007A2790"/>
    <w:rsid w:val="007A2A9C"/>
    <w:rsid w:val="007A2F96"/>
    <w:rsid w:val="007A33C4"/>
    <w:rsid w:val="007A343E"/>
    <w:rsid w:val="007A36E6"/>
    <w:rsid w:val="007A3D67"/>
    <w:rsid w:val="007A4096"/>
    <w:rsid w:val="007A42DA"/>
    <w:rsid w:val="007A46DC"/>
    <w:rsid w:val="007A49D9"/>
    <w:rsid w:val="007A4DE4"/>
    <w:rsid w:val="007A5620"/>
    <w:rsid w:val="007A57C2"/>
    <w:rsid w:val="007A595E"/>
    <w:rsid w:val="007A5F49"/>
    <w:rsid w:val="007A5F96"/>
    <w:rsid w:val="007A7605"/>
    <w:rsid w:val="007A797E"/>
    <w:rsid w:val="007A79B4"/>
    <w:rsid w:val="007A7E4C"/>
    <w:rsid w:val="007B01E7"/>
    <w:rsid w:val="007B0810"/>
    <w:rsid w:val="007B0DC2"/>
    <w:rsid w:val="007B1021"/>
    <w:rsid w:val="007B104F"/>
    <w:rsid w:val="007B120B"/>
    <w:rsid w:val="007B1418"/>
    <w:rsid w:val="007B169F"/>
    <w:rsid w:val="007B1C29"/>
    <w:rsid w:val="007B1DD2"/>
    <w:rsid w:val="007B1E4C"/>
    <w:rsid w:val="007B2177"/>
    <w:rsid w:val="007B23E6"/>
    <w:rsid w:val="007B25A2"/>
    <w:rsid w:val="007B2FF1"/>
    <w:rsid w:val="007B3347"/>
    <w:rsid w:val="007B3503"/>
    <w:rsid w:val="007B3584"/>
    <w:rsid w:val="007B3BDC"/>
    <w:rsid w:val="007B3E48"/>
    <w:rsid w:val="007B3F86"/>
    <w:rsid w:val="007B41BE"/>
    <w:rsid w:val="007B4745"/>
    <w:rsid w:val="007B477A"/>
    <w:rsid w:val="007B482A"/>
    <w:rsid w:val="007B4D65"/>
    <w:rsid w:val="007B4F7F"/>
    <w:rsid w:val="007B52BB"/>
    <w:rsid w:val="007B5583"/>
    <w:rsid w:val="007B56E1"/>
    <w:rsid w:val="007B5C49"/>
    <w:rsid w:val="007B6249"/>
    <w:rsid w:val="007B6B28"/>
    <w:rsid w:val="007B6F84"/>
    <w:rsid w:val="007B71D9"/>
    <w:rsid w:val="007B7BB1"/>
    <w:rsid w:val="007B7E03"/>
    <w:rsid w:val="007C0B47"/>
    <w:rsid w:val="007C0F9C"/>
    <w:rsid w:val="007C107C"/>
    <w:rsid w:val="007C1229"/>
    <w:rsid w:val="007C136F"/>
    <w:rsid w:val="007C17AB"/>
    <w:rsid w:val="007C1DFF"/>
    <w:rsid w:val="007C1E1D"/>
    <w:rsid w:val="007C2145"/>
    <w:rsid w:val="007C21A1"/>
    <w:rsid w:val="007C2349"/>
    <w:rsid w:val="007C27BF"/>
    <w:rsid w:val="007C2A41"/>
    <w:rsid w:val="007C2AE7"/>
    <w:rsid w:val="007C33A0"/>
    <w:rsid w:val="007C377C"/>
    <w:rsid w:val="007C378F"/>
    <w:rsid w:val="007C3815"/>
    <w:rsid w:val="007C3849"/>
    <w:rsid w:val="007C3B7F"/>
    <w:rsid w:val="007C3F35"/>
    <w:rsid w:val="007C4A9F"/>
    <w:rsid w:val="007C4E9B"/>
    <w:rsid w:val="007C5A9A"/>
    <w:rsid w:val="007C5B20"/>
    <w:rsid w:val="007C65FA"/>
    <w:rsid w:val="007C6601"/>
    <w:rsid w:val="007C685F"/>
    <w:rsid w:val="007C7513"/>
    <w:rsid w:val="007C775D"/>
    <w:rsid w:val="007C7A9E"/>
    <w:rsid w:val="007C7CEC"/>
    <w:rsid w:val="007C7F59"/>
    <w:rsid w:val="007D069C"/>
    <w:rsid w:val="007D090A"/>
    <w:rsid w:val="007D0F10"/>
    <w:rsid w:val="007D186C"/>
    <w:rsid w:val="007D19F4"/>
    <w:rsid w:val="007D1AFD"/>
    <w:rsid w:val="007D1E73"/>
    <w:rsid w:val="007D23C4"/>
    <w:rsid w:val="007D25E6"/>
    <w:rsid w:val="007D298F"/>
    <w:rsid w:val="007D2D6C"/>
    <w:rsid w:val="007D2FC8"/>
    <w:rsid w:val="007D304D"/>
    <w:rsid w:val="007D310A"/>
    <w:rsid w:val="007D37F8"/>
    <w:rsid w:val="007D3CC7"/>
    <w:rsid w:val="007D408D"/>
    <w:rsid w:val="007D4CA7"/>
    <w:rsid w:val="007D4CD5"/>
    <w:rsid w:val="007D4E7D"/>
    <w:rsid w:val="007D5019"/>
    <w:rsid w:val="007D52A7"/>
    <w:rsid w:val="007D5AEC"/>
    <w:rsid w:val="007D5BD5"/>
    <w:rsid w:val="007D619D"/>
    <w:rsid w:val="007D6460"/>
    <w:rsid w:val="007D658F"/>
    <w:rsid w:val="007D68AD"/>
    <w:rsid w:val="007D6B04"/>
    <w:rsid w:val="007D6D6F"/>
    <w:rsid w:val="007D6E6D"/>
    <w:rsid w:val="007D6F1A"/>
    <w:rsid w:val="007D6F5D"/>
    <w:rsid w:val="007D6FE7"/>
    <w:rsid w:val="007D7604"/>
    <w:rsid w:val="007D7642"/>
    <w:rsid w:val="007D7729"/>
    <w:rsid w:val="007D7845"/>
    <w:rsid w:val="007D7AA9"/>
    <w:rsid w:val="007D7F8B"/>
    <w:rsid w:val="007E075D"/>
    <w:rsid w:val="007E0803"/>
    <w:rsid w:val="007E091A"/>
    <w:rsid w:val="007E0D86"/>
    <w:rsid w:val="007E0E53"/>
    <w:rsid w:val="007E1099"/>
    <w:rsid w:val="007E13CF"/>
    <w:rsid w:val="007E170B"/>
    <w:rsid w:val="007E1720"/>
    <w:rsid w:val="007E18BA"/>
    <w:rsid w:val="007E18FA"/>
    <w:rsid w:val="007E1CD8"/>
    <w:rsid w:val="007E1DF2"/>
    <w:rsid w:val="007E2170"/>
    <w:rsid w:val="007E25D0"/>
    <w:rsid w:val="007E26A7"/>
    <w:rsid w:val="007E2888"/>
    <w:rsid w:val="007E29B7"/>
    <w:rsid w:val="007E2BA4"/>
    <w:rsid w:val="007E3026"/>
    <w:rsid w:val="007E32D4"/>
    <w:rsid w:val="007E349F"/>
    <w:rsid w:val="007E3514"/>
    <w:rsid w:val="007E3829"/>
    <w:rsid w:val="007E402B"/>
    <w:rsid w:val="007E4167"/>
    <w:rsid w:val="007E495E"/>
    <w:rsid w:val="007E4DF6"/>
    <w:rsid w:val="007E50F1"/>
    <w:rsid w:val="007E5921"/>
    <w:rsid w:val="007E5A1B"/>
    <w:rsid w:val="007E5FF3"/>
    <w:rsid w:val="007E6257"/>
    <w:rsid w:val="007E658E"/>
    <w:rsid w:val="007E65FE"/>
    <w:rsid w:val="007E6782"/>
    <w:rsid w:val="007E6B64"/>
    <w:rsid w:val="007E6F9A"/>
    <w:rsid w:val="007E7023"/>
    <w:rsid w:val="007E75A4"/>
    <w:rsid w:val="007E7679"/>
    <w:rsid w:val="007E7683"/>
    <w:rsid w:val="007E79F5"/>
    <w:rsid w:val="007E7AF0"/>
    <w:rsid w:val="007F02BF"/>
    <w:rsid w:val="007F0A9A"/>
    <w:rsid w:val="007F10B5"/>
    <w:rsid w:val="007F10D0"/>
    <w:rsid w:val="007F1136"/>
    <w:rsid w:val="007F1A70"/>
    <w:rsid w:val="007F1B16"/>
    <w:rsid w:val="007F1BC2"/>
    <w:rsid w:val="007F1C7A"/>
    <w:rsid w:val="007F1CCC"/>
    <w:rsid w:val="007F1F15"/>
    <w:rsid w:val="007F25B4"/>
    <w:rsid w:val="007F2B31"/>
    <w:rsid w:val="007F2C38"/>
    <w:rsid w:val="007F2EFF"/>
    <w:rsid w:val="007F3244"/>
    <w:rsid w:val="007F3257"/>
    <w:rsid w:val="007F3395"/>
    <w:rsid w:val="007F3683"/>
    <w:rsid w:val="007F39D7"/>
    <w:rsid w:val="007F3A04"/>
    <w:rsid w:val="007F48F6"/>
    <w:rsid w:val="007F51FF"/>
    <w:rsid w:val="007F5557"/>
    <w:rsid w:val="007F57D6"/>
    <w:rsid w:val="007F5CD4"/>
    <w:rsid w:val="007F61AB"/>
    <w:rsid w:val="007F61E2"/>
    <w:rsid w:val="007F6460"/>
    <w:rsid w:val="007F6777"/>
    <w:rsid w:val="007F6BFD"/>
    <w:rsid w:val="007F6C16"/>
    <w:rsid w:val="007F6C74"/>
    <w:rsid w:val="007F730F"/>
    <w:rsid w:val="007F7527"/>
    <w:rsid w:val="007F7563"/>
    <w:rsid w:val="007F759F"/>
    <w:rsid w:val="007F7903"/>
    <w:rsid w:val="007F7A54"/>
    <w:rsid w:val="007F7AB8"/>
    <w:rsid w:val="007F7E16"/>
    <w:rsid w:val="00800125"/>
    <w:rsid w:val="0080026A"/>
    <w:rsid w:val="00800338"/>
    <w:rsid w:val="00800633"/>
    <w:rsid w:val="0080083E"/>
    <w:rsid w:val="00800FCD"/>
    <w:rsid w:val="00801057"/>
    <w:rsid w:val="00801387"/>
    <w:rsid w:val="008014DE"/>
    <w:rsid w:val="00801A60"/>
    <w:rsid w:val="00801B3F"/>
    <w:rsid w:val="00801BFF"/>
    <w:rsid w:val="0080250E"/>
    <w:rsid w:val="0080281E"/>
    <w:rsid w:val="0080288E"/>
    <w:rsid w:val="00803DDF"/>
    <w:rsid w:val="00804644"/>
    <w:rsid w:val="00804990"/>
    <w:rsid w:val="00804C27"/>
    <w:rsid w:val="00804DCD"/>
    <w:rsid w:val="0080505E"/>
    <w:rsid w:val="00805261"/>
    <w:rsid w:val="0080563D"/>
    <w:rsid w:val="008056BE"/>
    <w:rsid w:val="008059F4"/>
    <w:rsid w:val="00805F75"/>
    <w:rsid w:val="00806071"/>
    <w:rsid w:val="00806DB1"/>
    <w:rsid w:val="008070F2"/>
    <w:rsid w:val="00807692"/>
    <w:rsid w:val="00807C1B"/>
    <w:rsid w:val="00807E3E"/>
    <w:rsid w:val="0081006B"/>
    <w:rsid w:val="00810489"/>
    <w:rsid w:val="008107E7"/>
    <w:rsid w:val="00810B18"/>
    <w:rsid w:val="00810D65"/>
    <w:rsid w:val="00810F2E"/>
    <w:rsid w:val="00811026"/>
    <w:rsid w:val="0081143A"/>
    <w:rsid w:val="008115A9"/>
    <w:rsid w:val="00811816"/>
    <w:rsid w:val="00811982"/>
    <w:rsid w:val="00811A0A"/>
    <w:rsid w:val="00811B7A"/>
    <w:rsid w:val="00811E77"/>
    <w:rsid w:val="0081206F"/>
    <w:rsid w:val="00812420"/>
    <w:rsid w:val="00812466"/>
    <w:rsid w:val="00812638"/>
    <w:rsid w:val="00812656"/>
    <w:rsid w:val="00812720"/>
    <w:rsid w:val="00812AE2"/>
    <w:rsid w:val="00812CD4"/>
    <w:rsid w:val="00812F10"/>
    <w:rsid w:val="0081303A"/>
    <w:rsid w:val="008130B9"/>
    <w:rsid w:val="008133C0"/>
    <w:rsid w:val="008133C2"/>
    <w:rsid w:val="0081342A"/>
    <w:rsid w:val="0081425B"/>
    <w:rsid w:val="00814892"/>
    <w:rsid w:val="00814D78"/>
    <w:rsid w:val="00815167"/>
    <w:rsid w:val="008151B0"/>
    <w:rsid w:val="0081596C"/>
    <w:rsid w:val="00815F87"/>
    <w:rsid w:val="00816744"/>
    <w:rsid w:val="0081696D"/>
    <w:rsid w:val="00816A62"/>
    <w:rsid w:val="00816B36"/>
    <w:rsid w:val="00816F09"/>
    <w:rsid w:val="0081715A"/>
    <w:rsid w:val="00817452"/>
    <w:rsid w:val="0081758D"/>
    <w:rsid w:val="00817C39"/>
    <w:rsid w:val="00817C8A"/>
    <w:rsid w:val="00820372"/>
    <w:rsid w:val="0082098B"/>
    <w:rsid w:val="008209DF"/>
    <w:rsid w:val="008214EB"/>
    <w:rsid w:val="00821601"/>
    <w:rsid w:val="00821923"/>
    <w:rsid w:val="00821932"/>
    <w:rsid w:val="00821BE5"/>
    <w:rsid w:val="00821CA3"/>
    <w:rsid w:val="00821E84"/>
    <w:rsid w:val="00822005"/>
    <w:rsid w:val="0082256B"/>
    <w:rsid w:val="00822609"/>
    <w:rsid w:val="00822901"/>
    <w:rsid w:val="00822B0C"/>
    <w:rsid w:val="00822C45"/>
    <w:rsid w:val="00822F66"/>
    <w:rsid w:val="00823764"/>
    <w:rsid w:val="008241E4"/>
    <w:rsid w:val="00824293"/>
    <w:rsid w:val="00824394"/>
    <w:rsid w:val="00824912"/>
    <w:rsid w:val="00824BEC"/>
    <w:rsid w:val="00824F1A"/>
    <w:rsid w:val="00825B07"/>
    <w:rsid w:val="00826026"/>
    <w:rsid w:val="008265E8"/>
    <w:rsid w:val="00826634"/>
    <w:rsid w:val="00826BAC"/>
    <w:rsid w:val="00826C0C"/>
    <w:rsid w:val="0082711A"/>
    <w:rsid w:val="00827A68"/>
    <w:rsid w:val="00827E75"/>
    <w:rsid w:val="00827ED8"/>
    <w:rsid w:val="0083008D"/>
    <w:rsid w:val="00830273"/>
    <w:rsid w:val="00830304"/>
    <w:rsid w:val="00830810"/>
    <w:rsid w:val="00830817"/>
    <w:rsid w:val="008309CF"/>
    <w:rsid w:val="00830AF8"/>
    <w:rsid w:val="00830B5F"/>
    <w:rsid w:val="00830DC0"/>
    <w:rsid w:val="00831427"/>
    <w:rsid w:val="008314A1"/>
    <w:rsid w:val="008316EE"/>
    <w:rsid w:val="00831C09"/>
    <w:rsid w:val="00831C68"/>
    <w:rsid w:val="00831E01"/>
    <w:rsid w:val="008322FB"/>
    <w:rsid w:val="0083272D"/>
    <w:rsid w:val="00832E6A"/>
    <w:rsid w:val="0083330B"/>
    <w:rsid w:val="00833333"/>
    <w:rsid w:val="0083351E"/>
    <w:rsid w:val="00833914"/>
    <w:rsid w:val="00833A86"/>
    <w:rsid w:val="00833E4E"/>
    <w:rsid w:val="008343F6"/>
    <w:rsid w:val="0083473D"/>
    <w:rsid w:val="00834AF4"/>
    <w:rsid w:val="00834BEC"/>
    <w:rsid w:val="00834D47"/>
    <w:rsid w:val="00834DC9"/>
    <w:rsid w:val="00834DE5"/>
    <w:rsid w:val="00834EC7"/>
    <w:rsid w:val="00835389"/>
    <w:rsid w:val="00835459"/>
    <w:rsid w:val="008356D1"/>
    <w:rsid w:val="00835819"/>
    <w:rsid w:val="008358DA"/>
    <w:rsid w:val="0083644D"/>
    <w:rsid w:val="00836F1C"/>
    <w:rsid w:val="00837060"/>
    <w:rsid w:val="008373F3"/>
    <w:rsid w:val="008375EA"/>
    <w:rsid w:val="00837C47"/>
    <w:rsid w:val="00837C5C"/>
    <w:rsid w:val="00837CD5"/>
    <w:rsid w:val="00840265"/>
    <w:rsid w:val="00840350"/>
    <w:rsid w:val="00840409"/>
    <w:rsid w:val="0084055F"/>
    <w:rsid w:val="00840983"/>
    <w:rsid w:val="0084098C"/>
    <w:rsid w:val="00840FE2"/>
    <w:rsid w:val="0084108B"/>
    <w:rsid w:val="008411FD"/>
    <w:rsid w:val="008412C1"/>
    <w:rsid w:val="0084138C"/>
    <w:rsid w:val="008419BC"/>
    <w:rsid w:val="0084240D"/>
    <w:rsid w:val="00842584"/>
    <w:rsid w:val="008429DB"/>
    <w:rsid w:val="00842BA8"/>
    <w:rsid w:val="00842BBD"/>
    <w:rsid w:val="008430F0"/>
    <w:rsid w:val="008430F2"/>
    <w:rsid w:val="0084324E"/>
    <w:rsid w:val="00843E4B"/>
    <w:rsid w:val="0084416C"/>
    <w:rsid w:val="008444FE"/>
    <w:rsid w:val="00844AA3"/>
    <w:rsid w:val="00844B2A"/>
    <w:rsid w:val="00844ED2"/>
    <w:rsid w:val="0084562E"/>
    <w:rsid w:val="00845780"/>
    <w:rsid w:val="008466C6"/>
    <w:rsid w:val="008467D6"/>
    <w:rsid w:val="00846FC0"/>
    <w:rsid w:val="008470E8"/>
    <w:rsid w:val="0084736D"/>
    <w:rsid w:val="0084770D"/>
    <w:rsid w:val="0084781F"/>
    <w:rsid w:val="008479BC"/>
    <w:rsid w:val="00847C79"/>
    <w:rsid w:val="008503F8"/>
    <w:rsid w:val="00850565"/>
    <w:rsid w:val="00850680"/>
    <w:rsid w:val="008508CC"/>
    <w:rsid w:val="00850923"/>
    <w:rsid w:val="00850A19"/>
    <w:rsid w:val="00850AFC"/>
    <w:rsid w:val="00850C7E"/>
    <w:rsid w:val="00850DA6"/>
    <w:rsid w:val="0085106C"/>
    <w:rsid w:val="008513FD"/>
    <w:rsid w:val="008514EC"/>
    <w:rsid w:val="00851AFC"/>
    <w:rsid w:val="00851F31"/>
    <w:rsid w:val="00852160"/>
    <w:rsid w:val="0085233E"/>
    <w:rsid w:val="008524F7"/>
    <w:rsid w:val="0085269F"/>
    <w:rsid w:val="00852A9A"/>
    <w:rsid w:val="00852C73"/>
    <w:rsid w:val="00852ED2"/>
    <w:rsid w:val="00852F34"/>
    <w:rsid w:val="008534FA"/>
    <w:rsid w:val="00853616"/>
    <w:rsid w:val="00853704"/>
    <w:rsid w:val="00853920"/>
    <w:rsid w:val="00853C23"/>
    <w:rsid w:val="00853EFD"/>
    <w:rsid w:val="00854020"/>
    <w:rsid w:val="0085413E"/>
    <w:rsid w:val="008542C1"/>
    <w:rsid w:val="00854546"/>
    <w:rsid w:val="00854674"/>
    <w:rsid w:val="00854784"/>
    <w:rsid w:val="00854C48"/>
    <w:rsid w:val="00854C8E"/>
    <w:rsid w:val="008557F4"/>
    <w:rsid w:val="00855D65"/>
    <w:rsid w:val="00856542"/>
    <w:rsid w:val="00856B56"/>
    <w:rsid w:val="00856F72"/>
    <w:rsid w:val="00856FEF"/>
    <w:rsid w:val="0085729A"/>
    <w:rsid w:val="008575ED"/>
    <w:rsid w:val="008577A7"/>
    <w:rsid w:val="00857A8B"/>
    <w:rsid w:val="00857BC1"/>
    <w:rsid w:val="00857F3D"/>
    <w:rsid w:val="008601AC"/>
    <w:rsid w:val="008608B0"/>
    <w:rsid w:val="00860BD3"/>
    <w:rsid w:val="00860F08"/>
    <w:rsid w:val="008610DA"/>
    <w:rsid w:val="008611C8"/>
    <w:rsid w:val="008612F5"/>
    <w:rsid w:val="00861376"/>
    <w:rsid w:val="00861D5B"/>
    <w:rsid w:val="00861E55"/>
    <w:rsid w:val="00861F9D"/>
    <w:rsid w:val="008625C8"/>
    <w:rsid w:val="00862A4A"/>
    <w:rsid w:val="00862B4C"/>
    <w:rsid w:val="00862DC5"/>
    <w:rsid w:val="0086307F"/>
    <w:rsid w:val="008639AD"/>
    <w:rsid w:val="00863C1F"/>
    <w:rsid w:val="00863E22"/>
    <w:rsid w:val="0086425E"/>
    <w:rsid w:val="0086488A"/>
    <w:rsid w:val="00864991"/>
    <w:rsid w:val="00865437"/>
    <w:rsid w:val="00865ACA"/>
    <w:rsid w:val="00865F78"/>
    <w:rsid w:val="0086606B"/>
    <w:rsid w:val="00866BCC"/>
    <w:rsid w:val="00866D92"/>
    <w:rsid w:val="0086784C"/>
    <w:rsid w:val="00867FF2"/>
    <w:rsid w:val="008705B9"/>
    <w:rsid w:val="00870856"/>
    <w:rsid w:val="00870F6E"/>
    <w:rsid w:val="00871117"/>
    <w:rsid w:val="00871326"/>
    <w:rsid w:val="0087157B"/>
    <w:rsid w:val="00871C4C"/>
    <w:rsid w:val="00871E03"/>
    <w:rsid w:val="00872044"/>
    <w:rsid w:val="008725E5"/>
    <w:rsid w:val="00873845"/>
    <w:rsid w:val="00873D3B"/>
    <w:rsid w:val="008748D1"/>
    <w:rsid w:val="008749B2"/>
    <w:rsid w:val="00874E52"/>
    <w:rsid w:val="00875652"/>
    <w:rsid w:val="008757F7"/>
    <w:rsid w:val="00876400"/>
    <w:rsid w:val="00876522"/>
    <w:rsid w:val="00876AE3"/>
    <w:rsid w:val="00876E87"/>
    <w:rsid w:val="00877148"/>
    <w:rsid w:val="0087726E"/>
    <w:rsid w:val="008775DB"/>
    <w:rsid w:val="008777A8"/>
    <w:rsid w:val="008778A9"/>
    <w:rsid w:val="00877B07"/>
    <w:rsid w:val="00877B7A"/>
    <w:rsid w:val="00877BF6"/>
    <w:rsid w:val="0088031D"/>
    <w:rsid w:val="008805AE"/>
    <w:rsid w:val="0088093C"/>
    <w:rsid w:val="00880C59"/>
    <w:rsid w:val="00880EFA"/>
    <w:rsid w:val="00881021"/>
    <w:rsid w:val="00881ADA"/>
    <w:rsid w:val="00881BC8"/>
    <w:rsid w:val="00881EBC"/>
    <w:rsid w:val="0088248D"/>
    <w:rsid w:val="008828DF"/>
    <w:rsid w:val="00882C23"/>
    <w:rsid w:val="00882E43"/>
    <w:rsid w:val="00882E91"/>
    <w:rsid w:val="00882EA8"/>
    <w:rsid w:val="00883EE1"/>
    <w:rsid w:val="0088421A"/>
    <w:rsid w:val="0088444F"/>
    <w:rsid w:val="00884764"/>
    <w:rsid w:val="00884B7D"/>
    <w:rsid w:val="00884ED2"/>
    <w:rsid w:val="00885317"/>
    <w:rsid w:val="00885588"/>
    <w:rsid w:val="0088567D"/>
    <w:rsid w:val="008857CE"/>
    <w:rsid w:val="00885969"/>
    <w:rsid w:val="00885D0E"/>
    <w:rsid w:val="00885E1B"/>
    <w:rsid w:val="008863EC"/>
    <w:rsid w:val="008865CF"/>
    <w:rsid w:val="0088667A"/>
    <w:rsid w:val="00886995"/>
    <w:rsid w:val="00886BEE"/>
    <w:rsid w:val="00887227"/>
    <w:rsid w:val="008872A5"/>
    <w:rsid w:val="00887457"/>
    <w:rsid w:val="00887672"/>
    <w:rsid w:val="008900AA"/>
    <w:rsid w:val="00890211"/>
    <w:rsid w:val="00890427"/>
    <w:rsid w:val="008905B4"/>
    <w:rsid w:val="0089096B"/>
    <w:rsid w:val="00890A1F"/>
    <w:rsid w:val="00891014"/>
    <w:rsid w:val="008914D6"/>
    <w:rsid w:val="008919D4"/>
    <w:rsid w:val="00892157"/>
    <w:rsid w:val="0089225A"/>
    <w:rsid w:val="00892504"/>
    <w:rsid w:val="00892AC0"/>
    <w:rsid w:val="00892B83"/>
    <w:rsid w:val="00892CB6"/>
    <w:rsid w:val="008934FE"/>
    <w:rsid w:val="00893956"/>
    <w:rsid w:val="00893B5D"/>
    <w:rsid w:val="00893E2F"/>
    <w:rsid w:val="00893E83"/>
    <w:rsid w:val="008944DB"/>
    <w:rsid w:val="008946B6"/>
    <w:rsid w:val="00894AB9"/>
    <w:rsid w:val="00894DF8"/>
    <w:rsid w:val="00895260"/>
    <w:rsid w:val="00895570"/>
    <w:rsid w:val="0089594E"/>
    <w:rsid w:val="00895EAD"/>
    <w:rsid w:val="0089615D"/>
    <w:rsid w:val="008968C4"/>
    <w:rsid w:val="00896951"/>
    <w:rsid w:val="00896E93"/>
    <w:rsid w:val="00897463"/>
    <w:rsid w:val="0089753B"/>
    <w:rsid w:val="00897911"/>
    <w:rsid w:val="00897B11"/>
    <w:rsid w:val="00897FAC"/>
    <w:rsid w:val="008A03BE"/>
    <w:rsid w:val="008A0D76"/>
    <w:rsid w:val="008A0E5A"/>
    <w:rsid w:val="008A0FD5"/>
    <w:rsid w:val="008A100E"/>
    <w:rsid w:val="008A10EF"/>
    <w:rsid w:val="008A1715"/>
    <w:rsid w:val="008A17AC"/>
    <w:rsid w:val="008A1C8E"/>
    <w:rsid w:val="008A2377"/>
    <w:rsid w:val="008A272F"/>
    <w:rsid w:val="008A29E5"/>
    <w:rsid w:val="008A2A21"/>
    <w:rsid w:val="008A2AA5"/>
    <w:rsid w:val="008A2E17"/>
    <w:rsid w:val="008A344E"/>
    <w:rsid w:val="008A3721"/>
    <w:rsid w:val="008A382F"/>
    <w:rsid w:val="008A39A0"/>
    <w:rsid w:val="008A39AD"/>
    <w:rsid w:val="008A3A06"/>
    <w:rsid w:val="008A3A1E"/>
    <w:rsid w:val="008A3DB6"/>
    <w:rsid w:val="008A4715"/>
    <w:rsid w:val="008A56ED"/>
    <w:rsid w:val="008A572F"/>
    <w:rsid w:val="008A5BE4"/>
    <w:rsid w:val="008A5CA8"/>
    <w:rsid w:val="008A5D14"/>
    <w:rsid w:val="008A5F0F"/>
    <w:rsid w:val="008A6E7F"/>
    <w:rsid w:val="008A7170"/>
    <w:rsid w:val="008A719B"/>
    <w:rsid w:val="008A7E3B"/>
    <w:rsid w:val="008B031F"/>
    <w:rsid w:val="008B0364"/>
    <w:rsid w:val="008B0379"/>
    <w:rsid w:val="008B0414"/>
    <w:rsid w:val="008B0B75"/>
    <w:rsid w:val="008B0D70"/>
    <w:rsid w:val="008B0EA7"/>
    <w:rsid w:val="008B0FC7"/>
    <w:rsid w:val="008B18C5"/>
    <w:rsid w:val="008B1C9A"/>
    <w:rsid w:val="008B1EAD"/>
    <w:rsid w:val="008B256F"/>
    <w:rsid w:val="008B2977"/>
    <w:rsid w:val="008B29B7"/>
    <w:rsid w:val="008B3220"/>
    <w:rsid w:val="008B364C"/>
    <w:rsid w:val="008B3AFE"/>
    <w:rsid w:val="008B3C4B"/>
    <w:rsid w:val="008B480A"/>
    <w:rsid w:val="008B4F76"/>
    <w:rsid w:val="008B58D9"/>
    <w:rsid w:val="008B5C98"/>
    <w:rsid w:val="008B5F66"/>
    <w:rsid w:val="008B64DC"/>
    <w:rsid w:val="008B6935"/>
    <w:rsid w:val="008B6AFD"/>
    <w:rsid w:val="008B6B42"/>
    <w:rsid w:val="008B6DC2"/>
    <w:rsid w:val="008B70D9"/>
    <w:rsid w:val="008B7181"/>
    <w:rsid w:val="008B7209"/>
    <w:rsid w:val="008B7236"/>
    <w:rsid w:val="008B733C"/>
    <w:rsid w:val="008B7B54"/>
    <w:rsid w:val="008B7E92"/>
    <w:rsid w:val="008C0008"/>
    <w:rsid w:val="008C0396"/>
    <w:rsid w:val="008C07A9"/>
    <w:rsid w:val="008C0944"/>
    <w:rsid w:val="008C0A39"/>
    <w:rsid w:val="008C15D6"/>
    <w:rsid w:val="008C17C0"/>
    <w:rsid w:val="008C1814"/>
    <w:rsid w:val="008C18D1"/>
    <w:rsid w:val="008C3B84"/>
    <w:rsid w:val="008C3CCC"/>
    <w:rsid w:val="008C4084"/>
    <w:rsid w:val="008C4116"/>
    <w:rsid w:val="008C4162"/>
    <w:rsid w:val="008C43A5"/>
    <w:rsid w:val="008C579F"/>
    <w:rsid w:val="008C57DA"/>
    <w:rsid w:val="008C5898"/>
    <w:rsid w:val="008C5C81"/>
    <w:rsid w:val="008C5CDF"/>
    <w:rsid w:val="008C6469"/>
    <w:rsid w:val="008C6580"/>
    <w:rsid w:val="008C66A9"/>
    <w:rsid w:val="008C66B7"/>
    <w:rsid w:val="008C703F"/>
    <w:rsid w:val="008C714B"/>
    <w:rsid w:val="008C7162"/>
    <w:rsid w:val="008C7375"/>
    <w:rsid w:val="008C775A"/>
    <w:rsid w:val="008C79F3"/>
    <w:rsid w:val="008D021C"/>
    <w:rsid w:val="008D0267"/>
    <w:rsid w:val="008D04D0"/>
    <w:rsid w:val="008D1097"/>
    <w:rsid w:val="008D11A8"/>
    <w:rsid w:val="008D1417"/>
    <w:rsid w:val="008D144C"/>
    <w:rsid w:val="008D16BE"/>
    <w:rsid w:val="008D1DF5"/>
    <w:rsid w:val="008D1F27"/>
    <w:rsid w:val="008D1F9F"/>
    <w:rsid w:val="008D2185"/>
    <w:rsid w:val="008D22F2"/>
    <w:rsid w:val="008D2EFD"/>
    <w:rsid w:val="008D2F39"/>
    <w:rsid w:val="008D2F95"/>
    <w:rsid w:val="008D384C"/>
    <w:rsid w:val="008D3EF5"/>
    <w:rsid w:val="008D43B3"/>
    <w:rsid w:val="008D452B"/>
    <w:rsid w:val="008D46BF"/>
    <w:rsid w:val="008D4757"/>
    <w:rsid w:val="008D483E"/>
    <w:rsid w:val="008D4B98"/>
    <w:rsid w:val="008D4BD7"/>
    <w:rsid w:val="008D5469"/>
    <w:rsid w:val="008D56F1"/>
    <w:rsid w:val="008D59DA"/>
    <w:rsid w:val="008D62B4"/>
    <w:rsid w:val="008D6375"/>
    <w:rsid w:val="008D65B8"/>
    <w:rsid w:val="008D7523"/>
    <w:rsid w:val="008D7A52"/>
    <w:rsid w:val="008D7D36"/>
    <w:rsid w:val="008E02E0"/>
    <w:rsid w:val="008E05A5"/>
    <w:rsid w:val="008E0670"/>
    <w:rsid w:val="008E0B71"/>
    <w:rsid w:val="008E114F"/>
    <w:rsid w:val="008E1153"/>
    <w:rsid w:val="008E18F4"/>
    <w:rsid w:val="008E1D76"/>
    <w:rsid w:val="008E2425"/>
    <w:rsid w:val="008E2594"/>
    <w:rsid w:val="008E2DD0"/>
    <w:rsid w:val="008E3455"/>
    <w:rsid w:val="008E3BFB"/>
    <w:rsid w:val="008E4349"/>
    <w:rsid w:val="008E44F3"/>
    <w:rsid w:val="008E48CE"/>
    <w:rsid w:val="008E4C7F"/>
    <w:rsid w:val="008E4E94"/>
    <w:rsid w:val="008E50B3"/>
    <w:rsid w:val="008E50BD"/>
    <w:rsid w:val="008E52DB"/>
    <w:rsid w:val="008E5693"/>
    <w:rsid w:val="008E5755"/>
    <w:rsid w:val="008E5A64"/>
    <w:rsid w:val="008E6356"/>
    <w:rsid w:val="008E6529"/>
    <w:rsid w:val="008E664D"/>
    <w:rsid w:val="008E6910"/>
    <w:rsid w:val="008E6C31"/>
    <w:rsid w:val="008E6C51"/>
    <w:rsid w:val="008E6F7A"/>
    <w:rsid w:val="008E7734"/>
    <w:rsid w:val="008E7B49"/>
    <w:rsid w:val="008F04B2"/>
    <w:rsid w:val="008F0541"/>
    <w:rsid w:val="008F07ED"/>
    <w:rsid w:val="008F1077"/>
    <w:rsid w:val="008F142D"/>
    <w:rsid w:val="008F1674"/>
    <w:rsid w:val="008F16D6"/>
    <w:rsid w:val="008F192D"/>
    <w:rsid w:val="008F19D3"/>
    <w:rsid w:val="008F1B6A"/>
    <w:rsid w:val="008F234D"/>
    <w:rsid w:val="008F2535"/>
    <w:rsid w:val="008F2699"/>
    <w:rsid w:val="008F282A"/>
    <w:rsid w:val="008F2F1D"/>
    <w:rsid w:val="008F329F"/>
    <w:rsid w:val="008F345A"/>
    <w:rsid w:val="008F3AC9"/>
    <w:rsid w:val="008F3C10"/>
    <w:rsid w:val="008F3FE5"/>
    <w:rsid w:val="008F42D7"/>
    <w:rsid w:val="008F4382"/>
    <w:rsid w:val="008F4907"/>
    <w:rsid w:val="008F4CE7"/>
    <w:rsid w:val="008F4E16"/>
    <w:rsid w:val="008F5536"/>
    <w:rsid w:val="008F5D1F"/>
    <w:rsid w:val="008F5EDD"/>
    <w:rsid w:val="008F62BC"/>
    <w:rsid w:val="008F6537"/>
    <w:rsid w:val="008F66B5"/>
    <w:rsid w:val="008F6BC9"/>
    <w:rsid w:val="008F790F"/>
    <w:rsid w:val="008F7A54"/>
    <w:rsid w:val="008F7AD8"/>
    <w:rsid w:val="008F7D60"/>
    <w:rsid w:val="00900416"/>
    <w:rsid w:val="00900590"/>
    <w:rsid w:val="00901459"/>
    <w:rsid w:val="00901816"/>
    <w:rsid w:val="00901C47"/>
    <w:rsid w:val="00902190"/>
    <w:rsid w:val="00902366"/>
    <w:rsid w:val="00902C9D"/>
    <w:rsid w:val="0090328B"/>
    <w:rsid w:val="009032E9"/>
    <w:rsid w:val="009034C6"/>
    <w:rsid w:val="00903D57"/>
    <w:rsid w:val="00903EFE"/>
    <w:rsid w:val="009040EB"/>
    <w:rsid w:val="0090437C"/>
    <w:rsid w:val="0090472D"/>
    <w:rsid w:val="0090518E"/>
    <w:rsid w:val="0090563D"/>
    <w:rsid w:val="009059F3"/>
    <w:rsid w:val="00905EA5"/>
    <w:rsid w:val="00906758"/>
    <w:rsid w:val="009067E1"/>
    <w:rsid w:val="00906EF4"/>
    <w:rsid w:val="00907057"/>
    <w:rsid w:val="0090737F"/>
    <w:rsid w:val="00907598"/>
    <w:rsid w:val="00907675"/>
    <w:rsid w:val="00907779"/>
    <w:rsid w:val="0090791E"/>
    <w:rsid w:val="00910287"/>
    <w:rsid w:val="00910D9D"/>
    <w:rsid w:val="00910F33"/>
    <w:rsid w:val="009110BA"/>
    <w:rsid w:val="009111A4"/>
    <w:rsid w:val="00911691"/>
    <w:rsid w:val="00911869"/>
    <w:rsid w:val="009118B0"/>
    <w:rsid w:val="0091193D"/>
    <w:rsid w:val="009119AC"/>
    <w:rsid w:val="00911A41"/>
    <w:rsid w:val="00912000"/>
    <w:rsid w:val="009120D7"/>
    <w:rsid w:val="009124E6"/>
    <w:rsid w:val="00913944"/>
    <w:rsid w:val="00913EF4"/>
    <w:rsid w:val="009144CF"/>
    <w:rsid w:val="00914CD6"/>
    <w:rsid w:val="009150DA"/>
    <w:rsid w:val="00915AC6"/>
    <w:rsid w:val="00915B92"/>
    <w:rsid w:val="00915F1E"/>
    <w:rsid w:val="00916440"/>
    <w:rsid w:val="009164A7"/>
    <w:rsid w:val="009166E5"/>
    <w:rsid w:val="00916748"/>
    <w:rsid w:val="00917332"/>
    <w:rsid w:val="009173EB"/>
    <w:rsid w:val="0091742D"/>
    <w:rsid w:val="009177FA"/>
    <w:rsid w:val="009202C5"/>
    <w:rsid w:val="009205FD"/>
    <w:rsid w:val="00920773"/>
    <w:rsid w:val="009209C5"/>
    <w:rsid w:val="009212AC"/>
    <w:rsid w:val="0092160C"/>
    <w:rsid w:val="00921817"/>
    <w:rsid w:val="009220BE"/>
    <w:rsid w:val="00922327"/>
    <w:rsid w:val="0092265F"/>
    <w:rsid w:val="00922C3B"/>
    <w:rsid w:val="00922F1A"/>
    <w:rsid w:val="009232BE"/>
    <w:rsid w:val="0092359E"/>
    <w:rsid w:val="0092372F"/>
    <w:rsid w:val="009238DB"/>
    <w:rsid w:val="00923EA0"/>
    <w:rsid w:val="00924063"/>
    <w:rsid w:val="00924224"/>
    <w:rsid w:val="009246E8"/>
    <w:rsid w:val="0092474D"/>
    <w:rsid w:val="00924C0D"/>
    <w:rsid w:val="00924C0E"/>
    <w:rsid w:val="00925637"/>
    <w:rsid w:val="0092593A"/>
    <w:rsid w:val="0092598F"/>
    <w:rsid w:val="00925FF9"/>
    <w:rsid w:val="009265E4"/>
    <w:rsid w:val="00926738"/>
    <w:rsid w:val="00927787"/>
    <w:rsid w:val="009277FA"/>
    <w:rsid w:val="00927BAA"/>
    <w:rsid w:val="00927E94"/>
    <w:rsid w:val="009305AF"/>
    <w:rsid w:val="009306DB"/>
    <w:rsid w:val="00930743"/>
    <w:rsid w:val="00930B6B"/>
    <w:rsid w:val="00931282"/>
    <w:rsid w:val="00931457"/>
    <w:rsid w:val="009315B3"/>
    <w:rsid w:val="0093167B"/>
    <w:rsid w:val="0093175E"/>
    <w:rsid w:val="00931B23"/>
    <w:rsid w:val="00932026"/>
    <w:rsid w:val="00932044"/>
    <w:rsid w:val="009322CA"/>
    <w:rsid w:val="00932333"/>
    <w:rsid w:val="00932567"/>
    <w:rsid w:val="009326C6"/>
    <w:rsid w:val="009327D1"/>
    <w:rsid w:val="00932CA2"/>
    <w:rsid w:val="00933665"/>
    <w:rsid w:val="00933695"/>
    <w:rsid w:val="009336DB"/>
    <w:rsid w:val="00933A7E"/>
    <w:rsid w:val="00933B5C"/>
    <w:rsid w:val="00933C2B"/>
    <w:rsid w:val="00933CF4"/>
    <w:rsid w:val="00933F52"/>
    <w:rsid w:val="009344EF"/>
    <w:rsid w:val="00934513"/>
    <w:rsid w:val="00934BAB"/>
    <w:rsid w:val="00934FAA"/>
    <w:rsid w:val="00935A11"/>
    <w:rsid w:val="009361C0"/>
    <w:rsid w:val="0093661E"/>
    <w:rsid w:val="00936789"/>
    <w:rsid w:val="009369A1"/>
    <w:rsid w:val="00936E0F"/>
    <w:rsid w:val="00936EF5"/>
    <w:rsid w:val="009372E1"/>
    <w:rsid w:val="0093739F"/>
    <w:rsid w:val="00937755"/>
    <w:rsid w:val="00937ACA"/>
    <w:rsid w:val="00937FBA"/>
    <w:rsid w:val="00940EA0"/>
    <w:rsid w:val="00940FF1"/>
    <w:rsid w:val="00941053"/>
    <w:rsid w:val="009417AC"/>
    <w:rsid w:val="00942550"/>
    <w:rsid w:val="0094325C"/>
    <w:rsid w:val="00943644"/>
    <w:rsid w:val="009440A5"/>
    <w:rsid w:val="009440B0"/>
    <w:rsid w:val="0094420F"/>
    <w:rsid w:val="0094565D"/>
    <w:rsid w:val="00945766"/>
    <w:rsid w:val="009457AC"/>
    <w:rsid w:val="00945AF8"/>
    <w:rsid w:val="00945B1E"/>
    <w:rsid w:val="00945CE9"/>
    <w:rsid w:val="0094609D"/>
    <w:rsid w:val="0094613E"/>
    <w:rsid w:val="0094617D"/>
    <w:rsid w:val="00946309"/>
    <w:rsid w:val="00946484"/>
    <w:rsid w:val="00946970"/>
    <w:rsid w:val="009469D5"/>
    <w:rsid w:val="00946B28"/>
    <w:rsid w:val="00947447"/>
    <w:rsid w:val="00947B1C"/>
    <w:rsid w:val="00947D64"/>
    <w:rsid w:val="0095008E"/>
    <w:rsid w:val="00950331"/>
    <w:rsid w:val="009508A2"/>
    <w:rsid w:val="009510F9"/>
    <w:rsid w:val="009516DD"/>
    <w:rsid w:val="00951CD8"/>
    <w:rsid w:val="00951D77"/>
    <w:rsid w:val="00951F1A"/>
    <w:rsid w:val="00952283"/>
    <w:rsid w:val="0095255B"/>
    <w:rsid w:val="00952606"/>
    <w:rsid w:val="009529F9"/>
    <w:rsid w:val="00952F06"/>
    <w:rsid w:val="00953586"/>
    <w:rsid w:val="0095377C"/>
    <w:rsid w:val="00953A0D"/>
    <w:rsid w:val="00954532"/>
    <w:rsid w:val="00954C5C"/>
    <w:rsid w:val="00954D4A"/>
    <w:rsid w:val="009552E3"/>
    <w:rsid w:val="009558BE"/>
    <w:rsid w:val="00955ADE"/>
    <w:rsid w:val="00955E1B"/>
    <w:rsid w:val="00955F37"/>
    <w:rsid w:val="0095668C"/>
    <w:rsid w:val="0095706B"/>
    <w:rsid w:val="009570F9"/>
    <w:rsid w:val="009573EB"/>
    <w:rsid w:val="009575BF"/>
    <w:rsid w:val="00957F66"/>
    <w:rsid w:val="00960092"/>
    <w:rsid w:val="00960276"/>
    <w:rsid w:val="0096050C"/>
    <w:rsid w:val="0096065B"/>
    <w:rsid w:val="00960671"/>
    <w:rsid w:val="0096083A"/>
    <w:rsid w:val="009609E5"/>
    <w:rsid w:val="00960AF9"/>
    <w:rsid w:val="009610B1"/>
    <w:rsid w:val="009618CD"/>
    <w:rsid w:val="00961953"/>
    <w:rsid w:val="00961C4C"/>
    <w:rsid w:val="00961C83"/>
    <w:rsid w:val="00961F2F"/>
    <w:rsid w:val="009621E4"/>
    <w:rsid w:val="00962429"/>
    <w:rsid w:val="0096329A"/>
    <w:rsid w:val="00963644"/>
    <w:rsid w:val="0096420F"/>
    <w:rsid w:val="0096451A"/>
    <w:rsid w:val="00964583"/>
    <w:rsid w:val="00964775"/>
    <w:rsid w:val="00964ACE"/>
    <w:rsid w:val="00964B2B"/>
    <w:rsid w:val="00964F35"/>
    <w:rsid w:val="009659F8"/>
    <w:rsid w:val="009660FF"/>
    <w:rsid w:val="0096616D"/>
    <w:rsid w:val="009664CB"/>
    <w:rsid w:val="00966CC0"/>
    <w:rsid w:val="0096701A"/>
    <w:rsid w:val="00967030"/>
    <w:rsid w:val="009671A1"/>
    <w:rsid w:val="009675D7"/>
    <w:rsid w:val="00971675"/>
    <w:rsid w:val="0097179C"/>
    <w:rsid w:val="0097191C"/>
    <w:rsid w:val="0097198A"/>
    <w:rsid w:val="00971B84"/>
    <w:rsid w:val="00971FC8"/>
    <w:rsid w:val="009734BF"/>
    <w:rsid w:val="009735E8"/>
    <w:rsid w:val="009735EC"/>
    <w:rsid w:val="00973612"/>
    <w:rsid w:val="009737F3"/>
    <w:rsid w:val="00973917"/>
    <w:rsid w:val="00973C3E"/>
    <w:rsid w:val="0097420B"/>
    <w:rsid w:val="00974ACC"/>
    <w:rsid w:val="00974C49"/>
    <w:rsid w:val="00974D49"/>
    <w:rsid w:val="00974EE4"/>
    <w:rsid w:val="00974F94"/>
    <w:rsid w:val="009754CE"/>
    <w:rsid w:val="009756B6"/>
    <w:rsid w:val="00975BF2"/>
    <w:rsid w:val="00975EF7"/>
    <w:rsid w:val="009760E4"/>
    <w:rsid w:val="00976A74"/>
    <w:rsid w:val="009774BE"/>
    <w:rsid w:val="009774FC"/>
    <w:rsid w:val="0097773B"/>
    <w:rsid w:val="00977A70"/>
    <w:rsid w:val="00980140"/>
    <w:rsid w:val="009801D6"/>
    <w:rsid w:val="0098027F"/>
    <w:rsid w:val="009802D1"/>
    <w:rsid w:val="0098050A"/>
    <w:rsid w:val="00980592"/>
    <w:rsid w:val="009806B0"/>
    <w:rsid w:val="00980795"/>
    <w:rsid w:val="009807B8"/>
    <w:rsid w:val="009809A6"/>
    <w:rsid w:val="00981876"/>
    <w:rsid w:val="00981E56"/>
    <w:rsid w:val="00981EC3"/>
    <w:rsid w:val="00981EE2"/>
    <w:rsid w:val="00982064"/>
    <w:rsid w:val="00982065"/>
    <w:rsid w:val="00982142"/>
    <w:rsid w:val="00982267"/>
    <w:rsid w:val="00982639"/>
    <w:rsid w:val="00982BCF"/>
    <w:rsid w:val="00982C1F"/>
    <w:rsid w:val="00982EEA"/>
    <w:rsid w:val="00982F82"/>
    <w:rsid w:val="009831E2"/>
    <w:rsid w:val="00983255"/>
    <w:rsid w:val="0098331C"/>
    <w:rsid w:val="009833DD"/>
    <w:rsid w:val="0098349F"/>
    <w:rsid w:val="00983D12"/>
    <w:rsid w:val="00983E5F"/>
    <w:rsid w:val="00984B42"/>
    <w:rsid w:val="00984B7C"/>
    <w:rsid w:val="00985051"/>
    <w:rsid w:val="00985723"/>
    <w:rsid w:val="00985C80"/>
    <w:rsid w:val="00985DA2"/>
    <w:rsid w:val="0098660C"/>
    <w:rsid w:val="00986765"/>
    <w:rsid w:val="009867E7"/>
    <w:rsid w:val="00986921"/>
    <w:rsid w:val="00986E6E"/>
    <w:rsid w:val="00987028"/>
    <w:rsid w:val="009870A3"/>
    <w:rsid w:val="00987CFA"/>
    <w:rsid w:val="00987DBC"/>
    <w:rsid w:val="00987DF4"/>
    <w:rsid w:val="00987FDA"/>
    <w:rsid w:val="00990175"/>
    <w:rsid w:val="0099071B"/>
    <w:rsid w:val="009909FC"/>
    <w:rsid w:val="00990CAE"/>
    <w:rsid w:val="00990FEA"/>
    <w:rsid w:val="00991031"/>
    <w:rsid w:val="009919E9"/>
    <w:rsid w:val="00991E2E"/>
    <w:rsid w:val="00991ED6"/>
    <w:rsid w:val="00991FED"/>
    <w:rsid w:val="009920A0"/>
    <w:rsid w:val="009928F7"/>
    <w:rsid w:val="00992E8A"/>
    <w:rsid w:val="00992E8D"/>
    <w:rsid w:val="00993262"/>
    <w:rsid w:val="009932CD"/>
    <w:rsid w:val="009937FD"/>
    <w:rsid w:val="00994F29"/>
    <w:rsid w:val="00994F4D"/>
    <w:rsid w:val="0099561B"/>
    <w:rsid w:val="0099563A"/>
    <w:rsid w:val="0099582B"/>
    <w:rsid w:val="00995DAF"/>
    <w:rsid w:val="00995E94"/>
    <w:rsid w:val="00995F4A"/>
    <w:rsid w:val="00995FC3"/>
    <w:rsid w:val="0099651E"/>
    <w:rsid w:val="00996A01"/>
    <w:rsid w:val="00996AA6"/>
    <w:rsid w:val="00996D52"/>
    <w:rsid w:val="009970AD"/>
    <w:rsid w:val="00997230"/>
    <w:rsid w:val="0099737B"/>
    <w:rsid w:val="009973C7"/>
    <w:rsid w:val="0099765B"/>
    <w:rsid w:val="009A0274"/>
    <w:rsid w:val="009A035E"/>
    <w:rsid w:val="009A0551"/>
    <w:rsid w:val="009A0915"/>
    <w:rsid w:val="009A0993"/>
    <w:rsid w:val="009A0B9D"/>
    <w:rsid w:val="009A0C64"/>
    <w:rsid w:val="009A0C84"/>
    <w:rsid w:val="009A0E15"/>
    <w:rsid w:val="009A106B"/>
    <w:rsid w:val="009A142F"/>
    <w:rsid w:val="009A18AB"/>
    <w:rsid w:val="009A1C75"/>
    <w:rsid w:val="009A1FD4"/>
    <w:rsid w:val="009A2387"/>
    <w:rsid w:val="009A2533"/>
    <w:rsid w:val="009A2D7C"/>
    <w:rsid w:val="009A2F67"/>
    <w:rsid w:val="009A30CD"/>
    <w:rsid w:val="009A30FE"/>
    <w:rsid w:val="009A3FE3"/>
    <w:rsid w:val="009A4644"/>
    <w:rsid w:val="009A468E"/>
    <w:rsid w:val="009A48A4"/>
    <w:rsid w:val="009A4908"/>
    <w:rsid w:val="009A4A3E"/>
    <w:rsid w:val="009A4F87"/>
    <w:rsid w:val="009A5023"/>
    <w:rsid w:val="009A50FD"/>
    <w:rsid w:val="009A5306"/>
    <w:rsid w:val="009A53F8"/>
    <w:rsid w:val="009A5A31"/>
    <w:rsid w:val="009A5CDD"/>
    <w:rsid w:val="009A5D03"/>
    <w:rsid w:val="009A6258"/>
    <w:rsid w:val="009A6B3A"/>
    <w:rsid w:val="009A6F01"/>
    <w:rsid w:val="009A7442"/>
    <w:rsid w:val="009A76F7"/>
    <w:rsid w:val="009A7E32"/>
    <w:rsid w:val="009B01CF"/>
    <w:rsid w:val="009B024B"/>
    <w:rsid w:val="009B02DB"/>
    <w:rsid w:val="009B04BE"/>
    <w:rsid w:val="009B07FE"/>
    <w:rsid w:val="009B0A50"/>
    <w:rsid w:val="009B15C6"/>
    <w:rsid w:val="009B1DA0"/>
    <w:rsid w:val="009B1F5D"/>
    <w:rsid w:val="009B2010"/>
    <w:rsid w:val="009B2407"/>
    <w:rsid w:val="009B2D5B"/>
    <w:rsid w:val="009B32AE"/>
    <w:rsid w:val="009B34FC"/>
    <w:rsid w:val="009B3BC3"/>
    <w:rsid w:val="009B3BEA"/>
    <w:rsid w:val="009B41BA"/>
    <w:rsid w:val="009B44F0"/>
    <w:rsid w:val="009B545D"/>
    <w:rsid w:val="009B5957"/>
    <w:rsid w:val="009B5C0B"/>
    <w:rsid w:val="009B5C8C"/>
    <w:rsid w:val="009B6013"/>
    <w:rsid w:val="009B6D5D"/>
    <w:rsid w:val="009B7273"/>
    <w:rsid w:val="009B72B7"/>
    <w:rsid w:val="009B7356"/>
    <w:rsid w:val="009B76DB"/>
    <w:rsid w:val="009B7B1B"/>
    <w:rsid w:val="009B7F2B"/>
    <w:rsid w:val="009B7FAC"/>
    <w:rsid w:val="009C0126"/>
    <w:rsid w:val="009C03C5"/>
    <w:rsid w:val="009C0C99"/>
    <w:rsid w:val="009C0FF4"/>
    <w:rsid w:val="009C1122"/>
    <w:rsid w:val="009C14F1"/>
    <w:rsid w:val="009C179F"/>
    <w:rsid w:val="009C1840"/>
    <w:rsid w:val="009C1B99"/>
    <w:rsid w:val="009C1DC2"/>
    <w:rsid w:val="009C213F"/>
    <w:rsid w:val="009C223F"/>
    <w:rsid w:val="009C315D"/>
    <w:rsid w:val="009C323A"/>
    <w:rsid w:val="009C39CF"/>
    <w:rsid w:val="009C3A70"/>
    <w:rsid w:val="009C3AE8"/>
    <w:rsid w:val="009C4087"/>
    <w:rsid w:val="009C4959"/>
    <w:rsid w:val="009C49E0"/>
    <w:rsid w:val="009C4CFF"/>
    <w:rsid w:val="009C5961"/>
    <w:rsid w:val="009C5C33"/>
    <w:rsid w:val="009C6203"/>
    <w:rsid w:val="009C6445"/>
    <w:rsid w:val="009C66D5"/>
    <w:rsid w:val="009C674C"/>
    <w:rsid w:val="009C6BE9"/>
    <w:rsid w:val="009C6BF2"/>
    <w:rsid w:val="009C6C75"/>
    <w:rsid w:val="009C6DB6"/>
    <w:rsid w:val="009C76A3"/>
    <w:rsid w:val="009C79E5"/>
    <w:rsid w:val="009C7ACB"/>
    <w:rsid w:val="009C7B9A"/>
    <w:rsid w:val="009C7C85"/>
    <w:rsid w:val="009D03F6"/>
    <w:rsid w:val="009D0701"/>
    <w:rsid w:val="009D1227"/>
    <w:rsid w:val="009D138A"/>
    <w:rsid w:val="009D141B"/>
    <w:rsid w:val="009D1578"/>
    <w:rsid w:val="009D1CA0"/>
    <w:rsid w:val="009D1E86"/>
    <w:rsid w:val="009D1FC3"/>
    <w:rsid w:val="009D2372"/>
    <w:rsid w:val="009D252D"/>
    <w:rsid w:val="009D2B0C"/>
    <w:rsid w:val="009D317D"/>
    <w:rsid w:val="009D366D"/>
    <w:rsid w:val="009D3833"/>
    <w:rsid w:val="009D4009"/>
    <w:rsid w:val="009D439A"/>
    <w:rsid w:val="009D485D"/>
    <w:rsid w:val="009D517E"/>
    <w:rsid w:val="009D5416"/>
    <w:rsid w:val="009D5B57"/>
    <w:rsid w:val="009D6353"/>
    <w:rsid w:val="009D65D1"/>
    <w:rsid w:val="009D6627"/>
    <w:rsid w:val="009D6B28"/>
    <w:rsid w:val="009D6B2B"/>
    <w:rsid w:val="009D6CF0"/>
    <w:rsid w:val="009D6E22"/>
    <w:rsid w:val="009D71D1"/>
    <w:rsid w:val="009D7591"/>
    <w:rsid w:val="009D75A9"/>
    <w:rsid w:val="009D7621"/>
    <w:rsid w:val="009D7906"/>
    <w:rsid w:val="009D7B53"/>
    <w:rsid w:val="009E0A40"/>
    <w:rsid w:val="009E12F6"/>
    <w:rsid w:val="009E153F"/>
    <w:rsid w:val="009E19AE"/>
    <w:rsid w:val="009E1A4F"/>
    <w:rsid w:val="009E1E60"/>
    <w:rsid w:val="009E1F86"/>
    <w:rsid w:val="009E234A"/>
    <w:rsid w:val="009E2AAB"/>
    <w:rsid w:val="009E2AF9"/>
    <w:rsid w:val="009E30B5"/>
    <w:rsid w:val="009E3112"/>
    <w:rsid w:val="009E34B7"/>
    <w:rsid w:val="009E3720"/>
    <w:rsid w:val="009E379B"/>
    <w:rsid w:val="009E399D"/>
    <w:rsid w:val="009E3EC5"/>
    <w:rsid w:val="009E434B"/>
    <w:rsid w:val="009E480B"/>
    <w:rsid w:val="009E4986"/>
    <w:rsid w:val="009E4B69"/>
    <w:rsid w:val="009E4C2E"/>
    <w:rsid w:val="009E5205"/>
    <w:rsid w:val="009E5772"/>
    <w:rsid w:val="009E5BAE"/>
    <w:rsid w:val="009E5BF5"/>
    <w:rsid w:val="009E5D18"/>
    <w:rsid w:val="009E5EC1"/>
    <w:rsid w:val="009E5F8E"/>
    <w:rsid w:val="009E6485"/>
    <w:rsid w:val="009E648E"/>
    <w:rsid w:val="009E65CA"/>
    <w:rsid w:val="009E699D"/>
    <w:rsid w:val="009E6F62"/>
    <w:rsid w:val="009E7646"/>
    <w:rsid w:val="009E779E"/>
    <w:rsid w:val="009E79C1"/>
    <w:rsid w:val="009F0335"/>
    <w:rsid w:val="009F057A"/>
    <w:rsid w:val="009F0C2F"/>
    <w:rsid w:val="009F15AC"/>
    <w:rsid w:val="009F1904"/>
    <w:rsid w:val="009F1B8A"/>
    <w:rsid w:val="009F1D88"/>
    <w:rsid w:val="009F209E"/>
    <w:rsid w:val="009F21A0"/>
    <w:rsid w:val="009F2446"/>
    <w:rsid w:val="009F2450"/>
    <w:rsid w:val="009F2455"/>
    <w:rsid w:val="009F2516"/>
    <w:rsid w:val="009F259C"/>
    <w:rsid w:val="009F29FF"/>
    <w:rsid w:val="009F2BF4"/>
    <w:rsid w:val="009F2C12"/>
    <w:rsid w:val="009F2E05"/>
    <w:rsid w:val="009F2F47"/>
    <w:rsid w:val="009F3300"/>
    <w:rsid w:val="009F34F1"/>
    <w:rsid w:val="009F385D"/>
    <w:rsid w:val="009F3AB9"/>
    <w:rsid w:val="009F3E71"/>
    <w:rsid w:val="009F48AF"/>
    <w:rsid w:val="009F4B7F"/>
    <w:rsid w:val="009F5445"/>
    <w:rsid w:val="009F555E"/>
    <w:rsid w:val="009F5A8C"/>
    <w:rsid w:val="009F5C78"/>
    <w:rsid w:val="009F5E9D"/>
    <w:rsid w:val="009F5F56"/>
    <w:rsid w:val="009F65C9"/>
    <w:rsid w:val="009F697A"/>
    <w:rsid w:val="009F6AE8"/>
    <w:rsid w:val="009F6C47"/>
    <w:rsid w:val="009F6DAC"/>
    <w:rsid w:val="009F6E4C"/>
    <w:rsid w:val="009F7274"/>
    <w:rsid w:val="009F72B2"/>
    <w:rsid w:val="009F7309"/>
    <w:rsid w:val="009F763F"/>
    <w:rsid w:val="009F7748"/>
    <w:rsid w:val="009F7802"/>
    <w:rsid w:val="009F78B7"/>
    <w:rsid w:val="009F791B"/>
    <w:rsid w:val="009F79D5"/>
    <w:rsid w:val="009F7D96"/>
    <w:rsid w:val="00A0058F"/>
    <w:rsid w:val="00A007E7"/>
    <w:rsid w:val="00A00F2E"/>
    <w:rsid w:val="00A0109E"/>
    <w:rsid w:val="00A0110C"/>
    <w:rsid w:val="00A016A7"/>
    <w:rsid w:val="00A01E64"/>
    <w:rsid w:val="00A0211D"/>
    <w:rsid w:val="00A02992"/>
    <w:rsid w:val="00A03470"/>
    <w:rsid w:val="00A035DE"/>
    <w:rsid w:val="00A035EA"/>
    <w:rsid w:val="00A03E2D"/>
    <w:rsid w:val="00A04331"/>
    <w:rsid w:val="00A047B7"/>
    <w:rsid w:val="00A04DC5"/>
    <w:rsid w:val="00A04F59"/>
    <w:rsid w:val="00A0551F"/>
    <w:rsid w:val="00A05597"/>
    <w:rsid w:val="00A05997"/>
    <w:rsid w:val="00A05B20"/>
    <w:rsid w:val="00A05CC6"/>
    <w:rsid w:val="00A0621D"/>
    <w:rsid w:val="00A06B95"/>
    <w:rsid w:val="00A070DE"/>
    <w:rsid w:val="00A0718D"/>
    <w:rsid w:val="00A07468"/>
    <w:rsid w:val="00A0797A"/>
    <w:rsid w:val="00A07FED"/>
    <w:rsid w:val="00A100A1"/>
    <w:rsid w:val="00A105EC"/>
    <w:rsid w:val="00A107BB"/>
    <w:rsid w:val="00A10896"/>
    <w:rsid w:val="00A10C0A"/>
    <w:rsid w:val="00A10D95"/>
    <w:rsid w:val="00A10F86"/>
    <w:rsid w:val="00A11019"/>
    <w:rsid w:val="00A114E5"/>
    <w:rsid w:val="00A115CB"/>
    <w:rsid w:val="00A116B1"/>
    <w:rsid w:val="00A11742"/>
    <w:rsid w:val="00A11A73"/>
    <w:rsid w:val="00A11A7E"/>
    <w:rsid w:val="00A11C67"/>
    <w:rsid w:val="00A11F1D"/>
    <w:rsid w:val="00A12173"/>
    <w:rsid w:val="00A121D9"/>
    <w:rsid w:val="00A123B1"/>
    <w:rsid w:val="00A1253F"/>
    <w:rsid w:val="00A12ACB"/>
    <w:rsid w:val="00A13C4A"/>
    <w:rsid w:val="00A13C50"/>
    <w:rsid w:val="00A142CF"/>
    <w:rsid w:val="00A14331"/>
    <w:rsid w:val="00A14551"/>
    <w:rsid w:val="00A145EB"/>
    <w:rsid w:val="00A14987"/>
    <w:rsid w:val="00A14AB2"/>
    <w:rsid w:val="00A14AC9"/>
    <w:rsid w:val="00A15928"/>
    <w:rsid w:val="00A159CA"/>
    <w:rsid w:val="00A15E4C"/>
    <w:rsid w:val="00A175A7"/>
    <w:rsid w:val="00A17608"/>
    <w:rsid w:val="00A177D9"/>
    <w:rsid w:val="00A1787D"/>
    <w:rsid w:val="00A17D5B"/>
    <w:rsid w:val="00A20573"/>
    <w:rsid w:val="00A206E0"/>
    <w:rsid w:val="00A207FA"/>
    <w:rsid w:val="00A20C94"/>
    <w:rsid w:val="00A21166"/>
    <w:rsid w:val="00A21374"/>
    <w:rsid w:val="00A215D2"/>
    <w:rsid w:val="00A21C4C"/>
    <w:rsid w:val="00A220B7"/>
    <w:rsid w:val="00A22171"/>
    <w:rsid w:val="00A227D6"/>
    <w:rsid w:val="00A227E7"/>
    <w:rsid w:val="00A22A71"/>
    <w:rsid w:val="00A22D55"/>
    <w:rsid w:val="00A22F6E"/>
    <w:rsid w:val="00A23736"/>
    <w:rsid w:val="00A239DB"/>
    <w:rsid w:val="00A23B81"/>
    <w:rsid w:val="00A23F28"/>
    <w:rsid w:val="00A24008"/>
    <w:rsid w:val="00A24070"/>
    <w:rsid w:val="00A24078"/>
    <w:rsid w:val="00A2458E"/>
    <w:rsid w:val="00A2475E"/>
    <w:rsid w:val="00A24A31"/>
    <w:rsid w:val="00A251F2"/>
    <w:rsid w:val="00A25332"/>
    <w:rsid w:val="00A2551D"/>
    <w:rsid w:val="00A25588"/>
    <w:rsid w:val="00A258E0"/>
    <w:rsid w:val="00A25FCF"/>
    <w:rsid w:val="00A2639B"/>
    <w:rsid w:val="00A2648A"/>
    <w:rsid w:val="00A26928"/>
    <w:rsid w:val="00A269B5"/>
    <w:rsid w:val="00A26A3F"/>
    <w:rsid w:val="00A26CF8"/>
    <w:rsid w:val="00A27101"/>
    <w:rsid w:val="00A2726D"/>
    <w:rsid w:val="00A30627"/>
    <w:rsid w:val="00A306DB"/>
    <w:rsid w:val="00A30AB2"/>
    <w:rsid w:val="00A30B6C"/>
    <w:rsid w:val="00A31498"/>
    <w:rsid w:val="00A31D99"/>
    <w:rsid w:val="00A31F37"/>
    <w:rsid w:val="00A321AA"/>
    <w:rsid w:val="00A3244C"/>
    <w:rsid w:val="00A32555"/>
    <w:rsid w:val="00A32694"/>
    <w:rsid w:val="00A32A15"/>
    <w:rsid w:val="00A32C96"/>
    <w:rsid w:val="00A32E59"/>
    <w:rsid w:val="00A33017"/>
    <w:rsid w:val="00A330CD"/>
    <w:rsid w:val="00A330DF"/>
    <w:rsid w:val="00A333C1"/>
    <w:rsid w:val="00A33D5D"/>
    <w:rsid w:val="00A33E4D"/>
    <w:rsid w:val="00A346A1"/>
    <w:rsid w:val="00A346EE"/>
    <w:rsid w:val="00A34995"/>
    <w:rsid w:val="00A34B14"/>
    <w:rsid w:val="00A34C32"/>
    <w:rsid w:val="00A34DDE"/>
    <w:rsid w:val="00A34EAB"/>
    <w:rsid w:val="00A350EA"/>
    <w:rsid w:val="00A35948"/>
    <w:rsid w:val="00A3594F"/>
    <w:rsid w:val="00A35BF0"/>
    <w:rsid w:val="00A35D94"/>
    <w:rsid w:val="00A362F7"/>
    <w:rsid w:val="00A367F6"/>
    <w:rsid w:val="00A36940"/>
    <w:rsid w:val="00A36990"/>
    <w:rsid w:val="00A36B93"/>
    <w:rsid w:val="00A36EBD"/>
    <w:rsid w:val="00A372C2"/>
    <w:rsid w:val="00A37C51"/>
    <w:rsid w:val="00A40F98"/>
    <w:rsid w:val="00A4174E"/>
    <w:rsid w:val="00A42AD8"/>
    <w:rsid w:val="00A42EA7"/>
    <w:rsid w:val="00A4350C"/>
    <w:rsid w:val="00A43552"/>
    <w:rsid w:val="00A43813"/>
    <w:rsid w:val="00A439B7"/>
    <w:rsid w:val="00A43D47"/>
    <w:rsid w:val="00A44090"/>
    <w:rsid w:val="00A440A6"/>
    <w:rsid w:val="00A443B7"/>
    <w:rsid w:val="00A44A4B"/>
    <w:rsid w:val="00A44C30"/>
    <w:rsid w:val="00A45121"/>
    <w:rsid w:val="00A45760"/>
    <w:rsid w:val="00A45B00"/>
    <w:rsid w:val="00A4618D"/>
    <w:rsid w:val="00A464E1"/>
    <w:rsid w:val="00A46C4E"/>
    <w:rsid w:val="00A46D95"/>
    <w:rsid w:val="00A46F53"/>
    <w:rsid w:val="00A47081"/>
    <w:rsid w:val="00A47480"/>
    <w:rsid w:val="00A4751A"/>
    <w:rsid w:val="00A47AE0"/>
    <w:rsid w:val="00A47E8C"/>
    <w:rsid w:val="00A50F9A"/>
    <w:rsid w:val="00A5179D"/>
    <w:rsid w:val="00A51BC0"/>
    <w:rsid w:val="00A526FF"/>
    <w:rsid w:val="00A5298C"/>
    <w:rsid w:val="00A52AD0"/>
    <w:rsid w:val="00A52CE8"/>
    <w:rsid w:val="00A52E26"/>
    <w:rsid w:val="00A53497"/>
    <w:rsid w:val="00A535A7"/>
    <w:rsid w:val="00A536CB"/>
    <w:rsid w:val="00A537FC"/>
    <w:rsid w:val="00A53A3D"/>
    <w:rsid w:val="00A542F8"/>
    <w:rsid w:val="00A54524"/>
    <w:rsid w:val="00A546E9"/>
    <w:rsid w:val="00A54EFB"/>
    <w:rsid w:val="00A55A47"/>
    <w:rsid w:val="00A55AE0"/>
    <w:rsid w:val="00A56DF0"/>
    <w:rsid w:val="00A56E78"/>
    <w:rsid w:val="00A574BF"/>
    <w:rsid w:val="00A5790F"/>
    <w:rsid w:val="00A579F8"/>
    <w:rsid w:val="00A57EB9"/>
    <w:rsid w:val="00A6020D"/>
    <w:rsid w:val="00A605E1"/>
    <w:rsid w:val="00A60C15"/>
    <w:rsid w:val="00A60F08"/>
    <w:rsid w:val="00A6101C"/>
    <w:rsid w:val="00A61669"/>
    <w:rsid w:val="00A6182B"/>
    <w:rsid w:val="00A61C56"/>
    <w:rsid w:val="00A61FFB"/>
    <w:rsid w:val="00A6204A"/>
    <w:rsid w:val="00A62093"/>
    <w:rsid w:val="00A623A8"/>
    <w:rsid w:val="00A62439"/>
    <w:rsid w:val="00A624F8"/>
    <w:rsid w:val="00A6310C"/>
    <w:rsid w:val="00A6316B"/>
    <w:rsid w:val="00A631ED"/>
    <w:rsid w:val="00A633C2"/>
    <w:rsid w:val="00A63460"/>
    <w:rsid w:val="00A63679"/>
    <w:rsid w:val="00A639BE"/>
    <w:rsid w:val="00A63A8F"/>
    <w:rsid w:val="00A63D6F"/>
    <w:rsid w:val="00A6411B"/>
    <w:rsid w:val="00A64389"/>
    <w:rsid w:val="00A64797"/>
    <w:rsid w:val="00A64817"/>
    <w:rsid w:val="00A658C2"/>
    <w:rsid w:val="00A65EC3"/>
    <w:rsid w:val="00A66359"/>
    <w:rsid w:val="00A66BE3"/>
    <w:rsid w:val="00A67102"/>
    <w:rsid w:val="00A67F2A"/>
    <w:rsid w:val="00A70347"/>
    <w:rsid w:val="00A70957"/>
    <w:rsid w:val="00A718A6"/>
    <w:rsid w:val="00A71CDE"/>
    <w:rsid w:val="00A72100"/>
    <w:rsid w:val="00A72306"/>
    <w:rsid w:val="00A72493"/>
    <w:rsid w:val="00A7252E"/>
    <w:rsid w:val="00A725D0"/>
    <w:rsid w:val="00A72BBC"/>
    <w:rsid w:val="00A72E18"/>
    <w:rsid w:val="00A730F3"/>
    <w:rsid w:val="00A73C89"/>
    <w:rsid w:val="00A73FED"/>
    <w:rsid w:val="00A7407C"/>
    <w:rsid w:val="00A74143"/>
    <w:rsid w:val="00A743DC"/>
    <w:rsid w:val="00A746A3"/>
    <w:rsid w:val="00A7486D"/>
    <w:rsid w:val="00A74BE6"/>
    <w:rsid w:val="00A753B8"/>
    <w:rsid w:val="00A7541E"/>
    <w:rsid w:val="00A754C4"/>
    <w:rsid w:val="00A7557C"/>
    <w:rsid w:val="00A758A4"/>
    <w:rsid w:val="00A75A61"/>
    <w:rsid w:val="00A75BA0"/>
    <w:rsid w:val="00A75C60"/>
    <w:rsid w:val="00A75FDF"/>
    <w:rsid w:val="00A768A2"/>
    <w:rsid w:val="00A769F0"/>
    <w:rsid w:val="00A76A55"/>
    <w:rsid w:val="00A770EF"/>
    <w:rsid w:val="00A77164"/>
    <w:rsid w:val="00A773B4"/>
    <w:rsid w:val="00A77464"/>
    <w:rsid w:val="00A77DDE"/>
    <w:rsid w:val="00A80733"/>
    <w:rsid w:val="00A80948"/>
    <w:rsid w:val="00A81723"/>
    <w:rsid w:val="00A81811"/>
    <w:rsid w:val="00A82031"/>
    <w:rsid w:val="00A8234E"/>
    <w:rsid w:val="00A82423"/>
    <w:rsid w:val="00A82518"/>
    <w:rsid w:val="00A82548"/>
    <w:rsid w:val="00A82CC3"/>
    <w:rsid w:val="00A833A3"/>
    <w:rsid w:val="00A835E5"/>
    <w:rsid w:val="00A83768"/>
    <w:rsid w:val="00A84373"/>
    <w:rsid w:val="00A8456A"/>
    <w:rsid w:val="00A845ED"/>
    <w:rsid w:val="00A84CB3"/>
    <w:rsid w:val="00A85435"/>
    <w:rsid w:val="00A85579"/>
    <w:rsid w:val="00A859F5"/>
    <w:rsid w:val="00A85B73"/>
    <w:rsid w:val="00A867C8"/>
    <w:rsid w:val="00A867CD"/>
    <w:rsid w:val="00A86F87"/>
    <w:rsid w:val="00A8702E"/>
    <w:rsid w:val="00A87161"/>
    <w:rsid w:val="00A874D6"/>
    <w:rsid w:val="00A878E9"/>
    <w:rsid w:val="00A87C01"/>
    <w:rsid w:val="00A902A7"/>
    <w:rsid w:val="00A90327"/>
    <w:rsid w:val="00A904AB"/>
    <w:rsid w:val="00A905DE"/>
    <w:rsid w:val="00A906E2"/>
    <w:rsid w:val="00A90DEF"/>
    <w:rsid w:val="00A90E27"/>
    <w:rsid w:val="00A913D1"/>
    <w:rsid w:val="00A91FE5"/>
    <w:rsid w:val="00A92ABA"/>
    <w:rsid w:val="00A92F34"/>
    <w:rsid w:val="00A92F66"/>
    <w:rsid w:val="00A93101"/>
    <w:rsid w:val="00A93154"/>
    <w:rsid w:val="00A93214"/>
    <w:rsid w:val="00A93ABB"/>
    <w:rsid w:val="00A93C27"/>
    <w:rsid w:val="00A93C2B"/>
    <w:rsid w:val="00A94408"/>
    <w:rsid w:val="00A9462F"/>
    <w:rsid w:val="00A94865"/>
    <w:rsid w:val="00A94D8C"/>
    <w:rsid w:val="00A9542F"/>
    <w:rsid w:val="00A9568E"/>
    <w:rsid w:val="00A9598F"/>
    <w:rsid w:val="00A95A81"/>
    <w:rsid w:val="00A95B4F"/>
    <w:rsid w:val="00A964F1"/>
    <w:rsid w:val="00A9665A"/>
    <w:rsid w:val="00A967F4"/>
    <w:rsid w:val="00A96A4E"/>
    <w:rsid w:val="00A96F3B"/>
    <w:rsid w:val="00A96FC0"/>
    <w:rsid w:val="00A97BFA"/>
    <w:rsid w:val="00AA007C"/>
    <w:rsid w:val="00AA0953"/>
    <w:rsid w:val="00AA0B30"/>
    <w:rsid w:val="00AA1168"/>
    <w:rsid w:val="00AA151F"/>
    <w:rsid w:val="00AA1B7C"/>
    <w:rsid w:val="00AA1EB2"/>
    <w:rsid w:val="00AA20ED"/>
    <w:rsid w:val="00AA24F3"/>
    <w:rsid w:val="00AA25C9"/>
    <w:rsid w:val="00AA3676"/>
    <w:rsid w:val="00AA3726"/>
    <w:rsid w:val="00AA40AA"/>
    <w:rsid w:val="00AA4F09"/>
    <w:rsid w:val="00AA62A1"/>
    <w:rsid w:val="00AA64E9"/>
    <w:rsid w:val="00AA67F0"/>
    <w:rsid w:val="00AA7897"/>
    <w:rsid w:val="00AA78AF"/>
    <w:rsid w:val="00AA7A72"/>
    <w:rsid w:val="00AA7DCE"/>
    <w:rsid w:val="00AA7F8C"/>
    <w:rsid w:val="00AA7FA5"/>
    <w:rsid w:val="00AB0058"/>
    <w:rsid w:val="00AB0725"/>
    <w:rsid w:val="00AB0807"/>
    <w:rsid w:val="00AB0C5B"/>
    <w:rsid w:val="00AB0FB2"/>
    <w:rsid w:val="00AB0FFB"/>
    <w:rsid w:val="00AB10E3"/>
    <w:rsid w:val="00AB18AB"/>
    <w:rsid w:val="00AB1CBF"/>
    <w:rsid w:val="00AB1E6B"/>
    <w:rsid w:val="00AB1FAD"/>
    <w:rsid w:val="00AB203D"/>
    <w:rsid w:val="00AB23F9"/>
    <w:rsid w:val="00AB26FB"/>
    <w:rsid w:val="00AB2AF8"/>
    <w:rsid w:val="00AB32A1"/>
    <w:rsid w:val="00AB37FD"/>
    <w:rsid w:val="00AB41AF"/>
    <w:rsid w:val="00AB42BB"/>
    <w:rsid w:val="00AB4316"/>
    <w:rsid w:val="00AB4B6A"/>
    <w:rsid w:val="00AB4BA5"/>
    <w:rsid w:val="00AB502F"/>
    <w:rsid w:val="00AB50C3"/>
    <w:rsid w:val="00AB520F"/>
    <w:rsid w:val="00AB562B"/>
    <w:rsid w:val="00AB57D9"/>
    <w:rsid w:val="00AB58A0"/>
    <w:rsid w:val="00AB5D03"/>
    <w:rsid w:val="00AB6AB1"/>
    <w:rsid w:val="00AB6F61"/>
    <w:rsid w:val="00AB7408"/>
    <w:rsid w:val="00AB7601"/>
    <w:rsid w:val="00AB7957"/>
    <w:rsid w:val="00AB7A15"/>
    <w:rsid w:val="00AC0B16"/>
    <w:rsid w:val="00AC0BD8"/>
    <w:rsid w:val="00AC1D0D"/>
    <w:rsid w:val="00AC1E53"/>
    <w:rsid w:val="00AC1E69"/>
    <w:rsid w:val="00AC1F46"/>
    <w:rsid w:val="00AC2F56"/>
    <w:rsid w:val="00AC3669"/>
    <w:rsid w:val="00AC37F0"/>
    <w:rsid w:val="00AC40D8"/>
    <w:rsid w:val="00AC42FA"/>
    <w:rsid w:val="00AC455C"/>
    <w:rsid w:val="00AC45CA"/>
    <w:rsid w:val="00AC4B72"/>
    <w:rsid w:val="00AC4D66"/>
    <w:rsid w:val="00AC4EFD"/>
    <w:rsid w:val="00AC4F97"/>
    <w:rsid w:val="00AC58DE"/>
    <w:rsid w:val="00AC5C0E"/>
    <w:rsid w:val="00AC5D6D"/>
    <w:rsid w:val="00AC5FCE"/>
    <w:rsid w:val="00AC615E"/>
    <w:rsid w:val="00AC62B7"/>
    <w:rsid w:val="00AC67DF"/>
    <w:rsid w:val="00AC692A"/>
    <w:rsid w:val="00AC6BDA"/>
    <w:rsid w:val="00AC6C6A"/>
    <w:rsid w:val="00AC6E20"/>
    <w:rsid w:val="00AC749B"/>
    <w:rsid w:val="00AC7A38"/>
    <w:rsid w:val="00AC7B54"/>
    <w:rsid w:val="00AD0404"/>
    <w:rsid w:val="00AD07F1"/>
    <w:rsid w:val="00AD0F1A"/>
    <w:rsid w:val="00AD1F02"/>
    <w:rsid w:val="00AD20E0"/>
    <w:rsid w:val="00AD250D"/>
    <w:rsid w:val="00AD2596"/>
    <w:rsid w:val="00AD280C"/>
    <w:rsid w:val="00AD2BE1"/>
    <w:rsid w:val="00AD3477"/>
    <w:rsid w:val="00AD348B"/>
    <w:rsid w:val="00AD3491"/>
    <w:rsid w:val="00AD3C49"/>
    <w:rsid w:val="00AD3D21"/>
    <w:rsid w:val="00AD431B"/>
    <w:rsid w:val="00AD5B51"/>
    <w:rsid w:val="00AD5BB5"/>
    <w:rsid w:val="00AD68F8"/>
    <w:rsid w:val="00AD692B"/>
    <w:rsid w:val="00AD6A6C"/>
    <w:rsid w:val="00AD74BD"/>
    <w:rsid w:val="00AD7B7B"/>
    <w:rsid w:val="00AD7E1C"/>
    <w:rsid w:val="00AE08FD"/>
    <w:rsid w:val="00AE0B68"/>
    <w:rsid w:val="00AE0CA2"/>
    <w:rsid w:val="00AE0E61"/>
    <w:rsid w:val="00AE10CD"/>
    <w:rsid w:val="00AE13BB"/>
    <w:rsid w:val="00AE1457"/>
    <w:rsid w:val="00AE1499"/>
    <w:rsid w:val="00AE1E7D"/>
    <w:rsid w:val="00AE1F6E"/>
    <w:rsid w:val="00AE2A87"/>
    <w:rsid w:val="00AE2B26"/>
    <w:rsid w:val="00AE2D0A"/>
    <w:rsid w:val="00AE357B"/>
    <w:rsid w:val="00AE3725"/>
    <w:rsid w:val="00AE3E1A"/>
    <w:rsid w:val="00AE3E89"/>
    <w:rsid w:val="00AE4169"/>
    <w:rsid w:val="00AE42B3"/>
    <w:rsid w:val="00AE444E"/>
    <w:rsid w:val="00AE448F"/>
    <w:rsid w:val="00AE4A88"/>
    <w:rsid w:val="00AE4E58"/>
    <w:rsid w:val="00AE4F14"/>
    <w:rsid w:val="00AE5139"/>
    <w:rsid w:val="00AE54FA"/>
    <w:rsid w:val="00AE595B"/>
    <w:rsid w:val="00AE5AE9"/>
    <w:rsid w:val="00AE5C8B"/>
    <w:rsid w:val="00AE5EFC"/>
    <w:rsid w:val="00AE5F8A"/>
    <w:rsid w:val="00AE5FB2"/>
    <w:rsid w:val="00AE64DD"/>
    <w:rsid w:val="00AE65CA"/>
    <w:rsid w:val="00AE6800"/>
    <w:rsid w:val="00AE6CDA"/>
    <w:rsid w:val="00AE719F"/>
    <w:rsid w:val="00AE72FC"/>
    <w:rsid w:val="00AE7389"/>
    <w:rsid w:val="00AE751E"/>
    <w:rsid w:val="00AE7E09"/>
    <w:rsid w:val="00AF000E"/>
    <w:rsid w:val="00AF0CFD"/>
    <w:rsid w:val="00AF12CC"/>
    <w:rsid w:val="00AF135D"/>
    <w:rsid w:val="00AF159F"/>
    <w:rsid w:val="00AF16A0"/>
    <w:rsid w:val="00AF17A5"/>
    <w:rsid w:val="00AF1E36"/>
    <w:rsid w:val="00AF239F"/>
    <w:rsid w:val="00AF23AA"/>
    <w:rsid w:val="00AF23C2"/>
    <w:rsid w:val="00AF3040"/>
    <w:rsid w:val="00AF31DB"/>
    <w:rsid w:val="00AF31E8"/>
    <w:rsid w:val="00AF39BC"/>
    <w:rsid w:val="00AF44E0"/>
    <w:rsid w:val="00AF4979"/>
    <w:rsid w:val="00AF4A72"/>
    <w:rsid w:val="00AF4AE1"/>
    <w:rsid w:val="00AF51E5"/>
    <w:rsid w:val="00AF52E7"/>
    <w:rsid w:val="00AF55D0"/>
    <w:rsid w:val="00AF575D"/>
    <w:rsid w:val="00AF5B14"/>
    <w:rsid w:val="00AF5C8B"/>
    <w:rsid w:val="00AF5D55"/>
    <w:rsid w:val="00AF605B"/>
    <w:rsid w:val="00AF62CE"/>
    <w:rsid w:val="00AF6736"/>
    <w:rsid w:val="00AF6749"/>
    <w:rsid w:val="00AF7011"/>
    <w:rsid w:val="00AF71AA"/>
    <w:rsid w:val="00AF741B"/>
    <w:rsid w:val="00AF7453"/>
    <w:rsid w:val="00AF74EF"/>
    <w:rsid w:val="00AF7C3D"/>
    <w:rsid w:val="00AF7E72"/>
    <w:rsid w:val="00AF7F12"/>
    <w:rsid w:val="00B00223"/>
    <w:rsid w:val="00B00C97"/>
    <w:rsid w:val="00B00E2D"/>
    <w:rsid w:val="00B00EE8"/>
    <w:rsid w:val="00B0115C"/>
    <w:rsid w:val="00B012B5"/>
    <w:rsid w:val="00B01659"/>
    <w:rsid w:val="00B01F83"/>
    <w:rsid w:val="00B01FA9"/>
    <w:rsid w:val="00B0219D"/>
    <w:rsid w:val="00B0239F"/>
    <w:rsid w:val="00B02BD8"/>
    <w:rsid w:val="00B02C5F"/>
    <w:rsid w:val="00B02E29"/>
    <w:rsid w:val="00B0328C"/>
    <w:rsid w:val="00B0338C"/>
    <w:rsid w:val="00B034A8"/>
    <w:rsid w:val="00B036CF"/>
    <w:rsid w:val="00B0396C"/>
    <w:rsid w:val="00B03C27"/>
    <w:rsid w:val="00B03F9B"/>
    <w:rsid w:val="00B0432F"/>
    <w:rsid w:val="00B043ED"/>
    <w:rsid w:val="00B054FF"/>
    <w:rsid w:val="00B05CB6"/>
    <w:rsid w:val="00B06073"/>
    <w:rsid w:val="00B06078"/>
    <w:rsid w:val="00B0619C"/>
    <w:rsid w:val="00B0633F"/>
    <w:rsid w:val="00B06DE5"/>
    <w:rsid w:val="00B070A0"/>
    <w:rsid w:val="00B075B2"/>
    <w:rsid w:val="00B07600"/>
    <w:rsid w:val="00B077AB"/>
    <w:rsid w:val="00B0782A"/>
    <w:rsid w:val="00B07907"/>
    <w:rsid w:val="00B07CC0"/>
    <w:rsid w:val="00B07FC9"/>
    <w:rsid w:val="00B102F5"/>
    <w:rsid w:val="00B103E9"/>
    <w:rsid w:val="00B1060C"/>
    <w:rsid w:val="00B10BEF"/>
    <w:rsid w:val="00B10C2E"/>
    <w:rsid w:val="00B11539"/>
    <w:rsid w:val="00B11586"/>
    <w:rsid w:val="00B1179D"/>
    <w:rsid w:val="00B11E6D"/>
    <w:rsid w:val="00B11FA4"/>
    <w:rsid w:val="00B1220A"/>
    <w:rsid w:val="00B12242"/>
    <w:rsid w:val="00B12518"/>
    <w:rsid w:val="00B13427"/>
    <w:rsid w:val="00B138DA"/>
    <w:rsid w:val="00B1393B"/>
    <w:rsid w:val="00B140D2"/>
    <w:rsid w:val="00B1462C"/>
    <w:rsid w:val="00B14CD1"/>
    <w:rsid w:val="00B14E3A"/>
    <w:rsid w:val="00B151A8"/>
    <w:rsid w:val="00B15491"/>
    <w:rsid w:val="00B15580"/>
    <w:rsid w:val="00B1562F"/>
    <w:rsid w:val="00B15740"/>
    <w:rsid w:val="00B16521"/>
    <w:rsid w:val="00B167B7"/>
    <w:rsid w:val="00B16C77"/>
    <w:rsid w:val="00B16D0D"/>
    <w:rsid w:val="00B16D63"/>
    <w:rsid w:val="00B172E7"/>
    <w:rsid w:val="00B174AB"/>
    <w:rsid w:val="00B17629"/>
    <w:rsid w:val="00B17F24"/>
    <w:rsid w:val="00B20147"/>
    <w:rsid w:val="00B2135F"/>
    <w:rsid w:val="00B214E4"/>
    <w:rsid w:val="00B21500"/>
    <w:rsid w:val="00B21799"/>
    <w:rsid w:val="00B2180F"/>
    <w:rsid w:val="00B21A4D"/>
    <w:rsid w:val="00B21D6E"/>
    <w:rsid w:val="00B222B5"/>
    <w:rsid w:val="00B22C39"/>
    <w:rsid w:val="00B22D8C"/>
    <w:rsid w:val="00B22DE0"/>
    <w:rsid w:val="00B230F8"/>
    <w:rsid w:val="00B2352F"/>
    <w:rsid w:val="00B23D2D"/>
    <w:rsid w:val="00B24072"/>
    <w:rsid w:val="00B24380"/>
    <w:rsid w:val="00B24C61"/>
    <w:rsid w:val="00B24FEA"/>
    <w:rsid w:val="00B25328"/>
    <w:rsid w:val="00B2540B"/>
    <w:rsid w:val="00B25426"/>
    <w:rsid w:val="00B258B5"/>
    <w:rsid w:val="00B25B94"/>
    <w:rsid w:val="00B25DAF"/>
    <w:rsid w:val="00B25FE6"/>
    <w:rsid w:val="00B2603E"/>
    <w:rsid w:val="00B26397"/>
    <w:rsid w:val="00B26407"/>
    <w:rsid w:val="00B26CD6"/>
    <w:rsid w:val="00B26EF0"/>
    <w:rsid w:val="00B27166"/>
    <w:rsid w:val="00B27255"/>
    <w:rsid w:val="00B2749B"/>
    <w:rsid w:val="00B2763A"/>
    <w:rsid w:val="00B27783"/>
    <w:rsid w:val="00B27A0A"/>
    <w:rsid w:val="00B30160"/>
    <w:rsid w:val="00B301E2"/>
    <w:rsid w:val="00B302B8"/>
    <w:rsid w:val="00B304C0"/>
    <w:rsid w:val="00B3068C"/>
    <w:rsid w:val="00B30DD2"/>
    <w:rsid w:val="00B314D4"/>
    <w:rsid w:val="00B317DC"/>
    <w:rsid w:val="00B31A2F"/>
    <w:rsid w:val="00B31E48"/>
    <w:rsid w:val="00B3216B"/>
    <w:rsid w:val="00B321D4"/>
    <w:rsid w:val="00B324A8"/>
    <w:rsid w:val="00B327F4"/>
    <w:rsid w:val="00B32D08"/>
    <w:rsid w:val="00B32F4E"/>
    <w:rsid w:val="00B32F61"/>
    <w:rsid w:val="00B3322F"/>
    <w:rsid w:val="00B334B1"/>
    <w:rsid w:val="00B339CE"/>
    <w:rsid w:val="00B33E53"/>
    <w:rsid w:val="00B34127"/>
    <w:rsid w:val="00B34131"/>
    <w:rsid w:val="00B3426C"/>
    <w:rsid w:val="00B346E2"/>
    <w:rsid w:val="00B35631"/>
    <w:rsid w:val="00B3586B"/>
    <w:rsid w:val="00B3587C"/>
    <w:rsid w:val="00B358CF"/>
    <w:rsid w:val="00B35902"/>
    <w:rsid w:val="00B35B04"/>
    <w:rsid w:val="00B36259"/>
    <w:rsid w:val="00B36C52"/>
    <w:rsid w:val="00B36DA6"/>
    <w:rsid w:val="00B36E10"/>
    <w:rsid w:val="00B36E89"/>
    <w:rsid w:val="00B37246"/>
    <w:rsid w:val="00B3733C"/>
    <w:rsid w:val="00B37409"/>
    <w:rsid w:val="00B37423"/>
    <w:rsid w:val="00B3775E"/>
    <w:rsid w:val="00B37810"/>
    <w:rsid w:val="00B37B94"/>
    <w:rsid w:val="00B37E95"/>
    <w:rsid w:val="00B37FC0"/>
    <w:rsid w:val="00B4097F"/>
    <w:rsid w:val="00B410B3"/>
    <w:rsid w:val="00B4189E"/>
    <w:rsid w:val="00B4190C"/>
    <w:rsid w:val="00B41956"/>
    <w:rsid w:val="00B41C0B"/>
    <w:rsid w:val="00B427F5"/>
    <w:rsid w:val="00B42A22"/>
    <w:rsid w:val="00B43539"/>
    <w:rsid w:val="00B438B9"/>
    <w:rsid w:val="00B43B71"/>
    <w:rsid w:val="00B43C53"/>
    <w:rsid w:val="00B43F67"/>
    <w:rsid w:val="00B44257"/>
    <w:rsid w:val="00B45359"/>
    <w:rsid w:val="00B45535"/>
    <w:rsid w:val="00B4553C"/>
    <w:rsid w:val="00B4572C"/>
    <w:rsid w:val="00B4592A"/>
    <w:rsid w:val="00B459C8"/>
    <w:rsid w:val="00B45BAB"/>
    <w:rsid w:val="00B461A4"/>
    <w:rsid w:val="00B461B0"/>
    <w:rsid w:val="00B462B3"/>
    <w:rsid w:val="00B465FA"/>
    <w:rsid w:val="00B46739"/>
    <w:rsid w:val="00B46811"/>
    <w:rsid w:val="00B46975"/>
    <w:rsid w:val="00B46AA2"/>
    <w:rsid w:val="00B472EC"/>
    <w:rsid w:val="00B4777F"/>
    <w:rsid w:val="00B47A25"/>
    <w:rsid w:val="00B47E93"/>
    <w:rsid w:val="00B50ACE"/>
    <w:rsid w:val="00B51611"/>
    <w:rsid w:val="00B518C6"/>
    <w:rsid w:val="00B51F17"/>
    <w:rsid w:val="00B52046"/>
    <w:rsid w:val="00B5259A"/>
    <w:rsid w:val="00B52C06"/>
    <w:rsid w:val="00B52CB1"/>
    <w:rsid w:val="00B53A25"/>
    <w:rsid w:val="00B53A95"/>
    <w:rsid w:val="00B53B6D"/>
    <w:rsid w:val="00B53C9A"/>
    <w:rsid w:val="00B53D31"/>
    <w:rsid w:val="00B54F0D"/>
    <w:rsid w:val="00B553DF"/>
    <w:rsid w:val="00B5563C"/>
    <w:rsid w:val="00B55939"/>
    <w:rsid w:val="00B55C63"/>
    <w:rsid w:val="00B56301"/>
    <w:rsid w:val="00B56F23"/>
    <w:rsid w:val="00B57469"/>
    <w:rsid w:val="00B575D4"/>
    <w:rsid w:val="00B57993"/>
    <w:rsid w:val="00B57CDA"/>
    <w:rsid w:val="00B57D54"/>
    <w:rsid w:val="00B57EE9"/>
    <w:rsid w:val="00B6051C"/>
    <w:rsid w:val="00B60946"/>
    <w:rsid w:val="00B609C3"/>
    <w:rsid w:val="00B609D4"/>
    <w:rsid w:val="00B60C95"/>
    <w:rsid w:val="00B60FB5"/>
    <w:rsid w:val="00B62014"/>
    <w:rsid w:val="00B629C9"/>
    <w:rsid w:val="00B62ECD"/>
    <w:rsid w:val="00B63426"/>
    <w:rsid w:val="00B63656"/>
    <w:rsid w:val="00B63F21"/>
    <w:rsid w:val="00B63FB6"/>
    <w:rsid w:val="00B63FDA"/>
    <w:rsid w:val="00B6401C"/>
    <w:rsid w:val="00B64086"/>
    <w:rsid w:val="00B6415C"/>
    <w:rsid w:val="00B644DB"/>
    <w:rsid w:val="00B64519"/>
    <w:rsid w:val="00B64541"/>
    <w:rsid w:val="00B6456D"/>
    <w:rsid w:val="00B64BD0"/>
    <w:rsid w:val="00B64DCA"/>
    <w:rsid w:val="00B64FCD"/>
    <w:rsid w:val="00B65C38"/>
    <w:rsid w:val="00B65C86"/>
    <w:rsid w:val="00B65CBD"/>
    <w:rsid w:val="00B660D9"/>
    <w:rsid w:val="00B665C0"/>
    <w:rsid w:val="00B667B1"/>
    <w:rsid w:val="00B66802"/>
    <w:rsid w:val="00B66CFE"/>
    <w:rsid w:val="00B6727D"/>
    <w:rsid w:val="00B67453"/>
    <w:rsid w:val="00B675F7"/>
    <w:rsid w:val="00B677EA"/>
    <w:rsid w:val="00B67A78"/>
    <w:rsid w:val="00B7033E"/>
    <w:rsid w:val="00B7050D"/>
    <w:rsid w:val="00B707BA"/>
    <w:rsid w:val="00B7086A"/>
    <w:rsid w:val="00B70A5F"/>
    <w:rsid w:val="00B70C27"/>
    <w:rsid w:val="00B70E97"/>
    <w:rsid w:val="00B712EE"/>
    <w:rsid w:val="00B715DC"/>
    <w:rsid w:val="00B71769"/>
    <w:rsid w:val="00B71ACD"/>
    <w:rsid w:val="00B722FE"/>
    <w:rsid w:val="00B72597"/>
    <w:rsid w:val="00B729F1"/>
    <w:rsid w:val="00B7300C"/>
    <w:rsid w:val="00B73222"/>
    <w:rsid w:val="00B74648"/>
    <w:rsid w:val="00B74D56"/>
    <w:rsid w:val="00B74E48"/>
    <w:rsid w:val="00B753EA"/>
    <w:rsid w:val="00B7598E"/>
    <w:rsid w:val="00B75CCA"/>
    <w:rsid w:val="00B7602C"/>
    <w:rsid w:val="00B76319"/>
    <w:rsid w:val="00B763DF"/>
    <w:rsid w:val="00B7657E"/>
    <w:rsid w:val="00B768A5"/>
    <w:rsid w:val="00B768A7"/>
    <w:rsid w:val="00B76970"/>
    <w:rsid w:val="00B769B5"/>
    <w:rsid w:val="00B76F65"/>
    <w:rsid w:val="00B76FAA"/>
    <w:rsid w:val="00B7738B"/>
    <w:rsid w:val="00B775CD"/>
    <w:rsid w:val="00B77E12"/>
    <w:rsid w:val="00B77E9E"/>
    <w:rsid w:val="00B80406"/>
    <w:rsid w:val="00B80645"/>
    <w:rsid w:val="00B80A5E"/>
    <w:rsid w:val="00B80B36"/>
    <w:rsid w:val="00B80D94"/>
    <w:rsid w:val="00B80F1F"/>
    <w:rsid w:val="00B813C8"/>
    <w:rsid w:val="00B8146F"/>
    <w:rsid w:val="00B8167D"/>
    <w:rsid w:val="00B8200F"/>
    <w:rsid w:val="00B82095"/>
    <w:rsid w:val="00B823DE"/>
    <w:rsid w:val="00B824A1"/>
    <w:rsid w:val="00B82C49"/>
    <w:rsid w:val="00B82D90"/>
    <w:rsid w:val="00B82FB4"/>
    <w:rsid w:val="00B837C0"/>
    <w:rsid w:val="00B83B69"/>
    <w:rsid w:val="00B83DFC"/>
    <w:rsid w:val="00B83F10"/>
    <w:rsid w:val="00B8406A"/>
    <w:rsid w:val="00B84439"/>
    <w:rsid w:val="00B84B85"/>
    <w:rsid w:val="00B86207"/>
    <w:rsid w:val="00B86388"/>
    <w:rsid w:val="00B8654A"/>
    <w:rsid w:val="00B86589"/>
    <w:rsid w:val="00B865EE"/>
    <w:rsid w:val="00B868F4"/>
    <w:rsid w:val="00B86B7E"/>
    <w:rsid w:val="00B87173"/>
    <w:rsid w:val="00B87449"/>
    <w:rsid w:val="00B8769D"/>
    <w:rsid w:val="00B87BE1"/>
    <w:rsid w:val="00B87DD5"/>
    <w:rsid w:val="00B90282"/>
    <w:rsid w:val="00B90B1B"/>
    <w:rsid w:val="00B90F96"/>
    <w:rsid w:val="00B913C8"/>
    <w:rsid w:val="00B9219F"/>
    <w:rsid w:val="00B926CB"/>
    <w:rsid w:val="00B92BB9"/>
    <w:rsid w:val="00B92FBB"/>
    <w:rsid w:val="00B933B2"/>
    <w:rsid w:val="00B936CB"/>
    <w:rsid w:val="00B937B6"/>
    <w:rsid w:val="00B93BDF"/>
    <w:rsid w:val="00B93CAF"/>
    <w:rsid w:val="00B941B6"/>
    <w:rsid w:val="00B94A06"/>
    <w:rsid w:val="00B94DCA"/>
    <w:rsid w:val="00B952E7"/>
    <w:rsid w:val="00B95B2F"/>
    <w:rsid w:val="00B95B37"/>
    <w:rsid w:val="00B95E21"/>
    <w:rsid w:val="00B95E9C"/>
    <w:rsid w:val="00B96ECF"/>
    <w:rsid w:val="00B972E2"/>
    <w:rsid w:val="00B97356"/>
    <w:rsid w:val="00B97A6D"/>
    <w:rsid w:val="00B97F9A"/>
    <w:rsid w:val="00BA0391"/>
    <w:rsid w:val="00BA060B"/>
    <w:rsid w:val="00BA0710"/>
    <w:rsid w:val="00BA0D90"/>
    <w:rsid w:val="00BA0DCD"/>
    <w:rsid w:val="00BA22BB"/>
    <w:rsid w:val="00BA2423"/>
    <w:rsid w:val="00BA249D"/>
    <w:rsid w:val="00BA34B1"/>
    <w:rsid w:val="00BA382E"/>
    <w:rsid w:val="00BA3830"/>
    <w:rsid w:val="00BA41E7"/>
    <w:rsid w:val="00BA42E0"/>
    <w:rsid w:val="00BA4630"/>
    <w:rsid w:val="00BA48C1"/>
    <w:rsid w:val="00BA5792"/>
    <w:rsid w:val="00BA6028"/>
    <w:rsid w:val="00BA6F67"/>
    <w:rsid w:val="00BA6FEA"/>
    <w:rsid w:val="00BA738A"/>
    <w:rsid w:val="00BA73D4"/>
    <w:rsid w:val="00BA7618"/>
    <w:rsid w:val="00BA7701"/>
    <w:rsid w:val="00BA7A25"/>
    <w:rsid w:val="00BA7AF1"/>
    <w:rsid w:val="00BA7BAB"/>
    <w:rsid w:val="00BA7C02"/>
    <w:rsid w:val="00BA7C73"/>
    <w:rsid w:val="00BB00C3"/>
    <w:rsid w:val="00BB01F3"/>
    <w:rsid w:val="00BB043A"/>
    <w:rsid w:val="00BB073E"/>
    <w:rsid w:val="00BB0741"/>
    <w:rsid w:val="00BB09ED"/>
    <w:rsid w:val="00BB0D0D"/>
    <w:rsid w:val="00BB10E2"/>
    <w:rsid w:val="00BB17AD"/>
    <w:rsid w:val="00BB191F"/>
    <w:rsid w:val="00BB1D2F"/>
    <w:rsid w:val="00BB2428"/>
    <w:rsid w:val="00BB292D"/>
    <w:rsid w:val="00BB300F"/>
    <w:rsid w:val="00BB309F"/>
    <w:rsid w:val="00BB369B"/>
    <w:rsid w:val="00BB3919"/>
    <w:rsid w:val="00BB3A56"/>
    <w:rsid w:val="00BB3C9D"/>
    <w:rsid w:val="00BB3DE7"/>
    <w:rsid w:val="00BB3E2E"/>
    <w:rsid w:val="00BB3EE8"/>
    <w:rsid w:val="00BB42AC"/>
    <w:rsid w:val="00BB49CB"/>
    <w:rsid w:val="00BB4CAE"/>
    <w:rsid w:val="00BB4E7B"/>
    <w:rsid w:val="00BB4F5F"/>
    <w:rsid w:val="00BB57B7"/>
    <w:rsid w:val="00BB57C7"/>
    <w:rsid w:val="00BB6087"/>
    <w:rsid w:val="00BB67F1"/>
    <w:rsid w:val="00BB6A14"/>
    <w:rsid w:val="00BB781B"/>
    <w:rsid w:val="00BB79C2"/>
    <w:rsid w:val="00BB7E42"/>
    <w:rsid w:val="00BB7F0F"/>
    <w:rsid w:val="00BC0B1A"/>
    <w:rsid w:val="00BC0EC7"/>
    <w:rsid w:val="00BC117C"/>
    <w:rsid w:val="00BC11C6"/>
    <w:rsid w:val="00BC1722"/>
    <w:rsid w:val="00BC17DF"/>
    <w:rsid w:val="00BC1906"/>
    <w:rsid w:val="00BC194A"/>
    <w:rsid w:val="00BC1B69"/>
    <w:rsid w:val="00BC2214"/>
    <w:rsid w:val="00BC247C"/>
    <w:rsid w:val="00BC2825"/>
    <w:rsid w:val="00BC2E96"/>
    <w:rsid w:val="00BC2F35"/>
    <w:rsid w:val="00BC2FBD"/>
    <w:rsid w:val="00BC365F"/>
    <w:rsid w:val="00BC3A31"/>
    <w:rsid w:val="00BC3C60"/>
    <w:rsid w:val="00BC406F"/>
    <w:rsid w:val="00BC4164"/>
    <w:rsid w:val="00BC426A"/>
    <w:rsid w:val="00BC434A"/>
    <w:rsid w:val="00BC4428"/>
    <w:rsid w:val="00BC4C88"/>
    <w:rsid w:val="00BC4DFB"/>
    <w:rsid w:val="00BC4E0F"/>
    <w:rsid w:val="00BC544F"/>
    <w:rsid w:val="00BC5931"/>
    <w:rsid w:val="00BC59CA"/>
    <w:rsid w:val="00BC5D67"/>
    <w:rsid w:val="00BC63F0"/>
    <w:rsid w:val="00BC6940"/>
    <w:rsid w:val="00BC6970"/>
    <w:rsid w:val="00BC6BA8"/>
    <w:rsid w:val="00BC6D81"/>
    <w:rsid w:val="00BC6F87"/>
    <w:rsid w:val="00BC733D"/>
    <w:rsid w:val="00BC734E"/>
    <w:rsid w:val="00BC7713"/>
    <w:rsid w:val="00BC7BA0"/>
    <w:rsid w:val="00BC7C93"/>
    <w:rsid w:val="00BC7FC7"/>
    <w:rsid w:val="00BD0286"/>
    <w:rsid w:val="00BD0308"/>
    <w:rsid w:val="00BD0503"/>
    <w:rsid w:val="00BD08F6"/>
    <w:rsid w:val="00BD0A29"/>
    <w:rsid w:val="00BD0C9E"/>
    <w:rsid w:val="00BD0D7E"/>
    <w:rsid w:val="00BD156F"/>
    <w:rsid w:val="00BD18E4"/>
    <w:rsid w:val="00BD1A36"/>
    <w:rsid w:val="00BD1B3F"/>
    <w:rsid w:val="00BD2120"/>
    <w:rsid w:val="00BD28CF"/>
    <w:rsid w:val="00BD2AC0"/>
    <w:rsid w:val="00BD2FC2"/>
    <w:rsid w:val="00BD31E5"/>
    <w:rsid w:val="00BD33A9"/>
    <w:rsid w:val="00BD33BE"/>
    <w:rsid w:val="00BD3623"/>
    <w:rsid w:val="00BD3792"/>
    <w:rsid w:val="00BD3C72"/>
    <w:rsid w:val="00BD4397"/>
    <w:rsid w:val="00BD4412"/>
    <w:rsid w:val="00BD4548"/>
    <w:rsid w:val="00BD4E12"/>
    <w:rsid w:val="00BD4F07"/>
    <w:rsid w:val="00BD5241"/>
    <w:rsid w:val="00BD56F8"/>
    <w:rsid w:val="00BD5B57"/>
    <w:rsid w:val="00BD5C57"/>
    <w:rsid w:val="00BD5D4E"/>
    <w:rsid w:val="00BD5F37"/>
    <w:rsid w:val="00BD5F7E"/>
    <w:rsid w:val="00BD6811"/>
    <w:rsid w:val="00BD6D80"/>
    <w:rsid w:val="00BD7336"/>
    <w:rsid w:val="00BD7521"/>
    <w:rsid w:val="00BD7991"/>
    <w:rsid w:val="00BD7A6A"/>
    <w:rsid w:val="00BD7C45"/>
    <w:rsid w:val="00BD7E30"/>
    <w:rsid w:val="00BE0646"/>
    <w:rsid w:val="00BE0BDD"/>
    <w:rsid w:val="00BE0C09"/>
    <w:rsid w:val="00BE118B"/>
    <w:rsid w:val="00BE1359"/>
    <w:rsid w:val="00BE1789"/>
    <w:rsid w:val="00BE1C4F"/>
    <w:rsid w:val="00BE1EF7"/>
    <w:rsid w:val="00BE21E3"/>
    <w:rsid w:val="00BE305B"/>
    <w:rsid w:val="00BE3C0C"/>
    <w:rsid w:val="00BE4D13"/>
    <w:rsid w:val="00BE5C0F"/>
    <w:rsid w:val="00BE5C9E"/>
    <w:rsid w:val="00BE5F4E"/>
    <w:rsid w:val="00BE618A"/>
    <w:rsid w:val="00BE62B2"/>
    <w:rsid w:val="00BE6350"/>
    <w:rsid w:val="00BE67F1"/>
    <w:rsid w:val="00BE7287"/>
    <w:rsid w:val="00BE7964"/>
    <w:rsid w:val="00BE7C93"/>
    <w:rsid w:val="00BE7D3A"/>
    <w:rsid w:val="00BF0362"/>
    <w:rsid w:val="00BF0479"/>
    <w:rsid w:val="00BF0CDC"/>
    <w:rsid w:val="00BF0D73"/>
    <w:rsid w:val="00BF1069"/>
    <w:rsid w:val="00BF1592"/>
    <w:rsid w:val="00BF1A87"/>
    <w:rsid w:val="00BF1D23"/>
    <w:rsid w:val="00BF1F82"/>
    <w:rsid w:val="00BF2520"/>
    <w:rsid w:val="00BF25B1"/>
    <w:rsid w:val="00BF2A85"/>
    <w:rsid w:val="00BF2B78"/>
    <w:rsid w:val="00BF2FC3"/>
    <w:rsid w:val="00BF3470"/>
    <w:rsid w:val="00BF3885"/>
    <w:rsid w:val="00BF393B"/>
    <w:rsid w:val="00BF3B94"/>
    <w:rsid w:val="00BF3E5E"/>
    <w:rsid w:val="00BF3FF8"/>
    <w:rsid w:val="00BF43F7"/>
    <w:rsid w:val="00BF4C53"/>
    <w:rsid w:val="00BF5403"/>
    <w:rsid w:val="00BF5494"/>
    <w:rsid w:val="00BF54DC"/>
    <w:rsid w:val="00BF558B"/>
    <w:rsid w:val="00BF5590"/>
    <w:rsid w:val="00BF5748"/>
    <w:rsid w:val="00BF5B81"/>
    <w:rsid w:val="00BF5C35"/>
    <w:rsid w:val="00BF606F"/>
    <w:rsid w:val="00BF6270"/>
    <w:rsid w:val="00BF67B7"/>
    <w:rsid w:val="00BF69FD"/>
    <w:rsid w:val="00BF6A3C"/>
    <w:rsid w:val="00BF703E"/>
    <w:rsid w:val="00BF770B"/>
    <w:rsid w:val="00BF7802"/>
    <w:rsid w:val="00C005F7"/>
    <w:rsid w:val="00C007A6"/>
    <w:rsid w:val="00C01510"/>
    <w:rsid w:val="00C01CEB"/>
    <w:rsid w:val="00C01F6E"/>
    <w:rsid w:val="00C021D2"/>
    <w:rsid w:val="00C023A3"/>
    <w:rsid w:val="00C02B42"/>
    <w:rsid w:val="00C02BED"/>
    <w:rsid w:val="00C02D3C"/>
    <w:rsid w:val="00C03249"/>
    <w:rsid w:val="00C036F7"/>
    <w:rsid w:val="00C03978"/>
    <w:rsid w:val="00C03ECA"/>
    <w:rsid w:val="00C043C0"/>
    <w:rsid w:val="00C04BA2"/>
    <w:rsid w:val="00C04BAE"/>
    <w:rsid w:val="00C050E4"/>
    <w:rsid w:val="00C05362"/>
    <w:rsid w:val="00C05537"/>
    <w:rsid w:val="00C05896"/>
    <w:rsid w:val="00C0599A"/>
    <w:rsid w:val="00C05A14"/>
    <w:rsid w:val="00C05D89"/>
    <w:rsid w:val="00C06A3F"/>
    <w:rsid w:val="00C06A43"/>
    <w:rsid w:val="00C06BC1"/>
    <w:rsid w:val="00C06C42"/>
    <w:rsid w:val="00C06D80"/>
    <w:rsid w:val="00C06EB2"/>
    <w:rsid w:val="00C073DA"/>
    <w:rsid w:val="00C078C1"/>
    <w:rsid w:val="00C079DB"/>
    <w:rsid w:val="00C07A40"/>
    <w:rsid w:val="00C07C15"/>
    <w:rsid w:val="00C07C40"/>
    <w:rsid w:val="00C10515"/>
    <w:rsid w:val="00C1092B"/>
    <w:rsid w:val="00C10B9B"/>
    <w:rsid w:val="00C10C30"/>
    <w:rsid w:val="00C10D4E"/>
    <w:rsid w:val="00C1104C"/>
    <w:rsid w:val="00C11577"/>
    <w:rsid w:val="00C11990"/>
    <w:rsid w:val="00C119DA"/>
    <w:rsid w:val="00C11BFF"/>
    <w:rsid w:val="00C11DC5"/>
    <w:rsid w:val="00C11F13"/>
    <w:rsid w:val="00C11F39"/>
    <w:rsid w:val="00C11F55"/>
    <w:rsid w:val="00C1211C"/>
    <w:rsid w:val="00C12249"/>
    <w:rsid w:val="00C1250E"/>
    <w:rsid w:val="00C1262D"/>
    <w:rsid w:val="00C13327"/>
    <w:rsid w:val="00C138E7"/>
    <w:rsid w:val="00C139A1"/>
    <w:rsid w:val="00C13B36"/>
    <w:rsid w:val="00C13D15"/>
    <w:rsid w:val="00C1448C"/>
    <w:rsid w:val="00C145BD"/>
    <w:rsid w:val="00C145FD"/>
    <w:rsid w:val="00C149A6"/>
    <w:rsid w:val="00C14D7A"/>
    <w:rsid w:val="00C14D92"/>
    <w:rsid w:val="00C152A4"/>
    <w:rsid w:val="00C153BC"/>
    <w:rsid w:val="00C15BE4"/>
    <w:rsid w:val="00C15FAD"/>
    <w:rsid w:val="00C16490"/>
    <w:rsid w:val="00C168E7"/>
    <w:rsid w:val="00C16CCB"/>
    <w:rsid w:val="00C17059"/>
    <w:rsid w:val="00C17174"/>
    <w:rsid w:val="00C171C5"/>
    <w:rsid w:val="00C173D2"/>
    <w:rsid w:val="00C17B44"/>
    <w:rsid w:val="00C17ED6"/>
    <w:rsid w:val="00C17F63"/>
    <w:rsid w:val="00C20025"/>
    <w:rsid w:val="00C2041C"/>
    <w:rsid w:val="00C20869"/>
    <w:rsid w:val="00C20DC6"/>
    <w:rsid w:val="00C2113D"/>
    <w:rsid w:val="00C21363"/>
    <w:rsid w:val="00C215D1"/>
    <w:rsid w:val="00C21AE1"/>
    <w:rsid w:val="00C22141"/>
    <w:rsid w:val="00C223D1"/>
    <w:rsid w:val="00C227C6"/>
    <w:rsid w:val="00C22816"/>
    <w:rsid w:val="00C22B32"/>
    <w:rsid w:val="00C230F6"/>
    <w:rsid w:val="00C23686"/>
    <w:rsid w:val="00C23F8A"/>
    <w:rsid w:val="00C244B3"/>
    <w:rsid w:val="00C247E6"/>
    <w:rsid w:val="00C24A4F"/>
    <w:rsid w:val="00C24B05"/>
    <w:rsid w:val="00C24B26"/>
    <w:rsid w:val="00C24D07"/>
    <w:rsid w:val="00C24EA5"/>
    <w:rsid w:val="00C24EA9"/>
    <w:rsid w:val="00C25052"/>
    <w:rsid w:val="00C2580C"/>
    <w:rsid w:val="00C25846"/>
    <w:rsid w:val="00C25D31"/>
    <w:rsid w:val="00C262C1"/>
    <w:rsid w:val="00C265D0"/>
    <w:rsid w:val="00C26C7B"/>
    <w:rsid w:val="00C26FE5"/>
    <w:rsid w:val="00C27077"/>
    <w:rsid w:val="00C27F07"/>
    <w:rsid w:val="00C27F2F"/>
    <w:rsid w:val="00C3022B"/>
    <w:rsid w:val="00C30723"/>
    <w:rsid w:val="00C30778"/>
    <w:rsid w:val="00C30AE9"/>
    <w:rsid w:val="00C3137D"/>
    <w:rsid w:val="00C31756"/>
    <w:rsid w:val="00C31CFB"/>
    <w:rsid w:val="00C31F7F"/>
    <w:rsid w:val="00C32186"/>
    <w:rsid w:val="00C323EC"/>
    <w:rsid w:val="00C32893"/>
    <w:rsid w:val="00C32934"/>
    <w:rsid w:val="00C32D68"/>
    <w:rsid w:val="00C32FC3"/>
    <w:rsid w:val="00C3309B"/>
    <w:rsid w:val="00C3336D"/>
    <w:rsid w:val="00C334A3"/>
    <w:rsid w:val="00C335AE"/>
    <w:rsid w:val="00C33E88"/>
    <w:rsid w:val="00C34197"/>
    <w:rsid w:val="00C3427B"/>
    <w:rsid w:val="00C34645"/>
    <w:rsid w:val="00C34E1F"/>
    <w:rsid w:val="00C34F09"/>
    <w:rsid w:val="00C3515D"/>
    <w:rsid w:val="00C357CE"/>
    <w:rsid w:val="00C35C70"/>
    <w:rsid w:val="00C35E26"/>
    <w:rsid w:val="00C361F0"/>
    <w:rsid w:val="00C3626A"/>
    <w:rsid w:val="00C36684"/>
    <w:rsid w:val="00C36DCC"/>
    <w:rsid w:val="00C36F0A"/>
    <w:rsid w:val="00C36F4F"/>
    <w:rsid w:val="00C372CB"/>
    <w:rsid w:val="00C37B23"/>
    <w:rsid w:val="00C37EC3"/>
    <w:rsid w:val="00C400F0"/>
    <w:rsid w:val="00C40297"/>
    <w:rsid w:val="00C403CD"/>
    <w:rsid w:val="00C4067A"/>
    <w:rsid w:val="00C406CD"/>
    <w:rsid w:val="00C40B64"/>
    <w:rsid w:val="00C40F21"/>
    <w:rsid w:val="00C411BF"/>
    <w:rsid w:val="00C412AE"/>
    <w:rsid w:val="00C41480"/>
    <w:rsid w:val="00C417F1"/>
    <w:rsid w:val="00C41B33"/>
    <w:rsid w:val="00C41F94"/>
    <w:rsid w:val="00C439E0"/>
    <w:rsid w:val="00C44052"/>
    <w:rsid w:val="00C44368"/>
    <w:rsid w:val="00C444B2"/>
    <w:rsid w:val="00C44D1E"/>
    <w:rsid w:val="00C44D4E"/>
    <w:rsid w:val="00C46111"/>
    <w:rsid w:val="00C46816"/>
    <w:rsid w:val="00C46822"/>
    <w:rsid w:val="00C468CE"/>
    <w:rsid w:val="00C46C3E"/>
    <w:rsid w:val="00C46CE5"/>
    <w:rsid w:val="00C4706F"/>
    <w:rsid w:val="00C4754A"/>
    <w:rsid w:val="00C47CFC"/>
    <w:rsid w:val="00C47ECE"/>
    <w:rsid w:val="00C50206"/>
    <w:rsid w:val="00C50260"/>
    <w:rsid w:val="00C5065D"/>
    <w:rsid w:val="00C512B5"/>
    <w:rsid w:val="00C51395"/>
    <w:rsid w:val="00C51553"/>
    <w:rsid w:val="00C518A5"/>
    <w:rsid w:val="00C519A0"/>
    <w:rsid w:val="00C51A60"/>
    <w:rsid w:val="00C51FC3"/>
    <w:rsid w:val="00C520E4"/>
    <w:rsid w:val="00C52334"/>
    <w:rsid w:val="00C5261F"/>
    <w:rsid w:val="00C5279F"/>
    <w:rsid w:val="00C52C65"/>
    <w:rsid w:val="00C53110"/>
    <w:rsid w:val="00C53B12"/>
    <w:rsid w:val="00C53B6C"/>
    <w:rsid w:val="00C5406E"/>
    <w:rsid w:val="00C541AB"/>
    <w:rsid w:val="00C541B2"/>
    <w:rsid w:val="00C5477D"/>
    <w:rsid w:val="00C54928"/>
    <w:rsid w:val="00C54A44"/>
    <w:rsid w:val="00C54E2A"/>
    <w:rsid w:val="00C54E49"/>
    <w:rsid w:val="00C54FAF"/>
    <w:rsid w:val="00C550C8"/>
    <w:rsid w:val="00C553E2"/>
    <w:rsid w:val="00C558CE"/>
    <w:rsid w:val="00C56403"/>
    <w:rsid w:val="00C5661F"/>
    <w:rsid w:val="00C56FD2"/>
    <w:rsid w:val="00C57085"/>
    <w:rsid w:val="00C575AF"/>
    <w:rsid w:val="00C576FC"/>
    <w:rsid w:val="00C57847"/>
    <w:rsid w:val="00C579F3"/>
    <w:rsid w:val="00C57EE1"/>
    <w:rsid w:val="00C60319"/>
    <w:rsid w:val="00C60361"/>
    <w:rsid w:val="00C60738"/>
    <w:rsid w:val="00C608D7"/>
    <w:rsid w:val="00C60D9F"/>
    <w:rsid w:val="00C61943"/>
    <w:rsid w:val="00C620BA"/>
    <w:rsid w:val="00C627C5"/>
    <w:rsid w:val="00C6316A"/>
    <w:rsid w:val="00C6395F"/>
    <w:rsid w:val="00C63C3D"/>
    <w:rsid w:val="00C644BF"/>
    <w:rsid w:val="00C64A43"/>
    <w:rsid w:val="00C65163"/>
    <w:rsid w:val="00C65728"/>
    <w:rsid w:val="00C658F4"/>
    <w:rsid w:val="00C65B6B"/>
    <w:rsid w:val="00C65F2D"/>
    <w:rsid w:val="00C66255"/>
    <w:rsid w:val="00C66492"/>
    <w:rsid w:val="00C664AB"/>
    <w:rsid w:val="00C66584"/>
    <w:rsid w:val="00C665A9"/>
    <w:rsid w:val="00C66705"/>
    <w:rsid w:val="00C676F4"/>
    <w:rsid w:val="00C67754"/>
    <w:rsid w:val="00C67895"/>
    <w:rsid w:val="00C67D16"/>
    <w:rsid w:val="00C70254"/>
    <w:rsid w:val="00C703C0"/>
    <w:rsid w:val="00C706D1"/>
    <w:rsid w:val="00C70A4F"/>
    <w:rsid w:val="00C70FAE"/>
    <w:rsid w:val="00C7113D"/>
    <w:rsid w:val="00C71284"/>
    <w:rsid w:val="00C719C3"/>
    <w:rsid w:val="00C71F9A"/>
    <w:rsid w:val="00C724F5"/>
    <w:rsid w:val="00C726F6"/>
    <w:rsid w:val="00C72987"/>
    <w:rsid w:val="00C72BA3"/>
    <w:rsid w:val="00C72C0D"/>
    <w:rsid w:val="00C72DD5"/>
    <w:rsid w:val="00C733A6"/>
    <w:rsid w:val="00C737B0"/>
    <w:rsid w:val="00C73D39"/>
    <w:rsid w:val="00C744A3"/>
    <w:rsid w:val="00C744D7"/>
    <w:rsid w:val="00C74E4E"/>
    <w:rsid w:val="00C75DD5"/>
    <w:rsid w:val="00C760ED"/>
    <w:rsid w:val="00C76282"/>
    <w:rsid w:val="00C7675A"/>
    <w:rsid w:val="00C76BB2"/>
    <w:rsid w:val="00C76D5D"/>
    <w:rsid w:val="00C76E9D"/>
    <w:rsid w:val="00C77906"/>
    <w:rsid w:val="00C77E6E"/>
    <w:rsid w:val="00C800A2"/>
    <w:rsid w:val="00C800BE"/>
    <w:rsid w:val="00C80CFA"/>
    <w:rsid w:val="00C80CFB"/>
    <w:rsid w:val="00C80E18"/>
    <w:rsid w:val="00C816DF"/>
    <w:rsid w:val="00C820EE"/>
    <w:rsid w:val="00C82C1E"/>
    <w:rsid w:val="00C82CD4"/>
    <w:rsid w:val="00C835B6"/>
    <w:rsid w:val="00C83B95"/>
    <w:rsid w:val="00C840D8"/>
    <w:rsid w:val="00C84475"/>
    <w:rsid w:val="00C84713"/>
    <w:rsid w:val="00C84758"/>
    <w:rsid w:val="00C84DD9"/>
    <w:rsid w:val="00C853AB"/>
    <w:rsid w:val="00C856EF"/>
    <w:rsid w:val="00C85CAC"/>
    <w:rsid w:val="00C85D45"/>
    <w:rsid w:val="00C85F72"/>
    <w:rsid w:val="00C85FB3"/>
    <w:rsid w:val="00C862C3"/>
    <w:rsid w:val="00C86816"/>
    <w:rsid w:val="00C86896"/>
    <w:rsid w:val="00C8732D"/>
    <w:rsid w:val="00C8736D"/>
    <w:rsid w:val="00C87492"/>
    <w:rsid w:val="00C875CF"/>
    <w:rsid w:val="00C876E1"/>
    <w:rsid w:val="00C90162"/>
    <w:rsid w:val="00C90388"/>
    <w:rsid w:val="00C905DB"/>
    <w:rsid w:val="00C9084D"/>
    <w:rsid w:val="00C908A9"/>
    <w:rsid w:val="00C908BE"/>
    <w:rsid w:val="00C91507"/>
    <w:rsid w:val="00C91B81"/>
    <w:rsid w:val="00C9203A"/>
    <w:rsid w:val="00C92196"/>
    <w:rsid w:val="00C9230B"/>
    <w:rsid w:val="00C929E1"/>
    <w:rsid w:val="00C92B88"/>
    <w:rsid w:val="00C92F67"/>
    <w:rsid w:val="00C931F5"/>
    <w:rsid w:val="00C93C36"/>
    <w:rsid w:val="00C93D97"/>
    <w:rsid w:val="00C940C2"/>
    <w:rsid w:val="00C944D1"/>
    <w:rsid w:val="00C948D6"/>
    <w:rsid w:val="00C952E2"/>
    <w:rsid w:val="00C952E9"/>
    <w:rsid w:val="00C95AC8"/>
    <w:rsid w:val="00C95AF0"/>
    <w:rsid w:val="00C95E95"/>
    <w:rsid w:val="00C962BE"/>
    <w:rsid w:val="00C96383"/>
    <w:rsid w:val="00C9639C"/>
    <w:rsid w:val="00C96514"/>
    <w:rsid w:val="00C96D4F"/>
    <w:rsid w:val="00C9721E"/>
    <w:rsid w:val="00C972A5"/>
    <w:rsid w:val="00C9760B"/>
    <w:rsid w:val="00C976E0"/>
    <w:rsid w:val="00C9796B"/>
    <w:rsid w:val="00C97C19"/>
    <w:rsid w:val="00CA0174"/>
    <w:rsid w:val="00CA018B"/>
    <w:rsid w:val="00CA05EE"/>
    <w:rsid w:val="00CA0958"/>
    <w:rsid w:val="00CA0C53"/>
    <w:rsid w:val="00CA0FB8"/>
    <w:rsid w:val="00CA105A"/>
    <w:rsid w:val="00CA1AE4"/>
    <w:rsid w:val="00CA1BC5"/>
    <w:rsid w:val="00CA1E0C"/>
    <w:rsid w:val="00CA1FA7"/>
    <w:rsid w:val="00CA20E3"/>
    <w:rsid w:val="00CA245C"/>
    <w:rsid w:val="00CA26EC"/>
    <w:rsid w:val="00CA3591"/>
    <w:rsid w:val="00CA374B"/>
    <w:rsid w:val="00CA39FD"/>
    <w:rsid w:val="00CA3AC7"/>
    <w:rsid w:val="00CA423D"/>
    <w:rsid w:val="00CA4AAC"/>
    <w:rsid w:val="00CA4DB5"/>
    <w:rsid w:val="00CA5989"/>
    <w:rsid w:val="00CA59B6"/>
    <w:rsid w:val="00CA5A94"/>
    <w:rsid w:val="00CA5AF9"/>
    <w:rsid w:val="00CA5D0C"/>
    <w:rsid w:val="00CA5E13"/>
    <w:rsid w:val="00CA6101"/>
    <w:rsid w:val="00CA625D"/>
    <w:rsid w:val="00CA642E"/>
    <w:rsid w:val="00CA69FF"/>
    <w:rsid w:val="00CA6F5C"/>
    <w:rsid w:val="00CA6F73"/>
    <w:rsid w:val="00CA74B9"/>
    <w:rsid w:val="00CA7A1F"/>
    <w:rsid w:val="00CA7A99"/>
    <w:rsid w:val="00CA7DAF"/>
    <w:rsid w:val="00CB017E"/>
    <w:rsid w:val="00CB0226"/>
    <w:rsid w:val="00CB02C7"/>
    <w:rsid w:val="00CB0717"/>
    <w:rsid w:val="00CB0A65"/>
    <w:rsid w:val="00CB0B17"/>
    <w:rsid w:val="00CB0DC8"/>
    <w:rsid w:val="00CB0FDE"/>
    <w:rsid w:val="00CB1177"/>
    <w:rsid w:val="00CB1618"/>
    <w:rsid w:val="00CB1A88"/>
    <w:rsid w:val="00CB23CA"/>
    <w:rsid w:val="00CB26F0"/>
    <w:rsid w:val="00CB277F"/>
    <w:rsid w:val="00CB2809"/>
    <w:rsid w:val="00CB328B"/>
    <w:rsid w:val="00CB3318"/>
    <w:rsid w:val="00CB357D"/>
    <w:rsid w:val="00CB3628"/>
    <w:rsid w:val="00CB3BC7"/>
    <w:rsid w:val="00CB407C"/>
    <w:rsid w:val="00CB4204"/>
    <w:rsid w:val="00CB46B4"/>
    <w:rsid w:val="00CB4940"/>
    <w:rsid w:val="00CB4A70"/>
    <w:rsid w:val="00CB4BC7"/>
    <w:rsid w:val="00CB4C56"/>
    <w:rsid w:val="00CB547E"/>
    <w:rsid w:val="00CB56AE"/>
    <w:rsid w:val="00CB5D5B"/>
    <w:rsid w:val="00CB68D2"/>
    <w:rsid w:val="00CB6A52"/>
    <w:rsid w:val="00CB6DC0"/>
    <w:rsid w:val="00CB6E94"/>
    <w:rsid w:val="00CB7060"/>
    <w:rsid w:val="00CB763C"/>
    <w:rsid w:val="00CB77F2"/>
    <w:rsid w:val="00CB7DD6"/>
    <w:rsid w:val="00CC0438"/>
    <w:rsid w:val="00CC0563"/>
    <w:rsid w:val="00CC0AA9"/>
    <w:rsid w:val="00CC0C66"/>
    <w:rsid w:val="00CC119E"/>
    <w:rsid w:val="00CC13ED"/>
    <w:rsid w:val="00CC140D"/>
    <w:rsid w:val="00CC1E56"/>
    <w:rsid w:val="00CC1EB1"/>
    <w:rsid w:val="00CC2001"/>
    <w:rsid w:val="00CC2270"/>
    <w:rsid w:val="00CC2EC5"/>
    <w:rsid w:val="00CC3277"/>
    <w:rsid w:val="00CC385B"/>
    <w:rsid w:val="00CC3EBF"/>
    <w:rsid w:val="00CC4207"/>
    <w:rsid w:val="00CC49DC"/>
    <w:rsid w:val="00CC51BD"/>
    <w:rsid w:val="00CC5222"/>
    <w:rsid w:val="00CC5775"/>
    <w:rsid w:val="00CC5E22"/>
    <w:rsid w:val="00CC62CD"/>
    <w:rsid w:val="00CC6C6A"/>
    <w:rsid w:val="00CC6F07"/>
    <w:rsid w:val="00CC702B"/>
    <w:rsid w:val="00CC7881"/>
    <w:rsid w:val="00CC78E6"/>
    <w:rsid w:val="00CC7971"/>
    <w:rsid w:val="00CC7ADD"/>
    <w:rsid w:val="00CC7FEA"/>
    <w:rsid w:val="00CD0422"/>
    <w:rsid w:val="00CD083E"/>
    <w:rsid w:val="00CD0982"/>
    <w:rsid w:val="00CD0FFA"/>
    <w:rsid w:val="00CD104F"/>
    <w:rsid w:val="00CD11B4"/>
    <w:rsid w:val="00CD124B"/>
    <w:rsid w:val="00CD132C"/>
    <w:rsid w:val="00CD134C"/>
    <w:rsid w:val="00CD164D"/>
    <w:rsid w:val="00CD19CF"/>
    <w:rsid w:val="00CD265B"/>
    <w:rsid w:val="00CD26D0"/>
    <w:rsid w:val="00CD2987"/>
    <w:rsid w:val="00CD2A22"/>
    <w:rsid w:val="00CD2A3D"/>
    <w:rsid w:val="00CD2EE0"/>
    <w:rsid w:val="00CD3B99"/>
    <w:rsid w:val="00CD3DD5"/>
    <w:rsid w:val="00CD3E12"/>
    <w:rsid w:val="00CD400D"/>
    <w:rsid w:val="00CD40C7"/>
    <w:rsid w:val="00CD41DB"/>
    <w:rsid w:val="00CD451B"/>
    <w:rsid w:val="00CD4B04"/>
    <w:rsid w:val="00CD4F38"/>
    <w:rsid w:val="00CD5716"/>
    <w:rsid w:val="00CD5885"/>
    <w:rsid w:val="00CD5B76"/>
    <w:rsid w:val="00CD5BBC"/>
    <w:rsid w:val="00CD5D11"/>
    <w:rsid w:val="00CD5D93"/>
    <w:rsid w:val="00CD6321"/>
    <w:rsid w:val="00CD63D3"/>
    <w:rsid w:val="00CD6924"/>
    <w:rsid w:val="00CD6FAD"/>
    <w:rsid w:val="00CD7055"/>
    <w:rsid w:val="00CD7340"/>
    <w:rsid w:val="00CD7354"/>
    <w:rsid w:val="00CD73E8"/>
    <w:rsid w:val="00CD7839"/>
    <w:rsid w:val="00CD78B1"/>
    <w:rsid w:val="00CE02C9"/>
    <w:rsid w:val="00CE047A"/>
    <w:rsid w:val="00CE052C"/>
    <w:rsid w:val="00CE06B1"/>
    <w:rsid w:val="00CE0901"/>
    <w:rsid w:val="00CE0944"/>
    <w:rsid w:val="00CE0A76"/>
    <w:rsid w:val="00CE0ED3"/>
    <w:rsid w:val="00CE13D2"/>
    <w:rsid w:val="00CE166B"/>
    <w:rsid w:val="00CE1B36"/>
    <w:rsid w:val="00CE2362"/>
    <w:rsid w:val="00CE3120"/>
    <w:rsid w:val="00CE32D8"/>
    <w:rsid w:val="00CE37A8"/>
    <w:rsid w:val="00CE3C60"/>
    <w:rsid w:val="00CE4028"/>
    <w:rsid w:val="00CE42DB"/>
    <w:rsid w:val="00CE4C6F"/>
    <w:rsid w:val="00CE52CC"/>
    <w:rsid w:val="00CE53F4"/>
    <w:rsid w:val="00CE5510"/>
    <w:rsid w:val="00CE5897"/>
    <w:rsid w:val="00CE5B5C"/>
    <w:rsid w:val="00CE5B69"/>
    <w:rsid w:val="00CE5CA9"/>
    <w:rsid w:val="00CE6071"/>
    <w:rsid w:val="00CE66E3"/>
    <w:rsid w:val="00CE6719"/>
    <w:rsid w:val="00CE6C67"/>
    <w:rsid w:val="00CE734B"/>
    <w:rsid w:val="00CE793F"/>
    <w:rsid w:val="00CE7CCC"/>
    <w:rsid w:val="00CE7D0D"/>
    <w:rsid w:val="00CE7E6F"/>
    <w:rsid w:val="00CF0055"/>
    <w:rsid w:val="00CF065D"/>
    <w:rsid w:val="00CF0E23"/>
    <w:rsid w:val="00CF0F9C"/>
    <w:rsid w:val="00CF15DD"/>
    <w:rsid w:val="00CF1A82"/>
    <w:rsid w:val="00CF1C08"/>
    <w:rsid w:val="00CF207E"/>
    <w:rsid w:val="00CF2112"/>
    <w:rsid w:val="00CF223D"/>
    <w:rsid w:val="00CF2703"/>
    <w:rsid w:val="00CF27F8"/>
    <w:rsid w:val="00CF2824"/>
    <w:rsid w:val="00CF3526"/>
    <w:rsid w:val="00CF3A33"/>
    <w:rsid w:val="00CF3B3E"/>
    <w:rsid w:val="00CF3C7D"/>
    <w:rsid w:val="00CF3EFD"/>
    <w:rsid w:val="00CF4388"/>
    <w:rsid w:val="00CF45BF"/>
    <w:rsid w:val="00CF4B29"/>
    <w:rsid w:val="00CF4D10"/>
    <w:rsid w:val="00CF51C1"/>
    <w:rsid w:val="00CF548B"/>
    <w:rsid w:val="00CF5B47"/>
    <w:rsid w:val="00CF5B54"/>
    <w:rsid w:val="00CF5D48"/>
    <w:rsid w:val="00CF5EE3"/>
    <w:rsid w:val="00CF6C01"/>
    <w:rsid w:val="00CF6EB7"/>
    <w:rsid w:val="00CF6FDD"/>
    <w:rsid w:val="00CF7105"/>
    <w:rsid w:val="00CF7269"/>
    <w:rsid w:val="00CF7271"/>
    <w:rsid w:val="00CF72A2"/>
    <w:rsid w:val="00CF7305"/>
    <w:rsid w:val="00D000C5"/>
    <w:rsid w:val="00D003E5"/>
    <w:rsid w:val="00D005E0"/>
    <w:rsid w:val="00D00AD1"/>
    <w:rsid w:val="00D00C4A"/>
    <w:rsid w:val="00D00FF7"/>
    <w:rsid w:val="00D012FF"/>
    <w:rsid w:val="00D0157B"/>
    <w:rsid w:val="00D01CC4"/>
    <w:rsid w:val="00D01E02"/>
    <w:rsid w:val="00D01E6B"/>
    <w:rsid w:val="00D02E46"/>
    <w:rsid w:val="00D03045"/>
    <w:rsid w:val="00D0344F"/>
    <w:rsid w:val="00D0354D"/>
    <w:rsid w:val="00D0439B"/>
    <w:rsid w:val="00D0497C"/>
    <w:rsid w:val="00D04E4D"/>
    <w:rsid w:val="00D04F45"/>
    <w:rsid w:val="00D04FAA"/>
    <w:rsid w:val="00D050C0"/>
    <w:rsid w:val="00D0534B"/>
    <w:rsid w:val="00D0548B"/>
    <w:rsid w:val="00D05AEE"/>
    <w:rsid w:val="00D05D6E"/>
    <w:rsid w:val="00D0648D"/>
    <w:rsid w:val="00D06DEE"/>
    <w:rsid w:val="00D06EB9"/>
    <w:rsid w:val="00D077BB"/>
    <w:rsid w:val="00D079ED"/>
    <w:rsid w:val="00D10853"/>
    <w:rsid w:val="00D1099B"/>
    <w:rsid w:val="00D10C42"/>
    <w:rsid w:val="00D11417"/>
    <w:rsid w:val="00D1153F"/>
    <w:rsid w:val="00D11995"/>
    <w:rsid w:val="00D11CFD"/>
    <w:rsid w:val="00D12432"/>
    <w:rsid w:val="00D126CF"/>
    <w:rsid w:val="00D12AD9"/>
    <w:rsid w:val="00D1368B"/>
    <w:rsid w:val="00D13801"/>
    <w:rsid w:val="00D13808"/>
    <w:rsid w:val="00D14317"/>
    <w:rsid w:val="00D146FE"/>
    <w:rsid w:val="00D14FA3"/>
    <w:rsid w:val="00D151E1"/>
    <w:rsid w:val="00D155C1"/>
    <w:rsid w:val="00D1581E"/>
    <w:rsid w:val="00D158CA"/>
    <w:rsid w:val="00D15B75"/>
    <w:rsid w:val="00D15D19"/>
    <w:rsid w:val="00D15D93"/>
    <w:rsid w:val="00D15DA1"/>
    <w:rsid w:val="00D15EEC"/>
    <w:rsid w:val="00D162CB"/>
    <w:rsid w:val="00D1635E"/>
    <w:rsid w:val="00D16380"/>
    <w:rsid w:val="00D163FF"/>
    <w:rsid w:val="00D1643C"/>
    <w:rsid w:val="00D16547"/>
    <w:rsid w:val="00D166B5"/>
    <w:rsid w:val="00D167D0"/>
    <w:rsid w:val="00D16E87"/>
    <w:rsid w:val="00D17211"/>
    <w:rsid w:val="00D17335"/>
    <w:rsid w:val="00D17534"/>
    <w:rsid w:val="00D176C8"/>
    <w:rsid w:val="00D17950"/>
    <w:rsid w:val="00D1797A"/>
    <w:rsid w:val="00D17BA1"/>
    <w:rsid w:val="00D17BF1"/>
    <w:rsid w:val="00D2079E"/>
    <w:rsid w:val="00D21356"/>
    <w:rsid w:val="00D216EE"/>
    <w:rsid w:val="00D22035"/>
    <w:rsid w:val="00D220B5"/>
    <w:rsid w:val="00D223EF"/>
    <w:rsid w:val="00D224CF"/>
    <w:rsid w:val="00D22AA3"/>
    <w:rsid w:val="00D230C1"/>
    <w:rsid w:val="00D230FC"/>
    <w:rsid w:val="00D232D8"/>
    <w:rsid w:val="00D232DC"/>
    <w:rsid w:val="00D233CD"/>
    <w:rsid w:val="00D23500"/>
    <w:rsid w:val="00D23AD3"/>
    <w:rsid w:val="00D23FC0"/>
    <w:rsid w:val="00D23FCE"/>
    <w:rsid w:val="00D2401D"/>
    <w:rsid w:val="00D24364"/>
    <w:rsid w:val="00D24478"/>
    <w:rsid w:val="00D2469B"/>
    <w:rsid w:val="00D2469E"/>
    <w:rsid w:val="00D24C94"/>
    <w:rsid w:val="00D2649E"/>
    <w:rsid w:val="00D264D3"/>
    <w:rsid w:val="00D26E62"/>
    <w:rsid w:val="00D27105"/>
    <w:rsid w:val="00D27201"/>
    <w:rsid w:val="00D27300"/>
    <w:rsid w:val="00D27875"/>
    <w:rsid w:val="00D27D94"/>
    <w:rsid w:val="00D307FD"/>
    <w:rsid w:val="00D30A3B"/>
    <w:rsid w:val="00D30DAC"/>
    <w:rsid w:val="00D313FB"/>
    <w:rsid w:val="00D3141B"/>
    <w:rsid w:val="00D319AB"/>
    <w:rsid w:val="00D31A8D"/>
    <w:rsid w:val="00D31BA0"/>
    <w:rsid w:val="00D31E2D"/>
    <w:rsid w:val="00D321E8"/>
    <w:rsid w:val="00D328E1"/>
    <w:rsid w:val="00D329D8"/>
    <w:rsid w:val="00D32D3A"/>
    <w:rsid w:val="00D32E01"/>
    <w:rsid w:val="00D33079"/>
    <w:rsid w:val="00D33975"/>
    <w:rsid w:val="00D33A8C"/>
    <w:rsid w:val="00D34057"/>
    <w:rsid w:val="00D3523D"/>
    <w:rsid w:val="00D35597"/>
    <w:rsid w:val="00D35689"/>
    <w:rsid w:val="00D35D55"/>
    <w:rsid w:val="00D35D6D"/>
    <w:rsid w:val="00D35E06"/>
    <w:rsid w:val="00D365FA"/>
    <w:rsid w:val="00D369BC"/>
    <w:rsid w:val="00D37093"/>
    <w:rsid w:val="00D377E8"/>
    <w:rsid w:val="00D40425"/>
    <w:rsid w:val="00D40BC3"/>
    <w:rsid w:val="00D40D6B"/>
    <w:rsid w:val="00D4129E"/>
    <w:rsid w:val="00D41501"/>
    <w:rsid w:val="00D418A3"/>
    <w:rsid w:val="00D41919"/>
    <w:rsid w:val="00D41AB6"/>
    <w:rsid w:val="00D42946"/>
    <w:rsid w:val="00D42DEC"/>
    <w:rsid w:val="00D435AE"/>
    <w:rsid w:val="00D43984"/>
    <w:rsid w:val="00D44105"/>
    <w:rsid w:val="00D4459D"/>
    <w:rsid w:val="00D44AEB"/>
    <w:rsid w:val="00D4541B"/>
    <w:rsid w:val="00D45A14"/>
    <w:rsid w:val="00D45A36"/>
    <w:rsid w:val="00D4614C"/>
    <w:rsid w:val="00D46189"/>
    <w:rsid w:val="00D46BE9"/>
    <w:rsid w:val="00D46EE2"/>
    <w:rsid w:val="00D46FA2"/>
    <w:rsid w:val="00D47391"/>
    <w:rsid w:val="00D47451"/>
    <w:rsid w:val="00D47947"/>
    <w:rsid w:val="00D5001E"/>
    <w:rsid w:val="00D50053"/>
    <w:rsid w:val="00D50089"/>
    <w:rsid w:val="00D502E1"/>
    <w:rsid w:val="00D504FA"/>
    <w:rsid w:val="00D50849"/>
    <w:rsid w:val="00D50974"/>
    <w:rsid w:val="00D50F10"/>
    <w:rsid w:val="00D50F83"/>
    <w:rsid w:val="00D511A0"/>
    <w:rsid w:val="00D512D8"/>
    <w:rsid w:val="00D51610"/>
    <w:rsid w:val="00D516DF"/>
    <w:rsid w:val="00D51A72"/>
    <w:rsid w:val="00D51C73"/>
    <w:rsid w:val="00D51E13"/>
    <w:rsid w:val="00D51F07"/>
    <w:rsid w:val="00D51F15"/>
    <w:rsid w:val="00D52146"/>
    <w:rsid w:val="00D52388"/>
    <w:rsid w:val="00D524AF"/>
    <w:rsid w:val="00D52A8A"/>
    <w:rsid w:val="00D52A96"/>
    <w:rsid w:val="00D52C43"/>
    <w:rsid w:val="00D5329D"/>
    <w:rsid w:val="00D533FE"/>
    <w:rsid w:val="00D534C8"/>
    <w:rsid w:val="00D5372A"/>
    <w:rsid w:val="00D53B22"/>
    <w:rsid w:val="00D54B1D"/>
    <w:rsid w:val="00D54E0F"/>
    <w:rsid w:val="00D5509F"/>
    <w:rsid w:val="00D5518E"/>
    <w:rsid w:val="00D551D5"/>
    <w:rsid w:val="00D55425"/>
    <w:rsid w:val="00D55751"/>
    <w:rsid w:val="00D5578A"/>
    <w:rsid w:val="00D55BDD"/>
    <w:rsid w:val="00D55D4F"/>
    <w:rsid w:val="00D5616C"/>
    <w:rsid w:val="00D56AE7"/>
    <w:rsid w:val="00D56C00"/>
    <w:rsid w:val="00D57082"/>
    <w:rsid w:val="00D576CD"/>
    <w:rsid w:val="00D577BB"/>
    <w:rsid w:val="00D57B91"/>
    <w:rsid w:val="00D57E0C"/>
    <w:rsid w:val="00D60E67"/>
    <w:rsid w:val="00D614F6"/>
    <w:rsid w:val="00D6166E"/>
    <w:rsid w:val="00D62320"/>
    <w:rsid w:val="00D6248B"/>
    <w:rsid w:val="00D62B5D"/>
    <w:rsid w:val="00D62B75"/>
    <w:rsid w:val="00D62CFC"/>
    <w:rsid w:val="00D62DC6"/>
    <w:rsid w:val="00D62E1F"/>
    <w:rsid w:val="00D6317D"/>
    <w:rsid w:val="00D6318B"/>
    <w:rsid w:val="00D63379"/>
    <w:rsid w:val="00D635B1"/>
    <w:rsid w:val="00D639C5"/>
    <w:rsid w:val="00D63B5A"/>
    <w:rsid w:val="00D63DB5"/>
    <w:rsid w:val="00D63E14"/>
    <w:rsid w:val="00D63E3D"/>
    <w:rsid w:val="00D63F98"/>
    <w:rsid w:val="00D64149"/>
    <w:rsid w:val="00D64155"/>
    <w:rsid w:val="00D646AF"/>
    <w:rsid w:val="00D649A1"/>
    <w:rsid w:val="00D64BEA"/>
    <w:rsid w:val="00D653B9"/>
    <w:rsid w:val="00D654D3"/>
    <w:rsid w:val="00D659DC"/>
    <w:rsid w:val="00D65C02"/>
    <w:rsid w:val="00D65CC7"/>
    <w:rsid w:val="00D65D66"/>
    <w:rsid w:val="00D65E52"/>
    <w:rsid w:val="00D6603B"/>
    <w:rsid w:val="00D661D2"/>
    <w:rsid w:val="00D66410"/>
    <w:rsid w:val="00D66550"/>
    <w:rsid w:val="00D66608"/>
    <w:rsid w:val="00D66648"/>
    <w:rsid w:val="00D66EFB"/>
    <w:rsid w:val="00D66FDA"/>
    <w:rsid w:val="00D67292"/>
    <w:rsid w:val="00D672CB"/>
    <w:rsid w:val="00D6738A"/>
    <w:rsid w:val="00D67956"/>
    <w:rsid w:val="00D7012E"/>
    <w:rsid w:val="00D70341"/>
    <w:rsid w:val="00D70412"/>
    <w:rsid w:val="00D708C4"/>
    <w:rsid w:val="00D70C38"/>
    <w:rsid w:val="00D710E5"/>
    <w:rsid w:val="00D71197"/>
    <w:rsid w:val="00D7178C"/>
    <w:rsid w:val="00D71E69"/>
    <w:rsid w:val="00D72008"/>
    <w:rsid w:val="00D72192"/>
    <w:rsid w:val="00D72498"/>
    <w:rsid w:val="00D72D32"/>
    <w:rsid w:val="00D731D1"/>
    <w:rsid w:val="00D73645"/>
    <w:rsid w:val="00D73AC1"/>
    <w:rsid w:val="00D73BD2"/>
    <w:rsid w:val="00D73BE7"/>
    <w:rsid w:val="00D73DF6"/>
    <w:rsid w:val="00D73EFA"/>
    <w:rsid w:val="00D73FC4"/>
    <w:rsid w:val="00D73FE8"/>
    <w:rsid w:val="00D74538"/>
    <w:rsid w:val="00D749A0"/>
    <w:rsid w:val="00D749CB"/>
    <w:rsid w:val="00D74C9E"/>
    <w:rsid w:val="00D754B7"/>
    <w:rsid w:val="00D75611"/>
    <w:rsid w:val="00D75F19"/>
    <w:rsid w:val="00D7625E"/>
    <w:rsid w:val="00D767AE"/>
    <w:rsid w:val="00D77AD8"/>
    <w:rsid w:val="00D77EEB"/>
    <w:rsid w:val="00D80605"/>
    <w:rsid w:val="00D80973"/>
    <w:rsid w:val="00D80BD8"/>
    <w:rsid w:val="00D80D73"/>
    <w:rsid w:val="00D81069"/>
    <w:rsid w:val="00D81AA1"/>
    <w:rsid w:val="00D82216"/>
    <w:rsid w:val="00D8261C"/>
    <w:rsid w:val="00D82A2B"/>
    <w:rsid w:val="00D8301D"/>
    <w:rsid w:val="00D84411"/>
    <w:rsid w:val="00D8473E"/>
    <w:rsid w:val="00D84CE4"/>
    <w:rsid w:val="00D85482"/>
    <w:rsid w:val="00D85797"/>
    <w:rsid w:val="00D86255"/>
    <w:rsid w:val="00D863D1"/>
    <w:rsid w:val="00D86464"/>
    <w:rsid w:val="00D86D0F"/>
    <w:rsid w:val="00D872B7"/>
    <w:rsid w:val="00D87DCF"/>
    <w:rsid w:val="00D87F5B"/>
    <w:rsid w:val="00D90125"/>
    <w:rsid w:val="00D90299"/>
    <w:rsid w:val="00D9057B"/>
    <w:rsid w:val="00D908D3"/>
    <w:rsid w:val="00D9096B"/>
    <w:rsid w:val="00D90ED1"/>
    <w:rsid w:val="00D91C34"/>
    <w:rsid w:val="00D91F21"/>
    <w:rsid w:val="00D924B9"/>
    <w:rsid w:val="00D925C5"/>
    <w:rsid w:val="00D9279F"/>
    <w:rsid w:val="00D92BB0"/>
    <w:rsid w:val="00D92D23"/>
    <w:rsid w:val="00D92E49"/>
    <w:rsid w:val="00D9317C"/>
    <w:rsid w:val="00D933EC"/>
    <w:rsid w:val="00D93500"/>
    <w:rsid w:val="00D935AB"/>
    <w:rsid w:val="00D936B4"/>
    <w:rsid w:val="00D939A5"/>
    <w:rsid w:val="00D939B4"/>
    <w:rsid w:val="00D94900"/>
    <w:rsid w:val="00D94E4C"/>
    <w:rsid w:val="00D953F7"/>
    <w:rsid w:val="00D95709"/>
    <w:rsid w:val="00D958D7"/>
    <w:rsid w:val="00D95C09"/>
    <w:rsid w:val="00D95DC2"/>
    <w:rsid w:val="00D95F5C"/>
    <w:rsid w:val="00D96083"/>
    <w:rsid w:val="00D96248"/>
    <w:rsid w:val="00D9633E"/>
    <w:rsid w:val="00D96AFA"/>
    <w:rsid w:val="00D96B2B"/>
    <w:rsid w:val="00D96D24"/>
    <w:rsid w:val="00D96D46"/>
    <w:rsid w:val="00D97548"/>
    <w:rsid w:val="00D97B72"/>
    <w:rsid w:val="00D97CF6"/>
    <w:rsid w:val="00DA0B7F"/>
    <w:rsid w:val="00DA0BBE"/>
    <w:rsid w:val="00DA0C40"/>
    <w:rsid w:val="00DA11AE"/>
    <w:rsid w:val="00DA16E5"/>
    <w:rsid w:val="00DA17FF"/>
    <w:rsid w:val="00DA1A59"/>
    <w:rsid w:val="00DA1BE6"/>
    <w:rsid w:val="00DA1BE9"/>
    <w:rsid w:val="00DA1DAA"/>
    <w:rsid w:val="00DA241C"/>
    <w:rsid w:val="00DA283D"/>
    <w:rsid w:val="00DA295F"/>
    <w:rsid w:val="00DA2CA6"/>
    <w:rsid w:val="00DA3E12"/>
    <w:rsid w:val="00DA3E52"/>
    <w:rsid w:val="00DA3E70"/>
    <w:rsid w:val="00DA4141"/>
    <w:rsid w:val="00DA417B"/>
    <w:rsid w:val="00DA45BD"/>
    <w:rsid w:val="00DA4B2A"/>
    <w:rsid w:val="00DA5000"/>
    <w:rsid w:val="00DA5121"/>
    <w:rsid w:val="00DA52EB"/>
    <w:rsid w:val="00DA5CD6"/>
    <w:rsid w:val="00DA672E"/>
    <w:rsid w:val="00DA6868"/>
    <w:rsid w:val="00DA6A1B"/>
    <w:rsid w:val="00DA6DC2"/>
    <w:rsid w:val="00DA7044"/>
    <w:rsid w:val="00DA71A0"/>
    <w:rsid w:val="00DA774A"/>
    <w:rsid w:val="00DA7866"/>
    <w:rsid w:val="00DA7A57"/>
    <w:rsid w:val="00DA7D93"/>
    <w:rsid w:val="00DB0312"/>
    <w:rsid w:val="00DB06ED"/>
    <w:rsid w:val="00DB0EB8"/>
    <w:rsid w:val="00DB0ED0"/>
    <w:rsid w:val="00DB0F68"/>
    <w:rsid w:val="00DB10F3"/>
    <w:rsid w:val="00DB115A"/>
    <w:rsid w:val="00DB198A"/>
    <w:rsid w:val="00DB1DCE"/>
    <w:rsid w:val="00DB1EE4"/>
    <w:rsid w:val="00DB261C"/>
    <w:rsid w:val="00DB2810"/>
    <w:rsid w:val="00DB31DB"/>
    <w:rsid w:val="00DB3213"/>
    <w:rsid w:val="00DB377E"/>
    <w:rsid w:val="00DB387C"/>
    <w:rsid w:val="00DB41A7"/>
    <w:rsid w:val="00DB42F5"/>
    <w:rsid w:val="00DB4353"/>
    <w:rsid w:val="00DB43F8"/>
    <w:rsid w:val="00DB4688"/>
    <w:rsid w:val="00DB46DA"/>
    <w:rsid w:val="00DB50AE"/>
    <w:rsid w:val="00DB5186"/>
    <w:rsid w:val="00DB5A23"/>
    <w:rsid w:val="00DB5A7F"/>
    <w:rsid w:val="00DB640B"/>
    <w:rsid w:val="00DB656B"/>
    <w:rsid w:val="00DB6A23"/>
    <w:rsid w:val="00DB6AD7"/>
    <w:rsid w:val="00DB75BE"/>
    <w:rsid w:val="00DB7945"/>
    <w:rsid w:val="00DB7CD6"/>
    <w:rsid w:val="00DB7D6B"/>
    <w:rsid w:val="00DC00C2"/>
    <w:rsid w:val="00DC01DD"/>
    <w:rsid w:val="00DC02A7"/>
    <w:rsid w:val="00DC13DF"/>
    <w:rsid w:val="00DC1704"/>
    <w:rsid w:val="00DC198F"/>
    <w:rsid w:val="00DC19F4"/>
    <w:rsid w:val="00DC29D6"/>
    <w:rsid w:val="00DC2DA2"/>
    <w:rsid w:val="00DC2E62"/>
    <w:rsid w:val="00DC2F60"/>
    <w:rsid w:val="00DC2FFF"/>
    <w:rsid w:val="00DC3149"/>
    <w:rsid w:val="00DC3166"/>
    <w:rsid w:val="00DC317B"/>
    <w:rsid w:val="00DC38D9"/>
    <w:rsid w:val="00DC3FB4"/>
    <w:rsid w:val="00DC3FCB"/>
    <w:rsid w:val="00DC409C"/>
    <w:rsid w:val="00DC430F"/>
    <w:rsid w:val="00DC43B0"/>
    <w:rsid w:val="00DC478C"/>
    <w:rsid w:val="00DC47BF"/>
    <w:rsid w:val="00DC4CEC"/>
    <w:rsid w:val="00DC5F0A"/>
    <w:rsid w:val="00DC6348"/>
    <w:rsid w:val="00DC6447"/>
    <w:rsid w:val="00DC659B"/>
    <w:rsid w:val="00DC68A9"/>
    <w:rsid w:val="00DC6980"/>
    <w:rsid w:val="00DC6D0D"/>
    <w:rsid w:val="00DC6F43"/>
    <w:rsid w:val="00DC7686"/>
    <w:rsid w:val="00DD030C"/>
    <w:rsid w:val="00DD06D7"/>
    <w:rsid w:val="00DD086B"/>
    <w:rsid w:val="00DD0C80"/>
    <w:rsid w:val="00DD1091"/>
    <w:rsid w:val="00DD145B"/>
    <w:rsid w:val="00DD1ACD"/>
    <w:rsid w:val="00DD2409"/>
    <w:rsid w:val="00DD2529"/>
    <w:rsid w:val="00DD2798"/>
    <w:rsid w:val="00DD2A6B"/>
    <w:rsid w:val="00DD2C66"/>
    <w:rsid w:val="00DD2DB6"/>
    <w:rsid w:val="00DD2FB3"/>
    <w:rsid w:val="00DD3217"/>
    <w:rsid w:val="00DD3A79"/>
    <w:rsid w:val="00DD3CF3"/>
    <w:rsid w:val="00DD3E4D"/>
    <w:rsid w:val="00DD403F"/>
    <w:rsid w:val="00DD4174"/>
    <w:rsid w:val="00DD418A"/>
    <w:rsid w:val="00DD4323"/>
    <w:rsid w:val="00DD452E"/>
    <w:rsid w:val="00DD45CC"/>
    <w:rsid w:val="00DD4929"/>
    <w:rsid w:val="00DD4EA1"/>
    <w:rsid w:val="00DD5A5B"/>
    <w:rsid w:val="00DD6998"/>
    <w:rsid w:val="00DD720F"/>
    <w:rsid w:val="00DD7217"/>
    <w:rsid w:val="00DD77AE"/>
    <w:rsid w:val="00DD7C32"/>
    <w:rsid w:val="00DD7D9D"/>
    <w:rsid w:val="00DE00A7"/>
    <w:rsid w:val="00DE03F4"/>
    <w:rsid w:val="00DE0844"/>
    <w:rsid w:val="00DE0A7D"/>
    <w:rsid w:val="00DE0DC9"/>
    <w:rsid w:val="00DE1044"/>
    <w:rsid w:val="00DE12EF"/>
    <w:rsid w:val="00DE19AA"/>
    <w:rsid w:val="00DE1BFE"/>
    <w:rsid w:val="00DE2156"/>
    <w:rsid w:val="00DE2EFA"/>
    <w:rsid w:val="00DE367F"/>
    <w:rsid w:val="00DE3723"/>
    <w:rsid w:val="00DE3E2A"/>
    <w:rsid w:val="00DE4014"/>
    <w:rsid w:val="00DE4973"/>
    <w:rsid w:val="00DE4F7F"/>
    <w:rsid w:val="00DE53D0"/>
    <w:rsid w:val="00DE5469"/>
    <w:rsid w:val="00DE54CA"/>
    <w:rsid w:val="00DE5D83"/>
    <w:rsid w:val="00DE5E44"/>
    <w:rsid w:val="00DE63CE"/>
    <w:rsid w:val="00DE6EC6"/>
    <w:rsid w:val="00DE704F"/>
    <w:rsid w:val="00DE7605"/>
    <w:rsid w:val="00DE7DBA"/>
    <w:rsid w:val="00DE7FB5"/>
    <w:rsid w:val="00DF02A0"/>
    <w:rsid w:val="00DF04DF"/>
    <w:rsid w:val="00DF0953"/>
    <w:rsid w:val="00DF1273"/>
    <w:rsid w:val="00DF13F4"/>
    <w:rsid w:val="00DF2936"/>
    <w:rsid w:val="00DF322D"/>
    <w:rsid w:val="00DF3271"/>
    <w:rsid w:val="00DF354D"/>
    <w:rsid w:val="00DF3B05"/>
    <w:rsid w:val="00DF3F7B"/>
    <w:rsid w:val="00DF44BC"/>
    <w:rsid w:val="00DF46D2"/>
    <w:rsid w:val="00DF46F0"/>
    <w:rsid w:val="00DF4D9D"/>
    <w:rsid w:val="00DF4F63"/>
    <w:rsid w:val="00DF5209"/>
    <w:rsid w:val="00DF5300"/>
    <w:rsid w:val="00DF571D"/>
    <w:rsid w:val="00DF5724"/>
    <w:rsid w:val="00DF5CEF"/>
    <w:rsid w:val="00DF6443"/>
    <w:rsid w:val="00DF649D"/>
    <w:rsid w:val="00DF64D4"/>
    <w:rsid w:val="00DF6D56"/>
    <w:rsid w:val="00DF7103"/>
    <w:rsid w:val="00DF75DC"/>
    <w:rsid w:val="00DF7BDF"/>
    <w:rsid w:val="00DF7FFB"/>
    <w:rsid w:val="00E0066C"/>
    <w:rsid w:val="00E00733"/>
    <w:rsid w:val="00E00948"/>
    <w:rsid w:val="00E00C13"/>
    <w:rsid w:val="00E00C41"/>
    <w:rsid w:val="00E00C46"/>
    <w:rsid w:val="00E01D40"/>
    <w:rsid w:val="00E024F6"/>
    <w:rsid w:val="00E0287E"/>
    <w:rsid w:val="00E02971"/>
    <w:rsid w:val="00E02D84"/>
    <w:rsid w:val="00E037FD"/>
    <w:rsid w:val="00E03C74"/>
    <w:rsid w:val="00E040AB"/>
    <w:rsid w:val="00E04271"/>
    <w:rsid w:val="00E04A26"/>
    <w:rsid w:val="00E04CEF"/>
    <w:rsid w:val="00E04F0C"/>
    <w:rsid w:val="00E04F96"/>
    <w:rsid w:val="00E053AC"/>
    <w:rsid w:val="00E053BA"/>
    <w:rsid w:val="00E05420"/>
    <w:rsid w:val="00E0562D"/>
    <w:rsid w:val="00E05C05"/>
    <w:rsid w:val="00E0606D"/>
    <w:rsid w:val="00E06510"/>
    <w:rsid w:val="00E0676D"/>
    <w:rsid w:val="00E06BD4"/>
    <w:rsid w:val="00E06FE5"/>
    <w:rsid w:val="00E072B0"/>
    <w:rsid w:val="00E07619"/>
    <w:rsid w:val="00E0787A"/>
    <w:rsid w:val="00E07C90"/>
    <w:rsid w:val="00E105CA"/>
    <w:rsid w:val="00E111E7"/>
    <w:rsid w:val="00E111F8"/>
    <w:rsid w:val="00E11DB5"/>
    <w:rsid w:val="00E12041"/>
    <w:rsid w:val="00E12618"/>
    <w:rsid w:val="00E1288F"/>
    <w:rsid w:val="00E128D7"/>
    <w:rsid w:val="00E129DF"/>
    <w:rsid w:val="00E12B5D"/>
    <w:rsid w:val="00E12C2E"/>
    <w:rsid w:val="00E13435"/>
    <w:rsid w:val="00E13A9C"/>
    <w:rsid w:val="00E13F23"/>
    <w:rsid w:val="00E143D4"/>
    <w:rsid w:val="00E14773"/>
    <w:rsid w:val="00E14E75"/>
    <w:rsid w:val="00E14EC6"/>
    <w:rsid w:val="00E14F2C"/>
    <w:rsid w:val="00E1521D"/>
    <w:rsid w:val="00E154D2"/>
    <w:rsid w:val="00E155E5"/>
    <w:rsid w:val="00E157E5"/>
    <w:rsid w:val="00E16633"/>
    <w:rsid w:val="00E16C08"/>
    <w:rsid w:val="00E16E19"/>
    <w:rsid w:val="00E1752F"/>
    <w:rsid w:val="00E1769F"/>
    <w:rsid w:val="00E17723"/>
    <w:rsid w:val="00E17930"/>
    <w:rsid w:val="00E17B59"/>
    <w:rsid w:val="00E20164"/>
    <w:rsid w:val="00E20A6A"/>
    <w:rsid w:val="00E2136F"/>
    <w:rsid w:val="00E21864"/>
    <w:rsid w:val="00E21AA6"/>
    <w:rsid w:val="00E223DC"/>
    <w:rsid w:val="00E2304B"/>
    <w:rsid w:val="00E2320D"/>
    <w:rsid w:val="00E2339D"/>
    <w:rsid w:val="00E233DE"/>
    <w:rsid w:val="00E23447"/>
    <w:rsid w:val="00E234E0"/>
    <w:rsid w:val="00E23F6C"/>
    <w:rsid w:val="00E23FBF"/>
    <w:rsid w:val="00E24712"/>
    <w:rsid w:val="00E24A35"/>
    <w:rsid w:val="00E24B3E"/>
    <w:rsid w:val="00E24B61"/>
    <w:rsid w:val="00E24B7B"/>
    <w:rsid w:val="00E24E2E"/>
    <w:rsid w:val="00E2501A"/>
    <w:rsid w:val="00E2523E"/>
    <w:rsid w:val="00E25549"/>
    <w:rsid w:val="00E2575D"/>
    <w:rsid w:val="00E25CC3"/>
    <w:rsid w:val="00E25ECA"/>
    <w:rsid w:val="00E264B9"/>
    <w:rsid w:val="00E267F0"/>
    <w:rsid w:val="00E26859"/>
    <w:rsid w:val="00E26DB9"/>
    <w:rsid w:val="00E26E41"/>
    <w:rsid w:val="00E26EF2"/>
    <w:rsid w:val="00E273D5"/>
    <w:rsid w:val="00E27441"/>
    <w:rsid w:val="00E274C1"/>
    <w:rsid w:val="00E277E0"/>
    <w:rsid w:val="00E27BC8"/>
    <w:rsid w:val="00E27F22"/>
    <w:rsid w:val="00E30920"/>
    <w:rsid w:val="00E309C7"/>
    <w:rsid w:val="00E30A90"/>
    <w:rsid w:val="00E30C8A"/>
    <w:rsid w:val="00E30D47"/>
    <w:rsid w:val="00E30F4F"/>
    <w:rsid w:val="00E31008"/>
    <w:rsid w:val="00E31068"/>
    <w:rsid w:val="00E3123A"/>
    <w:rsid w:val="00E312E5"/>
    <w:rsid w:val="00E31699"/>
    <w:rsid w:val="00E31B79"/>
    <w:rsid w:val="00E31CB7"/>
    <w:rsid w:val="00E31CC1"/>
    <w:rsid w:val="00E320A8"/>
    <w:rsid w:val="00E32715"/>
    <w:rsid w:val="00E32844"/>
    <w:rsid w:val="00E32C72"/>
    <w:rsid w:val="00E32D36"/>
    <w:rsid w:val="00E32D82"/>
    <w:rsid w:val="00E32E13"/>
    <w:rsid w:val="00E32E22"/>
    <w:rsid w:val="00E3314E"/>
    <w:rsid w:val="00E33184"/>
    <w:rsid w:val="00E334B8"/>
    <w:rsid w:val="00E335BC"/>
    <w:rsid w:val="00E3389A"/>
    <w:rsid w:val="00E33A98"/>
    <w:rsid w:val="00E33C3F"/>
    <w:rsid w:val="00E33C76"/>
    <w:rsid w:val="00E34523"/>
    <w:rsid w:val="00E34B17"/>
    <w:rsid w:val="00E34E04"/>
    <w:rsid w:val="00E35105"/>
    <w:rsid w:val="00E3511E"/>
    <w:rsid w:val="00E35FC8"/>
    <w:rsid w:val="00E36754"/>
    <w:rsid w:val="00E36B5F"/>
    <w:rsid w:val="00E36F8A"/>
    <w:rsid w:val="00E37027"/>
    <w:rsid w:val="00E37035"/>
    <w:rsid w:val="00E37394"/>
    <w:rsid w:val="00E37482"/>
    <w:rsid w:val="00E374E7"/>
    <w:rsid w:val="00E37561"/>
    <w:rsid w:val="00E37A6A"/>
    <w:rsid w:val="00E37CC3"/>
    <w:rsid w:val="00E40479"/>
    <w:rsid w:val="00E405ED"/>
    <w:rsid w:val="00E408F2"/>
    <w:rsid w:val="00E40A1D"/>
    <w:rsid w:val="00E40B38"/>
    <w:rsid w:val="00E40FB5"/>
    <w:rsid w:val="00E41233"/>
    <w:rsid w:val="00E41790"/>
    <w:rsid w:val="00E4186D"/>
    <w:rsid w:val="00E41884"/>
    <w:rsid w:val="00E4192C"/>
    <w:rsid w:val="00E41C62"/>
    <w:rsid w:val="00E41DF6"/>
    <w:rsid w:val="00E420CB"/>
    <w:rsid w:val="00E4281D"/>
    <w:rsid w:val="00E42BB9"/>
    <w:rsid w:val="00E42FB9"/>
    <w:rsid w:val="00E43C83"/>
    <w:rsid w:val="00E4403B"/>
    <w:rsid w:val="00E44142"/>
    <w:rsid w:val="00E44577"/>
    <w:rsid w:val="00E446FD"/>
    <w:rsid w:val="00E4499C"/>
    <w:rsid w:val="00E451B6"/>
    <w:rsid w:val="00E454AD"/>
    <w:rsid w:val="00E455C8"/>
    <w:rsid w:val="00E458B2"/>
    <w:rsid w:val="00E45E3E"/>
    <w:rsid w:val="00E46089"/>
    <w:rsid w:val="00E4671A"/>
    <w:rsid w:val="00E47016"/>
    <w:rsid w:val="00E474DE"/>
    <w:rsid w:val="00E477C2"/>
    <w:rsid w:val="00E47920"/>
    <w:rsid w:val="00E5019C"/>
    <w:rsid w:val="00E51087"/>
    <w:rsid w:val="00E51311"/>
    <w:rsid w:val="00E51848"/>
    <w:rsid w:val="00E51D11"/>
    <w:rsid w:val="00E52056"/>
    <w:rsid w:val="00E52222"/>
    <w:rsid w:val="00E522E3"/>
    <w:rsid w:val="00E52725"/>
    <w:rsid w:val="00E52841"/>
    <w:rsid w:val="00E52FF6"/>
    <w:rsid w:val="00E530E1"/>
    <w:rsid w:val="00E532BD"/>
    <w:rsid w:val="00E53412"/>
    <w:rsid w:val="00E538E6"/>
    <w:rsid w:val="00E53D9D"/>
    <w:rsid w:val="00E53F98"/>
    <w:rsid w:val="00E540FF"/>
    <w:rsid w:val="00E54446"/>
    <w:rsid w:val="00E54704"/>
    <w:rsid w:val="00E55364"/>
    <w:rsid w:val="00E55623"/>
    <w:rsid w:val="00E55753"/>
    <w:rsid w:val="00E55CB7"/>
    <w:rsid w:val="00E55D84"/>
    <w:rsid w:val="00E55DC8"/>
    <w:rsid w:val="00E55DFE"/>
    <w:rsid w:val="00E56479"/>
    <w:rsid w:val="00E567C7"/>
    <w:rsid w:val="00E56821"/>
    <w:rsid w:val="00E569DE"/>
    <w:rsid w:val="00E56F73"/>
    <w:rsid w:val="00E57111"/>
    <w:rsid w:val="00E574A7"/>
    <w:rsid w:val="00E577CB"/>
    <w:rsid w:val="00E57BEF"/>
    <w:rsid w:val="00E6019E"/>
    <w:rsid w:val="00E603AF"/>
    <w:rsid w:val="00E60420"/>
    <w:rsid w:val="00E604FA"/>
    <w:rsid w:val="00E606F4"/>
    <w:rsid w:val="00E606FE"/>
    <w:rsid w:val="00E60FAB"/>
    <w:rsid w:val="00E6133D"/>
    <w:rsid w:val="00E6133F"/>
    <w:rsid w:val="00E6146A"/>
    <w:rsid w:val="00E614F7"/>
    <w:rsid w:val="00E615BD"/>
    <w:rsid w:val="00E61F48"/>
    <w:rsid w:val="00E62433"/>
    <w:rsid w:val="00E625AF"/>
    <w:rsid w:val="00E62A1B"/>
    <w:rsid w:val="00E62A22"/>
    <w:rsid w:val="00E62A47"/>
    <w:rsid w:val="00E62B98"/>
    <w:rsid w:val="00E62C01"/>
    <w:rsid w:val="00E62CAF"/>
    <w:rsid w:val="00E62F16"/>
    <w:rsid w:val="00E62F66"/>
    <w:rsid w:val="00E631E5"/>
    <w:rsid w:val="00E6329E"/>
    <w:rsid w:val="00E638CD"/>
    <w:rsid w:val="00E6390E"/>
    <w:rsid w:val="00E63980"/>
    <w:rsid w:val="00E63D56"/>
    <w:rsid w:val="00E64FA9"/>
    <w:rsid w:val="00E65018"/>
    <w:rsid w:val="00E65948"/>
    <w:rsid w:val="00E659F9"/>
    <w:rsid w:val="00E66387"/>
    <w:rsid w:val="00E664A4"/>
    <w:rsid w:val="00E66BBD"/>
    <w:rsid w:val="00E66CF4"/>
    <w:rsid w:val="00E66EAB"/>
    <w:rsid w:val="00E670E6"/>
    <w:rsid w:val="00E67339"/>
    <w:rsid w:val="00E6734C"/>
    <w:rsid w:val="00E673B7"/>
    <w:rsid w:val="00E67560"/>
    <w:rsid w:val="00E67B4D"/>
    <w:rsid w:val="00E67B50"/>
    <w:rsid w:val="00E67EF0"/>
    <w:rsid w:val="00E705EE"/>
    <w:rsid w:val="00E7092F"/>
    <w:rsid w:val="00E70B72"/>
    <w:rsid w:val="00E70BC8"/>
    <w:rsid w:val="00E70C4F"/>
    <w:rsid w:val="00E70E52"/>
    <w:rsid w:val="00E70FDA"/>
    <w:rsid w:val="00E7107F"/>
    <w:rsid w:val="00E7132D"/>
    <w:rsid w:val="00E713BF"/>
    <w:rsid w:val="00E71BDD"/>
    <w:rsid w:val="00E71F04"/>
    <w:rsid w:val="00E721F6"/>
    <w:rsid w:val="00E722A2"/>
    <w:rsid w:val="00E72681"/>
    <w:rsid w:val="00E729B9"/>
    <w:rsid w:val="00E72A0F"/>
    <w:rsid w:val="00E730FA"/>
    <w:rsid w:val="00E730FF"/>
    <w:rsid w:val="00E738E7"/>
    <w:rsid w:val="00E742E4"/>
    <w:rsid w:val="00E7464A"/>
    <w:rsid w:val="00E746A4"/>
    <w:rsid w:val="00E74A37"/>
    <w:rsid w:val="00E74CAE"/>
    <w:rsid w:val="00E74F8A"/>
    <w:rsid w:val="00E752A9"/>
    <w:rsid w:val="00E75529"/>
    <w:rsid w:val="00E75D96"/>
    <w:rsid w:val="00E75DC3"/>
    <w:rsid w:val="00E76B6E"/>
    <w:rsid w:val="00E76D6E"/>
    <w:rsid w:val="00E76DCC"/>
    <w:rsid w:val="00E7757E"/>
    <w:rsid w:val="00E7789E"/>
    <w:rsid w:val="00E77A75"/>
    <w:rsid w:val="00E77B23"/>
    <w:rsid w:val="00E77B96"/>
    <w:rsid w:val="00E77BE5"/>
    <w:rsid w:val="00E77C14"/>
    <w:rsid w:val="00E77D56"/>
    <w:rsid w:val="00E77FBE"/>
    <w:rsid w:val="00E80364"/>
    <w:rsid w:val="00E80511"/>
    <w:rsid w:val="00E808FD"/>
    <w:rsid w:val="00E80C27"/>
    <w:rsid w:val="00E8108F"/>
    <w:rsid w:val="00E81C1A"/>
    <w:rsid w:val="00E81C1F"/>
    <w:rsid w:val="00E822F5"/>
    <w:rsid w:val="00E82AA4"/>
    <w:rsid w:val="00E82F03"/>
    <w:rsid w:val="00E832CF"/>
    <w:rsid w:val="00E83455"/>
    <w:rsid w:val="00E834AA"/>
    <w:rsid w:val="00E836FD"/>
    <w:rsid w:val="00E83C04"/>
    <w:rsid w:val="00E83D37"/>
    <w:rsid w:val="00E83F2F"/>
    <w:rsid w:val="00E843F7"/>
    <w:rsid w:val="00E846F7"/>
    <w:rsid w:val="00E84FD5"/>
    <w:rsid w:val="00E850D4"/>
    <w:rsid w:val="00E8551B"/>
    <w:rsid w:val="00E85C9C"/>
    <w:rsid w:val="00E85DE8"/>
    <w:rsid w:val="00E86E7A"/>
    <w:rsid w:val="00E87263"/>
    <w:rsid w:val="00E8727C"/>
    <w:rsid w:val="00E878A3"/>
    <w:rsid w:val="00E87920"/>
    <w:rsid w:val="00E900A4"/>
    <w:rsid w:val="00E902E8"/>
    <w:rsid w:val="00E9033D"/>
    <w:rsid w:val="00E9041B"/>
    <w:rsid w:val="00E9076C"/>
    <w:rsid w:val="00E907E4"/>
    <w:rsid w:val="00E90EAB"/>
    <w:rsid w:val="00E90F41"/>
    <w:rsid w:val="00E91398"/>
    <w:rsid w:val="00E9159F"/>
    <w:rsid w:val="00E91768"/>
    <w:rsid w:val="00E91897"/>
    <w:rsid w:val="00E91BF4"/>
    <w:rsid w:val="00E91E02"/>
    <w:rsid w:val="00E92398"/>
    <w:rsid w:val="00E924C1"/>
    <w:rsid w:val="00E92777"/>
    <w:rsid w:val="00E92A74"/>
    <w:rsid w:val="00E92CBF"/>
    <w:rsid w:val="00E92E0A"/>
    <w:rsid w:val="00E935F5"/>
    <w:rsid w:val="00E9381C"/>
    <w:rsid w:val="00E93CFD"/>
    <w:rsid w:val="00E93DA6"/>
    <w:rsid w:val="00E94584"/>
    <w:rsid w:val="00E9494F"/>
    <w:rsid w:val="00E94D45"/>
    <w:rsid w:val="00E94EC8"/>
    <w:rsid w:val="00E959CB"/>
    <w:rsid w:val="00E95C26"/>
    <w:rsid w:val="00E95CEA"/>
    <w:rsid w:val="00E962EC"/>
    <w:rsid w:val="00E963CD"/>
    <w:rsid w:val="00E967F1"/>
    <w:rsid w:val="00E971B1"/>
    <w:rsid w:val="00E976D8"/>
    <w:rsid w:val="00E97972"/>
    <w:rsid w:val="00E97FE2"/>
    <w:rsid w:val="00EA08E8"/>
    <w:rsid w:val="00EA0F7E"/>
    <w:rsid w:val="00EA118E"/>
    <w:rsid w:val="00EA13BF"/>
    <w:rsid w:val="00EA1457"/>
    <w:rsid w:val="00EA1903"/>
    <w:rsid w:val="00EA19A5"/>
    <w:rsid w:val="00EA1A5A"/>
    <w:rsid w:val="00EA1B3C"/>
    <w:rsid w:val="00EA24AE"/>
    <w:rsid w:val="00EA258D"/>
    <w:rsid w:val="00EA2CF5"/>
    <w:rsid w:val="00EA2FC0"/>
    <w:rsid w:val="00EA3085"/>
    <w:rsid w:val="00EA33C9"/>
    <w:rsid w:val="00EA3446"/>
    <w:rsid w:val="00EA3CD8"/>
    <w:rsid w:val="00EA3F5C"/>
    <w:rsid w:val="00EA40BC"/>
    <w:rsid w:val="00EA4397"/>
    <w:rsid w:val="00EA450B"/>
    <w:rsid w:val="00EA4816"/>
    <w:rsid w:val="00EA48E1"/>
    <w:rsid w:val="00EA499D"/>
    <w:rsid w:val="00EA4D73"/>
    <w:rsid w:val="00EA4E8E"/>
    <w:rsid w:val="00EA4F02"/>
    <w:rsid w:val="00EA4FFF"/>
    <w:rsid w:val="00EA5245"/>
    <w:rsid w:val="00EA53F7"/>
    <w:rsid w:val="00EA54AD"/>
    <w:rsid w:val="00EA5888"/>
    <w:rsid w:val="00EA58A0"/>
    <w:rsid w:val="00EA5AE3"/>
    <w:rsid w:val="00EA5C8C"/>
    <w:rsid w:val="00EA5ECB"/>
    <w:rsid w:val="00EA5F70"/>
    <w:rsid w:val="00EA62F8"/>
    <w:rsid w:val="00EA6AA1"/>
    <w:rsid w:val="00EA6B56"/>
    <w:rsid w:val="00EA6D49"/>
    <w:rsid w:val="00EA73DC"/>
    <w:rsid w:val="00EA7D0C"/>
    <w:rsid w:val="00EA7F0B"/>
    <w:rsid w:val="00EB022C"/>
    <w:rsid w:val="00EB0CCF"/>
    <w:rsid w:val="00EB0DA5"/>
    <w:rsid w:val="00EB0DAE"/>
    <w:rsid w:val="00EB114C"/>
    <w:rsid w:val="00EB1720"/>
    <w:rsid w:val="00EB18C0"/>
    <w:rsid w:val="00EB1A28"/>
    <w:rsid w:val="00EB1B2E"/>
    <w:rsid w:val="00EB1E84"/>
    <w:rsid w:val="00EB20F4"/>
    <w:rsid w:val="00EB2329"/>
    <w:rsid w:val="00EB2447"/>
    <w:rsid w:val="00EB2490"/>
    <w:rsid w:val="00EB26EF"/>
    <w:rsid w:val="00EB2737"/>
    <w:rsid w:val="00EB2952"/>
    <w:rsid w:val="00EB2C1E"/>
    <w:rsid w:val="00EB3F05"/>
    <w:rsid w:val="00EB4207"/>
    <w:rsid w:val="00EB4D7E"/>
    <w:rsid w:val="00EB4FDF"/>
    <w:rsid w:val="00EB506D"/>
    <w:rsid w:val="00EB53CC"/>
    <w:rsid w:val="00EB56C4"/>
    <w:rsid w:val="00EB5955"/>
    <w:rsid w:val="00EB626F"/>
    <w:rsid w:val="00EB6662"/>
    <w:rsid w:val="00EB6903"/>
    <w:rsid w:val="00EB6B3E"/>
    <w:rsid w:val="00EB6E71"/>
    <w:rsid w:val="00EB6F12"/>
    <w:rsid w:val="00EB6FF7"/>
    <w:rsid w:val="00EB7749"/>
    <w:rsid w:val="00EC00A2"/>
    <w:rsid w:val="00EC05E1"/>
    <w:rsid w:val="00EC07BA"/>
    <w:rsid w:val="00EC08E4"/>
    <w:rsid w:val="00EC0A15"/>
    <w:rsid w:val="00EC1186"/>
    <w:rsid w:val="00EC16CD"/>
    <w:rsid w:val="00EC184E"/>
    <w:rsid w:val="00EC1D37"/>
    <w:rsid w:val="00EC20F4"/>
    <w:rsid w:val="00EC23D8"/>
    <w:rsid w:val="00EC25BB"/>
    <w:rsid w:val="00EC2A79"/>
    <w:rsid w:val="00EC2B0C"/>
    <w:rsid w:val="00EC2FAC"/>
    <w:rsid w:val="00EC3785"/>
    <w:rsid w:val="00EC3B2D"/>
    <w:rsid w:val="00EC3E5A"/>
    <w:rsid w:val="00EC40B8"/>
    <w:rsid w:val="00EC40EB"/>
    <w:rsid w:val="00EC453E"/>
    <w:rsid w:val="00EC458A"/>
    <w:rsid w:val="00EC485C"/>
    <w:rsid w:val="00EC4DE4"/>
    <w:rsid w:val="00EC51A1"/>
    <w:rsid w:val="00EC531B"/>
    <w:rsid w:val="00EC5B57"/>
    <w:rsid w:val="00EC6178"/>
    <w:rsid w:val="00EC6288"/>
    <w:rsid w:val="00EC6320"/>
    <w:rsid w:val="00EC65DD"/>
    <w:rsid w:val="00EC6A56"/>
    <w:rsid w:val="00EC7166"/>
    <w:rsid w:val="00EC75D3"/>
    <w:rsid w:val="00EC7E78"/>
    <w:rsid w:val="00ED06AD"/>
    <w:rsid w:val="00ED0BED"/>
    <w:rsid w:val="00ED1232"/>
    <w:rsid w:val="00ED1A7F"/>
    <w:rsid w:val="00ED1C5D"/>
    <w:rsid w:val="00ED20BB"/>
    <w:rsid w:val="00ED22C5"/>
    <w:rsid w:val="00ED267C"/>
    <w:rsid w:val="00ED307B"/>
    <w:rsid w:val="00ED3503"/>
    <w:rsid w:val="00ED40E1"/>
    <w:rsid w:val="00ED4A2E"/>
    <w:rsid w:val="00ED4B4F"/>
    <w:rsid w:val="00ED4DFC"/>
    <w:rsid w:val="00ED4E42"/>
    <w:rsid w:val="00ED54D7"/>
    <w:rsid w:val="00ED5E54"/>
    <w:rsid w:val="00ED69D8"/>
    <w:rsid w:val="00ED6C38"/>
    <w:rsid w:val="00ED6CFE"/>
    <w:rsid w:val="00ED7786"/>
    <w:rsid w:val="00ED77F5"/>
    <w:rsid w:val="00ED7CFF"/>
    <w:rsid w:val="00ED7EA9"/>
    <w:rsid w:val="00EE00E5"/>
    <w:rsid w:val="00EE014A"/>
    <w:rsid w:val="00EE0B31"/>
    <w:rsid w:val="00EE1E9C"/>
    <w:rsid w:val="00EE200B"/>
    <w:rsid w:val="00EE2083"/>
    <w:rsid w:val="00EE20A8"/>
    <w:rsid w:val="00EE226D"/>
    <w:rsid w:val="00EE23BC"/>
    <w:rsid w:val="00EE24E1"/>
    <w:rsid w:val="00EE25D9"/>
    <w:rsid w:val="00EE2876"/>
    <w:rsid w:val="00EE3458"/>
    <w:rsid w:val="00EE36D8"/>
    <w:rsid w:val="00EE37BA"/>
    <w:rsid w:val="00EE3E87"/>
    <w:rsid w:val="00EE433B"/>
    <w:rsid w:val="00EE434D"/>
    <w:rsid w:val="00EE46D0"/>
    <w:rsid w:val="00EE476D"/>
    <w:rsid w:val="00EE49A6"/>
    <w:rsid w:val="00EE4C73"/>
    <w:rsid w:val="00EE4F2E"/>
    <w:rsid w:val="00EE502F"/>
    <w:rsid w:val="00EE54C6"/>
    <w:rsid w:val="00EE5562"/>
    <w:rsid w:val="00EE59FC"/>
    <w:rsid w:val="00EE5ACC"/>
    <w:rsid w:val="00EE5C23"/>
    <w:rsid w:val="00EE6462"/>
    <w:rsid w:val="00EE67FE"/>
    <w:rsid w:val="00EE6BDD"/>
    <w:rsid w:val="00EE6EA8"/>
    <w:rsid w:val="00EE703E"/>
    <w:rsid w:val="00EE7105"/>
    <w:rsid w:val="00EE7375"/>
    <w:rsid w:val="00EE76F0"/>
    <w:rsid w:val="00EE795F"/>
    <w:rsid w:val="00EE7B1C"/>
    <w:rsid w:val="00EF02BD"/>
    <w:rsid w:val="00EF070A"/>
    <w:rsid w:val="00EF0965"/>
    <w:rsid w:val="00EF0986"/>
    <w:rsid w:val="00EF123E"/>
    <w:rsid w:val="00EF1244"/>
    <w:rsid w:val="00EF1350"/>
    <w:rsid w:val="00EF13A5"/>
    <w:rsid w:val="00EF1786"/>
    <w:rsid w:val="00EF17B9"/>
    <w:rsid w:val="00EF18DA"/>
    <w:rsid w:val="00EF1EB9"/>
    <w:rsid w:val="00EF2028"/>
    <w:rsid w:val="00EF274D"/>
    <w:rsid w:val="00EF2A0D"/>
    <w:rsid w:val="00EF3436"/>
    <w:rsid w:val="00EF34F6"/>
    <w:rsid w:val="00EF355D"/>
    <w:rsid w:val="00EF3725"/>
    <w:rsid w:val="00EF37B5"/>
    <w:rsid w:val="00EF388A"/>
    <w:rsid w:val="00EF3B9C"/>
    <w:rsid w:val="00EF3CFD"/>
    <w:rsid w:val="00EF3D14"/>
    <w:rsid w:val="00EF3EEE"/>
    <w:rsid w:val="00EF3F88"/>
    <w:rsid w:val="00EF41B7"/>
    <w:rsid w:val="00EF499A"/>
    <w:rsid w:val="00EF4E97"/>
    <w:rsid w:val="00EF58E5"/>
    <w:rsid w:val="00EF5B91"/>
    <w:rsid w:val="00EF5DFE"/>
    <w:rsid w:val="00EF61D0"/>
    <w:rsid w:val="00EF61FC"/>
    <w:rsid w:val="00EF7388"/>
    <w:rsid w:val="00EF75A6"/>
    <w:rsid w:val="00EF76F8"/>
    <w:rsid w:val="00EF795C"/>
    <w:rsid w:val="00EF7C48"/>
    <w:rsid w:val="00F00315"/>
    <w:rsid w:val="00F0045E"/>
    <w:rsid w:val="00F006D2"/>
    <w:rsid w:val="00F00724"/>
    <w:rsid w:val="00F00774"/>
    <w:rsid w:val="00F0081B"/>
    <w:rsid w:val="00F00A70"/>
    <w:rsid w:val="00F00B7A"/>
    <w:rsid w:val="00F00D9B"/>
    <w:rsid w:val="00F01298"/>
    <w:rsid w:val="00F012A0"/>
    <w:rsid w:val="00F01968"/>
    <w:rsid w:val="00F01B3E"/>
    <w:rsid w:val="00F01F95"/>
    <w:rsid w:val="00F0256E"/>
    <w:rsid w:val="00F030DD"/>
    <w:rsid w:val="00F0339B"/>
    <w:rsid w:val="00F03408"/>
    <w:rsid w:val="00F03681"/>
    <w:rsid w:val="00F03E2F"/>
    <w:rsid w:val="00F04555"/>
    <w:rsid w:val="00F04731"/>
    <w:rsid w:val="00F0481B"/>
    <w:rsid w:val="00F04D9B"/>
    <w:rsid w:val="00F05533"/>
    <w:rsid w:val="00F0588E"/>
    <w:rsid w:val="00F05AB2"/>
    <w:rsid w:val="00F05AB5"/>
    <w:rsid w:val="00F05BC9"/>
    <w:rsid w:val="00F0608B"/>
    <w:rsid w:val="00F0659C"/>
    <w:rsid w:val="00F065FA"/>
    <w:rsid w:val="00F06776"/>
    <w:rsid w:val="00F06CDD"/>
    <w:rsid w:val="00F06D5D"/>
    <w:rsid w:val="00F103ED"/>
    <w:rsid w:val="00F10A31"/>
    <w:rsid w:val="00F1139F"/>
    <w:rsid w:val="00F113DC"/>
    <w:rsid w:val="00F11629"/>
    <w:rsid w:val="00F116E1"/>
    <w:rsid w:val="00F118F5"/>
    <w:rsid w:val="00F11AA5"/>
    <w:rsid w:val="00F11E55"/>
    <w:rsid w:val="00F11F89"/>
    <w:rsid w:val="00F1210C"/>
    <w:rsid w:val="00F128DE"/>
    <w:rsid w:val="00F129A2"/>
    <w:rsid w:val="00F12AF2"/>
    <w:rsid w:val="00F12B5D"/>
    <w:rsid w:val="00F12DF4"/>
    <w:rsid w:val="00F13400"/>
    <w:rsid w:val="00F13708"/>
    <w:rsid w:val="00F13ACD"/>
    <w:rsid w:val="00F1411B"/>
    <w:rsid w:val="00F148AE"/>
    <w:rsid w:val="00F149A9"/>
    <w:rsid w:val="00F14B86"/>
    <w:rsid w:val="00F14C07"/>
    <w:rsid w:val="00F14C0C"/>
    <w:rsid w:val="00F14CD6"/>
    <w:rsid w:val="00F14CF7"/>
    <w:rsid w:val="00F14EB1"/>
    <w:rsid w:val="00F15167"/>
    <w:rsid w:val="00F154D7"/>
    <w:rsid w:val="00F1585C"/>
    <w:rsid w:val="00F15CEA"/>
    <w:rsid w:val="00F15FFE"/>
    <w:rsid w:val="00F16901"/>
    <w:rsid w:val="00F16B69"/>
    <w:rsid w:val="00F16FA4"/>
    <w:rsid w:val="00F17085"/>
    <w:rsid w:val="00F170D8"/>
    <w:rsid w:val="00F17267"/>
    <w:rsid w:val="00F17BAA"/>
    <w:rsid w:val="00F20697"/>
    <w:rsid w:val="00F20B66"/>
    <w:rsid w:val="00F20C05"/>
    <w:rsid w:val="00F20DA4"/>
    <w:rsid w:val="00F20E43"/>
    <w:rsid w:val="00F211C9"/>
    <w:rsid w:val="00F21448"/>
    <w:rsid w:val="00F215D1"/>
    <w:rsid w:val="00F2210C"/>
    <w:rsid w:val="00F22C32"/>
    <w:rsid w:val="00F22F2A"/>
    <w:rsid w:val="00F23087"/>
    <w:rsid w:val="00F231FB"/>
    <w:rsid w:val="00F23BCB"/>
    <w:rsid w:val="00F2407D"/>
    <w:rsid w:val="00F240FA"/>
    <w:rsid w:val="00F243C4"/>
    <w:rsid w:val="00F243FF"/>
    <w:rsid w:val="00F244F6"/>
    <w:rsid w:val="00F24886"/>
    <w:rsid w:val="00F24FF2"/>
    <w:rsid w:val="00F2515E"/>
    <w:rsid w:val="00F25199"/>
    <w:rsid w:val="00F251C3"/>
    <w:rsid w:val="00F254D8"/>
    <w:rsid w:val="00F25953"/>
    <w:rsid w:val="00F25AAA"/>
    <w:rsid w:val="00F25CD3"/>
    <w:rsid w:val="00F268BF"/>
    <w:rsid w:val="00F26A46"/>
    <w:rsid w:val="00F26ED5"/>
    <w:rsid w:val="00F26F86"/>
    <w:rsid w:val="00F2751A"/>
    <w:rsid w:val="00F27544"/>
    <w:rsid w:val="00F2780A"/>
    <w:rsid w:val="00F30186"/>
    <w:rsid w:val="00F304A4"/>
    <w:rsid w:val="00F306FF"/>
    <w:rsid w:val="00F30B28"/>
    <w:rsid w:val="00F314EF"/>
    <w:rsid w:val="00F3167E"/>
    <w:rsid w:val="00F31B32"/>
    <w:rsid w:val="00F320E3"/>
    <w:rsid w:val="00F3265E"/>
    <w:rsid w:val="00F32C1D"/>
    <w:rsid w:val="00F332B2"/>
    <w:rsid w:val="00F33C57"/>
    <w:rsid w:val="00F33DD2"/>
    <w:rsid w:val="00F33E94"/>
    <w:rsid w:val="00F33F0D"/>
    <w:rsid w:val="00F34852"/>
    <w:rsid w:val="00F34D2E"/>
    <w:rsid w:val="00F350BF"/>
    <w:rsid w:val="00F352BD"/>
    <w:rsid w:val="00F357B7"/>
    <w:rsid w:val="00F357CE"/>
    <w:rsid w:val="00F3589E"/>
    <w:rsid w:val="00F35931"/>
    <w:rsid w:val="00F35DAE"/>
    <w:rsid w:val="00F35E2B"/>
    <w:rsid w:val="00F367CF"/>
    <w:rsid w:val="00F368F2"/>
    <w:rsid w:val="00F36C7D"/>
    <w:rsid w:val="00F36FB5"/>
    <w:rsid w:val="00F3715D"/>
    <w:rsid w:val="00F374F7"/>
    <w:rsid w:val="00F3784C"/>
    <w:rsid w:val="00F378EF"/>
    <w:rsid w:val="00F37A09"/>
    <w:rsid w:val="00F404BF"/>
    <w:rsid w:val="00F404D3"/>
    <w:rsid w:val="00F405B4"/>
    <w:rsid w:val="00F40EB5"/>
    <w:rsid w:val="00F40F31"/>
    <w:rsid w:val="00F41112"/>
    <w:rsid w:val="00F41380"/>
    <w:rsid w:val="00F41421"/>
    <w:rsid w:val="00F41489"/>
    <w:rsid w:val="00F4174A"/>
    <w:rsid w:val="00F41886"/>
    <w:rsid w:val="00F418DD"/>
    <w:rsid w:val="00F419C3"/>
    <w:rsid w:val="00F41A80"/>
    <w:rsid w:val="00F41C4B"/>
    <w:rsid w:val="00F41D77"/>
    <w:rsid w:val="00F42207"/>
    <w:rsid w:val="00F422BC"/>
    <w:rsid w:val="00F4244B"/>
    <w:rsid w:val="00F42798"/>
    <w:rsid w:val="00F4311B"/>
    <w:rsid w:val="00F43206"/>
    <w:rsid w:val="00F4322A"/>
    <w:rsid w:val="00F4343F"/>
    <w:rsid w:val="00F435B6"/>
    <w:rsid w:val="00F437F2"/>
    <w:rsid w:val="00F43849"/>
    <w:rsid w:val="00F4392C"/>
    <w:rsid w:val="00F43E3C"/>
    <w:rsid w:val="00F44404"/>
    <w:rsid w:val="00F4452C"/>
    <w:rsid w:val="00F44691"/>
    <w:rsid w:val="00F448F9"/>
    <w:rsid w:val="00F4494E"/>
    <w:rsid w:val="00F44EC7"/>
    <w:rsid w:val="00F44F4A"/>
    <w:rsid w:val="00F452E7"/>
    <w:rsid w:val="00F45E3F"/>
    <w:rsid w:val="00F4670C"/>
    <w:rsid w:val="00F467C0"/>
    <w:rsid w:val="00F47C6B"/>
    <w:rsid w:val="00F5002C"/>
    <w:rsid w:val="00F503A8"/>
    <w:rsid w:val="00F503D2"/>
    <w:rsid w:val="00F505AC"/>
    <w:rsid w:val="00F505CD"/>
    <w:rsid w:val="00F50603"/>
    <w:rsid w:val="00F50C03"/>
    <w:rsid w:val="00F50C0F"/>
    <w:rsid w:val="00F50E6A"/>
    <w:rsid w:val="00F50F47"/>
    <w:rsid w:val="00F512BE"/>
    <w:rsid w:val="00F5154E"/>
    <w:rsid w:val="00F51899"/>
    <w:rsid w:val="00F5195A"/>
    <w:rsid w:val="00F51E43"/>
    <w:rsid w:val="00F51F74"/>
    <w:rsid w:val="00F52068"/>
    <w:rsid w:val="00F523D3"/>
    <w:rsid w:val="00F5253A"/>
    <w:rsid w:val="00F5325B"/>
    <w:rsid w:val="00F53585"/>
    <w:rsid w:val="00F53AF0"/>
    <w:rsid w:val="00F53C00"/>
    <w:rsid w:val="00F53F4E"/>
    <w:rsid w:val="00F54084"/>
    <w:rsid w:val="00F544DD"/>
    <w:rsid w:val="00F54805"/>
    <w:rsid w:val="00F552F9"/>
    <w:rsid w:val="00F55337"/>
    <w:rsid w:val="00F554DA"/>
    <w:rsid w:val="00F55BB0"/>
    <w:rsid w:val="00F55F0A"/>
    <w:rsid w:val="00F560C8"/>
    <w:rsid w:val="00F562DF"/>
    <w:rsid w:val="00F5636E"/>
    <w:rsid w:val="00F5652C"/>
    <w:rsid w:val="00F56610"/>
    <w:rsid w:val="00F568F6"/>
    <w:rsid w:val="00F56BEF"/>
    <w:rsid w:val="00F57193"/>
    <w:rsid w:val="00F57843"/>
    <w:rsid w:val="00F578D7"/>
    <w:rsid w:val="00F57C49"/>
    <w:rsid w:val="00F57D6B"/>
    <w:rsid w:val="00F608A9"/>
    <w:rsid w:val="00F609BF"/>
    <w:rsid w:val="00F60A98"/>
    <w:rsid w:val="00F60FD9"/>
    <w:rsid w:val="00F618C5"/>
    <w:rsid w:val="00F619E0"/>
    <w:rsid w:val="00F61A38"/>
    <w:rsid w:val="00F61B4D"/>
    <w:rsid w:val="00F61B54"/>
    <w:rsid w:val="00F622E5"/>
    <w:rsid w:val="00F626FF"/>
    <w:rsid w:val="00F62A13"/>
    <w:rsid w:val="00F63036"/>
    <w:rsid w:val="00F6380C"/>
    <w:rsid w:val="00F63E23"/>
    <w:rsid w:val="00F64675"/>
    <w:rsid w:val="00F647C8"/>
    <w:rsid w:val="00F64D24"/>
    <w:rsid w:val="00F64E0F"/>
    <w:rsid w:val="00F65102"/>
    <w:rsid w:val="00F652AD"/>
    <w:rsid w:val="00F652B8"/>
    <w:rsid w:val="00F654D5"/>
    <w:rsid w:val="00F657EC"/>
    <w:rsid w:val="00F65D31"/>
    <w:rsid w:val="00F666A7"/>
    <w:rsid w:val="00F66A2E"/>
    <w:rsid w:val="00F66D0C"/>
    <w:rsid w:val="00F66D58"/>
    <w:rsid w:val="00F67F09"/>
    <w:rsid w:val="00F706A0"/>
    <w:rsid w:val="00F7077D"/>
    <w:rsid w:val="00F709F5"/>
    <w:rsid w:val="00F717BF"/>
    <w:rsid w:val="00F717CC"/>
    <w:rsid w:val="00F719D1"/>
    <w:rsid w:val="00F720A0"/>
    <w:rsid w:val="00F720B7"/>
    <w:rsid w:val="00F72139"/>
    <w:rsid w:val="00F72319"/>
    <w:rsid w:val="00F724F5"/>
    <w:rsid w:val="00F726D4"/>
    <w:rsid w:val="00F72925"/>
    <w:rsid w:val="00F72F11"/>
    <w:rsid w:val="00F72F51"/>
    <w:rsid w:val="00F733A2"/>
    <w:rsid w:val="00F73447"/>
    <w:rsid w:val="00F73999"/>
    <w:rsid w:val="00F73AB3"/>
    <w:rsid w:val="00F73AB7"/>
    <w:rsid w:val="00F7566A"/>
    <w:rsid w:val="00F76268"/>
    <w:rsid w:val="00F76561"/>
    <w:rsid w:val="00F76CF3"/>
    <w:rsid w:val="00F76CF4"/>
    <w:rsid w:val="00F76DA3"/>
    <w:rsid w:val="00F7718B"/>
    <w:rsid w:val="00F77BCA"/>
    <w:rsid w:val="00F77E7B"/>
    <w:rsid w:val="00F80519"/>
    <w:rsid w:val="00F805CA"/>
    <w:rsid w:val="00F807A4"/>
    <w:rsid w:val="00F8099E"/>
    <w:rsid w:val="00F809ED"/>
    <w:rsid w:val="00F80DD8"/>
    <w:rsid w:val="00F81288"/>
    <w:rsid w:val="00F81914"/>
    <w:rsid w:val="00F81B29"/>
    <w:rsid w:val="00F81B7D"/>
    <w:rsid w:val="00F8215F"/>
    <w:rsid w:val="00F824D5"/>
    <w:rsid w:val="00F82628"/>
    <w:rsid w:val="00F82A0E"/>
    <w:rsid w:val="00F82BC6"/>
    <w:rsid w:val="00F82D8E"/>
    <w:rsid w:val="00F82DE5"/>
    <w:rsid w:val="00F8321D"/>
    <w:rsid w:val="00F83461"/>
    <w:rsid w:val="00F83825"/>
    <w:rsid w:val="00F83883"/>
    <w:rsid w:val="00F83F7C"/>
    <w:rsid w:val="00F84162"/>
    <w:rsid w:val="00F8457A"/>
    <w:rsid w:val="00F84F77"/>
    <w:rsid w:val="00F85156"/>
    <w:rsid w:val="00F85165"/>
    <w:rsid w:val="00F8517B"/>
    <w:rsid w:val="00F853BE"/>
    <w:rsid w:val="00F855EF"/>
    <w:rsid w:val="00F8675D"/>
    <w:rsid w:val="00F86E2D"/>
    <w:rsid w:val="00F870B7"/>
    <w:rsid w:val="00F875A9"/>
    <w:rsid w:val="00F875EE"/>
    <w:rsid w:val="00F87B71"/>
    <w:rsid w:val="00F87E36"/>
    <w:rsid w:val="00F87EB0"/>
    <w:rsid w:val="00F87F8C"/>
    <w:rsid w:val="00F90408"/>
    <w:rsid w:val="00F9052C"/>
    <w:rsid w:val="00F90B0A"/>
    <w:rsid w:val="00F90EBF"/>
    <w:rsid w:val="00F9135D"/>
    <w:rsid w:val="00F915BE"/>
    <w:rsid w:val="00F9176D"/>
    <w:rsid w:val="00F91AD8"/>
    <w:rsid w:val="00F91B71"/>
    <w:rsid w:val="00F91BA8"/>
    <w:rsid w:val="00F9207A"/>
    <w:rsid w:val="00F920DB"/>
    <w:rsid w:val="00F922B7"/>
    <w:rsid w:val="00F922F2"/>
    <w:rsid w:val="00F924E5"/>
    <w:rsid w:val="00F9260F"/>
    <w:rsid w:val="00F9308E"/>
    <w:rsid w:val="00F93455"/>
    <w:rsid w:val="00F93740"/>
    <w:rsid w:val="00F93800"/>
    <w:rsid w:val="00F938D1"/>
    <w:rsid w:val="00F9404B"/>
    <w:rsid w:val="00F9493C"/>
    <w:rsid w:val="00F94DE3"/>
    <w:rsid w:val="00F95091"/>
    <w:rsid w:val="00F954F8"/>
    <w:rsid w:val="00F95B4E"/>
    <w:rsid w:val="00F95D20"/>
    <w:rsid w:val="00F95E64"/>
    <w:rsid w:val="00F960B8"/>
    <w:rsid w:val="00F96147"/>
    <w:rsid w:val="00F9649D"/>
    <w:rsid w:val="00F967C4"/>
    <w:rsid w:val="00F96A46"/>
    <w:rsid w:val="00F96BB8"/>
    <w:rsid w:val="00F973C6"/>
    <w:rsid w:val="00F97647"/>
    <w:rsid w:val="00F97724"/>
    <w:rsid w:val="00F97A19"/>
    <w:rsid w:val="00F97D72"/>
    <w:rsid w:val="00FA068B"/>
    <w:rsid w:val="00FA112C"/>
    <w:rsid w:val="00FA1973"/>
    <w:rsid w:val="00FA1B1B"/>
    <w:rsid w:val="00FA20F0"/>
    <w:rsid w:val="00FA2428"/>
    <w:rsid w:val="00FA2534"/>
    <w:rsid w:val="00FA25D7"/>
    <w:rsid w:val="00FA2BC2"/>
    <w:rsid w:val="00FA2D57"/>
    <w:rsid w:val="00FA313D"/>
    <w:rsid w:val="00FA37EA"/>
    <w:rsid w:val="00FA381E"/>
    <w:rsid w:val="00FA3AE0"/>
    <w:rsid w:val="00FA3DE3"/>
    <w:rsid w:val="00FA3F50"/>
    <w:rsid w:val="00FA46AF"/>
    <w:rsid w:val="00FA4826"/>
    <w:rsid w:val="00FA4A25"/>
    <w:rsid w:val="00FA4C5D"/>
    <w:rsid w:val="00FA52C8"/>
    <w:rsid w:val="00FA54B2"/>
    <w:rsid w:val="00FA5642"/>
    <w:rsid w:val="00FA5812"/>
    <w:rsid w:val="00FA59CD"/>
    <w:rsid w:val="00FA67AF"/>
    <w:rsid w:val="00FA73A9"/>
    <w:rsid w:val="00FA73E4"/>
    <w:rsid w:val="00FA7990"/>
    <w:rsid w:val="00FA79FD"/>
    <w:rsid w:val="00FA7A7E"/>
    <w:rsid w:val="00FA7CB7"/>
    <w:rsid w:val="00FA7E50"/>
    <w:rsid w:val="00FB01A1"/>
    <w:rsid w:val="00FB07FC"/>
    <w:rsid w:val="00FB0D41"/>
    <w:rsid w:val="00FB0DC5"/>
    <w:rsid w:val="00FB1180"/>
    <w:rsid w:val="00FB15B5"/>
    <w:rsid w:val="00FB174F"/>
    <w:rsid w:val="00FB1FEB"/>
    <w:rsid w:val="00FB22AB"/>
    <w:rsid w:val="00FB22D6"/>
    <w:rsid w:val="00FB27A6"/>
    <w:rsid w:val="00FB2BD9"/>
    <w:rsid w:val="00FB2C51"/>
    <w:rsid w:val="00FB3935"/>
    <w:rsid w:val="00FB3979"/>
    <w:rsid w:val="00FB4250"/>
    <w:rsid w:val="00FB440D"/>
    <w:rsid w:val="00FB47E8"/>
    <w:rsid w:val="00FB4E05"/>
    <w:rsid w:val="00FB50F4"/>
    <w:rsid w:val="00FB531B"/>
    <w:rsid w:val="00FB5638"/>
    <w:rsid w:val="00FB59AB"/>
    <w:rsid w:val="00FB5A8D"/>
    <w:rsid w:val="00FB5B8C"/>
    <w:rsid w:val="00FB603D"/>
    <w:rsid w:val="00FB64F3"/>
    <w:rsid w:val="00FB6627"/>
    <w:rsid w:val="00FB6721"/>
    <w:rsid w:val="00FB69FF"/>
    <w:rsid w:val="00FB6A89"/>
    <w:rsid w:val="00FB7318"/>
    <w:rsid w:val="00FB77DE"/>
    <w:rsid w:val="00FC0108"/>
    <w:rsid w:val="00FC0251"/>
    <w:rsid w:val="00FC0440"/>
    <w:rsid w:val="00FC05D8"/>
    <w:rsid w:val="00FC1102"/>
    <w:rsid w:val="00FC128C"/>
    <w:rsid w:val="00FC16AD"/>
    <w:rsid w:val="00FC1F94"/>
    <w:rsid w:val="00FC24A8"/>
    <w:rsid w:val="00FC2E23"/>
    <w:rsid w:val="00FC3241"/>
    <w:rsid w:val="00FC374E"/>
    <w:rsid w:val="00FC3BB3"/>
    <w:rsid w:val="00FC3ED9"/>
    <w:rsid w:val="00FC4018"/>
    <w:rsid w:val="00FC48E6"/>
    <w:rsid w:val="00FC501B"/>
    <w:rsid w:val="00FC5443"/>
    <w:rsid w:val="00FC54D5"/>
    <w:rsid w:val="00FC5617"/>
    <w:rsid w:val="00FC5BD6"/>
    <w:rsid w:val="00FC6059"/>
    <w:rsid w:val="00FC6161"/>
    <w:rsid w:val="00FC6550"/>
    <w:rsid w:val="00FC6576"/>
    <w:rsid w:val="00FC664D"/>
    <w:rsid w:val="00FC6B97"/>
    <w:rsid w:val="00FC71C1"/>
    <w:rsid w:val="00FC737A"/>
    <w:rsid w:val="00FC7844"/>
    <w:rsid w:val="00FC78E5"/>
    <w:rsid w:val="00FC7EA9"/>
    <w:rsid w:val="00FD0189"/>
    <w:rsid w:val="00FD05FF"/>
    <w:rsid w:val="00FD0A8B"/>
    <w:rsid w:val="00FD0CE5"/>
    <w:rsid w:val="00FD126A"/>
    <w:rsid w:val="00FD14E5"/>
    <w:rsid w:val="00FD14F6"/>
    <w:rsid w:val="00FD1512"/>
    <w:rsid w:val="00FD15F8"/>
    <w:rsid w:val="00FD1AB4"/>
    <w:rsid w:val="00FD1DDF"/>
    <w:rsid w:val="00FD20B7"/>
    <w:rsid w:val="00FD2217"/>
    <w:rsid w:val="00FD28E8"/>
    <w:rsid w:val="00FD2F9F"/>
    <w:rsid w:val="00FD30D5"/>
    <w:rsid w:val="00FD3330"/>
    <w:rsid w:val="00FD3355"/>
    <w:rsid w:val="00FD3CF7"/>
    <w:rsid w:val="00FD472A"/>
    <w:rsid w:val="00FD47B3"/>
    <w:rsid w:val="00FD4FCC"/>
    <w:rsid w:val="00FD522F"/>
    <w:rsid w:val="00FD55AE"/>
    <w:rsid w:val="00FD5620"/>
    <w:rsid w:val="00FD5690"/>
    <w:rsid w:val="00FD5A00"/>
    <w:rsid w:val="00FD5F89"/>
    <w:rsid w:val="00FD620A"/>
    <w:rsid w:val="00FD6307"/>
    <w:rsid w:val="00FD6570"/>
    <w:rsid w:val="00FD66E5"/>
    <w:rsid w:val="00FD682F"/>
    <w:rsid w:val="00FD6EA4"/>
    <w:rsid w:val="00FD6FCC"/>
    <w:rsid w:val="00FD70CB"/>
    <w:rsid w:val="00FD728E"/>
    <w:rsid w:val="00FD72B4"/>
    <w:rsid w:val="00FD79A7"/>
    <w:rsid w:val="00FD7DB9"/>
    <w:rsid w:val="00FD7E42"/>
    <w:rsid w:val="00FE0841"/>
    <w:rsid w:val="00FE08FD"/>
    <w:rsid w:val="00FE12A5"/>
    <w:rsid w:val="00FE1352"/>
    <w:rsid w:val="00FE136A"/>
    <w:rsid w:val="00FE1B58"/>
    <w:rsid w:val="00FE1DFA"/>
    <w:rsid w:val="00FE1EDA"/>
    <w:rsid w:val="00FE1F3B"/>
    <w:rsid w:val="00FE22CB"/>
    <w:rsid w:val="00FE25F1"/>
    <w:rsid w:val="00FE2859"/>
    <w:rsid w:val="00FE2A81"/>
    <w:rsid w:val="00FE2F6A"/>
    <w:rsid w:val="00FE303A"/>
    <w:rsid w:val="00FE324D"/>
    <w:rsid w:val="00FE329B"/>
    <w:rsid w:val="00FE345D"/>
    <w:rsid w:val="00FE35CD"/>
    <w:rsid w:val="00FE41AB"/>
    <w:rsid w:val="00FE441C"/>
    <w:rsid w:val="00FE486C"/>
    <w:rsid w:val="00FE4890"/>
    <w:rsid w:val="00FE49E8"/>
    <w:rsid w:val="00FE4A28"/>
    <w:rsid w:val="00FE4D10"/>
    <w:rsid w:val="00FE4DE4"/>
    <w:rsid w:val="00FE4E00"/>
    <w:rsid w:val="00FE516A"/>
    <w:rsid w:val="00FE5194"/>
    <w:rsid w:val="00FE53F2"/>
    <w:rsid w:val="00FE544E"/>
    <w:rsid w:val="00FE5A35"/>
    <w:rsid w:val="00FE5D77"/>
    <w:rsid w:val="00FE64A9"/>
    <w:rsid w:val="00FE66CC"/>
    <w:rsid w:val="00FE6BD7"/>
    <w:rsid w:val="00FE6C8F"/>
    <w:rsid w:val="00FE6E86"/>
    <w:rsid w:val="00FE6F0F"/>
    <w:rsid w:val="00FF0644"/>
    <w:rsid w:val="00FF0776"/>
    <w:rsid w:val="00FF094E"/>
    <w:rsid w:val="00FF0A66"/>
    <w:rsid w:val="00FF0E39"/>
    <w:rsid w:val="00FF152C"/>
    <w:rsid w:val="00FF1FCE"/>
    <w:rsid w:val="00FF2234"/>
    <w:rsid w:val="00FF290B"/>
    <w:rsid w:val="00FF2B9E"/>
    <w:rsid w:val="00FF303A"/>
    <w:rsid w:val="00FF320D"/>
    <w:rsid w:val="00FF33BD"/>
    <w:rsid w:val="00FF39CB"/>
    <w:rsid w:val="00FF3B8C"/>
    <w:rsid w:val="00FF3C13"/>
    <w:rsid w:val="00FF3CEA"/>
    <w:rsid w:val="00FF3F18"/>
    <w:rsid w:val="00FF3F6C"/>
    <w:rsid w:val="00FF4169"/>
    <w:rsid w:val="00FF42CC"/>
    <w:rsid w:val="00FF4B56"/>
    <w:rsid w:val="00FF4CB4"/>
    <w:rsid w:val="00FF4D79"/>
    <w:rsid w:val="00FF4FD5"/>
    <w:rsid w:val="00FF57C0"/>
    <w:rsid w:val="00FF582B"/>
    <w:rsid w:val="00FF5A57"/>
    <w:rsid w:val="00FF6702"/>
    <w:rsid w:val="00FF6822"/>
    <w:rsid w:val="00FF7188"/>
    <w:rsid w:val="00FF729A"/>
    <w:rsid w:val="00FF72DC"/>
    <w:rsid w:val="00FF750F"/>
    <w:rsid w:val="00FF76DE"/>
    <w:rsid w:val="00FF7785"/>
    <w:rsid w:val="00FF79FE"/>
    <w:rsid w:val="014B5628"/>
    <w:rsid w:val="01F16DA1"/>
    <w:rsid w:val="0333E670"/>
    <w:rsid w:val="041D209C"/>
    <w:rsid w:val="043C57EC"/>
    <w:rsid w:val="04BB11A1"/>
    <w:rsid w:val="058FA7A4"/>
    <w:rsid w:val="06005FEE"/>
    <w:rsid w:val="078BE711"/>
    <w:rsid w:val="07F78205"/>
    <w:rsid w:val="0854CC19"/>
    <w:rsid w:val="092F034C"/>
    <w:rsid w:val="09543A32"/>
    <w:rsid w:val="09589B60"/>
    <w:rsid w:val="0A4C4ABD"/>
    <w:rsid w:val="0A4FC3FF"/>
    <w:rsid w:val="0B3925A0"/>
    <w:rsid w:val="0B73118C"/>
    <w:rsid w:val="0C8F9704"/>
    <w:rsid w:val="0CA28577"/>
    <w:rsid w:val="0D8DE997"/>
    <w:rsid w:val="0D8F4292"/>
    <w:rsid w:val="0DEB1C25"/>
    <w:rsid w:val="0E312109"/>
    <w:rsid w:val="0E36405D"/>
    <w:rsid w:val="0F54049D"/>
    <w:rsid w:val="0FEBE1A2"/>
    <w:rsid w:val="100FD4F8"/>
    <w:rsid w:val="102748D8"/>
    <w:rsid w:val="1043C596"/>
    <w:rsid w:val="1126EF65"/>
    <w:rsid w:val="118A7D25"/>
    <w:rsid w:val="11953AA7"/>
    <w:rsid w:val="11AA3635"/>
    <w:rsid w:val="11E22C4A"/>
    <w:rsid w:val="11F337C5"/>
    <w:rsid w:val="12747E9C"/>
    <w:rsid w:val="12BE8D48"/>
    <w:rsid w:val="12CBA767"/>
    <w:rsid w:val="12DEDF25"/>
    <w:rsid w:val="12F1B601"/>
    <w:rsid w:val="132442E3"/>
    <w:rsid w:val="1371CC57"/>
    <w:rsid w:val="137294F2"/>
    <w:rsid w:val="13DB5ACD"/>
    <w:rsid w:val="145ED399"/>
    <w:rsid w:val="149E8BF7"/>
    <w:rsid w:val="149EA8B7"/>
    <w:rsid w:val="14D2DB3D"/>
    <w:rsid w:val="14DB3CE6"/>
    <w:rsid w:val="1511856E"/>
    <w:rsid w:val="15181428"/>
    <w:rsid w:val="15AB04A8"/>
    <w:rsid w:val="15DA2B62"/>
    <w:rsid w:val="15F26844"/>
    <w:rsid w:val="15FD60EE"/>
    <w:rsid w:val="162DD8EC"/>
    <w:rsid w:val="16C10378"/>
    <w:rsid w:val="1720DF57"/>
    <w:rsid w:val="175CF0E8"/>
    <w:rsid w:val="17E8631C"/>
    <w:rsid w:val="186859BF"/>
    <w:rsid w:val="18715F9E"/>
    <w:rsid w:val="18743E28"/>
    <w:rsid w:val="187CB7B4"/>
    <w:rsid w:val="190FEA78"/>
    <w:rsid w:val="194B8983"/>
    <w:rsid w:val="194C367B"/>
    <w:rsid w:val="1A5914A4"/>
    <w:rsid w:val="1A83843F"/>
    <w:rsid w:val="1AAC271D"/>
    <w:rsid w:val="1AB06A44"/>
    <w:rsid w:val="1B32D066"/>
    <w:rsid w:val="1B5A43D5"/>
    <w:rsid w:val="1B6359C2"/>
    <w:rsid w:val="1BA1AD39"/>
    <w:rsid w:val="1C068079"/>
    <w:rsid w:val="1C4C4731"/>
    <w:rsid w:val="1CB5B124"/>
    <w:rsid w:val="1CF22A58"/>
    <w:rsid w:val="1CFA6938"/>
    <w:rsid w:val="1D99E2DB"/>
    <w:rsid w:val="1DDE3FA1"/>
    <w:rsid w:val="1DED22E3"/>
    <w:rsid w:val="1F3DEE6A"/>
    <w:rsid w:val="1FED51E6"/>
    <w:rsid w:val="1FFB7100"/>
    <w:rsid w:val="20381F86"/>
    <w:rsid w:val="2060D9EE"/>
    <w:rsid w:val="211FB854"/>
    <w:rsid w:val="2238F720"/>
    <w:rsid w:val="22B472E5"/>
    <w:rsid w:val="22E8F60B"/>
    <w:rsid w:val="2374C154"/>
    <w:rsid w:val="24F34C19"/>
    <w:rsid w:val="251C9BC1"/>
    <w:rsid w:val="253E6860"/>
    <w:rsid w:val="259608BA"/>
    <w:rsid w:val="259F9060"/>
    <w:rsid w:val="25C6C36D"/>
    <w:rsid w:val="25DC6844"/>
    <w:rsid w:val="264A2EC2"/>
    <w:rsid w:val="270E0195"/>
    <w:rsid w:val="271192AC"/>
    <w:rsid w:val="276293CE"/>
    <w:rsid w:val="28003984"/>
    <w:rsid w:val="28B91B91"/>
    <w:rsid w:val="2A606745"/>
    <w:rsid w:val="2AFC99F6"/>
    <w:rsid w:val="2B6CF0CE"/>
    <w:rsid w:val="2B8D988F"/>
    <w:rsid w:val="2BCA8575"/>
    <w:rsid w:val="2BCBBC29"/>
    <w:rsid w:val="2C1EC6F0"/>
    <w:rsid w:val="2C2F3ED9"/>
    <w:rsid w:val="2C9CF068"/>
    <w:rsid w:val="2CAA50C7"/>
    <w:rsid w:val="2CABE52F"/>
    <w:rsid w:val="2D655325"/>
    <w:rsid w:val="2D6B8B6E"/>
    <w:rsid w:val="2DFA494D"/>
    <w:rsid w:val="2E199EFD"/>
    <w:rsid w:val="2EA350B3"/>
    <w:rsid w:val="2EF0BA70"/>
    <w:rsid w:val="2F7B3708"/>
    <w:rsid w:val="2FF86768"/>
    <w:rsid w:val="308A5FD7"/>
    <w:rsid w:val="310175D0"/>
    <w:rsid w:val="31AE206B"/>
    <w:rsid w:val="31D37B44"/>
    <w:rsid w:val="328C3F19"/>
    <w:rsid w:val="32A1397B"/>
    <w:rsid w:val="32CAA2FF"/>
    <w:rsid w:val="340ACC72"/>
    <w:rsid w:val="343A7F00"/>
    <w:rsid w:val="343D9B3A"/>
    <w:rsid w:val="344F9BD2"/>
    <w:rsid w:val="34A95211"/>
    <w:rsid w:val="361FEA63"/>
    <w:rsid w:val="3636F0CC"/>
    <w:rsid w:val="36977FDB"/>
    <w:rsid w:val="369F1C3E"/>
    <w:rsid w:val="372C27B2"/>
    <w:rsid w:val="375EF10E"/>
    <w:rsid w:val="37937A97"/>
    <w:rsid w:val="38298770"/>
    <w:rsid w:val="384A899F"/>
    <w:rsid w:val="386A6ABE"/>
    <w:rsid w:val="38EEFBB7"/>
    <w:rsid w:val="39AD93E9"/>
    <w:rsid w:val="3A07EE03"/>
    <w:rsid w:val="3A6AC0FB"/>
    <w:rsid w:val="3ABEB6EE"/>
    <w:rsid w:val="3B23B98C"/>
    <w:rsid w:val="3B89C63E"/>
    <w:rsid w:val="3BB13E8F"/>
    <w:rsid w:val="3BD54CE3"/>
    <w:rsid w:val="3BE12563"/>
    <w:rsid w:val="3BF52B88"/>
    <w:rsid w:val="3C193C93"/>
    <w:rsid w:val="3CF62062"/>
    <w:rsid w:val="3E948AA2"/>
    <w:rsid w:val="3E9A7D9C"/>
    <w:rsid w:val="3F4CDCA8"/>
    <w:rsid w:val="3F6F9D44"/>
    <w:rsid w:val="3F8E8B61"/>
    <w:rsid w:val="40642A80"/>
    <w:rsid w:val="417E8D10"/>
    <w:rsid w:val="429E3092"/>
    <w:rsid w:val="42AA2F68"/>
    <w:rsid w:val="42F67F0F"/>
    <w:rsid w:val="4314B946"/>
    <w:rsid w:val="435EC6A6"/>
    <w:rsid w:val="43BF5569"/>
    <w:rsid w:val="44AE419C"/>
    <w:rsid w:val="44D24BC4"/>
    <w:rsid w:val="45A20E61"/>
    <w:rsid w:val="45DD257C"/>
    <w:rsid w:val="4603E187"/>
    <w:rsid w:val="46239B8F"/>
    <w:rsid w:val="4628920D"/>
    <w:rsid w:val="46B52D7A"/>
    <w:rsid w:val="471D71A3"/>
    <w:rsid w:val="476912DF"/>
    <w:rsid w:val="47BFF314"/>
    <w:rsid w:val="48B13182"/>
    <w:rsid w:val="48CC0DEA"/>
    <w:rsid w:val="49F0DD78"/>
    <w:rsid w:val="4A9E199E"/>
    <w:rsid w:val="4A9F1032"/>
    <w:rsid w:val="4AA38B5B"/>
    <w:rsid w:val="4AB66DCB"/>
    <w:rsid w:val="4BD863BF"/>
    <w:rsid w:val="4C7F750E"/>
    <w:rsid w:val="4D38DFA3"/>
    <w:rsid w:val="4D6CD31E"/>
    <w:rsid w:val="4D980A94"/>
    <w:rsid w:val="4DF01BA3"/>
    <w:rsid w:val="4ECCFDE3"/>
    <w:rsid w:val="4FC01802"/>
    <w:rsid w:val="4FDC6D1C"/>
    <w:rsid w:val="5091482E"/>
    <w:rsid w:val="50EA28BA"/>
    <w:rsid w:val="5164080E"/>
    <w:rsid w:val="5194121D"/>
    <w:rsid w:val="525BADD2"/>
    <w:rsid w:val="52B6A45C"/>
    <w:rsid w:val="53E3EF6A"/>
    <w:rsid w:val="54261B88"/>
    <w:rsid w:val="5489C485"/>
    <w:rsid w:val="54CE23F9"/>
    <w:rsid w:val="54FFF34C"/>
    <w:rsid w:val="5522D7EC"/>
    <w:rsid w:val="5528AEB3"/>
    <w:rsid w:val="552EBAE8"/>
    <w:rsid w:val="55367A82"/>
    <w:rsid w:val="5557A13B"/>
    <w:rsid w:val="5581966D"/>
    <w:rsid w:val="56B992B3"/>
    <w:rsid w:val="56D4E2DE"/>
    <w:rsid w:val="570814CE"/>
    <w:rsid w:val="5720733B"/>
    <w:rsid w:val="576A3131"/>
    <w:rsid w:val="577849CD"/>
    <w:rsid w:val="57988337"/>
    <w:rsid w:val="57BE458E"/>
    <w:rsid w:val="580E4A0F"/>
    <w:rsid w:val="588FA029"/>
    <w:rsid w:val="58BC439C"/>
    <w:rsid w:val="58E56FDD"/>
    <w:rsid w:val="598AF337"/>
    <w:rsid w:val="5A8D3DD8"/>
    <w:rsid w:val="5BAC3085"/>
    <w:rsid w:val="5BEA6AB7"/>
    <w:rsid w:val="5BEF4AD4"/>
    <w:rsid w:val="5C23CA36"/>
    <w:rsid w:val="5C4E152B"/>
    <w:rsid w:val="5CDFBB37"/>
    <w:rsid w:val="5DF968B5"/>
    <w:rsid w:val="5E9774F5"/>
    <w:rsid w:val="5EAB35D7"/>
    <w:rsid w:val="5F073073"/>
    <w:rsid w:val="5F21F596"/>
    <w:rsid w:val="5F82A812"/>
    <w:rsid w:val="6078E33D"/>
    <w:rsid w:val="607BA8A2"/>
    <w:rsid w:val="60A075E6"/>
    <w:rsid w:val="60B0D04D"/>
    <w:rsid w:val="61C73CB1"/>
    <w:rsid w:val="61E3F242"/>
    <w:rsid w:val="6205B612"/>
    <w:rsid w:val="62154131"/>
    <w:rsid w:val="6281EA96"/>
    <w:rsid w:val="62E3A98D"/>
    <w:rsid w:val="633DE981"/>
    <w:rsid w:val="635D0810"/>
    <w:rsid w:val="6451865E"/>
    <w:rsid w:val="649329CF"/>
    <w:rsid w:val="64EC2FDB"/>
    <w:rsid w:val="6510EA81"/>
    <w:rsid w:val="653AA482"/>
    <w:rsid w:val="65D0483C"/>
    <w:rsid w:val="65E46482"/>
    <w:rsid w:val="664E0730"/>
    <w:rsid w:val="666D0AF0"/>
    <w:rsid w:val="66E35CE6"/>
    <w:rsid w:val="6706DB5C"/>
    <w:rsid w:val="67114A1F"/>
    <w:rsid w:val="677D78A3"/>
    <w:rsid w:val="67CA1772"/>
    <w:rsid w:val="680C6DEA"/>
    <w:rsid w:val="68262080"/>
    <w:rsid w:val="68FFBEF7"/>
    <w:rsid w:val="6A1CF0C0"/>
    <w:rsid w:val="6AFE24E1"/>
    <w:rsid w:val="6B0564DD"/>
    <w:rsid w:val="6B2C8731"/>
    <w:rsid w:val="6BB325B0"/>
    <w:rsid w:val="6C4337E0"/>
    <w:rsid w:val="6D2DB8B7"/>
    <w:rsid w:val="6D5B450C"/>
    <w:rsid w:val="6DA4CEED"/>
    <w:rsid w:val="6DA8F7DD"/>
    <w:rsid w:val="6DCBD055"/>
    <w:rsid w:val="6E371D26"/>
    <w:rsid w:val="6E649AEF"/>
    <w:rsid w:val="6F1BAC1F"/>
    <w:rsid w:val="6F394EDD"/>
    <w:rsid w:val="6F70DD60"/>
    <w:rsid w:val="7025477E"/>
    <w:rsid w:val="7080CA85"/>
    <w:rsid w:val="715189D9"/>
    <w:rsid w:val="71C85260"/>
    <w:rsid w:val="71EB8FAF"/>
    <w:rsid w:val="7465E67C"/>
    <w:rsid w:val="74D1BA89"/>
    <w:rsid w:val="75B0C150"/>
    <w:rsid w:val="75CE02CB"/>
    <w:rsid w:val="762D8BC6"/>
    <w:rsid w:val="764B2E25"/>
    <w:rsid w:val="76C327C6"/>
    <w:rsid w:val="76D9581C"/>
    <w:rsid w:val="7755DE95"/>
    <w:rsid w:val="777ABB63"/>
    <w:rsid w:val="790B7E0C"/>
    <w:rsid w:val="79524724"/>
    <w:rsid w:val="7971D3A5"/>
    <w:rsid w:val="7A2694D6"/>
    <w:rsid w:val="7AE6442B"/>
    <w:rsid w:val="7B667373"/>
    <w:rsid w:val="7B74C485"/>
    <w:rsid w:val="7B75FA7E"/>
    <w:rsid w:val="7BCAB92A"/>
    <w:rsid w:val="7C75D6B7"/>
    <w:rsid w:val="7CA6067A"/>
    <w:rsid w:val="7CEAA494"/>
    <w:rsid w:val="7D6B94DB"/>
    <w:rsid w:val="7DABE52D"/>
    <w:rsid w:val="7E0CF8FB"/>
    <w:rsid w:val="7F2D2D07"/>
    <w:rsid w:val="7F4506B7"/>
    <w:rsid w:val="7FEB230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C2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4990"/>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2">
    <w:name w:val="heading 2"/>
    <w:basedOn w:val="Normal"/>
    <w:next w:val="Normal"/>
    <w:link w:val="Heading2Char"/>
    <w:semiHidden/>
    <w:unhideWhenUsed/>
    <w:qFormat/>
    <w:rsid w:val="00A0551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uiPriority w:val="20"/>
    <w:qFormat/>
    <w:rPr>
      <w:b/>
      <w:bCs/>
      <w:i w:val="0"/>
      <w:iCs w:val="0"/>
    </w:rPr>
  </w:style>
  <w:style w:type="paragraph" w:customStyle="1" w:styleId="Char0">
    <w:name w:val="Char0"/>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rsid w:val="005C311F"/>
    <w:pPr>
      <w:spacing w:line="256" w:lineRule="auto"/>
      <w:jc w:val="both"/>
    </w:pPr>
    <w:rPr>
      <w:rFonts w:ascii="Arial" w:hAnsi="Arial"/>
      <w:u w:val="single"/>
    </w:rPr>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ody Text Bullet Points,Bullet Point,Bullet point,BulletPoints,Bulletr List Paragraph,ES Paragraph,Footnote,L,List Paragraph1,List Paragraph11,Numbered para,PBAC ES Paragraph,PBAC normal points,Recommendation,Section heading,Styl moj"/>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ody Text Bullet Points Char,Bullet Point Char,Bullet point Char,BulletPoints Char,Bulletr List Paragraph Char,ES Paragraph Char,Footnote Char,L Char,List Paragraph1 Char,List Paragraph11 Char,Numbered para Char,Recommendation Char"/>
    <w:link w:val="ListParagraph"/>
    <w:uiPriority w:val="34"/>
    <w:qFormat/>
    <w:rsid w:val="001E35D6"/>
    <w:rPr>
      <w:rFonts w:eastAsia="SimSun"/>
      <w:sz w:val="24"/>
      <w:szCs w:val="24"/>
    </w:rPr>
  </w:style>
  <w:style w:type="character" w:customStyle="1" w:styleId="CommentTextChar">
    <w:name w:val="Comment Text Char"/>
    <w:basedOn w:val="DefaultParagraphFont"/>
    <w:link w:val="CommentText"/>
    <w:uiPriority w:val="99"/>
    <w:rsid w:val="00377360"/>
  </w:style>
  <w:style w:type="paragraph" w:styleId="Revision">
    <w:name w:val="Revision"/>
    <w:hidden/>
    <w:uiPriority w:val="99"/>
    <w:semiHidden/>
    <w:rsid w:val="00DA7044"/>
  </w:style>
  <w:style w:type="character" w:customStyle="1" w:styleId="FooterChar">
    <w:name w:val="Footer Char"/>
    <w:link w:val="Footer"/>
    <w:rsid w:val="00035622"/>
  </w:style>
  <w:style w:type="paragraph" w:customStyle="1" w:styleId="3Bodytext">
    <w:name w:val="3. Body text"/>
    <w:basedOn w:val="ListParagraph"/>
    <w:link w:val="3BodytextChar"/>
    <w:qFormat/>
    <w:rsid w:val="00155809"/>
    <w:pPr>
      <w:spacing w:after="120"/>
      <w:ind w:hanging="720"/>
      <w:contextualSpacing w:val="0"/>
      <w:jc w:val="both"/>
    </w:pPr>
    <w:rPr>
      <w:rFonts w:asciiTheme="minorHAnsi" w:eastAsiaTheme="minorHAnsi" w:hAnsiTheme="minorHAnsi" w:cstheme="minorBidi"/>
      <w:szCs w:val="22"/>
      <w:lang w:eastAsia="en-US"/>
    </w:rPr>
  </w:style>
  <w:style w:type="character" w:customStyle="1" w:styleId="3BodytextChar">
    <w:name w:val="3. Body text Char"/>
    <w:basedOn w:val="DefaultParagraphFont"/>
    <w:link w:val="3Bodytext"/>
    <w:rsid w:val="00155809"/>
    <w:rPr>
      <w:rFonts w:asciiTheme="minorHAnsi" w:eastAsiaTheme="minorHAnsi" w:hAnsiTheme="minorHAnsi" w:cstheme="minorBidi"/>
      <w:sz w:val="24"/>
      <w:szCs w:val="22"/>
      <w:lang w:eastAsia="en-US"/>
    </w:rPr>
  </w:style>
  <w:style w:type="paragraph" w:customStyle="1" w:styleId="2-SectionHeading">
    <w:name w:val="2-Section Heading"/>
    <w:qFormat/>
    <w:rsid w:val="00A35BF0"/>
    <w:pPr>
      <w:keepNext/>
      <w:numPr>
        <w:numId w:val="9"/>
      </w:numPr>
      <w:snapToGrid w:val="0"/>
      <w:spacing w:before="240" w:after="120"/>
      <w:outlineLvl w:val="0"/>
    </w:pPr>
    <w:rPr>
      <w:rFonts w:asciiTheme="minorHAnsi" w:hAnsiTheme="minorHAnsi" w:cs="Arial"/>
      <w:b/>
      <w:sz w:val="32"/>
      <w:szCs w:val="32"/>
    </w:rPr>
  </w:style>
  <w:style w:type="character" w:customStyle="1" w:styleId="ExecSumBodyTextChar">
    <w:name w:val="Exec Sum Body Text Char"/>
    <w:basedOn w:val="DefaultParagraphFont"/>
    <w:link w:val="ExecSumBodyText"/>
    <w:uiPriority w:val="99"/>
    <w:locked/>
    <w:rsid w:val="00A35BF0"/>
    <w:rPr>
      <w:rFonts w:asciiTheme="minorHAnsi" w:hAnsiTheme="minorHAnsi" w:cs="Arial"/>
    </w:rPr>
  </w:style>
  <w:style w:type="paragraph" w:customStyle="1" w:styleId="ExecSumBodyText">
    <w:name w:val="Exec Sum Body Text"/>
    <w:basedOn w:val="Normal"/>
    <w:link w:val="ExecSumBodyTextChar"/>
    <w:uiPriority w:val="99"/>
    <w:qFormat/>
    <w:rsid w:val="00A35BF0"/>
    <w:pPr>
      <w:numPr>
        <w:ilvl w:val="1"/>
        <w:numId w:val="9"/>
      </w:numPr>
      <w:snapToGrid w:val="0"/>
      <w:spacing w:after="120"/>
      <w:jc w:val="both"/>
    </w:pPr>
    <w:rPr>
      <w:rFonts w:asciiTheme="minorHAnsi" w:hAnsiTheme="minorHAnsi" w:cs="Arial"/>
    </w:rPr>
  </w:style>
  <w:style w:type="character" w:styleId="FollowedHyperlink">
    <w:name w:val="FollowedHyperlink"/>
    <w:basedOn w:val="DefaultParagraphFont"/>
    <w:semiHidden/>
    <w:unhideWhenUsed/>
    <w:rsid w:val="00642B51"/>
    <w:rPr>
      <w:color w:val="800080" w:themeColor="followedHyperlink"/>
      <w:u w:val="single"/>
    </w:rPr>
  </w:style>
  <w:style w:type="paragraph" w:styleId="Quote">
    <w:name w:val="Quote"/>
    <w:basedOn w:val="Normal"/>
    <w:next w:val="Normal"/>
    <w:link w:val="QuoteChar"/>
    <w:uiPriority w:val="29"/>
    <w:qFormat/>
    <w:rsid w:val="001D30A0"/>
    <w:pPr>
      <w:spacing w:before="240" w:after="60"/>
      <w:ind w:left="142" w:right="-663" w:hanging="142"/>
    </w:pPr>
    <w:rPr>
      <w:i/>
      <w:iCs/>
      <w:color w:val="000000" w:themeColor="text1"/>
      <w:sz w:val="24"/>
      <w:szCs w:val="24"/>
      <w:lang w:eastAsia="en-US"/>
    </w:rPr>
  </w:style>
  <w:style w:type="character" w:customStyle="1" w:styleId="QuoteChar">
    <w:name w:val="Quote Char"/>
    <w:basedOn w:val="DefaultParagraphFont"/>
    <w:link w:val="Quote"/>
    <w:uiPriority w:val="29"/>
    <w:rsid w:val="001D30A0"/>
    <w:rPr>
      <w:i/>
      <w:iCs/>
      <w:color w:val="000000" w:themeColor="text1"/>
      <w:sz w:val="24"/>
      <w:szCs w:val="24"/>
      <w:lang w:eastAsia="en-US"/>
    </w:rPr>
  </w:style>
  <w:style w:type="paragraph" w:styleId="NoSpacing">
    <w:name w:val="No Spacing"/>
    <w:basedOn w:val="Normal"/>
    <w:link w:val="NoSpacingChar"/>
    <w:uiPriority w:val="1"/>
    <w:qFormat/>
    <w:rsid w:val="008D62B4"/>
    <w:pPr>
      <w:jc w:val="both"/>
    </w:pPr>
    <w:rPr>
      <w:rFonts w:asciiTheme="minorHAnsi" w:hAnsiTheme="minorHAnsi" w:cstheme="minorHAnsi"/>
      <w:sz w:val="24"/>
      <w:szCs w:val="24"/>
      <w:lang w:eastAsia="en-US"/>
    </w:rPr>
  </w:style>
  <w:style w:type="character" w:customStyle="1" w:styleId="NoSpacingChar">
    <w:name w:val="No Spacing Char"/>
    <w:basedOn w:val="DefaultParagraphFont"/>
    <w:link w:val="NoSpacing"/>
    <w:uiPriority w:val="1"/>
    <w:rsid w:val="008D62B4"/>
    <w:rPr>
      <w:rFonts w:asciiTheme="minorHAnsi" w:hAnsiTheme="minorHAnsi" w:cstheme="minorHAnsi"/>
      <w:sz w:val="24"/>
      <w:szCs w:val="24"/>
      <w:lang w:eastAsia="en-US"/>
    </w:rPr>
  </w:style>
  <w:style w:type="paragraph" w:customStyle="1" w:styleId="2Sections">
    <w:name w:val="2. Sections"/>
    <w:qFormat/>
    <w:rsid w:val="0061444C"/>
    <w:pPr>
      <w:spacing w:before="240" w:after="120"/>
      <w:ind w:left="720" w:hanging="720"/>
      <w:outlineLvl w:val="0"/>
    </w:pPr>
    <w:rPr>
      <w:rFonts w:asciiTheme="minorHAnsi" w:hAnsiTheme="minorHAnsi" w:cs="Arial"/>
      <w:b/>
      <w:snapToGrid w:val="0"/>
      <w:sz w:val="32"/>
      <w:szCs w:val="32"/>
      <w:lang w:eastAsia="en-US"/>
    </w:rPr>
  </w:style>
  <w:style w:type="paragraph" w:customStyle="1" w:styleId="4Bodytextnumbered">
    <w:name w:val="4. Body text numbered"/>
    <w:basedOn w:val="ListParagraph"/>
    <w:qFormat/>
    <w:rsid w:val="0061444C"/>
    <w:pPr>
      <w:spacing w:after="120"/>
      <w:ind w:hanging="720"/>
      <w:contextualSpacing w:val="0"/>
      <w:jc w:val="both"/>
    </w:pPr>
    <w:rPr>
      <w:rFonts w:asciiTheme="minorHAnsi" w:eastAsiaTheme="minorHAnsi" w:hAnsiTheme="minorHAnsi" w:cstheme="minorBidi"/>
      <w:szCs w:val="22"/>
      <w:lang w:eastAsia="en-US"/>
    </w:rPr>
  </w:style>
  <w:style w:type="paragraph" w:customStyle="1" w:styleId="Tablewriting">
    <w:name w:val="Table writing"/>
    <w:basedOn w:val="Normal"/>
    <w:qFormat/>
    <w:rsid w:val="003A37BF"/>
    <w:pPr>
      <w:autoSpaceDE w:val="0"/>
      <w:autoSpaceDN w:val="0"/>
      <w:adjustRightInd w:val="0"/>
      <w:spacing w:before="60" w:after="60"/>
    </w:pPr>
    <w:rPr>
      <w:rFonts w:asciiTheme="minorHAnsi" w:eastAsiaTheme="minorEastAsia" w:hAnsiTheme="minorHAnsi" w:cs="Calibri"/>
      <w:color w:val="000000"/>
    </w:rPr>
  </w:style>
  <w:style w:type="character" w:styleId="UnresolvedMention">
    <w:name w:val="Unresolved Mention"/>
    <w:basedOn w:val="DefaultParagraphFont"/>
    <w:uiPriority w:val="99"/>
    <w:semiHidden/>
    <w:unhideWhenUsed/>
    <w:rsid w:val="00427E91"/>
    <w:rPr>
      <w:color w:val="605E5C"/>
      <w:shd w:val="clear" w:color="auto" w:fill="E1DFDD"/>
    </w:rPr>
  </w:style>
  <w:style w:type="paragraph" w:customStyle="1" w:styleId="3-BodyText">
    <w:name w:val="3-Body Text"/>
    <w:basedOn w:val="ListParagraph"/>
    <w:link w:val="3-BodyTextChar"/>
    <w:qFormat/>
    <w:rsid w:val="00120070"/>
    <w:pPr>
      <w:spacing w:after="120"/>
      <w:ind w:hanging="720"/>
      <w:contextualSpacing w:val="0"/>
      <w:jc w:val="both"/>
    </w:pPr>
    <w:rPr>
      <w:rFonts w:asciiTheme="minorHAnsi" w:eastAsia="Times New Roman" w:hAnsiTheme="minorHAnsi" w:cs="Arial"/>
      <w:snapToGrid w:val="0"/>
    </w:rPr>
  </w:style>
  <w:style w:type="character" w:customStyle="1" w:styleId="3-BodyTextChar">
    <w:name w:val="3-Body Text Char"/>
    <w:basedOn w:val="DefaultParagraphFont"/>
    <w:link w:val="3-BodyText"/>
    <w:rsid w:val="00120070"/>
    <w:rPr>
      <w:rFonts w:asciiTheme="minorHAnsi" w:hAnsiTheme="minorHAnsi" w:cs="Arial"/>
      <w:snapToGrid w:val="0"/>
      <w:sz w:val="24"/>
      <w:szCs w:val="24"/>
    </w:rPr>
  </w:style>
  <w:style w:type="character" w:styleId="FootnoteReference">
    <w:name w:val="footnote reference"/>
    <w:basedOn w:val="DefaultParagraphFont"/>
    <w:uiPriority w:val="99"/>
    <w:semiHidden/>
    <w:unhideWhenUsed/>
    <w:rsid w:val="00273042"/>
    <w:rPr>
      <w:vertAlign w:val="superscript"/>
    </w:rPr>
  </w:style>
  <w:style w:type="character" w:customStyle="1" w:styleId="normaltextrun">
    <w:name w:val="normaltextrun"/>
    <w:basedOn w:val="DefaultParagraphFont"/>
    <w:rsid w:val="003D4AED"/>
  </w:style>
  <w:style w:type="paragraph" w:customStyle="1" w:styleId="commentcontentpara">
    <w:name w:val="commentcontentpara"/>
    <w:basedOn w:val="Normal"/>
    <w:rsid w:val="001C41DA"/>
    <w:pPr>
      <w:spacing w:before="100" w:beforeAutospacing="1" w:after="100" w:afterAutospacing="1"/>
    </w:pPr>
    <w:rPr>
      <w:sz w:val="24"/>
      <w:szCs w:val="24"/>
    </w:rPr>
  </w:style>
  <w:style w:type="character" w:customStyle="1" w:styleId="cf01">
    <w:name w:val="cf01"/>
    <w:basedOn w:val="DefaultParagraphFont"/>
    <w:rsid w:val="009B3BC3"/>
    <w:rPr>
      <w:rFonts w:ascii="Segoe UI" w:hAnsi="Segoe UI" w:cs="Segoe UI" w:hint="default"/>
      <w:color w:val="FF0000"/>
      <w:sz w:val="18"/>
      <w:szCs w:val="18"/>
    </w:rPr>
  </w:style>
  <w:style w:type="character" w:customStyle="1" w:styleId="Heading2Char">
    <w:name w:val="Heading 2 Char"/>
    <w:basedOn w:val="DefaultParagraphFont"/>
    <w:link w:val="Heading2"/>
    <w:semiHidden/>
    <w:rsid w:val="00A0551F"/>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F76561"/>
    <w:pPr>
      <w:spacing w:before="100" w:beforeAutospacing="1" w:after="100" w:afterAutospacing="1"/>
    </w:pPr>
    <w:rPr>
      <w:sz w:val="24"/>
      <w:szCs w:val="24"/>
    </w:rPr>
  </w:style>
  <w:style w:type="character" w:customStyle="1" w:styleId="scxw258963981">
    <w:name w:val="scxw258963981"/>
    <w:basedOn w:val="DefaultParagraphFont"/>
    <w:rsid w:val="00F76561"/>
  </w:style>
  <w:style w:type="character" w:customStyle="1" w:styleId="eop">
    <w:name w:val="eop"/>
    <w:basedOn w:val="DefaultParagraphFont"/>
    <w:rsid w:val="00F76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4904">
      <w:bodyDiv w:val="1"/>
      <w:marLeft w:val="0"/>
      <w:marRight w:val="0"/>
      <w:marTop w:val="0"/>
      <w:marBottom w:val="0"/>
      <w:divBdr>
        <w:top w:val="none" w:sz="0" w:space="0" w:color="auto"/>
        <w:left w:val="none" w:sz="0" w:space="0" w:color="auto"/>
        <w:bottom w:val="none" w:sz="0" w:space="0" w:color="auto"/>
        <w:right w:val="none" w:sz="0" w:space="0" w:color="auto"/>
      </w:divBdr>
    </w:div>
    <w:div w:id="12726310">
      <w:bodyDiv w:val="1"/>
      <w:marLeft w:val="0"/>
      <w:marRight w:val="0"/>
      <w:marTop w:val="0"/>
      <w:marBottom w:val="0"/>
      <w:divBdr>
        <w:top w:val="none" w:sz="0" w:space="0" w:color="auto"/>
        <w:left w:val="none" w:sz="0" w:space="0" w:color="auto"/>
        <w:bottom w:val="none" w:sz="0" w:space="0" w:color="auto"/>
        <w:right w:val="none" w:sz="0" w:space="0" w:color="auto"/>
      </w:divBdr>
    </w:div>
    <w:div w:id="17506909">
      <w:bodyDiv w:val="1"/>
      <w:marLeft w:val="0"/>
      <w:marRight w:val="0"/>
      <w:marTop w:val="0"/>
      <w:marBottom w:val="0"/>
      <w:divBdr>
        <w:top w:val="none" w:sz="0" w:space="0" w:color="auto"/>
        <w:left w:val="none" w:sz="0" w:space="0" w:color="auto"/>
        <w:bottom w:val="none" w:sz="0" w:space="0" w:color="auto"/>
        <w:right w:val="none" w:sz="0" w:space="0" w:color="auto"/>
      </w:divBdr>
    </w:div>
    <w:div w:id="21715848">
      <w:bodyDiv w:val="1"/>
      <w:marLeft w:val="0"/>
      <w:marRight w:val="0"/>
      <w:marTop w:val="0"/>
      <w:marBottom w:val="0"/>
      <w:divBdr>
        <w:top w:val="none" w:sz="0" w:space="0" w:color="auto"/>
        <w:left w:val="none" w:sz="0" w:space="0" w:color="auto"/>
        <w:bottom w:val="none" w:sz="0" w:space="0" w:color="auto"/>
        <w:right w:val="none" w:sz="0" w:space="0" w:color="auto"/>
      </w:divBdr>
    </w:div>
    <w:div w:id="22370317">
      <w:bodyDiv w:val="1"/>
      <w:marLeft w:val="0"/>
      <w:marRight w:val="0"/>
      <w:marTop w:val="0"/>
      <w:marBottom w:val="0"/>
      <w:divBdr>
        <w:top w:val="none" w:sz="0" w:space="0" w:color="auto"/>
        <w:left w:val="none" w:sz="0" w:space="0" w:color="auto"/>
        <w:bottom w:val="none" w:sz="0" w:space="0" w:color="auto"/>
        <w:right w:val="none" w:sz="0" w:space="0" w:color="auto"/>
      </w:divBdr>
    </w:div>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30419117">
      <w:bodyDiv w:val="1"/>
      <w:marLeft w:val="0"/>
      <w:marRight w:val="0"/>
      <w:marTop w:val="0"/>
      <w:marBottom w:val="0"/>
      <w:divBdr>
        <w:top w:val="none" w:sz="0" w:space="0" w:color="auto"/>
        <w:left w:val="none" w:sz="0" w:space="0" w:color="auto"/>
        <w:bottom w:val="none" w:sz="0" w:space="0" w:color="auto"/>
        <w:right w:val="none" w:sz="0" w:space="0" w:color="auto"/>
      </w:divBdr>
    </w:div>
    <w:div w:id="30618514">
      <w:bodyDiv w:val="1"/>
      <w:marLeft w:val="0"/>
      <w:marRight w:val="0"/>
      <w:marTop w:val="0"/>
      <w:marBottom w:val="0"/>
      <w:divBdr>
        <w:top w:val="none" w:sz="0" w:space="0" w:color="auto"/>
        <w:left w:val="none" w:sz="0" w:space="0" w:color="auto"/>
        <w:bottom w:val="none" w:sz="0" w:space="0" w:color="auto"/>
        <w:right w:val="none" w:sz="0" w:space="0" w:color="auto"/>
      </w:divBdr>
    </w:div>
    <w:div w:id="38482908">
      <w:bodyDiv w:val="1"/>
      <w:marLeft w:val="0"/>
      <w:marRight w:val="0"/>
      <w:marTop w:val="0"/>
      <w:marBottom w:val="0"/>
      <w:divBdr>
        <w:top w:val="none" w:sz="0" w:space="0" w:color="auto"/>
        <w:left w:val="none" w:sz="0" w:space="0" w:color="auto"/>
        <w:bottom w:val="none" w:sz="0" w:space="0" w:color="auto"/>
        <w:right w:val="none" w:sz="0" w:space="0" w:color="auto"/>
      </w:divBdr>
    </w:div>
    <w:div w:id="39020328">
      <w:bodyDiv w:val="1"/>
      <w:marLeft w:val="0"/>
      <w:marRight w:val="0"/>
      <w:marTop w:val="0"/>
      <w:marBottom w:val="0"/>
      <w:divBdr>
        <w:top w:val="none" w:sz="0" w:space="0" w:color="auto"/>
        <w:left w:val="none" w:sz="0" w:space="0" w:color="auto"/>
        <w:bottom w:val="none" w:sz="0" w:space="0" w:color="auto"/>
        <w:right w:val="none" w:sz="0" w:space="0" w:color="auto"/>
      </w:divBdr>
      <w:divsChild>
        <w:div w:id="1671715012">
          <w:marLeft w:val="0"/>
          <w:marRight w:val="0"/>
          <w:marTop w:val="0"/>
          <w:marBottom w:val="0"/>
          <w:divBdr>
            <w:top w:val="none" w:sz="0" w:space="0" w:color="auto"/>
            <w:left w:val="none" w:sz="0" w:space="0" w:color="auto"/>
            <w:bottom w:val="none" w:sz="0" w:space="0" w:color="auto"/>
            <w:right w:val="none" w:sz="0" w:space="0" w:color="auto"/>
          </w:divBdr>
        </w:div>
      </w:divsChild>
    </w:div>
    <w:div w:id="39327168">
      <w:bodyDiv w:val="1"/>
      <w:marLeft w:val="0"/>
      <w:marRight w:val="0"/>
      <w:marTop w:val="0"/>
      <w:marBottom w:val="0"/>
      <w:divBdr>
        <w:top w:val="none" w:sz="0" w:space="0" w:color="auto"/>
        <w:left w:val="none" w:sz="0" w:space="0" w:color="auto"/>
        <w:bottom w:val="none" w:sz="0" w:space="0" w:color="auto"/>
        <w:right w:val="none" w:sz="0" w:space="0" w:color="auto"/>
      </w:divBdr>
    </w:div>
    <w:div w:id="42606998">
      <w:bodyDiv w:val="1"/>
      <w:marLeft w:val="0"/>
      <w:marRight w:val="0"/>
      <w:marTop w:val="0"/>
      <w:marBottom w:val="0"/>
      <w:divBdr>
        <w:top w:val="none" w:sz="0" w:space="0" w:color="auto"/>
        <w:left w:val="none" w:sz="0" w:space="0" w:color="auto"/>
        <w:bottom w:val="none" w:sz="0" w:space="0" w:color="auto"/>
        <w:right w:val="none" w:sz="0" w:space="0" w:color="auto"/>
      </w:divBdr>
    </w:div>
    <w:div w:id="44527400">
      <w:bodyDiv w:val="1"/>
      <w:marLeft w:val="0"/>
      <w:marRight w:val="0"/>
      <w:marTop w:val="0"/>
      <w:marBottom w:val="0"/>
      <w:divBdr>
        <w:top w:val="none" w:sz="0" w:space="0" w:color="auto"/>
        <w:left w:val="none" w:sz="0" w:space="0" w:color="auto"/>
        <w:bottom w:val="none" w:sz="0" w:space="0" w:color="auto"/>
        <w:right w:val="none" w:sz="0" w:space="0" w:color="auto"/>
      </w:divBdr>
    </w:div>
    <w:div w:id="47262100">
      <w:bodyDiv w:val="1"/>
      <w:marLeft w:val="0"/>
      <w:marRight w:val="0"/>
      <w:marTop w:val="0"/>
      <w:marBottom w:val="0"/>
      <w:divBdr>
        <w:top w:val="none" w:sz="0" w:space="0" w:color="auto"/>
        <w:left w:val="none" w:sz="0" w:space="0" w:color="auto"/>
        <w:bottom w:val="none" w:sz="0" w:space="0" w:color="auto"/>
        <w:right w:val="none" w:sz="0" w:space="0" w:color="auto"/>
      </w:divBdr>
    </w:div>
    <w:div w:id="49698225">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61490532">
      <w:bodyDiv w:val="1"/>
      <w:marLeft w:val="0"/>
      <w:marRight w:val="0"/>
      <w:marTop w:val="0"/>
      <w:marBottom w:val="0"/>
      <w:divBdr>
        <w:top w:val="none" w:sz="0" w:space="0" w:color="auto"/>
        <w:left w:val="none" w:sz="0" w:space="0" w:color="auto"/>
        <w:bottom w:val="none" w:sz="0" w:space="0" w:color="auto"/>
        <w:right w:val="none" w:sz="0" w:space="0" w:color="auto"/>
      </w:divBdr>
    </w:div>
    <w:div w:id="64766789">
      <w:bodyDiv w:val="1"/>
      <w:marLeft w:val="0"/>
      <w:marRight w:val="0"/>
      <w:marTop w:val="0"/>
      <w:marBottom w:val="0"/>
      <w:divBdr>
        <w:top w:val="none" w:sz="0" w:space="0" w:color="auto"/>
        <w:left w:val="none" w:sz="0" w:space="0" w:color="auto"/>
        <w:bottom w:val="none" w:sz="0" w:space="0" w:color="auto"/>
        <w:right w:val="none" w:sz="0" w:space="0" w:color="auto"/>
      </w:divBdr>
      <w:divsChild>
        <w:div w:id="872351427">
          <w:marLeft w:val="0"/>
          <w:marRight w:val="0"/>
          <w:marTop w:val="0"/>
          <w:marBottom w:val="0"/>
          <w:divBdr>
            <w:top w:val="none" w:sz="0" w:space="0" w:color="auto"/>
            <w:left w:val="none" w:sz="0" w:space="0" w:color="auto"/>
            <w:bottom w:val="none" w:sz="0" w:space="0" w:color="auto"/>
            <w:right w:val="none" w:sz="0" w:space="0" w:color="auto"/>
          </w:divBdr>
        </w:div>
      </w:divsChild>
    </w:div>
    <w:div w:id="65959251">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7867990">
      <w:bodyDiv w:val="1"/>
      <w:marLeft w:val="0"/>
      <w:marRight w:val="0"/>
      <w:marTop w:val="0"/>
      <w:marBottom w:val="0"/>
      <w:divBdr>
        <w:top w:val="none" w:sz="0" w:space="0" w:color="auto"/>
        <w:left w:val="none" w:sz="0" w:space="0" w:color="auto"/>
        <w:bottom w:val="none" w:sz="0" w:space="0" w:color="auto"/>
        <w:right w:val="none" w:sz="0" w:space="0" w:color="auto"/>
      </w:divBdr>
      <w:divsChild>
        <w:div w:id="1046754921">
          <w:marLeft w:val="0"/>
          <w:marRight w:val="0"/>
          <w:marTop w:val="0"/>
          <w:marBottom w:val="0"/>
          <w:divBdr>
            <w:top w:val="none" w:sz="0" w:space="0" w:color="auto"/>
            <w:left w:val="none" w:sz="0" w:space="0" w:color="auto"/>
            <w:bottom w:val="none" w:sz="0" w:space="0" w:color="auto"/>
            <w:right w:val="none" w:sz="0" w:space="0" w:color="auto"/>
          </w:divBdr>
        </w:div>
      </w:divsChild>
    </w:div>
    <w:div w:id="78260771">
      <w:bodyDiv w:val="1"/>
      <w:marLeft w:val="0"/>
      <w:marRight w:val="0"/>
      <w:marTop w:val="0"/>
      <w:marBottom w:val="0"/>
      <w:divBdr>
        <w:top w:val="none" w:sz="0" w:space="0" w:color="auto"/>
        <w:left w:val="none" w:sz="0" w:space="0" w:color="auto"/>
        <w:bottom w:val="none" w:sz="0" w:space="0" w:color="auto"/>
        <w:right w:val="none" w:sz="0" w:space="0" w:color="auto"/>
      </w:divBdr>
    </w:div>
    <w:div w:id="78602948">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81993706">
      <w:bodyDiv w:val="1"/>
      <w:marLeft w:val="0"/>
      <w:marRight w:val="0"/>
      <w:marTop w:val="0"/>
      <w:marBottom w:val="0"/>
      <w:divBdr>
        <w:top w:val="none" w:sz="0" w:space="0" w:color="auto"/>
        <w:left w:val="none" w:sz="0" w:space="0" w:color="auto"/>
        <w:bottom w:val="none" w:sz="0" w:space="0" w:color="auto"/>
        <w:right w:val="none" w:sz="0" w:space="0" w:color="auto"/>
      </w:divBdr>
    </w:div>
    <w:div w:id="86199920">
      <w:bodyDiv w:val="1"/>
      <w:marLeft w:val="0"/>
      <w:marRight w:val="0"/>
      <w:marTop w:val="0"/>
      <w:marBottom w:val="0"/>
      <w:divBdr>
        <w:top w:val="none" w:sz="0" w:space="0" w:color="auto"/>
        <w:left w:val="none" w:sz="0" w:space="0" w:color="auto"/>
        <w:bottom w:val="none" w:sz="0" w:space="0" w:color="auto"/>
        <w:right w:val="none" w:sz="0" w:space="0" w:color="auto"/>
      </w:divBdr>
    </w:div>
    <w:div w:id="90321237">
      <w:bodyDiv w:val="1"/>
      <w:marLeft w:val="0"/>
      <w:marRight w:val="0"/>
      <w:marTop w:val="0"/>
      <w:marBottom w:val="0"/>
      <w:divBdr>
        <w:top w:val="none" w:sz="0" w:space="0" w:color="auto"/>
        <w:left w:val="none" w:sz="0" w:space="0" w:color="auto"/>
        <w:bottom w:val="none" w:sz="0" w:space="0" w:color="auto"/>
        <w:right w:val="none" w:sz="0" w:space="0" w:color="auto"/>
      </w:divBdr>
    </w:div>
    <w:div w:id="93676734">
      <w:bodyDiv w:val="1"/>
      <w:marLeft w:val="0"/>
      <w:marRight w:val="0"/>
      <w:marTop w:val="0"/>
      <w:marBottom w:val="0"/>
      <w:divBdr>
        <w:top w:val="none" w:sz="0" w:space="0" w:color="auto"/>
        <w:left w:val="none" w:sz="0" w:space="0" w:color="auto"/>
        <w:bottom w:val="none" w:sz="0" w:space="0" w:color="auto"/>
        <w:right w:val="none" w:sz="0" w:space="0" w:color="auto"/>
      </w:divBdr>
    </w:div>
    <w:div w:id="100035097">
      <w:bodyDiv w:val="1"/>
      <w:marLeft w:val="0"/>
      <w:marRight w:val="0"/>
      <w:marTop w:val="0"/>
      <w:marBottom w:val="0"/>
      <w:divBdr>
        <w:top w:val="none" w:sz="0" w:space="0" w:color="auto"/>
        <w:left w:val="none" w:sz="0" w:space="0" w:color="auto"/>
        <w:bottom w:val="none" w:sz="0" w:space="0" w:color="auto"/>
        <w:right w:val="none" w:sz="0" w:space="0" w:color="auto"/>
      </w:divBdr>
    </w:div>
    <w:div w:id="102237776">
      <w:bodyDiv w:val="1"/>
      <w:marLeft w:val="0"/>
      <w:marRight w:val="0"/>
      <w:marTop w:val="0"/>
      <w:marBottom w:val="0"/>
      <w:divBdr>
        <w:top w:val="none" w:sz="0" w:space="0" w:color="auto"/>
        <w:left w:val="none" w:sz="0" w:space="0" w:color="auto"/>
        <w:bottom w:val="none" w:sz="0" w:space="0" w:color="auto"/>
        <w:right w:val="none" w:sz="0" w:space="0" w:color="auto"/>
      </w:divBdr>
    </w:div>
    <w:div w:id="109008514">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27360831">
      <w:bodyDiv w:val="1"/>
      <w:marLeft w:val="0"/>
      <w:marRight w:val="0"/>
      <w:marTop w:val="0"/>
      <w:marBottom w:val="0"/>
      <w:divBdr>
        <w:top w:val="none" w:sz="0" w:space="0" w:color="auto"/>
        <w:left w:val="none" w:sz="0" w:space="0" w:color="auto"/>
        <w:bottom w:val="none" w:sz="0" w:space="0" w:color="auto"/>
        <w:right w:val="none" w:sz="0" w:space="0" w:color="auto"/>
      </w:divBdr>
    </w:div>
    <w:div w:id="128784830">
      <w:bodyDiv w:val="1"/>
      <w:marLeft w:val="0"/>
      <w:marRight w:val="0"/>
      <w:marTop w:val="0"/>
      <w:marBottom w:val="0"/>
      <w:divBdr>
        <w:top w:val="none" w:sz="0" w:space="0" w:color="auto"/>
        <w:left w:val="none" w:sz="0" w:space="0" w:color="auto"/>
        <w:bottom w:val="none" w:sz="0" w:space="0" w:color="auto"/>
        <w:right w:val="none" w:sz="0" w:space="0" w:color="auto"/>
      </w:divBdr>
      <w:divsChild>
        <w:div w:id="283460112">
          <w:marLeft w:val="0"/>
          <w:marRight w:val="0"/>
          <w:marTop w:val="0"/>
          <w:marBottom w:val="0"/>
          <w:divBdr>
            <w:top w:val="none" w:sz="0" w:space="0" w:color="auto"/>
            <w:left w:val="none" w:sz="0" w:space="0" w:color="auto"/>
            <w:bottom w:val="none" w:sz="0" w:space="0" w:color="auto"/>
            <w:right w:val="none" w:sz="0" w:space="0" w:color="auto"/>
          </w:divBdr>
        </w:div>
      </w:divsChild>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45815">
      <w:bodyDiv w:val="1"/>
      <w:marLeft w:val="0"/>
      <w:marRight w:val="0"/>
      <w:marTop w:val="0"/>
      <w:marBottom w:val="0"/>
      <w:divBdr>
        <w:top w:val="none" w:sz="0" w:space="0" w:color="auto"/>
        <w:left w:val="none" w:sz="0" w:space="0" w:color="auto"/>
        <w:bottom w:val="none" w:sz="0" w:space="0" w:color="auto"/>
        <w:right w:val="none" w:sz="0" w:space="0" w:color="auto"/>
      </w:divBdr>
    </w:div>
    <w:div w:id="147481653">
      <w:bodyDiv w:val="1"/>
      <w:marLeft w:val="0"/>
      <w:marRight w:val="0"/>
      <w:marTop w:val="0"/>
      <w:marBottom w:val="0"/>
      <w:divBdr>
        <w:top w:val="none" w:sz="0" w:space="0" w:color="auto"/>
        <w:left w:val="none" w:sz="0" w:space="0" w:color="auto"/>
        <w:bottom w:val="none" w:sz="0" w:space="0" w:color="auto"/>
        <w:right w:val="none" w:sz="0" w:space="0" w:color="auto"/>
      </w:divBdr>
    </w:div>
    <w:div w:id="149106779">
      <w:bodyDiv w:val="1"/>
      <w:marLeft w:val="0"/>
      <w:marRight w:val="0"/>
      <w:marTop w:val="0"/>
      <w:marBottom w:val="0"/>
      <w:divBdr>
        <w:top w:val="none" w:sz="0" w:space="0" w:color="auto"/>
        <w:left w:val="none" w:sz="0" w:space="0" w:color="auto"/>
        <w:bottom w:val="none" w:sz="0" w:space="0" w:color="auto"/>
        <w:right w:val="none" w:sz="0" w:space="0" w:color="auto"/>
      </w:divBdr>
    </w:div>
    <w:div w:id="151679611">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58737358">
      <w:bodyDiv w:val="1"/>
      <w:marLeft w:val="0"/>
      <w:marRight w:val="0"/>
      <w:marTop w:val="0"/>
      <w:marBottom w:val="0"/>
      <w:divBdr>
        <w:top w:val="none" w:sz="0" w:space="0" w:color="auto"/>
        <w:left w:val="none" w:sz="0" w:space="0" w:color="auto"/>
        <w:bottom w:val="none" w:sz="0" w:space="0" w:color="auto"/>
        <w:right w:val="none" w:sz="0" w:space="0" w:color="auto"/>
      </w:divBdr>
    </w:div>
    <w:div w:id="159390996">
      <w:bodyDiv w:val="1"/>
      <w:marLeft w:val="0"/>
      <w:marRight w:val="0"/>
      <w:marTop w:val="0"/>
      <w:marBottom w:val="0"/>
      <w:divBdr>
        <w:top w:val="none" w:sz="0" w:space="0" w:color="auto"/>
        <w:left w:val="none" w:sz="0" w:space="0" w:color="auto"/>
        <w:bottom w:val="none" w:sz="0" w:space="0" w:color="auto"/>
        <w:right w:val="none" w:sz="0" w:space="0" w:color="auto"/>
      </w:divBdr>
    </w:div>
    <w:div w:id="162205467">
      <w:bodyDiv w:val="1"/>
      <w:marLeft w:val="0"/>
      <w:marRight w:val="0"/>
      <w:marTop w:val="0"/>
      <w:marBottom w:val="0"/>
      <w:divBdr>
        <w:top w:val="none" w:sz="0" w:space="0" w:color="auto"/>
        <w:left w:val="none" w:sz="0" w:space="0" w:color="auto"/>
        <w:bottom w:val="none" w:sz="0" w:space="0" w:color="auto"/>
        <w:right w:val="none" w:sz="0" w:space="0" w:color="auto"/>
      </w:divBdr>
    </w:div>
    <w:div w:id="170413016">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77548251">
      <w:bodyDiv w:val="1"/>
      <w:marLeft w:val="0"/>
      <w:marRight w:val="0"/>
      <w:marTop w:val="0"/>
      <w:marBottom w:val="0"/>
      <w:divBdr>
        <w:top w:val="none" w:sz="0" w:space="0" w:color="auto"/>
        <w:left w:val="none" w:sz="0" w:space="0" w:color="auto"/>
        <w:bottom w:val="none" w:sz="0" w:space="0" w:color="auto"/>
        <w:right w:val="none" w:sz="0" w:space="0" w:color="auto"/>
      </w:divBdr>
    </w:div>
    <w:div w:id="178197588">
      <w:bodyDiv w:val="1"/>
      <w:marLeft w:val="0"/>
      <w:marRight w:val="0"/>
      <w:marTop w:val="0"/>
      <w:marBottom w:val="0"/>
      <w:divBdr>
        <w:top w:val="none" w:sz="0" w:space="0" w:color="auto"/>
        <w:left w:val="none" w:sz="0" w:space="0" w:color="auto"/>
        <w:bottom w:val="none" w:sz="0" w:space="0" w:color="auto"/>
        <w:right w:val="none" w:sz="0" w:space="0" w:color="auto"/>
      </w:divBdr>
    </w:div>
    <w:div w:id="182790000">
      <w:bodyDiv w:val="1"/>
      <w:marLeft w:val="0"/>
      <w:marRight w:val="0"/>
      <w:marTop w:val="0"/>
      <w:marBottom w:val="0"/>
      <w:divBdr>
        <w:top w:val="none" w:sz="0" w:space="0" w:color="auto"/>
        <w:left w:val="none" w:sz="0" w:space="0" w:color="auto"/>
        <w:bottom w:val="none" w:sz="0" w:space="0" w:color="auto"/>
        <w:right w:val="none" w:sz="0" w:space="0" w:color="auto"/>
      </w:divBdr>
    </w:div>
    <w:div w:id="185142543">
      <w:bodyDiv w:val="1"/>
      <w:marLeft w:val="0"/>
      <w:marRight w:val="0"/>
      <w:marTop w:val="0"/>
      <w:marBottom w:val="0"/>
      <w:divBdr>
        <w:top w:val="none" w:sz="0" w:space="0" w:color="auto"/>
        <w:left w:val="none" w:sz="0" w:space="0" w:color="auto"/>
        <w:bottom w:val="none" w:sz="0" w:space="0" w:color="auto"/>
        <w:right w:val="none" w:sz="0" w:space="0" w:color="auto"/>
      </w:divBdr>
    </w:div>
    <w:div w:id="188179665">
      <w:bodyDiv w:val="1"/>
      <w:marLeft w:val="0"/>
      <w:marRight w:val="0"/>
      <w:marTop w:val="0"/>
      <w:marBottom w:val="0"/>
      <w:divBdr>
        <w:top w:val="none" w:sz="0" w:space="0" w:color="auto"/>
        <w:left w:val="none" w:sz="0" w:space="0" w:color="auto"/>
        <w:bottom w:val="none" w:sz="0" w:space="0" w:color="auto"/>
        <w:right w:val="none" w:sz="0" w:space="0" w:color="auto"/>
      </w:divBdr>
      <w:divsChild>
        <w:div w:id="653336248">
          <w:marLeft w:val="0"/>
          <w:marRight w:val="0"/>
          <w:marTop w:val="0"/>
          <w:marBottom w:val="0"/>
          <w:divBdr>
            <w:top w:val="none" w:sz="0" w:space="0" w:color="auto"/>
            <w:left w:val="none" w:sz="0" w:space="0" w:color="auto"/>
            <w:bottom w:val="none" w:sz="0" w:space="0" w:color="auto"/>
            <w:right w:val="none" w:sz="0" w:space="0" w:color="auto"/>
          </w:divBdr>
        </w:div>
      </w:divsChild>
    </w:div>
    <w:div w:id="194387919">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197739570">
      <w:bodyDiv w:val="1"/>
      <w:marLeft w:val="0"/>
      <w:marRight w:val="0"/>
      <w:marTop w:val="0"/>
      <w:marBottom w:val="0"/>
      <w:divBdr>
        <w:top w:val="none" w:sz="0" w:space="0" w:color="auto"/>
        <w:left w:val="none" w:sz="0" w:space="0" w:color="auto"/>
        <w:bottom w:val="none" w:sz="0" w:space="0" w:color="auto"/>
        <w:right w:val="none" w:sz="0" w:space="0" w:color="auto"/>
      </w:divBdr>
    </w:div>
    <w:div w:id="198864661">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9659547">
      <w:bodyDiv w:val="1"/>
      <w:marLeft w:val="0"/>
      <w:marRight w:val="0"/>
      <w:marTop w:val="0"/>
      <w:marBottom w:val="0"/>
      <w:divBdr>
        <w:top w:val="none" w:sz="0" w:space="0" w:color="auto"/>
        <w:left w:val="none" w:sz="0" w:space="0" w:color="auto"/>
        <w:bottom w:val="none" w:sz="0" w:space="0" w:color="auto"/>
        <w:right w:val="none" w:sz="0" w:space="0" w:color="auto"/>
      </w:divBdr>
      <w:divsChild>
        <w:div w:id="598416725">
          <w:marLeft w:val="0"/>
          <w:marRight w:val="0"/>
          <w:marTop w:val="0"/>
          <w:marBottom w:val="0"/>
          <w:divBdr>
            <w:top w:val="none" w:sz="0" w:space="0" w:color="auto"/>
            <w:left w:val="none" w:sz="0" w:space="0" w:color="auto"/>
            <w:bottom w:val="none" w:sz="0" w:space="0" w:color="auto"/>
            <w:right w:val="none" w:sz="0" w:space="0" w:color="auto"/>
          </w:divBdr>
        </w:div>
        <w:div w:id="676540594">
          <w:marLeft w:val="0"/>
          <w:marRight w:val="0"/>
          <w:marTop w:val="0"/>
          <w:marBottom w:val="0"/>
          <w:divBdr>
            <w:top w:val="none" w:sz="0" w:space="0" w:color="auto"/>
            <w:left w:val="none" w:sz="0" w:space="0" w:color="auto"/>
            <w:bottom w:val="none" w:sz="0" w:space="0" w:color="auto"/>
            <w:right w:val="none" w:sz="0" w:space="0" w:color="auto"/>
          </w:divBdr>
        </w:div>
        <w:div w:id="1290932876">
          <w:marLeft w:val="0"/>
          <w:marRight w:val="0"/>
          <w:marTop w:val="0"/>
          <w:marBottom w:val="0"/>
          <w:divBdr>
            <w:top w:val="none" w:sz="0" w:space="0" w:color="auto"/>
            <w:left w:val="none" w:sz="0" w:space="0" w:color="auto"/>
            <w:bottom w:val="none" w:sz="0" w:space="0" w:color="auto"/>
            <w:right w:val="none" w:sz="0" w:space="0" w:color="auto"/>
          </w:divBdr>
        </w:div>
      </w:divsChild>
    </w:div>
    <w:div w:id="221452626">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45308846">
      <w:bodyDiv w:val="1"/>
      <w:marLeft w:val="0"/>
      <w:marRight w:val="0"/>
      <w:marTop w:val="0"/>
      <w:marBottom w:val="0"/>
      <w:divBdr>
        <w:top w:val="none" w:sz="0" w:space="0" w:color="auto"/>
        <w:left w:val="none" w:sz="0" w:space="0" w:color="auto"/>
        <w:bottom w:val="none" w:sz="0" w:space="0" w:color="auto"/>
        <w:right w:val="none" w:sz="0" w:space="0" w:color="auto"/>
      </w:divBdr>
    </w:div>
    <w:div w:id="250309872">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60798913">
      <w:bodyDiv w:val="1"/>
      <w:marLeft w:val="0"/>
      <w:marRight w:val="0"/>
      <w:marTop w:val="0"/>
      <w:marBottom w:val="0"/>
      <w:divBdr>
        <w:top w:val="none" w:sz="0" w:space="0" w:color="auto"/>
        <w:left w:val="none" w:sz="0" w:space="0" w:color="auto"/>
        <w:bottom w:val="none" w:sz="0" w:space="0" w:color="auto"/>
        <w:right w:val="none" w:sz="0" w:space="0" w:color="auto"/>
      </w:divBdr>
      <w:divsChild>
        <w:div w:id="966937866">
          <w:marLeft w:val="0"/>
          <w:marRight w:val="0"/>
          <w:marTop w:val="0"/>
          <w:marBottom w:val="0"/>
          <w:divBdr>
            <w:top w:val="none" w:sz="0" w:space="0" w:color="auto"/>
            <w:left w:val="none" w:sz="0" w:space="0" w:color="auto"/>
            <w:bottom w:val="none" w:sz="0" w:space="0" w:color="auto"/>
            <w:right w:val="none" w:sz="0" w:space="0" w:color="auto"/>
          </w:divBdr>
        </w:div>
      </w:divsChild>
    </w:div>
    <w:div w:id="261110226">
      <w:bodyDiv w:val="1"/>
      <w:marLeft w:val="0"/>
      <w:marRight w:val="0"/>
      <w:marTop w:val="0"/>
      <w:marBottom w:val="0"/>
      <w:divBdr>
        <w:top w:val="none" w:sz="0" w:space="0" w:color="auto"/>
        <w:left w:val="none" w:sz="0" w:space="0" w:color="auto"/>
        <w:bottom w:val="none" w:sz="0" w:space="0" w:color="auto"/>
        <w:right w:val="none" w:sz="0" w:space="0" w:color="auto"/>
      </w:divBdr>
    </w:div>
    <w:div w:id="262148266">
      <w:bodyDiv w:val="1"/>
      <w:marLeft w:val="0"/>
      <w:marRight w:val="0"/>
      <w:marTop w:val="0"/>
      <w:marBottom w:val="0"/>
      <w:divBdr>
        <w:top w:val="none" w:sz="0" w:space="0" w:color="auto"/>
        <w:left w:val="none" w:sz="0" w:space="0" w:color="auto"/>
        <w:bottom w:val="none" w:sz="0" w:space="0" w:color="auto"/>
        <w:right w:val="none" w:sz="0" w:space="0" w:color="auto"/>
      </w:divBdr>
    </w:div>
    <w:div w:id="266550285">
      <w:bodyDiv w:val="1"/>
      <w:marLeft w:val="0"/>
      <w:marRight w:val="0"/>
      <w:marTop w:val="0"/>
      <w:marBottom w:val="0"/>
      <w:divBdr>
        <w:top w:val="none" w:sz="0" w:space="0" w:color="auto"/>
        <w:left w:val="none" w:sz="0" w:space="0" w:color="auto"/>
        <w:bottom w:val="none" w:sz="0" w:space="0" w:color="auto"/>
        <w:right w:val="none" w:sz="0" w:space="0" w:color="auto"/>
      </w:divBdr>
    </w:div>
    <w:div w:id="267275745">
      <w:bodyDiv w:val="1"/>
      <w:marLeft w:val="0"/>
      <w:marRight w:val="0"/>
      <w:marTop w:val="0"/>
      <w:marBottom w:val="0"/>
      <w:divBdr>
        <w:top w:val="none" w:sz="0" w:space="0" w:color="auto"/>
        <w:left w:val="none" w:sz="0" w:space="0" w:color="auto"/>
        <w:bottom w:val="none" w:sz="0" w:space="0" w:color="auto"/>
        <w:right w:val="none" w:sz="0" w:space="0" w:color="auto"/>
      </w:divBdr>
    </w:div>
    <w:div w:id="269170932">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77833250">
      <w:bodyDiv w:val="1"/>
      <w:marLeft w:val="0"/>
      <w:marRight w:val="0"/>
      <w:marTop w:val="0"/>
      <w:marBottom w:val="0"/>
      <w:divBdr>
        <w:top w:val="none" w:sz="0" w:space="0" w:color="auto"/>
        <w:left w:val="none" w:sz="0" w:space="0" w:color="auto"/>
        <w:bottom w:val="none" w:sz="0" w:space="0" w:color="auto"/>
        <w:right w:val="none" w:sz="0" w:space="0" w:color="auto"/>
      </w:divBdr>
    </w:div>
    <w:div w:id="278028945">
      <w:bodyDiv w:val="1"/>
      <w:marLeft w:val="0"/>
      <w:marRight w:val="0"/>
      <w:marTop w:val="0"/>
      <w:marBottom w:val="0"/>
      <w:divBdr>
        <w:top w:val="none" w:sz="0" w:space="0" w:color="auto"/>
        <w:left w:val="none" w:sz="0" w:space="0" w:color="auto"/>
        <w:bottom w:val="none" w:sz="0" w:space="0" w:color="auto"/>
        <w:right w:val="none" w:sz="0" w:space="0" w:color="auto"/>
      </w:divBdr>
    </w:div>
    <w:div w:id="283926532">
      <w:bodyDiv w:val="1"/>
      <w:marLeft w:val="0"/>
      <w:marRight w:val="0"/>
      <w:marTop w:val="0"/>
      <w:marBottom w:val="0"/>
      <w:divBdr>
        <w:top w:val="none" w:sz="0" w:space="0" w:color="auto"/>
        <w:left w:val="none" w:sz="0" w:space="0" w:color="auto"/>
        <w:bottom w:val="none" w:sz="0" w:space="0" w:color="auto"/>
        <w:right w:val="none" w:sz="0" w:space="0" w:color="auto"/>
      </w:divBdr>
    </w:div>
    <w:div w:id="284431974">
      <w:bodyDiv w:val="1"/>
      <w:marLeft w:val="0"/>
      <w:marRight w:val="0"/>
      <w:marTop w:val="0"/>
      <w:marBottom w:val="0"/>
      <w:divBdr>
        <w:top w:val="none" w:sz="0" w:space="0" w:color="auto"/>
        <w:left w:val="none" w:sz="0" w:space="0" w:color="auto"/>
        <w:bottom w:val="none" w:sz="0" w:space="0" w:color="auto"/>
        <w:right w:val="none" w:sz="0" w:space="0" w:color="auto"/>
      </w:divBdr>
    </w:div>
    <w:div w:id="284581089">
      <w:bodyDiv w:val="1"/>
      <w:marLeft w:val="0"/>
      <w:marRight w:val="0"/>
      <w:marTop w:val="0"/>
      <w:marBottom w:val="0"/>
      <w:divBdr>
        <w:top w:val="none" w:sz="0" w:space="0" w:color="auto"/>
        <w:left w:val="none" w:sz="0" w:space="0" w:color="auto"/>
        <w:bottom w:val="none" w:sz="0" w:space="0" w:color="auto"/>
        <w:right w:val="none" w:sz="0" w:space="0" w:color="auto"/>
      </w:divBdr>
    </w:div>
    <w:div w:id="286621480">
      <w:bodyDiv w:val="1"/>
      <w:marLeft w:val="0"/>
      <w:marRight w:val="0"/>
      <w:marTop w:val="0"/>
      <w:marBottom w:val="0"/>
      <w:divBdr>
        <w:top w:val="none" w:sz="0" w:space="0" w:color="auto"/>
        <w:left w:val="none" w:sz="0" w:space="0" w:color="auto"/>
        <w:bottom w:val="none" w:sz="0" w:space="0" w:color="auto"/>
        <w:right w:val="none" w:sz="0" w:space="0" w:color="auto"/>
      </w:divBdr>
    </w:div>
    <w:div w:id="287012127">
      <w:bodyDiv w:val="1"/>
      <w:marLeft w:val="0"/>
      <w:marRight w:val="0"/>
      <w:marTop w:val="0"/>
      <w:marBottom w:val="0"/>
      <w:divBdr>
        <w:top w:val="none" w:sz="0" w:space="0" w:color="auto"/>
        <w:left w:val="none" w:sz="0" w:space="0" w:color="auto"/>
        <w:bottom w:val="none" w:sz="0" w:space="0" w:color="auto"/>
        <w:right w:val="none" w:sz="0" w:space="0" w:color="auto"/>
      </w:divBdr>
    </w:div>
    <w:div w:id="287126852">
      <w:bodyDiv w:val="1"/>
      <w:marLeft w:val="0"/>
      <w:marRight w:val="0"/>
      <w:marTop w:val="0"/>
      <w:marBottom w:val="0"/>
      <w:divBdr>
        <w:top w:val="none" w:sz="0" w:space="0" w:color="auto"/>
        <w:left w:val="none" w:sz="0" w:space="0" w:color="auto"/>
        <w:bottom w:val="none" w:sz="0" w:space="0" w:color="auto"/>
        <w:right w:val="none" w:sz="0" w:space="0" w:color="auto"/>
      </w:divBdr>
    </w:div>
    <w:div w:id="290595589">
      <w:bodyDiv w:val="1"/>
      <w:marLeft w:val="0"/>
      <w:marRight w:val="0"/>
      <w:marTop w:val="0"/>
      <w:marBottom w:val="0"/>
      <w:divBdr>
        <w:top w:val="none" w:sz="0" w:space="0" w:color="auto"/>
        <w:left w:val="none" w:sz="0" w:space="0" w:color="auto"/>
        <w:bottom w:val="none" w:sz="0" w:space="0" w:color="auto"/>
        <w:right w:val="none" w:sz="0" w:space="0" w:color="auto"/>
      </w:divBdr>
    </w:div>
    <w:div w:id="303504638">
      <w:bodyDiv w:val="1"/>
      <w:marLeft w:val="0"/>
      <w:marRight w:val="0"/>
      <w:marTop w:val="0"/>
      <w:marBottom w:val="0"/>
      <w:divBdr>
        <w:top w:val="none" w:sz="0" w:space="0" w:color="auto"/>
        <w:left w:val="none" w:sz="0" w:space="0" w:color="auto"/>
        <w:bottom w:val="none" w:sz="0" w:space="0" w:color="auto"/>
        <w:right w:val="none" w:sz="0" w:space="0" w:color="auto"/>
      </w:divBdr>
    </w:div>
    <w:div w:id="305866709">
      <w:bodyDiv w:val="1"/>
      <w:marLeft w:val="0"/>
      <w:marRight w:val="0"/>
      <w:marTop w:val="0"/>
      <w:marBottom w:val="0"/>
      <w:divBdr>
        <w:top w:val="none" w:sz="0" w:space="0" w:color="auto"/>
        <w:left w:val="none" w:sz="0" w:space="0" w:color="auto"/>
        <w:bottom w:val="none" w:sz="0" w:space="0" w:color="auto"/>
        <w:right w:val="none" w:sz="0" w:space="0" w:color="auto"/>
      </w:divBdr>
    </w:div>
    <w:div w:id="307396148">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12804607">
      <w:bodyDiv w:val="1"/>
      <w:marLeft w:val="0"/>
      <w:marRight w:val="0"/>
      <w:marTop w:val="0"/>
      <w:marBottom w:val="0"/>
      <w:divBdr>
        <w:top w:val="none" w:sz="0" w:space="0" w:color="auto"/>
        <w:left w:val="none" w:sz="0" w:space="0" w:color="auto"/>
        <w:bottom w:val="none" w:sz="0" w:space="0" w:color="auto"/>
        <w:right w:val="none" w:sz="0" w:space="0" w:color="auto"/>
      </w:divBdr>
    </w:div>
    <w:div w:id="321204958">
      <w:bodyDiv w:val="1"/>
      <w:marLeft w:val="0"/>
      <w:marRight w:val="0"/>
      <w:marTop w:val="0"/>
      <w:marBottom w:val="0"/>
      <w:divBdr>
        <w:top w:val="none" w:sz="0" w:space="0" w:color="auto"/>
        <w:left w:val="none" w:sz="0" w:space="0" w:color="auto"/>
        <w:bottom w:val="none" w:sz="0" w:space="0" w:color="auto"/>
        <w:right w:val="none" w:sz="0" w:space="0" w:color="auto"/>
      </w:divBdr>
      <w:divsChild>
        <w:div w:id="1004867382">
          <w:marLeft w:val="0"/>
          <w:marRight w:val="0"/>
          <w:marTop w:val="0"/>
          <w:marBottom w:val="0"/>
          <w:divBdr>
            <w:top w:val="none" w:sz="0" w:space="0" w:color="auto"/>
            <w:left w:val="none" w:sz="0" w:space="0" w:color="auto"/>
            <w:bottom w:val="none" w:sz="0" w:space="0" w:color="auto"/>
            <w:right w:val="none" w:sz="0" w:space="0" w:color="auto"/>
          </w:divBdr>
        </w:div>
      </w:divsChild>
    </w:div>
    <w:div w:id="331102701">
      <w:bodyDiv w:val="1"/>
      <w:marLeft w:val="0"/>
      <w:marRight w:val="0"/>
      <w:marTop w:val="0"/>
      <w:marBottom w:val="0"/>
      <w:divBdr>
        <w:top w:val="none" w:sz="0" w:space="0" w:color="auto"/>
        <w:left w:val="none" w:sz="0" w:space="0" w:color="auto"/>
        <w:bottom w:val="none" w:sz="0" w:space="0" w:color="auto"/>
        <w:right w:val="none" w:sz="0" w:space="0" w:color="auto"/>
      </w:divBdr>
    </w:div>
    <w:div w:id="336275597">
      <w:bodyDiv w:val="1"/>
      <w:marLeft w:val="0"/>
      <w:marRight w:val="0"/>
      <w:marTop w:val="0"/>
      <w:marBottom w:val="0"/>
      <w:divBdr>
        <w:top w:val="none" w:sz="0" w:space="0" w:color="auto"/>
        <w:left w:val="none" w:sz="0" w:space="0" w:color="auto"/>
        <w:bottom w:val="none" w:sz="0" w:space="0" w:color="auto"/>
        <w:right w:val="none" w:sz="0" w:space="0" w:color="auto"/>
      </w:divBdr>
    </w:div>
    <w:div w:id="336277435">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44793966">
      <w:bodyDiv w:val="1"/>
      <w:marLeft w:val="0"/>
      <w:marRight w:val="0"/>
      <w:marTop w:val="0"/>
      <w:marBottom w:val="0"/>
      <w:divBdr>
        <w:top w:val="none" w:sz="0" w:space="0" w:color="auto"/>
        <w:left w:val="none" w:sz="0" w:space="0" w:color="auto"/>
        <w:bottom w:val="none" w:sz="0" w:space="0" w:color="auto"/>
        <w:right w:val="none" w:sz="0" w:space="0" w:color="auto"/>
      </w:divBdr>
    </w:div>
    <w:div w:id="350028983">
      <w:bodyDiv w:val="1"/>
      <w:marLeft w:val="0"/>
      <w:marRight w:val="0"/>
      <w:marTop w:val="0"/>
      <w:marBottom w:val="0"/>
      <w:divBdr>
        <w:top w:val="none" w:sz="0" w:space="0" w:color="auto"/>
        <w:left w:val="none" w:sz="0" w:space="0" w:color="auto"/>
        <w:bottom w:val="none" w:sz="0" w:space="0" w:color="auto"/>
        <w:right w:val="none" w:sz="0" w:space="0" w:color="auto"/>
      </w:divBdr>
    </w:div>
    <w:div w:id="36205195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0813506">
      <w:bodyDiv w:val="1"/>
      <w:marLeft w:val="0"/>
      <w:marRight w:val="0"/>
      <w:marTop w:val="0"/>
      <w:marBottom w:val="0"/>
      <w:divBdr>
        <w:top w:val="none" w:sz="0" w:space="0" w:color="auto"/>
        <w:left w:val="none" w:sz="0" w:space="0" w:color="auto"/>
        <w:bottom w:val="none" w:sz="0" w:space="0" w:color="auto"/>
        <w:right w:val="none" w:sz="0" w:space="0" w:color="auto"/>
      </w:divBdr>
    </w:div>
    <w:div w:id="373041757">
      <w:bodyDiv w:val="1"/>
      <w:marLeft w:val="0"/>
      <w:marRight w:val="0"/>
      <w:marTop w:val="0"/>
      <w:marBottom w:val="0"/>
      <w:divBdr>
        <w:top w:val="none" w:sz="0" w:space="0" w:color="auto"/>
        <w:left w:val="none" w:sz="0" w:space="0" w:color="auto"/>
        <w:bottom w:val="none" w:sz="0" w:space="0" w:color="auto"/>
        <w:right w:val="none" w:sz="0" w:space="0" w:color="auto"/>
      </w:divBdr>
      <w:divsChild>
        <w:div w:id="1023744636">
          <w:marLeft w:val="0"/>
          <w:marRight w:val="0"/>
          <w:marTop w:val="0"/>
          <w:marBottom w:val="0"/>
          <w:divBdr>
            <w:top w:val="none" w:sz="0" w:space="0" w:color="auto"/>
            <w:left w:val="none" w:sz="0" w:space="0" w:color="auto"/>
            <w:bottom w:val="none" w:sz="0" w:space="0" w:color="auto"/>
            <w:right w:val="none" w:sz="0" w:space="0" w:color="auto"/>
          </w:divBdr>
        </w:div>
      </w:divsChild>
    </w:div>
    <w:div w:id="373621871">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6244455">
      <w:bodyDiv w:val="1"/>
      <w:marLeft w:val="0"/>
      <w:marRight w:val="0"/>
      <w:marTop w:val="0"/>
      <w:marBottom w:val="0"/>
      <w:divBdr>
        <w:top w:val="none" w:sz="0" w:space="0" w:color="auto"/>
        <w:left w:val="none" w:sz="0" w:space="0" w:color="auto"/>
        <w:bottom w:val="none" w:sz="0" w:space="0" w:color="auto"/>
        <w:right w:val="none" w:sz="0" w:space="0" w:color="auto"/>
      </w:divBdr>
    </w:div>
    <w:div w:id="381639027">
      <w:bodyDiv w:val="1"/>
      <w:marLeft w:val="0"/>
      <w:marRight w:val="0"/>
      <w:marTop w:val="0"/>
      <w:marBottom w:val="0"/>
      <w:divBdr>
        <w:top w:val="none" w:sz="0" w:space="0" w:color="auto"/>
        <w:left w:val="none" w:sz="0" w:space="0" w:color="auto"/>
        <w:bottom w:val="none" w:sz="0" w:space="0" w:color="auto"/>
        <w:right w:val="none" w:sz="0" w:space="0" w:color="auto"/>
      </w:divBdr>
    </w:div>
    <w:div w:id="382952371">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18191">
      <w:bodyDiv w:val="1"/>
      <w:marLeft w:val="0"/>
      <w:marRight w:val="0"/>
      <w:marTop w:val="0"/>
      <w:marBottom w:val="0"/>
      <w:divBdr>
        <w:top w:val="none" w:sz="0" w:space="0" w:color="auto"/>
        <w:left w:val="none" w:sz="0" w:space="0" w:color="auto"/>
        <w:bottom w:val="none" w:sz="0" w:space="0" w:color="auto"/>
        <w:right w:val="none" w:sz="0" w:space="0" w:color="auto"/>
      </w:divBdr>
      <w:divsChild>
        <w:div w:id="727536316">
          <w:marLeft w:val="0"/>
          <w:marRight w:val="0"/>
          <w:marTop w:val="0"/>
          <w:marBottom w:val="0"/>
          <w:divBdr>
            <w:top w:val="none" w:sz="0" w:space="0" w:color="auto"/>
            <w:left w:val="none" w:sz="0" w:space="0" w:color="auto"/>
            <w:bottom w:val="none" w:sz="0" w:space="0" w:color="auto"/>
            <w:right w:val="none" w:sz="0" w:space="0" w:color="auto"/>
          </w:divBdr>
        </w:div>
      </w:divsChild>
    </w:div>
    <w:div w:id="426509607">
      <w:bodyDiv w:val="1"/>
      <w:marLeft w:val="0"/>
      <w:marRight w:val="0"/>
      <w:marTop w:val="0"/>
      <w:marBottom w:val="0"/>
      <w:divBdr>
        <w:top w:val="none" w:sz="0" w:space="0" w:color="auto"/>
        <w:left w:val="none" w:sz="0" w:space="0" w:color="auto"/>
        <w:bottom w:val="none" w:sz="0" w:space="0" w:color="auto"/>
        <w:right w:val="none" w:sz="0" w:space="0" w:color="auto"/>
      </w:divBdr>
    </w:div>
    <w:div w:id="428045846">
      <w:bodyDiv w:val="1"/>
      <w:marLeft w:val="0"/>
      <w:marRight w:val="0"/>
      <w:marTop w:val="0"/>
      <w:marBottom w:val="0"/>
      <w:divBdr>
        <w:top w:val="none" w:sz="0" w:space="0" w:color="auto"/>
        <w:left w:val="none" w:sz="0" w:space="0" w:color="auto"/>
        <w:bottom w:val="none" w:sz="0" w:space="0" w:color="auto"/>
        <w:right w:val="none" w:sz="0" w:space="0" w:color="auto"/>
      </w:divBdr>
    </w:div>
    <w:div w:id="429351912">
      <w:bodyDiv w:val="1"/>
      <w:marLeft w:val="0"/>
      <w:marRight w:val="0"/>
      <w:marTop w:val="0"/>
      <w:marBottom w:val="0"/>
      <w:divBdr>
        <w:top w:val="none" w:sz="0" w:space="0" w:color="auto"/>
        <w:left w:val="none" w:sz="0" w:space="0" w:color="auto"/>
        <w:bottom w:val="none" w:sz="0" w:space="0" w:color="auto"/>
        <w:right w:val="none" w:sz="0" w:space="0" w:color="auto"/>
      </w:divBdr>
    </w:div>
    <w:div w:id="437867935">
      <w:bodyDiv w:val="1"/>
      <w:marLeft w:val="0"/>
      <w:marRight w:val="0"/>
      <w:marTop w:val="0"/>
      <w:marBottom w:val="0"/>
      <w:divBdr>
        <w:top w:val="none" w:sz="0" w:space="0" w:color="auto"/>
        <w:left w:val="none" w:sz="0" w:space="0" w:color="auto"/>
        <w:bottom w:val="none" w:sz="0" w:space="0" w:color="auto"/>
        <w:right w:val="none" w:sz="0" w:space="0" w:color="auto"/>
      </w:divBdr>
    </w:div>
    <w:div w:id="437986911">
      <w:bodyDiv w:val="1"/>
      <w:marLeft w:val="0"/>
      <w:marRight w:val="0"/>
      <w:marTop w:val="0"/>
      <w:marBottom w:val="0"/>
      <w:divBdr>
        <w:top w:val="none" w:sz="0" w:space="0" w:color="auto"/>
        <w:left w:val="none" w:sz="0" w:space="0" w:color="auto"/>
        <w:bottom w:val="none" w:sz="0" w:space="0" w:color="auto"/>
        <w:right w:val="none" w:sz="0" w:space="0" w:color="auto"/>
      </w:divBdr>
    </w:div>
    <w:div w:id="44952081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63934589">
      <w:bodyDiv w:val="1"/>
      <w:marLeft w:val="0"/>
      <w:marRight w:val="0"/>
      <w:marTop w:val="0"/>
      <w:marBottom w:val="0"/>
      <w:divBdr>
        <w:top w:val="none" w:sz="0" w:space="0" w:color="auto"/>
        <w:left w:val="none" w:sz="0" w:space="0" w:color="auto"/>
        <w:bottom w:val="none" w:sz="0" w:space="0" w:color="auto"/>
        <w:right w:val="none" w:sz="0" w:space="0" w:color="auto"/>
      </w:divBdr>
      <w:divsChild>
        <w:div w:id="1413895645">
          <w:marLeft w:val="0"/>
          <w:marRight w:val="0"/>
          <w:marTop w:val="0"/>
          <w:marBottom w:val="0"/>
          <w:divBdr>
            <w:top w:val="none" w:sz="0" w:space="0" w:color="auto"/>
            <w:left w:val="none" w:sz="0" w:space="0" w:color="auto"/>
            <w:bottom w:val="none" w:sz="0" w:space="0" w:color="auto"/>
            <w:right w:val="none" w:sz="0" w:space="0" w:color="auto"/>
          </w:divBdr>
        </w:div>
      </w:divsChild>
    </w:div>
    <w:div w:id="466630068">
      <w:bodyDiv w:val="1"/>
      <w:marLeft w:val="0"/>
      <w:marRight w:val="0"/>
      <w:marTop w:val="0"/>
      <w:marBottom w:val="0"/>
      <w:divBdr>
        <w:top w:val="none" w:sz="0" w:space="0" w:color="auto"/>
        <w:left w:val="none" w:sz="0" w:space="0" w:color="auto"/>
        <w:bottom w:val="none" w:sz="0" w:space="0" w:color="auto"/>
        <w:right w:val="none" w:sz="0" w:space="0" w:color="auto"/>
      </w:divBdr>
    </w:div>
    <w:div w:id="473520806">
      <w:bodyDiv w:val="1"/>
      <w:marLeft w:val="0"/>
      <w:marRight w:val="0"/>
      <w:marTop w:val="0"/>
      <w:marBottom w:val="0"/>
      <w:divBdr>
        <w:top w:val="none" w:sz="0" w:space="0" w:color="auto"/>
        <w:left w:val="none" w:sz="0" w:space="0" w:color="auto"/>
        <w:bottom w:val="none" w:sz="0" w:space="0" w:color="auto"/>
        <w:right w:val="none" w:sz="0" w:space="0" w:color="auto"/>
      </w:divBdr>
    </w:div>
    <w:div w:id="475339772">
      <w:bodyDiv w:val="1"/>
      <w:marLeft w:val="0"/>
      <w:marRight w:val="0"/>
      <w:marTop w:val="0"/>
      <w:marBottom w:val="0"/>
      <w:divBdr>
        <w:top w:val="none" w:sz="0" w:space="0" w:color="auto"/>
        <w:left w:val="none" w:sz="0" w:space="0" w:color="auto"/>
        <w:bottom w:val="none" w:sz="0" w:space="0" w:color="auto"/>
        <w:right w:val="none" w:sz="0" w:space="0" w:color="auto"/>
      </w:divBdr>
    </w:div>
    <w:div w:id="478497054">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5901268">
      <w:bodyDiv w:val="1"/>
      <w:marLeft w:val="0"/>
      <w:marRight w:val="0"/>
      <w:marTop w:val="0"/>
      <w:marBottom w:val="0"/>
      <w:divBdr>
        <w:top w:val="none" w:sz="0" w:space="0" w:color="auto"/>
        <w:left w:val="none" w:sz="0" w:space="0" w:color="auto"/>
        <w:bottom w:val="none" w:sz="0" w:space="0" w:color="auto"/>
        <w:right w:val="none" w:sz="0" w:space="0" w:color="auto"/>
      </w:divBdr>
      <w:divsChild>
        <w:div w:id="1740708259">
          <w:marLeft w:val="0"/>
          <w:marRight w:val="0"/>
          <w:marTop w:val="0"/>
          <w:marBottom w:val="0"/>
          <w:divBdr>
            <w:top w:val="none" w:sz="0" w:space="0" w:color="auto"/>
            <w:left w:val="none" w:sz="0" w:space="0" w:color="auto"/>
            <w:bottom w:val="none" w:sz="0" w:space="0" w:color="auto"/>
            <w:right w:val="none" w:sz="0" w:space="0" w:color="auto"/>
          </w:divBdr>
        </w:div>
      </w:divsChild>
    </w:div>
    <w:div w:id="488139631">
      <w:bodyDiv w:val="1"/>
      <w:marLeft w:val="0"/>
      <w:marRight w:val="0"/>
      <w:marTop w:val="0"/>
      <w:marBottom w:val="0"/>
      <w:divBdr>
        <w:top w:val="none" w:sz="0" w:space="0" w:color="auto"/>
        <w:left w:val="none" w:sz="0" w:space="0" w:color="auto"/>
        <w:bottom w:val="none" w:sz="0" w:space="0" w:color="auto"/>
        <w:right w:val="none" w:sz="0" w:space="0" w:color="auto"/>
      </w:divBdr>
    </w:div>
    <w:div w:id="488323862">
      <w:bodyDiv w:val="1"/>
      <w:marLeft w:val="0"/>
      <w:marRight w:val="0"/>
      <w:marTop w:val="0"/>
      <w:marBottom w:val="0"/>
      <w:divBdr>
        <w:top w:val="none" w:sz="0" w:space="0" w:color="auto"/>
        <w:left w:val="none" w:sz="0" w:space="0" w:color="auto"/>
        <w:bottom w:val="none" w:sz="0" w:space="0" w:color="auto"/>
        <w:right w:val="none" w:sz="0" w:space="0" w:color="auto"/>
      </w:divBdr>
      <w:divsChild>
        <w:div w:id="895943004">
          <w:marLeft w:val="0"/>
          <w:marRight w:val="0"/>
          <w:marTop w:val="0"/>
          <w:marBottom w:val="0"/>
          <w:divBdr>
            <w:top w:val="none" w:sz="0" w:space="0" w:color="auto"/>
            <w:left w:val="none" w:sz="0" w:space="0" w:color="auto"/>
            <w:bottom w:val="none" w:sz="0" w:space="0" w:color="auto"/>
            <w:right w:val="none" w:sz="0" w:space="0" w:color="auto"/>
          </w:divBdr>
        </w:div>
      </w:divsChild>
    </w:div>
    <w:div w:id="494423005">
      <w:bodyDiv w:val="1"/>
      <w:marLeft w:val="0"/>
      <w:marRight w:val="0"/>
      <w:marTop w:val="0"/>
      <w:marBottom w:val="0"/>
      <w:divBdr>
        <w:top w:val="none" w:sz="0" w:space="0" w:color="auto"/>
        <w:left w:val="none" w:sz="0" w:space="0" w:color="auto"/>
        <w:bottom w:val="none" w:sz="0" w:space="0" w:color="auto"/>
        <w:right w:val="none" w:sz="0" w:space="0" w:color="auto"/>
      </w:divBdr>
    </w:div>
    <w:div w:id="496389213">
      <w:bodyDiv w:val="1"/>
      <w:marLeft w:val="0"/>
      <w:marRight w:val="0"/>
      <w:marTop w:val="0"/>
      <w:marBottom w:val="0"/>
      <w:divBdr>
        <w:top w:val="none" w:sz="0" w:space="0" w:color="auto"/>
        <w:left w:val="none" w:sz="0" w:space="0" w:color="auto"/>
        <w:bottom w:val="none" w:sz="0" w:space="0" w:color="auto"/>
        <w:right w:val="none" w:sz="0" w:space="0" w:color="auto"/>
      </w:divBdr>
    </w:div>
    <w:div w:id="497691024">
      <w:bodyDiv w:val="1"/>
      <w:marLeft w:val="0"/>
      <w:marRight w:val="0"/>
      <w:marTop w:val="0"/>
      <w:marBottom w:val="0"/>
      <w:divBdr>
        <w:top w:val="none" w:sz="0" w:space="0" w:color="auto"/>
        <w:left w:val="none" w:sz="0" w:space="0" w:color="auto"/>
        <w:bottom w:val="none" w:sz="0" w:space="0" w:color="auto"/>
        <w:right w:val="none" w:sz="0" w:space="0" w:color="auto"/>
      </w:divBdr>
    </w:div>
    <w:div w:id="499538310">
      <w:bodyDiv w:val="1"/>
      <w:marLeft w:val="0"/>
      <w:marRight w:val="0"/>
      <w:marTop w:val="0"/>
      <w:marBottom w:val="0"/>
      <w:divBdr>
        <w:top w:val="none" w:sz="0" w:space="0" w:color="auto"/>
        <w:left w:val="none" w:sz="0" w:space="0" w:color="auto"/>
        <w:bottom w:val="none" w:sz="0" w:space="0" w:color="auto"/>
        <w:right w:val="none" w:sz="0" w:space="0" w:color="auto"/>
      </w:divBdr>
    </w:div>
    <w:div w:id="499543481">
      <w:bodyDiv w:val="1"/>
      <w:marLeft w:val="0"/>
      <w:marRight w:val="0"/>
      <w:marTop w:val="0"/>
      <w:marBottom w:val="0"/>
      <w:divBdr>
        <w:top w:val="none" w:sz="0" w:space="0" w:color="auto"/>
        <w:left w:val="none" w:sz="0" w:space="0" w:color="auto"/>
        <w:bottom w:val="none" w:sz="0" w:space="0" w:color="auto"/>
        <w:right w:val="none" w:sz="0" w:space="0" w:color="auto"/>
      </w:divBdr>
    </w:div>
    <w:div w:id="502014915">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09370300">
      <w:bodyDiv w:val="1"/>
      <w:marLeft w:val="0"/>
      <w:marRight w:val="0"/>
      <w:marTop w:val="0"/>
      <w:marBottom w:val="0"/>
      <w:divBdr>
        <w:top w:val="none" w:sz="0" w:space="0" w:color="auto"/>
        <w:left w:val="none" w:sz="0" w:space="0" w:color="auto"/>
        <w:bottom w:val="none" w:sz="0" w:space="0" w:color="auto"/>
        <w:right w:val="none" w:sz="0" w:space="0" w:color="auto"/>
      </w:divBdr>
    </w:div>
    <w:div w:id="515776212">
      <w:bodyDiv w:val="1"/>
      <w:marLeft w:val="0"/>
      <w:marRight w:val="0"/>
      <w:marTop w:val="0"/>
      <w:marBottom w:val="0"/>
      <w:divBdr>
        <w:top w:val="none" w:sz="0" w:space="0" w:color="auto"/>
        <w:left w:val="none" w:sz="0" w:space="0" w:color="auto"/>
        <w:bottom w:val="none" w:sz="0" w:space="0" w:color="auto"/>
        <w:right w:val="none" w:sz="0" w:space="0" w:color="auto"/>
      </w:divBdr>
    </w:div>
    <w:div w:id="517888676">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22940366">
      <w:bodyDiv w:val="1"/>
      <w:marLeft w:val="0"/>
      <w:marRight w:val="0"/>
      <w:marTop w:val="0"/>
      <w:marBottom w:val="0"/>
      <w:divBdr>
        <w:top w:val="none" w:sz="0" w:space="0" w:color="auto"/>
        <w:left w:val="none" w:sz="0" w:space="0" w:color="auto"/>
        <w:bottom w:val="none" w:sz="0" w:space="0" w:color="auto"/>
        <w:right w:val="none" w:sz="0" w:space="0" w:color="auto"/>
      </w:divBdr>
    </w:div>
    <w:div w:id="529612267">
      <w:bodyDiv w:val="1"/>
      <w:marLeft w:val="0"/>
      <w:marRight w:val="0"/>
      <w:marTop w:val="0"/>
      <w:marBottom w:val="0"/>
      <w:divBdr>
        <w:top w:val="none" w:sz="0" w:space="0" w:color="auto"/>
        <w:left w:val="none" w:sz="0" w:space="0" w:color="auto"/>
        <w:bottom w:val="none" w:sz="0" w:space="0" w:color="auto"/>
        <w:right w:val="none" w:sz="0" w:space="0" w:color="auto"/>
      </w:divBdr>
      <w:divsChild>
        <w:div w:id="1431388889">
          <w:marLeft w:val="0"/>
          <w:marRight w:val="0"/>
          <w:marTop w:val="0"/>
          <w:marBottom w:val="0"/>
          <w:divBdr>
            <w:top w:val="none" w:sz="0" w:space="0" w:color="auto"/>
            <w:left w:val="none" w:sz="0" w:space="0" w:color="auto"/>
            <w:bottom w:val="none" w:sz="0" w:space="0" w:color="auto"/>
            <w:right w:val="none" w:sz="0" w:space="0" w:color="auto"/>
          </w:divBdr>
        </w:div>
      </w:divsChild>
    </w:div>
    <w:div w:id="530385049">
      <w:bodyDiv w:val="1"/>
      <w:marLeft w:val="0"/>
      <w:marRight w:val="0"/>
      <w:marTop w:val="0"/>
      <w:marBottom w:val="0"/>
      <w:divBdr>
        <w:top w:val="none" w:sz="0" w:space="0" w:color="auto"/>
        <w:left w:val="none" w:sz="0" w:space="0" w:color="auto"/>
        <w:bottom w:val="none" w:sz="0" w:space="0" w:color="auto"/>
        <w:right w:val="none" w:sz="0" w:space="0" w:color="auto"/>
      </w:divBdr>
    </w:div>
    <w:div w:id="532499012">
      <w:bodyDiv w:val="1"/>
      <w:marLeft w:val="0"/>
      <w:marRight w:val="0"/>
      <w:marTop w:val="0"/>
      <w:marBottom w:val="0"/>
      <w:divBdr>
        <w:top w:val="none" w:sz="0" w:space="0" w:color="auto"/>
        <w:left w:val="none" w:sz="0" w:space="0" w:color="auto"/>
        <w:bottom w:val="none" w:sz="0" w:space="0" w:color="auto"/>
        <w:right w:val="none" w:sz="0" w:space="0" w:color="auto"/>
      </w:divBdr>
    </w:div>
    <w:div w:id="536510215">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39971603">
      <w:bodyDiv w:val="1"/>
      <w:marLeft w:val="0"/>
      <w:marRight w:val="0"/>
      <w:marTop w:val="0"/>
      <w:marBottom w:val="0"/>
      <w:divBdr>
        <w:top w:val="none" w:sz="0" w:space="0" w:color="auto"/>
        <w:left w:val="none" w:sz="0" w:space="0" w:color="auto"/>
        <w:bottom w:val="none" w:sz="0" w:space="0" w:color="auto"/>
        <w:right w:val="none" w:sz="0" w:space="0" w:color="auto"/>
      </w:divBdr>
    </w:div>
    <w:div w:id="542208403">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46184318">
      <w:bodyDiv w:val="1"/>
      <w:marLeft w:val="0"/>
      <w:marRight w:val="0"/>
      <w:marTop w:val="0"/>
      <w:marBottom w:val="0"/>
      <w:divBdr>
        <w:top w:val="none" w:sz="0" w:space="0" w:color="auto"/>
        <w:left w:val="none" w:sz="0" w:space="0" w:color="auto"/>
        <w:bottom w:val="none" w:sz="0" w:space="0" w:color="auto"/>
        <w:right w:val="none" w:sz="0" w:space="0" w:color="auto"/>
      </w:divBdr>
    </w:div>
    <w:div w:id="546334289">
      <w:bodyDiv w:val="1"/>
      <w:marLeft w:val="0"/>
      <w:marRight w:val="0"/>
      <w:marTop w:val="0"/>
      <w:marBottom w:val="0"/>
      <w:divBdr>
        <w:top w:val="none" w:sz="0" w:space="0" w:color="auto"/>
        <w:left w:val="none" w:sz="0" w:space="0" w:color="auto"/>
        <w:bottom w:val="none" w:sz="0" w:space="0" w:color="auto"/>
        <w:right w:val="none" w:sz="0" w:space="0" w:color="auto"/>
      </w:divBdr>
    </w:div>
    <w:div w:id="547374723">
      <w:bodyDiv w:val="1"/>
      <w:marLeft w:val="0"/>
      <w:marRight w:val="0"/>
      <w:marTop w:val="0"/>
      <w:marBottom w:val="0"/>
      <w:divBdr>
        <w:top w:val="none" w:sz="0" w:space="0" w:color="auto"/>
        <w:left w:val="none" w:sz="0" w:space="0" w:color="auto"/>
        <w:bottom w:val="none" w:sz="0" w:space="0" w:color="auto"/>
        <w:right w:val="none" w:sz="0" w:space="0" w:color="auto"/>
      </w:divBdr>
    </w:div>
    <w:div w:id="547381816">
      <w:bodyDiv w:val="1"/>
      <w:marLeft w:val="0"/>
      <w:marRight w:val="0"/>
      <w:marTop w:val="0"/>
      <w:marBottom w:val="0"/>
      <w:divBdr>
        <w:top w:val="none" w:sz="0" w:space="0" w:color="auto"/>
        <w:left w:val="none" w:sz="0" w:space="0" w:color="auto"/>
        <w:bottom w:val="none" w:sz="0" w:space="0" w:color="auto"/>
        <w:right w:val="none" w:sz="0" w:space="0" w:color="auto"/>
      </w:divBdr>
    </w:div>
    <w:div w:id="549875918">
      <w:bodyDiv w:val="1"/>
      <w:marLeft w:val="0"/>
      <w:marRight w:val="0"/>
      <w:marTop w:val="0"/>
      <w:marBottom w:val="0"/>
      <w:divBdr>
        <w:top w:val="none" w:sz="0" w:space="0" w:color="auto"/>
        <w:left w:val="none" w:sz="0" w:space="0" w:color="auto"/>
        <w:bottom w:val="none" w:sz="0" w:space="0" w:color="auto"/>
        <w:right w:val="none" w:sz="0" w:space="0" w:color="auto"/>
      </w:divBdr>
    </w:div>
    <w:div w:id="553007000">
      <w:bodyDiv w:val="1"/>
      <w:marLeft w:val="0"/>
      <w:marRight w:val="0"/>
      <w:marTop w:val="0"/>
      <w:marBottom w:val="0"/>
      <w:divBdr>
        <w:top w:val="none" w:sz="0" w:space="0" w:color="auto"/>
        <w:left w:val="none" w:sz="0" w:space="0" w:color="auto"/>
        <w:bottom w:val="none" w:sz="0" w:space="0" w:color="auto"/>
        <w:right w:val="none" w:sz="0" w:space="0" w:color="auto"/>
      </w:divBdr>
    </w:div>
    <w:div w:id="559444827">
      <w:bodyDiv w:val="1"/>
      <w:marLeft w:val="0"/>
      <w:marRight w:val="0"/>
      <w:marTop w:val="0"/>
      <w:marBottom w:val="0"/>
      <w:divBdr>
        <w:top w:val="none" w:sz="0" w:space="0" w:color="auto"/>
        <w:left w:val="none" w:sz="0" w:space="0" w:color="auto"/>
        <w:bottom w:val="none" w:sz="0" w:space="0" w:color="auto"/>
        <w:right w:val="none" w:sz="0" w:space="0" w:color="auto"/>
      </w:divBdr>
    </w:div>
    <w:div w:id="561140185">
      <w:bodyDiv w:val="1"/>
      <w:marLeft w:val="0"/>
      <w:marRight w:val="0"/>
      <w:marTop w:val="0"/>
      <w:marBottom w:val="0"/>
      <w:divBdr>
        <w:top w:val="none" w:sz="0" w:space="0" w:color="auto"/>
        <w:left w:val="none" w:sz="0" w:space="0" w:color="auto"/>
        <w:bottom w:val="none" w:sz="0" w:space="0" w:color="auto"/>
        <w:right w:val="none" w:sz="0" w:space="0" w:color="auto"/>
      </w:divBdr>
    </w:div>
    <w:div w:id="564026402">
      <w:bodyDiv w:val="1"/>
      <w:marLeft w:val="0"/>
      <w:marRight w:val="0"/>
      <w:marTop w:val="0"/>
      <w:marBottom w:val="0"/>
      <w:divBdr>
        <w:top w:val="none" w:sz="0" w:space="0" w:color="auto"/>
        <w:left w:val="none" w:sz="0" w:space="0" w:color="auto"/>
        <w:bottom w:val="none" w:sz="0" w:space="0" w:color="auto"/>
        <w:right w:val="none" w:sz="0" w:space="0" w:color="auto"/>
      </w:divBdr>
    </w:div>
    <w:div w:id="564995703">
      <w:bodyDiv w:val="1"/>
      <w:marLeft w:val="0"/>
      <w:marRight w:val="0"/>
      <w:marTop w:val="0"/>
      <w:marBottom w:val="0"/>
      <w:divBdr>
        <w:top w:val="none" w:sz="0" w:space="0" w:color="auto"/>
        <w:left w:val="none" w:sz="0" w:space="0" w:color="auto"/>
        <w:bottom w:val="none" w:sz="0" w:space="0" w:color="auto"/>
        <w:right w:val="none" w:sz="0" w:space="0" w:color="auto"/>
      </w:divBdr>
      <w:divsChild>
        <w:div w:id="1814787995">
          <w:marLeft w:val="0"/>
          <w:marRight w:val="0"/>
          <w:marTop w:val="0"/>
          <w:marBottom w:val="0"/>
          <w:divBdr>
            <w:top w:val="none" w:sz="0" w:space="0" w:color="auto"/>
            <w:left w:val="none" w:sz="0" w:space="0" w:color="auto"/>
            <w:bottom w:val="none" w:sz="0" w:space="0" w:color="auto"/>
            <w:right w:val="none" w:sz="0" w:space="0" w:color="auto"/>
          </w:divBdr>
        </w:div>
      </w:divsChild>
    </w:div>
    <w:div w:id="566259580">
      <w:bodyDiv w:val="1"/>
      <w:marLeft w:val="0"/>
      <w:marRight w:val="0"/>
      <w:marTop w:val="0"/>
      <w:marBottom w:val="0"/>
      <w:divBdr>
        <w:top w:val="none" w:sz="0" w:space="0" w:color="auto"/>
        <w:left w:val="none" w:sz="0" w:space="0" w:color="auto"/>
        <w:bottom w:val="none" w:sz="0" w:space="0" w:color="auto"/>
        <w:right w:val="none" w:sz="0" w:space="0" w:color="auto"/>
      </w:divBdr>
    </w:div>
    <w:div w:id="569852536">
      <w:bodyDiv w:val="1"/>
      <w:marLeft w:val="0"/>
      <w:marRight w:val="0"/>
      <w:marTop w:val="0"/>
      <w:marBottom w:val="0"/>
      <w:divBdr>
        <w:top w:val="none" w:sz="0" w:space="0" w:color="auto"/>
        <w:left w:val="none" w:sz="0" w:space="0" w:color="auto"/>
        <w:bottom w:val="none" w:sz="0" w:space="0" w:color="auto"/>
        <w:right w:val="none" w:sz="0" w:space="0" w:color="auto"/>
      </w:divBdr>
    </w:div>
    <w:div w:id="572588604">
      <w:bodyDiv w:val="1"/>
      <w:marLeft w:val="0"/>
      <w:marRight w:val="0"/>
      <w:marTop w:val="0"/>
      <w:marBottom w:val="0"/>
      <w:divBdr>
        <w:top w:val="none" w:sz="0" w:space="0" w:color="auto"/>
        <w:left w:val="none" w:sz="0" w:space="0" w:color="auto"/>
        <w:bottom w:val="none" w:sz="0" w:space="0" w:color="auto"/>
        <w:right w:val="none" w:sz="0" w:space="0" w:color="auto"/>
      </w:divBdr>
    </w:div>
    <w:div w:id="580217483">
      <w:bodyDiv w:val="1"/>
      <w:marLeft w:val="0"/>
      <w:marRight w:val="0"/>
      <w:marTop w:val="0"/>
      <w:marBottom w:val="0"/>
      <w:divBdr>
        <w:top w:val="none" w:sz="0" w:space="0" w:color="auto"/>
        <w:left w:val="none" w:sz="0" w:space="0" w:color="auto"/>
        <w:bottom w:val="none" w:sz="0" w:space="0" w:color="auto"/>
        <w:right w:val="none" w:sz="0" w:space="0" w:color="auto"/>
      </w:divBdr>
    </w:div>
    <w:div w:id="59771622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10404414">
      <w:bodyDiv w:val="1"/>
      <w:marLeft w:val="0"/>
      <w:marRight w:val="0"/>
      <w:marTop w:val="0"/>
      <w:marBottom w:val="0"/>
      <w:divBdr>
        <w:top w:val="none" w:sz="0" w:space="0" w:color="auto"/>
        <w:left w:val="none" w:sz="0" w:space="0" w:color="auto"/>
        <w:bottom w:val="none" w:sz="0" w:space="0" w:color="auto"/>
        <w:right w:val="none" w:sz="0" w:space="0" w:color="auto"/>
      </w:divBdr>
      <w:divsChild>
        <w:div w:id="1329358222">
          <w:marLeft w:val="0"/>
          <w:marRight w:val="0"/>
          <w:marTop w:val="0"/>
          <w:marBottom w:val="0"/>
          <w:divBdr>
            <w:top w:val="none" w:sz="0" w:space="0" w:color="auto"/>
            <w:left w:val="none" w:sz="0" w:space="0" w:color="auto"/>
            <w:bottom w:val="none" w:sz="0" w:space="0" w:color="auto"/>
            <w:right w:val="none" w:sz="0" w:space="0" w:color="auto"/>
          </w:divBdr>
        </w:div>
      </w:divsChild>
    </w:div>
    <w:div w:id="622736795">
      <w:bodyDiv w:val="1"/>
      <w:marLeft w:val="0"/>
      <w:marRight w:val="0"/>
      <w:marTop w:val="0"/>
      <w:marBottom w:val="0"/>
      <w:divBdr>
        <w:top w:val="none" w:sz="0" w:space="0" w:color="auto"/>
        <w:left w:val="none" w:sz="0" w:space="0" w:color="auto"/>
        <w:bottom w:val="none" w:sz="0" w:space="0" w:color="auto"/>
        <w:right w:val="none" w:sz="0" w:space="0" w:color="auto"/>
      </w:divBdr>
    </w:div>
    <w:div w:id="624118739">
      <w:bodyDiv w:val="1"/>
      <w:marLeft w:val="0"/>
      <w:marRight w:val="0"/>
      <w:marTop w:val="0"/>
      <w:marBottom w:val="0"/>
      <w:divBdr>
        <w:top w:val="none" w:sz="0" w:space="0" w:color="auto"/>
        <w:left w:val="none" w:sz="0" w:space="0" w:color="auto"/>
        <w:bottom w:val="none" w:sz="0" w:space="0" w:color="auto"/>
        <w:right w:val="none" w:sz="0" w:space="0" w:color="auto"/>
      </w:divBdr>
    </w:div>
    <w:div w:id="625235949">
      <w:bodyDiv w:val="1"/>
      <w:marLeft w:val="0"/>
      <w:marRight w:val="0"/>
      <w:marTop w:val="0"/>
      <w:marBottom w:val="0"/>
      <w:divBdr>
        <w:top w:val="none" w:sz="0" w:space="0" w:color="auto"/>
        <w:left w:val="none" w:sz="0" w:space="0" w:color="auto"/>
        <w:bottom w:val="none" w:sz="0" w:space="0" w:color="auto"/>
        <w:right w:val="none" w:sz="0" w:space="0" w:color="auto"/>
      </w:divBdr>
    </w:div>
    <w:div w:id="625699572">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29169519">
      <w:bodyDiv w:val="1"/>
      <w:marLeft w:val="0"/>
      <w:marRight w:val="0"/>
      <w:marTop w:val="0"/>
      <w:marBottom w:val="0"/>
      <w:divBdr>
        <w:top w:val="none" w:sz="0" w:space="0" w:color="auto"/>
        <w:left w:val="none" w:sz="0" w:space="0" w:color="auto"/>
        <w:bottom w:val="none" w:sz="0" w:space="0" w:color="auto"/>
        <w:right w:val="none" w:sz="0" w:space="0" w:color="auto"/>
      </w:divBdr>
    </w:div>
    <w:div w:id="641345040">
      <w:bodyDiv w:val="1"/>
      <w:marLeft w:val="0"/>
      <w:marRight w:val="0"/>
      <w:marTop w:val="0"/>
      <w:marBottom w:val="0"/>
      <w:divBdr>
        <w:top w:val="none" w:sz="0" w:space="0" w:color="auto"/>
        <w:left w:val="none" w:sz="0" w:space="0" w:color="auto"/>
        <w:bottom w:val="none" w:sz="0" w:space="0" w:color="auto"/>
        <w:right w:val="none" w:sz="0" w:space="0" w:color="auto"/>
      </w:divBdr>
    </w:div>
    <w:div w:id="644548370">
      <w:bodyDiv w:val="1"/>
      <w:marLeft w:val="0"/>
      <w:marRight w:val="0"/>
      <w:marTop w:val="0"/>
      <w:marBottom w:val="0"/>
      <w:divBdr>
        <w:top w:val="none" w:sz="0" w:space="0" w:color="auto"/>
        <w:left w:val="none" w:sz="0" w:space="0" w:color="auto"/>
        <w:bottom w:val="none" w:sz="0" w:space="0" w:color="auto"/>
        <w:right w:val="none" w:sz="0" w:space="0" w:color="auto"/>
      </w:divBdr>
      <w:divsChild>
        <w:div w:id="733544703">
          <w:marLeft w:val="0"/>
          <w:marRight w:val="0"/>
          <w:marTop w:val="0"/>
          <w:marBottom w:val="0"/>
          <w:divBdr>
            <w:top w:val="none" w:sz="0" w:space="0" w:color="auto"/>
            <w:left w:val="none" w:sz="0" w:space="0" w:color="auto"/>
            <w:bottom w:val="none" w:sz="0" w:space="0" w:color="auto"/>
            <w:right w:val="none" w:sz="0" w:space="0" w:color="auto"/>
          </w:divBdr>
        </w:div>
        <w:div w:id="1020278802">
          <w:marLeft w:val="0"/>
          <w:marRight w:val="0"/>
          <w:marTop w:val="0"/>
          <w:marBottom w:val="0"/>
          <w:divBdr>
            <w:top w:val="none" w:sz="0" w:space="0" w:color="auto"/>
            <w:left w:val="none" w:sz="0" w:space="0" w:color="auto"/>
            <w:bottom w:val="none" w:sz="0" w:space="0" w:color="auto"/>
            <w:right w:val="none" w:sz="0" w:space="0" w:color="auto"/>
          </w:divBdr>
        </w:div>
        <w:div w:id="1621957408">
          <w:marLeft w:val="0"/>
          <w:marRight w:val="0"/>
          <w:marTop w:val="0"/>
          <w:marBottom w:val="0"/>
          <w:divBdr>
            <w:top w:val="none" w:sz="0" w:space="0" w:color="auto"/>
            <w:left w:val="none" w:sz="0" w:space="0" w:color="auto"/>
            <w:bottom w:val="none" w:sz="0" w:space="0" w:color="auto"/>
            <w:right w:val="none" w:sz="0" w:space="0" w:color="auto"/>
          </w:divBdr>
        </w:div>
      </w:divsChild>
    </w:div>
    <w:div w:id="653946561">
      <w:bodyDiv w:val="1"/>
      <w:marLeft w:val="0"/>
      <w:marRight w:val="0"/>
      <w:marTop w:val="0"/>
      <w:marBottom w:val="0"/>
      <w:divBdr>
        <w:top w:val="none" w:sz="0" w:space="0" w:color="auto"/>
        <w:left w:val="none" w:sz="0" w:space="0" w:color="auto"/>
        <w:bottom w:val="none" w:sz="0" w:space="0" w:color="auto"/>
        <w:right w:val="none" w:sz="0" w:space="0" w:color="auto"/>
      </w:divBdr>
    </w:div>
    <w:div w:id="654456087">
      <w:bodyDiv w:val="1"/>
      <w:marLeft w:val="0"/>
      <w:marRight w:val="0"/>
      <w:marTop w:val="0"/>
      <w:marBottom w:val="0"/>
      <w:divBdr>
        <w:top w:val="none" w:sz="0" w:space="0" w:color="auto"/>
        <w:left w:val="none" w:sz="0" w:space="0" w:color="auto"/>
        <w:bottom w:val="none" w:sz="0" w:space="0" w:color="auto"/>
        <w:right w:val="none" w:sz="0" w:space="0" w:color="auto"/>
      </w:divBdr>
    </w:div>
    <w:div w:id="654918750">
      <w:bodyDiv w:val="1"/>
      <w:marLeft w:val="0"/>
      <w:marRight w:val="0"/>
      <w:marTop w:val="0"/>
      <w:marBottom w:val="0"/>
      <w:divBdr>
        <w:top w:val="none" w:sz="0" w:space="0" w:color="auto"/>
        <w:left w:val="none" w:sz="0" w:space="0" w:color="auto"/>
        <w:bottom w:val="none" w:sz="0" w:space="0" w:color="auto"/>
        <w:right w:val="none" w:sz="0" w:space="0" w:color="auto"/>
      </w:divBdr>
    </w:div>
    <w:div w:id="659891731">
      <w:bodyDiv w:val="1"/>
      <w:marLeft w:val="0"/>
      <w:marRight w:val="0"/>
      <w:marTop w:val="0"/>
      <w:marBottom w:val="0"/>
      <w:divBdr>
        <w:top w:val="none" w:sz="0" w:space="0" w:color="auto"/>
        <w:left w:val="none" w:sz="0" w:space="0" w:color="auto"/>
        <w:bottom w:val="none" w:sz="0" w:space="0" w:color="auto"/>
        <w:right w:val="none" w:sz="0" w:space="0" w:color="auto"/>
      </w:divBdr>
    </w:div>
    <w:div w:id="667750685">
      <w:bodyDiv w:val="1"/>
      <w:marLeft w:val="0"/>
      <w:marRight w:val="0"/>
      <w:marTop w:val="0"/>
      <w:marBottom w:val="0"/>
      <w:divBdr>
        <w:top w:val="none" w:sz="0" w:space="0" w:color="auto"/>
        <w:left w:val="none" w:sz="0" w:space="0" w:color="auto"/>
        <w:bottom w:val="none" w:sz="0" w:space="0" w:color="auto"/>
        <w:right w:val="none" w:sz="0" w:space="0" w:color="auto"/>
      </w:divBdr>
    </w:div>
    <w:div w:id="689454014">
      <w:bodyDiv w:val="1"/>
      <w:marLeft w:val="0"/>
      <w:marRight w:val="0"/>
      <w:marTop w:val="0"/>
      <w:marBottom w:val="0"/>
      <w:divBdr>
        <w:top w:val="none" w:sz="0" w:space="0" w:color="auto"/>
        <w:left w:val="none" w:sz="0" w:space="0" w:color="auto"/>
        <w:bottom w:val="none" w:sz="0" w:space="0" w:color="auto"/>
        <w:right w:val="none" w:sz="0" w:space="0" w:color="auto"/>
      </w:divBdr>
    </w:div>
    <w:div w:id="689768108">
      <w:bodyDiv w:val="1"/>
      <w:marLeft w:val="0"/>
      <w:marRight w:val="0"/>
      <w:marTop w:val="0"/>
      <w:marBottom w:val="0"/>
      <w:divBdr>
        <w:top w:val="none" w:sz="0" w:space="0" w:color="auto"/>
        <w:left w:val="none" w:sz="0" w:space="0" w:color="auto"/>
        <w:bottom w:val="none" w:sz="0" w:space="0" w:color="auto"/>
        <w:right w:val="none" w:sz="0" w:space="0" w:color="auto"/>
      </w:divBdr>
    </w:div>
    <w:div w:id="695156804">
      <w:bodyDiv w:val="1"/>
      <w:marLeft w:val="0"/>
      <w:marRight w:val="0"/>
      <w:marTop w:val="0"/>
      <w:marBottom w:val="0"/>
      <w:divBdr>
        <w:top w:val="none" w:sz="0" w:space="0" w:color="auto"/>
        <w:left w:val="none" w:sz="0" w:space="0" w:color="auto"/>
        <w:bottom w:val="none" w:sz="0" w:space="0" w:color="auto"/>
        <w:right w:val="none" w:sz="0" w:space="0" w:color="auto"/>
      </w:divBdr>
    </w:div>
    <w:div w:id="701249699">
      <w:bodyDiv w:val="1"/>
      <w:marLeft w:val="0"/>
      <w:marRight w:val="0"/>
      <w:marTop w:val="0"/>
      <w:marBottom w:val="0"/>
      <w:divBdr>
        <w:top w:val="none" w:sz="0" w:space="0" w:color="auto"/>
        <w:left w:val="none" w:sz="0" w:space="0" w:color="auto"/>
        <w:bottom w:val="none" w:sz="0" w:space="0" w:color="auto"/>
        <w:right w:val="none" w:sz="0" w:space="0" w:color="auto"/>
      </w:divBdr>
    </w:div>
    <w:div w:id="710883354">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4793662">
      <w:bodyDiv w:val="1"/>
      <w:marLeft w:val="0"/>
      <w:marRight w:val="0"/>
      <w:marTop w:val="0"/>
      <w:marBottom w:val="0"/>
      <w:divBdr>
        <w:top w:val="none" w:sz="0" w:space="0" w:color="auto"/>
        <w:left w:val="none" w:sz="0" w:space="0" w:color="auto"/>
        <w:bottom w:val="none" w:sz="0" w:space="0" w:color="auto"/>
        <w:right w:val="none" w:sz="0" w:space="0" w:color="auto"/>
      </w:divBdr>
    </w:div>
    <w:div w:id="726535772">
      <w:bodyDiv w:val="1"/>
      <w:marLeft w:val="0"/>
      <w:marRight w:val="0"/>
      <w:marTop w:val="0"/>
      <w:marBottom w:val="0"/>
      <w:divBdr>
        <w:top w:val="none" w:sz="0" w:space="0" w:color="auto"/>
        <w:left w:val="none" w:sz="0" w:space="0" w:color="auto"/>
        <w:bottom w:val="none" w:sz="0" w:space="0" w:color="auto"/>
        <w:right w:val="none" w:sz="0" w:space="0" w:color="auto"/>
      </w:divBdr>
      <w:divsChild>
        <w:div w:id="216667942">
          <w:marLeft w:val="0"/>
          <w:marRight w:val="0"/>
          <w:marTop w:val="0"/>
          <w:marBottom w:val="0"/>
          <w:divBdr>
            <w:top w:val="none" w:sz="0" w:space="0" w:color="auto"/>
            <w:left w:val="none" w:sz="0" w:space="0" w:color="auto"/>
            <w:bottom w:val="none" w:sz="0" w:space="0" w:color="auto"/>
            <w:right w:val="none" w:sz="0" w:space="0" w:color="auto"/>
          </w:divBdr>
        </w:div>
      </w:divsChild>
    </w:div>
    <w:div w:id="729232485">
      <w:bodyDiv w:val="1"/>
      <w:marLeft w:val="0"/>
      <w:marRight w:val="0"/>
      <w:marTop w:val="0"/>
      <w:marBottom w:val="0"/>
      <w:divBdr>
        <w:top w:val="none" w:sz="0" w:space="0" w:color="auto"/>
        <w:left w:val="none" w:sz="0" w:space="0" w:color="auto"/>
        <w:bottom w:val="none" w:sz="0" w:space="0" w:color="auto"/>
        <w:right w:val="none" w:sz="0" w:space="0" w:color="auto"/>
      </w:divBdr>
    </w:div>
    <w:div w:id="741176507">
      <w:bodyDiv w:val="1"/>
      <w:marLeft w:val="0"/>
      <w:marRight w:val="0"/>
      <w:marTop w:val="0"/>
      <w:marBottom w:val="0"/>
      <w:divBdr>
        <w:top w:val="none" w:sz="0" w:space="0" w:color="auto"/>
        <w:left w:val="none" w:sz="0" w:space="0" w:color="auto"/>
        <w:bottom w:val="none" w:sz="0" w:space="0" w:color="auto"/>
        <w:right w:val="none" w:sz="0" w:space="0" w:color="auto"/>
      </w:divBdr>
      <w:divsChild>
        <w:div w:id="1814325099">
          <w:marLeft w:val="0"/>
          <w:marRight w:val="0"/>
          <w:marTop w:val="0"/>
          <w:marBottom w:val="0"/>
          <w:divBdr>
            <w:top w:val="none" w:sz="0" w:space="0" w:color="auto"/>
            <w:left w:val="none" w:sz="0" w:space="0" w:color="auto"/>
            <w:bottom w:val="none" w:sz="0" w:space="0" w:color="auto"/>
            <w:right w:val="none" w:sz="0" w:space="0" w:color="auto"/>
          </w:divBdr>
        </w:div>
      </w:divsChild>
    </w:div>
    <w:div w:id="749813286">
      <w:bodyDiv w:val="1"/>
      <w:marLeft w:val="0"/>
      <w:marRight w:val="0"/>
      <w:marTop w:val="0"/>
      <w:marBottom w:val="0"/>
      <w:divBdr>
        <w:top w:val="none" w:sz="0" w:space="0" w:color="auto"/>
        <w:left w:val="none" w:sz="0" w:space="0" w:color="auto"/>
        <w:bottom w:val="none" w:sz="0" w:space="0" w:color="auto"/>
        <w:right w:val="none" w:sz="0" w:space="0" w:color="auto"/>
      </w:divBdr>
    </w:div>
    <w:div w:id="754671093">
      <w:bodyDiv w:val="1"/>
      <w:marLeft w:val="0"/>
      <w:marRight w:val="0"/>
      <w:marTop w:val="0"/>
      <w:marBottom w:val="0"/>
      <w:divBdr>
        <w:top w:val="none" w:sz="0" w:space="0" w:color="auto"/>
        <w:left w:val="none" w:sz="0" w:space="0" w:color="auto"/>
        <w:bottom w:val="none" w:sz="0" w:space="0" w:color="auto"/>
        <w:right w:val="none" w:sz="0" w:space="0" w:color="auto"/>
      </w:divBdr>
      <w:divsChild>
        <w:div w:id="377634354">
          <w:marLeft w:val="0"/>
          <w:marRight w:val="0"/>
          <w:marTop w:val="0"/>
          <w:marBottom w:val="0"/>
          <w:divBdr>
            <w:top w:val="none" w:sz="0" w:space="0" w:color="auto"/>
            <w:left w:val="none" w:sz="0" w:space="0" w:color="auto"/>
            <w:bottom w:val="none" w:sz="0" w:space="0" w:color="auto"/>
            <w:right w:val="none" w:sz="0" w:space="0" w:color="auto"/>
          </w:divBdr>
        </w:div>
      </w:divsChild>
    </w:div>
    <w:div w:id="755983056">
      <w:bodyDiv w:val="1"/>
      <w:marLeft w:val="0"/>
      <w:marRight w:val="0"/>
      <w:marTop w:val="0"/>
      <w:marBottom w:val="0"/>
      <w:divBdr>
        <w:top w:val="none" w:sz="0" w:space="0" w:color="auto"/>
        <w:left w:val="none" w:sz="0" w:space="0" w:color="auto"/>
        <w:bottom w:val="none" w:sz="0" w:space="0" w:color="auto"/>
        <w:right w:val="none" w:sz="0" w:space="0" w:color="auto"/>
      </w:divBdr>
    </w:div>
    <w:div w:id="765345643">
      <w:bodyDiv w:val="1"/>
      <w:marLeft w:val="0"/>
      <w:marRight w:val="0"/>
      <w:marTop w:val="0"/>
      <w:marBottom w:val="0"/>
      <w:divBdr>
        <w:top w:val="none" w:sz="0" w:space="0" w:color="auto"/>
        <w:left w:val="none" w:sz="0" w:space="0" w:color="auto"/>
        <w:bottom w:val="none" w:sz="0" w:space="0" w:color="auto"/>
        <w:right w:val="none" w:sz="0" w:space="0" w:color="auto"/>
      </w:divBdr>
    </w:div>
    <w:div w:id="769590192">
      <w:bodyDiv w:val="1"/>
      <w:marLeft w:val="0"/>
      <w:marRight w:val="0"/>
      <w:marTop w:val="0"/>
      <w:marBottom w:val="0"/>
      <w:divBdr>
        <w:top w:val="none" w:sz="0" w:space="0" w:color="auto"/>
        <w:left w:val="none" w:sz="0" w:space="0" w:color="auto"/>
        <w:bottom w:val="none" w:sz="0" w:space="0" w:color="auto"/>
        <w:right w:val="none" w:sz="0" w:space="0" w:color="auto"/>
      </w:divBdr>
      <w:divsChild>
        <w:div w:id="1436365972">
          <w:marLeft w:val="0"/>
          <w:marRight w:val="0"/>
          <w:marTop w:val="0"/>
          <w:marBottom w:val="0"/>
          <w:divBdr>
            <w:top w:val="none" w:sz="0" w:space="0" w:color="auto"/>
            <w:left w:val="none" w:sz="0" w:space="0" w:color="auto"/>
            <w:bottom w:val="none" w:sz="0" w:space="0" w:color="auto"/>
            <w:right w:val="none" w:sz="0" w:space="0" w:color="auto"/>
          </w:divBdr>
        </w:div>
      </w:divsChild>
    </w:div>
    <w:div w:id="774860789">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8257922">
      <w:bodyDiv w:val="1"/>
      <w:marLeft w:val="0"/>
      <w:marRight w:val="0"/>
      <w:marTop w:val="0"/>
      <w:marBottom w:val="0"/>
      <w:divBdr>
        <w:top w:val="none" w:sz="0" w:space="0" w:color="auto"/>
        <w:left w:val="none" w:sz="0" w:space="0" w:color="auto"/>
        <w:bottom w:val="none" w:sz="0" w:space="0" w:color="auto"/>
        <w:right w:val="none" w:sz="0" w:space="0" w:color="auto"/>
      </w:divBdr>
    </w:div>
    <w:div w:id="781610647">
      <w:bodyDiv w:val="1"/>
      <w:marLeft w:val="0"/>
      <w:marRight w:val="0"/>
      <w:marTop w:val="0"/>
      <w:marBottom w:val="0"/>
      <w:divBdr>
        <w:top w:val="none" w:sz="0" w:space="0" w:color="auto"/>
        <w:left w:val="none" w:sz="0" w:space="0" w:color="auto"/>
        <w:bottom w:val="none" w:sz="0" w:space="0" w:color="auto"/>
        <w:right w:val="none" w:sz="0" w:space="0" w:color="auto"/>
      </w:divBdr>
    </w:div>
    <w:div w:id="791091114">
      <w:bodyDiv w:val="1"/>
      <w:marLeft w:val="0"/>
      <w:marRight w:val="0"/>
      <w:marTop w:val="0"/>
      <w:marBottom w:val="0"/>
      <w:divBdr>
        <w:top w:val="none" w:sz="0" w:space="0" w:color="auto"/>
        <w:left w:val="none" w:sz="0" w:space="0" w:color="auto"/>
        <w:bottom w:val="none" w:sz="0" w:space="0" w:color="auto"/>
        <w:right w:val="none" w:sz="0" w:space="0" w:color="auto"/>
      </w:divBdr>
    </w:div>
    <w:div w:id="801120009">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9930725">
      <w:bodyDiv w:val="1"/>
      <w:marLeft w:val="0"/>
      <w:marRight w:val="0"/>
      <w:marTop w:val="0"/>
      <w:marBottom w:val="0"/>
      <w:divBdr>
        <w:top w:val="none" w:sz="0" w:space="0" w:color="auto"/>
        <w:left w:val="none" w:sz="0" w:space="0" w:color="auto"/>
        <w:bottom w:val="none" w:sz="0" w:space="0" w:color="auto"/>
        <w:right w:val="none" w:sz="0" w:space="0" w:color="auto"/>
      </w:divBdr>
      <w:divsChild>
        <w:div w:id="236092809">
          <w:marLeft w:val="0"/>
          <w:marRight w:val="0"/>
          <w:marTop w:val="0"/>
          <w:marBottom w:val="0"/>
          <w:divBdr>
            <w:top w:val="none" w:sz="0" w:space="0" w:color="auto"/>
            <w:left w:val="none" w:sz="0" w:space="0" w:color="auto"/>
            <w:bottom w:val="none" w:sz="0" w:space="0" w:color="auto"/>
            <w:right w:val="none" w:sz="0" w:space="0" w:color="auto"/>
          </w:divBdr>
        </w:div>
      </w:divsChild>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3549272">
      <w:bodyDiv w:val="1"/>
      <w:marLeft w:val="0"/>
      <w:marRight w:val="0"/>
      <w:marTop w:val="0"/>
      <w:marBottom w:val="0"/>
      <w:divBdr>
        <w:top w:val="none" w:sz="0" w:space="0" w:color="auto"/>
        <w:left w:val="none" w:sz="0" w:space="0" w:color="auto"/>
        <w:bottom w:val="none" w:sz="0" w:space="0" w:color="auto"/>
        <w:right w:val="none" w:sz="0" w:space="0" w:color="auto"/>
      </w:divBdr>
    </w:div>
    <w:div w:id="823858419">
      <w:bodyDiv w:val="1"/>
      <w:marLeft w:val="0"/>
      <w:marRight w:val="0"/>
      <w:marTop w:val="0"/>
      <w:marBottom w:val="0"/>
      <w:divBdr>
        <w:top w:val="none" w:sz="0" w:space="0" w:color="auto"/>
        <w:left w:val="none" w:sz="0" w:space="0" w:color="auto"/>
        <w:bottom w:val="none" w:sz="0" w:space="0" w:color="auto"/>
        <w:right w:val="none" w:sz="0" w:space="0" w:color="auto"/>
      </w:divBdr>
    </w:div>
    <w:div w:id="831214157">
      <w:bodyDiv w:val="1"/>
      <w:marLeft w:val="0"/>
      <w:marRight w:val="0"/>
      <w:marTop w:val="0"/>
      <w:marBottom w:val="0"/>
      <w:divBdr>
        <w:top w:val="none" w:sz="0" w:space="0" w:color="auto"/>
        <w:left w:val="none" w:sz="0" w:space="0" w:color="auto"/>
        <w:bottom w:val="none" w:sz="0" w:space="0" w:color="auto"/>
        <w:right w:val="none" w:sz="0" w:space="0" w:color="auto"/>
      </w:divBdr>
    </w:div>
    <w:div w:id="833647241">
      <w:bodyDiv w:val="1"/>
      <w:marLeft w:val="0"/>
      <w:marRight w:val="0"/>
      <w:marTop w:val="0"/>
      <w:marBottom w:val="0"/>
      <w:divBdr>
        <w:top w:val="none" w:sz="0" w:space="0" w:color="auto"/>
        <w:left w:val="none" w:sz="0" w:space="0" w:color="auto"/>
        <w:bottom w:val="none" w:sz="0" w:space="0" w:color="auto"/>
        <w:right w:val="none" w:sz="0" w:space="0" w:color="auto"/>
      </w:divBdr>
    </w:div>
    <w:div w:id="836384040">
      <w:bodyDiv w:val="1"/>
      <w:marLeft w:val="0"/>
      <w:marRight w:val="0"/>
      <w:marTop w:val="0"/>
      <w:marBottom w:val="0"/>
      <w:divBdr>
        <w:top w:val="none" w:sz="0" w:space="0" w:color="auto"/>
        <w:left w:val="none" w:sz="0" w:space="0" w:color="auto"/>
        <w:bottom w:val="none" w:sz="0" w:space="0" w:color="auto"/>
        <w:right w:val="none" w:sz="0" w:space="0" w:color="auto"/>
      </w:divBdr>
    </w:div>
    <w:div w:id="836699564">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5824613">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55195507">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296281">
      <w:bodyDiv w:val="1"/>
      <w:marLeft w:val="0"/>
      <w:marRight w:val="0"/>
      <w:marTop w:val="0"/>
      <w:marBottom w:val="0"/>
      <w:divBdr>
        <w:top w:val="none" w:sz="0" w:space="0" w:color="auto"/>
        <w:left w:val="none" w:sz="0" w:space="0" w:color="auto"/>
        <w:bottom w:val="none" w:sz="0" w:space="0" w:color="auto"/>
        <w:right w:val="none" w:sz="0" w:space="0" w:color="auto"/>
      </w:divBdr>
    </w:div>
    <w:div w:id="877160054">
      <w:bodyDiv w:val="1"/>
      <w:marLeft w:val="0"/>
      <w:marRight w:val="0"/>
      <w:marTop w:val="0"/>
      <w:marBottom w:val="0"/>
      <w:divBdr>
        <w:top w:val="none" w:sz="0" w:space="0" w:color="auto"/>
        <w:left w:val="none" w:sz="0" w:space="0" w:color="auto"/>
        <w:bottom w:val="none" w:sz="0" w:space="0" w:color="auto"/>
        <w:right w:val="none" w:sz="0" w:space="0" w:color="auto"/>
      </w:divBdr>
      <w:divsChild>
        <w:div w:id="1391997316">
          <w:marLeft w:val="0"/>
          <w:marRight w:val="0"/>
          <w:marTop w:val="0"/>
          <w:marBottom w:val="0"/>
          <w:divBdr>
            <w:top w:val="none" w:sz="0" w:space="0" w:color="auto"/>
            <w:left w:val="none" w:sz="0" w:space="0" w:color="auto"/>
            <w:bottom w:val="none" w:sz="0" w:space="0" w:color="auto"/>
            <w:right w:val="none" w:sz="0" w:space="0" w:color="auto"/>
          </w:divBdr>
        </w:div>
      </w:divsChild>
    </w:div>
    <w:div w:id="882867782">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7187936">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892739765">
      <w:bodyDiv w:val="1"/>
      <w:marLeft w:val="0"/>
      <w:marRight w:val="0"/>
      <w:marTop w:val="0"/>
      <w:marBottom w:val="0"/>
      <w:divBdr>
        <w:top w:val="none" w:sz="0" w:space="0" w:color="auto"/>
        <w:left w:val="none" w:sz="0" w:space="0" w:color="auto"/>
        <w:bottom w:val="none" w:sz="0" w:space="0" w:color="auto"/>
        <w:right w:val="none" w:sz="0" w:space="0" w:color="auto"/>
      </w:divBdr>
    </w:div>
    <w:div w:id="895311044">
      <w:bodyDiv w:val="1"/>
      <w:marLeft w:val="0"/>
      <w:marRight w:val="0"/>
      <w:marTop w:val="0"/>
      <w:marBottom w:val="0"/>
      <w:divBdr>
        <w:top w:val="none" w:sz="0" w:space="0" w:color="auto"/>
        <w:left w:val="none" w:sz="0" w:space="0" w:color="auto"/>
        <w:bottom w:val="none" w:sz="0" w:space="0" w:color="auto"/>
        <w:right w:val="none" w:sz="0" w:space="0" w:color="auto"/>
      </w:divBdr>
    </w:div>
    <w:div w:id="900477946">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11741290">
      <w:bodyDiv w:val="1"/>
      <w:marLeft w:val="0"/>
      <w:marRight w:val="0"/>
      <w:marTop w:val="0"/>
      <w:marBottom w:val="0"/>
      <w:divBdr>
        <w:top w:val="none" w:sz="0" w:space="0" w:color="auto"/>
        <w:left w:val="none" w:sz="0" w:space="0" w:color="auto"/>
        <w:bottom w:val="none" w:sz="0" w:space="0" w:color="auto"/>
        <w:right w:val="none" w:sz="0" w:space="0" w:color="auto"/>
      </w:divBdr>
    </w:div>
    <w:div w:id="921911567">
      <w:bodyDiv w:val="1"/>
      <w:marLeft w:val="0"/>
      <w:marRight w:val="0"/>
      <w:marTop w:val="0"/>
      <w:marBottom w:val="0"/>
      <w:divBdr>
        <w:top w:val="none" w:sz="0" w:space="0" w:color="auto"/>
        <w:left w:val="none" w:sz="0" w:space="0" w:color="auto"/>
        <w:bottom w:val="none" w:sz="0" w:space="0" w:color="auto"/>
        <w:right w:val="none" w:sz="0" w:space="0" w:color="auto"/>
      </w:divBdr>
      <w:divsChild>
        <w:div w:id="1840995269">
          <w:marLeft w:val="0"/>
          <w:marRight w:val="0"/>
          <w:marTop w:val="0"/>
          <w:marBottom w:val="0"/>
          <w:divBdr>
            <w:top w:val="none" w:sz="0" w:space="0" w:color="auto"/>
            <w:left w:val="none" w:sz="0" w:space="0" w:color="auto"/>
            <w:bottom w:val="none" w:sz="0" w:space="0" w:color="auto"/>
            <w:right w:val="none" w:sz="0" w:space="0" w:color="auto"/>
          </w:divBdr>
        </w:div>
      </w:divsChild>
    </w:div>
    <w:div w:id="922035327">
      <w:bodyDiv w:val="1"/>
      <w:marLeft w:val="0"/>
      <w:marRight w:val="0"/>
      <w:marTop w:val="0"/>
      <w:marBottom w:val="0"/>
      <w:divBdr>
        <w:top w:val="none" w:sz="0" w:space="0" w:color="auto"/>
        <w:left w:val="none" w:sz="0" w:space="0" w:color="auto"/>
        <w:bottom w:val="none" w:sz="0" w:space="0" w:color="auto"/>
        <w:right w:val="none" w:sz="0" w:space="0" w:color="auto"/>
      </w:divBdr>
    </w:div>
    <w:div w:id="926185447">
      <w:bodyDiv w:val="1"/>
      <w:marLeft w:val="0"/>
      <w:marRight w:val="0"/>
      <w:marTop w:val="0"/>
      <w:marBottom w:val="0"/>
      <w:divBdr>
        <w:top w:val="none" w:sz="0" w:space="0" w:color="auto"/>
        <w:left w:val="none" w:sz="0" w:space="0" w:color="auto"/>
        <w:bottom w:val="none" w:sz="0" w:space="0" w:color="auto"/>
        <w:right w:val="none" w:sz="0" w:space="0" w:color="auto"/>
      </w:divBdr>
    </w:div>
    <w:div w:id="928776361">
      <w:bodyDiv w:val="1"/>
      <w:marLeft w:val="0"/>
      <w:marRight w:val="0"/>
      <w:marTop w:val="0"/>
      <w:marBottom w:val="0"/>
      <w:divBdr>
        <w:top w:val="none" w:sz="0" w:space="0" w:color="auto"/>
        <w:left w:val="none" w:sz="0" w:space="0" w:color="auto"/>
        <w:bottom w:val="none" w:sz="0" w:space="0" w:color="auto"/>
        <w:right w:val="none" w:sz="0" w:space="0" w:color="auto"/>
      </w:divBdr>
    </w:div>
    <w:div w:id="937786799">
      <w:bodyDiv w:val="1"/>
      <w:marLeft w:val="0"/>
      <w:marRight w:val="0"/>
      <w:marTop w:val="0"/>
      <w:marBottom w:val="0"/>
      <w:divBdr>
        <w:top w:val="none" w:sz="0" w:space="0" w:color="auto"/>
        <w:left w:val="none" w:sz="0" w:space="0" w:color="auto"/>
        <w:bottom w:val="none" w:sz="0" w:space="0" w:color="auto"/>
        <w:right w:val="none" w:sz="0" w:space="0" w:color="auto"/>
      </w:divBdr>
    </w:div>
    <w:div w:id="938878083">
      <w:bodyDiv w:val="1"/>
      <w:marLeft w:val="0"/>
      <w:marRight w:val="0"/>
      <w:marTop w:val="0"/>
      <w:marBottom w:val="0"/>
      <w:divBdr>
        <w:top w:val="none" w:sz="0" w:space="0" w:color="auto"/>
        <w:left w:val="none" w:sz="0" w:space="0" w:color="auto"/>
        <w:bottom w:val="none" w:sz="0" w:space="0" w:color="auto"/>
        <w:right w:val="none" w:sz="0" w:space="0" w:color="auto"/>
      </w:divBdr>
    </w:div>
    <w:div w:id="939486098">
      <w:bodyDiv w:val="1"/>
      <w:marLeft w:val="0"/>
      <w:marRight w:val="0"/>
      <w:marTop w:val="0"/>
      <w:marBottom w:val="0"/>
      <w:divBdr>
        <w:top w:val="none" w:sz="0" w:space="0" w:color="auto"/>
        <w:left w:val="none" w:sz="0" w:space="0" w:color="auto"/>
        <w:bottom w:val="none" w:sz="0" w:space="0" w:color="auto"/>
        <w:right w:val="none" w:sz="0" w:space="0" w:color="auto"/>
      </w:divBdr>
    </w:div>
    <w:div w:id="941687883">
      <w:bodyDiv w:val="1"/>
      <w:marLeft w:val="0"/>
      <w:marRight w:val="0"/>
      <w:marTop w:val="0"/>
      <w:marBottom w:val="0"/>
      <w:divBdr>
        <w:top w:val="none" w:sz="0" w:space="0" w:color="auto"/>
        <w:left w:val="none" w:sz="0" w:space="0" w:color="auto"/>
        <w:bottom w:val="none" w:sz="0" w:space="0" w:color="auto"/>
        <w:right w:val="none" w:sz="0" w:space="0" w:color="auto"/>
      </w:divBdr>
    </w:div>
    <w:div w:id="943414502">
      <w:bodyDiv w:val="1"/>
      <w:marLeft w:val="0"/>
      <w:marRight w:val="0"/>
      <w:marTop w:val="0"/>
      <w:marBottom w:val="0"/>
      <w:divBdr>
        <w:top w:val="none" w:sz="0" w:space="0" w:color="auto"/>
        <w:left w:val="none" w:sz="0" w:space="0" w:color="auto"/>
        <w:bottom w:val="none" w:sz="0" w:space="0" w:color="auto"/>
        <w:right w:val="none" w:sz="0" w:space="0" w:color="auto"/>
      </w:divBdr>
    </w:div>
    <w:div w:id="944726230">
      <w:bodyDiv w:val="1"/>
      <w:marLeft w:val="0"/>
      <w:marRight w:val="0"/>
      <w:marTop w:val="0"/>
      <w:marBottom w:val="0"/>
      <w:divBdr>
        <w:top w:val="none" w:sz="0" w:space="0" w:color="auto"/>
        <w:left w:val="none" w:sz="0" w:space="0" w:color="auto"/>
        <w:bottom w:val="none" w:sz="0" w:space="0" w:color="auto"/>
        <w:right w:val="none" w:sz="0" w:space="0" w:color="auto"/>
      </w:divBdr>
      <w:divsChild>
        <w:div w:id="118110570">
          <w:marLeft w:val="0"/>
          <w:marRight w:val="0"/>
          <w:marTop w:val="0"/>
          <w:marBottom w:val="0"/>
          <w:divBdr>
            <w:top w:val="none" w:sz="0" w:space="0" w:color="auto"/>
            <w:left w:val="none" w:sz="0" w:space="0" w:color="auto"/>
            <w:bottom w:val="none" w:sz="0" w:space="0" w:color="auto"/>
            <w:right w:val="none" w:sz="0" w:space="0" w:color="auto"/>
          </w:divBdr>
        </w:div>
      </w:divsChild>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0430409">
      <w:bodyDiv w:val="1"/>
      <w:marLeft w:val="0"/>
      <w:marRight w:val="0"/>
      <w:marTop w:val="0"/>
      <w:marBottom w:val="0"/>
      <w:divBdr>
        <w:top w:val="none" w:sz="0" w:space="0" w:color="auto"/>
        <w:left w:val="none" w:sz="0" w:space="0" w:color="auto"/>
        <w:bottom w:val="none" w:sz="0" w:space="0" w:color="auto"/>
        <w:right w:val="none" w:sz="0" w:space="0" w:color="auto"/>
      </w:divBdr>
      <w:divsChild>
        <w:div w:id="1998995529">
          <w:marLeft w:val="0"/>
          <w:marRight w:val="0"/>
          <w:marTop w:val="0"/>
          <w:marBottom w:val="0"/>
          <w:divBdr>
            <w:top w:val="none" w:sz="0" w:space="0" w:color="auto"/>
            <w:left w:val="none" w:sz="0" w:space="0" w:color="auto"/>
            <w:bottom w:val="none" w:sz="0" w:space="0" w:color="auto"/>
            <w:right w:val="none" w:sz="0" w:space="0" w:color="auto"/>
          </w:divBdr>
        </w:div>
      </w:divsChild>
    </w:div>
    <w:div w:id="950430577">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4556088">
      <w:bodyDiv w:val="1"/>
      <w:marLeft w:val="0"/>
      <w:marRight w:val="0"/>
      <w:marTop w:val="0"/>
      <w:marBottom w:val="0"/>
      <w:divBdr>
        <w:top w:val="none" w:sz="0" w:space="0" w:color="auto"/>
        <w:left w:val="none" w:sz="0" w:space="0" w:color="auto"/>
        <w:bottom w:val="none" w:sz="0" w:space="0" w:color="auto"/>
        <w:right w:val="none" w:sz="0" w:space="0" w:color="auto"/>
      </w:divBdr>
    </w:div>
    <w:div w:id="955256250">
      <w:bodyDiv w:val="1"/>
      <w:marLeft w:val="0"/>
      <w:marRight w:val="0"/>
      <w:marTop w:val="0"/>
      <w:marBottom w:val="0"/>
      <w:divBdr>
        <w:top w:val="none" w:sz="0" w:space="0" w:color="auto"/>
        <w:left w:val="none" w:sz="0" w:space="0" w:color="auto"/>
        <w:bottom w:val="none" w:sz="0" w:space="0" w:color="auto"/>
        <w:right w:val="none" w:sz="0" w:space="0" w:color="auto"/>
      </w:divBdr>
    </w:div>
    <w:div w:id="957445042">
      <w:bodyDiv w:val="1"/>
      <w:marLeft w:val="0"/>
      <w:marRight w:val="0"/>
      <w:marTop w:val="0"/>
      <w:marBottom w:val="0"/>
      <w:divBdr>
        <w:top w:val="none" w:sz="0" w:space="0" w:color="auto"/>
        <w:left w:val="none" w:sz="0" w:space="0" w:color="auto"/>
        <w:bottom w:val="none" w:sz="0" w:space="0" w:color="auto"/>
        <w:right w:val="none" w:sz="0" w:space="0" w:color="auto"/>
      </w:divBdr>
      <w:divsChild>
        <w:div w:id="1410690938">
          <w:marLeft w:val="0"/>
          <w:marRight w:val="0"/>
          <w:marTop w:val="0"/>
          <w:marBottom w:val="0"/>
          <w:divBdr>
            <w:top w:val="none" w:sz="0" w:space="0" w:color="auto"/>
            <w:left w:val="none" w:sz="0" w:space="0" w:color="auto"/>
            <w:bottom w:val="none" w:sz="0" w:space="0" w:color="auto"/>
            <w:right w:val="none" w:sz="0" w:space="0" w:color="auto"/>
          </w:divBdr>
        </w:div>
      </w:divsChild>
    </w:div>
    <w:div w:id="957567863">
      <w:bodyDiv w:val="1"/>
      <w:marLeft w:val="0"/>
      <w:marRight w:val="0"/>
      <w:marTop w:val="0"/>
      <w:marBottom w:val="0"/>
      <w:divBdr>
        <w:top w:val="none" w:sz="0" w:space="0" w:color="auto"/>
        <w:left w:val="none" w:sz="0" w:space="0" w:color="auto"/>
        <w:bottom w:val="none" w:sz="0" w:space="0" w:color="auto"/>
        <w:right w:val="none" w:sz="0" w:space="0" w:color="auto"/>
      </w:divBdr>
    </w:div>
    <w:div w:id="961502154">
      <w:bodyDiv w:val="1"/>
      <w:marLeft w:val="0"/>
      <w:marRight w:val="0"/>
      <w:marTop w:val="0"/>
      <w:marBottom w:val="0"/>
      <w:divBdr>
        <w:top w:val="none" w:sz="0" w:space="0" w:color="auto"/>
        <w:left w:val="none" w:sz="0" w:space="0" w:color="auto"/>
        <w:bottom w:val="none" w:sz="0" w:space="0" w:color="auto"/>
        <w:right w:val="none" w:sz="0" w:space="0" w:color="auto"/>
      </w:divBdr>
      <w:divsChild>
        <w:div w:id="693265229">
          <w:marLeft w:val="0"/>
          <w:marRight w:val="0"/>
          <w:marTop w:val="0"/>
          <w:marBottom w:val="0"/>
          <w:divBdr>
            <w:top w:val="none" w:sz="0" w:space="0" w:color="auto"/>
            <w:left w:val="none" w:sz="0" w:space="0" w:color="auto"/>
            <w:bottom w:val="none" w:sz="0" w:space="0" w:color="auto"/>
            <w:right w:val="none" w:sz="0" w:space="0" w:color="auto"/>
          </w:divBdr>
        </w:div>
      </w:divsChild>
    </w:div>
    <w:div w:id="965085253">
      <w:bodyDiv w:val="1"/>
      <w:marLeft w:val="0"/>
      <w:marRight w:val="0"/>
      <w:marTop w:val="0"/>
      <w:marBottom w:val="0"/>
      <w:divBdr>
        <w:top w:val="none" w:sz="0" w:space="0" w:color="auto"/>
        <w:left w:val="none" w:sz="0" w:space="0" w:color="auto"/>
        <w:bottom w:val="none" w:sz="0" w:space="0" w:color="auto"/>
        <w:right w:val="none" w:sz="0" w:space="0" w:color="auto"/>
      </w:divBdr>
    </w:div>
    <w:div w:id="967248649">
      <w:bodyDiv w:val="1"/>
      <w:marLeft w:val="0"/>
      <w:marRight w:val="0"/>
      <w:marTop w:val="0"/>
      <w:marBottom w:val="0"/>
      <w:divBdr>
        <w:top w:val="none" w:sz="0" w:space="0" w:color="auto"/>
        <w:left w:val="none" w:sz="0" w:space="0" w:color="auto"/>
        <w:bottom w:val="none" w:sz="0" w:space="0" w:color="auto"/>
        <w:right w:val="none" w:sz="0" w:space="0" w:color="auto"/>
      </w:divBdr>
    </w:div>
    <w:div w:id="970019181">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79773119">
      <w:bodyDiv w:val="1"/>
      <w:marLeft w:val="0"/>
      <w:marRight w:val="0"/>
      <w:marTop w:val="0"/>
      <w:marBottom w:val="0"/>
      <w:divBdr>
        <w:top w:val="none" w:sz="0" w:space="0" w:color="auto"/>
        <w:left w:val="none" w:sz="0" w:space="0" w:color="auto"/>
        <w:bottom w:val="none" w:sz="0" w:space="0" w:color="auto"/>
        <w:right w:val="none" w:sz="0" w:space="0" w:color="auto"/>
      </w:divBdr>
    </w:div>
    <w:div w:id="980497923">
      <w:bodyDiv w:val="1"/>
      <w:marLeft w:val="0"/>
      <w:marRight w:val="0"/>
      <w:marTop w:val="0"/>
      <w:marBottom w:val="0"/>
      <w:divBdr>
        <w:top w:val="none" w:sz="0" w:space="0" w:color="auto"/>
        <w:left w:val="none" w:sz="0" w:space="0" w:color="auto"/>
        <w:bottom w:val="none" w:sz="0" w:space="0" w:color="auto"/>
        <w:right w:val="none" w:sz="0" w:space="0" w:color="auto"/>
      </w:divBdr>
    </w:div>
    <w:div w:id="985013797">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5182791">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999770621">
      <w:bodyDiv w:val="1"/>
      <w:marLeft w:val="0"/>
      <w:marRight w:val="0"/>
      <w:marTop w:val="0"/>
      <w:marBottom w:val="0"/>
      <w:divBdr>
        <w:top w:val="none" w:sz="0" w:space="0" w:color="auto"/>
        <w:left w:val="none" w:sz="0" w:space="0" w:color="auto"/>
        <w:bottom w:val="none" w:sz="0" w:space="0" w:color="auto"/>
        <w:right w:val="none" w:sz="0" w:space="0" w:color="auto"/>
      </w:divBdr>
    </w:div>
    <w:div w:id="1002244106">
      <w:bodyDiv w:val="1"/>
      <w:marLeft w:val="0"/>
      <w:marRight w:val="0"/>
      <w:marTop w:val="0"/>
      <w:marBottom w:val="0"/>
      <w:divBdr>
        <w:top w:val="none" w:sz="0" w:space="0" w:color="auto"/>
        <w:left w:val="none" w:sz="0" w:space="0" w:color="auto"/>
        <w:bottom w:val="none" w:sz="0" w:space="0" w:color="auto"/>
        <w:right w:val="none" w:sz="0" w:space="0" w:color="auto"/>
      </w:divBdr>
    </w:div>
    <w:div w:id="1002969706">
      <w:bodyDiv w:val="1"/>
      <w:marLeft w:val="0"/>
      <w:marRight w:val="0"/>
      <w:marTop w:val="0"/>
      <w:marBottom w:val="0"/>
      <w:divBdr>
        <w:top w:val="none" w:sz="0" w:space="0" w:color="auto"/>
        <w:left w:val="none" w:sz="0" w:space="0" w:color="auto"/>
        <w:bottom w:val="none" w:sz="0" w:space="0" w:color="auto"/>
        <w:right w:val="none" w:sz="0" w:space="0" w:color="auto"/>
      </w:divBdr>
    </w:div>
    <w:div w:id="1008945452">
      <w:bodyDiv w:val="1"/>
      <w:marLeft w:val="0"/>
      <w:marRight w:val="0"/>
      <w:marTop w:val="0"/>
      <w:marBottom w:val="0"/>
      <w:divBdr>
        <w:top w:val="none" w:sz="0" w:space="0" w:color="auto"/>
        <w:left w:val="none" w:sz="0" w:space="0" w:color="auto"/>
        <w:bottom w:val="none" w:sz="0" w:space="0" w:color="auto"/>
        <w:right w:val="none" w:sz="0" w:space="0" w:color="auto"/>
      </w:divBdr>
      <w:divsChild>
        <w:div w:id="1783377881">
          <w:marLeft w:val="0"/>
          <w:marRight w:val="0"/>
          <w:marTop w:val="0"/>
          <w:marBottom w:val="0"/>
          <w:divBdr>
            <w:top w:val="none" w:sz="0" w:space="0" w:color="auto"/>
            <w:left w:val="none" w:sz="0" w:space="0" w:color="auto"/>
            <w:bottom w:val="none" w:sz="0" w:space="0" w:color="auto"/>
            <w:right w:val="none" w:sz="0" w:space="0" w:color="auto"/>
          </w:divBdr>
        </w:div>
      </w:divsChild>
    </w:div>
    <w:div w:id="1010523143">
      <w:bodyDiv w:val="1"/>
      <w:marLeft w:val="0"/>
      <w:marRight w:val="0"/>
      <w:marTop w:val="0"/>
      <w:marBottom w:val="0"/>
      <w:divBdr>
        <w:top w:val="none" w:sz="0" w:space="0" w:color="auto"/>
        <w:left w:val="none" w:sz="0" w:space="0" w:color="auto"/>
        <w:bottom w:val="none" w:sz="0" w:space="0" w:color="auto"/>
        <w:right w:val="none" w:sz="0" w:space="0" w:color="auto"/>
      </w:divBdr>
    </w:div>
    <w:div w:id="1017805340">
      <w:bodyDiv w:val="1"/>
      <w:marLeft w:val="0"/>
      <w:marRight w:val="0"/>
      <w:marTop w:val="0"/>
      <w:marBottom w:val="0"/>
      <w:divBdr>
        <w:top w:val="none" w:sz="0" w:space="0" w:color="auto"/>
        <w:left w:val="none" w:sz="0" w:space="0" w:color="auto"/>
        <w:bottom w:val="none" w:sz="0" w:space="0" w:color="auto"/>
        <w:right w:val="none" w:sz="0" w:space="0" w:color="auto"/>
      </w:divBdr>
    </w:div>
    <w:div w:id="1022049353">
      <w:bodyDiv w:val="1"/>
      <w:marLeft w:val="0"/>
      <w:marRight w:val="0"/>
      <w:marTop w:val="0"/>
      <w:marBottom w:val="0"/>
      <w:divBdr>
        <w:top w:val="none" w:sz="0" w:space="0" w:color="auto"/>
        <w:left w:val="none" w:sz="0" w:space="0" w:color="auto"/>
        <w:bottom w:val="none" w:sz="0" w:space="0" w:color="auto"/>
        <w:right w:val="none" w:sz="0" w:space="0" w:color="auto"/>
      </w:divBdr>
    </w:div>
    <w:div w:id="1026716762">
      <w:bodyDiv w:val="1"/>
      <w:marLeft w:val="0"/>
      <w:marRight w:val="0"/>
      <w:marTop w:val="0"/>
      <w:marBottom w:val="0"/>
      <w:divBdr>
        <w:top w:val="none" w:sz="0" w:space="0" w:color="auto"/>
        <w:left w:val="none" w:sz="0" w:space="0" w:color="auto"/>
        <w:bottom w:val="none" w:sz="0" w:space="0" w:color="auto"/>
        <w:right w:val="none" w:sz="0" w:space="0" w:color="auto"/>
      </w:divBdr>
    </w:div>
    <w:div w:id="1029843593">
      <w:bodyDiv w:val="1"/>
      <w:marLeft w:val="0"/>
      <w:marRight w:val="0"/>
      <w:marTop w:val="0"/>
      <w:marBottom w:val="0"/>
      <w:divBdr>
        <w:top w:val="none" w:sz="0" w:space="0" w:color="auto"/>
        <w:left w:val="none" w:sz="0" w:space="0" w:color="auto"/>
        <w:bottom w:val="none" w:sz="0" w:space="0" w:color="auto"/>
        <w:right w:val="none" w:sz="0" w:space="0" w:color="auto"/>
      </w:divBdr>
    </w:div>
    <w:div w:id="1036270014">
      <w:bodyDiv w:val="1"/>
      <w:marLeft w:val="0"/>
      <w:marRight w:val="0"/>
      <w:marTop w:val="0"/>
      <w:marBottom w:val="0"/>
      <w:divBdr>
        <w:top w:val="none" w:sz="0" w:space="0" w:color="auto"/>
        <w:left w:val="none" w:sz="0" w:space="0" w:color="auto"/>
        <w:bottom w:val="none" w:sz="0" w:space="0" w:color="auto"/>
        <w:right w:val="none" w:sz="0" w:space="0" w:color="auto"/>
      </w:divBdr>
    </w:div>
    <w:div w:id="1037777010">
      <w:bodyDiv w:val="1"/>
      <w:marLeft w:val="0"/>
      <w:marRight w:val="0"/>
      <w:marTop w:val="0"/>
      <w:marBottom w:val="0"/>
      <w:divBdr>
        <w:top w:val="none" w:sz="0" w:space="0" w:color="auto"/>
        <w:left w:val="none" w:sz="0" w:space="0" w:color="auto"/>
        <w:bottom w:val="none" w:sz="0" w:space="0" w:color="auto"/>
        <w:right w:val="none" w:sz="0" w:space="0" w:color="auto"/>
      </w:divBdr>
      <w:divsChild>
        <w:div w:id="1994139896">
          <w:marLeft w:val="0"/>
          <w:marRight w:val="0"/>
          <w:marTop w:val="0"/>
          <w:marBottom w:val="0"/>
          <w:divBdr>
            <w:top w:val="none" w:sz="0" w:space="0" w:color="auto"/>
            <w:left w:val="none" w:sz="0" w:space="0" w:color="auto"/>
            <w:bottom w:val="none" w:sz="0" w:space="0" w:color="auto"/>
            <w:right w:val="none" w:sz="0" w:space="0" w:color="auto"/>
          </w:divBdr>
        </w:div>
      </w:divsChild>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38044087">
      <w:bodyDiv w:val="1"/>
      <w:marLeft w:val="0"/>
      <w:marRight w:val="0"/>
      <w:marTop w:val="0"/>
      <w:marBottom w:val="0"/>
      <w:divBdr>
        <w:top w:val="none" w:sz="0" w:space="0" w:color="auto"/>
        <w:left w:val="none" w:sz="0" w:space="0" w:color="auto"/>
        <w:bottom w:val="none" w:sz="0" w:space="0" w:color="auto"/>
        <w:right w:val="none" w:sz="0" w:space="0" w:color="auto"/>
      </w:divBdr>
    </w:div>
    <w:div w:id="1040711693">
      <w:bodyDiv w:val="1"/>
      <w:marLeft w:val="0"/>
      <w:marRight w:val="0"/>
      <w:marTop w:val="0"/>
      <w:marBottom w:val="0"/>
      <w:divBdr>
        <w:top w:val="none" w:sz="0" w:space="0" w:color="auto"/>
        <w:left w:val="none" w:sz="0" w:space="0" w:color="auto"/>
        <w:bottom w:val="none" w:sz="0" w:space="0" w:color="auto"/>
        <w:right w:val="none" w:sz="0" w:space="0" w:color="auto"/>
      </w:divBdr>
      <w:divsChild>
        <w:div w:id="1361013642">
          <w:marLeft w:val="0"/>
          <w:marRight w:val="0"/>
          <w:marTop w:val="0"/>
          <w:marBottom w:val="0"/>
          <w:divBdr>
            <w:top w:val="none" w:sz="0" w:space="0" w:color="auto"/>
            <w:left w:val="none" w:sz="0" w:space="0" w:color="auto"/>
            <w:bottom w:val="none" w:sz="0" w:space="0" w:color="auto"/>
            <w:right w:val="none" w:sz="0" w:space="0" w:color="auto"/>
          </w:divBdr>
        </w:div>
      </w:divsChild>
    </w:div>
    <w:div w:id="1052509078">
      <w:bodyDiv w:val="1"/>
      <w:marLeft w:val="0"/>
      <w:marRight w:val="0"/>
      <w:marTop w:val="0"/>
      <w:marBottom w:val="0"/>
      <w:divBdr>
        <w:top w:val="none" w:sz="0" w:space="0" w:color="auto"/>
        <w:left w:val="none" w:sz="0" w:space="0" w:color="auto"/>
        <w:bottom w:val="none" w:sz="0" w:space="0" w:color="auto"/>
        <w:right w:val="none" w:sz="0" w:space="0" w:color="auto"/>
      </w:divBdr>
    </w:div>
    <w:div w:id="1054238514">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4765110">
      <w:bodyDiv w:val="1"/>
      <w:marLeft w:val="0"/>
      <w:marRight w:val="0"/>
      <w:marTop w:val="0"/>
      <w:marBottom w:val="0"/>
      <w:divBdr>
        <w:top w:val="none" w:sz="0" w:space="0" w:color="auto"/>
        <w:left w:val="none" w:sz="0" w:space="0" w:color="auto"/>
        <w:bottom w:val="none" w:sz="0" w:space="0" w:color="auto"/>
        <w:right w:val="none" w:sz="0" w:space="0" w:color="auto"/>
      </w:divBdr>
      <w:divsChild>
        <w:div w:id="333268461">
          <w:marLeft w:val="0"/>
          <w:marRight w:val="0"/>
          <w:marTop w:val="0"/>
          <w:marBottom w:val="0"/>
          <w:divBdr>
            <w:top w:val="none" w:sz="0" w:space="0" w:color="auto"/>
            <w:left w:val="none" w:sz="0" w:space="0" w:color="auto"/>
            <w:bottom w:val="none" w:sz="0" w:space="0" w:color="auto"/>
            <w:right w:val="none" w:sz="0" w:space="0" w:color="auto"/>
          </w:divBdr>
        </w:div>
      </w:divsChild>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3161781">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8133243">
      <w:bodyDiv w:val="1"/>
      <w:marLeft w:val="0"/>
      <w:marRight w:val="0"/>
      <w:marTop w:val="0"/>
      <w:marBottom w:val="0"/>
      <w:divBdr>
        <w:top w:val="none" w:sz="0" w:space="0" w:color="auto"/>
        <w:left w:val="none" w:sz="0" w:space="0" w:color="auto"/>
        <w:bottom w:val="none" w:sz="0" w:space="0" w:color="auto"/>
        <w:right w:val="none" w:sz="0" w:space="0" w:color="auto"/>
      </w:divBdr>
    </w:div>
    <w:div w:id="1078743956">
      <w:bodyDiv w:val="1"/>
      <w:marLeft w:val="0"/>
      <w:marRight w:val="0"/>
      <w:marTop w:val="0"/>
      <w:marBottom w:val="0"/>
      <w:divBdr>
        <w:top w:val="none" w:sz="0" w:space="0" w:color="auto"/>
        <w:left w:val="none" w:sz="0" w:space="0" w:color="auto"/>
        <w:bottom w:val="none" w:sz="0" w:space="0" w:color="auto"/>
        <w:right w:val="none" w:sz="0" w:space="0" w:color="auto"/>
      </w:divBdr>
    </w:div>
    <w:div w:id="1087383105">
      <w:bodyDiv w:val="1"/>
      <w:marLeft w:val="0"/>
      <w:marRight w:val="0"/>
      <w:marTop w:val="0"/>
      <w:marBottom w:val="0"/>
      <w:divBdr>
        <w:top w:val="none" w:sz="0" w:space="0" w:color="auto"/>
        <w:left w:val="none" w:sz="0" w:space="0" w:color="auto"/>
        <w:bottom w:val="none" w:sz="0" w:space="0" w:color="auto"/>
        <w:right w:val="none" w:sz="0" w:space="0" w:color="auto"/>
      </w:divBdr>
    </w:div>
    <w:div w:id="1095442808">
      <w:bodyDiv w:val="1"/>
      <w:marLeft w:val="0"/>
      <w:marRight w:val="0"/>
      <w:marTop w:val="0"/>
      <w:marBottom w:val="0"/>
      <w:divBdr>
        <w:top w:val="none" w:sz="0" w:space="0" w:color="auto"/>
        <w:left w:val="none" w:sz="0" w:space="0" w:color="auto"/>
        <w:bottom w:val="none" w:sz="0" w:space="0" w:color="auto"/>
        <w:right w:val="none" w:sz="0" w:space="0" w:color="auto"/>
      </w:divBdr>
    </w:div>
    <w:div w:id="1099563873">
      <w:bodyDiv w:val="1"/>
      <w:marLeft w:val="0"/>
      <w:marRight w:val="0"/>
      <w:marTop w:val="0"/>
      <w:marBottom w:val="0"/>
      <w:divBdr>
        <w:top w:val="none" w:sz="0" w:space="0" w:color="auto"/>
        <w:left w:val="none" w:sz="0" w:space="0" w:color="auto"/>
        <w:bottom w:val="none" w:sz="0" w:space="0" w:color="auto"/>
        <w:right w:val="none" w:sz="0" w:space="0" w:color="auto"/>
      </w:divBdr>
    </w:div>
    <w:div w:id="1104767269">
      <w:bodyDiv w:val="1"/>
      <w:marLeft w:val="0"/>
      <w:marRight w:val="0"/>
      <w:marTop w:val="0"/>
      <w:marBottom w:val="0"/>
      <w:divBdr>
        <w:top w:val="none" w:sz="0" w:space="0" w:color="auto"/>
        <w:left w:val="none" w:sz="0" w:space="0" w:color="auto"/>
        <w:bottom w:val="none" w:sz="0" w:space="0" w:color="auto"/>
        <w:right w:val="none" w:sz="0" w:space="0" w:color="auto"/>
      </w:divBdr>
      <w:divsChild>
        <w:div w:id="1652905765">
          <w:marLeft w:val="0"/>
          <w:marRight w:val="0"/>
          <w:marTop w:val="0"/>
          <w:marBottom w:val="0"/>
          <w:divBdr>
            <w:top w:val="none" w:sz="0" w:space="0" w:color="auto"/>
            <w:left w:val="none" w:sz="0" w:space="0" w:color="auto"/>
            <w:bottom w:val="none" w:sz="0" w:space="0" w:color="auto"/>
            <w:right w:val="none" w:sz="0" w:space="0" w:color="auto"/>
          </w:divBdr>
        </w:div>
      </w:divsChild>
    </w:div>
    <w:div w:id="1111360562">
      <w:bodyDiv w:val="1"/>
      <w:marLeft w:val="0"/>
      <w:marRight w:val="0"/>
      <w:marTop w:val="0"/>
      <w:marBottom w:val="0"/>
      <w:divBdr>
        <w:top w:val="none" w:sz="0" w:space="0" w:color="auto"/>
        <w:left w:val="none" w:sz="0" w:space="0" w:color="auto"/>
        <w:bottom w:val="none" w:sz="0" w:space="0" w:color="auto"/>
        <w:right w:val="none" w:sz="0" w:space="0" w:color="auto"/>
      </w:divBdr>
    </w:div>
    <w:div w:id="111321038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19571050">
      <w:bodyDiv w:val="1"/>
      <w:marLeft w:val="0"/>
      <w:marRight w:val="0"/>
      <w:marTop w:val="0"/>
      <w:marBottom w:val="0"/>
      <w:divBdr>
        <w:top w:val="none" w:sz="0" w:space="0" w:color="auto"/>
        <w:left w:val="none" w:sz="0" w:space="0" w:color="auto"/>
        <w:bottom w:val="none" w:sz="0" w:space="0" w:color="auto"/>
        <w:right w:val="none" w:sz="0" w:space="0" w:color="auto"/>
      </w:divBdr>
    </w:div>
    <w:div w:id="11248834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43734990">
      <w:bodyDiv w:val="1"/>
      <w:marLeft w:val="0"/>
      <w:marRight w:val="0"/>
      <w:marTop w:val="0"/>
      <w:marBottom w:val="0"/>
      <w:divBdr>
        <w:top w:val="none" w:sz="0" w:space="0" w:color="auto"/>
        <w:left w:val="none" w:sz="0" w:space="0" w:color="auto"/>
        <w:bottom w:val="none" w:sz="0" w:space="0" w:color="auto"/>
        <w:right w:val="none" w:sz="0" w:space="0" w:color="auto"/>
      </w:divBdr>
    </w:div>
    <w:div w:id="1143893632">
      <w:bodyDiv w:val="1"/>
      <w:marLeft w:val="0"/>
      <w:marRight w:val="0"/>
      <w:marTop w:val="0"/>
      <w:marBottom w:val="0"/>
      <w:divBdr>
        <w:top w:val="none" w:sz="0" w:space="0" w:color="auto"/>
        <w:left w:val="none" w:sz="0" w:space="0" w:color="auto"/>
        <w:bottom w:val="none" w:sz="0" w:space="0" w:color="auto"/>
        <w:right w:val="none" w:sz="0" w:space="0" w:color="auto"/>
      </w:divBdr>
      <w:divsChild>
        <w:div w:id="146438971">
          <w:marLeft w:val="0"/>
          <w:marRight w:val="0"/>
          <w:marTop w:val="0"/>
          <w:marBottom w:val="0"/>
          <w:divBdr>
            <w:top w:val="none" w:sz="0" w:space="0" w:color="auto"/>
            <w:left w:val="none" w:sz="0" w:space="0" w:color="auto"/>
            <w:bottom w:val="none" w:sz="0" w:space="0" w:color="auto"/>
            <w:right w:val="none" w:sz="0" w:space="0" w:color="auto"/>
          </w:divBdr>
        </w:div>
      </w:divsChild>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1869307">
      <w:bodyDiv w:val="1"/>
      <w:marLeft w:val="0"/>
      <w:marRight w:val="0"/>
      <w:marTop w:val="0"/>
      <w:marBottom w:val="0"/>
      <w:divBdr>
        <w:top w:val="none" w:sz="0" w:space="0" w:color="auto"/>
        <w:left w:val="none" w:sz="0" w:space="0" w:color="auto"/>
        <w:bottom w:val="none" w:sz="0" w:space="0" w:color="auto"/>
        <w:right w:val="none" w:sz="0" w:space="0" w:color="auto"/>
      </w:divBdr>
    </w:div>
    <w:div w:id="1187907883">
      <w:bodyDiv w:val="1"/>
      <w:marLeft w:val="0"/>
      <w:marRight w:val="0"/>
      <w:marTop w:val="0"/>
      <w:marBottom w:val="0"/>
      <w:divBdr>
        <w:top w:val="none" w:sz="0" w:space="0" w:color="auto"/>
        <w:left w:val="none" w:sz="0" w:space="0" w:color="auto"/>
        <w:bottom w:val="none" w:sz="0" w:space="0" w:color="auto"/>
        <w:right w:val="none" w:sz="0" w:space="0" w:color="auto"/>
      </w:divBdr>
    </w:div>
    <w:div w:id="1201016743">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13422993">
      <w:bodyDiv w:val="1"/>
      <w:marLeft w:val="0"/>
      <w:marRight w:val="0"/>
      <w:marTop w:val="0"/>
      <w:marBottom w:val="0"/>
      <w:divBdr>
        <w:top w:val="none" w:sz="0" w:space="0" w:color="auto"/>
        <w:left w:val="none" w:sz="0" w:space="0" w:color="auto"/>
        <w:bottom w:val="none" w:sz="0" w:space="0" w:color="auto"/>
        <w:right w:val="none" w:sz="0" w:space="0" w:color="auto"/>
      </w:divBdr>
    </w:div>
    <w:div w:id="1217857677">
      <w:bodyDiv w:val="1"/>
      <w:marLeft w:val="0"/>
      <w:marRight w:val="0"/>
      <w:marTop w:val="0"/>
      <w:marBottom w:val="0"/>
      <w:divBdr>
        <w:top w:val="none" w:sz="0" w:space="0" w:color="auto"/>
        <w:left w:val="none" w:sz="0" w:space="0" w:color="auto"/>
        <w:bottom w:val="none" w:sz="0" w:space="0" w:color="auto"/>
        <w:right w:val="none" w:sz="0" w:space="0" w:color="auto"/>
      </w:divBdr>
    </w:div>
    <w:div w:id="1219977032">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1818598">
      <w:bodyDiv w:val="1"/>
      <w:marLeft w:val="0"/>
      <w:marRight w:val="0"/>
      <w:marTop w:val="0"/>
      <w:marBottom w:val="0"/>
      <w:divBdr>
        <w:top w:val="none" w:sz="0" w:space="0" w:color="auto"/>
        <w:left w:val="none" w:sz="0" w:space="0" w:color="auto"/>
        <w:bottom w:val="none" w:sz="0" w:space="0" w:color="auto"/>
        <w:right w:val="none" w:sz="0" w:space="0" w:color="auto"/>
      </w:divBdr>
    </w:div>
    <w:div w:id="1227451257">
      <w:bodyDiv w:val="1"/>
      <w:marLeft w:val="0"/>
      <w:marRight w:val="0"/>
      <w:marTop w:val="0"/>
      <w:marBottom w:val="0"/>
      <w:divBdr>
        <w:top w:val="none" w:sz="0" w:space="0" w:color="auto"/>
        <w:left w:val="none" w:sz="0" w:space="0" w:color="auto"/>
        <w:bottom w:val="none" w:sz="0" w:space="0" w:color="auto"/>
        <w:right w:val="none" w:sz="0" w:space="0" w:color="auto"/>
      </w:divBdr>
      <w:divsChild>
        <w:div w:id="389235728">
          <w:marLeft w:val="0"/>
          <w:marRight w:val="0"/>
          <w:marTop w:val="0"/>
          <w:marBottom w:val="0"/>
          <w:divBdr>
            <w:top w:val="none" w:sz="0" w:space="0" w:color="auto"/>
            <w:left w:val="none" w:sz="0" w:space="0" w:color="auto"/>
            <w:bottom w:val="none" w:sz="0" w:space="0" w:color="auto"/>
            <w:right w:val="none" w:sz="0" w:space="0" w:color="auto"/>
          </w:divBdr>
        </w:div>
      </w:divsChild>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28108308">
      <w:bodyDiv w:val="1"/>
      <w:marLeft w:val="0"/>
      <w:marRight w:val="0"/>
      <w:marTop w:val="0"/>
      <w:marBottom w:val="0"/>
      <w:divBdr>
        <w:top w:val="none" w:sz="0" w:space="0" w:color="auto"/>
        <w:left w:val="none" w:sz="0" w:space="0" w:color="auto"/>
        <w:bottom w:val="none" w:sz="0" w:space="0" w:color="auto"/>
        <w:right w:val="none" w:sz="0" w:space="0" w:color="auto"/>
      </w:divBdr>
    </w:div>
    <w:div w:id="1238980194">
      <w:bodyDiv w:val="1"/>
      <w:marLeft w:val="0"/>
      <w:marRight w:val="0"/>
      <w:marTop w:val="0"/>
      <w:marBottom w:val="0"/>
      <w:divBdr>
        <w:top w:val="none" w:sz="0" w:space="0" w:color="auto"/>
        <w:left w:val="none" w:sz="0" w:space="0" w:color="auto"/>
        <w:bottom w:val="none" w:sz="0" w:space="0" w:color="auto"/>
        <w:right w:val="none" w:sz="0" w:space="0" w:color="auto"/>
      </w:divBdr>
    </w:div>
    <w:div w:id="1241450925">
      <w:bodyDiv w:val="1"/>
      <w:marLeft w:val="0"/>
      <w:marRight w:val="0"/>
      <w:marTop w:val="0"/>
      <w:marBottom w:val="0"/>
      <w:divBdr>
        <w:top w:val="none" w:sz="0" w:space="0" w:color="auto"/>
        <w:left w:val="none" w:sz="0" w:space="0" w:color="auto"/>
        <w:bottom w:val="none" w:sz="0" w:space="0" w:color="auto"/>
        <w:right w:val="none" w:sz="0" w:space="0" w:color="auto"/>
      </w:divBdr>
    </w:div>
    <w:div w:id="1245577796">
      <w:bodyDiv w:val="1"/>
      <w:marLeft w:val="0"/>
      <w:marRight w:val="0"/>
      <w:marTop w:val="0"/>
      <w:marBottom w:val="0"/>
      <w:divBdr>
        <w:top w:val="none" w:sz="0" w:space="0" w:color="auto"/>
        <w:left w:val="none" w:sz="0" w:space="0" w:color="auto"/>
        <w:bottom w:val="none" w:sz="0" w:space="0" w:color="auto"/>
        <w:right w:val="none" w:sz="0" w:space="0" w:color="auto"/>
      </w:divBdr>
      <w:divsChild>
        <w:div w:id="368457624">
          <w:marLeft w:val="0"/>
          <w:marRight w:val="0"/>
          <w:marTop w:val="0"/>
          <w:marBottom w:val="0"/>
          <w:divBdr>
            <w:top w:val="none" w:sz="0" w:space="0" w:color="auto"/>
            <w:left w:val="none" w:sz="0" w:space="0" w:color="auto"/>
            <w:bottom w:val="none" w:sz="0" w:space="0" w:color="auto"/>
            <w:right w:val="none" w:sz="0" w:space="0" w:color="auto"/>
          </w:divBdr>
        </w:div>
      </w:divsChild>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1524323">
      <w:bodyDiv w:val="1"/>
      <w:marLeft w:val="0"/>
      <w:marRight w:val="0"/>
      <w:marTop w:val="0"/>
      <w:marBottom w:val="0"/>
      <w:divBdr>
        <w:top w:val="none" w:sz="0" w:space="0" w:color="auto"/>
        <w:left w:val="none" w:sz="0" w:space="0" w:color="auto"/>
        <w:bottom w:val="none" w:sz="0" w:space="0" w:color="auto"/>
        <w:right w:val="none" w:sz="0" w:space="0" w:color="auto"/>
      </w:divBdr>
    </w:div>
    <w:div w:id="1261572122">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1083430">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716168">
      <w:bodyDiv w:val="1"/>
      <w:marLeft w:val="0"/>
      <w:marRight w:val="0"/>
      <w:marTop w:val="0"/>
      <w:marBottom w:val="0"/>
      <w:divBdr>
        <w:top w:val="none" w:sz="0" w:space="0" w:color="auto"/>
        <w:left w:val="none" w:sz="0" w:space="0" w:color="auto"/>
        <w:bottom w:val="none" w:sz="0" w:space="0" w:color="auto"/>
        <w:right w:val="none" w:sz="0" w:space="0" w:color="auto"/>
      </w:divBdr>
    </w:div>
    <w:div w:id="1278681942">
      <w:bodyDiv w:val="1"/>
      <w:marLeft w:val="0"/>
      <w:marRight w:val="0"/>
      <w:marTop w:val="0"/>
      <w:marBottom w:val="0"/>
      <w:divBdr>
        <w:top w:val="none" w:sz="0" w:space="0" w:color="auto"/>
        <w:left w:val="none" w:sz="0" w:space="0" w:color="auto"/>
        <w:bottom w:val="none" w:sz="0" w:space="0" w:color="auto"/>
        <w:right w:val="none" w:sz="0" w:space="0" w:color="auto"/>
      </w:divBdr>
    </w:div>
    <w:div w:id="1281381875">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2176392">
      <w:bodyDiv w:val="1"/>
      <w:marLeft w:val="0"/>
      <w:marRight w:val="0"/>
      <w:marTop w:val="0"/>
      <w:marBottom w:val="0"/>
      <w:divBdr>
        <w:top w:val="none" w:sz="0" w:space="0" w:color="auto"/>
        <w:left w:val="none" w:sz="0" w:space="0" w:color="auto"/>
        <w:bottom w:val="none" w:sz="0" w:space="0" w:color="auto"/>
        <w:right w:val="none" w:sz="0" w:space="0" w:color="auto"/>
      </w:divBdr>
    </w:div>
    <w:div w:id="1297250469">
      <w:bodyDiv w:val="1"/>
      <w:marLeft w:val="0"/>
      <w:marRight w:val="0"/>
      <w:marTop w:val="0"/>
      <w:marBottom w:val="0"/>
      <w:divBdr>
        <w:top w:val="none" w:sz="0" w:space="0" w:color="auto"/>
        <w:left w:val="none" w:sz="0" w:space="0" w:color="auto"/>
        <w:bottom w:val="none" w:sz="0" w:space="0" w:color="auto"/>
        <w:right w:val="none" w:sz="0" w:space="0" w:color="auto"/>
      </w:divBdr>
    </w:div>
    <w:div w:id="1304433169">
      <w:bodyDiv w:val="1"/>
      <w:marLeft w:val="0"/>
      <w:marRight w:val="0"/>
      <w:marTop w:val="0"/>
      <w:marBottom w:val="0"/>
      <w:divBdr>
        <w:top w:val="none" w:sz="0" w:space="0" w:color="auto"/>
        <w:left w:val="none" w:sz="0" w:space="0" w:color="auto"/>
        <w:bottom w:val="none" w:sz="0" w:space="0" w:color="auto"/>
        <w:right w:val="none" w:sz="0" w:space="0" w:color="auto"/>
      </w:divBdr>
    </w:div>
    <w:div w:id="1305158382">
      <w:bodyDiv w:val="1"/>
      <w:marLeft w:val="0"/>
      <w:marRight w:val="0"/>
      <w:marTop w:val="0"/>
      <w:marBottom w:val="0"/>
      <w:divBdr>
        <w:top w:val="none" w:sz="0" w:space="0" w:color="auto"/>
        <w:left w:val="none" w:sz="0" w:space="0" w:color="auto"/>
        <w:bottom w:val="none" w:sz="0" w:space="0" w:color="auto"/>
        <w:right w:val="none" w:sz="0" w:space="0" w:color="auto"/>
      </w:divBdr>
    </w:div>
    <w:div w:id="1308054223">
      <w:bodyDiv w:val="1"/>
      <w:marLeft w:val="0"/>
      <w:marRight w:val="0"/>
      <w:marTop w:val="0"/>
      <w:marBottom w:val="0"/>
      <w:divBdr>
        <w:top w:val="none" w:sz="0" w:space="0" w:color="auto"/>
        <w:left w:val="none" w:sz="0" w:space="0" w:color="auto"/>
        <w:bottom w:val="none" w:sz="0" w:space="0" w:color="auto"/>
        <w:right w:val="none" w:sz="0" w:space="0" w:color="auto"/>
      </w:divBdr>
    </w:div>
    <w:div w:id="1311180418">
      <w:bodyDiv w:val="1"/>
      <w:marLeft w:val="0"/>
      <w:marRight w:val="0"/>
      <w:marTop w:val="0"/>
      <w:marBottom w:val="0"/>
      <w:divBdr>
        <w:top w:val="none" w:sz="0" w:space="0" w:color="auto"/>
        <w:left w:val="none" w:sz="0" w:space="0" w:color="auto"/>
        <w:bottom w:val="none" w:sz="0" w:space="0" w:color="auto"/>
        <w:right w:val="none" w:sz="0" w:space="0" w:color="auto"/>
      </w:divBdr>
    </w:div>
    <w:div w:id="1326277390">
      <w:bodyDiv w:val="1"/>
      <w:marLeft w:val="0"/>
      <w:marRight w:val="0"/>
      <w:marTop w:val="0"/>
      <w:marBottom w:val="0"/>
      <w:divBdr>
        <w:top w:val="none" w:sz="0" w:space="0" w:color="auto"/>
        <w:left w:val="none" w:sz="0" w:space="0" w:color="auto"/>
        <w:bottom w:val="none" w:sz="0" w:space="0" w:color="auto"/>
        <w:right w:val="none" w:sz="0" w:space="0" w:color="auto"/>
      </w:divBdr>
    </w:div>
    <w:div w:id="1327786564">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1172823">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40429973">
      <w:bodyDiv w:val="1"/>
      <w:marLeft w:val="0"/>
      <w:marRight w:val="0"/>
      <w:marTop w:val="0"/>
      <w:marBottom w:val="0"/>
      <w:divBdr>
        <w:top w:val="none" w:sz="0" w:space="0" w:color="auto"/>
        <w:left w:val="none" w:sz="0" w:space="0" w:color="auto"/>
        <w:bottom w:val="none" w:sz="0" w:space="0" w:color="auto"/>
        <w:right w:val="none" w:sz="0" w:space="0" w:color="auto"/>
      </w:divBdr>
    </w:div>
    <w:div w:id="1345791376">
      <w:bodyDiv w:val="1"/>
      <w:marLeft w:val="0"/>
      <w:marRight w:val="0"/>
      <w:marTop w:val="0"/>
      <w:marBottom w:val="0"/>
      <w:divBdr>
        <w:top w:val="none" w:sz="0" w:space="0" w:color="auto"/>
        <w:left w:val="none" w:sz="0" w:space="0" w:color="auto"/>
        <w:bottom w:val="none" w:sz="0" w:space="0" w:color="auto"/>
        <w:right w:val="none" w:sz="0" w:space="0" w:color="auto"/>
      </w:divBdr>
    </w:div>
    <w:div w:id="136000633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66638386">
      <w:bodyDiv w:val="1"/>
      <w:marLeft w:val="0"/>
      <w:marRight w:val="0"/>
      <w:marTop w:val="0"/>
      <w:marBottom w:val="0"/>
      <w:divBdr>
        <w:top w:val="none" w:sz="0" w:space="0" w:color="auto"/>
        <w:left w:val="none" w:sz="0" w:space="0" w:color="auto"/>
        <w:bottom w:val="none" w:sz="0" w:space="0" w:color="auto"/>
        <w:right w:val="none" w:sz="0" w:space="0" w:color="auto"/>
      </w:divBdr>
    </w:div>
    <w:div w:id="1371686932">
      <w:bodyDiv w:val="1"/>
      <w:marLeft w:val="0"/>
      <w:marRight w:val="0"/>
      <w:marTop w:val="0"/>
      <w:marBottom w:val="0"/>
      <w:divBdr>
        <w:top w:val="none" w:sz="0" w:space="0" w:color="auto"/>
        <w:left w:val="none" w:sz="0" w:space="0" w:color="auto"/>
        <w:bottom w:val="none" w:sz="0" w:space="0" w:color="auto"/>
        <w:right w:val="none" w:sz="0" w:space="0" w:color="auto"/>
      </w:divBdr>
    </w:div>
    <w:div w:id="137226431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3724165">
      <w:bodyDiv w:val="1"/>
      <w:marLeft w:val="0"/>
      <w:marRight w:val="0"/>
      <w:marTop w:val="0"/>
      <w:marBottom w:val="0"/>
      <w:divBdr>
        <w:top w:val="none" w:sz="0" w:space="0" w:color="auto"/>
        <w:left w:val="none" w:sz="0" w:space="0" w:color="auto"/>
        <w:bottom w:val="none" w:sz="0" w:space="0" w:color="auto"/>
        <w:right w:val="none" w:sz="0" w:space="0" w:color="auto"/>
      </w:divBdr>
      <w:divsChild>
        <w:div w:id="1346246016">
          <w:marLeft w:val="0"/>
          <w:marRight w:val="0"/>
          <w:marTop w:val="0"/>
          <w:marBottom w:val="0"/>
          <w:divBdr>
            <w:top w:val="none" w:sz="0" w:space="0" w:color="auto"/>
            <w:left w:val="none" w:sz="0" w:space="0" w:color="auto"/>
            <w:bottom w:val="none" w:sz="0" w:space="0" w:color="auto"/>
            <w:right w:val="none" w:sz="0" w:space="0" w:color="auto"/>
          </w:divBdr>
        </w:div>
      </w:divsChild>
    </w:div>
    <w:div w:id="1375618002">
      <w:bodyDiv w:val="1"/>
      <w:marLeft w:val="0"/>
      <w:marRight w:val="0"/>
      <w:marTop w:val="0"/>
      <w:marBottom w:val="0"/>
      <w:divBdr>
        <w:top w:val="none" w:sz="0" w:space="0" w:color="auto"/>
        <w:left w:val="none" w:sz="0" w:space="0" w:color="auto"/>
        <w:bottom w:val="none" w:sz="0" w:space="0" w:color="auto"/>
        <w:right w:val="none" w:sz="0" w:space="0" w:color="auto"/>
      </w:divBdr>
    </w:div>
    <w:div w:id="1377582857">
      <w:bodyDiv w:val="1"/>
      <w:marLeft w:val="0"/>
      <w:marRight w:val="0"/>
      <w:marTop w:val="0"/>
      <w:marBottom w:val="0"/>
      <w:divBdr>
        <w:top w:val="none" w:sz="0" w:space="0" w:color="auto"/>
        <w:left w:val="none" w:sz="0" w:space="0" w:color="auto"/>
        <w:bottom w:val="none" w:sz="0" w:space="0" w:color="auto"/>
        <w:right w:val="none" w:sz="0" w:space="0" w:color="auto"/>
      </w:divBdr>
    </w:div>
    <w:div w:id="1380205011">
      <w:bodyDiv w:val="1"/>
      <w:marLeft w:val="0"/>
      <w:marRight w:val="0"/>
      <w:marTop w:val="0"/>
      <w:marBottom w:val="0"/>
      <w:divBdr>
        <w:top w:val="none" w:sz="0" w:space="0" w:color="auto"/>
        <w:left w:val="none" w:sz="0" w:space="0" w:color="auto"/>
        <w:bottom w:val="none" w:sz="0" w:space="0" w:color="auto"/>
        <w:right w:val="none" w:sz="0" w:space="0" w:color="auto"/>
      </w:divBdr>
    </w:div>
    <w:div w:id="1380520609">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05951965">
      <w:bodyDiv w:val="1"/>
      <w:marLeft w:val="0"/>
      <w:marRight w:val="0"/>
      <w:marTop w:val="0"/>
      <w:marBottom w:val="0"/>
      <w:divBdr>
        <w:top w:val="none" w:sz="0" w:space="0" w:color="auto"/>
        <w:left w:val="none" w:sz="0" w:space="0" w:color="auto"/>
        <w:bottom w:val="none" w:sz="0" w:space="0" w:color="auto"/>
        <w:right w:val="none" w:sz="0" w:space="0" w:color="auto"/>
      </w:divBdr>
    </w:div>
    <w:div w:id="1407798390">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9519584">
      <w:bodyDiv w:val="1"/>
      <w:marLeft w:val="0"/>
      <w:marRight w:val="0"/>
      <w:marTop w:val="0"/>
      <w:marBottom w:val="0"/>
      <w:divBdr>
        <w:top w:val="none" w:sz="0" w:space="0" w:color="auto"/>
        <w:left w:val="none" w:sz="0" w:space="0" w:color="auto"/>
        <w:bottom w:val="none" w:sz="0" w:space="0" w:color="auto"/>
        <w:right w:val="none" w:sz="0" w:space="0" w:color="auto"/>
      </w:divBdr>
    </w:div>
    <w:div w:id="1420757567">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25028425">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2333606">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47576084">
      <w:bodyDiv w:val="1"/>
      <w:marLeft w:val="0"/>
      <w:marRight w:val="0"/>
      <w:marTop w:val="0"/>
      <w:marBottom w:val="0"/>
      <w:divBdr>
        <w:top w:val="none" w:sz="0" w:space="0" w:color="auto"/>
        <w:left w:val="none" w:sz="0" w:space="0" w:color="auto"/>
        <w:bottom w:val="none" w:sz="0" w:space="0" w:color="auto"/>
        <w:right w:val="none" w:sz="0" w:space="0" w:color="auto"/>
      </w:divBdr>
    </w:div>
    <w:div w:id="1452282243">
      <w:bodyDiv w:val="1"/>
      <w:marLeft w:val="0"/>
      <w:marRight w:val="0"/>
      <w:marTop w:val="0"/>
      <w:marBottom w:val="0"/>
      <w:divBdr>
        <w:top w:val="none" w:sz="0" w:space="0" w:color="auto"/>
        <w:left w:val="none" w:sz="0" w:space="0" w:color="auto"/>
        <w:bottom w:val="none" w:sz="0" w:space="0" w:color="auto"/>
        <w:right w:val="none" w:sz="0" w:space="0" w:color="auto"/>
      </w:divBdr>
    </w:div>
    <w:div w:id="1453014383">
      <w:bodyDiv w:val="1"/>
      <w:marLeft w:val="0"/>
      <w:marRight w:val="0"/>
      <w:marTop w:val="0"/>
      <w:marBottom w:val="0"/>
      <w:divBdr>
        <w:top w:val="none" w:sz="0" w:space="0" w:color="auto"/>
        <w:left w:val="none" w:sz="0" w:space="0" w:color="auto"/>
        <w:bottom w:val="none" w:sz="0" w:space="0" w:color="auto"/>
        <w:right w:val="none" w:sz="0" w:space="0" w:color="auto"/>
      </w:divBdr>
    </w:div>
    <w:div w:id="1455637831">
      <w:bodyDiv w:val="1"/>
      <w:marLeft w:val="0"/>
      <w:marRight w:val="0"/>
      <w:marTop w:val="0"/>
      <w:marBottom w:val="0"/>
      <w:divBdr>
        <w:top w:val="none" w:sz="0" w:space="0" w:color="auto"/>
        <w:left w:val="none" w:sz="0" w:space="0" w:color="auto"/>
        <w:bottom w:val="none" w:sz="0" w:space="0" w:color="auto"/>
        <w:right w:val="none" w:sz="0" w:space="0" w:color="auto"/>
      </w:divBdr>
      <w:divsChild>
        <w:div w:id="776564052">
          <w:marLeft w:val="0"/>
          <w:marRight w:val="0"/>
          <w:marTop w:val="0"/>
          <w:marBottom w:val="0"/>
          <w:divBdr>
            <w:top w:val="none" w:sz="0" w:space="0" w:color="auto"/>
            <w:left w:val="none" w:sz="0" w:space="0" w:color="auto"/>
            <w:bottom w:val="none" w:sz="0" w:space="0" w:color="auto"/>
            <w:right w:val="none" w:sz="0" w:space="0" w:color="auto"/>
          </w:divBdr>
        </w:div>
      </w:divsChild>
    </w:div>
    <w:div w:id="1457720304">
      <w:bodyDiv w:val="1"/>
      <w:marLeft w:val="0"/>
      <w:marRight w:val="0"/>
      <w:marTop w:val="0"/>
      <w:marBottom w:val="0"/>
      <w:divBdr>
        <w:top w:val="none" w:sz="0" w:space="0" w:color="auto"/>
        <w:left w:val="none" w:sz="0" w:space="0" w:color="auto"/>
        <w:bottom w:val="none" w:sz="0" w:space="0" w:color="auto"/>
        <w:right w:val="none" w:sz="0" w:space="0" w:color="auto"/>
      </w:divBdr>
    </w:div>
    <w:div w:id="1465730466">
      <w:bodyDiv w:val="1"/>
      <w:marLeft w:val="0"/>
      <w:marRight w:val="0"/>
      <w:marTop w:val="0"/>
      <w:marBottom w:val="0"/>
      <w:divBdr>
        <w:top w:val="none" w:sz="0" w:space="0" w:color="auto"/>
        <w:left w:val="none" w:sz="0" w:space="0" w:color="auto"/>
        <w:bottom w:val="none" w:sz="0" w:space="0" w:color="auto"/>
        <w:right w:val="none" w:sz="0" w:space="0" w:color="auto"/>
      </w:divBdr>
    </w:div>
    <w:div w:id="146573563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5536029">
      <w:bodyDiv w:val="1"/>
      <w:marLeft w:val="0"/>
      <w:marRight w:val="0"/>
      <w:marTop w:val="0"/>
      <w:marBottom w:val="0"/>
      <w:divBdr>
        <w:top w:val="none" w:sz="0" w:space="0" w:color="auto"/>
        <w:left w:val="none" w:sz="0" w:space="0" w:color="auto"/>
        <w:bottom w:val="none" w:sz="0" w:space="0" w:color="auto"/>
        <w:right w:val="none" w:sz="0" w:space="0" w:color="auto"/>
      </w:divBdr>
    </w:div>
    <w:div w:id="1538666204">
      <w:bodyDiv w:val="1"/>
      <w:marLeft w:val="0"/>
      <w:marRight w:val="0"/>
      <w:marTop w:val="0"/>
      <w:marBottom w:val="0"/>
      <w:divBdr>
        <w:top w:val="none" w:sz="0" w:space="0" w:color="auto"/>
        <w:left w:val="none" w:sz="0" w:space="0" w:color="auto"/>
        <w:bottom w:val="none" w:sz="0" w:space="0" w:color="auto"/>
        <w:right w:val="none" w:sz="0" w:space="0" w:color="auto"/>
      </w:divBdr>
    </w:div>
    <w:div w:id="1539783615">
      <w:bodyDiv w:val="1"/>
      <w:marLeft w:val="0"/>
      <w:marRight w:val="0"/>
      <w:marTop w:val="0"/>
      <w:marBottom w:val="0"/>
      <w:divBdr>
        <w:top w:val="none" w:sz="0" w:space="0" w:color="auto"/>
        <w:left w:val="none" w:sz="0" w:space="0" w:color="auto"/>
        <w:bottom w:val="none" w:sz="0" w:space="0" w:color="auto"/>
        <w:right w:val="none" w:sz="0" w:space="0" w:color="auto"/>
      </w:divBdr>
    </w:div>
    <w:div w:id="1542400679">
      <w:bodyDiv w:val="1"/>
      <w:marLeft w:val="0"/>
      <w:marRight w:val="0"/>
      <w:marTop w:val="0"/>
      <w:marBottom w:val="0"/>
      <w:divBdr>
        <w:top w:val="none" w:sz="0" w:space="0" w:color="auto"/>
        <w:left w:val="none" w:sz="0" w:space="0" w:color="auto"/>
        <w:bottom w:val="none" w:sz="0" w:space="0" w:color="auto"/>
        <w:right w:val="none" w:sz="0" w:space="0" w:color="auto"/>
      </w:divBdr>
      <w:divsChild>
        <w:div w:id="821657204">
          <w:marLeft w:val="0"/>
          <w:marRight w:val="0"/>
          <w:marTop w:val="0"/>
          <w:marBottom w:val="0"/>
          <w:divBdr>
            <w:top w:val="none" w:sz="0" w:space="0" w:color="auto"/>
            <w:left w:val="none" w:sz="0" w:space="0" w:color="auto"/>
            <w:bottom w:val="none" w:sz="0" w:space="0" w:color="auto"/>
            <w:right w:val="none" w:sz="0" w:space="0" w:color="auto"/>
          </w:divBdr>
        </w:div>
      </w:divsChild>
    </w:div>
    <w:div w:id="1547788372">
      <w:bodyDiv w:val="1"/>
      <w:marLeft w:val="0"/>
      <w:marRight w:val="0"/>
      <w:marTop w:val="0"/>
      <w:marBottom w:val="0"/>
      <w:divBdr>
        <w:top w:val="none" w:sz="0" w:space="0" w:color="auto"/>
        <w:left w:val="none" w:sz="0" w:space="0" w:color="auto"/>
        <w:bottom w:val="none" w:sz="0" w:space="0" w:color="auto"/>
        <w:right w:val="none" w:sz="0" w:space="0" w:color="auto"/>
      </w:divBdr>
    </w:div>
    <w:div w:id="1550414460">
      <w:bodyDiv w:val="1"/>
      <w:marLeft w:val="0"/>
      <w:marRight w:val="0"/>
      <w:marTop w:val="0"/>
      <w:marBottom w:val="0"/>
      <w:divBdr>
        <w:top w:val="none" w:sz="0" w:space="0" w:color="auto"/>
        <w:left w:val="none" w:sz="0" w:space="0" w:color="auto"/>
        <w:bottom w:val="none" w:sz="0" w:space="0" w:color="auto"/>
        <w:right w:val="none" w:sz="0" w:space="0" w:color="auto"/>
      </w:divBdr>
    </w:div>
    <w:div w:id="1552961696">
      <w:bodyDiv w:val="1"/>
      <w:marLeft w:val="0"/>
      <w:marRight w:val="0"/>
      <w:marTop w:val="0"/>
      <w:marBottom w:val="0"/>
      <w:divBdr>
        <w:top w:val="none" w:sz="0" w:space="0" w:color="auto"/>
        <w:left w:val="none" w:sz="0" w:space="0" w:color="auto"/>
        <w:bottom w:val="none" w:sz="0" w:space="0" w:color="auto"/>
        <w:right w:val="none" w:sz="0" w:space="0" w:color="auto"/>
      </w:divBdr>
    </w:div>
    <w:div w:id="1553077231">
      <w:bodyDiv w:val="1"/>
      <w:marLeft w:val="0"/>
      <w:marRight w:val="0"/>
      <w:marTop w:val="0"/>
      <w:marBottom w:val="0"/>
      <w:divBdr>
        <w:top w:val="none" w:sz="0" w:space="0" w:color="auto"/>
        <w:left w:val="none" w:sz="0" w:space="0" w:color="auto"/>
        <w:bottom w:val="none" w:sz="0" w:space="0" w:color="auto"/>
        <w:right w:val="none" w:sz="0" w:space="0" w:color="auto"/>
      </w:divBdr>
    </w:div>
    <w:div w:id="1555967347">
      <w:bodyDiv w:val="1"/>
      <w:marLeft w:val="0"/>
      <w:marRight w:val="0"/>
      <w:marTop w:val="0"/>
      <w:marBottom w:val="0"/>
      <w:divBdr>
        <w:top w:val="none" w:sz="0" w:space="0" w:color="auto"/>
        <w:left w:val="none" w:sz="0" w:space="0" w:color="auto"/>
        <w:bottom w:val="none" w:sz="0" w:space="0" w:color="auto"/>
        <w:right w:val="none" w:sz="0" w:space="0" w:color="auto"/>
      </w:divBdr>
    </w:div>
    <w:div w:id="1561939067">
      <w:bodyDiv w:val="1"/>
      <w:marLeft w:val="0"/>
      <w:marRight w:val="0"/>
      <w:marTop w:val="0"/>
      <w:marBottom w:val="0"/>
      <w:divBdr>
        <w:top w:val="none" w:sz="0" w:space="0" w:color="auto"/>
        <w:left w:val="none" w:sz="0" w:space="0" w:color="auto"/>
        <w:bottom w:val="none" w:sz="0" w:space="0" w:color="auto"/>
        <w:right w:val="none" w:sz="0" w:space="0" w:color="auto"/>
      </w:divBdr>
    </w:div>
    <w:div w:id="1573199541">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4224536">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4075503">
      <w:bodyDiv w:val="1"/>
      <w:marLeft w:val="0"/>
      <w:marRight w:val="0"/>
      <w:marTop w:val="0"/>
      <w:marBottom w:val="0"/>
      <w:divBdr>
        <w:top w:val="none" w:sz="0" w:space="0" w:color="auto"/>
        <w:left w:val="none" w:sz="0" w:space="0" w:color="auto"/>
        <w:bottom w:val="none" w:sz="0" w:space="0" w:color="auto"/>
        <w:right w:val="none" w:sz="0" w:space="0" w:color="auto"/>
      </w:divBdr>
    </w:div>
    <w:div w:id="1605184751">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28848946">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40258799">
      <w:bodyDiv w:val="1"/>
      <w:marLeft w:val="0"/>
      <w:marRight w:val="0"/>
      <w:marTop w:val="0"/>
      <w:marBottom w:val="0"/>
      <w:divBdr>
        <w:top w:val="none" w:sz="0" w:space="0" w:color="auto"/>
        <w:left w:val="none" w:sz="0" w:space="0" w:color="auto"/>
        <w:bottom w:val="none" w:sz="0" w:space="0" w:color="auto"/>
        <w:right w:val="none" w:sz="0" w:space="0" w:color="auto"/>
      </w:divBdr>
    </w:div>
    <w:div w:id="1644195821">
      <w:bodyDiv w:val="1"/>
      <w:marLeft w:val="0"/>
      <w:marRight w:val="0"/>
      <w:marTop w:val="0"/>
      <w:marBottom w:val="0"/>
      <w:divBdr>
        <w:top w:val="none" w:sz="0" w:space="0" w:color="auto"/>
        <w:left w:val="none" w:sz="0" w:space="0" w:color="auto"/>
        <w:bottom w:val="none" w:sz="0" w:space="0" w:color="auto"/>
        <w:right w:val="none" w:sz="0" w:space="0" w:color="auto"/>
      </w:divBdr>
    </w:div>
    <w:div w:id="1646743289">
      <w:bodyDiv w:val="1"/>
      <w:marLeft w:val="0"/>
      <w:marRight w:val="0"/>
      <w:marTop w:val="0"/>
      <w:marBottom w:val="0"/>
      <w:divBdr>
        <w:top w:val="none" w:sz="0" w:space="0" w:color="auto"/>
        <w:left w:val="none" w:sz="0" w:space="0" w:color="auto"/>
        <w:bottom w:val="none" w:sz="0" w:space="0" w:color="auto"/>
        <w:right w:val="none" w:sz="0" w:space="0" w:color="auto"/>
      </w:divBdr>
      <w:divsChild>
        <w:div w:id="1110513381">
          <w:marLeft w:val="0"/>
          <w:marRight w:val="0"/>
          <w:marTop w:val="0"/>
          <w:marBottom w:val="0"/>
          <w:divBdr>
            <w:top w:val="none" w:sz="0" w:space="0" w:color="auto"/>
            <w:left w:val="none" w:sz="0" w:space="0" w:color="auto"/>
            <w:bottom w:val="none" w:sz="0" w:space="0" w:color="auto"/>
            <w:right w:val="none" w:sz="0" w:space="0" w:color="auto"/>
          </w:divBdr>
        </w:div>
      </w:divsChild>
    </w:div>
    <w:div w:id="1648314831">
      <w:bodyDiv w:val="1"/>
      <w:marLeft w:val="0"/>
      <w:marRight w:val="0"/>
      <w:marTop w:val="0"/>
      <w:marBottom w:val="0"/>
      <w:divBdr>
        <w:top w:val="none" w:sz="0" w:space="0" w:color="auto"/>
        <w:left w:val="none" w:sz="0" w:space="0" w:color="auto"/>
        <w:bottom w:val="none" w:sz="0" w:space="0" w:color="auto"/>
        <w:right w:val="none" w:sz="0" w:space="0" w:color="auto"/>
      </w:divBdr>
    </w:div>
    <w:div w:id="1649823297">
      <w:bodyDiv w:val="1"/>
      <w:marLeft w:val="0"/>
      <w:marRight w:val="0"/>
      <w:marTop w:val="0"/>
      <w:marBottom w:val="0"/>
      <w:divBdr>
        <w:top w:val="none" w:sz="0" w:space="0" w:color="auto"/>
        <w:left w:val="none" w:sz="0" w:space="0" w:color="auto"/>
        <w:bottom w:val="none" w:sz="0" w:space="0" w:color="auto"/>
        <w:right w:val="none" w:sz="0" w:space="0" w:color="auto"/>
      </w:divBdr>
    </w:div>
    <w:div w:id="1650983473">
      <w:bodyDiv w:val="1"/>
      <w:marLeft w:val="0"/>
      <w:marRight w:val="0"/>
      <w:marTop w:val="0"/>
      <w:marBottom w:val="0"/>
      <w:divBdr>
        <w:top w:val="none" w:sz="0" w:space="0" w:color="auto"/>
        <w:left w:val="none" w:sz="0" w:space="0" w:color="auto"/>
        <w:bottom w:val="none" w:sz="0" w:space="0" w:color="auto"/>
        <w:right w:val="none" w:sz="0" w:space="0" w:color="auto"/>
      </w:divBdr>
    </w:div>
    <w:div w:id="1652365715">
      <w:bodyDiv w:val="1"/>
      <w:marLeft w:val="0"/>
      <w:marRight w:val="0"/>
      <w:marTop w:val="0"/>
      <w:marBottom w:val="0"/>
      <w:divBdr>
        <w:top w:val="none" w:sz="0" w:space="0" w:color="auto"/>
        <w:left w:val="none" w:sz="0" w:space="0" w:color="auto"/>
        <w:bottom w:val="none" w:sz="0" w:space="0" w:color="auto"/>
        <w:right w:val="none" w:sz="0" w:space="0" w:color="auto"/>
      </w:divBdr>
    </w:div>
    <w:div w:id="1654217766">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3662560">
      <w:bodyDiv w:val="1"/>
      <w:marLeft w:val="0"/>
      <w:marRight w:val="0"/>
      <w:marTop w:val="0"/>
      <w:marBottom w:val="0"/>
      <w:divBdr>
        <w:top w:val="none" w:sz="0" w:space="0" w:color="auto"/>
        <w:left w:val="none" w:sz="0" w:space="0" w:color="auto"/>
        <w:bottom w:val="none" w:sz="0" w:space="0" w:color="auto"/>
        <w:right w:val="none" w:sz="0" w:space="0" w:color="auto"/>
      </w:divBdr>
      <w:divsChild>
        <w:div w:id="1211962906">
          <w:marLeft w:val="0"/>
          <w:marRight w:val="0"/>
          <w:marTop w:val="0"/>
          <w:marBottom w:val="0"/>
          <w:divBdr>
            <w:top w:val="none" w:sz="0" w:space="0" w:color="auto"/>
            <w:left w:val="none" w:sz="0" w:space="0" w:color="auto"/>
            <w:bottom w:val="none" w:sz="0" w:space="0" w:color="auto"/>
            <w:right w:val="none" w:sz="0" w:space="0" w:color="auto"/>
          </w:divBdr>
        </w:div>
      </w:divsChild>
    </w:div>
    <w:div w:id="1667367833">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85790773">
      <w:bodyDiv w:val="1"/>
      <w:marLeft w:val="0"/>
      <w:marRight w:val="0"/>
      <w:marTop w:val="0"/>
      <w:marBottom w:val="0"/>
      <w:divBdr>
        <w:top w:val="none" w:sz="0" w:space="0" w:color="auto"/>
        <w:left w:val="none" w:sz="0" w:space="0" w:color="auto"/>
        <w:bottom w:val="none" w:sz="0" w:space="0" w:color="auto"/>
        <w:right w:val="none" w:sz="0" w:space="0" w:color="auto"/>
      </w:divBdr>
    </w:div>
    <w:div w:id="1686442675">
      <w:bodyDiv w:val="1"/>
      <w:marLeft w:val="0"/>
      <w:marRight w:val="0"/>
      <w:marTop w:val="0"/>
      <w:marBottom w:val="0"/>
      <w:divBdr>
        <w:top w:val="none" w:sz="0" w:space="0" w:color="auto"/>
        <w:left w:val="none" w:sz="0" w:space="0" w:color="auto"/>
        <w:bottom w:val="none" w:sz="0" w:space="0" w:color="auto"/>
        <w:right w:val="none" w:sz="0" w:space="0" w:color="auto"/>
      </w:divBdr>
    </w:div>
    <w:div w:id="1696494753">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07607399">
      <w:bodyDiv w:val="1"/>
      <w:marLeft w:val="0"/>
      <w:marRight w:val="0"/>
      <w:marTop w:val="0"/>
      <w:marBottom w:val="0"/>
      <w:divBdr>
        <w:top w:val="none" w:sz="0" w:space="0" w:color="auto"/>
        <w:left w:val="none" w:sz="0" w:space="0" w:color="auto"/>
        <w:bottom w:val="none" w:sz="0" w:space="0" w:color="auto"/>
        <w:right w:val="none" w:sz="0" w:space="0" w:color="auto"/>
      </w:divBdr>
    </w:div>
    <w:div w:id="1723863432">
      <w:bodyDiv w:val="1"/>
      <w:marLeft w:val="0"/>
      <w:marRight w:val="0"/>
      <w:marTop w:val="0"/>
      <w:marBottom w:val="0"/>
      <w:divBdr>
        <w:top w:val="none" w:sz="0" w:space="0" w:color="auto"/>
        <w:left w:val="none" w:sz="0" w:space="0" w:color="auto"/>
        <w:bottom w:val="none" w:sz="0" w:space="0" w:color="auto"/>
        <w:right w:val="none" w:sz="0" w:space="0" w:color="auto"/>
      </w:divBdr>
    </w:div>
    <w:div w:id="1725786491">
      <w:bodyDiv w:val="1"/>
      <w:marLeft w:val="0"/>
      <w:marRight w:val="0"/>
      <w:marTop w:val="0"/>
      <w:marBottom w:val="0"/>
      <w:divBdr>
        <w:top w:val="none" w:sz="0" w:space="0" w:color="auto"/>
        <w:left w:val="none" w:sz="0" w:space="0" w:color="auto"/>
        <w:bottom w:val="none" w:sz="0" w:space="0" w:color="auto"/>
        <w:right w:val="none" w:sz="0" w:space="0" w:color="auto"/>
      </w:divBdr>
    </w:div>
    <w:div w:id="1735858038">
      <w:bodyDiv w:val="1"/>
      <w:marLeft w:val="0"/>
      <w:marRight w:val="0"/>
      <w:marTop w:val="0"/>
      <w:marBottom w:val="0"/>
      <w:divBdr>
        <w:top w:val="none" w:sz="0" w:space="0" w:color="auto"/>
        <w:left w:val="none" w:sz="0" w:space="0" w:color="auto"/>
        <w:bottom w:val="none" w:sz="0" w:space="0" w:color="auto"/>
        <w:right w:val="none" w:sz="0" w:space="0" w:color="auto"/>
      </w:divBdr>
    </w:div>
    <w:div w:id="1739547031">
      <w:bodyDiv w:val="1"/>
      <w:marLeft w:val="0"/>
      <w:marRight w:val="0"/>
      <w:marTop w:val="0"/>
      <w:marBottom w:val="0"/>
      <w:divBdr>
        <w:top w:val="none" w:sz="0" w:space="0" w:color="auto"/>
        <w:left w:val="none" w:sz="0" w:space="0" w:color="auto"/>
        <w:bottom w:val="none" w:sz="0" w:space="0" w:color="auto"/>
        <w:right w:val="none" w:sz="0" w:space="0" w:color="auto"/>
      </w:divBdr>
    </w:div>
    <w:div w:id="1743063244">
      <w:bodyDiv w:val="1"/>
      <w:marLeft w:val="0"/>
      <w:marRight w:val="0"/>
      <w:marTop w:val="0"/>
      <w:marBottom w:val="0"/>
      <w:divBdr>
        <w:top w:val="none" w:sz="0" w:space="0" w:color="auto"/>
        <w:left w:val="none" w:sz="0" w:space="0" w:color="auto"/>
        <w:bottom w:val="none" w:sz="0" w:space="0" w:color="auto"/>
        <w:right w:val="none" w:sz="0" w:space="0" w:color="auto"/>
      </w:divBdr>
    </w:div>
    <w:div w:id="1747456718">
      <w:bodyDiv w:val="1"/>
      <w:marLeft w:val="0"/>
      <w:marRight w:val="0"/>
      <w:marTop w:val="0"/>
      <w:marBottom w:val="0"/>
      <w:divBdr>
        <w:top w:val="none" w:sz="0" w:space="0" w:color="auto"/>
        <w:left w:val="none" w:sz="0" w:space="0" w:color="auto"/>
        <w:bottom w:val="none" w:sz="0" w:space="0" w:color="auto"/>
        <w:right w:val="none" w:sz="0" w:space="0" w:color="auto"/>
      </w:divBdr>
    </w:div>
    <w:div w:id="1748960952">
      <w:bodyDiv w:val="1"/>
      <w:marLeft w:val="0"/>
      <w:marRight w:val="0"/>
      <w:marTop w:val="0"/>
      <w:marBottom w:val="0"/>
      <w:divBdr>
        <w:top w:val="none" w:sz="0" w:space="0" w:color="auto"/>
        <w:left w:val="none" w:sz="0" w:space="0" w:color="auto"/>
        <w:bottom w:val="none" w:sz="0" w:space="0" w:color="auto"/>
        <w:right w:val="none" w:sz="0" w:space="0" w:color="auto"/>
      </w:divBdr>
    </w:div>
    <w:div w:id="1757819111">
      <w:bodyDiv w:val="1"/>
      <w:marLeft w:val="0"/>
      <w:marRight w:val="0"/>
      <w:marTop w:val="0"/>
      <w:marBottom w:val="0"/>
      <w:divBdr>
        <w:top w:val="none" w:sz="0" w:space="0" w:color="auto"/>
        <w:left w:val="none" w:sz="0" w:space="0" w:color="auto"/>
        <w:bottom w:val="none" w:sz="0" w:space="0" w:color="auto"/>
        <w:right w:val="none" w:sz="0" w:space="0" w:color="auto"/>
      </w:divBdr>
      <w:divsChild>
        <w:div w:id="206651846">
          <w:marLeft w:val="0"/>
          <w:marRight w:val="0"/>
          <w:marTop w:val="0"/>
          <w:marBottom w:val="0"/>
          <w:divBdr>
            <w:top w:val="none" w:sz="0" w:space="0" w:color="auto"/>
            <w:left w:val="none" w:sz="0" w:space="0" w:color="auto"/>
            <w:bottom w:val="none" w:sz="0" w:space="0" w:color="auto"/>
            <w:right w:val="none" w:sz="0" w:space="0" w:color="auto"/>
          </w:divBdr>
        </w:div>
      </w:divsChild>
    </w:div>
    <w:div w:id="1771505373">
      <w:bodyDiv w:val="1"/>
      <w:marLeft w:val="0"/>
      <w:marRight w:val="0"/>
      <w:marTop w:val="0"/>
      <w:marBottom w:val="0"/>
      <w:divBdr>
        <w:top w:val="none" w:sz="0" w:space="0" w:color="auto"/>
        <w:left w:val="none" w:sz="0" w:space="0" w:color="auto"/>
        <w:bottom w:val="none" w:sz="0" w:space="0" w:color="auto"/>
        <w:right w:val="none" w:sz="0" w:space="0" w:color="auto"/>
      </w:divBdr>
    </w:div>
    <w:div w:id="1774982457">
      <w:bodyDiv w:val="1"/>
      <w:marLeft w:val="0"/>
      <w:marRight w:val="0"/>
      <w:marTop w:val="0"/>
      <w:marBottom w:val="0"/>
      <w:divBdr>
        <w:top w:val="none" w:sz="0" w:space="0" w:color="auto"/>
        <w:left w:val="none" w:sz="0" w:space="0" w:color="auto"/>
        <w:bottom w:val="none" w:sz="0" w:space="0" w:color="auto"/>
        <w:right w:val="none" w:sz="0" w:space="0" w:color="auto"/>
      </w:divBdr>
      <w:divsChild>
        <w:div w:id="1404913118">
          <w:marLeft w:val="0"/>
          <w:marRight w:val="0"/>
          <w:marTop w:val="0"/>
          <w:marBottom w:val="0"/>
          <w:divBdr>
            <w:top w:val="none" w:sz="0" w:space="0" w:color="auto"/>
            <w:left w:val="none" w:sz="0" w:space="0" w:color="auto"/>
            <w:bottom w:val="none" w:sz="0" w:space="0" w:color="auto"/>
            <w:right w:val="none" w:sz="0" w:space="0" w:color="auto"/>
          </w:divBdr>
        </w:div>
      </w:divsChild>
    </w:div>
    <w:div w:id="1795638705">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10897913">
      <w:bodyDiv w:val="1"/>
      <w:marLeft w:val="0"/>
      <w:marRight w:val="0"/>
      <w:marTop w:val="0"/>
      <w:marBottom w:val="0"/>
      <w:divBdr>
        <w:top w:val="none" w:sz="0" w:space="0" w:color="auto"/>
        <w:left w:val="none" w:sz="0" w:space="0" w:color="auto"/>
        <w:bottom w:val="none" w:sz="0" w:space="0" w:color="auto"/>
        <w:right w:val="none" w:sz="0" w:space="0" w:color="auto"/>
      </w:divBdr>
      <w:divsChild>
        <w:div w:id="719205686">
          <w:marLeft w:val="0"/>
          <w:marRight w:val="0"/>
          <w:marTop w:val="0"/>
          <w:marBottom w:val="0"/>
          <w:divBdr>
            <w:top w:val="none" w:sz="0" w:space="0" w:color="auto"/>
            <w:left w:val="none" w:sz="0" w:space="0" w:color="auto"/>
            <w:bottom w:val="none" w:sz="0" w:space="0" w:color="auto"/>
            <w:right w:val="none" w:sz="0" w:space="0" w:color="auto"/>
          </w:divBdr>
        </w:div>
      </w:divsChild>
    </w:div>
    <w:div w:id="1815295399">
      <w:bodyDiv w:val="1"/>
      <w:marLeft w:val="0"/>
      <w:marRight w:val="0"/>
      <w:marTop w:val="0"/>
      <w:marBottom w:val="0"/>
      <w:divBdr>
        <w:top w:val="none" w:sz="0" w:space="0" w:color="auto"/>
        <w:left w:val="none" w:sz="0" w:space="0" w:color="auto"/>
        <w:bottom w:val="none" w:sz="0" w:space="0" w:color="auto"/>
        <w:right w:val="none" w:sz="0" w:space="0" w:color="auto"/>
      </w:divBdr>
      <w:divsChild>
        <w:div w:id="1812552553">
          <w:marLeft w:val="0"/>
          <w:marRight w:val="0"/>
          <w:marTop w:val="0"/>
          <w:marBottom w:val="0"/>
          <w:divBdr>
            <w:top w:val="none" w:sz="0" w:space="0" w:color="auto"/>
            <w:left w:val="none" w:sz="0" w:space="0" w:color="auto"/>
            <w:bottom w:val="none" w:sz="0" w:space="0" w:color="auto"/>
            <w:right w:val="none" w:sz="0" w:space="0" w:color="auto"/>
          </w:divBdr>
        </w:div>
      </w:divsChild>
    </w:div>
    <w:div w:id="1817529058">
      <w:bodyDiv w:val="1"/>
      <w:marLeft w:val="0"/>
      <w:marRight w:val="0"/>
      <w:marTop w:val="0"/>
      <w:marBottom w:val="0"/>
      <w:divBdr>
        <w:top w:val="none" w:sz="0" w:space="0" w:color="auto"/>
        <w:left w:val="none" w:sz="0" w:space="0" w:color="auto"/>
        <w:bottom w:val="none" w:sz="0" w:space="0" w:color="auto"/>
        <w:right w:val="none" w:sz="0" w:space="0" w:color="auto"/>
      </w:divBdr>
    </w:div>
    <w:div w:id="1825196039">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3066006">
      <w:bodyDiv w:val="1"/>
      <w:marLeft w:val="0"/>
      <w:marRight w:val="0"/>
      <w:marTop w:val="0"/>
      <w:marBottom w:val="0"/>
      <w:divBdr>
        <w:top w:val="none" w:sz="0" w:space="0" w:color="auto"/>
        <w:left w:val="none" w:sz="0" w:space="0" w:color="auto"/>
        <w:bottom w:val="none" w:sz="0" w:space="0" w:color="auto"/>
        <w:right w:val="none" w:sz="0" w:space="0" w:color="auto"/>
      </w:divBdr>
    </w:div>
    <w:div w:id="1834837318">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616538">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48863711">
      <w:bodyDiv w:val="1"/>
      <w:marLeft w:val="0"/>
      <w:marRight w:val="0"/>
      <w:marTop w:val="0"/>
      <w:marBottom w:val="0"/>
      <w:divBdr>
        <w:top w:val="none" w:sz="0" w:space="0" w:color="auto"/>
        <w:left w:val="none" w:sz="0" w:space="0" w:color="auto"/>
        <w:bottom w:val="none" w:sz="0" w:space="0" w:color="auto"/>
        <w:right w:val="none" w:sz="0" w:space="0" w:color="auto"/>
      </w:divBdr>
    </w:div>
    <w:div w:id="1853911105">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9366782">
      <w:bodyDiv w:val="1"/>
      <w:marLeft w:val="0"/>
      <w:marRight w:val="0"/>
      <w:marTop w:val="0"/>
      <w:marBottom w:val="0"/>
      <w:divBdr>
        <w:top w:val="none" w:sz="0" w:space="0" w:color="auto"/>
        <w:left w:val="none" w:sz="0" w:space="0" w:color="auto"/>
        <w:bottom w:val="none" w:sz="0" w:space="0" w:color="auto"/>
        <w:right w:val="none" w:sz="0" w:space="0" w:color="auto"/>
      </w:divBdr>
    </w:div>
    <w:div w:id="1876380239">
      <w:bodyDiv w:val="1"/>
      <w:marLeft w:val="0"/>
      <w:marRight w:val="0"/>
      <w:marTop w:val="0"/>
      <w:marBottom w:val="0"/>
      <w:divBdr>
        <w:top w:val="none" w:sz="0" w:space="0" w:color="auto"/>
        <w:left w:val="none" w:sz="0" w:space="0" w:color="auto"/>
        <w:bottom w:val="none" w:sz="0" w:space="0" w:color="auto"/>
        <w:right w:val="none" w:sz="0" w:space="0" w:color="auto"/>
      </w:divBdr>
    </w:div>
    <w:div w:id="1876891272">
      <w:bodyDiv w:val="1"/>
      <w:marLeft w:val="0"/>
      <w:marRight w:val="0"/>
      <w:marTop w:val="0"/>
      <w:marBottom w:val="0"/>
      <w:divBdr>
        <w:top w:val="none" w:sz="0" w:space="0" w:color="auto"/>
        <w:left w:val="none" w:sz="0" w:space="0" w:color="auto"/>
        <w:bottom w:val="none" w:sz="0" w:space="0" w:color="auto"/>
        <w:right w:val="none" w:sz="0" w:space="0" w:color="auto"/>
      </w:divBdr>
      <w:divsChild>
        <w:div w:id="299917231">
          <w:marLeft w:val="0"/>
          <w:marRight w:val="0"/>
          <w:marTop w:val="0"/>
          <w:marBottom w:val="0"/>
          <w:divBdr>
            <w:top w:val="none" w:sz="0" w:space="0" w:color="auto"/>
            <w:left w:val="none" w:sz="0" w:space="0" w:color="auto"/>
            <w:bottom w:val="none" w:sz="0" w:space="0" w:color="auto"/>
            <w:right w:val="none" w:sz="0" w:space="0" w:color="auto"/>
          </w:divBdr>
        </w:div>
      </w:divsChild>
    </w:div>
    <w:div w:id="1877305247">
      <w:bodyDiv w:val="1"/>
      <w:marLeft w:val="0"/>
      <w:marRight w:val="0"/>
      <w:marTop w:val="0"/>
      <w:marBottom w:val="0"/>
      <w:divBdr>
        <w:top w:val="none" w:sz="0" w:space="0" w:color="auto"/>
        <w:left w:val="none" w:sz="0" w:space="0" w:color="auto"/>
        <w:bottom w:val="none" w:sz="0" w:space="0" w:color="auto"/>
        <w:right w:val="none" w:sz="0" w:space="0" w:color="auto"/>
      </w:divBdr>
    </w:div>
    <w:div w:id="1886793692">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895967562">
      <w:bodyDiv w:val="1"/>
      <w:marLeft w:val="0"/>
      <w:marRight w:val="0"/>
      <w:marTop w:val="0"/>
      <w:marBottom w:val="0"/>
      <w:divBdr>
        <w:top w:val="none" w:sz="0" w:space="0" w:color="auto"/>
        <w:left w:val="none" w:sz="0" w:space="0" w:color="auto"/>
        <w:bottom w:val="none" w:sz="0" w:space="0" w:color="auto"/>
        <w:right w:val="none" w:sz="0" w:space="0" w:color="auto"/>
      </w:divBdr>
    </w:div>
    <w:div w:id="1897741001">
      <w:bodyDiv w:val="1"/>
      <w:marLeft w:val="0"/>
      <w:marRight w:val="0"/>
      <w:marTop w:val="0"/>
      <w:marBottom w:val="0"/>
      <w:divBdr>
        <w:top w:val="none" w:sz="0" w:space="0" w:color="auto"/>
        <w:left w:val="none" w:sz="0" w:space="0" w:color="auto"/>
        <w:bottom w:val="none" w:sz="0" w:space="0" w:color="auto"/>
        <w:right w:val="none" w:sz="0" w:space="0" w:color="auto"/>
      </w:divBdr>
    </w:div>
    <w:div w:id="1900633936">
      <w:bodyDiv w:val="1"/>
      <w:marLeft w:val="0"/>
      <w:marRight w:val="0"/>
      <w:marTop w:val="0"/>
      <w:marBottom w:val="0"/>
      <w:divBdr>
        <w:top w:val="none" w:sz="0" w:space="0" w:color="auto"/>
        <w:left w:val="none" w:sz="0" w:space="0" w:color="auto"/>
        <w:bottom w:val="none" w:sz="0" w:space="0" w:color="auto"/>
        <w:right w:val="none" w:sz="0" w:space="0" w:color="auto"/>
      </w:divBdr>
    </w:div>
    <w:div w:id="1904295893">
      <w:bodyDiv w:val="1"/>
      <w:marLeft w:val="0"/>
      <w:marRight w:val="0"/>
      <w:marTop w:val="0"/>
      <w:marBottom w:val="0"/>
      <w:divBdr>
        <w:top w:val="none" w:sz="0" w:space="0" w:color="auto"/>
        <w:left w:val="none" w:sz="0" w:space="0" w:color="auto"/>
        <w:bottom w:val="none" w:sz="0" w:space="0" w:color="auto"/>
        <w:right w:val="none" w:sz="0" w:space="0" w:color="auto"/>
      </w:divBdr>
    </w:div>
    <w:div w:id="1925066737">
      <w:bodyDiv w:val="1"/>
      <w:marLeft w:val="0"/>
      <w:marRight w:val="0"/>
      <w:marTop w:val="0"/>
      <w:marBottom w:val="0"/>
      <w:divBdr>
        <w:top w:val="none" w:sz="0" w:space="0" w:color="auto"/>
        <w:left w:val="none" w:sz="0" w:space="0" w:color="auto"/>
        <w:bottom w:val="none" w:sz="0" w:space="0" w:color="auto"/>
        <w:right w:val="none" w:sz="0" w:space="0" w:color="auto"/>
      </w:divBdr>
    </w:div>
    <w:div w:id="1929268773">
      <w:bodyDiv w:val="1"/>
      <w:marLeft w:val="0"/>
      <w:marRight w:val="0"/>
      <w:marTop w:val="0"/>
      <w:marBottom w:val="0"/>
      <w:divBdr>
        <w:top w:val="none" w:sz="0" w:space="0" w:color="auto"/>
        <w:left w:val="none" w:sz="0" w:space="0" w:color="auto"/>
        <w:bottom w:val="none" w:sz="0" w:space="0" w:color="auto"/>
        <w:right w:val="none" w:sz="0" w:space="0" w:color="auto"/>
      </w:divBdr>
    </w:div>
    <w:div w:id="1932004456">
      <w:bodyDiv w:val="1"/>
      <w:marLeft w:val="0"/>
      <w:marRight w:val="0"/>
      <w:marTop w:val="0"/>
      <w:marBottom w:val="0"/>
      <w:divBdr>
        <w:top w:val="none" w:sz="0" w:space="0" w:color="auto"/>
        <w:left w:val="none" w:sz="0" w:space="0" w:color="auto"/>
        <w:bottom w:val="none" w:sz="0" w:space="0" w:color="auto"/>
        <w:right w:val="none" w:sz="0" w:space="0" w:color="auto"/>
      </w:divBdr>
    </w:div>
    <w:div w:id="1937203323">
      <w:bodyDiv w:val="1"/>
      <w:marLeft w:val="0"/>
      <w:marRight w:val="0"/>
      <w:marTop w:val="0"/>
      <w:marBottom w:val="0"/>
      <w:divBdr>
        <w:top w:val="none" w:sz="0" w:space="0" w:color="auto"/>
        <w:left w:val="none" w:sz="0" w:space="0" w:color="auto"/>
        <w:bottom w:val="none" w:sz="0" w:space="0" w:color="auto"/>
        <w:right w:val="none" w:sz="0" w:space="0" w:color="auto"/>
      </w:divBdr>
    </w:div>
    <w:div w:id="1937978242">
      <w:bodyDiv w:val="1"/>
      <w:marLeft w:val="0"/>
      <w:marRight w:val="0"/>
      <w:marTop w:val="0"/>
      <w:marBottom w:val="0"/>
      <w:divBdr>
        <w:top w:val="none" w:sz="0" w:space="0" w:color="auto"/>
        <w:left w:val="none" w:sz="0" w:space="0" w:color="auto"/>
        <w:bottom w:val="none" w:sz="0" w:space="0" w:color="auto"/>
        <w:right w:val="none" w:sz="0" w:space="0" w:color="auto"/>
      </w:divBdr>
    </w:div>
    <w:div w:id="1940986434">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0971545">
      <w:bodyDiv w:val="1"/>
      <w:marLeft w:val="0"/>
      <w:marRight w:val="0"/>
      <w:marTop w:val="0"/>
      <w:marBottom w:val="0"/>
      <w:divBdr>
        <w:top w:val="none" w:sz="0" w:space="0" w:color="auto"/>
        <w:left w:val="none" w:sz="0" w:space="0" w:color="auto"/>
        <w:bottom w:val="none" w:sz="0" w:space="0" w:color="auto"/>
        <w:right w:val="none" w:sz="0" w:space="0" w:color="auto"/>
      </w:divBdr>
    </w:div>
    <w:div w:id="1981694127">
      <w:bodyDiv w:val="1"/>
      <w:marLeft w:val="0"/>
      <w:marRight w:val="0"/>
      <w:marTop w:val="0"/>
      <w:marBottom w:val="0"/>
      <w:divBdr>
        <w:top w:val="none" w:sz="0" w:space="0" w:color="auto"/>
        <w:left w:val="none" w:sz="0" w:space="0" w:color="auto"/>
        <w:bottom w:val="none" w:sz="0" w:space="0" w:color="auto"/>
        <w:right w:val="none" w:sz="0" w:space="0" w:color="auto"/>
      </w:divBdr>
    </w:div>
    <w:div w:id="1986929905">
      <w:bodyDiv w:val="1"/>
      <w:marLeft w:val="0"/>
      <w:marRight w:val="0"/>
      <w:marTop w:val="0"/>
      <w:marBottom w:val="0"/>
      <w:divBdr>
        <w:top w:val="none" w:sz="0" w:space="0" w:color="auto"/>
        <w:left w:val="none" w:sz="0" w:space="0" w:color="auto"/>
        <w:bottom w:val="none" w:sz="0" w:space="0" w:color="auto"/>
        <w:right w:val="none" w:sz="0" w:space="0" w:color="auto"/>
      </w:divBdr>
    </w:div>
    <w:div w:id="1988510933">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25937613">
      <w:bodyDiv w:val="1"/>
      <w:marLeft w:val="0"/>
      <w:marRight w:val="0"/>
      <w:marTop w:val="0"/>
      <w:marBottom w:val="0"/>
      <w:divBdr>
        <w:top w:val="none" w:sz="0" w:space="0" w:color="auto"/>
        <w:left w:val="none" w:sz="0" w:space="0" w:color="auto"/>
        <w:bottom w:val="none" w:sz="0" w:space="0" w:color="auto"/>
        <w:right w:val="none" w:sz="0" w:space="0" w:color="auto"/>
      </w:divBdr>
    </w:div>
    <w:div w:id="2029599754">
      <w:bodyDiv w:val="1"/>
      <w:marLeft w:val="0"/>
      <w:marRight w:val="0"/>
      <w:marTop w:val="0"/>
      <w:marBottom w:val="0"/>
      <w:divBdr>
        <w:top w:val="none" w:sz="0" w:space="0" w:color="auto"/>
        <w:left w:val="none" w:sz="0" w:space="0" w:color="auto"/>
        <w:bottom w:val="none" w:sz="0" w:space="0" w:color="auto"/>
        <w:right w:val="none" w:sz="0" w:space="0" w:color="auto"/>
      </w:divBdr>
    </w:div>
    <w:div w:id="2029942717">
      <w:bodyDiv w:val="1"/>
      <w:marLeft w:val="0"/>
      <w:marRight w:val="0"/>
      <w:marTop w:val="0"/>
      <w:marBottom w:val="0"/>
      <w:divBdr>
        <w:top w:val="none" w:sz="0" w:space="0" w:color="auto"/>
        <w:left w:val="none" w:sz="0" w:space="0" w:color="auto"/>
        <w:bottom w:val="none" w:sz="0" w:space="0" w:color="auto"/>
        <w:right w:val="none" w:sz="0" w:space="0" w:color="auto"/>
      </w:divBdr>
    </w:div>
    <w:div w:id="2037121866">
      <w:bodyDiv w:val="1"/>
      <w:marLeft w:val="0"/>
      <w:marRight w:val="0"/>
      <w:marTop w:val="0"/>
      <w:marBottom w:val="0"/>
      <w:divBdr>
        <w:top w:val="none" w:sz="0" w:space="0" w:color="auto"/>
        <w:left w:val="none" w:sz="0" w:space="0" w:color="auto"/>
        <w:bottom w:val="none" w:sz="0" w:space="0" w:color="auto"/>
        <w:right w:val="none" w:sz="0" w:space="0" w:color="auto"/>
      </w:divBdr>
    </w:div>
    <w:div w:id="2048291655">
      <w:bodyDiv w:val="1"/>
      <w:marLeft w:val="0"/>
      <w:marRight w:val="0"/>
      <w:marTop w:val="0"/>
      <w:marBottom w:val="0"/>
      <w:divBdr>
        <w:top w:val="none" w:sz="0" w:space="0" w:color="auto"/>
        <w:left w:val="none" w:sz="0" w:space="0" w:color="auto"/>
        <w:bottom w:val="none" w:sz="0" w:space="0" w:color="auto"/>
        <w:right w:val="none" w:sz="0" w:space="0" w:color="auto"/>
      </w:divBdr>
    </w:div>
    <w:div w:id="2052266418">
      <w:bodyDiv w:val="1"/>
      <w:marLeft w:val="0"/>
      <w:marRight w:val="0"/>
      <w:marTop w:val="0"/>
      <w:marBottom w:val="0"/>
      <w:divBdr>
        <w:top w:val="none" w:sz="0" w:space="0" w:color="auto"/>
        <w:left w:val="none" w:sz="0" w:space="0" w:color="auto"/>
        <w:bottom w:val="none" w:sz="0" w:space="0" w:color="auto"/>
        <w:right w:val="none" w:sz="0" w:space="0" w:color="auto"/>
      </w:divBdr>
      <w:divsChild>
        <w:div w:id="1944531965">
          <w:marLeft w:val="0"/>
          <w:marRight w:val="0"/>
          <w:marTop w:val="0"/>
          <w:marBottom w:val="0"/>
          <w:divBdr>
            <w:top w:val="none" w:sz="0" w:space="0" w:color="auto"/>
            <w:left w:val="none" w:sz="0" w:space="0" w:color="auto"/>
            <w:bottom w:val="none" w:sz="0" w:space="0" w:color="auto"/>
            <w:right w:val="none" w:sz="0" w:space="0" w:color="auto"/>
          </w:divBdr>
        </w:div>
      </w:divsChild>
    </w:div>
    <w:div w:id="2063744031">
      <w:bodyDiv w:val="1"/>
      <w:marLeft w:val="0"/>
      <w:marRight w:val="0"/>
      <w:marTop w:val="0"/>
      <w:marBottom w:val="0"/>
      <w:divBdr>
        <w:top w:val="none" w:sz="0" w:space="0" w:color="auto"/>
        <w:left w:val="none" w:sz="0" w:space="0" w:color="auto"/>
        <w:bottom w:val="none" w:sz="0" w:space="0" w:color="auto"/>
        <w:right w:val="none" w:sz="0" w:space="0" w:color="auto"/>
      </w:divBdr>
    </w:div>
    <w:div w:id="2064987747">
      <w:bodyDiv w:val="1"/>
      <w:marLeft w:val="0"/>
      <w:marRight w:val="0"/>
      <w:marTop w:val="0"/>
      <w:marBottom w:val="0"/>
      <w:divBdr>
        <w:top w:val="none" w:sz="0" w:space="0" w:color="auto"/>
        <w:left w:val="none" w:sz="0" w:space="0" w:color="auto"/>
        <w:bottom w:val="none" w:sz="0" w:space="0" w:color="auto"/>
        <w:right w:val="none" w:sz="0" w:space="0" w:color="auto"/>
      </w:divBdr>
    </w:div>
    <w:div w:id="2065446484">
      <w:bodyDiv w:val="1"/>
      <w:marLeft w:val="0"/>
      <w:marRight w:val="0"/>
      <w:marTop w:val="0"/>
      <w:marBottom w:val="0"/>
      <w:divBdr>
        <w:top w:val="none" w:sz="0" w:space="0" w:color="auto"/>
        <w:left w:val="none" w:sz="0" w:space="0" w:color="auto"/>
        <w:bottom w:val="none" w:sz="0" w:space="0" w:color="auto"/>
        <w:right w:val="none" w:sz="0" w:space="0" w:color="auto"/>
      </w:divBdr>
    </w:div>
    <w:div w:id="2068064230">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5467349">
      <w:bodyDiv w:val="1"/>
      <w:marLeft w:val="0"/>
      <w:marRight w:val="0"/>
      <w:marTop w:val="0"/>
      <w:marBottom w:val="0"/>
      <w:divBdr>
        <w:top w:val="none" w:sz="0" w:space="0" w:color="auto"/>
        <w:left w:val="none" w:sz="0" w:space="0" w:color="auto"/>
        <w:bottom w:val="none" w:sz="0" w:space="0" w:color="auto"/>
        <w:right w:val="none" w:sz="0" w:space="0" w:color="auto"/>
      </w:divBdr>
    </w:div>
    <w:div w:id="2085832278">
      <w:bodyDiv w:val="1"/>
      <w:marLeft w:val="0"/>
      <w:marRight w:val="0"/>
      <w:marTop w:val="0"/>
      <w:marBottom w:val="0"/>
      <w:divBdr>
        <w:top w:val="none" w:sz="0" w:space="0" w:color="auto"/>
        <w:left w:val="none" w:sz="0" w:space="0" w:color="auto"/>
        <w:bottom w:val="none" w:sz="0" w:space="0" w:color="auto"/>
        <w:right w:val="none" w:sz="0" w:space="0" w:color="auto"/>
      </w:divBdr>
      <w:divsChild>
        <w:div w:id="865094461">
          <w:marLeft w:val="0"/>
          <w:marRight w:val="0"/>
          <w:marTop w:val="0"/>
          <w:marBottom w:val="0"/>
          <w:divBdr>
            <w:top w:val="none" w:sz="0" w:space="0" w:color="auto"/>
            <w:left w:val="none" w:sz="0" w:space="0" w:color="auto"/>
            <w:bottom w:val="none" w:sz="0" w:space="0" w:color="auto"/>
            <w:right w:val="none" w:sz="0" w:space="0" w:color="auto"/>
          </w:divBdr>
        </w:div>
      </w:divsChild>
    </w:div>
    <w:div w:id="2086874022">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090342078">
      <w:bodyDiv w:val="1"/>
      <w:marLeft w:val="0"/>
      <w:marRight w:val="0"/>
      <w:marTop w:val="0"/>
      <w:marBottom w:val="0"/>
      <w:divBdr>
        <w:top w:val="none" w:sz="0" w:space="0" w:color="auto"/>
        <w:left w:val="none" w:sz="0" w:space="0" w:color="auto"/>
        <w:bottom w:val="none" w:sz="0" w:space="0" w:color="auto"/>
        <w:right w:val="none" w:sz="0" w:space="0" w:color="auto"/>
      </w:divBdr>
    </w:div>
    <w:div w:id="2101442702">
      <w:bodyDiv w:val="1"/>
      <w:marLeft w:val="0"/>
      <w:marRight w:val="0"/>
      <w:marTop w:val="0"/>
      <w:marBottom w:val="0"/>
      <w:divBdr>
        <w:top w:val="none" w:sz="0" w:space="0" w:color="auto"/>
        <w:left w:val="none" w:sz="0" w:space="0" w:color="auto"/>
        <w:bottom w:val="none" w:sz="0" w:space="0" w:color="auto"/>
        <w:right w:val="none" w:sz="0" w:space="0" w:color="auto"/>
      </w:divBdr>
    </w:div>
    <w:div w:id="2110613540">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491993">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876769">
      <w:bodyDiv w:val="1"/>
      <w:marLeft w:val="0"/>
      <w:marRight w:val="0"/>
      <w:marTop w:val="0"/>
      <w:marBottom w:val="0"/>
      <w:divBdr>
        <w:top w:val="none" w:sz="0" w:space="0" w:color="auto"/>
        <w:left w:val="none" w:sz="0" w:space="0" w:color="auto"/>
        <w:bottom w:val="none" w:sz="0" w:space="0" w:color="auto"/>
        <w:right w:val="none" w:sz="0" w:space="0" w:color="auto"/>
      </w:divBdr>
    </w:div>
    <w:div w:id="2132236234">
      <w:bodyDiv w:val="1"/>
      <w:marLeft w:val="0"/>
      <w:marRight w:val="0"/>
      <w:marTop w:val="0"/>
      <w:marBottom w:val="0"/>
      <w:divBdr>
        <w:top w:val="none" w:sz="0" w:space="0" w:color="auto"/>
        <w:left w:val="none" w:sz="0" w:space="0" w:color="auto"/>
        <w:bottom w:val="none" w:sz="0" w:space="0" w:color="auto"/>
        <w:right w:val="none" w:sz="0" w:space="0" w:color="auto"/>
      </w:divBdr>
    </w:div>
    <w:div w:id="2134908128">
      <w:bodyDiv w:val="1"/>
      <w:marLeft w:val="0"/>
      <w:marRight w:val="0"/>
      <w:marTop w:val="0"/>
      <w:marBottom w:val="0"/>
      <w:divBdr>
        <w:top w:val="none" w:sz="0" w:space="0" w:color="auto"/>
        <w:left w:val="none" w:sz="0" w:space="0" w:color="auto"/>
        <w:bottom w:val="none" w:sz="0" w:space="0" w:color="auto"/>
        <w:right w:val="none" w:sz="0" w:space="0" w:color="auto"/>
      </w:divBdr>
    </w:div>
    <w:div w:id="2143843852">
      <w:bodyDiv w:val="1"/>
      <w:marLeft w:val="0"/>
      <w:marRight w:val="0"/>
      <w:marTop w:val="0"/>
      <w:marBottom w:val="0"/>
      <w:divBdr>
        <w:top w:val="none" w:sz="0" w:space="0" w:color="auto"/>
        <w:left w:val="none" w:sz="0" w:space="0" w:color="auto"/>
        <w:bottom w:val="none" w:sz="0" w:space="0" w:color="auto"/>
        <w:right w:val="none" w:sz="0" w:space="0" w:color="auto"/>
      </w:divBdr>
      <w:divsChild>
        <w:div w:id="979307027">
          <w:marLeft w:val="0"/>
          <w:marRight w:val="0"/>
          <w:marTop w:val="0"/>
          <w:marBottom w:val="0"/>
          <w:divBdr>
            <w:top w:val="none" w:sz="0" w:space="0" w:color="auto"/>
            <w:left w:val="none" w:sz="0" w:space="0" w:color="auto"/>
            <w:bottom w:val="none" w:sz="0" w:space="0" w:color="auto"/>
            <w:right w:val="none" w:sz="0" w:space="0" w:color="auto"/>
          </w:divBdr>
        </w:div>
      </w:divsChild>
    </w:div>
    <w:div w:id="2146309089">
      <w:bodyDiv w:val="1"/>
      <w:marLeft w:val="0"/>
      <w:marRight w:val="0"/>
      <w:marTop w:val="0"/>
      <w:marBottom w:val="0"/>
      <w:divBdr>
        <w:top w:val="none" w:sz="0" w:space="0" w:color="auto"/>
        <w:left w:val="none" w:sz="0" w:space="0" w:color="auto"/>
        <w:bottom w:val="none" w:sz="0" w:space="0" w:color="auto"/>
        <w:right w:val="none" w:sz="0" w:space="0" w:color="auto"/>
      </w:divBdr>
      <w:divsChild>
        <w:div w:id="2082017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66C467-907A-4F8E-A6C2-57DB6BACB87F}">
  <ds:schemaRefs>
    <ds:schemaRef ds:uri="http://schemas.openxmlformats.org/officeDocument/2006/bibliography"/>
  </ds:schemaRefs>
</ds:datastoreItem>
</file>

<file path=customXml/itemProps2.xml><?xml version="1.0" encoding="utf-8"?>
<ds:datastoreItem xmlns:ds="http://schemas.openxmlformats.org/officeDocument/2006/customXml" ds:itemID="{2D21CCAD-CA14-40F6-81EF-10D08BF25C57}">
  <ds:schemaRefs>
    <ds:schemaRef ds:uri="http://purl.org/dc/elements/1.1/"/>
    <ds:schemaRef ds:uri="http://schemas.microsoft.com/office/2006/documentManagement/types"/>
    <ds:schemaRef ds:uri="http://www.w3.org/XML/1998/namespace"/>
    <ds:schemaRef ds:uri="http://purl.org/dc/terms/"/>
    <ds:schemaRef ds:uri="http://schemas.microsoft.com/office/infopath/2007/PartnerControls"/>
    <ds:schemaRef ds:uri="72f95629-adac-4ec1-8738-e1cec852b92b"/>
    <ds:schemaRef ds:uri="http://schemas.openxmlformats.org/package/2006/metadata/core-properties"/>
    <ds:schemaRef ds:uri="7f856f8d-13b3-495a-9a4b-41f8182eda4c"/>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4701600-DC9A-4AD0-BFD5-A7306AEBEF05}">
  <ds:schemaRefs>
    <ds:schemaRef ds:uri="http://schemas.microsoft.com/sharepoint/v3/contenttype/forms"/>
  </ds:schemaRefs>
</ds:datastoreItem>
</file>

<file path=customXml/itemProps4.xml><?xml version="1.0" encoding="utf-8"?>
<ds:datastoreItem xmlns:ds="http://schemas.openxmlformats.org/officeDocument/2006/customXml" ds:itemID="{7C8C44BC-88D8-48CD-BC38-A9E271CE1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18008</Words>
  <Characters>103372</Characters>
  <Application>Microsoft Office Word</Application>
  <DocSecurity>0</DocSecurity>
  <Lines>3334</Lines>
  <Paragraphs>803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2025-10-14T03:53:00Z</dcterms:created>
  <dcterms:modified xsi:type="dcterms:W3CDTF">2025-10-14T03:53:00Z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273c77e8,4e923f53,4caad61f</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7bf0e7fb,4449587b,4f50ae0a</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2025-09-04T07:03:12Z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9e96ea57-9970-4d12-a5dd-6383575a21f8</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0x0101007FED174C5281F747A8037A05221D6DBD</vt:lpwstr>
  </property>
</Properties>
</file>