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EA2" w14:textId="77777777" w:rsidR="00E71941" w:rsidRDefault="00824DBC" w:rsidP="00F36574">
      <w:pPr>
        <w:spacing w:after="0" w:line="240" w:lineRule="auto"/>
        <w:ind w:left="-709" w:right="645"/>
        <w:jc w:val="both"/>
        <w:textAlignment w:val="baseline"/>
        <w:rPr>
          <w:rFonts w:eastAsia="Times New Roman" w:cs="Arial"/>
          <w:color w:val="000000"/>
          <w:kern w:val="0"/>
          <w:szCs w:val="20"/>
          <w:lang w:eastAsia="en-AU"/>
          <w14:ligatures w14:val="none"/>
        </w:rPr>
      </w:pPr>
      <w:r w:rsidRPr="00824DBC">
        <w:rPr>
          <w:rFonts w:eastAsia="Times New Roman" w:cs="Arial"/>
          <w:color w:val="000000"/>
          <w:kern w:val="0"/>
          <w:szCs w:val="20"/>
          <w:lang w:eastAsia="en-AU"/>
          <w14:ligatures w14:val="none"/>
        </w:rPr>
        <w:t>The PBAC outcomes and recommendations are presented in alphabetical order by drug name. </w:t>
      </w:r>
    </w:p>
    <w:p w14:paraId="758CD8C7" w14:textId="77777777" w:rsidR="00E71941" w:rsidRDefault="00E71941" w:rsidP="00E71941">
      <w:pPr>
        <w:spacing w:after="0" w:line="240" w:lineRule="auto"/>
        <w:ind w:right="645"/>
        <w:jc w:val="both"/>
        <w:textAlignment w:val="baseline"/>
        <w:rPr>
          <w:rFonts w:eastAsia="Times New Roman" w:cs="Arial"/>
          <w:color w:val="000000"/>
          <w:kern w:val="0"/>
          <w:szCs w:val="20"/>
          <w:lang w:eastAsia="en-AU"/>
          <w14:ligatures w14:val="none"/>
        </w:rPr>
      </w:pPr>
    </w:p>
    <w:p w14:paraId="31A05B16" w14:textId="77777777" w:rsidR="00E71941" w:rsidRPr="00F746C0" w:rsidRDefault="00E71941" w:rsidP="00E71941">
      <w:pPr>
        <w:spacing w:after="0" w:line="240" w:lineRule="auto"/>
        <w:ind w:right="645"/>
        <w:jc w:val="both"/>
        <w:textAlignment w:val="baseline"/>
      </w:pPr>
      <w:r w:rsidRPr="00F746C0">
        <w:t xml:space="preserve"> </w:t>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E71941" w:rsidRPr="00544E10" w14:paraId="3C01BAF3" w14:textId="77777777" w:rsidTr="39DDF63A">
        <w:trPr>
          <w:cantSplit/>
          <w:trHeight w:val="300"/>
          <w:tblHeader/>
        </w:trPr>
        <w:tc>
          <w:tcPr>
            <w:tcW w:w="3417" w:type="dxa"/>
            <w:tcMar>
              <w:top w:w="28" w:type="dxa"/>
              <w:bottom w:w="28" w:type="dxa"/>
            </w:tcMar>
            <w:vAlign w:val="center"/>
          </w:tcPr>
          <w:p w14:paraId="6FD33C06" w14:textId="77777777" w:rsidR="00E71941" w:rsidRPr="00544E10" w:rsidRDefault="00E71941">
            <w:pPr>
              <w:keepLines/>
              <w:widowControl w:val="0"/>
              <w:ind w:right="-106"/>
              <w:jc w:val="center"/>
              <w:rPr>
                <w:rFonts w:asciiTheme="minorHAnsi" w:hAnsiTheme="minorHAnsi" w:cstheme="minorHAnsi"/>
                <w:b/>
                <w:sz w:val="18"/>
                <w:szCs w:val="18"/>
              </w:rPr>
            </w:pPr>
            <w:bookmarkStart w:id="0" w:name="_Hlk143070631"/>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15B294A3" w14:textId="77777777" w:rsidR="00E71941" w:rsidRPr="00544E10" w:rsidRDefault="00E71941">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EFCFEC3" w14:textId="77777777" w:rsidR="00E71941" w:rsidRPr="00544E10" w:rsidRDefault="00E71941">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4AC67EF8" w14:textId="04E10D8D" w:rsidR="00E71941" w:rsidRPr="00544E10" w:rsidRDefault="00E71941">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bookmarkEnd w:id="0"/>
          </w:p>
        </w:tc>
      </w:tr>
      <w:tr w:rsidR="00E71941" w:rsidRPr="00544E10" w14:paraId="4744DE32" w14:textId="77777777" w:rsidTr="39DDF63A">
        <w:trPr>
          <w:cantSplit/>
          <w:trHeight w:val="71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C273CC"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21-VALENT PNEUMOCOCCAL CONJUGATE VACCINE</w:t>
            </w:r>
          </w:p>
          <w:p w14:paraId="6DEB62C9"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Injection, 0.5 mL</w:t>
            </w:r>
          </w:p>
          <w:p w14:paraId="13303548" w14:textId="77777777" w:rsidR="00E71941" w:rsidRPr="00544E10" w:rsidRDefault="00E71941">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Capvaxive</w:t>
            </w:r>
            <w:proofErr w:type="spellEnd"/>
            <w:r w:rsidRPr="00544E10">
              <w:rPr>
                <w:rFonts w:asciiTheme="minorHAnsi" w:hAnsiTheme="minorHAnsi" w:cstheme="minorHAnsi"/>
                <w:color w:val="000000"/>
                <w:sz w:val="18"/>
                <w:szCs w:val="18"/>
              </w:rPr>
              <w:t>®</w:t>
            </w:r>
          </w:p>
          <w:p w14:paraId="24E7FF7D"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MERCK SHARP &amp; DOHME (AUSTRALIA) PTY LTD</w:t>
            </w:r>
          </w:p>
          <w:p w14:paraId="2388B56E"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4EA50784"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2C1E2287"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Prevention of pneumococcal disease in adults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1F6B23"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a National Immunisation Program (NIP) listing for the prevention of pneumococcal disease for:  </w:t>
            </w:r>
          </w:p>
          <w:p w14:paraId="43C94BE0" w14:textId="64765D6F" w:rsidR="00E71941" w:rsidRPr="00544E10" w:rsidRDefault="00E71941" w:rsidP="00BA0C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adults who are currently eligible to receive the 13-valent pneumococcal conjugate vaccine under the NIP (adults under 70 with specified medical risk conditions, Aboriginal and Torres Strait Islander adults over 50 years of age, and all adults over 70 years of age) and  </w:t>
            </w:r>
          </w:p>
          <w:p w14:paraId="1C70B2E8"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Aboriginal and Torres Strait Islander people aged 25 to 49.</w:t>
            </w:r>
          </w:p>
        </w:tc>
        <w:tc>
          <w:tcPr>
            <w:tcW w:w="1559" w:type="dxa"/>
            <w:vAlign w:val="center"/>
          </w:tcPr>
          <w:p w14:paraId="2A8C42A7" w14:textId="77777777" w:rsidR="00E71941" w:rsidRPr="00544E10" w:rsidRDefault="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8524769" w14:textId="77777777" w:rsidR="00AE1A2B" w:rsidRDefault="727C07C7" w:rsidP="724F2BA4">
            <w:pPr>
              <w:ind w:left="11"/>
              <w:contextualSpacing/>
              <w:jc w:val="both"/>
              <w:rPr>
                <w:rFonts w:asciiTheme="minorHAnsi" w:hAnsiTheme="minorHAnsi" w:cstheme="minorBidi"/>
                <w:color w:val="000000" w:themeColor="text1"/>
                <w:sz w:val="18"/>
                <w:szCs w:val="18"/>
              </w:rPr>
            </w:pPr>
            <w:r w:rsidRPr="724F2BA4">
              <w:rPr>
                <w:rFonts w:asciiTheme="minorHAnsi" w:hAnsiTheme="minorHAnsi" w:cstheme="minorBidi"/>
                <w:color w:val="000000" w:themeColor="text1"/>
                <w:sz w:val="18"/>
                <w:szCs w:val="18"/>
              </w:rPr>
              <w:t xml:space="preserve">The PBAC recommended that 21-valent pneumococcal conjugate vaccine (21vPCV, </w:t>
            </w:r>
            <w:proofErr w:type="spellStart"/>
            <w:r w:rsidRPr="724F2BA4">
              <w:rPr>
                <w:rFonts w:asciiTheme="minorHAnsi" w:hAnsiTheme="minorHAnsi" w:cstheme="minorBidi"/>
                <w:color w:val="000000" w:themeColor="text1"/>
                <w:sz w:val="18"/>
                <w:szCs w:val="18"/>
              </w:rPr>
              <w:t>Capvaxive</w:t>
            </w:r>
            <w:proofErr w:type="spellEnd"/>
            <w:r w:rsidRPr="724F2BA4">
              <w:rPr>
                <w:rFonts w:asciiTheme="minorHAnsi" w:hAnsiTheme="minorHAnsi" w:cstheme="minorBidi"/>
                <w:color w:val="000000" w:themeColor="text1"/>
                <w:sz w:val="18"/>
                <w:szCs w:val="18"/>
              </w:rPr>
              <w:t xml:space="preserve">) be a designated vaccine for the purposes of the </w:t>
            </w:r>
            <w:r w:rsidRPr="724F2BA4">
              <w:rPr>
                <w:rFonts w:asciiTheme="minorHAnsi" w:hAnsiTheme="minorHAnsi" w:cstheme="minorBidi"/>
                <w:i/>
                <w:iCs/>
                <w:color w:val="000000" w:themeColor="text1"/>
                <w:sz w:val="18"/>
                <w:szCs w:val="18"/>
              </w:rPr>
              <w:t>National Health Act 1953</w:t>
            </w:r>
            <w:r w:rsidRPr="724F2BA4">
              <w:rPr>
                <w:rFonts w:asciiTheme="minorHAnsi" w:hAnsiTheme="minorHAnsi" w:cstheme="minorBidi"/>
                <w:color w:val="000000" w:themeColor="text1"/>
                <w:sz w:val="18"/>
                <w:szCs w:val="18"/>
              </w:rPr>
              <w:t xml:space="preserve">, for the prevention of pneumococcal disease in individuals with an at-risk condition aged ≥ 18 years, non-Indigenous adults aged ≥ 65 years and Aboriginal and Torres Strait Islander adults aged ≥ 25 years.  The PBAC welcomed advice from the Australian Technical Advisory Group on Immunisation (ATAGI). Consistent with ATAGI advice, the submission proposed that 21vPCV be listed on the NIP as a single dose for all groups.  The PBAC noted this would simplify the adult pneumococcal schedule. </w:t>
            </w:r>
          </w:p>
          <w:p w14:paraId="459FF3B9" w14:textId="77777777" w:rsidR="00AE1A2B" w:rsidRDefault="00AE1A2B">
            <w:pPr>
              <w:ind w:left="11"/>
              <w:contextualSpacing/>
              <w:jc w:val="both"/>
              <w:rPr>
                <w:rFonts w:asciiTheme="minorHAnsi" w:hAnsiTheme="minorHAnsi" w:cstheme="minorHAnsi"/>
                <w:color w:val="000000" w:themeColor="text1"/>
                <w:sz w:val="18"/>
                <w:szCs w:val="18"/>
              </w:rPr>
            </w:pPr>
          </w:p>
          <w:p w14:paraId="2BE1FF9C" w14:textId="77777777" w:rsidR="00AE1A2B"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In comparison, the current schedule recommends 13-valent pneumococcal conjugate vaccine (13vPCV) followed by booster doses of 23-valent pneumococcal conjugate vaccine (23vPPV) in the Medically at Risk (</w:t>
            </w:r>
            <w:proofErr w:type="spellStart"/>
            <w:r w:rsidRPr="00544E10">
              <w:rPr>
                <w:rFonts w:asciiTheme="minorHAnsi" w:hAnsiTheme="minorHAnsi" w:cstheme="minorHAnsi"/>
                <w:color w:val="000000" w:themeColor="text1"/>
                <w:sz w:val="18"/>
                <w:szCs w:val="18"/>
              </w:rPr>
              <w:t>MaR</w:t>
            </w:r>
            <w:proofErr w:type="spellEnd"/>
            <w:r w:rsidRPr="00544E10">
              <w:rPr>
                <w:rFonts w:asciiTheme="minorHAnsi" w:hAnsiTheme="minorHAnsi" w:cstheme="minorHAnsi"/>
                <w:color w:val="000000" w:themeColor="text1"/>
                <w:sz w:val="18"/>
                <w:szCs w:val="18"/>
              </w:rPr>
              <w:t xml:space="preserve">) and Aboriginal and Torres Strait Islander populations.  The PBAC recommended reducing the age threshold for non-indigenous adults to 65 years (from 70 years), as proposed by the ATAGI. </w:t>
            </w:r>
          </w:p>
          <w:p w14:paraId="65CAC592" w14:textId="77777777" w:rsidR="00AE1A2B" w:rsidRDefault="00AE1A2B">
            <w:pPr>
              <w:ind w:left="11"/>
              <w:contextualSpacing/>
              <w:jc w:val="both"/>
              <w:rPr>
                <w:rFonts w:asciiTheme="minorHAnsi" w:hAnsiTheme="minorHAnsi" w:cstheme="minorHAnsi"/>
                <w:color w:val="000000" w:themeColor="text1"/>
                <w:sz w:val="18"/>
                <w:szCs w:val="18"/>
              </w:rPr>
            </w:pPr>
          </w:p>
          <w:p w14:paraId="61E5C85F" w14:textId="1817D81E" w:rsidR="00E71941" w:rsidRPr="00544E10"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adults with chronic liver disease (CLD) and chronic obstructive pulmonary disease (COPD) are at increased risk of pneumococcal disease. It therefore recommended expanding the eligibility of the adult </w:t>
            </w:r>
            <w:proofErr w:type="spellStart"/>
            <w:r w:rsidRPr="00544E10">
              <w:rPr>
                <w:rFonts w:asciiTheme="minorHAnsi" w:hAnsiTheme="minorHAnsi" w:cstheme="minorHAnsi"/>
                <w:color w:val="000000" w:themeColor="text1"/>
                <w:sz w:val="18"/>
                <w:szCs w:val="18"/>
              </w:rPr>
              <w:t>MaR</w:t>
            </w:r>
            <w:proofErr w:type="spellEnd"/>
            <w:r w:rsidRPr="00544E10">
              <w:rPr>
                <w:rFonts w:asciiTheme="minorHAnsi" w:hAnsiTheme="minorHAnsi" w:cstheme="minorHAnsi"/>
                <w:color w:val="000000" w:themeColor="text1"/>
                <w:sz w:val="18"/>
                <w:szCs w:val="18"/>
              </w:rPr>
              <w:t xml:space="preserve"> population to include people with CLD or COPD.  The PBAC noted that there were no clinical outcomes data for 21vPCV, and that there was the potential for coverage of 21vPCV to change over time. As such, the PBAC advised that more conservative assumptions should be applied when assessing the benefits the sponsor claimed in support of its proposed price.  Additionally, the PBAC advised a price reduction would be required for 21vPCV to be considered cost effective, to reflect more realistic estimates of benefits and costs.</w:t>
            </w:r>
          </w:p>
        </w:tc>
      </w:tr>
      <w:tr w:rsidR="00E71941" w:rsidRPr="00544E10" w14:paraId="438D100D" w14:textId="77777777" w:rsidTr="39DDF63A">
        <w:trPr>
          <w:cantSplit/>
          <w:trHeight w:val="58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BE4942"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AFLIBERCEPT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intravitreal injection 2 mg in 50 microlitres (40 mg per mL)</w:t>
            </w:r>
            <w:r w:rsidRPr="00544E10">
              <w:rPr>
                <w:rFonts w:asciiTheme="minorHAnsi" w:hAnsiTheme="minorHAnsi" w:cstheme="minorHAnsi"/>
                <w:color w:val="000000"/>
                <w:sz w:val="18"/>
                <w:szCs w:val="18"/>
              </w:rPr>
              <w:br/>
              <w:t>Solution for intravitreal injection 2 mg in 50 microlitres (40 mg per mL) pre</w:t>
            </w:r>
            <w:r w:rsidRPr="00544E10">
              <w:rPr>
                <w:rFonts w:asciiTheme="minorHAnsi" w:hAnsiTheme="minorHAnsi" w:cstheme="minorHAnsi"/>
                <w:color w:val="000000"/>
                <w:sz w:val="18"/>
                <w:szCs w:val="18"/>
              </w:rPr>
              <w:noBreakHyphen/>
              <w:t>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D0D2345"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Subfoveal choroidal neovascularisation (CNV) due to pathologic myopia (PM)</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0EFF8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a new aflibercept biosimilar for the treatment of CNV due to PM that mirrors the originator brand’s current listing.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66E6830" w14:textId="77777777" w:rsidR="00E71941" w:rsidRPr="00544E10" w:rsidRDefault="00E71941" w:rsidP="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FC32254" w14:textId="77777777" w:rsidR="00AE1A2B" w:rsidRDefault="00E71941" w:rsidP="00B7375E">
            <w:pPr>
              <w:ind w:left="11"/>
              <w:contextualSpacing/>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a new aflibercept biosimilar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for the treatment of subfoveal choroidal neovascularisation (CNV) due to pathologic myopia (PM) on a cost-minimisation basis and under the same conditions as its reference biologic (Eylea®). The PBAC advised the equi-effective doses to be 1 mg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 1 mg Eylea. </w:t>
            </w:r>
          </w:p>
          <w:p w14:paraId="046B0339" w14:textId="77777777" w:rsidR="00AE1A2B" w:rsidRDefault="00AE1A2B" w:rsidP="00B7375E">
            <w:pPr>
              <w:ind w:left="11"/>
              <w:contextualSpacing/>
              <w:rPr>
                <w:rFonts w:asciiTheme="minorHAnsi" w:hAnsiTheme="minorHAnsi" w:cstheme="minorHAnsi"/>
                <w:color w:val="000000"/>
                <w:sz w:val="18"/>
                <w:szCs w:val="18"/>
              </w:rPr>
            </w:pPr>
          </w:p>
          <w:p w14:paraId="449FDA78" w14:textId="4C08B094" w:rsidR="00E71941" w:rsidRPr="00544E10" w:rsidRDefault="00E71941" w:rsidP="00B7375E">
            <w:pPr>
              <w:ind w:left="11"/>
              <w:contextualSpacing/>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 xml:space="preserve">The PBAC noted that initial treatment should remain Authority Required (Written/Online) and continuing treatment should be Authority Required (Streamlined) (in other words, the same restriction levels as Eylea). The PBAC also noted that the submission requested the addition of administrative advice reflecting the biosimilar uptake driver that encourages biosimilar prescribing for treatment-naïve patients. The PBAC considered that the application of that biosimilar uptake driver to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would be clinically appropriate.</w:t>
            </w:r>
          </w:p>
        </w:tc>
      </w:tr>
      <w:tr w:rsidR="00E71941" w:rsidRPr="00544E10" w14:paraId="3B0C761B" w14:textId="77777777" w:rsidTr="39DDF63A">
        <w:trPr>
          <w:cantSplit/>
          <w:trHeight w:val="57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354C88" w14:textId="77777777" w:rsidR="00FF6340" w:rsidRDefault="00FF6340" w:rsidP="00E71941">
            <w:pPr>
              <w:jc w:val="center"/>
              <w:rPr>
                <w:rFonts w:asciiTheme="minorHAnsi" w:hAnsiTheme="minorHAnsi" w:cstheme="minorHAnsi"/>
                <w:color w:val="000000"/>
                <w:sz w:val="18"/>
                <w:szCs w:val="18"/>
              </w:rPr>
            </w:pPr>
          </w:p>
          <w:p w14:paraId="72AADE95" w14:textId="56AF8A9E"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BELANTAMAB MAFODOTIN</w:t>
            </w:r>
          </w:p>
          <w:p w14:paraId="2029FC5B"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70 mg  (50 mg per ml)</w:t>
            </w:r>
          </w:p>
          <w:p w14:paraId="2478C567" w14:textId="78A0A538"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100 mg (50 mg per ml)</w:t>
            </w:r>
          </w:p>
          <w:p w14:paraId="6D013875" w14:textId="7B03BEEC" w:rsidR="00E71941" w:rsidRPr="00544E10" w:rsidRDefault="00E71941" w:rsidP="00FF6340">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Blenrep</w:t>
            </w:r>
            <w:proofErr w:type="spellEnd"/>
            <w:r w:rsidRPr="00544E10">
              <w:rPr>
                <w:rFonts w:asciiTheme="minorHAnsi" w:hAnsiTheme="minorHAnsi" w:cstheme="minorHAnsi"/>
                <w:color w:val="000000"/>
                <w:sz w:val="18"/>
                <w:szCs w:val="18"/>
              </w:rPr>
              <w:t>®</w:t>
            </w:r>
          </w:p>
          <w:p w14:paraId="4177549B" w14:textId="5EE2A6D5"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GLAXOSMITHKLINE AUSTRALIA PTY LTD</w:t>
            </w:r>
          </w:p>
          <w:p w14:paraId="19F58E7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14:paraId="7C67EC28"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9DBB4D1"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Relapsed and/or refractory multiple myeloma (MM)</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C0491E" w14:textId="3C168C19"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belantamab mafodotin for use in combination with bortezomib and dexamethasone for initial and continuing treatment of relapsed and/or refractory MM after one prior line of therapy.</w:t>
            </w:r>
          </w:p>
          <w:p w14:paraId="55C20141" w14:textId="5B4F2045"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 listing for initial treatment</w:t>
            </w:r>
          </w:p>
          <w:p w14:paraId="0EB6F01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listing for continuing treatment</w:t>
            </w:r>
          </w:p>
        </w:tc>
        <w:tc>
          <w:tcPr>
            <w:tcW w:w="1559" w:type="dxa"/>
            <w:vAlign w:val="center"/>
          </w:tcPr>
          <w:p w14:paraId="1B261F51" w14:textId="77777777" w:rsidR="00E71941" w:rsidRPr="00544E10" w:rsidRDefault="00E71941" w:rsidP="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5403479B" w14:textId="55199577" w:rsidR="000F03A4" w:rsidRP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did not recommend listing belantamab mafodotin on the PBS for use in combination with bortezomib and dexamethasone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for the treatment of multiple myeloma which has returned or is not responding to treatment, specifically relapsed and/or refractory multiple myeloma (RRMM) after one prior line of therapy. </w:t>
            </w:r>
          </w:p>
          <w:p w14:paraId="1CDEF94D" w14:textId="17C3B4FB"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welcomed the input from individuals, health professionals and organisations which supported the submission. The PBAC noted that input highlighted the need for additional lines of treatment to increase survival time.</w:t>
            </w:r>
          </w:p>
          <w:p w14:paraId="6948F5FB"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310EB958" w14:textId="61A9E21D"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submission sought conditions that would restrict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to use in patients who have previously received only one prior line of therapy. The PBAC noted that this did not align with the clinical trial or with how clinicians would like to use multiple myeloma therapies.  </w:t>
            </w:r>
            <w:r w:rsidR="009E0A4E">
              <w:rPr>
                <w:rFonts w:asciiTheme="minorHAnsi" w:hAnsiTheme="minorHAnsi" w:cstheme="minorHAnsi"/>
                <w:color w:val="000000" w:themeColor="text1"/>
                <w:sz w:val="18"/>
                <w:szCs w:val="18"/>
              </w:rPr>
              <w:t xml:space="preserve">A large proportion of </w:t>
            </w:r>
            <w:r w:rsidRPr="000F03A4">
              <w:rPr>
                <w:rFonts w:asciiTheme="minorHAnsi" w:hAnsiTheme="minorHAnsi" w:cstheme="minorHAnsi"/>
                <w:color w:val="000000" w:themeColor="text1"/>
                <w:sz w:val="18"/>
                <w:szCs w:val="18"/>
              </w:rPr>
              <w:t xml:space="preserve">patients in the trial had received more than one prior line of therapy before receiving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At the multiple myeloma stakeholder meeting, clinicians emphasised that the categorisation of medicines by line of therapy reduced clinical discretion and may delay access to the optimal regimen. Clinicians agreed that the current line of therapy </w:t>
            </w:r>
            <w:r w:rsidRPr="000F03A4">
              <w:rPr>
                <w:rFonts w:asciiTheme="minorHAnsi" w:hAnsiTheme="minorHAnsi" w:cstheme="minorHAnsi"/>
                <w:color w:val="000000" w:themeColor="text1"/>
                <w:sz w:val="18"/>
                <w:szCs w:val="18"/>
              </w:rPr>
              <w:lastRenderedPageBreak/>
              <w:t xml:space="preserve">nomenclature was no longer appropriate and that treatment sequencing could be improved if determined by prior drug exposure rather than lines of therapy. The PBAC therefore considered that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should be listed for the treatment of RRMM more broadly to allow clinician and patient discretion about when and how it can be used. </w:t>
            </w:r>
          </w:p>
          <w:p w14:paraId="48308D81"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1CE92B8E" w14:textId="77777777"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PBAC accepted that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was more effective at improving progression free and overall survival rates than the current standard of care, daratumumab in combination with bortezomib and dexamethasone. However, the PBAC also noted that belantamab mafodotin was associated side effects involving the eyes, including blurred vision, dry eye and visual impairment which affected patients ability to read and to drive.</w:t>
            </w:r>
          </w:p>
          <w:p w14:paraId="4F698AFE"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38389E1C" w14:textId="77777777" w:rsidR="000F03A4" w:rsidRP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considered that the claims made by the Sponsor to justify its requested price were too optimistic and did not adequately account for the costs and quality of life impacts associated with severe side effects affecting the eyes. The PBAC also considered that the estimation of how many patients will use this drug would need to be revised to account for use across the wider population of patients whose cancer has returned or is resistant to treatment.</w:t>
            </w:r>
          </w:p>
          <w:p w14:paraId="6F166280" w14:textId="77777777" w:rsidR="00E71941" w:rsidRDefault="000F03A4" w:rsidP="0052626C">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considered that the measurement of sustained minimal residual disease (MRD) negativity could improve treatment decisions in patients with RRMM such as when to stop treatment and help to minimise side effects. The PBAC noted that the technology to measure MRD would need to be funded on the Medicare Benefits Schedule (MBS).</w:t>
            </w:r>
          </w:p>
          <w:p w14:paraId="4F123726" w14:textId="77777777" w:rsidR="0052626C" w:rsidRDefault="0052626C" w:rsidP="0052626C">
            <w:pPr>
              <w:ind w:left="11"/>
              <w:contextualSpacing/>
              <w:rPr>
                <w:rFonts w:asciiTheme="minorHAnsi" w:hAnsiTheme="minorHAnsi" w:cstheme="minorHAnsi"/>
                <w:color w:val="000000" w:themeColor="text1"/>
                <w:sz w:val="18"/>
                <w:szCs w:val="18"/>
              </w:rPr>
            </w:pPr>
          </w:p>
          <w:p w14:paraId="5757C865" w14:textId="77777777" w:rsidR="0052626C" w:rsidRDefault="0052626C" w:rsidP="0052626C">
            <w:pPr>
              <w:ind w:left="11"/>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Sponsor comment: </w:t>
            </w:r>
          </w:p>
          <w:p w14:paraId="58EC27DE" w14:textId="77777777" w:rsidR="006869AA" w:rsidRDefault="006869AA" w:rsidP="0052626C">
            <w:pPr>
              <w:ind w:left="11"/>
              <w:contextualSpacing/>
              <w:rPr>
                <w:rFonts w:asciiTheme="minorHAnsi" w:hAnsiTheme="minorHAnsi" w:cstheme="minorHAnsi"/>
                <w:color w:val="000000" w:themeColor="text1"/>
                <w:sz w:val="18"/>
                <w:szCs w:val="18"/>
              </w:rPr>
            </w:pPr>
          </w:p>
          <w:p w14:paraId="1600184B" w14:textId="206FDE0E" w:rsidR="006869AA" w:rsidRDefault="006869AA" w:rsidP="0052626C">
            <w:pPr>
              <w:ind w:left="11"/>
              <w:contextualSpacing/>
              <w:rPr>
                <w:rFonts w:asciiTheme="minorHAnsi" w:hAnsiTheme="minorHAnsi" w:cstheme="minorHAnsi"/>
                <w:color w:val="000000" w:themeColor="text1"/>
                <w:sz w:val="18"/>
                <w:szCs w:val="18"/>
              </w:rPr>
            </w:pPr>
            <w:r w:rsidRPr="006869AA">
              <w:rPr>
                <w:rFonts w:asciiTheme="minorHAnsi" w:hAnsiTheme="minorHAnsi" w:cstheme="minorHAnsi"/>
                <w:color w:val="000000" w:themeColor="text1"/>
                <w:sz w:val="18"/>
                <w:szCs w:val="18"/>
              </w:rPr>
              <w:t>GSK is disappointed by the decision not to recommend belantamab mafodotin (</w:t>
            </w:r>
            <w:proofErr w:type="spellStart"/>
            <w:r w:rsidRPr="006869AA">
              <w:rPr>
                <w:rFonts w:asciiTheme="minorHAnsi" w:hAnsiTheme="minorHAnsi" w:cstheme="minorHAnsi"/>
                <w:color w:val="000000" w:themeColor="text1"/>
                <w:sz w:val="18"/>
                <w:szCs w:val="18"/>
              </w:rPr>
              <w:t>Blenrep</w:t>
            </w:r>
            <w:proofErr w:type="spellEnd"/>
            <w:r w:rsidRPr="006869AA">
              <w:rPr>
                <w:rFonts w:asciiTheme="minorHAnsi" w:hAnsiTheme="minorHAnsi" w:cstheme="minorHAnsi"/>
                <w:color w:val="000000" w:themeColor="text1"/>
                <w:sz w:val="18"/>
                <w:szCs w:val="18"/>
              </w:rPr>
              <w:t>®), in combination with bortezomib and dexamethasone (</w:t>
            </w:r>
            <w:proofErr w:type="spellStart"/>
            <w:r w:rsidRPr="006869AA">
              <w:rPr>
                <w:rFonts w:asciiTheme="minorHAnsi" w:hAnsiTheme="minorHAnsi" w:cstheme="minorHAnsi"/>
                <w:color w:val="000000" w:themeColor="text1"/>
                <w:sz w:val="18"/>
                <w:szCs w:val="18"/>
              </w:rPr>
              <w:t>BVd</w:t>
            </w:r>
            <w:proofErr w:type="spellEnd"/>
            <w:r w:rsidRPr="006869AA">
              <w:rPr>
                <w:rFonts w:asciiTheme="minorHAnsi" w:hAnsiTheme="minorHAnsi" w:cstheme="minorHAnsi"/>
                <w:color w:val="000000" w:themeColor="text1"/>
                <w:sz w:val="18"/>
                <w:szCs w:val="18"/>
              </w:rPr>
              <w:t xml:space="preserve">). Equitable access to </w:t>
            </w:r>
            <w:proofErr w:type="spellStart"/>
            <w:r w:rsidRPr="006869AA">
              <w:rPr>
                <w:rFonts w:asciiTheme="minorHAnsi" w:hAnsiTheme="minorHAnsi" w:cstheme="minorHAnsi"/>
                <w:color w:val="000000" w:themeColor="text1"/>
                <w:sz w:val="18"/>
                <w:szCs w:val="18"/>
              </w:rPr>
              <w:t>BVd</w:t>
            </w:r>
            <w:proofErr w:type="spellEnd"/>
            <w:r w:rsidRPr="006869AA">
              <w:rPr>
                <w:rFonts w:asciiTheme="minorHAnsi" w:hAnsiTheme="minorHAnsi" w:cstheme="minorHAnsi"/>
                <w:color w:val="000000" w:themeColor="text1"/>
                <w:sz w:val="18"/>
                <w:szCs w:val="18"/>
              </w:rPr>
              <w:t xml:space="preserve"> for relapsed and/or refractory multiple myeloma (RRMM) is a priority for GSK, noting that the current PBS listings of drugs for RRMM create challenges in practice for </w:t>
            </w:r>
            <w:r w:rsidRPr="006869AA">
              <w:rPr>
                <w:rFonts w:asciiTheme="minorHAnsi" w:hAnsiTheme="minorHAnsi" w:cstheme="minorHAnsi"/>
                <w:color w:val="000000" w:themeColor="text1"/>
                <w:sz w:val="18"/>
                <w:szCs w:val="18"/>
              </w:rPr>
              <w:lastRenderedPageBreak/>
              <w:t>the optimal sequencing of RRMM treatments. GSK will work with the PBAC to ensure such barriers to optimal care are resolved in a future resubmission.</w:t>
            </w:r>
          </w:p>
          <w:p w14:paraId="208C224C" w14:textId="5187D850" w:rsidR="0052626C" w:rsidRPr="00544E10" w:rsidRDefault="0052626C" w:rsidP="0052626C">
            <w:pPr>
              <w:ind w:left="11"/>
              <w:contextualSpacing/>
              <w:rPr>
                <w:rFonts w:asciiTheme="minorHAnsi" w:hAnsiTheme="minorHAnsi" w:cstheme="minorHAnsi"/>
                <w:color w:val="000000" w:themeColor="text1"/>
                <w:sz w:val="18"/>
                <w:szCs w:val="18"/>
              </w:rPr>
            </w:pPr>
          </w:p>
        </w:tc>
      </w:tr>
      <w:tr w:rsidR="00E71941" w:rsidRPr="00544E10" w14:paraId="17B69ADD" w14:textId="77777777" w:rsidTr="39DDF63A">
        <w:trPr>
          <w:cantSplit/>
          <w:trHeight w:val="30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F2C99C"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BIMEKIZUMAB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Injection 320 mg in 2 mL single use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Bimzelx</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82D1DA4"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chronic plaque psoriasis (CPP)</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D710B7"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a listing of a new strength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for the treatment of severe CPP.</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6A92B27" w14:textId="77777777" w:rsidR="00E71941" w:rsidRPr="00544E10" w:rsidRDefault="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B087137" w14:textId="77777777" w:rsidR="009C75FE" w:rsidRDefault="00E719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prefilled pen for the treatment of severe chronic plaque psoriasis (CPP) under the same circumstances as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160 mg/1 mL prefilled pens. </w:t>
            </w:r>
          </w:p>
          <w:p w14:paraId="50B32A01" w14:textId="77777777" w:rsidR="009C75FE" w:rsidRDefault="009C75FE">
            <w:pPr>
              <w:ind w:left="11"/>
              <w:contextualSpacing/>
              <w:jc w:val="both"/>
              <w:rPr>
                <w:rFonts w:asciiTheme="minorHAnsi" w:hAnsiTheme="minorHAnsi" w:cstheme="minorHAnsi"/>
                <w:color w:val="000000"/>
                <w:sz w:val="18"/>
                <w:szCs w:val="18"/>
              </w:rPr>
            </w:pPr>
          </w:p>
          <w:p w14:paraId="565BCC79" w14:textId="1AC02F2D" w:rsidR="009C75FE" w:rsidRDefault="009C75F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welcomed input from medical organisations and noted that availability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was likely have a positive impact on improving adherence and reducing needle anxiety.</w:t>
            </w:r>
          </w:p>
          <w:p w14:paraId="4B3DE5EF" w14:textId="77777777" w:rsidR="009C75FE" w:rsidRDefault="009C75FE">
            <w:pPr>
              <w:ind w:left="11"/>
              <w:contextualSpacing/>
              <w:jc w:val="both"/>
              <w:rPr>
                <w:rFonts w:asciiTheme="minorHAnsi" w:hAnsiTheme="minorHAnsi" w:cstheme="minorHAnsi"/>
                <w:color w:val="000000"/>
                <w:sz w:val="18"/>
                <w:szCs w:val="18"/>
              </w:rPr>
            </w:pPr>
          </w:p>
          <w:p w14:paraId="4123E21D" w14:textId="2DEBF8C3" w:rsidR="009C75FE" w:rsidRDefault="00E719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advised the equi-effective doses were one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pre-filled pen and two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160 mg/1 mL pre-filled pens.</w:t>
            </w:r>
          </w:p>
          <w:p w14:paraId="12E93583" w14:textId="1D7ADC23" w:rsidR="00E71941" w:rsidRPr="00544E10"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br/>
            </w:r>
          </w:p>
        </w:tc>
      </w:tr>
      <w:tr w:rsidR="00A057EC" w:rsidRPr="00544E10" w14:paraId="49513A3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48537F"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CALCIPOTRIOL WITH BETAMETHASONE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Gel containing calcipotriol 50 micrograms with betamethasone 500 micrograms (as dipropionate) per g, 60 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ACTOR PHARMACEUTICALS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EB82C30"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stable plaque type psoriasis vulgaris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8433C8"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calcipotriol with betamethasone for the treatment of chronic stable plaque type psoriasis vulgaris.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Restricted Benefit</w:t>
            </w:r>
          </w:p>
        </w:tc>
        <w:tc>
          <w:tcPr>
            <w:tcW w:w="1559" w:type="dxa"/>
            <w:vAlign w:val="center"/>
          </w:tcPr>
          <w:p w14:paraId="3CC373B8" w14:textId="77777777" w:rsidR="00054B74" w:rsidRPr="00544E10" w:rsidRDefault="00054B7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13B419F" w14:textId="77777777" w:rsidR="00054B74" w:rsidRPr="00544E10" w:rsidRDefault="00054B74">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The PBAC recommended the listing of calcipotriol + betamethasone gel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on the PBS. The PBAC recognised that there was a clinical need for a new form of topical calcipotriol + betamethasone treatment for the management of chronic stable plaque type psoriasis vulgaris of the scalp and body. The PBAC considered the equi-effective doses to be 1 mg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 1 mg calcipotriol + betamethasone ointment. The PBAC considered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to have equivalent Psoriasis Area and Severity Index (PASI) % reductions compared to previously listed calcipotriol + betamethasone gel formulations.</w:t>
            </w:r>
          </w:p>
        </w:tc>
      </w:tr>
      <w:tr w:rsidR="00016D43" w:rsidRPr="00544E10" w14:paraId="75EB9390"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6330CF" w14:textId="5EEC2DF7"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CETRORELIX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250 micrograms (as acetate) in 1 mL single use pre 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SUN PHARMA ANZ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7545F3A" w14:textId="25AC4362"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Assisted Reproductive Technology (ART)</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D5E85F" w14:textId="5CA1DA98"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listing of a new form of cetrorelix for use in 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0B40561D" w14:textId="484BEACF" w:rsidR="00016D43" w:rsidRPr="00544E10" w:rsidRDefault="00016D43" w:rsidP="00016D4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898F6E4" w14:textId="77777777" w:rsidR="000F03A4" w:rsidRDefault="00016D43" w:rsidP="00016D4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cetrorelix solution for injection 250 micrograms (as acetate) in 1 mL single use pre-filled syringe, (</w:t>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 on the basis that it should be available only under the same special arrangements as the currently listed cetrorelix (</w:t>
            </w:r>
            <w:proofErr w:type="spellStart"/>
            <w:r w:rsidRPr="00544E10">
              <w:rPr>
                <w:rFonts w:asciiTheme="minorHAnsi" w:hAnsiTheme="minorHAnsi" w:cstheme="minorHAnsi"/>
                <w:color w:val="000000"/>
                <w:sz w:val="18"/>
                <w:szCs w:val="18"/>
              </w:rPr>
              <w:t>Cetrotide</w:t>
            </w:r>
            <w:proofErr w:type="spellEnd"/>
            <w:r w:rsidRPr="00544E10">
              <w:rPr>
                <w:rFonts w:asciiTheme="minorHAnsi" w:hAnsiTheme="minorHAnsi" w:cstheme="minorHAnsi"/>
                <w:color w:val="000000"/>
                <w:sz w:val="18"/>
                <w:szCs w:val="18"/>
              </w:rPr>
              <w:t xml:space="preserve">®) 250 microgram powder for reconstitution injection and inert substance diluent (1 mL syringe) for use in assisted reproductive technology to prevent premature luteinisation and ovulation in patients undergoing controlled ovarian stimulation. </w:t>
            </w:r>
          </w:p>
          <w:p w14:paraId="23DC6322" w14:textId="77777777" w:rsidR="000F03A4" w:rsidRDefault="000F03A4" w:rsidP="00016D43">
            <w:pPr>
              <w:ind w:left="11"/>
              <w:contextualSpacing/>
              <w:jc w:val="both"/>
              <w:rPr>
                <w:rFonts w:asciiTheme="minorHAnsi" w:hAnsiTheme="minorHAnsi" w:cstheme="minorHAnsi"/>
                <w:color w:val="000000"/>
                <w:sz w:val="18"/>
                <w:szCs w:val="18"/>
              </w:rPr>
            </w:pPr>
          </w:p>
          <w:p w14:paraId="3E344298" w14:textId="1F448CDB" w:rsidR="00016D43" w:rsidRPr="00544E10" w:rsidRDefault="00016D43" w:rsidP="00016D4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special arrangements of listing be under the Section 100 (IVF) schedule, Authority Required (Streamlined). This recommendation was </w:t>
            </w:r>
            <w:proofErr w:type="gramStart"/>
            <w:r w:rsidRPr="00544E10">
              <w:rPr>
                <w:rFonts w:asciiTheme="minorHAnsi" w:hAnsiTheme="minorHAnsi" w:cstheme="minorHAnsi"/>
                <w:color w:val="000000"/>
                <w:sz w:val="18"/>
                <w:szCs w:val="18"/>
              </w:rPr>
              <w:t>on the basis of</w:t>
            </w:r>
            <w:proofErr w:type="gramEnd"/>
            <w:r w:rsidRPr="00544E10">
              <w:rPr>
                <w:rFonts w:asciiTheme="minorHAnsi" w:hAnsiTheme="minorHAnsi" w:cstheme="minorHAnsi"/>
                <w:color w:val="000000"/>
                <w:sz w:val="18"/>
                <w:szCs w:val="18"/>
              </w:rPr>
              <w:t xml:space="preserve"> a cost minimisation with the equi-effective dose of </w:t>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 xml:space="preserve"> 250 microgram SC = </w:t>
            </w:r>
            <w:proofErr w:type="spellStart"/>
            <w:r w:rsidRPr="00544E10">
              <w:rPr>
                <w:rFonts w:asciiTheme="minorHAnsi" w:hAnsiTheme="minorHAnsi" w:cstheme="minorHAnsi"/>
                <w:color w:val="000000"/>
                <w:sz w:val="18"/>
                <w:szCs w:val="18"/>
              </w:rPr>
              <w:t>Cetrotide</w:t>
            </w:r>
            <w:proofErr w:type="spellEnd"/>
            <w:r w:rsidRPr="00544E10">
              <w:rPr>
                <w:rFonts w:asciiTheme="minorHAnsi" w:hAnsiTheme="minorHAnsi" w:cstheme="minorHAnsi"/>
                <w:color w:val="000000"/>
                <w:sz w:val="18"/>
                <w:szCs w:val="18"/>
              </w:rPr>
              <w:t xml:space="preserve"> 250 microgram SC. The PBAC also recommended that the two forms of cetrorelix be considered interchangeable (a-flagged) with an administrative note added to the two listings regarding the different presentations of the medicines (PFS compared to powder for reconstitution and inert substance diluent).</w:t>
            </w:r>
          </w:p>
        </w:tc>
      </w:tr>
      <w:tr w:rsidR="001B4831" w:rsidRPr="00544E10" w14:paraId="19C5DBE0" w14:textId="77777777" w:rsidTr="39DDF63A">
        <w:trPr>
          <w:cantSplit/>
          <w:trHeight w:val="11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89D7B9" w14:textId="0B9564F0"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DELGOCITINIB</w:t>
            </w:r>
          </w:p>
          <w:p w14:paraId="0F826E5C" w14:textId="21F10399"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Cream 20 mg per g, 60 g</w:t>
            </w:r>
          </w:p>
          <w:p w14:paraId="6F55B662" w14:textId="36D84C4E" w:rsidR="001B4831" w:rsidRPr="00544E10" w:rsidRDefault="001B4831" w:rsidP="00864F92">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Anzupgo</w:t>
            </w:r>
            <w:proofErr w:type="spellEnd"/>
            <w:r w:rsidRPr="00544E10">
              <w:rPr>
                <w:rFonts w:asciiTheme="minorHAnsi" w:hAnsiTheme="minorHAnsi" w:cstheme="minorHAnsi"/>
                <w:color w:val="000000"/>
                <w:sz w:val="18"/>
                <w:szCs w:val="18"/>
              </w:rPr>
              <w:t>®</w:t>
            </w:r>
          </w:p>
          <w:p w14:paraId="0C0F0750" w14:textId="62A0155B"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LEO PHARMA PTY LTD</w:t>
            </w:r>
          </w:p>
          <w:p w14:paraId="379841C2" w14:textId="77777777"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6988ED0D" w14:textId="671F8412"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4FB01BC" w14:textId="3F1A8327"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hand eczema (CHE)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F743FE" w14:textId="72B2F631"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delgocitinib for the treatment of moderate to severe CHE where topical corticosteroids failed to achieve an adequate response or are medically inappropriate.</w:t>
            </w:r>
          </w:p>
          <w:p w14:paraId="6C7E665B" w14:textId="1BF81D26"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(Written)</w:t>
            </w:r>
          </w:p>
        </w:tc>
        <w:tc>
          <w:tcPr>
            <w:tcW w:w="1559" w:type="dxa"/>
            <w:vAlign w:val="center"/>
          </w:tcPr>
          <w:p w14:paraId="4829A1D3" w14:textId="18830549" w:rsidR="001B4831" w:rsidRPr="00544E10" w:rsidRDefault="001B4831" w:rsidP="001B483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56E8A1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recommended listing delgocitinib (</w:t>
            </w:r>
            <w:proofErr w:type="spellStart"/>
            <w:r w:rsidRPr="00544E10">
              <w:rPr>
                <w:rFonts w:asciiTheme="minorHAnsi" w:hAnsiTheme="minorHAnsi" w:cstheme="minorHAnsi"/>
                <w:color w:val="000000" w:themeColor="text1"/>
                <w:sz w:val="18"/>
                <w:szCs w:val="18"/>
              </w:rPr>
              <w:t>Anzupgo</w:t>
            </w:r>
            <w:proofErr w:type="spellEnd"/>
            <w:r w:rsidRPr="00544E10">
              <w:rPr>
                <w:rFonts w:asciiTheme="minorHAnsi" w:hAnsiTheme="minorHAnsi" w:cstheme="minorHAnsi"/>
                <w:color w:val="000000" w:themeColor="text1"/>
                <w:sz w:val="18"/>
                <w:szCs w:val="18"/>
              </w:rPr>
              <w:t xml:space="preserve">®) on the PBS for the treatment of moderate to severe chronic hand eczema (CHE) for patients who cannot use or have not had an adequate response to multiple rounds of treatment with topical corticosteroids (TCS). </w:t>
            </w:r>
          </w:p>
          <w:p w14:paraId="2CB5C7D7"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54C05141"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welcomed input from individuals, health professionals and organisations, who described CHE as a relentless condition causing both pain and physical distress that interferes with a range of daily tasks. The PBAC considered the management of CHE in practice was complex, and some patients would use multiple TCS, compounded topical treatments (e.g. tacrolimus), emollients, phototherapy, systemic agents and avoid irritants to attempt to manage their condition. The PBAC acknowledged that a gap in treatment options existed for peoples who have tried or cannot use TCS but were unsuitable or ineligible for subsequent therapies including systemic immunosuppressant drugs, or targeted therapies like dupilumab or upadacitinib. The PBAC acknowledged the need for new and </w:t>
            </w:r>
            <w:r w:rsidRPr="00544E10">
              <w:rPr>
                <w:rFonts w:asciiTheme="minorHAnsi" w:hAnsiTheme="minorHAnsi" w:cstheme="minorHAnsi"/>
                <w:color w:val="000000" w:themeColor="text1"/>
                <w:sz w:val="18"/>
                <w:szCs w:val="18"/>
              </w:rPr>
              <w:lastRenderedPageBreak/>
              <w:t xml:space="preserve">effective treatment options, especially given the side effects of prolonged medium to high potency TCS use, known safety issues with systemic immunosuppressant agents, and limits on accessing targeted therapies. </w:t>
            </w:r>
          </w:p>
          <w:p w14:paraId="70FA15C2"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4521A9F0"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considered that the make-up of the nominated comparator of ‘standard of care’, defined in the submission as consisting of emollients and avoidance of known irritants, did not reflect the treatments likely to be replaced in practice, and that at least a proportion of patients would be receiving TCS. However, noting that clinical evidence against TCS was unlikely to become available, the PBAC accepted the comparison versus SoC.</w:t>
            </w:r>
          </w:p>
          <w:p w14:paraId="37813CC5"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74053093"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considered the sponsor’s approach to justifying its requested price unreliable as the economic model was based on multiple cycles of delgocitinib treatment, whereas there was only clinical evidence for one treatment cycle, and several inputs were based on insufficient data. The PBAC advised a simpler approach that assessed the benefits and costs over a single 16-week cycle of delgocitinib treatment would be adequate to determine an appropriate treatment cost per patient. </w:t>
            </w:r>
          </w:p>
          <w:p w14:paraId="06255D89"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6281F40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there was a risk that more people would access subsidy for delgocitinib than the submission estimated, and that delgocitinib could be used on other body areas besides the hands. However, the PBAC considered that applying restrictions the prescribable amount and number of repeats would limit use outside of the proposed criteria. </w:t>
            </w:r>
          </w:p>
          <w:p w14:paraId="2E7CD27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003203BB" w14:textId="05A40CF6" w:rsidR="001B4831" w:rsidRPr="00544E10" w:rsidRDefault="001B4831" w:rsidP="001B483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flow-on restriction changes would be required for dupilumab and upadacitinib, for use in patients aged 12 years or older, to allow use following treatment with delgocitinib after confirmation of a diagnosis of chronic, severe atopic dermatitis of the hand.</w:t>
            </w:r>
          </w:p>
        </w:tc>
      </w:tr>
      <w:tr w:rsidR="00045EA2" w:rsidRPr="00544E10" w14:paraId="4339EF30" w14:textId="77777777" w:rsidTr="39DDF63A">
        <w:trPr>
          <w:cantSplit/>
          <w:trHeight w:val="72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90EA08" w14:textId="449A4DC7"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DENOSUMAB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Injection 60 mg in 1 mL pre-filled syringe</w:t>
            </w:r>
            <w:r w:rsidRPr="00544E10">
              <w:rPr>
                <w:rFonts w:asciiTheme="minorHAnsi" w:hAnsiTheme="minorHAnsi" w:cstheme="minorHAnsi"/>
                <w:color w:val="000000"/>
                <w:sz w:val="18"/>
                <w:szCs w:val="18"/>
              </w:rPr>
              <w:br/>
              <w:t>Injection 120 mg in 1.7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06F0BF5" w14:textId="6EA69BB0"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Osteoporosis</w:t>
            </w:r>
            <w:r w:rsidRPr="00544E10">
              <w:rPr>
                <w:rFonts w:asciiTheme="minorHAnsi" w:hAnsiTheme="minorHAnsi" w:cstheme="minorHAnsi"/>
                <w:color w:val="000000"/>
                <w:sz w:val="18"/>
                <w:szCs w:val="18"/>
              </w:rPr>
              <w:br/>
              <w:t>Giant cell tumour of bone</w:t>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Bone</w:t>
            </w:r>
            <w:proofErr w:type="spellEnd"/>
            <w:r w:rsidRPr="00544E10">
              <w:rPr>
                <w:rFonts w:asciiTheme="minorHAnsi" w:hAnsiTheme="minorHAnsi" w:cstheme="minorHAnsi"/>
                <w:color w:val="000000"/>
                <w:sz w:val="18"/>
                <w:szCs w:val="18"/>
              </w:rPr>
              <w:t xml:space="preserve"> metastases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2A73E6" w14:textId="08AFAB52"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two new denosumab biosimilars that mirror their respective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AACF360" w14:textId="564C3058" w:rsidR="00045EA2" w:rsidRPr="00544E10" w:rsidRDefault="00045EA2" w:rsidP="00045EA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801AC41" w14:textId="43E78BB7" w:rsidR="00045EA2" w:rsidRPr="00544E10" w:rsidRDefault="00045EA2" w:rsidP="00045EA2">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two new denosumab biosimilars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[Injection 60 mg in 1 mL pre-filled syringe] and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 xml:space="preserve">® [Injection 120 mg in 1.7 mL]) on a cost-minimisation basis and under the same conditions as their reference biologics (Prolia® and </w:t>
            </w:r>
            <w:proofErr w:type="spellStart"/>
            <w:r w:rsidRPr="00544E10">
              <w:rPr>
                <w:rFonts w:asciiTheme="minorHAnsi" w:hAnsiTheme="minorHAnsi" w:cstheme="minorHAnsi"/>
                <w:color w:val="000000"/>
                <w:sz w:val="18"/>
                <w:szCs w:val="18"/>
              </w:rPr>
              <w:t>Xgeva</w:t>
            </w:r>
            <w:proofErr w:type="spellEnd"/>
            <w:r w:rsidRPr="00544E10">
              <w:rPr>
                <w:rFonts w:asciiTheme="minorHAnsi" w:hAnsiTheme="minorHAnsi" w:cstheme="minorHAnsi"/>
                <w:color w:val="000000"/>
                <w:sz w:val="18"/>
                <w:szCs w:val="18"/>
              </w:rPr>
              <w:t xml:space="preserve">® respectively) for the same indications. The PBAC advised the equi-effective doses to be 1 mg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 1 mg Prolia and 1 mg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 xml:space="preserve"> = 1 mg </w:t>
            </w:r>
            <w:proofErr w:type="spellStart"/>
            <w:r w:rsidRPr="00544E10">
              <w:rPr>
                <w:rFonts w:asciiTheme="minorHAnsi" w:hAnsiTheme="minorHAnsi" w:cstheme="minorHAnsi"/>
                <w:color w:val="000000"/>
                <w:sz w:val="18"/>
                <w:szCs w:val="18"/>
              </w:rPr>
              <w:t>Xgeva</w:t>
            </w:r>
            <w:proofErr w:type="spellEnd"/>
            <w:r w:rsidRPr="00544E10">
              <w:rPr>
                <w:rFonts w:asciiTheme="minorHAnsi" w:hAnsiTheme="minorHAnsi" w:cstheme="minorHAnsi"/>
                <w:color w:val="000000"/>
                <w:sz w:val="18"/>
                <w:szCs w:val="18"/>
              </w:rPr>
              <w:t xml:space="preserve">. The PBAC noted that lowering the authority level for the two new biosimilars won’t apply as all existing listings of denosumab (including for the reference brands) are already streamlined authority. The PBAC also noted that for the existing biosimilar brands of denosumab, there is already administrative advice reflecting the biosimilar uptake policy that encourages biosimilar prescribing for treatment-naïve patients. The PBAC considered this administrative advice is clinically appropriate for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w:t>
            </w:r>
          </w:p>
        </w:tc>
      </w:tr>
      <w:tr w:rsidR="0052379A" w:rsidRPr="00544E10" w14:paraId="4455E3D1" w14:textId="77777777" w:rsidTr="39DDF63A">
        <w:trPr>
          <w:cantSplit/>
          <w:trHeight w:val="156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99D969" w14:textId="04241B4D"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DESMOPRESSIN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Nasal spray (pump pack) containing desmopressin acetate 10 micrograms per actuation, 50 actuations, 5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MEDSURGE HEALTHCARE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Committee Secretariat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93643DF" w14:textId="78380C72"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Cranial diabetes insipidus</w:t>
            </w:r>
            <w:r w:rsidRPr="00544E10">
              <w:rPr>
                <w:rFonts w:asciiTheme="minorHAnsi" w:hAnsiTheme="minorHAnsi" w:cstheme="minorHAnsi"/>
                <w:color w:val="000000"/>
                <w:sz w:val="18"/>
                <w:szCs w:val="18"/>
              </w:rPr>
              <w:br/>
              <w:t>Primary nocturnal enuresis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D69ABA" w14:textId="19426974"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desmopressin acetate 10 microgram per actuation nasal spray with a different pack size that mirrors the originator brand’s current PBS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0FAADCE" w14:textId="23D43A52" w:rsidR="0052379A" w:rsidRPr="00544E10" w:rsidRDefault="0052379A" w:rsidP="0052379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9D91ABF" w14:textId="77777777" w:rsidR="0052379A"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a new brand of desmopressin nasal spray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with a new pack size (50 actuations, 5 mL) for the treatment of cranial diabetes insipidus and primary nocturnal enuresis, under the same restrictions as the currently PBS-listed reference brand,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(60 actuations, 6 mL). The PBAC advised that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be cost-minimised to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on a per actuation (dose) basis. The PBAC noted the TGA’s establishment of bioequivalence between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w:t>
            </w:r>
          </w:p>
          <w:p w14:paraId="6406A8FB" w14:textId="6E8D7E7F" w:rsidR="0052379A"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noted the ongoing shortage of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and the scheduled cessation of approval to supply Desmopressin Nasal Spray USP (</w:t>
            </w:r>
            <w:proofErr w:type="spellStart"/>
            <w:r w:rsidRPr="00544E10">
              <w:rPr>
                <w:rFonts w:asciiTheme="minorHAnsi" w:hAnsiTheme="minorHAnsi" w:cstheme="minorHAnsi"/>
                <w:color w:val="000000"/>
                <w:sz w:val="18"/>
                <w:szCs w:val="18"/>
              </w:rPr>
              <w:t>Apotex</w:t>
            </w:r>
            <w:proofErr w:type="spellEnd"/>
            <w:r w:rsidRPr="00544E10">
              <w:rPr>
                <w:rFonts w:asciiTheme="minorHAnsi" w:hAnsiTheme="minorHAnsi" w:cstheme="minorHAnsi"/>
                <w:color w:val="000000"/>
                <w:sz w:val="18"/>
                <w:szCs w:val="18"/>
              </w:rPr>
              <w:t>) under Section 19A, effective 31 October 2025. In the absence of alternative PBS-listed products, the PBAC considered there to be a clinical need for an additional brand to support continued patient access.</w:t>
            </w:r>
          </w:p>
          <w:p w14:paraId="0BEAA8AE" w14:textId="3C3F50AC" w:rsidR="0052379A" w:rsidRPr="00544E10"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advised that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should be considered equivalent for the purposes of substitution (i.e., ‘a’ flagged in the Schedule) under Section 101 (4AACD) of the National Health Act.</w:t>
            </w:r>
          </w:p>
        </w:tc>
      </w:tr>
      <w:tr w:rsidR="00DE2B58" w:rsidRPr="00544E10" w14:paraId="22FE96B8" w14:textId="77777777" w:rsidTr="39DDF63A">
        <w:trPr>
          <w:cantSplit/>
          <w:trHeight w:val="2002"/>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11A324" w14:textId="394DD357" w:rsidR="00DE2B58" w:rsidRPr="00544E10" w:rsidRDefault="00DE2B58"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DURVALUMAB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120 mg in 2.4 mL</w:t>
            </w:r>
            <w:r w:rsidRPr="00544E10">
              <w:rPr>
                <w:rFonts w:asciiTheme="minorHAnsi" w:hAnsiTheme="minorHAnsi" w:cstheme="minorHAnsi"/>
                <w:color w:val="000000"/>
                <w:sz w:val="18"/>
                <w:szCs w:val="18"/>
              </w:rPr>
              <w:b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500 mg in 10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Imfinzi®</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5AC6A3A" w14:textId="21FE927E" w:rsidR="00DE2B58" w:rsidRPr="00544E10" w:rsidRDefault="00DE2B58" w:rsidP="00DE2B5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Muscle invasive bladder cancer (MIBC)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741E37" w14:textId="3E46BCD9" w:rsidR="00DE2B58" w:rsidRPr="00544E10" w:rsidRDefault="00DE2B58" w:rsidP="00DE2B5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durvalumab for the perioperative treatment (i.e. before and after surgery) of patients with MIBC who are planning to undergo radical cystectomy and are eligible for cisplatin-based neoadjuvant chemotherapy (i.e. eligible for cisplatin-based chemotherapy given prior to surgery).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BB81A97" w14:textId="3AC798D7" w:rsidR="00DE2B58" w:rsidRPr="00544E10" w:rsidRDefault="00DE2B58" w:rsidP="00DE2B5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A04E85" w14:textId="77777777" w:rsidR="005174A1"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durvalumab for use before and after surgery in patients with muscle-invasive bladder cancer (MIBC) who are planning to have their bladder removed and are eligible for cisplatin-based chemotherapy before surgery.</w:t>
            </w:r>
          </w:p>
          <w:p w14:paraId="01C3ACC0" w14:textId="543ED74F" w:rsidR="00DE2B58" w:rsidRDefault="00DE2B58" w:rsidP="005174A1">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acknowledged that MIBC is a challenging condition to treat with significant impacts on quality of life despite the current treatment options available.</w:t>
            </w:r>
          </w:p>
          <w:p w14:paraId="1319DE7A" w14:textId="77777777" w:rsidR="005174A1"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was satisfied that, on balance, use of durvalumab before and after surgery improves the risk of the cancer returning and helps patients with MIBC live longer when compared with current standard of care.  Based on the evidence included in the submission, the PBAC estimated that for every 100 patients who received durvalumab before and after surgery, 10 additional patients would remain cancer free at 3 years and 7 additional patients would remain alive at 5 years. However, the  size of this benefit is uncertain due to differences across the clinical trials used to assess the effectiveness of durvalumab. Furthermore, the PBAC noted that the uncertainty was also from differences between treatments in the clinical trials and real-world clinical practice in Australia.</w:t>
            </w:r>
          </w:p>
          <w:p w14:paraId="1022AF57" w14:textId="77777777" w:rsidR="005174A1" w:rsidRDefault="005174A1" w:rsidP="00DE2B58">
            <w:pPr>
              <w:ind w:left="11"/>
              <w:contextualSpacing/>
              <w:jc w:val="both"/>
              <w:rPr>
                <w:rFonts w:asciiTheme="minorHAnsi" w:hAnsiTheme="minorHAnsi" w:cstheme="minorHAnsi"/>
                <w:color w:val="000000"/>
                <w:sz w:val="18"/>
                <w:szCs w:val="18"/>
              </w:rPr>
            </w:pPr>
          </w:p>
          <w:p w14:paraId="3471BE10" w14:textId="4C59125F" w:rsidR="00DE2B58"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considered that with some revision to the estimated costs of treatment, together with a price reduction, durvalumab would be acceptably cost-effective. The PBAC considered that the estimated cost to the government was reasonable once minor adjustments were made to address an overestimation of the number of patients who would use this medicine. The PBAC recommended that durvalumab should be included in the existing risk sharing arrangement (RSA) in place for adjuvant nivolumab in patients at high risk of recurrence. The RSA would also be adjusted with an increase in the number of patient to include all eligible patients who are receiving surgery.</w:t>
            </w:r>
          </w:p>
          <w:p w14:paraId="10E10161" w14:textId="0A9534F2" w:rsidR="00DE2B58" w:rsidRPr="00544E10"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noted that there will also be changes to the restrictions for </w:t>
            </w:r>
            <w:r w:rsidRPr="00544E10">
              <w:rPr>
                <w:rFonts w:asciiTheme="minorHAnsi" w:hAnsiTheme="minorHAnsi" w:cstheme="minorHAnsi"/>
                <w:color w:val="000000"/>
                <w:sz w:val="18"/>
                <w:szCs w:val="18"/>
              </w:rPr>
              <w:lastRenderedPageBreak/>
              <w:t>nivolumab for urothelial carcinoma to restrict the use of immunotherapy to only once-per-lifetime and to simplify the approval process for initial and continuation treatments.</w:t>
            </w:r>
          </w:p>
        </w:tc>
      </w:tr>
      <w:tr w:rsidR="0006598A" w:rsidRPr="00544E10" w14:paraId="6869B4F0" w14:textId="77777777" w:rsidTr="39DDF63A">
        <w:trPr>
          <w:cantSplit/>
          <w:trHeight w:val="1010"/>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E8D854" w14:textId="57BB0052"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EFGARTIGIMOD ALFA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for subcutaneous injection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1000 mg in 5.6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Vyvgart®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ARGENX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EBFCCEE" w14:textId="3FD357AB"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Generalised myasthenia gravis (gMG)</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25AC11" w14:textId="29D71C74"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subcutaneous injection form of efgartigimod alfa for initial and continuing treatment of adult patients with gMG who are anti-acetylcholine receptor antibody positive.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346C757" w14:textId="3C6B661B" w:rsidR="0006598A" w:rsidRPr="00544E10" w:rsidRDefault="0006598A" w:rsidP="0006598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979351" w14:textId="77777777" w:rsidR="0006598A" w:rsidRDefault="0006598A" w:rsidP="0006598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efgartigimod alfa, 1 000 mg for subcutaneous injection (EFG SC), for the treatment of generalised myasthenia gravis (gMG) as a Section 100 (Highly Specialised Drugs) Authority Required (Written/Online) listing, as per the four gMG medicines recommended at its March 2025 meeting (efgartigimod alfa for infusion (EFG IV), zilucoplan, ravulizumab and rozanolixizumab). The PBAC advised that the equi-effective dose of 1 vial of subcutaneous EFG SC (1 000 mg) was equivalent to 2.4 vials of EFG IV (961 mg) was appropriate, and that the clinical claim of non-inferior effectiveness and non-inferior safety between the 2 forms was reasonable. The PBAC’s recommendation was on the basis that the subcutaneous form be priced as per the other gMG medicines recommended at the March 2025 PBAC meeting, which comprised of a cost-comparison to intravenous immunoglobulin (IVIg) with a price premium administration benefit over IVIg. For the cost comparison, an annual dose of EFG SC 18,880 mg was considered equal to 541.1 g per year of IVIg. The PBAC advised that the efgartigimod alfa subcutaneous form should also enter the risk-sharing arrangement for the gMG medicines recommended in March 2025.</w:t>
            </w:r>
          </w:p>
          <w:p w14:paraId="63C2FCA2" w14:textId="77777777" w:rsidR="0006598A" w:rsidRDefault="0006598A" w:rsidP="0006598A">
            <w:pPr>
              <w:ind w:left="11"/>
              <w:contextualSpacing/>
              <w:jc w:val="both"/>
              <w:rPr>
                <w:rFonts w:asciiTheme="minorHAnsi" w:hAnsiTheme="minorHAnsi" w:cstheme="minorHAnsi"/>
                <w:color w:val="000000"/>
                <w:sz w:val="18"/>
                <w:szCs w:val="18"/>
              </w:rPr>
            </w:pPr>
          </w:p>
          <w:p w14:paraId="5D5A332A" w14:textId="2C5F6C1A" w:rsidR="0006598A" w:rsidRPr="00544E10" w:rsidRDefault="0006598A" w:rsidP="0006598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individuals and medical organisations and noted the effect of EFG SC in improving access to medicines for gMG, fewer side effects, and a marked increase in quality of life. It noted that people living with gMG in Australia face a significant and ongoing burden due to fluctuating symptoms, intrusive treatments, and treatment-related side effects.</w:t>
            </w:r>
          </w:p>
        </w:tc>
      </w:tr>
      <w:tr w:rsidR="00E144DE" w:rsidRPr="00544E10" w14:paraId="4A8998C9" w14:textId="77777777" w:rsidTr="39DDF63A">
        <w:trPr>
          <w:cantSplit/>
          <w:trHeight w:val="143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6C42B2" w14:textId="6B17E7BF"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ENCORAFENIB</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BINIMETINIB</w:t>
            </w:r>
          </w:p>
          <w:p w14:paraId="15778B76" w14:textId="4533B6B2"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75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45 mg</w:t>
            </w:r>
          </w:p>
          <w:p w14:paraId="0F1EABE8" w14:textId="402AF572"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Braftovi®</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Mektovi®</w:t>
            </w:r>
          </w:p>
          <w:p w14:paraId="1F70E1A2" w14:textId="590B5346"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PIERRE FABRE AUSTRALIA PTY LTD</w:t>
            </w:r>
          </w:p>
          <w:p w14:paraId="488CCCC2" w14:textId="77777777"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3A4F3D7E" w14:textId="5C97FE33"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CF6F09B" w14:textId="4DFFCE8E"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Non-small cell lung cancer (NSCLC)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2961CF" w14:textId="78557CCC"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encorafenib for use in combination with binimetinib for the treatment of adult patients with advanced or metastatic NSCLC with a BRAF V600E mutation who have not received prior systemic treatment in the metastatic setting.</w:t>
            </w:r>
          </w:p>
          <w:p w14:paraId="78791803" w14:textId="2F9A1D03"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589B23A6" w14:textId="4657DBA0" w:rsidR="00E144DE" w:rsidRPr="00544E10" w:rsidRDefault="00E144DE" w:rsidP="00E144D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391534E"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encorafenib and binimetinib (E+B; Braftovi® and Mektovi®) on the PBS for the treatment of adult patients with BRAF V600E mutation positive metastatic non-small cell lung cancer. The PBAC welcomed input from individuals, health professionals and organisations and acknowledged the high impact of the condition on patients and their families. Consumers supported more treatment options for people with this rare form of lung cancer. Since each patient tolerates treatments differently, the PBAC acknowledged the need for alternative treatments that have different side effect profiles.  </w:t>
            </w:r>
          </w:p>
          <w:p w14:paraId="6935AA6E"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4AD828A9"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was satisfied that E+B would provide similar health outcomes to the existing PBS-subsidised treatment, dabrafenib plus trametinib. The PBAC also considered that E+B may be better tolerated by some patients and result in fewer fevers than D+T. </w:t>
            </w:r>
          </w:p>
          <w:p w14:paraId="619CA80B"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51E7A73B"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advised that E+B would be cost-effective with a similar treatment cost to D+T. The PBAC considered that 450 mg/day of encorafenib and 90 mg/day of binimetinib would be equivalent to 300 mg/day of dabrafenib 300 mg/day and 2 mg/day of trametinib. The Committee also noted that the new 45 mg strength of binimetinib should also be listed for the treatment of melanoma, at the same price per mg as the 15 mg tablet, as this would reduce the number of tablets patients need to take.</w:t>
            </w:r>
          </w:p>
          <w:p w14:paraId="3F07583A"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52B37B2F" w14:textId="17D08217" w:rsidR="00E144DE" w:rsidRPr="00544E10" w:rsidRDefault="00E144DE" w:rsidP="00E144D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the addition of E+B to the PBS would result in changes to the restriction criteria for atezolizumab, cemiplimab, nivolumab, ipilimumab and pembrolizumab, allowing for sequential use of E+B if the condition progresses after these therapies. The PBAC noted that changes would also be required to the current D+T listing to prevent treatment switching between E+B and D+T for the same condition, except in the cases where the patient experiences intolerance or toxicity.</w:t>
            </w:r>
          </w:p>
        </w:tc>
      </w:tr>
      <w:tr w:rsidR="003B33AA" w:rsidRPr="00544E10" w14:paraId="4C47642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95359D" w14:textId="70947E6A"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ESTRADIOL WITH PROGESTERONE</w:t>
            </w:r>
          </w:p>
          <w:p w14:paraId="13E7A2D7" w14:textId="72E61993"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Capsule containing estradiol 1mg </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(as hemihydrate) with</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progesterone 100mg</w:t>
            </w:r>
          </w:p>
          <w:p w14:paraId="26251E6F" w14:textId="0972865A"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Bijuva®</w:t>
            </w:r>
          </w:p>
          <w:p w14:paraId="0D9C038D" w14:textId="653DEEE9"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THERAMEX AUSTRALIA PTY LTD</w:t>
            </w:r>
          </w:p>
          <w:p w14:paraId="3540EDA6" w14:textId="7777777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1BB72147" w14:textId="16E9C05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B84547E" w14:textId="665DD1DD"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Vasomotor symptoms in </w:t>
            </w:r>
            <w:proofErr w:type="spellStart"/>
            <w:r w:rsidRPr="00544E10">
              <w:rPr>
                <w:rFonts w:asciiTheme="minorHAnsi" w:hAnsiTheme="minorHAnsi" w:cstheme="minorHAnsi"/>
                <w:color w:val="000000"/>
                <w:sz w:val="18"/>
                <w:szCs w:val="18"/>
              </w:rPr>
              <w:t>post</w:t>
            </w:r>
            <w:r w:rsidR="009A024D">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menopausal</w:t>
            </w:r>
            <w:proofErr w:type="spellEnd"/>
            <w:r w:rsidRPr="00544E10">
              <w:rPr>
                <w:rFonts w:asciiTheme="minorHAnsi" w:hAnsiTheme="minorHAnsi" w:cstheme="minorHAnsi"/>
                <w:color w:val="000000"/>
                <w:sz w:val="18"/>
                <w:szCs w:val="18"/>
              </w:rPr>
              <w:t xml:space="preserve"> women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DED35F" w14:textId="7777777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estradiol with progesterone for the treatment of moderate to severe vasomotor symptoms in post-menopausal women.</w:t>
            </w:r>
          </w:p>
          <w:p w14:paraId="7D5FA06D" w14:textId="77777777" w:rsidR="003B33AA" w:rsidRPr="00544E10" w:rsidRDefault="003B33AA" w:rsidP="003B33AA">
            <w:pPr>
              <w:jc w:val="center"/>
              <w:rPr>
                <w:rFonts w:asciiTheme="minorHAnsi" w:hAnsiTheme="minorHAnsi" w:cstheme="minorHAnsi"/>
                <w:color w:val="000000"/>
                <w:sz w:val="18"/>
                <w:szCs w:val="18"/>
              </w:rPr>
            </w:pPr>
          </w:p>
          <w:p w14:paraId="7EAA4C59" w14:textId="589A6949"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Restricted Benefit</w:t>
            </w:r>
          </w:p>
        </w:tc>
        <w:tc>
          <w:tcPr>
            <w:tcW w:w="1559" w:type="dxa"/>
            <w:vAlign w:val="center"/>
          </w:tcPr>
          <w:p w14:paraId="663FE5B8" w14:textId="36C600BE" w:rsidR="003B33AA" w:rsidRPr="00544E10" w:rsidRDefault="003B33AA" w:rsidP="003B33A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65175017"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recommended the listing of estradiol with progesterone (Bijuva) on the Pharmaceutical Benefits Scheme (PBS). Bijuva is an oral menopausal hormone therapy (MHT) for the treatment of moderate to severe vasomotor symptoms in postmenopausal women.</w:t>
            </w:r>
          </w:p>
          <w:p w14:paraId="4A685EBE"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21077771"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welcomed input from individuals, health care professionals and organisations. Stakeholders highlighted the impact of menopause symptoms on daily life. They also highlighted the need for more treatment options, especially for those who cannot use patches or gels. The PBAC acknowledged that it was important to have a diverse range of menopausal hormone therapy options available on the PBS. The PBAC noted that there is currently no oral fixed dose combination product containing estradiol and progesterone (or a similar progestogen hormone) for continuous menopausal hormone therapy listed on the PBS. The PBAC also acknowledged that while Bijuva could be purchased privately, the current cost was a barrier to access for some people.</w:t>
            </w:r>
          </w:p>
          <w:p w14:paraId="367DEA6A"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1796BF79"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estradiol and progesterone (or a progestogen) are available separately on the PBS and can be used for menopausal hormone therapy.  Additionally, there are PBS-listed products that combine topical (applied to the skin) estradiol and oral progesterone or a topical progestogen. One example of such products is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These products can also be used as continuous menopausal hormone therapy.</w:t>
            </w:r>
          </w:p>
          <w:p w14:paraId="0D3C4C11"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5D3EEA1C" w14:textId="526128C3" w:rsidR="003B33AA"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accepted the sponsor’s claim that Bijuva had similar effectiveness to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but did not accept the sponsor’s claim that it would have similar safety. The PBAC noted evidence that oral estradiol increases risk of venous thromboembolism to a greater extent than transdermal estradiol. </w:t>
            </w:r>
          </w:p>
          <w:p w14:paraId="7A02AA56"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3C5CB98F" w14:textId="51A82E61" w:rsidR="003B33AA" w:rsidRPr="00544E10" w:rsidRDefault="003B33AA" w:rsidP="003B33A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sponsor had requested a price that was higher than other PBS listed menopause hormone therapies. It estimated that listing Bijuva would result in a cost saving through substitution with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The PBAC considered that cost saving was likely overestimated. This was because </w:t>
            </w:r>
            <w:r w:rsidRPr="00544E10">
              <w:rPr>
                <w:rFonts w:asciiTheme="minorHAnsi" w:hAnsiTheme="minorHAnsi" w:cstheme="minorHAnsi"/>
                <w:color w:val="000000" w:themeColor="text1"/>
                <w:sz w:val="18"/>
                <w:szCs w:val="18"/>
              </w:rPr>
              <w:lastRenderedPageBreak/>
              <w:t>Bijuva would likely be used as a substitute for less expensive menopausal hormone treatment therapies. Such therapies include patches, and separate oral estradiol and oral progesterone products that are prescribed together. The PBAC recommended Bijuva to be listed at a price no higher than the sum of the individual prices of estradiol valerate 1 mg tablet (28 days) and progesterone 100 mg capsule (25 days out of a 28-day cycle), based on equivalent doses.</w:t>
            </w:r>
          </w:p>
        </w:tc>
      </w:tr>
      <w:tr w:rsidR="00325C21" w:rsidRPr="00544E10" w14:paraId="5379652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D96D9A" w14:textId="18F047E5"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FEDRATINIB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Inrebic</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BRISTOL-MYERS SQUIBB </w:t>
            </w:r>
            <w:r w:rsidR="001147C6">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54E9372" w14:textId="6EB5609C"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Myelofibrosis (MF)</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7B68D6" w14:textId="3F483DA7"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fedratinib for the treatment of patients with intermediate/high-risk primary myelofibrosis, post-polycythaemia vera myelofibrosis, or post-essential thrombocythaemia myelofibrosis.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1371AD37" w14:textId="5172089B" w:rsidR="00325C21" w:rsidRPr="00544E10" w:rsidRDefault="00325C21" w:rsidP="00325C2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5E15EAA" w14:textId="39FA1DA5" w:rsidR="00325C21"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w:t>
            </w:r>
            <w:r w:rsidR="00FA15ED">
              <w:rPr>
                <w:rFonts w:asciiTheme="minorHAnsi" w:hAnsiTheme="minorHAnsi" w:cstheme="minorHAnsi"/>
                <w:color w:val="000000"/>
                <w:sz w:val="18"/>
                <w:szCs w:val="18"/>
              </w:rPr>
              <w:t>d listing</w:t>
            </w:r>
            <w:r w:rsidRPr="00544E10">
              <w:rPr>
                <w:rFonts w:asciiTheme="minorHAnsi" w:hAnsiTheme="minorHAnsi" w:cstheme="minorHAnsi"/>
                <w:color w:val="000000"/>
                <w:sz w:val="18"/>
                <w:szCs w:val="18"/>
              </w:rPr>
              <w:t xml:space="preserve"> of fedratinib </w:t>
            </w:r>
            <w:r w:rsidR="00FA15ED">
              <w:rPr>
                <w:rFonts w:asciiTheme="minorHAnsi" w:hAnsiTheme="minorHAnsi" w:cstheme="minorHAnsi"/>
                <w:color w:val="000000"/>
                <w:sz w:val="18"/>
                <w:szCs w:val="18"/>
              </w:rPr>
              <w:t xml:space="preserve">on the PBS </w:t>
            </w:r>
            <w:r w:rsidRPr="00544E10">
              <w:rPr>
                <w:rFonts w:asciiTheme="minorHAnsi" w:hAnsiTheme="minorHAnsi" w:cstheme="minorHAnsi"/>
                <w:color w:val="000000"/>
                <w:sz w:val="18"/>
                <w:szCs w:val="18"/>
              </w:rPr>
              <w:t>for the treatment of patients with intermediate/high-risk primary myelofibrosis, post-polycythaemia vera myelofibrosis, or post-essential thrombocythaemia myelofibrosis. The PBAC was satisfied that fedratinib is as effective as ruxolitinib at reducing spleen volume, although it caused more gastrointestinal issues (such as diarrhoea, nausea or vomiting) and ongoing thiamine supplementation and monitoring was required with fedratinib due to the risk of Wernicke’s encephalopathy.</w:t>
            </w:r>
          </w:p>
          <w:p w14:paraId="2928B2F2" w14:textId="2411EC62" w:rsidR="00325C21"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w:t>
            </w:r>
            <w:r w:rsidR="00DD76BE">
              <w:rPr>
                <w:rFonts w:asciiTheme="minorHAnsi" w:hAnsiTheme="minorHAnsi" w:cstheme="minorHAnsi"/>
                <w:color w:val="000000"/>
                <w:sz w:val="18"/>
                <w:szCs w:val="18"/>
              </w:rPr>
              <w:t xml:space="preserve">input </w:t>
            </w:r>
            <w:r w:rsidRPr="00544E10">
              <w:rPr>
                <w:rFonts w:asciiTheme="minorHAnsi" w:hAnsiTheme="minorHAnsi" w:cstheme="minorHAnsi"/>
                <w:color w:val="000000"/>
                <w:sz w:val="18"/>
                <w:szCs w:val="18"/>
              </w:rPr>
              <w:t>from individuals and consumer organisations. The PBAC noted the consumer support for having an additional treatment option that is not limited to a specific line of therapy and</w:t>
            </w:r>
            <w:r w:rsidR="00DD76BE">
              <w:rPr>
                <w:rFonts w:asciiTheme="minorHAnsi" w:hAnsiTheme="minorHAnsi" w:cstheme="minorHAnsi"/>
                <w:color w:val="000000"/>
                <w:sz w:val="18"/>
                <w:szCs w:val="18"/>
              </w:rPr>
              <w:t>/</w:t>
            </w:r>
            <w:r w:rsidRPr="00544E10">
              <w:rPr>
                <w:rFonts w:asciiTheme="minorHAnsi" w:hAnsiTheme="minorHAnsi" w:cstheme="minorHAnsi"/>
                <w:color w:val="000000"/>
                <w:sz w:val="18"/>
                <w:szCs w:val="18"/>
              </w:rPr>
              <w:t>or intermediate myelofibrosis subtype.</w:t>
            </w:r>
          </w:p>
          <w:p w14:paraId="0B0ED7CC" w14:textId="1965B134" w:rsidR="00325C21" w:rsidRPr="00544E10"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that the fedratinib mean daily dose of 349.96 mg/day is equal to ruxolitinib mean daily dose of 26.2 mg/day.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The PBAC considered that nurse practitioners should be permitted to prescribe fedratinib for continuing existing treatment, where the patient's care is shared with a medical practitioner. The PBAC considered this should </w:t>
            </w:r>
            <w:r w:rsidRPr="00544E10">
              <w:rPr>
                <w:rFonts w:asciiTheme="minorHAnsi" w:hAnsiTheme="minorHAnsi" w:cstheme="minorHAnsi"/>
                <w:color w:val="000000"/>
                <w:sz w:val="18"/>
                <w:szCs w:val="18"/>
              </w:rPr>
              <w:lastRenderedPageBreak/>
              <w:t xml:space="preserve">flow on to the listings for </w:t>
            </w:r>
            <w:proofErr w:type="spellStart"/>
            <w:r w:rsidRPr="00544E10">
              <w:rPr>
                <w:rFonts w:asciiTheme="minorHAnsi" w:hAnsiTheme="minorHAnsi" w:cstheme="minorHAnsi"/>
                <w:color w:val="000000"/>
                <w:sz w:val="18"/>
                <w:szCs w:val="18"/>
              </w:rPr>
              <w:t>momelotinib</w:t>
            </w:r>
            <w:proofErr w:type="spellEnd"/>
            <w:r w:rsidRPr="00544E10">
              <w:rPr>
                <w:rFonts w:asciiTheme="minorHAnsi" w:hAnsiTheme="minorHAnsi" w:cstheme="minorHAnsi"/>
                <w:color w:val="000000"/>
                <w:sz w:val="18"/>
                <w:szCs w:val="18"/>
              </w:rPr>
              <w:t xml:space="preserve"> and ruxolitinib for the intermediate-1, intermediate-2 and high-risk myelofibrosis populations.</w:t>
            </w:r>
          </w:p>
        </w:tc>
      </w:tr>
      <w:tr w:rsidR="00976BAF" w:rsidRPr="00544E10" w14:paraId="019FC0BA"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2A8446" w14:textId="7055A46C"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FENFLURAMINE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Oral solution 2.2 mg</w:t>
            </w:r>
            <w:r w:rsidR="00B572C3">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(as hydrochloride) per mL, 360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Fintepla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41215BFA" w14:textId="52A5D564"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Lennox-Gastaut Syndrome (LGS)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D26B0D" w14:textId="3EF85211"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fenfluramine as add-on therapy for patients with LGS who are not adequately controlled with at least two other anti-epileptic drugs.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1E619469" w14:textId="57712FDD" w:rsidR="00976BAF" w:rsidRPr="00544E10" w:rsidRDefault="00976BAF" w:rsidP="00976BAF">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4C27EB4B" w14:textId="77777777" w:rsidR="00976BAF" w:rsidRDefault="00976BAF" w:rsidP="00976BAF">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fenfluramine (</w:t>
            </w:r>
            <w:proofErr w:type="spellStart"/>
            <w:r w:rsidRPr="00544E10">
              <w:rPr>
                <w:rFonts w:asciiTheme="minorHAnsi" w:hAnsiTheme="minorHAnsi" w:cstheme="minorHAnsi"/>
                <w:color w:val="000000"/>
                <w:sz w:val="18"/>
                <w:szCs w:val="18"/>
              </w:rPr>
              <w:t>Fintepla</w:t>
            </w:r>
            <w:proofErr w:type="spellEnd"/>
            <w:r w:rsidRPr="00544E10">
              <w:rPr>
                <w:rFonts w:asciiTheme="minorHAnsi" w:hAnsiTheme="minorHAnsi" w:cstheme="minorHAnsi"/>
                <w:color w:val="000000"/>
                <w:sz w:val="18"/>
                <w:szCs w:val="18"/>
              </w:rPr>
              <w:t>®) on the Pharmaceutical Benefits Scheme (PBS) for the treatment of seizures in people with Lennox-Gastaut Syndrome who have not adequately responded to at least two other anti-seizure medications (ASMs).</w:t>
            </w:r>
          </w:p>
          <w:p w14:paraId="108B6790" w14:textId="55F6E353"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welcomed input from individuals, healthcare professionals and organisations highlighting the devastating impact of Lennox-Gastaut Syndrome. Lennox-Gastaut Syndrome is a lifelong, rare and serious form of epilepsy that usually begins in childhood. It causes seizures that are often hard to control and can lead to injury and developmental delay. The PBAC acknowledged the significant caregiver burden for parents, families and carers. It also acknowledged that existing treatments, including anti-seizure medicines and cannabidiol, do not work well for everyone. The PBAC accepted there was a need for more treatment options. It noted that fenfluramine has a different mechanism of action to current treatment options on the PBS.</w:t>
            </w:r>
          </w:p>
          <w:p w14:paraId="4704BA23" w14:textId="764BDF49"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that while available clinical evidence was uncertain, on balance, fenfluramine was as effective as cannabidiol. It also noted that fenfluramine is associated with side effects including appetite suppression and weight loss.  The PBAC noted these risks may be particularly concerning </w:t>
            </w:r>
            <w:r w:rsidRPr="00544E10">
              <w:rPr>
                <w:rFonts w:asciiTheme="minorHAnsi" w:hAnsiTheme="minorHAnsi" w:cstheme="minorHAnsi"/>
                <w:color w:val="000000"/>
                <w:sz w:val="18"/>
                <w:szCs w:val="18"/>
              </w:rPr>
              <w:lastRenderedPageBreak/>
              <w:t xml:space="preserve">for people with Lennox-Gastaut Syndrome, who may have feeding difficulties and be underweight. Furthermore, the PBAC was concerned that fenfluramine was known to cause serious cardiac (heart) issues and cardiac events have been reported in post-marketing surveillance for fenfluramine in treating Dravet syndrome and Lennox-Gastaut Syndrome. </w:t>
            </w:r>
            <w:r w:rsidR="00F76162">
              <w:rPr>
                <w:rFonts w:asciiTheme="minorHAnsi" w:hAnsiTheme="minorHAnsi" w:cstheme="minorHAnsi"/>
                <w:color w:val="000000"/>
                <w:sz w:val="18"/>
                <w:szCs w:val="18"/>
              </w:rPr>
              <w:t>T</w:t>
            </w:r>
            <w:r w:rsidRPr="00544E10">
              <w:rPr>
                <w:rFonts w:asciiTheme="minorHAnsi" w:hAnsiTheme="minorHAnsi" w:cstheme="minorHAnsi"/>
                <w:color w:val="000000"/>
                <w:sz w:val="18"/>
                <w:szCs w:val="18"/>
              </w:rPr>
              <w:t>he PBAC considered the long-term risk of serious cardiac issues remained uncertain. Overall, the PBAC considered fenfluramine was likely to be less safe than cannabidiol in treating Lennox-Gastaut Syndrome.</w:t>
            </w:r>
          </w:p>
          <w:p w14:paraId="65D124DA" w14:textId="77777777" w:rsidR="00ED44EF" w:rsidRPr="00ED44EF" w:rsidRDefault="00976BAF" w:rsidP="00ED44EF">
            <w:pPr>
              <w:contextualSpacing/>
              <w:jc w:val="both"/>
              <w:rPr>
                <w:rFonts w:asciiTheme="minorHAnsi" w:hAnsiTheme="minorHAnsi" w:cstheme="minorHAnsi"/>
                <w:color w:val="000000"/>
                <w:sz w:val="18"/>
                <w:szCs w:val="18"/>
              </w:rPr>
            </w:pPr>
            <w:r w:rsidRPr="00ED44EF">
              <w:rPr>
                <w:rFonts w:asciiTheme="minorHAnsi" w:hAnsiTheme="minorHAnsi" w:cstheme="minorHAnsi"/>
                <w:color w:val="000000"/>
                <w:sz w:val="18"/>
                <w:szCs w:val="18"/>
              </w:rPr>
              <w:br/>
            </w:r>
            <w:r w:rsidR="00ED44EF" w:rsidRPr="00ED44EF">
              <w:rPr>
                <w:rFonts w:asciiTheme="minorHAnsi" w:hAnsiTheme="minorHAnsi" w:cstheme="minorHAnsi"/>
                <w:color w:val="000000"/>
                <w:sz w:val="18"/>
                <w:szCs w:val="18"/>
              </w:rPr>
              <w:t xml:space="preserve">The PBAC considered the cost of fenfluramine per patient should reflect how effective and safe it is compared to cannabidiol. </w:t>
            </w:r>
          </w:p>
          <w:p w14:paraId="47F04E53" w14:textId="77777777"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fenfluramine should have similar restrictions to those it recommended for cannabidiol at its July 2025 meeting. It recommended subsidy for people who have not responded to at least two other anti-seizure medicines, with the additional requirement of cardiac monitoring.</w:t>
            </w:r>
          </w:p>
          <w:p w14:paraId="20874CF3" w14:textId="68F9A05D" w:rsidR="00976BAF" w:rsidRPr="00544E10"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Despite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outstanding uncertainties, on balance, the PBAC considered the additional cost of listing fenfluramine on the PBS for Lennox-Gastaut Syndrome was likely to be small. The PBAC considered it appropriate to include fenfluramine in the risk sharing arrangements in place for cannabidiol for Lennox-Gastaut Syndrome with no change in the expenditure caps.  </w:t>
            </w:r>
          </w:p>
        </w:tc>
      </w:tr>
      <w:tr w:rsidR="009C4EB6" w:rsidRPr="00544E10" w14:paraId="74509BA5" w14:textId="77777777" w:rsidTr="39DDF63A">
        <w:trPr>
          <w:cantSplit/>
          <w:trHeight w:val="200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B146C1" w14:textId="2752FA6A"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FEZOLINETANT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45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Veoza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ASTELLAS PHARMA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3F45A3D" w14:textId="355D8B6D"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Moderate to severe menopause-related vasomotor symptoms (VMS)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36D2B2" w14:textId="60BAA30C"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fezolinetant for the treatment of moderate to severe menopause-related VMS for whom menopausal hormone therapy is not suitable.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523DA5F1" w14:textId="730DE404" w:rsidR="009C4EB6" w:rsidRPr="00544E10" w:rsidRDefault="009C4EB6" w:rsidP="009C4EB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0E844A6"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fezolinetant (</w:t>
            </w:r>
            <w:proofErr w:type="spellStart"/>
            <w:r w:rsidRPr="00544E10">
              <w:rPr>
                <w:rFonts w:asciiTheme="minorHAnsi" w:hAnsiTheme="minorHAnsi" w:cstheme="minorHAnsi"/>
                <w:color w:val="000000"/>
                <w:sz w:val="18"/>
                <w:szCs w:val="18"/>
              </w:rPr>
              <w:t>Veoza</w:t>
            </w:r>
            <w:proofErr w:type="spellEnd"/>
            <w:r w:rsidRPr="00544E10">
              <w:rPr>
                <w:rFonts w:asciiTheme="minorHAnsi" w:hAnsiTheme="minorHAnsi" w:cstheme="minorHAnsi"/>
                <w:color w:val="000000"/>
                <w:sz w:val="18"/>
                <w:szCs w:val="18"/>
              </w:rPr>
              <w:t>®) for the treatment of moderate to severe menopause-related vasomotor symptoms (VMS, also known as hot flushes) in people who are contraindicated to menopausal hormone therapy (MHT), have experienced side-effects necessitating withdrawal, or have had an inadequate response to MHT.</w:t>
            </w:r>
          </w:p>
          <w:p w14:paraId="045E6F86"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input from individuals, healthcare professionals and organisations in support of fezolinetant. The PBAC considered that there is a clinical need for non-hormonal treatments in patients who cannot take MHT. </w:t>
            </w:r>
          </w:p>
          <w:p w14:paraId="4D812D11" w14:textId="374907A1"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br/>
              <w:t xml:space="preserve">The PBAC previously considered fezolinetant at its March 2025 meeting and did not recommend listing on the PBS at that time. The PBAC considered that it was not appropriate for fezolinetant to be used by people who could take MHT to treat menopause-related VMS as proposed by the sponsor, and noted there was increasing concerns that fezolinetant could cause liver damage in some patients. In this resubmission, the sponsor proposed revised clinical criteria that more clearly defined who could access fezolinetant on the PBS. The PBAC considered these proposed criteria were clinically appropriate, and accepted the proposed comparison with ‘no treatment’. </w:t>
            </w:r>
          </w:p>
          <w:p w14:paraId="51FBA31A"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recalled that evidence had shown that fezolinetant was more effective than no treatment at reducing the frequency of VMS episodes (hot flushes). Due to evidence of the risk of liver damage and the lack of long-term data, the PBAC considered fezolinetant less safe than no treatment.</w:t>
            </w:r>
          </w:p>
          <w:p w14:paraId="2213FFFF" w14:textId="7C284858" w:rsidR="009C4EB6" w:rsidRPr="00544E10"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that it was uncertain that the benefits claimed by the sponsor to support its requested price would be realised in practice. Additionally, it was still uncertain about how many people would access subsidy for fezolinetant – particularly, outside of the more narrow group of patients to be treated and concerns about liver toxicity. The PBAC recommended  reduction in the price for fezolinetant. The PBAC also advised that a risk sharing arrangement with the sponsor would be required to mitigate risk associated with use outside the proposed restriction criteria. The PBAC considered that  regular monitoring of liver function is important to mitigate risk of liver damage, and that this requirement should be included in the restriction.</w:t>
            </w:r>
          </w:p>
        </w:tc>
      </w:tr>
      <w:tr w:rsidR="00B85064" w:rsidRPr="00544E10" w14:paraId="2C22FE0B" w14:textId="77777777" w:rsidTr="39DDF63A">
        <w:trPr>
          <w:cantSplit/>
          <w:trHeight w:val="58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BC6735"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FUTIBATINIB</w:t>
            </w:r>
          </w:p>
          <w:p w14:paraId="27057389" w14:textId="7336386E"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Tablet 4 mg </w:t>
            </w:r>
          </w:p>
          <w:p w14:paraId="5E4677F5" w14:textId="33747F12"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Lytgobi®</w:t>
            </w:r>
          </w:p>
          <w:p w14:paraId="2F1E2837" w14:textId="0AA59D22"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TAIHO PHARMA OCEANIA PTY LTD</w:t>
            </w:r>
          </w:p>
          <w:p w14:paraId="32F9928F"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arising from the minutes</w:t>
            </w:r>
          </w:p>
          <w:p w14:paraId="53700A1E" w14:textId="2B7843DA"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C41006F" w14:textId="3FCFDC1C"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Bile duct cancer (cholangiocarcinoma)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785ED5" w14:textId="278BEED4"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futibatinib for the treatment of patients with locally advanced or metastatic cholangiocarcinoma </w:t>
            </w:r>
            <w:r w:rsidRPr="00544E10">
              <w:rPr>
                <w:rFonts w:asciiTheme="minorHAnsi" w:hAnsiTheme="minorHAnsi" w:cstheme="minorHAnsi"/>
                <w:color w:val="000000"/>
                <w:sz w:val="18"/>
                <w:szCs w:val="18"/>
              </w:rPr>
              <w:lastRenderedPageBreak/>
              <w:t xml:space="preserve">who have previously progressed on systemic therapy and have a fibroblast growth factor receptor 2 fusion or rearrangement. </w:t>
            </w:r>
          </w:p>
          <w:p w14:paraId="43DADFFB"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p w14:paraId="34BA6C81" w14:textId="77777777" w:rsidR="00B85064" w:rsidRPr="00544E10" w:rsidRDefault="00B85064" w:rsidP="00B85064">
            <w:pPr>
              <w:jc w:val="center"/>
              <w:rPr>
                <w:rFonts w:asciiTheme="minorHAnsi" w:hAnsiTheme="minorHAnsi" w:cstheme="minorHAnsi"/>
                <w:color w:val="000000"/>
                <w:sz w:val="18"/>
                <w:szCs w:val="18"/>
              </w:rPr>
            </w:pPr>
          </w:p>
        </w:tc>
        <w:tc>
          <w:tcPr>
            <w:tcW w:w="1559" w:type="dxa"/>
            <w:vAlign w:val="center"/>
          </w:tcPr>
          <w:p w14:paraId="6EE163F5" w14:textId="3ECF686A" w:rsidR="00B85064" w:rsidRPr="00544E10" w:rsidRDefault="00B85064" w:rsidP="00B8506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Deferred</w:t>
            </w:r>
          </w:p>
        </w:tc>
        <w:tc>
          <w:tcPr>
            <w:tcW w:w="5639" w:type="dxa"/>
            <w:vAlign w:val="center"/>
          </w:tcPr>
          <w:p w14:paraId="7E406ABF" w14:textId="0F7EFBA0" w:rsidR="00674076"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deferred making a recommendation for </w:t>
            </w:r>
            <w:r w:rsidR="006B6E25">
              <w:rPr>
                <w:rFonts w:asciiTheme="minorHAnsi" w:hAnsiTheme="minorHAnsi" w:cstheme="minorHAnsi"/>
                <w:color w:val="000000"/>
                <w:sz w:val="18"/>
                <w:szCs w:val="18"/>
              </w:rPr>
              <w:t>PBS</w:t>
            </w:r>
            <w:r w:rsidRPr="00674076">
              <w:rPr>
                <w:rFonts w:asciiTheme="minorHAnsi" w:hAnsiTheme="minorHAnsi" w:cstheme="minorHAnsi"/>
                <w:color w:val="000000"/>
                <w:sz w:val="18"/>
                <w:szCs w:val="18"/>
              </w:rPr>
              <w:t xml:space="preserve"> listing of futibatinib for the treatment of patients with locally advanced or metastatic cholangiocarcinoma (a type of cancer in the bile duct) which has grown or spread despite being treated previously and has a specific genetic change; </w:t>
            </w:r>
            <w:r w:rsidRPr="00674076">
              <w:rPr>
                <w:rFonts w:asciiTheme="minorHAnsi" w:hAnsiTheme="minorHAnsi" w:cstheme="minorHAnsi"/>
                <w:color w:val="000000"/>
                <w:sz w:val="18"/>
                <w:szCs w:val="18"/>
              </w:rPr>
              <w:lastRenderedPageBreak/>
              <w:t>the fibroblast growth factor receptor 2 (FGFR2) genetic variant in tumour tissue. The PBAC recalled the input it received from organisations when it considered futibatinib at previous PBAC meetings in March 2025 and July 2025</w:t>
            </w:r>
            <w:r w:rsidR="009E5B87">
              <w:rPr>
                <w:rFonts w:asciiTheme="minorHAnsi" w:hAnsiTheme="minorHAnsi" w:cstheme="minorHAnsi"/>
                <w:color w:val="000000"/>
                <w:sz w:val="18"/>
                <w:szCs w:val="18"/>
              </w:rPr>
              <w:t xml:space="preserve"> and noted</w:t>
            </w:r>
            <w:r w:rsidRPr="00674076">
              <w:rPr>
                <w:rFonts w:asciiTheme="minorHAnsi" w:hAnsiTheme="minorHAnsi" w:cstheme="minorHAnsi"/>
                <w:color w:val="000000"/>
                <w:sz w:val="18"/>
                <w:szCs w:val="18"/>
              </w:rPr>
              <w:t xml:space="preserve"> that there is a clinical need for more effective therapies for </w:t>
            </w:r>
            <w:r w:rsidR="009E5B87">
              <w:rPr>
                <w:rFonts w:asciiTheme="minorHAnsi" w:hAnsiTheme="minorHAnsi" w:cstheme="minorHAnsi"/>
                <w:color w:val="000000"/>
                <w:sz w:val="18"/>
                <w:szCs w:val="18"/>
              </w:rPr>
              <w:t xml:space="preserve">people </w:t>
            </w:r>
            <w:r w:rsidR="009E5B87" w:rsidRPr="00674076">
              <w:rPr>
                <w:rFonts w:asciiTheme="minorHAnsi" w:hAnsiTheme="minorHAnsi" w:cstheme="minorHAnsi"/>
                <w:color w:val="000000"/>
                <w:sz w:val="18"/>
                <w:szCs w:val="18"/>
              </w:rPr>
              <w:t>with locally advanced or metastatic cholangiocarcinoma</w:t>
            </w:r>
            <w:r w:rsidRPr="00674076">
              <w:rPr>
                <w:rFonts w:asciiTheme="minorHAnsi" w:hAnsiTheme="minorHAnsi" w:cstheme="minorHAnsi"/>
                <w:color w:val="000000"/>
                <w:sz w:val="18"/>
                <w:szCs w:val="18"/>
              </w:rPr>
              <w:t>.</w:t>
            </w:r>
            <w:r w:rsidR="009E5B87">
              <w:rPr>
                <w:rFonts w:asciiTheme="minorHAnsi" w:hAnsiTheme="minorHAnsi" w:cstheme="minorHAnsi"/>
                <w:color w:val="000000"/>
                <w:sz w:val="18"/>
                <w:szCs w:val="18"/>
              </w:rPr>
              <w:t xml:space="preserve"> </w:t>
            </w:r>
            <w:r w:rsidRPr="00674076">
              <w:rPr>
                <w:rFonts w:asciiTheme="minorHAnsi" w:hAnsiTheme="minorHAnsi" w:cstheme="minorHAnsi"/>
                <w:color w:val="000000"/>
                <w:sz w:val="18"/>
                <w:szCs w:val="18"/>
              </w:rPr>
              <w:t>The PBAC acknowledged that survival outcomes are very poor for patients with advanced or metastatic cholangiocarcinoma.</w:t>
            </w:r>
          </w:p>
          <w:p w14:paraId="251298B8" w14:textId="77777777" w:rsidR="00674076" w:rsidRPr="00674076" w:rsidRDefault="00674076" w:rsidP="00674076">
            <w:pPr>
              <w:ind w:left="11"/>
              <w:contextualSpacing/>
              <w:jc w:val="both"/>
              <w:rPr>
                <w:rFonts w:asciiTheme="minorHAnsi" w:hAnsiTheme="minorHAnsi" w:cstheme="minorHAnsi"/>
                <w:color w:val="000000"/>
                <w:sz w:val="18"/>
                <w:szCs w:val="18"/>
              </w:rPr>
            </w:pPr>
          </w:p>
          <w:p w14:paraId="084C1DFF" w14:textId="77777777" w:rsidR="00674076"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was of a mind to recommend futibatinib but noted that Medical Benefits Scheme (MBS) funding for testing for the FGFR2 variant in cancer tissue was not recommended by the Medical Services Advisory Committee (MSAC) in July 2025 and would be reconsidered at the November 2025 MSAC meeting. </w:t>
            </w:r>
          </w:p>
          <w:p w14:paraId="33D58019" w14:textId="77777777" w:rsidR="00674076" w:rsidRPr="00674076" w:rsidRDefault="00674076" w:rsidP="00674076">
            <w:pPr>
              <w:ind w:left="11"/>
              <w:contextualSpacing/>
              <w:jc w:val="both"/>
              <w:rPr>
                <w:rFonts w:asciiTheme="minorHAnsi" w:hAnsiTheme="minorHAnsi" w:cstheme="minorHAnsi"/>
                <w:color w:val="000000"/>
                <w:sz w:val="18"/>
                <w:szCs w:val="18"/>
              </w:rPr>
            </w:pPr>
          </w:p>
          <w:p w14:paraId="0EC776F0" w14:textId="77777777" w:rsidR="00B85064"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recalled it did not recommend futibatinib in March or July 2025 due to outstanding issues related to how the costs were calculated and whether benefits justified the price sought by the Sponsor. The PBAC considered a price reduction by the Sponsor has addressed these issues. The PBAC accepted that additional calculations provided more confidence that the proposed price would be in alignment with the benefits </w:t>
            </w:r>
            <w:r w:rsidR="00DB3AD2">
              <w:rPr>
                <w:rFonts w:asciiTheme="minorHAnsi" w:hAnsiTheme="minorHAnsi" w:cstheme="minorHAnsi"/>
                <w:color w:val="000000"/>
                <w:sz w:val="18"/>
                <w:szCs w:val="18"/>
              </w:rPr>
              <w:t>demonstrated</w:t>
            </w:r>
            <w:r w:rsidRPr="00674076">
              <w:rPr>
                <w:rFonts w:asciiTheme="minorHAnsi" w:hAnsiTheme="minorHAnsi" w:cstheme="minorHAnsi"/>
                <w:color w:val="000000"/>
                <w:sz w:val="18"/>
                <w:szCs w:val="18"/>
              </w:rPr>
              <w:t xml:space="preserve"> in the submission."</w:t>
            </w:r>
          </w:p>
          <w:p w14:paraId="1A14C717" w14:textId="77777777" w:rsidR="001B38A4" w:rsidRDefault="001B38A4" w:rsidP="00674076">
            <w:pPr>
              <w:ind w:left="11"/>
              <w:contextualSpacing/>
              <w:jc w:val="both"/>
              <w:rPr>
                <w:rFonts w:asciiTheme="minorHAnsi" w:hAnsiTheme="minorHAnsi" w:cstheme="minorHAnsi"/>
                <w:color w:val="000000"/>
                <w:sz w:val="18"/>
                <w:szCs w:val="18"/>
              </w:rPr>
            </w:pPr>
          </w:p>
          <w:p w14:paraId="606A4B69" w14:textId="77777777" w:rsidR="001B38A4" w:rsidRDefault="001B38A4" w:rsidP="00674076">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598B7F69" w14:textId="77777777" w:rsidR="001B38A4" w:rsidRDefault="001B38A4" w:rsidP="00674076">
            <w:pPr>
              <w:ind w:left="11"/>
              <w:contextualSpacing/>
              <w:jc w:val="both"/>
              <w:rPr>
                <w:rFonts w:asciiTheme="minorHAnsi" w:hAnsiTheme="minorHAnsi" w:cstheme="minorHAnsi"/>
                <w:color w:val="000000"/>
                <w:sz w:val="18"/>
                <w:szCs w:val="18"/>
              </w:rPr>
            </w:pPr>
          </w:p>
          <w:p w14:paraId="57C498B3" w14:textId="253F3F1A" w:rsidR="001B38A4" w:rsidRPr="00544E10" w:rsidRDefault="001B38A4" w:rsidP="00674076">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E54BF9" w:rsidRPr="00544E10" w14:paraId="2FC1F5D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BDFCCD"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GIVOSIRAN</w:t>
            </w:r>
          </w:p>
          <w:p w14:paraId="690EF1E3"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injection 189 mg in 1 mL</w:t>
            </w:r>
          </w:p>
          <w:p w14:paraId="475337A0"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Givlaari®</w:t>
            </w:r>
          </w:p>
          <w:p w14:paraId="65A244C0"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MEDISON PHARMA AUSTRALIA PTY LIMITED</w:t>
            </w:r>
          </w:p>
          <w:p w14:paraId="7BB6D6AE"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5578BEDE" w14:textId="3056C30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43F2072" w14:textId="0B84BA1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Acute hepatic porphyria (AHP)</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3AFF6"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givosiran for the treatment of AHP in adults and adolescents aged 12 years and older. This matter was deferred at the July 2025 PBAC Meeting.</w:t>
            </w:r>
          </w:p>
          <w:p w14:paraId="6261B5AA"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w:t>
            </w:r>
          </w:p>
          <w:p w14:paraId="54CC6811" w14:textId="77777777" w:rsidR="00E54BF9" w:rsidRPr="00544E10" w:rsidRDefault="00E54BF9" w:rsidP="00E54BF9">
            <w:pPr>
              <w:jc w:val="center"/>
              <w:rPr>
                <w:rFonts w:asciiTheme="minorHAnsi" w:hAnsiTheme="minorHAnsi" w:cstheme="minorHAnsi"/>
                <w:color w:val="000000"/>
                <w:sz w:val="18"/>
                <w:szCs w:val="18"/>
              </w:rPr>
            </w:pPr>
          </w:p>
        </w:tc>
        <w:tc>
          <w:tcPr>
            <w:tcW w:w="1559" w:type="dxa"/>
            <w:vAlign w:val="center"/>
          </w:tcPr>
          <w:p w14:paraId="40C125EC" w14:textId="59833557" w:rsidR="00E54BF9" w:rsidRPr="00544E10" w:rsidRDefault="00E54BF9" w:rsidP="00E54BF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4CD8AF17" w14:textId="2CCEF9A9" w:rsidR="00E54BF9" w:rsidRPr="00544E10" w:rsidRDefault="00E54BF9" w:rsidP="00E54BF9">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recommended the listing of givosiran on the PBS for treatment of Acute Hepatic Porphyria (AHP) in patients aged 12 years and older. At its July 2025 meeting, the PBAC had deferred making a recommendation to list givosiran so that additional clinical input could be obtained on patient numbers, the likely circumstances of use, and treatment continuation. The PBAC considered this additional information would be necessary for establishing a risk sharing arrangement. The PBAC was satisfied that givosiran had greater efficacy than the current standard of care at reducing the number of porphyria attacks requiring hospitalisation, urgent healthcare visits or the need for intravenous hemin administration. The additional expert clinical input addressed the concerns PBAC had raised at its July 2025 meeting about uncertainty in the number of patients who would receive givosiran, how it would likely be used, and circumstances around stopping therapy. The PBAC considered that a lower price together with the risk sharing agreement proposal provided by the Sponsor adequately addressed concerns regarding the cost-effectiveness of givosiran.</w:t>
            </w:r>
          </w:p>
        </w:tc>
      </w:tr>
      <w:tr w:rsidR="00A057EC" w:rsidRPr="00544E10" w14:paraId="5A9202A5"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F917B4"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GLYCOPYRRONIUM</w:t>
            </w:r>
          </w:p>
          <w:p w14:paraId="52D2A89E" w14:textId="574AC47F"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Cream containing glycopyrronium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(as bromide) 8 mg per g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(2.2 mg per actuation), 50 g</w:t>
            </w:r>
          </w:p>
          <w:p w14:paraId="4B8A8989" w14:textId="77777777" w:rsidR="00A057EC" w:rsidRPr="00544E10" w:rsidRDefault="00A057EC" w:rsidP="00A057EC">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Axhidrox</w:t>
            </w:r>
            <w:proofErr w:type="spellEnd"/>
            <w:r w:rsidRPr="00544E10">
              <w:rPr>
                <w:rFonts w:asciiTheme="minorHAnsi" w:hAnsiTheme="minorHAnsi" w:cstheme="minorHAnsi"/>
                <w:color w:val="000000"/>
                <w:sz w:val="18"/>
                <w:szCs w:val="18"/>
              </w:rPr>
              <w:t>®</w:t>
            </w:r>
          </w:p>
          <w:p w14:paraId="388980DD"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ACTOR PHARMACEUTICALS PTY LTD</w:t>
            </w:r>
          </w:p>
          <w:p w14:paraId="31B19BD6"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3F006BC8" w14:textId="05B43A96"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E33A01E" w14:textId="6E3837CC"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Primary axillary hyperhidrosis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18CDC"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glycopyrronium for the treatment of patients aged 18 years and older with severe primary axillary hyperhidrosis.</w:t>
            </w:r>
          </w:p>
          <w:p w14:paraId="6D9244CF" w14:textId="612CF549"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1F66B5F5" w14:textId="14CAE6B6" w:rsidR="00A057EC" w:rsidRPr="00544E10" w:rsidRDefault="00A057EC" w:rsidP="00A057E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13A1E34"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glycopyrronium cream (GPB) for the treatment of patients with severe primary axillary hyperhidrosis (PAHH). </w:t>
            </w:r>
          </w:p>
          <w:p w14:paraId="4DA56E68"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5E896A7D"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acknowledged PAHH can be a burdensome condition for some patients, as the symptoms can lead to anxiety and social isolation, especially for young people. The consumer inputs highlighted GPB would allow easier access to PAHH treatment for patients. The PBAC also acknowledged that the only other treatment option on the PBS for PAHH, botulinum toxin A (BTA), can be costly, difficult to access, especially for regional and rural patients, and its administration in this condition was known to be painful. However, the PBAC also noted high-strength aluminium containing antiperspirants are available as over the counter products and are effective for some patients. Overall, the Committee considered there to be a moderate clinical need for additional options on the PBS for PAHH, given the known access issues for BTA. </w:t>
            </w:r>
          </w:p>
          <w:p w14:paraId="58C72E07"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6C3D9C9B"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lastRenderedPageBreak/>
              <w:t>The PBAC accepted BTA as the primary comparator. The PBAC acknowledged the proposed restriction and treatment algorithm previously accepted for BTA for PAHH, however considered the relative ease of access to GPB through general practitioners and typical out of pocket cost to patients for high strength aluminium-based treatments would likely result in GPB directly replacing these in practice. Therefore, the PBAC considered high strength topical aluminium-based treatments to be an additional comparator, however acknowledged the limited available clinical evidence for these products would prevent a reliable comparison with GPB.</w:t>
            </w:r>
          </w:p>
          <w:p w14:paraId="12ADCCE3"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3099ED91"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Based on the simple side-by-side comparisons of the GPB and BTA trials (with no formal statistical methods) provided in the submission, the PBAC considered GPB to be less effective than BTA. The PBAC considered the submission’s claim that GPB had fewer side effects and was preferable to patients than BTA was not adequately supported.</w:t>
            </w:r>
          </w:p>
          <w:p w14:paraId="1C3BA9FF"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37F558B4"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limitations of the clinical evidence resulted in the submission’s subsequent economic analysis comparing GPB and BTA to be largely uninformative. To address these concerns, the PBAC noted the pharmaceutical company proposed a price reduction to GPB based on the difference in naïve response rates of GPB and BTA.</w:t>
            </w:r>
          </w:p>
          <w:p w14:paraId="5A58CCA7"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1BB005A7" w14:textId="441C69F6"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further useful clinical information will likely not be forthcoming. In recognition of the unmet need for additional and more accessible treatments for PAHH, the PBAC considered the price proposed for GPB in the pre-PBAC response was unlikely to be good value for money and a further price reduction would be required. The PBAC considered a </w:t>
            </w:r>
            <w:r w:rsidR="00F700B0">
              <w:rPr>
                <w:rFonts w:asciiTheme="minorHAnsi" w:hAnsiTheme="minorHAnsi" w:cstheme="minorHAnsi"/>
                <w:color w:val="000000" w:themeColor="text1"/>
                <w:sz w:val="18"/>
                <w:szCs w:val="18"/>
              </w:rPr>
              <w:t>r</w:t>
            </w:r>
            <w:r w:rsidRPr="00544E10">
              <w:rPr>
                <w:rFonts w:asciiTheme="minorHAnsi" w:hAnsiTheme="minorHAnsi" w:cstheme="minorHAnsi"/>
                <w:color w:val="000000" w:themeColor="text1"/>
                <w:sz w:val="18"/>
                <w:szCs w:val="18"/>
              </w:rPr>
              <w:t xml:space="preserve">isk </w:t>
            </w:r>
            <w:r w:rsidR="00F700B0">
              <w:rPr>
                <w:rFonts w:asciiTheme="minorHAnsi" w:hAnsiTheme="minorHAnsi" w:cstheme="minorHAnsi"/>
                <w:color w:val="000000" w:themeColor="text1"/>
                <w:sz w:val="18"/>
                <w:szCs w:val="18"/>
              </w:rPr>
              <w:t>s</w:t>
            </w:r>
            <w:r w:rsidRPr="00544E10">
              <w:rPr>
                <w:rFonts w:asciiTheme="minorHAnsi" w:hAnsiTheme="minorHAnsi" w:cstheme="minorHAnsi"/>
                <w:color w:val="000000" w:themeColor="text1"/>
                <w:sz w:val="18"/>
                <w:szCs w:val="18"/>
              </w:rPr>
              <w:t xml:space="preserve">haring </w:t>
            </w:r>
            <w:r w:rsidR="00F700B0">
              <w:rPr>
                <w:rFonts w:asciiTheme="minorHAnsi" w:hAnsiTheme="minorHAnsi" w:cstheme="minorHAnsi"/>
                <w:color w:val="000000" w:themeColor="text1"/>
                <w:sz w:val="18"/>
                <w:szCs w:val="18"/>
              </w:rPr>
              <w:t>a</w:t>
            </w:r>
            <w:r w:rsidRPr="00544E10">
              <w:rPr>
                <w:rFonts w:asciiTheme="minorHAnsi" w:hAnsiTheme="minorHAnsi" w:cstheme="minorHAnsi"/>
                <w:color w:val="000000" w:themeColor="text1"/>
                <w:sz w:val="18"/>
                <w:szCs w:val="18"/>
              </w:rPr>
              <w:t xml:space="preserve">rrangement would be required to manage the risk of use in patients with less severe PAHH.  </w:t>
            </w:r>
          </w:p>
          <w:p w14:paraId="4AD5891F"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425F3C1D" w14:textId="7CFA3F9A" w:rsidR="00A057EC" w:rsidRPr="00544E10" w:rsidRDefault="00A057EC" w:rsidP="00A057E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PBAC advised that the listing would require changes to the PBS listing for BTA to allow only one PBS-subsidised therapy be used for PAHH at a </w:t>
            </w:r>
            <w:r w:rsidRPr="00544E10">
              <w:rPr>
                <w:rFonts w:asciiTheme="minorHAnsi" w:hAnsiTheme="minorHAnsi" w:cstheme="minorHAnsi"/>
                <w:color w:val="000000" w:themeColor="text1"/>
                <w:sz w:val="18"/>
                <w:szCs w:val="18"/>
              </w:rPr>
              <w:lastRenderedPageBreak/>
              <w:t>time. Additionally, the PBAC advised updating the criteria to require prior failure or intolerance to topical aluminium chloride, replacing aluminium chloride hexahydrate (a discontinued product) in the current BTA listing.</w:t>
            </w:r>
          </w:p>
        </w:tc>
      </w:tr>
      <w:tr w:rsidR="004C3EBA" w:rsidRPr="00544E10" w14:paraId="20881251" w14:textId="77777777" w:rsidTr="39DDF63A">
        <w:trPr>
          <w:cantSplit/>
          <w:trHeight w:val="157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31CCFC" w14:textId="44AB020B"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IMIGLUCERASE</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ELIGLUSTAT</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VELAGLUCERASE ALFA</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TALIGLUCERASE ALFA</w:t>
            </w:r>
          </w:p>
          <w:p w14:paraId="03ACAF04" w14:textId="00E09535"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400 units</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containing</w:t>
            </w:r>
            <w:r w:rsidR="00644857">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eliglustat tartrate, 100 mg</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400 units</w:t>
            </w:r>
          </w:p>
          <w:p w14:paraId="57C80E22" w14:textId="4C989D5C"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200 units</w:t>
            </w:r>
          </w:p>
          <w:p w14:paraId="100B3493" w14:textId="4158054B"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Cerezyme®</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Cerdelga</w:t>
            </w:r>
            <w:proofErr w:type="spellEnd"/>
            <w:r w:rsidRPr="00544E10">
              <w:rPr>
                <w:rFonts w:asciiTheme="minorHAnsi" w:hAnsiTheme="minorHAnsi" w:cstheme="minorHAnsi"/>
                <w:color w:val="000000"/>
                <w:sz w:val="18"/>
                <w:szCs w:val="18"/>
              </w:rPr>
              <w:t>®</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Vpriv</w:t>
            </w:r>
            <w:proofErr w:type="spellEnd"/>
            <w:r w:rsidRPr="00544E10">
              <w:rPr>
                <w:rFonts w:asciiTheme="minorHAnsi" w:hAnsiTheme="minorHAnsi" w:cstheme="minorHAnsi"/>
                <w:color w:val="000000"/>
                <w:sz w:val="18"/>
                <w:szCs w:val="18"/>
              </w:rPr>
              <w:t>®</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Elelyso</w:t>
            </w:r>
            <w:proofErr w:type="spellEnd"/>
            <w:r w:rsidRPr="00544E10">
              <w:rPr>
                <w:rFonts w:asciiTheme="minorHAnsi" w:hAnsiTheme="minorHAnsi" w:cstheme="minorHAnsi"/>
                <w:color w:val="000000"/>
                <w:sz w:val="18"/>
                <w:szCs w:val="18"/>
              </w:rPr>
              <w:t>®</w:t>
            </w:r>
          </w:p>
          <w:p w14:paraId="715B21F1" w14:textId="11850571"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SANOFI-AVENTIS AUSTRALIA PTY LTD SANOFI-AVENTIS 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TAKEDA PHARMACEUTICALS </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PFIZER AUSTRALIA PTY LTD</w:t>
            </w:r>
          </w:p>
          <w:p w14:paraId="50322159" w14:textId="77777777"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2E7C532D" w14:textId="2E36247B"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28FBA04" w14:textId="6E2251A8"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Gaucher disease (type 1)</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E00F09" w14:textId="35A3851B"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Referral from the LSDP Expert Panel seeking the PBAC’s advice on whether eliglustat, imiglucerase, taliglucerase alfa, </w:t>
            </w:r>
            <w:proofErr w:type="spellStart"/>
            <w:r w:rsidRPr="00544E10">
              <w:rPr>
                <w:rFonts w:asciiTheme="minorHAnsi" w:hAnsiTheme="minorHAnsi" w:cstheme="minorHAnsi"/>
                <w:color w:val="000000"/>
                <w:sz w:val="18"/>
                <w:szCs w:val="18"/>
              </w:rPr>
              <w:t>velaglucerase</w:t>
            </w:r>
            <w:proofErr w:type="spellEnd"/>
            <w:r w:rsidRPr="00544E10">
              <w:rPr>
                <w:rFonts w:asciiTheme="minorHAnsi" w:hAnsiTheme="minorHAnsi" w:cstheme="minorHAnsi"/>
                <w:color w:val="000000"/>
                <w:sz w:val="18"/>
                <w:szCs w:val="18"/>
              </w:rPr>
              <w:t xml:space="preserve"> </w:t>
            </w:r>
            <w:proofErr w:type="spellStart"/>
            <w:r w:rsidRPr="00544E10">
              <w:rPr>
                <w:rFonts w:asciiTheme="minorHAnsi" w:hAnsiTheme="minorHAnsi" w:cstheme="minorHAnsi"/>
                <w:color w:val="000000"/>
                <w:sz w:val="18"/>
                <w:szCs w:val="18"/>
              </w:rPr>
              <w:t>afla</w:t>
            </w:r>
            <w:proofErr w:type="spellEnd"/>
            <w:r w:rsidRPr="00544E10">
              <w:rPr>
                <w:rFonts w:asciiTheme="minorHAnsi" w:hAnsiTheme="minorHAnsi" w:cstheme="minorHAnsi"/>
                <w:color w:val="000000"/>
                <w:sz w:val="18"/>
                <w:szCs w:val="18"/>
              </w:rPr>
              <w:t>, would be cost-effective and suitable for PBS listing for the treatment of GD1. This matter was deferred at the July 2025 PBAC Meeting.</w:t>
            </w:r>
          </w:p>
        </w:tc>
        <w:tc>
          <w:tcPr>
            <w:tcW w:w="1559" w:type="dxa"/>
            <w:vAlign w:val="center"/>
          </w:tcPr>
          <w:p w14:paraId="44AD8F2E" w14:textId="5D362603" w:rsidR="004C3EBA" w:rsidRPr="00544E10" w:rsidRDefault="004C3EBA" w:rsidP="004C3EB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6C82C5EF" w14:textId="4ECD9DF9"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 xml:space="preserve">The PBAC did not recommend listing medicines for the treatment of Gaucher disease type 1 (GD-1), imiglucerase, taliglucerase, </w:t>
            </w:r>
            <w:proofErr w:type="spellStart"/>
            <w:r w:rsidRPr="00215645">
              <w:rPr>
                <w:rFonts w:asciiTheme="minorHAnsi" w:hAnsiTheme="minorHAnsi" w:cstheme="minorHAnsi"/>
                <w:color w:val="000000"/>
                <w:sz w:val="18"/>
                <w:szCs w:val="18"/>
              </w:rPr>
              <w:t>velaglucerase</w:t>
            </w:r>
            <w:proofErr w:type="spellEnd"/>
            <w:r w:rsidRPr="00215645">
              <w:rPr>
                <w:rFonts w:asciiTheme="minorHAnsi" w:hAnsiTheme="minorHAnsi" w:cstheme="minorHAnsi"/>
                <w:color w:val="000000"/>
                <w:sz w:val="18"/>
                <w:szCs w:val="18"/>
              </w:rPr>
              <w:t xml:space="preserve"> and eliglustat on the Pharmaceutical Benefits Scheme (PBS). </w:t>
            </w:r>
          </w:p>
          <w:p w14:paraId="3D1081CC" w14:textId="77777777" w:rsidR="00215645" w:rsidRPr="00215645" w:rsidRDefault="00215645" w:rsidP="00215645">
            <w:pPr>
              <w:ind w:left="11"/>
              <w:contextualSpacing/>
              <w:jc w:val="both"/>
              <w:rPr>
                <w:rFonts w:asciiTheme="minorHAnsi" w:hAnsiTheme="minorHAnsi" w:cstheme="minorHAnsi"/>
                <w:color w:val="000000"/>
                <w:sz w:val="18"/>
                <w:szCs w:val="18"/>
              </w:rPr>
            </w:pPr>
          </w:p>
          <w:p w14:paraId="6FF05E6D" w14:textId="77777777" w:rsidR="00215645" w:rsidRP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and welcomed the input from clinicians and patient representatives regarding the benefits and concerns of listing these medicines on the PBS.</w:t>
            </w:r>
          </w:p>
          <w:p w14:paraId="73637E7F" w14:textId="77777777"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that the sponsors of enzyme replacement therapies provide access to various support programs, which included home infusion services. The types of other support measures, such as diagnostic testing and monitoring, varied between sponsors.</w:t>
            </w:r>
          </w:p>
          <w:p w14:paraId="00300F75" w14:textId="77777777" w:rsidR="00215645" w:rsidRPr="00215645" w:rsidRDefault="00215645" w:rsidP="00215645">
            <w:pPr>
              <w:ind w:left="11"/>
              <w:contextualSpacing/>
              <w:jc w:val="both"/>
              <w:rPr>
                <w:rFonts w:asciiTheme="minorHAnsi" w:hAnsiTheme="minorHAnsi" w:cstheme="minorHAnsi"/>
                <w:color w:val="000000"/>
                <w:sz w:val="18"/>
                <w:szCs w:val="18"/>
              </w:rPr>
            </w:pPr>
          </w:p>
          <w:p w14:paraId="4AF8B490" w14:textId="54A95EB3"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advised that it was uncertain that the full cost to the health system of listing these medicines on the PBS, including the need for expanding services on the MBS, could be accurately estimated based on the information currently available. The PBAC advised that a consideration of listing these medicines on the PBS was not suitable at this time</w:t>
            </w:r>
            <w:r>
              <w:rPr>
                <w:rFonts w:asciiTheme="minorHAnsi" w:hAnsiTheme="minorHAnsi" w:cstheme="minorHAnsi"/>
                <w:color w:val="000000"/>
                <w:sz w:val="18"/>
                <w:szCs w:val="18"/>
              </w:rPr>
              <w:t>.</w:t>
            </w:r>
          </w:p>
          <w:p w14:paraId="596E4D55" w14:textId="77777777" w:rsidR="001B38A4" w:rsidRDefault="001B38A4" w:rsidP="00215645">
            <w:pPr>
              <w:ind w:left="11"/>
              <w:contextualSpacing/>
              <w:jc w:val="both"/>
              <w:rPr>
                <w:rFonts w:asciiTheme="minorHAnsi" w:hAnsiTheme="minorHAnsi" w:cstheme="minorHAnsi"/>
                <w:color w:val="000000"/>
                <w:sz w:val="18"/>
                <w:szCs w:val="18"/>
              </w:rPr>
            </w:pPr>
          </w:p>
          <w:p w14:paraId="5DD161F9" w14:textId="4CE0AB27" w:rsidR="001B38A4" w:rsidRDefault="001B38A4" w:rsidP="0021564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076D4574" w14:textId="3948082F" w:rsidR="001B38A4" w:rsidRPr="00215645" w:rsidRDefault="001B38A4" w:rsidP="0021564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sponsors had no comment.</w:t>
            </w:r>
          </w:p>
          <w:p w14:paraId="515AB96B" w14:textId="41898B14" w:rsidR="004C3EBA" w:rsidRPr="00544E10" w:rsidRDefault="004C3EBA" w:rsidP="00215645">
            <w:pPr>
              <w:ind w:left="11"/>
              <w:contextualSpacing/>
              <w:jc w:val="both"/>
              <w:rPr>
                <w:rFonts w:asciiTheme="minorHAnsi" w:hAnsiTheme="minorHAnsi" w:cstheme="minorHAnsi"/>
                <w:color w:val="000000"/>
                <w:sz w:val="18"/>
                <w:szCs w:val="18"/>
              </w:rPr>
            </w:pPr>
          </w:p>
        </w:tc>
      </w:tr>
      <w:tr w:rsidR="00C74742" w:rsidRPr="00544E10" w14:paraId="281C0DD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337C1A" w14:textId="63F59102"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IPTACOPAN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Fabhalta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152CC0A6" w14:textId="5EC8E300"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Complement 3 glomerulopathy (C3G)</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E7538E" w14:textId="5BB958B5"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iptacopan for the treatment of adults with C3G with either native kidneys or disease recurrence following a kidney transplant.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757D51B7" w14:textId="708CEC32" w:rsidR="00C74742" w:rsidRPr="00544E10" w:rsidRDefault="00C74742" w:rsidP="00C7474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bottom"/>
          </w:tcPr>
          <w:p w14:paraId="4933AC37" w14:textId="15246083"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did not recommend iptacopan for treatment of complement 3 glomerulopathy (C3G) in adults with either native kidneys (not having had a kidney transplant) or with disease recurrence following a kidney transplant. </w:t>
            </w:r>
          </w:p>
          <w:p w14:paraId="5E629C6F"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08184218" w14:textId="7A75C307"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welcomed input from individuals, health professionals and organisations. The PBAC considered that there is a high clinical need for treatments for C3G, which is a condition that impacts relatively young p</w:t>
            </w:r>
            <w:r w:rsidR="00556034">
              <w:rPr>
                <w:rFonts w:asciiTheme="minorHAnsi" w:hAnsiTheme="minorHAnsi" w:cstheme="minorHAnsi"/>
                <w:color w:val="000000"/>
                <w:sz w:val="18"/>
                <w:szCs w:val="18"/>
              </w:rPr>
              <w:t>eople</w:t>
            </w:r>
            <w:r w:rsidRPr="00EF4E15">
              <w:rPr>
                <w:rFonts w:asciiTheme="minorHAnsi" w:hAnsiTheme="minorHAnsi" w:cstheme="minorHAnsi"/>
                <w:color w:val="000000"/>
                <w:sz w:val="18"/>
                <w:szCs w:val="18"/>
              </w:rPr>
              <w:t xml:space="preserve"> and causes decline in kidney function. The PBAC acknowledged that existing treatments provide only modest improvements in maintaining kidney function. The PBAC acknowledged the impact of C3G on individuals who are often young adults, working, and raising or starting families. The PBAC noted that symptoms of end-stage kidney disease (where patients require dialysis or kidney transplant) frequently require healthcare visits or hospitalisation and impact their ability to attend school and work. The PBAC noted the impact of chronic kidney disease, relapses and treatment burden on their ability to participate in daily activities and their mental health. It also noted the toll of transplantation on patients and carers, and the difficulties of accessing dialysis for people in rural and remote areas.</w:t>
            </w:r>
          </w:p>
          <w:p w14:paraId="25AC382F"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5AF43605" w14:textId="515DC688"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reviewed the clinical evidence comparing</w:t>
            </w:r>
            <w:r w:rsidR="00224ADC">
              <w:rPr>
                <w:rFonts w:asciiTheme="minorHAnsi" w:hAnsiTheme="minorHAnsi" w:cstheme="minorHAnsi"/>
                <w:color w:val="000000"/>
                <w:sz w:val="18"/>
                <w:szCs w:val="18"/>
              </w:rPr>
              <w:t xml:space="preserve"> the </w:t>
            </w:r>
            <w:r w:rsidR="00224ADC" w:rsidRPr="00EF4E15">
              <w:rPr>
                <w:rFonts w:asciiTheme="minorHAnsi" w:hAnsiTheme="minorHAnsi" w:cstheme="minorHAnsi"/>
                <w:color w:val="000000"/>
                <w:sz w:val="18"/>
                <w:szCs w:val="18"/>
              </w:rPr>
              <w:t xml:space="preserve"> effectiveness and safety </w:t>
            </w:r>
            <w:r w:rsidR="00224ADC">
              <w:rPr>
                <w:rFonts w:asciiTheme="minorHAnsi" w:hAnsiTheme="minorHAnsi" w:cstheme="minorHAnsi"/>
                <w:color w:val="000000"/>
                <w:sz w:val="18"/>
                <w:szCs w:val="18"/>
              </w:rPr>
              <w:t>of</w:t>
            </w:r>
            <w:r w:rsidRPr="00EF4E15">
              <w:rPr>
                <w:rFonts w:asciiTheme="minorHAnsi" w:hAnsiTheme="minorHAnsi" w:cstheme="minorHAnsi"/>
                <w:color w:val="000000"/>
                <w:sz w:val="18"/>
                <w:szCs w:val="18"/>
              </w:rPr>
              <w:t xml:space="preserve"> iptacopan with </w:t>
            </w:r>
            <w:r w:rsidR="00224ADC">
              <w:rPr>
                <w:rFonts w:asciiTheme="minorHAnsi" w:hAnsiTheme="minorHAnsi" w:cstheme="minorHAnsi"/>
                <w:color w:val="000000"/>
                <w:sz w:val="18"/>
                <w:szCs w:val="18"/>
              </w:rPr>
              <w:t xml:space="preserve">the </w:t>
            </w:r>
            <w:r w:rsidRPr="00EF4E15">
              <w:rPr>
                <w:rFonts w:asciiTheme="minorHAnsi" w:hAnsiTheme="minorHAnsi" w:cstheme="minorHAnsi"/>
                <w:color w:val="000000"/>
                <w:sz w:val="18"/>
                <w:szCs w:val="18"/>
              </w:rPr>
              <w:t xml:space="preserve">current standard of care regarding </w:t>
            </w:r>
            <w:r w:rsidR="009D22E8">
              <w:rPr>
                <w:rFonts w:asciiTheme="minorHAnsi" w:hAnsiTheme="minorHAnsi" w:cstheme="minorHAnsi"/>
                <w:color w:val="000000"/>
                <w:sz w:val="18"/>
                <w:szCs w:val="18"/>
              </w:rPr>
              <w:t>for</w:t>
            </w:r>
            <w:r w:rsidRPr="00EF4E15">
              <w:rPr>
                <w:rFonts w:asciiTheme="minorHAnsi" w:hAnsiTheme="minorHAnsi" w:cstheme="minorHAnsi"/>
                <w:color w:val="000000"/>
                <w:sz w:val="18"/>
                <w:szCs w:val="18"/>
              </w:rPr>
              <w:t xml:space="preserve"> both people with native kidneys and with C3G recurrence following kidney transplantation. The PBAC considered it is possible that iptacopan is more effective for some patients in terms of slowing progression to end-stage kidney disease. However, the PBAC noted the clinical benefit was not sufficiently supported as there are limited data showing the relationship </w:t>
            </w:r>
            <w:r w:rsidRPr="00EF4E15">
              <w:rPr>
                <w:rFonts w:asciiTheme="minorHAnsi" w:hAnsiTheme="minorHAnsi" w:cstheme="minorHAnsi"/>
                <w:color w:val="000000"/>
                <w:sz w:val="18"/>
                <w:szCs w:val="18"/>
              </w:rPr>
              <w:lastRenderedPageBreak/>
              <w:t>between change in proteinuria (unusually high levels of protein in urine), and delaying kidney transplant or dialysis in patients with C3G. There was also no significant difference in eGFR (estimated glomerular filtration rate; a test that measures how well kidneys are filtering waste from the blood) shown in the trial. Overall, the submission evidence did not allow confidence in the extent to which iptacopan would delay kidney transplant or dialysis for Australians with C3G. The clinical evidence also showed that iptacopan was less safe than standard of care, with increased risk of infection.</w:t>
            </w:r>
          </w:p>
          <w:p w14:paraId="65C93A93"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73D914A8" w14:textId="77777777"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considered that the benefits claimed by the sponsor to justify its requested price were improbable and not supported by the clinical evidence included in the submission, particularly its claims about the avoidance of long-term dialysis and transplant. The PBAC considered that the cost-effectiveness of iptacopan had not been established.</w:t>
            </w:r>
          </w:p>
          <w:p w14:paraId="00C70C14" w14:textId="77777777" w:rsidR="00C74742" w:rsidRDefault="00C74742" w:rsidP="00EF4E15">
            <w:pPr>
              <w:ind w:left="11"/>
              <w:contextualSpacing/>
              <w:jc w:val="both"/>
              <w:rPr>
                <w:rFonts w:asciiTheme="minorHAnsi" w:hAnsiTheme="minorHAnsi" w:cstheme="minorHAnsi"/>
                <w:color w:val="000000"/>
                <w:sz w:val="18"/>
                <w:szCs w:val="18"/>
              </w:rPr>
            </w:pPr>
          </w:p>
          <w:p w14:paraId="79E34DE1" w14:textId="77777777" w:rsidR="001B38A4" w:rsidRDefault="001B38A4" w:rsidP="00EF4E1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Sponsor comment: </w:t>
            </w:r>
          </w:p>
          <w:p w14:paraId="63B4BF4E" w14:textId="1BB1DDA5" w:rsidR="001B38A4" w:rsidRPr="00544E10" w:rsidRDefault="008C21D7" w:rsidP="00EF4E15">
            <w:pPr>
              <w:ind w:left="11"/>
              <w:contextualSpacing/>
              <w:jc w:val="both"/>
              <w:rPr>
                <w:rFonts w:asciiTheme="minorHAnsi" w:hAnsiTheme="minorHAnsi" w:cstheme="minorHAnsi"/>
                <w:color w:val="000000"/>
                <w:sz w:val="18"/>
                <w:szCs w:val="18"/>
              </w:rPr>
            </w:pPr>
            <w:r w:rsidRPr="008C21D7">
              <w:rPr>
                <w:rFonts w:asciiTheme="minorHAnsi" w:hAnsiTheme="minorHAnsi" w:cstheme="minorHAnsi"/>
                <w:color w:val="000000"/>
                <w:sz w:val="18"/>
                <w:szCs w:val="18"/>
              </w:rPr>
              <w:t>Novartis is disappointed with the PBAC’s decision not to recommend iptacopan (</w:t>
            </w:r>
            <w:proofErr w:type="spellStart"/>
            <w:r w:rsidRPr="008C21D7">
              <w:rPr>
                <w:rFonts w:asciiTheme="minorHAnsi" w:hAnsiTheme="minorHAnsi" w:cstheme="minorHAnsi"/>
                <w:color w:val="000000"/>
                <w:sz w:val="18"/>
                <w:szCs w:val="18"/>
              </w:rPr>
              <w:t>Fabhalta</w:t>
            </w:r>
            <w:proofErr w:type="spellEnd"/>
            <w:r w:rsidRPr="008C21D7">
              <w:rPr>
                <w:rFonts w:asciiTheme="minorHAnsi" w:hAnsiTheme="minorHAnsi" w:cstheme="minorHAnsi"/>
                <w:color w:val="000000"/>
                <w:sz w:val="18"/>
                <w:szCs w:val="18"/>
              </w:rPr>
              <w:t>®) for C3G. While we welcome the PBAC’s acknowledgment of the significant burden and unmet need, C3G is an ultra</w:t>
            </w:r>
            <w:r w:rsidRPr="008C21D7">
              <w:rPr>
                <w:rFonts w:ascii="Cambria Math" w:hAnsi="Cambria Math" w:cs="Cambria Math"/>
                <w:color w:val="000000"/>
                <w:sz w:val="18"/>
                <w:szCs w:val="18"/>
              </w:rPr>
              <w:t>‑</w:t>
            </w:r>
            <w:r w:rsidRPr="008C21D7">
              <w:rPr>
                <w:rFonts w:asciiTheme="minorHAnsi" w:hAnsiTheme="minorHAnsi" w:cstheme="minorHAnsi"/>
                <w:color w:val="000000"/>
                <w:sz w:val="18"/>
                <w:szCs w:val="18"/>
              </w:rPr>
              <w:t>rare disease that typically affects younger people and leads to progressive kidney decline, making it critical that the value of iptacopan (</w:t>
            </w:r>
            <w:proofErr w:type="spellStart"/>
            <w:r w:rsidRPr="008C21D7">
              <w:rPr>
                <w:rFonts w:asciiTheme="minorHAnsi" w:hAnsiTheme="minorHAnsi" w:cstheme="minorHAnsi"/>
                <w:color w:val="000000"/>
                <w:sz w:val="18"/>
                <w:szCs w:val="18"/>
              </w:rPr>
              <w:t>Fabhalta</w:t>
            </w:r>
            <w:proofErr w:type="spellEnd"/>
            <w:r w:rsidRPr="008C21D7">
              <w:rPr>
                <w:rFonts w:ascii="Aptos" w:hAnsi="Aptos" w:cs="Aptos"/>
                <w:color w:val="000000"/>
                <w:sz w:val="18"/>
                <w:szCs w:val="18"/>
              </w:rPr>
              <w:t>®</w:t>
            </w:r>
            <w:r w:rsidRPr="008C21D7">
              <w:rPr>
                <w:rFonts w:asciiTheme="minorHAnsi" w:hAnsiTheme="minorHAnsi" w:cstheme="minorHAnsi"/>
                <w:color w:val="000000"/>
                <w:sz w:val="18"/>
                <w:szCs w:val="18"/>
              </w:rPr>
              <w:t>) is appropriately recognised for Australian patients and the healthcare system. We sincerely thank patients, clinicians, and organisations for their valuable contributions to the PBAC process</w:t>
            </w:r>
            <w:r>
              <w:rPr>
                <w:rFonts w:asciiTheme="minorHAnsi" w:hAnsiTheme="minorHAnsi" w:cstheme="minorHAnsi"/>
                <w:color w:val="000000"/>
                <w:sz w:val="18"/>
                <w:szCs w:val="18"/>
              </w:rPr>
              <w:t>.</w:t>
            </w:r>
          </w:p>
        </w:tc>
      </w:tr>
      <w:tr w:rsidR="00CC35E3" w:rsidRPr="00544E10" w14:paraId="7AFA04F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4BF0A2" w14:textId="386CAC45"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LAMOTRIGINE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 mg</w:t>
            </w:r>
            <w:r w:rsidRPr="00544E10">
              <w:rPr>
                <w:rFonts w:asciiTheme="minorHAnsi" w:hAnsiTheme="minorHAnsi" w:cstheme="minorHAnsi"/>
                <w:color w:val="000000"/>
                <w:sz w:val="18"/>
                <w:szCs w:val="18"/>
              </w:rPr>
              <w:br/>
              <w:t>Tablet 25 mg</w:t>
            </w:r>
            <w:r w:rsidRPr="00544E10">
              <w:rPr>
                <w:rFonts w:asciiTheme="minorHAnsi" w:hAnsiTheme="minorHAnsi" w:cstheme="minorHAnsi"/>
                <w:color w:val="000000"/>
                <w:sz w:val="18"/>
                <w:szCs w:val="18"/>
              </w:rPr>
              <w:br/>
              <w:t>Tablet 50 mg</w:t>
            </w:r>
            <w:r w:rsidRPr="00544E10">
              <w:rPr>
                <w:rFonts w:asciiTheme="minorHAnsi" w:hAnsiTheme="minorHAnsi" w:cstheme="minorHAnsi"/>
                <w:color w:val="000000"/>
                <w:sz w:val="18"/>
                <w:szCs w:val="18"/>
              </w:rPr>
              <w:br/>
              <w:t>Tablet 100 mg</w:t>
            </w:r>
            <w:r w:rsidRPr="00544E10">
              <w:rPr>
                <w:rFonts w:asciiTheme="minorHAnsi" w:hAnsiTheme="minorHAnsi" w:cstheme="minorHAnsi"/>
                <w:color w:val="000000"/>
                <w:sz w:val="18"/>
                <w:szCs w:val="18"/>
              </w:rPr>
              <w:br/>
              <w:t>Tablet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Post-market review</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175B568A" w14:textId="3C199B73"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Bipolar disorder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139DE3" w14:textId="3D6D5016"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is being asked to consider the cost estimates to the R/PBS for a separate Restricted Benefit listing for lamotrigine for bipolar disorder.</w:t>
            </w:r>
          </w:p>
        </w:tc>
        <w:tc>
          <w:tcPr>
            <w:tcW w:w="1559" w:type="dxa"/>
            <w:vAlign w:val="center"/>
          </w:tcPr>
          <w:p w14:paraId="599CD851" w14:textId="25A63682" w:rsidR="00CC35E3" w:rsidRPr="00544E10" w:rsidRDefault="00CC35E3" w:rsidP="00CC35E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5986099" w14:textId="77777777" w:rsidR="00CC35E3" w:rsidRDefault="00CC35E3" w:rsidP="00CC35E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a new Restricted Benefit listing for all existing PBS-listed strengths of LTG tablets for the treatment of bipolar disorder, to be priced equivalently to the existing LTG listings for epileptic seizures. The PBAC recalled that in May 2025 it considered a Review of clinical guidelines and cost estimates for the use of anti-epileptic drugs (AEDs) for the treatment of epilepsy and considered there may be an unmet need to subsidise LTG for mental illnesses such as bipolar disorder.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PBAC noted pre-PBAC responses from the Royal Australian and New Zealand College of Psychiatrists (RANZCP), the Royal Australian College of General Practitioners (RACGP), the National Aboriginal Community Controlled Health Organisation (NACCHO) and one sponsor, which supported the proposed listing of LTG for this indication. The PBAC also noted that Australian clinical guidelines recommend LTG as a first-line monotherapy for bipolar depression and as a second-line monotherapy for the prevention of bipolar disorder in both adults and young people.</w:t>
            </w:r>
          </w:p>
          <w:p w14:paraId="616FB031" w14:textId="77777777" w:rsidR="00CC35E3" w:rsidRDefault="00CC35E3" w:rsidP="00CC35E3">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br/>
              <w:t>The PBAC noted that, although both the RANZCP and NACCHO supported an Unrestricted Benefit listing, only three of the eight brands of LTG available on the PBS (Lamictal, Lamotrigine GH, and Sandoz Lamotrigine) are approved by the TGA for the treatment of bipolar disorder. Consequently, the PBAC recommended that the new Restricted Benefit listing should be limited to these three brands only.</w:t>
            </w:r>
            <w:r w:rsidRPr="00CC35E3">
              <w:rPr>
                <w:rFonts w:asciiTheme="minorHAnsi" w:hAnsiTheme="minorHAnsi" w:cstheme="minorHAnsi"/>
                <w:color w:val="000000"/>
                <w:sz w:val="18"/>
                <w:szCs w:val="18"/>
              </w:rPr>
              <w:br/>
            </w:r>
            <w:r w:rsidRPr="00CC35E3">
              <w:rPr>
                <w:rFonts w:asciiTheme="minorHAnsi" w:hAnsiTheme="minorHAnsi" w:cstheme="minorHAnsi"/>
                <w:color w:val="000000"/>
                <w:sz w:val="18"/>
                <w:szCs w:val="18"/>
              </w:rPr>
              <w:br/>
              <w:t>The PBAC accepted the financial estimates and considered the estimated net cost to the R/PBS of the proposed listing reasonable. The PBAC considered it is likely that LTG is cost-effective and represents reasonable value for money for this indication for the following reasons:</w:t>
            </w:r>
          </w:p>
          <w:p w14:paraId="3A58DA63"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LTG is recommended as a first-line treatment for bipolar disorder in Australian clinical guidelines, suggesting its clinical effectiveness is comparable (non-inferior) to other PBS-listed alternatives.</w:t>
            </w:r>
          </w:p>
          <w:p w14:paraId="49AF96FC"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lastRenderedPageBreak/>
              <w:t>LTG is likely to offer improved safety and tolerability compared to other PBS-listed medicines for bipolar disorder, with a lower risk of teratogenic effects than alternatives such as valproate.</w:t>
            </w:r>
          </w:p>
          <w:p w14:paraId="5EEF7294" w14:textId="18A28633"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Cost comparisons per defined daily dose indicate that LTG is similar in price to other PBS-listed treatments for bipolar disorder, such as quetiapine.</w:t>
            </w:r>
          </w:p>
          <w:p w14:paraId="497F52B1"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As an F2 medicine, LTG is subject to statutory price reductions, price disclosure, and supply guarantees under the National Health Act 1953. Consequently, its cost-effectiveness for bipolar disorder is expected to improve further as prices decrease over time.</w:t>
            </w:r>
          </w:p>
          <w:p w14:paraId="712386DF" w14:textId="6DB99AF3" w:rsidR="00CC35E3" w:rsidRPr="00CC35E3" w:rsidRDefault="00CC35E3" w:rsidP="00CC35E3">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 xml:space="preserve">The PBAC recommended that the </w:t>
            </w:r>
            <w:r>
              <w:rPr>
                <w:rFonts w:asciiTheme="minorHAnsi" w:hAnsiTheme="minorHAnsi" w:cstheme="minorHAnsi"/>
                <w:color w:val="000000"/>
                <w:sz w:val="18"/>
                <w:szCs w:val="18"/>
              </w:rPr>
              <w:t>d</w:t>
            </w:r>
            <w:r w:rsidRPr="00CC35E3">
              <w:rPr>
                <w:rFonts w:asciiTheme="minorHAnsi" w:hAnsiTheme="minorHAnsi" w:cstheme="minorHAnsi"/>
                <w:color w:val="000000"/>
                <w:sz w:val="18"/>
                <w:szCs w:val="18"/>
              </w:rPr>
              <w:t>epartment monitor the use of LTG following implementation of the new listing and advised that it would be prepared to reconsider the appropriateness of an Unrestricted Benefit listing for this medicine at a future meeting.</w:t>
            </w:r>
          </w:p>
        </w:tc>
      </w:tr>
      <w:tr w:rsidR="00FF36A9" w:rsidRPr="00544E10" w14:paraId="4F767F0F"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A393DC" w14:textId="23807419"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LURBINECTEDIN</w:t>
            </w:r>
          </w:p>
          <w:p w14:paraId="5E2C1516" w14:textId="692D8E1B" w:rsidR="00FF36A9" w:rsidRPr="00544E10" w:rsidRDefault="00FF36A9" w:rsidP="002E14D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 mg</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 mg</w:t>
            </w:r>
          </w:p>
          <w:p w14:paraId="7EF2F089" w14:textId="74F06A3B" w:rsidR="00FF36A9" w:rsidRPr="00544E10" w:rsidRDefault="00FF36A9" w:rsidP="00FF36A9">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Zepzelca</w:t>
            </w:r>
            <w:proofErr w:type="spellEnd"/>
            <w:r w:rsidRPr="00544E10">
              <w:rPr>
                <w:rFonts w:asciiTheme="minorHAnsi" w:hAnsiTheme="minorHAnsi" w:cstheme="minorHAnsi"/>
                <w:color w:val="000000"/>
                <w:sz w:val="18"/>
                <w:szCs w:val="18"/>
              </w:rPr>
              <w:t>®</w:t>
            </w:r>
          </w:p>
          <w:p w14:paraId="0827BF7B" w14:textId="13B18FE2"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SPECIALISED THERAPEUTICS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PHARMA PTY LTD</w:t>
            </w:r>
          </w:p>
          <w:p w14:paraId="77E98BFA" w14:textId="77777777"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14:paraId="649E07A5" w14:textId="55ABDBCC"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D982587" w14:textId="3D1C0331"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Small cell lung cancer (SCLC)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A07CA4" w14:textId="192767EF"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lurbinectedin for use in combination with atezolizumab for first line maintenance treatment of extensive-stage SCLC for patients who have not progressed on or after first line induction therapy with atezolizumab, a platinum-based antineoplastic drug, and etoposide.</w:t>
            </w:r>
          </w:p>
          <w:p w14:paraId="70E464B0" w14:textId="08DA70BB"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04F79A12" w14:textId="3F235E8C" w:rsidR="00FF36A9" w:rsidRPr="00544E10" w:rsidRDefault="00FF36A9" w:rsidP="00FF36A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2E09ADD4" w14:textId="1EA3C6A9"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did not recommend listing lurbinectedin (</w:t>
            </w:r>
            <w:proofErr w:type="spellStart"/>
            <w:r w:rsidRPr="00EF4E15">
              <w:rPr>
                <w:rFonts w:asciiTheme="minorHAnsi" w:hAnsiTheme="minorHAnsi" w:cstheme="minorHAnsi"/>
                <w:color w:val="000000"/>
                <w:sz w:val="18"/>
                <w:szCs w:val="18"/>
              </w:rPr>
              <w:t>Zepzelca</w:t>
            </w:r>
            <w:proofErr w:type="spellEnd"/>
            <w:r w:rsidRPr="00EF4E15">
              <w:rPr>
                <w:rFonts w:asciiTheme="minorHAnsi" w:hAnsiTheme="minorHAnsi" w:cstheme="minorHAnsi"/>
                <w:color w:val="000000"/>
                <w:sz w:val="18"/>
                <w:szCs w:val="18"/>
              </w:rPr>
              <w:t xml:space="preserve">®) on the PBS, when used in combination with atezolizumab, as ongoing treatment for extensive-stage small cell lung cancer (ES-SCLC) in patients who have received, and not </w:t>
            </w:r>
            <w:r w:rsidR="006C1BDF">
              <w:rPr>
                <w:rFonts w:asciiTheme="minorHAnsi" w:hAnsiTheme="minorHAnsi" w:cstheme="minorHAnsi"/>
                <w:color w:val="000000"/>
                <w:sz w:val="18"/>
                <w:szCs w:val="18"/>
              </w:rPr>
              <w:t>progressed</w:t>
            </w:r>
            <w:r w:rsidRPr="00EF4E15">
              <w:rPr>
                <w:rFonts w:asciiTheme="minorHAnsi" w:hAnsiTheme="minorHAnsi" w:cstheme="minorHAnsi"/>
                <w:color w:val="000000"/>
                <w:sz w:val="18"/>
                <w:szCs w:val="18"/>
              </w:rPr>
              <w:t xml:space="preserve"> after, induction therapy with atezolizumab, a platinum-based anticancer drug, and etoposide. The PBAC, noting the aggressive nature of ES-SCLC, acknowledged that there was a high clinical need for effective therapies and welcomed the input and support for the submission from health professionals and organisations. </w:t>
            </w:r>
          </w:p>
          <w:p w14:paraId="7E577276"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445E7502" w14:textId="77777777"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noted that lurbinectedin plus atezolizumab was associated with some improvement in patients living longer compared to atezolizumab alone, but that lurbinectedin plus atezolizumab was also associated with higher rates of side effects. </w:t>
            </w:r>
          </w:p>
          <w:p w14:paraId="548887B2"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76BBA324" w14:textId="5B238CDF"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considered the benefits of lurbinectedin claimed by the Sponsor in </w:t>
            </w:r>
            <w:r w:rsidR="006D2AC0">
              <w:rPr>
                <w:rFonts w:asciiTheme="minorHAnsi" w:hAnsiTheme="minorHAnsi" w:cstheme="minorHAnsi"/>
                <w:color w:val="000000"/>
                <w:sz w:val="18"/>
                <w:szCs w:val="18"/>
              </w:rPr>
              <w:t>its</w:t>
            </w:r>
            <w:r w:rsidRPr="00EF4E15">
              <w:rPr>
                <w:rFonts w:asciiTheme="minorHAnsi" w:hAnsiTheme="minorHAnsi" w:cstheme="minorHAnsi"/>
                <w:color w:val="000000"/>
                <w:sz w:val="18"/>
                <w:szCs w:val="18"/>
              </w:rPr>
              <w:t xml:space="preserve"> economic model were uncertain and overly optimistic. In particular, </w:t>
            </w:r>
            <w:r w:rsidRPr="00EF4E15">
              <w:rPr>
                <w:rFonts w:asciiTheme="minorHAnsi" w:hAnsiTheme="minorHAnsi" w:cstheme="minorHAnsi"/>
                <w:color w:val="000000"/>
                <w:sz w:val="18"/>
                <w:szCs w:val="18"/>
              </w:rPr>
              <w:lastRenderedPageBreak/>
              <w:t xml:space="preserve">the PBAC considered that the benefits in terms of preventing disease progression and improving survival were overestimated. </w:t>
            </w:r>
          </w:p>
          <w:p w14:paraId="3D78AE4A"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557A1CBA" w14:textId="77777777" w:rsidR="00FF36A9"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noted that treatment options for ES-SCLC were changing and considered lurbinectedin, as a single drug treatment, may be more appropriately used in patients who have received prior therapies and experienced disease worsening while on or after prior platinum-containing therapy. The PBAC considered the use of lurbinectedin in this setting would be in line with its current TGA approved indication.</w:t>
            </w:r>
          </w:p>
          <w:p w14:paraId="2F95CB88" w14:textId="77777777" w:rsidR="003D2413" w:rsidRDefault="003D2413" w:rsidP="00EF4E15">
            <w:pPr>
              <w:ind w:left="11"/>
              <w:contextualSpacing/>
              <w:jc w:val="both"/>
              <w:rPr>
                <w:rFonts w:asciiTheme="minorHAnsi" w:hAnsiTheme="minorHAnsi" w:cstheme="minorHAnsi"/>
                <w:color w:val="000000"/>
                <w:sz w:val="18"/>
                <w:szCs w:val="18"/>
              </w:rPr>
            </w:pPr>
          </w:p>
          <w:p w14:paraId="6B851E2C" w14:textId="77777777" w:rsidR="003D2413" w:rsidRDefault="006211DA" w:rsidP="00EF4E1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0A31B726" w14:textId="77777777" w:rsidR="006211DA" w:rsidRDefault="006211DA" w:rsidP="006211DA">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p w14:paraId="29DE47D5" w14:textId="21C52FE7" w:rsidR="006211DA" w:rsidRPr="00544E10" w:rsidRDefault="006211DA" w:rsidP="006211DA">
            <w:pPr>
              <w:contextualSpacing/>
              <w:jc w:val="both"/>
              <w:rPr>
                <w:rFonts w:asciiTheme="minorHAnsi" w:hAnsiTheme="minorHAnsi" w:cstheme="minorHAnsi"/>
                <w:color w:val="000000"/>
                <w:sz w:val="18"/>
                <w:szCs w:val="18"/>
              </w:rPr>
            </w:pPr>
          </w:p>
        </w:tc>
      </w:tr>
      <w:tr w:rsidR="00644241" w:rsidRPr="00544E10" w14:paraId="371CBA5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E17E01"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MIRVETUXIMAB SORAVTANSINE</w:t>
            </w:r>
          </w:p>
          <w:p w14:paraId="330D887F" w14:textId="1DE97E10"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Solution for I.V. infusion 100 mg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in 20 mL vial</w:t>
            </w:r>
          </w:p>
          <w:p w14:paraId="3801BDDC"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Elahere®</w:t>
            </w:r>
          </w:p>
          <w:p w14:paraId="0DACD1A7"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ABBVIE PTY LTD</w:t>
            </w:r>
          </w:p>
          <w:p w14:paraId="532C4A71"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0FF543A2" w14:textId="6530A7E4"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F3067E1" w14:textId="16A5C3AD"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Epithelial ovarian, fallopian tube or primary peritoneal 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08243"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mirvetuximab soravtansine for the treatment of high grade epithelial ovarian, fallopian tube or primary peritoneal cancer in patients who have platinum-resistant disease and high folate receptor alpha (FRα) expression. This matter was deferred at the July 2025 PBAC Meeting.</w:t>
            </w:r>
          </w:p>
          <w:p w14:paraId="772FE813"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14:paraId="0F0E0E44" w14:textId="77777777" w:rsidR="00644241" w:rsidRPr="00544E10" w:rsidRDefault="00644241" w:rsidP="00644241">
            <w:pPr>
              <w:jc w:val="center"/>
              <w:rPr>
                <w:rFonts w:asciiTheme="minorHAnsi" w:hAnsiTheme="minorHAnsi" w:cstheme="minorHAnsi"/>
                <w:color w:val="000000"/>
                <w:sz w:val="18"/>
                <w:szCs w:val="18"/>
              </w:rPr>
            </w:pPr>
          </w:p>
        </w:tc>
        <w:tc>
          <w:tcPr>
            <w:tcW w:w="1559" w:type="dxa"/>
            <w:vAlign w:val="center"/>
          </w:tcPr>
          <w:p w14:paraId="2945ECEB" w14:textId="03E725D4" w:rsidR="00644241" w:rsidRPr="00544E10" w:rsidRDefault="00644241" w:rsidP="006442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5A2F27B" w14:textId="77777777" w:rsidR="00644241"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of mirvetuximab soravtansine for the treatment of patients with platinum-resistant high-grade serous epithelial ovarian, fallopian tube, or primary peritoneal cancer, who have received at least one prior systemic treatment regimen, and have high folate receptor alpha (FRα) tumour cell expression. </w:t>
            </w:r>
          </w:p>
          <w:p w14:paraId="6C9775EA" w14:textId="77777777" w:rsidR="00EF4E15" w:rsidRPr="00544E10" w:rsidRDefault="00EF4E15" w:rsidP="00644241">
            <w:pPr>
              <w:ind w:left="11"/>
              <w:contextualSpacing/>
              <w:jc w:val="both"/>
              <w:rPr>
                <w:rFonts w:asciiTheme="minorHAnsi" w:hAnsiTheme="minorHAnsi" w:cstheme="minorHAnsi"/>
                <w:color w:val="000000" w:themeColor="text1"/>
                <w:sz w:val="18"/>
                <w:szCs w:val="18"/>
              </w:rPr>
            </w:pPr>
          </w:p>
          <w:p w14:paraId="673D48ED" w14:textId="7DC7F552" w:rsidR="00644241" w:rsidRPr="00544E10"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recalled that at its July 2025 meeting</w:t>
            </w:r>
            <w:r w:rsidR="00547CC3">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it was of a mind to recommend listing mirvetuximab soravtansine, but noted that, to determine which patients would benefit from mirvetuximab soravtansine</w:t>
            </w:r>
            <w:r w:rsidR="005A2B1F">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FRα expression testing</w:t>
            </w:r>
            <w:r w:rsidR="005A2B1F">
              <w:rPr>
                <w:rFonts w:asciiTheme="minorHAnsi" w:hAnsiTheme="minorHAnsi" w:cstheme="minorHAnsi"/>
                <w:color w:val="000000" w:themeColor="text1"/>
                <w:sz w:val="18"/>
                <w:szCs w:val="18"/>
              </w:rPr>
              <w:t xml:space="preserve"> was required</w:t>
            </w:r>
            <w:r w:rsidRPr="00544E10">
              <w:rPr>
                <w:rFonts w:asciiTheme="minorHAnsi" w:hAnsiTheme="minorHAnsi" w:cstheme="minorHAnsi"/>
                <w:color w:val="000000" w:themeColor="text1"/>
                <w:sz w:val="18"/>
                <w:szCs w:val="18"/>
              </w:rPr>
              <w:t xml:space="preserve"> and this test was yet to be considered by the MSAC. The PBAC also recalled that it was waiting for confirmation from the Therapeutic Goods Administration (TGA, Australia’s regulator of medicines and therapeutic goods) that it would approve mirvetuximab soravtansine for ovarian cancer.</w:t>
            </w:r>
          </w:p>
          <w:p w14:paraId="352389AF"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p>
          <w:p w14:paraId="2F65D365"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MSAC had now indicated it was supportive of FRα expression testing and that the TGA delegate was supportive of the application to include mirvetuximab soravtansine on the ARTG. The PBAC maintained that there is a need for additional treatments for people with these types of cancers, acknowledging the severe symptoms and impact on </w:t>
            </w:r>
            <w:r w:rsidRPr="00544E10">
              <w:rPr>
                <w:rFonts w:asciiTheme="minorHAnsi" w:hAnsiTheme="minorHAnsi" w:cstheme="minorHAnsi"/>
                <w:color w:val="000000" w:themeColor="text1"/>
                <w:sz w:val="18"/>
                <w:szCs w:val="18"/>
              </w:rPr>
              <w:lastRenderedPageBreak/>
              <w:t>patient quality of life. The PBAC also noted that currently available chemotherapy options have significant side effects and are only modestly effective.</w:t>
            </w:r>
          </w:p>
          <w:p w14:paraId="706B94D8"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p>
          <w:p w14:paraId="7A9EBF45" w14:textId="6A3A036C" w:rsidR="00644241" w:rsidRPr="00544E10" w:rsidRDefault="00644241" w:rsidP="006442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At its July 2025 meeting, the PBAC noted that mirvetuximab soravtansine provides a modest benefit in slowing cancer progression and improving survival for the small group of patients whose ovarian cancer has high FRα tumour cell expression. The PBAC also noted patients whose ovarian cancer does not have a high level of FRα tumour cell expression may have worse outcomes if treated with mirvetuximab soravtansine compared with currently available standard treatments. The PBAC maintained that mirvetuximab soravtansine would be cost-effective with a substantial reduction in the price, to reflect the modest benefit, and significant uncertainty about the extent of benefits that would be realised in practice.</w:t>
            </w:r>
          </w:p>
        </w:tc>
      </w:tr>
      <w:tr w:rsidR="00A039C9" w:rsidRPr="00544E10" w14:paraId="21E70924" w14:textId="77777777" w:rsidTr="39DDF63A">
        <w:trPr>
          <w:cantSplit/>
          <w:trHeight w:val="4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9ECB30E" w14:textId="77777777" w:rsidR="00A039C9" w:rsidRDefault="00A039C9" w:rsidP="00A039C9">
            <w:pPr>
              <w:jc w:val="center"/>
              <w:rPr>
                <w:rFonts w:asciiTheme="minorHAnsi" w:hAnsiTheme="minorHAnsi" w:cstheme="minorHAnsi"/>
                <w:color w:val="000000"/>
                <w:sz w:val="18"/>
                <w:szCs w:val="18"/>
              </w:rPr>
            </w:pPr>
          </w:p>
          <w:p w14:paraId="74A53C61" w14:textId="11F187A0"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NITISINONE</w:t>
            </w:r>
          </w:p>
          <w:p w14:paraId="76F596B1" w14:textId="2A279C42"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2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5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10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20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Oral suspension 4 mg per mL, 90 mL</w:t>
            </w:r>
          </w:p>
          <w:p w14:paraId="73D17E8F" w14:textId="7339F825" w:rsidR="00A039C9" w:rsidRPr="00544E10" w:rsidRDefault="00A039C9" w:rsidP="00A039C9">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Orfadin</w:t>
            </w:r>
            <w:proofErr w:type="spellEnd"/>
            <w:r w:rsidRPr="00544E10">
              <w:rPr>
                <w:rFonts w:asciiTheme="minorHAnsi" w:hAnsiTheme="minorHAnsi" w:cstheme="minorHAnsi"/>
                <w:color w:val="000000"/>
                <w:sz w:val="18"/>
                <w:szCs w:val="18"/>
              </w:rPr>
              <w:t>®</w:t>
            </w:r>
          </w:p>
          <w:p w14:paraId="2E9B6BA5" w14:textId="1CB4E5A9" w:rsidR="00A039C9" w:rsidRPr="00544E10" w:rsidRDefault="00A039C9" w:rsidP="00471B4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 MENARINI PTY LTD</w:t>
            </w:r>
          </w:p>
          <w:p w14:paraId="1B7D52A4" w14:textId="77777777"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64259A9B" w14:textId="31D80BCF"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1A927F2" w14:textId="4849E0CF"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Hereditary tyrosinaemia Type 1 (HT-1)</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6E1727" w14:textId="55425285"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Referral from the LSDP Expert Panel seeking the PBAC’s advice on whether nitisinone would be cost-effective and suitable for PBS listing for the treatment of HT-1. This matter was deferred at the July 2025 PBAC Meeting.</w:t>
            </w:r>
          </w:p>
        </w:tc>
        <w:tc>
          <w:tcPr>
            <w:tcW w:w="1559" w:type="dxa"/>
            <w:vAlign w:val="center"/>
          </w:tcPr>
          <w:p w14:paraId="177AFB67" w14:textId="6C6492AD" w:rsidR="00A039C9" w:rsidRPr="00544E10" w:rsidRDefault="00A039C9" w:rsidP="00A039C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20CB0E2" w14:textId="77777777" w:rsidR="00EF4E15"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nitisinone on the PBS as a Section 100 (S100) Highly Specialised Drugs Program (HSD) listing for the treatment of hereditary tyrosinaemia type 1 (HT-1). The PBAC noted outcomes of the Department’s stakeholder consultation. The PBAC noted that the sponsor maintained that the LSDP remained the appropriate funding mechanism for nitisinone and expressed concerns that a transition from the LSDP to the PBS may affect patient access. </w:t>
            </w:r>
          </w:p>
          <w:p w14:paraId="2AE7ED6D" w14:textId="77777777" w:rsidR="00EF4E15" w:rsidRDefault="00EF4E15" w:rsidP="00A039C9">
            <w:pPr>
              <w:ind w:left="11"/>
              <w:contextualSpacing/>
              <w:jc w:val="both"/>
              <w:rPr>
                <w:rFonts w:asciiTheme="minorHAnsi" w:hAnsiTheme="minorHAnsi" w:cstheme="minorHAnsi"/>
                <w:color w:val="000000" w:themeColor="text1"/>
                <w:sz w:val="18"/>
                <w:szCs w:val="18"/>
              </w:rPr>
            </w:pPr>
          </w:p>
          <w:p w14:paraId="695BF94C" w14:textId="6BEAD485" w:rsidR="00A039C9"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noted that consumers raised concerns about the introduction of patient co-payments associated with access through the PBS. However, overall, the consumer and clinical input did not raise any concerns that a transition from the LSDP to the PBS would disadvantage patients clinically. The PBAC noted clinical input that nitisinone needs to be prescribed by specialists with a thorough knowledge of hereditary tyrosinaemia type-1.</w:t>
            </w:r>
          </w:p>
          <w:p w14:paraId="7B436B78" w14:textId="77777777" w:rsidR="00EF4E15" w:rsidRPr="00544E10" w:rsidRDefault="00EF4E15" w:rsidP="00A039C9">
            <w:pPr>
              <w:ind w:left="11"/>
              <w:contextualSpacing/>
              <w:jc w:val="both"/>
              <w:rPr>
                <w:rFonts w:asciiTheme="minorHAnsi" w:hAnsiTheme="minorHAnsi" w:cstheme="minorHAnsi"/>
                <w:color w:val="000000" w:themeColor="text1"/>
                <w:sz w:val="18"/>
                <w:szCs w:val="18"/>
              </w:rPr>
            </w:pPr>
          </w:p>
          <w:p w14:paraId="0877BB98" w14:textId="77777777" w:rsidR="00A039C9" w:rsidRPr="00544E10"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where applicable, </w:t>
            </w:r>
            <w:proofErr w:type="spellStart"/>
            <w:r w:rsidRPr="00544E10">
              <w:rPr>
                <w:rFonts w:asciiTheme="minorHAnsi" w:hAnsiTheme="minorHAnsi" w:cstheme="minorHAnsi"/>
                <w:color w:val="000000" w:themeColor="text1"/>
                <w:sz w:val="18"/>
                <w:szCs w:val="18"/>
              </w:rPr>
              <w:t>Orfadin</w:t>
            </w:r>
            <w:proofErr w:type="spellEnd"/>
            <w:r w:rsidRPr="00544E10">
              <w:rPr>
                <w:rFonts w:asciiTheme="minorHAnsi" w:hAnsiTheme="minorHAnsi" w:cstheme="minorHAnsi"/>
                <w:color w:val="000000" w:themeColor="text1"/>
                <w:sz w:val="18"/>
                <w:szCs w:val="18"/>
              </w:rPr>
              <w:t xml:space="preserve"> products had undergone a price reduction since the last time of consideration by the PBAC. Taking into consideration these price reductions, the PBAC advised that the current </w:t>
            </w:r>
            <w:r w:rsidRPr="00544E10">
              <w:rPr>
                <w:rFonts w:asciiTheme="minorHAnsi" w:hAnsiTheme="minorHAnsi" w:cstheme="minorHAnsi"/>
                <w:color w:val="000000" w:themeColor="text1"/>
                <w:sz w:val="18"/>
                <w:szCs w:val="18"/>
              </w:rPr>
              <w:lastRenderedPageBreak/>
              <w:t>pricing of nitisinone on the Life Saving Drugs Program (LSDP) was acceptable.</w:t>
            </w:r>
          </w:p>
          <w:p w14:paraId="640B55CA" w14:textId="77777777" w:rsidR="00A039C9" w:rsidRPr="00544E10" w:rsidRDefault="00A039C9" w:rsidP="00A039C9">
            <w:pPr>
              <w:ind w:left="11"/>
              <w:contextualSpacing/>
              <w:jc w:val="both"/>
              <w:rPr>
                <w:rFonts w:asciiTheme="minorHAnsi" w:hAnsiTheme="minorHAnsi" w:cstheme="minorHAnsi"/>
                <w:color w:val="000000"/>
                <w:sz w:val="18"/>
                <w:szCs w:val="18"/>
              </w:rPr>
            </w:pPr>
          </w:p>
        </w:tc>
      </w:tr>
      <w:tr w:rsidR="00241C28" w:rsidRPr="00544E10" w14:paraId="6BD2B031" w14:textId="77777777" w:rsidTr="39DDF63A">
        <w:trPr>
          <w:cantSplit/>
          <w:trHeight w:val="157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66CFD" w14:textId="295641FA"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OMAVELOXOLONE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50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Skyclarys®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9A0079F" w14:textId="6D2DDC33"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Friedreich’s ataxia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510CD7" w14:textId="13657C34"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listing of omaveloxolone for the treatment of Friedreich’s ataxia in people aged 16 years and older.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4F668925" w14:textId="375A8B1E" w:rsidR="00241C28" w:rsidRPr="00544E10" w:rsidRDefault="00241C28" w:rsidP="00241C2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5C2A24BD" w14:textId="77777777" w:rsidR="00EF4E15" w:rsidRDefault="00241C28" w:rsidP="00EF4E1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omaveloxolone (Skyclarys®) on the PBS for the treatment of Friedreich's ataxia (FA) in adults and adolescents aged 16 years and over. The PBAC welcomed input from individuals, health professionals and organisations. This input strongly supported the resubmission and described the debilitating effects of FA on patients and their caregivers. The PBAC also acknowledged that there was a high unmet need for treatments for FA.</w:t>
            </w:r>
          </w:p>
          <w:p w14:paraId="2BA81FA4" w14:textId="57D04D16" w:rsidR="00241C28" w:rsidRPr="00544E10" w:rsidRDefault="00241C28" w:rsidP="00EF4E1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that omaveloxolone was likely more effective than best supportive care at slowing the progression of FA. However, the PBAC noted that the effect of omaveloxolone in preventing loss of physical function would likely be modest. The PBAC considered that given the progressive nature of FA, stabilisation of disease would still be beneficial for patients and their caregivers. The PBAC also noted that omaveloxolone was less safe than best supportive care, noting its association with cardiotoxicity, increased liver enzymes and headaches.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benefits the sponsor claimed omaveloxolone would deliver in support of its requested price in the economic model. In particular, the duration of benefit claimed by the sponsor was well beyond the average life expectancy of people with FA. It also did not account for a potential waning of treatment effect. The PBAC advised the omaveloxolone would be cost effective with a significant price reduction, which would reflect more realistic estimates of benefits and costs. The PBAC considered that the estimates of eligible patients, treatment numbers and associated costs presented in the resubmission were acceptable and that the estimated financial impact would be reasonable at the recommended price, but that a risk sharing arrangement with the sponsor would be required to mitigate risk associated with use outside of the proposed restriction criteria.</w:t>
            </w:r>
          </w:p>
        </w:tc>
      </w:tr>
      <w:tr w:rsidR="00D72E30" w:rsidRPr="00544E10" w14:paraId="40467D4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6018B4" w14:textId="77777777" w:rsidR="00391EAC" w:rsidRDefault="00391EAC" w:rsidP="00D72E30">
            <w:pPr>
              <w:jc w:val="center"/>
              <w:rPr>
                <w:rFonts w:asciiTheme="minorHAnsi" w:hAnsiTheme="minorHAnsi" w:cstheme="minorHAnsi"/>
                <w:color w:val="000000"/>
                <w:sz w:val="18"/>
                <w:szCs w:val="18"/>
              </w:rPr>
            </w:pPr>
          </w:p>
          <w:p w14:paraId="0CBE2AEF" w14:textId="0868FC63"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ONASEMNOGENE ABEPARVOVEC</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Pack containing 1 vial solution for I.V. infusion 20 trillion vector genomes per mL, 5.5 mL and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Pack containing 2 vials solution for I.V. infusion 20 trillion vector genomes per mL, 5.5 mL and 1 vial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per mL, 8.3 mL</w:t>
            </w:r>
            <w:r w:rsidRPr="00544E10">
              <w:rPr>
                <w:rFonts w:asciiTheme="minorHAnsi" w:hAnsiTheme="minorHAnsi" w:cstheme="minorHAnsi"/>
                <w:color w:val="000000"/>
                <w:sz w:val="18"/>
                <w:szCs w:val="18"/>
              </w:rPr>
              <w:br/>
              <w:t xml:space="preserve">Pack containing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3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4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5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6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7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Pack containing 8 vials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per mL, 8.3 mL</w:t>
            </w:r>
            <w:r w:rsidRPr="00544E10">
              <w:rPr>
                <w:rFonts w:asciiTheme="minorHAnsi" w:hAnsiTheme="minorHAnsi" w:cstheme="minorHAnsi"/>
                <w:color w:val="000000"/>
                <w:sz w:val="18"/>
                <w:szCs w:val="18"/>
              </w:rPr>
              <w:br/>
              <w:t xml:space="preserve">Pack containing 9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Zolgensma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681D249" w14:textId="383863DF"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Spinal muscular atrophy (SMA)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6D34F3" w14:textId="665C3A33"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expand the current PBS listing for onasemnogene abeparvovec for the treatment of SMA to include paediatric patients weighing up to 21 kg.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119546FD" w14:textId="7B31AEB6" w:rsidR="00D72E30" w:rsidRPr="00544E10" w:rsidRDefault="00D72E30" w:rsidP="00D72E30">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Pr>
          <w:p w14:paraId="545AE11D" w14:textId="77777777" w:rsidR="00D72E30" w:rsidRDefault="00D72E30" w:rsidP="00D72E30">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expanding the current listing of onasemnogene abeparvovec (ONA) to include treatment of SMA patients with:</w:t>
            </w:r>
          </w:p>
          <w:p w14:paraId="394379AC" w14:textId="029D5AF5" w:rsidR="00D72E30" w:rsidRDefault="00D72E30" w:rsidP="00D72E30">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Symptomatic Type I-IIIa SMA, weighing up to 21 kg</w:t>
            </w:r>
          </w:p>
          <w:p w14:paraId="10A7A5C3" w14:textId="6DCA3D44" w:rsidR="00D72E30" w:rsidRDefault="00D72E30" w:rsidP="00D72E30">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Pre-symptomatic SMA with 1-3 copies SMN2, weighing up to 21 kg, where treatment with disease modifying treatments (DMTs) was initiated prior to 36 months of age</w:t>
            </w:r>
          </w:p>
          <w:p w14:paraId="50823548" w14:textId="7DC0F028" w:rsidR="00D72E30" w:rsidRPr="00D72E30" w:rsidRDefault="00D72E30" w:rsidP="00D72E30">
            <w:pPr>
              <w:pStyle w:val="ListParagraph"/>
              <w:numPr>
                <w:ilvl w:val="0"/>
                <w:numId w:val="3"/>
              </w:numPr>
              <w:jc w:val="both"/>
              <w:rPr>
                <w:rFonts w:asciiTheme="minorHAnsi" w:hAnsiTheme="minorHAnsi" w:cstheme="minorHAnsi"/>
                <w:color w:val="000000"/>
                <w:sz w:val="18"/>
                <w:szCs w:val="18"/>
              </w:rPr>
            </w:pPr>
            <w:r>
              <w:rPr>
                <w:rFonts w:asciiTheme="minorHAnsi" w:hAnsiTheme="minorHAnsi" w:cstheme="minorHAnsi"/>
                <w:color w:val="000000"/>
                <w:sz w:val="18"/>
                <w:szCs w:val="18"/>
              </w:rPr>
              <w:t>P</w:t>
            </w:r>
            <w:r w:rsidRPr="00D72E30">
              <w:rPr>
                <w:rFonts w:asciiTheme="minorHAnsi" w:hAnsiTheme="minorHAnsi" w:cstheme="minorHAnsi"/>
                <w:color w:val="000000"/>
                <w:sz w:val="18"/>
                <w:szCs w:val="18"/>
              </w:rPr>
              <w:t>re-symptomatic SMA with 1-3 copies SMN2, up to 36 months of age, where patients are untreated with DMTs.</w:t>
            </w:r>
          </w:p>
          <w:p w14:paraId="26D1235D" w14:textId="53D24338" w:rsidR="00D72E30" w:rsidRPr="00D72E30" w:rsidRDefault="00D72E30" w:rsidP="00D72E30">
            <w:p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The PBAC welcomed input from the National Paediatric Medicines Forum in support of the submission. The PBAC also acknowledged input from clinical experts indicating it would be preferable for the listing for patients with symptomatic SMA to not be limited to Type I, so as not to exclude patients with onset of symptoms at &gt;6 months of age. The PBAC recommended expanding the listings on the basis that there may be a clinical need for a small number of patients who have not received ONA prior to 9 months of age, however the PBAC noted that earlier initiation of disease-modifying treatment for SMA remains the preferred approach. The PBAC considered that although the evidence available was limited, ONA appears to be just as effective and as safe in patients older than 9 months as it is in patients younger than 9 months. The PBAC considered that ONA would be acceptably cost</w:t>
            </w:r>
            <w:r>
              <w:rPr>
                <w:rFonts w:asciiTheme="minorHAnsi" w:hAnsiTheme="minorHAnsi" w:cstheme="minorHAnsi"/>
                <w:color w:val="000000"/>
                <w:sz w:val="18"/>
                <w:szCs w:val="18"/>
              </w:rPr>
              <w:t>-</w:t>
            </w:r>
            <w:r w:rsidRPr="00D72E30">
              <w:rPr>
                <w:rFonts w:asciiTheme="minorHAnsi" w:hAnsiTheme="minorHAnsi" w:cstheme="minorHAnsi"/>
                <w:color w:val="000000"/>
                <w:sz w:val="18"/>
                <w:szCs w:val="18"/>
              </w:rPr>
              <w:t xml:space="preserve">effective in the older population at the same cost per patient as in the younger population. </w:t>
            </w:r>
          </w:p>
        </w:tc>
      </w:tr>
      <w:tr w:rsidR="00895638" w:rsidRPr="00544E10" w14:paraId="2CE75925"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6AFDF1D" w14:textId="77777777" w:rsidR="00895638" w:rsidRDefault="00895638"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OSIMERTINIB</w:t>
            </w:r>
          </w:p>
          <w:p w14:paraId="2F313673"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40 mg</w:t>
            </w:r>
          </w:p>
          <w:p w14:paraId="453189FF"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80 mg</w:t>
            </w:r>
          </w:p>
          <w:p w14:paraId="20B6CB16"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Tagrisso®</w:t>
            </w:r>
          </w:p>
          <w:p w14:paraId="50FC4D7A"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ASTRAZENECA PTY LTD</w:t>
            </w:r>
          </w:p>
          <w:p w14:paraId="0799F71C" w14:textId="1E8C8501" w:rsidR="00DF7003" w:rsidRPr="00544E10" w:rsidRDefault="00DF7003" w:rsidP="00DF7003">
            <w:pPr>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9AAFD" w14:textId="5B5FFD0B" w:rsidR="00895638" w:rsidRPr="00544E10" w:rsidRDefault="00DF7003"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Non-small cell lung cancer (NSCLC)</w:t>
            </w:r>
          </w:p>
        </w:tc>
        <w:tc>
          <w:tcPr>
            <w:tcW w:w="2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6F503F2" w14:textId="77777777" w:rsidR="00895638" w:rsidRDefault="00895638" w:rsidP="001D561D">
            <w:pPr>
              <w:jc w:val="center"/>
              <w:rPr>
                <w:rFonts w:asciiTheme="minorHAnsi" w:hAnsiTheme="minorHAnsi" w:cstheme="minorHAnsi"/>
                <w:color w:val="000000"/>
                <w:sz w:val="18"/>
                <w:szCs w:val="18"/>
              </w:rPr>
            </w:pPr>
          </w:p>
          <w:p w14:paraId="79054010" w14:textId="76B07141" w:rsidR="00DF7003" w:rsidRPr="00DF7003" w:rsidRDefault="00DF7003" w:rsidP="00DF7003">
            <w:pPr>
              <w:jc w:val="center"/>
              <w:rPr>
                <w:rFonts w:asciiTheme="minorHAnsi" w:hAnsiTheme="minorHAnsi" w:cstheme="minorHAnsi"/>
                <w:sz w:val="18"/>
                <w:szCs w:val="18"/>
              </w:rPr>
            </w:pPr>
            <w:r w:rsidRPr="00DF7003">
              <w:rPr>
                <w:rFonts w:asciiTheme="minorHAnsi" w:hAnsiTheme="minorHAnsi" w:cstheme="minorHAnsi"/>
                <w:sz w:val="18"/>
                <w:szCs w:val="18"/>
              </w:rPr>
              <w:t>Resubmission to request listing of osimertinib for first line treatment of Stage IIIB (locally advanced) or Stage IV (metastatic) epidermal growth factor receptor mutation-positive (EGFRm) NSCLC in combination with pemetrexed and platinum-based chemotherapy.</w:t>
            </w:r>
          </w:p>
          <w:p w14:paraId="60118021" w14:textId="69F5CAAA" w:rsidR="00DF7003" w:rsidRPr="00DF7003" w:rsidRDefault="00DF7003" w:rsidP="00DF7003">
            <w:pPr>
              <w:rPr>
                <w:rFonts w:asciiTheme="minorHAnsi" w:hAnsiTheme="minorHAnsi" w:cstheme="minorHAnsi"/>
                <w:sz w:val="18"/>
                <w:szCs w:val="18"/>
              </w:rPr>
            </w:pPr>
            <w:r w:rsidRPr="00DF7003">
              <w:rPr>
                <w:rFonts w:asciiTheme="minorHAnsi" w:hAnsiTheme="minorHAnsi" w:cstheme="minorHAnsi"/>
                <w:sz w:val="18"/>
                <w:szCs w:val="18"/>
              </w:rPr>
              <w:t>Authority Required (Telephone/Online)</w:t>
            </w:r>
          </w:p>
        </w:tc>
        <w:tc>
          <w:tcPr>
            <w:tcW w:w="1559" w:type="dxa"/>
            <w:shd w:val="clear" w:color="auto" w:fill="D9D9D9" w:themeFill="background1" w:themeFillShade="D9"/>
            <w:vAlign w:val="center"/>
          </w:tcPr>
          <w:p w14:paraId="1A6D5220" w14:textId="059D9404" w:rsidR="00895638" w:rsidRPr="00544E10" w:rsidRDefault="003351D9" w:rsidP="001D561D">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vAlign w:val="center"/>
          </w:tcPr>
          <w:p w14:paraId="6EF44AD2" w14:textId="6BA96DD2" w:rsidR="00895638" w:rsidRPr="00544E10" w:rsidRDefault="003351D9" w:rsidP="001D561D">
            <w:pPr>
              <w:ind w:left="11"/>
              <w:contextualSpacing/>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This item was withdrawn.</w:t>
            </w:r>
          </w:p>
        </w:tc>
      </w:tr>
      <w:tr w:rsidR="001D561D" w:rsidRPr="00544E10" w14:paraId="7BA6B2AA"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CDBA21" w14:textId="275882BD"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PEGCETACOPLAN</w:t>
            </w:r>
          </w:p>
          <w:p w14:paraId="092EC744" w14:textId="149AC528"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intravitreal injection 15 mg in 0.1 mL (150 mg per mL)</w:t>
            </w:r>
          </w:p>
          <w:p w14:paraId="0F12D2B3" w14:textId="32DCA364" w:rsidR="001D561D" w:rsidRPr="00544E10" w:rsidRDefault="001D561D" w:rsidP="001D561D">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Syfovre</w:t>
            </w:r>
            <w:proofErr w:type="spellEnd"/>
            <w:r w:rsidRPr="00544E10">
              <w:rPr>
                <w:rFonts w:asciiTheme="minorHAnsi" w:hAnsiTheme="minorHAnsi" w:cstheme="minorHAnsi"/>
                <w:color w:val="000000"/>
                <w:sz w:val="18"/>
                <w:szCs w:val="18"/>
              </w:rPr>
              <w:t>®</w:t>
            </w:r>
          </w:p>
          <w:p w14:paraId="3D9888E6" w14:textId="7BCEF545"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APELLIS AUSTRALIA PTY LTD</w:t>
            </w:r>
          </w:p>
          <w:p w14:paraId="1FC8C2B0" w14:textId="777777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Category 1</w:t>
            </w:r>
          </w:p>
          <w:p w14:paraId="1FA8B4FE" w14:textId="73E19953"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26344439" w14:textId="30C3F89E"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Bilateral geographic atrophy (GA) secondary to age-related macular degeneration (AMD)</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D67EC7" w14:textId="7712F412"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pegcetacoplan for initial and continuing treatment of bilateral GA secondary to AMD where the treated eye has an intact fovea and central vision is threatened by growth of GA lesions and the non-</w:t>
            </w:r>
            <w:r w:rsidRPr="00544E10">
              <w:rPr>
                <w:rFonts w:asciiTheme="minorHAnsi" w:hAnsiTheme="minorHAnsi" w:cstheme="minorHAnsi"/>
                <w:color w:val="000000"/>
                <w:sz w:val="18"/>
                <w:szCs w:val="18"/>
              </w:rPr>
              <w:lastRenderedPageBreak/>
              <w:t>treated eye does not have an intact fovea.</w:t>
            </w:r>
          </w:p>
          <w:p w14:paraId="59CA95CC" w14:textId="777777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Authority Required (Written or Telephone/Online) initial treatment </w:t>
            </w:r>
          </w:p>
          <w:p w14:paraId="3E2A1147" w14:textId="4BE196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for continuing treatment</w:t>
            </w:r>
          </w:p>
        </w:tc>
        <w:tc>
          <w:tcPr>
            <w:tcW w:w="1559" w:type="dxa"/>
            <w:vAlign w:val="center"/>
          </w:tcPr>
          <w:p w14:paraId="6EE5B113" w14:textId="28562787" w:rsidR="001D561D" w:rsidRPr="00544E10" w:rsidRDefault="001D561D" w:rsidP="001D561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Recommended</w:t>
            </w:r>
          </w:p>
        </w:tc>
        <w:tc>
          <w:tcPr>
            <w:tcW w:w="5639" w:type="dxa"/>
            <w:vAlign w:val="center"/>
          </w:tcPr>
          <w:p w14:paraId="0C3726C9"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7CD8FDF2" w14:textId="73F2696F" w:rsidR="001D561D" w:rsidRPr="00544E10" w:rsidRDefault="001D561D" w:rsidP="004C729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the listing of pegcetacoplan for the treatment of geographic atrophy (GA) or dry AMD secondary to age-related macular degeneration. The PBAC welcomed input from consumers, health care professionals and organisations on the benefits associated with slowing progression of GA and preservation of existing eyesight, as these outcomes most directly contributed to maintenance of quality of life and </w:t>
            </w:r>
            <w:r w:rsidRPr="00544E10">
              <w:rPr>
                <w:rFonts w:asciiTheme="minorHAnsi" w:hAnsiTheme="minorHAnsi" w:cstheme="minorHAnsi"/>
                <w:color w:val="000000" w:themeColor="text1"/>
                <w:sz w:val="18"/>
                <w:szCs w:val="18"/>
              </w:rPr>
              <w:lastRenderedPageBreak/>
              <w:t xml:space="preserve">independence. The PBAC acknowledged the high clinical need for treatments for GA, which is a leading cause of irreversible vision loss in older Australians. </w:t>
            </w:r>
          </w:p>
          <w:p w14:paraId="2B931717"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44E98FAB"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evidence from the clinical trials showed pegcetacoplan reduced GA lesion growth by around 21% with monthly dosing and 16% with every-other-month dosing at 24 months compared to sham treatment. The PBAC considered that, although the clinical trials did not demonstrate clear improvements in vision related activities, it was reasonable to assume that protecting the structure of the eye by slowing GA lesion growth will result in slower loss of functional vision than current care.  Despite uncertainty in the magnitude of this benefit on vision, the PBAC was satisfied that pegcetacoplan provides, for some patients, a significant improvement in efficacy over best supportive care. </w:t>
            </w:r>
          </w:p>
          <w:p w14:paraId="4F396372"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7CC70F66" w14:textId="67A8DB76" w:rsidR="001D561D" w:rsidRPr="00544E10" w:rsidRDefault="001D561D" w:rsidP="001D561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PBAC considered there was some uncertainty about the extent to which benefits claimed by the sponsor in support of its proposed price would be realised in practice. </w:t>
            </w:r>
            <w:proofErr w:type="gramStart"/>
            <w:r w:rsidRPr="00544E10">
              <w:rPr>
                <w:rFonts w:asciiTheme="minorHAnsi" w:hAnsiTheme="minorHAnsi" w:cstheme="minorHAnsi"/>
                <w:color w:val="000000" w:themeColor="text1"/>
                <w:sz w:val="18"/>
                <w:szCs w:val="18"/>
              </w:rPr>
              <w:t>In particular, there</w:t>
            </w:r>
            <w:proofErr w:type="gramEnd"/>
            <w:r w:rsidRPr="00544E10">
              <w:rPr>
                <w:rFonts w:asciiTheme="minorHAnsi" w:hAnsiTheme="minorHAnsi" w:cstheme="minorHAnsi"/>
                <w:color w:val="000000" w:themeColor="text1"/>
                <w:sz w:val="18"/>
                <w:szCs w:val="18"/>
              </w:rPr>
              <w:t xml:space="preserve"> was uncertainty around how microperimetry outcomes (the number of spots where perception of light is lost and where they are located) would translate to improvements in vision in practice.  The duration of benefit estimated by the sponsor was overly optimistic. The PBAC therefore considered pegcetacoplan would be acceptably cost-effective with a price reduction. In addition, the PBAC considered a financial agreement with Apellis Australia was required to manage uncertainty in the number of patients who will use pegcetacoplan and to ensure PBS reimbursement was for treatment in one eye only.</w:t>
            </w:r>
          </w:p>
        </w:tc>
      </w:tr>
      <w:tr w:rsidR="00BB2E55" w:rsidRPr="00544E10" w14:paraId="63021132" w14:textId="77777777" w:rsidTr="39DDF63A">
        <w:trPr>
          <w:cantSplit/>
          <w:trHeight w:val="86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211247" w14:textId="5791E2F5" w:rsidR="00BB2E55" w:rsidRPr="00544E10" w:rsidRDefault="0038760B" w:rsidP="00BB2E55">
            <w:pPr>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br/>
            </w:r>
            <w:r w:rsidR="00BB2E55" w:rsidRPr="00544E10">
              <w:rPr>
                <w:rFonts w:asciiTheme="minorHAnsi" w:hAnsiTheme="minorHAnsi" w:cstheme="minorHAnsi"/>
                <w:color w:val="000000"/>
                <w:sz w:val="18"/>
                <w:szCs w:val="18"/>
              </w:rPr>
              <w:t>PEMBROLIZUMAB</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Solution concentrate for I.V. infusion 100 mg in 4 mL</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Keytruda®</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lastRenderedPageBreak/>
              <w:br/>
              <w:t xml:space="preserve">MERCK SHARP &amp; DOHME  </w:t>
            </w:r>
            <w:r>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t>AUSTRALIA PTY LTD</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Category 2</w:t>
            </w:r>
            <w:r w:rsidR="00BB2E55"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20C704A3" w14:textId="17DFA036" w:rsidR="00BB2E55" w:rsidRPr="00544E10" w:rsidRDefault="00BB2E55" w:rsidP="00BB2E5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Head and neck squamous cell carcinoma (HNSCC)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09A8B3" w14:textId="7911E8D8" w:rsidR="00BB2E55" w:rsidRPr="00544E10" w:rsidRDefault="00BB2E55" w:rsidP="00BB2E5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pembrolizumab for the neoadjuvant treatment (i.e. prior to the main treatment) of patients with resectable locally advanced HNSCC, continued as adjuvant treatment (i.e. after the main </w:t>
            </w:r>
            <w:r w:rsidRPr="00544E10">
              <w:rPr>
                <w:rFonts w:asciiTheme="minorHAnsi" w:hAnsiTheme="minorHAnsi" w:cstheme="minorHAnsi"/>
                <w:color w:val="000000"/>
                <w:sz w:val="18"/>
                <w:szCs w:val="18"/>
              </w:rPr>
              <w:lastRenderedPageBreak/>
              <w:t>treatment) in combination with radiotherapy with or without chemotherapy, and then as a single agent.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23999972" w14:textId="3F1E8D45" w:rsidR="00BB2E55" w:rsidRPr="00544E10" w:rsidRDefault="00BB2E55" w:rsidP="00BB2E55">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Recommended</w:t>
            </w:r>
          </w:p>
        </w:tc>
        <w:tc>
          <w:tcPr>
            <w:tcW w:w="5639" w:type="dxa"/>
            <w:vAlign w:val="center"/>
          </w:tcPr>
          <w:p w14:paraId="7C56536B" w14:textId="77777777" w:rsidR="00BB2E55"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pembrolizumab for the treatment of resectable locally advanced head and neck squamous cell carcinoma (LA HNSCC). The proposed use includes treatment prior to surgical resection, followed by treatment after surgical resection in combination with radiotherapy, with or without chemotherapy, and subsequently as stand-alone therapy (</w:t>
            </w:r>
            <w:proofErr w:type="spellStart"/>
            <w:r w:rsidRPr="00544E10">
              <w:rPr>
                <w:rFonts w:asciiTheme="minorHAnsi" w:hAnsiTheme="minorHAnsi" w:cstheme="minorHAnsi"/>
                <w:color w:val="000000"/>
                <w:sz w:val="18"/>
                <w:szCs w:val="18"/>
              </w:rPr>
              <w:t>PEM+SoC</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t xml:space="preserve">The PBAC noted and welcomed the input from health care professionals, </w:t>
            </w:r>
            <w:r w:rsidRPr="00544E10">
              <w:rPr>
                <w:rFonts w:asciiTheme="minorHAnsi" w:hAnsiTheme="minorHAnsi" w:cstheme="minorHAnsi"/>
                <w:color w:val="000000"/>
                <w:sz w:val="18"/>
                <w:szCs w:val="18"/>
              </w:rPr>
              <w:lastRenderedPageBreak/>
              <w:t xml:space="preserve">consumers and organisations. The PBAC noted the input described the clinical meaningfulness of treatment with pembrolizumab before and after surgery, providing the potential of a reduced risk of the disease reoccurring and morbidity associated with current standard of care by minimising surgical invasiveness and reducing the intensity of chemoradiotherapy following surgery. </w:t>
            </w:r>
            <w:r w:rsidRPr="00544E10">
              <w:rPr>
                <w:rFonts w:asciiTheme="minorHAnsi" w:hAnsiTheme="minorHAnsi" w:cstheme="minorHAnsi"/>
                <w:color w:val="000000"/>
                <w:sz w:val="18"/>
                <w:szCs w:val="18"/>
              </w:rPr>
              <w:br/>
              <w:t>The PBAC agreed that there is a high clinical need for patients living with HNSCC, noting the poor clinical outcomes and severe complications associated with current standard of care.</w:t>
            </w:r>
          </w:p>
          <w:p w14:paraId="085CC48E" w14:textId="77777777" w:rsidR="00BB2E55"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br/>
              <w:t xml:space="preserve">The PBAC was satisfied that </w:t>
            </w:r>
            <w:proofErr w:type="spellStart"/>
            <w:r w:rsidRPr="00544E10">
              <w:rPr>
                <w:rFonts w:asciiTheme="minorHAnsi" w:hAnsiTheme="minorHAnsi" w:cstheme="minorHAnsi"/>
                <w:color w:val="000000"/>
                <w:sz w:val="18"/>
                <w:szCs w:val="18"/>
              </w:rPr>
              <w:t>PEM+SoC</w:t>
            </w:r>
            <w:proofErr w:type="spellEnd"/>
            <w:r w:rsidRPr="00544E10">
              <w:rPr>
                <w:rFonts w:asciiTheme="minorHAnsi" w:hAnsiTheme="minorHAnsi" w:cstheme="minorHAnsi"/>
                <w:color w:val="000000"/>
                <w:sz w:val="18"/>
                <w:szCs w:val="18"/>
              </w:rPr>
              <w:t xml:space="preserve"> improved the length of time that patients lived without their cancer progressing compared to the current standard of care. However, the PBAC considered that the survival estimates from the key trial were unlikely to reflect Australian clinical practice, due to low use of immunotherapy in the standard of care arm for patients who experienced disease recurrence. The PBAC therefore considered that the full survival gain observed in the trial would not be realised in Australia.</w:t>
            </w:r>
          </w:p>
          <w:p w14:paraId="56A069A7" w14:textId="16CB17CD" w:rsidR="00BB2E55" w:rsidRPr="00544E10"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accepted that the submission’s revised estimates of benefits and costs of pembrolizumab provided prior to the November 2025 meeting had provided greater certainty and that pembrolizumab was likely cost-effective at the reduced price proposed.</w:t>
            </w:r>
          </w:p>
        </w:tc>
      </w:tr>
      <w:tr w:rsidR="00745D29" w:rsidRPr="00544E10" w14:paraId="70B129F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A89B9" w14:textId="2679654E"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POLYETHYLENE GLYCOL 400 WITH PROPYLENE GLYCOL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Eye drops 4 mg-3 mg per mL,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dose units 0.8 mL, 28</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Systane®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ALCON LABORATORIES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696260E3" w14:textId="5C91AC56"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dry eye syndrome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2BC6C4" w14:textId="4DB4B511"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pack size of Systane (i.e.</w:t>
            </w:r>
            <w:r w:rsidR="004F7770">
              <w:rPr>
                <w:rFonts w:asciiTheme="minorHAnsi" w:hAnsiTheme="minorHAnsi" w:cstheme="minorHAnsi"/>
                <w:color w:val="000000"/>
                <w:sz w:val="18"/>
                <w:szCs w:val="18"/>
              </w:rPr>
              <w:t>,</w:t>
            </w:r>
            <w:r w:rsidRPr="00544E10">
              <w:rPr>
                <w:rFonts w:asciiTheme="minorHAnsi" w:hAnsiTheme="minorHAnsi" w:cstheme="minorHAnsi"/>
                <w:color w:val="000000"/>
                <w:sz w:val="18"/>
                <w:szCs w:val="18"/>
              </w:rPr>
              <w:t xml:space="preserve"> from 30 x 0.8 mL unit doses to 28 x 0.8 mL unit doses) for the treatment of severe dry eye syndrome.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70755964" w14:textId="56AAEB95" w:rsidR="00745D29" w:rsidRPr="00544E10" w:rsidRDefault="00745D29" w:rsidP="00745D2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60F34BD6" w14:textId="56A46427" w:rsidR="00745D29" w:rsidRPr="00544E10" w:rsidRDefault="004F7770" w:rsidP="00745D29">
            <w:pPr>
              <w:ind w:left="11"/>
              <w:contextualSpacing/>
              <w:jc w:val="both"/>
              <w:rPr>
                <w:rFonts w:asciiTheme="minorHAnsi" w:hAnsiTheme="minorHAnsi" w:cstheme="minorHAnsi"/>
                <w:color w:val="000000"/>
                <w:sz w:val="18"/>
                <w:szCs w:val="18"/>
              </w:rPr>
            </w:pPr>
            <w:r w:rsidRPr="004F7770">
              <w:rPr>
                <w:rFonts w:asciiTheme="minorHAnsi" w:hAnsiTheme="minorHAnsi" w:cstheme="minorHAnsi"/>
                <w:color w:val="000000"/>
                <w:sz w:val="18"/>
                <w:szCs w:val="18"/>
              </w:rPr>
              <w:t>The PBAC recommended the General Schedule listing of a 28-pack size of 0.8 mL single dose unit polyethylene glycol-400 0.4% with propylene glycol 0.3% eye drops (Systane®) under the same circumstances as the 30-pack listing. The PBAC accepted the 30-pack as the appropriate comparator.</w:t>
            </w:r>
          </w:p>
        </w:tc>
      </w:tr>
      <w:tr w:rsidR="004D4AE3" w:rsidRPr="00544E10" w14:paraId="2FC0CE2C"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A468D6" w14:textId="2F9071F8"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RECOMBINANT ZOSTER VACCINE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Powder and suspension for injection (0.5mL)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Shingrix®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GLAXOSMITHKLINE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5956ADE3" w14:textId="53711607"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Herpes zoster virus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59B6A1" w14:textId="3466E9B4"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National Immunisation Program listing with age eligibility criteria for non-Indigenous adults reduced from individuals aged 65 years of age and over to individuals aged 60 years of age and over.</w:t>
            </w:r>
          </w:p>
        </w:tc>
        <w:tc>
          <w:tcPr>
            <w:tcW w:w="1559" w:type="dxa"/>
            <w:vAlign w:val="center"/>
          </w:tcPr>
          <w:p w14:paraId="25C01E2C" w14:textId="6B206C17" w:rsidR="004D4AE3" w:rsidRPr="00544E10" w:rsidRDefault="004D4AE3" w:rsidP="004D4AE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6CEADF5F" w14:textId="6EA2403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did not recommend a change to the circumstances under which recombinant zoster vaccine (RZV) is made available as a designated vaccine for the purposes of the </w:t>
            </w:r>
            <w:r w:rsidRPr="00580BDD">
              <w:rPr>
                <w:rFonts w:asciiTheme="minorHAnsi" w:hAnsiTheme="minorHAnsi" w:cstheme="minorHAnsi"/>
                <w:i/>
                <w:iCs/>
                <w:color w:val="000000"/>
                <w:sz w:val="18"/>
                <w:szCs w:val="18"/>
              </w:rPr>
              <w:t>National Health Act 1953</w:t>
            </w:r>
            <w:r w:rsidRPr="006B6BF5">
              <w:rPr>
                <w:rFonts w:asciiTheme="minorHAnsi" w:hAnsiTheme="minorHAnsi" w:cstheme="minorHAnsi"/>
                <w:color w:val="000000"/>
                <w:sz w:val="18"/>
                <w:szCs w:val="18"/>
              </w:rPr>
              <w:t xml:space="preserve">. RZV (Shingrix) prevents shingles infection, caused by the herpes zoster (HZ) virus.  The submission sought to lower the age of vaccination from 65 years of age to 60 years of age on the National Immunisation Program.  </w:t>
            </w:r>
          </w:p>
          <w:p w14:paraId="5B1C7ADC"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0988438A"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welcomed input from health care professionals, medical organisations, consumer groups and individuals. The PBAC noted the potential long-term impact of HZ and post-herpetic neuralgia (PHN) (pain in the nerves and skin that can occur in some patients after infection with HZ) on patients’ health and quality of life. </w:t>
            </w:r>
          </w:p>
          <w:p w14:paraId="158BC696"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4B93BAB5"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In comparing RZV to no vaccination in individuals 60 to 64 years of age, the PBAC considered that RZV was more effective but less safe than no vaccine.  The PBAC considered the submission evidence showed RZV would result in durable protection against HZ and PHN for up to approximately 8 to 10 years, but that protection from the vaccine would likely reduce over time. As such, the PBAC considered vaccinating individuals at 60 years of age </w:t>
            </w:r>
            <w:r w:rsidRPr="006B6BF5">
              <w:rPr>
                <w:rFonts w:asciiTheme="minorHAnsi" w:hAnsiTheme="minorHAnsi" w:cstheme="minorHAnsi"/>
                <w:color w:val="000000"/>
                <w:sz w:val="18"/>
                <w:szCs w:val="18"/>
              </w:rPr>
              <w:lastRenderedPageBreak/>
              <w:t xml:space="preserve">would result in a reduction in protection in older individuals when the prevalence of HZ and PHN was higher and morbidity could be more severe. </w:t>
            </w:r>
          </w:p>
          <w:p w14:paraId="044379E7"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7D6E86B8" w14:textId="06B4E85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Noting that it is unclear how long vaccine effectiveness lasts, the PBAC considered it was uncertain whether RZV would be cost-effective at the price proposed by the sponsor. The PBAC also noted the financial cost to the Commonwealth of lowering the age of vaccination was high.  </w:t>
            </w:r>
          </w:p>
          <w:p w14:paraId="0FAA2D75" w14:textId="77777777" w:rsidR="00BD791D" w:rsidRDefault="00BD791D" w:rsidP="006B6BF5">
            <w:pPr>
              <w:ind w:left="11"/>
              <w:contextualSpacing/>
              <w:jc w:val="both"/>
              <w:rPr>
                <w:rFonts w:asciiTheme="minorHAnsi" w:hAnsiTheme="minorHAnsi" w:cstheme="minorHAnsi"/>
                <w:color w:val="000000"/>
                <w:sz w:val="18"/>
                <w:szCs w:val="18"/>
              </w:rPr>
            </w:pPr>
          </w:p>
          <w:p w14:paraId="787AC82D" w14:textId="186DB7E2" w:rsidR="00BD791D" w:rsidRDefault="00BD791D" w:rsidP="006B6BF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20318922" w14:textId="77777777" w:rsidR="00BD791D" w:rsidRDefault="00BD791D" w:rsidP="006B6BF5">
            <w:pPr>
              <w:ind w:left="11"/>
              <w:contextualSpacing/>
              <w:jc w:val="both"/>
              <w:rPr>
                <w:rFonts w:asciiTheme="minorHAnsi" w:hAnsiTheme="minorHAnsi" w:cstheme="minorHAnsi"/>
                <w:color w:val="000000"/>
                <w:sz w:val="18"/>
                <w:szCs w:val="18"/>
              </w:rPr>
            </w:pPr>
          </w:p>
          <w:p w14:paraId="5652562D" w14:textId="6D8DB5AB" w:rsidR="004D4AE3" w:rsidRPr="00544E10" w:rsidRDefault="00BD791D" w:rsidP="00BD791D">
            <w:pPr>
              <w:ind w:left="11"/>
              <w:contextualSpacing/>
              <w:jc w:val="both"/>
              <w:rPr>
                <w:rFonts w:asciiTheme="minorHAnsi" w:hAnsiTheme="minorHAnsi" w:cstheme="minorHAnsi"/>
                <w:color w:val="000000"/>
                <w:sz w:val="18"/>
                <w:szCs w:val="18"/>
              </w:rPr>
            </w:pPr>
            <w:r w:rsidRPr="00BD791D">
              <w:rPr>
                <w:rFonts w:asciiTheme="minorHAnsi" w:hAnsiTheme="minorHAnsi" w:cstheme="minorHAnsi"/>
                <w:color w:val="000000"/>
                <w:sz w:val="18"/>
                <w:szCs w:val="18"/>
              </w:rPr>
              <w:t>GSK acknowledges the PBAC’s decision regarding Shingrix for adults aged 60–64 years. We remain committed to ensuring Australians have access to effective prevention against shingles and its complications. Herpes zoster continues to impose a significant impact on health, productivity and quality-of-life burden, and vaccination is the most effective way to reduce this risk. We look forward to continuing to work with the Government to improve coverage in the existing populations, while also seeking to expand eligibility for Shingrix vaccination on the NIP to populations who remain at risk of shingles.</w:t>
            </w:r>
          </w:p>
        </w:tc>
      </w:tr>
      <w:tr w:rsidR="00220950" w:rsidRPr="00544E10" w14:paraId="18F2A269"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B22EF3" w14:textId="21418C8B"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RESPIRATORY SYNCYTIAL VIRUS VACCINE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Solution for injection 50 µg in 0.5 mL pre-filled syringe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mResvia</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MODERNA AUSTRALIA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2</w:t>
            </w:r>
            <w:r w:rsidRPr="00544E10">
              <w:rPr>
                <w:rFonts w:asciiTheme="minorHAnsi" w:hAnsiTheme="minorHAnsi" w:cstheme="minorHAnsi"/>
                <w:color w:val="000000" w:themeColor="text1"/>
                <w:sz w:val="18"/>
                <w:szCs w:val="18"/>
              </w:rPr>
              <w:br/>
              <w:t>(New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58BFE642" w14:textId="6AB98623"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Prevention of lower respiratory tract disease caused by respiratory syncytial virus (RSV)</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F164D7" w14:textId="6A5BDE27"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a National Immunisation Program listing for the prevention of lower respiratory tract disease caused by RSV in individuals aged over 75 years and Aboriginal and Torres Strait Islander people aged over 60 years.</w:t>
            </w:r>
          </w:p>
        </w:tc>
        <w:tc>
          <w:tcPr>
            <w:tcW w:w="1559" w:type="dxa"/>
            <w:vAlign w:val="center"/>
          </w:tcPr>
          <w:p w14:paraId="4BB67767" w14:textId="61667E85" w:rsidR="00220950" w:rsidRPr="00544E10" w:rsidRDefault="00220950" w:rsidP="00220950">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5C31779E"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The PBAC deferred its consideration of respiratory syncytial virus (RSV) vaccine mRNA-1345 (</w:t>
            </w:r>
            <w:proofErr w:type="spellStart"/>
            <w:r w:rsidRPr="006B6BF5">
              <w:rPr>
                <w:rFonts w:asciiTheme="minorHAnsi" w:hAnsiTheme="minorHAnsi" w:cstheme="minorHAnsi"/>
                <w:color w:val="000000"/>
                <w:sz w:val="18"/>
                <w:szCs w:val="18"/>
              </w:rPr>
              <w:t>mRESVIA</w:t>
            </w:r>
            <w:proofErr w:type="spellEnd"/>
            <w:r w:rsidRPr="006B6BF5">
              <w:rPr>
                <w:rFonts w:asciiTheme="minorHAnsi" w:hAnsiTheme="minorHAnsi" w:cstheme="minorHAnsi"/>
                <w:color w:val="000000"/>
                <w:sz w:val="18"/>
                <w:szCs w:val="18"/>
              </w:rPr>
              <w:t xml:space="preserve">®) for the prevention of lower respiratory tract disease (LRTD) caused by RSV in individuals aged 75 years of age and above, and for Aboriginal and Torres Strait Islander peoples aged 60 to 74 years of age. Consistent with its previous advice, the PBAC considered there is a high clinical need for vaccines against RSV to reduce the risk of infection in older adults, especially for those aged over 75 years, for Aboriginal and Torres Strait Islander peoples aged 60 to 74 years of age, and for those vulnerable due to existing medical conditions. </w:t>
            </w:r>
          </w:p>
          <w:p w14:paraId="14896AA9" w14:textId="77777777" w:rsidR="006B6BF5" w:rsidRDefault="006B6BF5" w:rsidP="006B6BF5">
            <w:pPr>
              <w:ind w:left="11"/>
              <w:contextualSpacing/>
              <w:jc w:val="both"/>
              <w:rPr>
                <w:rFonts w:asciiTheme="minorHAnsi" w:hAnsiTheme="minorHAnsi" w:cstheme="minorHAnsi"/>
                <w:color w:val="000000"/>
                <w:sz w:val="18"/>
                <w:szCs w:val="18"/>
              </w:rPr>
            </w:pPr>
          </w:p>
          <w:p w14:paraId="6055C887" w14:textId="70C6C53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The PBAC acknowledged input from the Australian College of Nurse Practitioners, Asthma Australia, and Lung Foundation Australia and noted that they supported listing a vaccine against RSV. The organisations did not preference a particular RSV vaccine in their input.</w:t>
            </w:r>
          </w:p>
          <w:p w14:paraId="5907D555"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0A099C2B" w14:textId="77777777" w:rsidR="00220950"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considered that the clinical place of mRNA-1345 is uncertain and impacted by the potential NIP listing of previously recommended RSV vaccines, </w:t>
            </w:r>
            <w:proofErr w:type="spellStart"/>
            <w:r w:rsidRPr="006B6BF5">
              <w:rPr>
                <w:rFonts w:asciiTheme="minorHAnsi" w:hAnsiTheme="minorHAnsi" w:cstheme="minorHAnsi"/>
                <w:color w:val="000000"/>
                <w:sz w:val="18"/>
                <w:szCs w:val="18"/>
              </w:rPr>
              <w:t>RSVPreF</w:t>
            </w:r>
            <w:proofErr w:type="spellEnd"/>
            <w:r w:rsidRPr="006B6BF5">
              <w:rPr>
                <w:rFonts w:asciiTheme="minorHAnsi" w:hAnsiTheme="minorHAnsi" w:cstheme="minorHAnsi"/>
                <w:color w:val="000000"/>
                <w:sz w:val="18"/>
                <w:szCs w:val="18"/>
              </w:rPr>
              <w:t xml:space="preserve"> (</w:t>
            </w:r>
            <w:proofErr w:type="spellStart"/>
            <w:r w:rsidRPr="006B6BF5">
              <w:rPr>
                <w:rFonts w:asciiTheme="minorHAnsi" w:hAnsiTheme="minorHAnsi" w:cstheme="minorHAnsi"/>
                <w:color w:val="000000"/>
                <w:sz w:val="18"/>
                <w:szCs w:val="18"/>
              </w:rPr>
              <w:t>Abrysvo</w:t>
            </w:r>
            <w:proofErr w:type="spellEnd"/>
            <w:r w:rsidRPr="006B6BF5">
              <w:rPr>
                <w:rFonts w:asciiTheme="minorHAnsi" w:hAnsiTheme="minorHAnsi" w:cstheme="minorHAnsi"/>
                <w:color w:val="000000"/>
                <w:sz w:val="18"/>
                <w:szCs w:val="18"/>
              </w:rPr>
              <w:t>®) and RSVPreF3 OA (</w:t>
            </w:r>
            <w:proofErr w:type="spellStart"/>
            <w:r w:rsidRPr="006B6BF5">
              <w:rPr>
                <w:rFonts w:asciiTheme="minorHAnsi" w:hAnsiTheme="minorHAnsi" w:cstheme="minorHAnsi"/>
                <w:color w:val="000000"/>
                <w:sz w:val="18"/>
                <w:szCs w:val="18"/>
              </w:rPr>
              <w:t>Arexvy</w:t>
            </w:r>
            <w:proofErr w:type="spellEnd"/>
            <w:r w:rsidRPr="006B6BF5">
              <w:rPr>
                <w:rFonts w:asciiTheme="minorHAnsi" w:hAnsiTheme="minorHAnsi" w:cstheme="minorHAnsi"/>
                <w:color w:val="000000"/>
                <w:sz w:val="18"/>
                <w:szCs w:val="18"/>
              </w:rPr>
              <w:t xml:space="preserve">®). Based on the clinical evidence included in the submission, the PBAC was satisfied that mRNA-1345 was more effective at preventing lower respiratory disease than no vaccination for adults aged 60 years and over for up to 16 months. The PBAC was not satisfied that mRNA-1345 was more effective than no vaccination for people over 75 years old. The PBAC was also not satisfied that the evidence included in the submission demonstrated that mRNA-1345 would be as effective as </w:t>
            </w:r>
            <w:proofErr w:type="spellStart"/>
            <w:r w:rsidRPr="006B6BF5">
              <w:rPr>
                <w:rFonts w:asciiTheme="minorHAnsi" w:hAnsiTheme="minorHAnsi" w:cstheme="minorHAnsi"/>
                <w:color w:val="000000"/>
                <w:sz w:val="18"/>
                <w:szCs w:val="18"/>
              </w:rPr>
              <w:t>RSVPreF</w:t>
            </w:r>
            <w:proofErr w:type="spellEnd"/>
            <w:r w:rsidRPr="006B6BF5">
              <w:rPr>
                <w:rFonts w:asciiTheme="minorHAnsi" w:hAnsiTheme="minorHAnsi" w:cstheme="minorHAnsi"/>
                <w:color w:val="000000"/>
                <w:sz w:val="18"/>
                <w:szCs w:val="18"/>
              </w:rPr>
              <w:t xml:space="preserve"> and/or RSVPreF3 OA.</w:t>
            </w:r>
          </w:p>
          <w:p w14:paraId="27CCEBA6" w14:textId="77777777" w:rsidR="00F7796F" w:rsidRDefault="00F7796F" w:rsidP="006B6BF5">
            <w:pPr>
              <w:ind w:left="11"/>
              <w:contextualSpacing/>
              <w:jc w:val="both"/>
              <w:rPr>
                <w:rFonts w:asciiTheme="minorHAnsi" w:hAnsiTheme="minorHAnsi" w:cstheme="minorHAnsi"/>
                <w:color w:val="000000"/>
                <w:sz w:val="18"/>
                <w:szCs w:val="18"/>
              </w:rPr>
            </w:pPr>
          </w:p>
          <w:p w14:paraId="2B6702FD" w14:textId="6A963C29" w:rsidR="00F7796F"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6010825F" w14:textId="77777777" w:rsidR="00F7796F" w:rsidRDefault="00F7796F" w:rsidP="00F7796F">
            <w:pPr>
              <w:contextualSpacing/>
              <w:jc w:val="both"/>
              <w:rPr>
                <w:rFonts w:asciiTheme="minorHAnsi" w:hAnsiTheme="minorHAnsi" w:cstheme="minorHAnsi"/>
                <w:color w:val="000000"/>
                <w:sz w:val="18"/>
                <w:szCs w:val="18"/>
              </w:rPr>
            </w:pPr>
            <w:r w:rsidRPr="00F7796F">
              <w:rPr>
                <w:rFonts w:asciiTheme="minorHAnsi" w:hAnsiTheme="minorHAnsi" w:cstheme="minorHAnsi"/>
                <w:color w:val="000000"/>
                <w:sz w:val="18"/>
                <w:szCs w:val="18"/>
              </w:rPr>
              <w:t>Moderna notes the PBAC's decision to defer its recommendation for mRNA-1345 (</w:t>
            </w:r>
            <w:proofErr w:type="spellStart"/>
            <w:r w:rsidRPr="00F7796F">
              <w:rPr>
                <w:rFonts w:asciiTheme="minorHAnsi" w:hAnsiTheme="minorHAnsi" w:cstheme="minorHAnsi"/>
                <w:color w:val="000000"/>
                <w:sz w:val="18"/>
                <w:szCs w:val="18"/>
              </w:rPr>
              <w:t>mRESVIA</w:t>
            </w:r>
            <w:proofErr w:type="spellEnd"/>
            <w:r w:rsidRPr="00F7796F">
              <w:rPr>
                <w:rFonts w:asciiTheme="minorHAnsi" w:hAnsiTheme="minorHAnsi" w:cstheme="minorHAnsi"/>
                <w:color w:val="000000"/>
                <w:sz w:val="18"/>
                <w:szCs w:val="18"/>
              </w:rPr>
              <w:t>) for NIP listing, and remains confident in the evidence supporting the clinical profile and public health values of mRNA-1345, including protection in adults aged 60 years and over. Moderna will continue to work with the PBAC and the Department of Health</w:t>
            </w:r>
            <w:r>
              <w:rPr>
                <w:rFonts w:asciiTheme="minorHAnsi" w:hAnsiTheme="minorHAnsi" w:cstheme="minorHAnsi"/>
                <w:color w:val="000000"/>
                <w:sz w:val="18"/>
                <w:szCs w:val="18"/>
              </w:rPr>
              <w:t xml:space="preserve">, Disability and Ageing </w:t>
            </w:r>
            <w:r w:rsidRPr="00F7796F">
              <w:rPr>
                <w:rFonts w:asciiTheme="minorHAnsi" w:hAnsiTheme="minorHAnsi" w:cstheme="minorHAnsi"/>
                <w:color w:val="000000"/>
                <w:sz w:val="18"/>
                <w:szCs w:val="18"/>
              </w:rPr>
              <w:t>to support a shared understanding of the evidence and study design, address the PBAC's outstanding questions, and supports timeliness access for populations at higher risk of RSV disease.</w:t>
            </w:r>
          </w:p>
          <w:p w14:paraId="320F8874" w14:textId="368C826F" w:rsidR="00F7796F" w:rsidRPr="00544E10" w:rsidRDefault="00F7796F" w:rsidP="00F7796F">
            <w:pPr>
              <w:contextualSpacing/>
              <w:jc w:val="both"/>
              <w:rPr>
                <w:rFonts w:asciiTheme="minorHAnsi" w:hAnsiTheme="minorHAnsi" w:cstheme="minorHAnsi"/>
                <w:color w:val="000000"/>
                <w:sz w:val="18"/>
                <w:szCs w:val="18"/>
              </w:rPr>
            </w:pPr>
          </w:p>
        </w:tc>
      </w:tr>
      <w:tr w:rsidR="00440AC5" w:rsidRPr="00544E10" w14:paraId="5D74388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4D4893" w14:textId="14A126AE"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Solution concentrate for  I.V. infusion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Zynyz</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2E5EC3F" w14:textId="37624823"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Merkel cell carcinoma (MCC)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A4F33F" w14:textId="507647BF"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the treatment of metastatic or recurrent, locally advanced MCC not amenable to curative surgery or radiation.</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(STREAMLINED)</w:t>
            </w:r>
          </w:p>
        </w:tc>
        <w:tc>
          <w:tcPr>
            <w:tcW w:w="1559" w:type="dxa"/>
            <w:vAlign w:val="center"/>
          </w:tcPr>
          <w:p w14:paraId="181480DF" w14:textId="64AB4CD7" w:rsidR="00440AC5" w:rsidRPr="00544E10" w:rsidRDefault="00440AC5" w:rsidP="00440AC5">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788A5F87" w14:textId="1AA62562"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making a recommendation for the listing of retifanlimab for the treatment of Merkel cell carcinoma (MCC, a type of skin cancer) which has spread to another part of the body or recurred and is cannot be cured by surgery or radiation. </w:t>
            </w:r>
          </w:p>
          <w:p w14:paraId="6F7FBAA5"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2284ED8"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individuals, health care professionals and organisations. The PBAC acknowledged that MCC is a rare and aggressive form of cancer. The PBAC noted that there are other treatment options such as avelumab and chemotherapy and considered there was a small need for new therapies. The PBAC noted potential benefits associated with retifanlimab compared to avelumab, including less frequent dosing and a faster infusion rate, which would likely improve access for rural and regional patients. The PBAC noted the availability of retifanlimab will provide access to a small number of extra patients with locally advanced MCC.  </w:t>
            </w:r>
          </w:p>
          <w:p w14:paraId="2F657489"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62346ADB"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did not accept the sponsor’s claim that retifanlimab is more safe and effective than avelumab for the treatment of MCC but accepted that retifanlimab is as safe and effective as avelumab for MCC. </w:t>
            </w:r>
          </w:p>
          <w:p w14:paraId="0FF45184"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8780C94" w14:textId="77777777" w:rsidR="00440AC5"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w:t>
            </w:r>
            <w:proofErr w:type="gramStart"/>
            <w:r w:rsidRPr="003E73D2">
              <w:rPr>
                <w:rFonts w:asciiTheme="minorHAnsi" w:hAnsiTheme="minorHAnsi" w:cstheme="minorHAnsi"/>
                <w:color w:val="000000"/>
                <w:sz w:val="18"/>
                <w:szCs w:val="18"/>
              </w:rPr>
              <w:t>making a decision</w:t>
            </w:r>
            <w:proofErr w:type="gramEnd"/>
            <w:r w:rsidRPr="003E73D2">
              <w:rPr>
                <w:rFonts w:asciiTheme="minorHAnsi" w:hAnsiTheme="minorHAnsi" w:cstheme="minorHAnsi"/>
                <w:color w:val="000000"/>
                <w:sz w:val="18"/>
                <w:szCs w:val="18"/>
              </w:rPr>
              <w:t xml:space="preserve"> on the PBS listing of retifanlimab as it is unknown at this stage whether the Therapeutic Goods Administration (TGA) is inclined to approve the registration of retifanlimab. Pending the provision of a positive evaluation by the TGA, the PBAC was of a mind to recommend retifanlimab at a cost no higher than that of avelumab for a course of treatment with a small increase in the overall financial cost because of the additional locally advanced MCC patients. The PBAC considered that 500 mg of retifanlimab every 4 weeks would be equivalent to 800 mg of avelumab every 2 weeks, based on the flat dosing regimens recommended in their respective product information. </w:t>
            </w:r>
          </w:p>
          <w:p w14:paraId="72E89B4A" w14:textId="77777777" w:rsidR="00F7796F" w:rsidRDefault="00F7796F" w:rsidP="003E73D2">
            <w:pPr>
              <w:ind w:left="11"/>
              <w:contextualSpacing/>
              <w:jc w:val="both"/>
              <w:rPr>
                <w:rFonts w:asciiTheme="minorHAnsi" w:hAnsiTheme="minorHAnsi" w:cstheme="minorHAnsi"/>
                <w:color w:val="000000"/>
                <w:sz w:val="18"/>
                <w:szCs w:val="18"/>
              </w:rPr>
            </w:pPr>
          </w:p>
          <w:p w14:paraId="2D5E0D6A" w14:textId="77777777" w:rsidR="00F7796F"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65A09B57" w14:textId="575E7C84" w:rsidR="00F7796F" w:rsidRPr="00544E10"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The sponsor had no comment. </w:t>
            </w:r>
          </w:p>
        </w:tc>
      </w:tr>
      <w:tr w:rsidR="00440AC5" w:rsidRPr="00544E10" w14:paraId="33F361F7"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A8E69C" w14:textId="4A8A11D2"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Solution concentrate for I.V. infusion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Zynyz</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0A3D387" w14:textId="649381D6"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Squamous cell anal carcinoma (SCAC)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7F6A840" w14:textId="09E8E80E"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use in combination with carboplatin and paclitaxel for the treatment of inoperable locally recurrent or metastatic SCAC not previously treated with systemic chemotherapy.</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(STREAMLINED)</w:t>
            </w:r>
          </w:p>
        </w:tc>
        <w:tc>
          <w:tcPr>
            <w:tcW w:w="1559" w:type="dxa"/>
            <w:vAlign w:val="center"/>
          </w:tcPr>
          <w:p w14:paraId="7CA180A7" w14:textId="471B177C" w:rsidR="00440AC5" w:rsidRPr="00544E10" w:rsidRDefault="00440AC5" w:rsidP="00440AC5">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05447FC4" w14:textId="57D637DB"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w:t>
            </w:r>
            <w:proofErr w:type="gramStart"/>
            <w:r w:rsidRPr="003E73D2">
              <w:rPr>
                <w:rFonts w:asciiTheme="minorHAnsi" w:hAnsiTheme="minorHAnsi" w:cstheme="minorHAnsi"/>
                <w:color w:val="000000"/>
                <w:sz w:val="18"/>
                <w:szCs w:val="18"/>
              </w:rPr>
              <w:t>making a decision</w:t>
            </w:r>
            <w:proofErr w:type="gramEnd"/>
            <w:r w:rsidRPr="003E73D2">
              <w:rPr>
                <w:rFonts w:asciiTheme="minorHAnsi" w:hAnsiTheme="minorHAnsi" w:cstheme="minorHAnsi"/>
                <w:color w:val="000000"/>
                <w:sz w:val="18"/>
                <w:szCs w:val="18"/>
              </w:rPr>
              <w:t xml:space="preserve"> on whether retifanlimab should be subsidised on the PBS when used together with chemotherapy (carboplatin and paclitaxel), to treat people with cancer of the lining of the anus, specifically squamous cell anal cancer (SCAC) where the cancer cannot be removed by surgery, has spread, and has not been previously treated with chemotherapy. The PBAC was inclined to recommend retifanlimab once a positive assessment from the TGA is available, based on evidence from a randomised clinical trial (RCT) showing that adding retifanlimab to chemotherapy helped people live longer without their cancer getting worse compared to chemotherapy alone.</w:t>
            </w:r>
          </w:p>
          <w:p w14:paraId="2FE641AB"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2F721131"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health professionals and organisations. These comments described the serious impact of advanced SCAC on people’s lives and the need for better treatments. The PBAC acknowledged that improving treatment response and survival is the most important outcome for people living with this disease. The PBAC also acknowledged that there is a high need for new treatments for this rare cancer. Current chemotherapy options are only moderately effective, and the cancer usually returns or gets worse. </w:t>
            </w:r>
          </w:p>
          <w:p w14:paraId="460A56FF"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5B85872" w14:textId="77777777" w:rsid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accepted that retifanlimab was more effective than chemotherapy alone at delaying cancer progression. There is likely an improvement in how long people live overall, but the size of this benefit is uncertain because the survival data is still immature and many patients in the trial switched treatments after their cancer had progressed. The PBAC also concluded that retifanlimab caused more side effects than chemotherapy alone, as is expected when adding an immunotherapy drug. The PBAC considered that the medicine would be acceptable at a lower price. </w:t>
            </w:r>
          </w:p>
          <w:p w14:paraId="2EB51EC1" w14:textId="77777777" w:rsidR="00F7796F" w:rsidRDefault="00F7796F" w:rsidP="003E73D2">
            <w:pPr>
              <w:ind w:left="11"/>
              <w:contextualSpacing/>
              <w:jc w:val="both"/>
              <w:rPr>
                <w:rFonts w:asciiTheme="minorHAnsi" w:hAnsiTheme="minorHAnsi" w:cstheme="minorHAnsi"/>
                <w:color w:val="000000"/>
                <w:sz w:val="18"/>
                <w:szCs w:val="18"/>
              </w:rPr>
            </w:pPr>
          </w:p>
          <w:p w14:paraId="6E1C8DAB" w14:textId="7ACBB67D" w:rsidR="00F7796F"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5AD18BF7" w14:textId="38613DAA" w:rsidR="00440AC5" w:rsidRPr="00544E10" w:rsidRDefault="00F7796F" w:rsidP="00F7796F">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1F4E2D" w:rsidRPr="00544E10" w14:paraId="077DBDA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021567" w14:textId="668A7937"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RISDIPLAM</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Evrysdi</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ROCHE PRODUCTS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9FBCDA3" w14:textId="69591C41"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Spinal muscular atrophy (SMA)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0CA90E" w14:textId="1A9DCB53"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risdiplam for the treatment of SMA.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CBE3276" w14:textId="328DDD3C" w:rsidR="001F4E2D" w:rsidRPr="00544E10" w:rsidRDefault="001F4E2D" w:rsidP="001F4E2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7A2B170" w14:textId="076D157A" w:rsidR="001F4E2D" w:rsidRPr="00544E10" w:rsidRDefault="001F4E2D" w:rsidP="001F4E2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risdiplam 5 mg tablets for the treatment of patients with spinal muscular atrophy. The PBAC considered the tablet formulation to be non-inferior to the oral solution in both clinical effectiveness and safety. The PBAC welcomed consumer input and noted that, for some patients, the tablet formulation is a more convenient alternative to the oral solution, due to its transportability and dispersibility properties.</w:t>
            </w:r>
          </w:p>
        </w:tc>
      </w:tr>
      <w:tr w:rsidR="0094651C" w:rsidRPr="00544E10" w14:paraId="0E3085C4" w14:textId="77777777" w:rsidTr="39DDF63A">
        <w:trPr>
          <w:cantSplit/>
          <w:trHeight w:val="129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075D8" w14:textId="5549C03F"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SEMAGLUTIDE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0.25 mg in 0.5 mL single dose pre-filled pen</w:t>
            </w:r>
            <w:r w:rsidRPr="00544E10">
              <w:rPr>
                <w:rFonts w:asciiTheme="minorHAnsi" w:hAnsiTheme="minorHAnsi" w:cstheme="minorHAnsi"/>
                <w:color w:val="000000"/>
                <w:sz w:val="18"/>
                <w:szCs w:val="18"/>
              </w:rPr>
              <w:br/>
              <w:t>Solution for injection 0.5 mg in 0.5 mL single dose pre-filled pen</w:t>
            </w:r>
            <w:r w:rsidRPr="00544E10">
              <w:rPr>
                <w:rFonts w:asciiTheme="minorHAnsi" w:hAnsiTheme="minorHAnsi" w:cstheme="minorHAnsi"/>
                <w:color w:val="000000"/>
                <w:sz w:val="18"/>
                <w:szCs w:val="18"/>
              </w:rPr>
              <w:br/>
              <w:t>Solution for injection 1 mg in 0.5 mL single dose pre-filled pen</w:t>
            </w:r>
            <w:r w:rsidRPr="00544E10">
              <w:rPr>
                <w:rFonts w:asciiTheme="minorHAnsi" w:hAnsiTheme="minorHAnsi" w:cstheme="minorHAnsi"/>
                <w:color w:val="000000"/>
                <w:sz w:val="18"/>
                <w:szCs w:val="18"/>
              </w:rPr>
              <w:br/>
              <w:t>Solution for injection 1.7 mg in 0.75 mL single dose pre-filled pen</w:t>
            </w:r>
            <w:r w:rsidRPr="00544E10">
              <w:rPr>
                <w:rFonts w:asciiTheme="minorHAnsi" w:hAnsiTheme="minorHAnsi" w:cstheme="minorHAnsi"/>
                <w:color w:val="000000"/>
                <w:sz w:val="18"/>
                <w:szCs w:val="18"/>
              </w:rPr>
              <w:br/>
              <w:t>Solution for injection 2.4mg in 0.75mL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Wegovy</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NOVO NORDISK PHARMACEUTICALS PTY</w:t>
            </w:r>
            <w:r w:rsidR="00647A54">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2715CDB1" w14:textId="2EE7B863"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Established cardiovascular disease </w:t>
            </w:r>
            <w:r w:rsidRPr="00544E10">
              <w:rPr>
                <w:rFonts w:asciiTheme="minorHAnsi" w:hAnsiTheme="minorHAnsi" w:cstheme="minorHAnsi"/>
                <w:color w:val="000000"/>
                <w:sz w:val="18"/>
                <w:szCs w:val="18"/>
              </w:rPr>
              <w:br/>
              <w:t>(eCVD) with obesity</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80BA46" w14:textId="0A997D05"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semaglutide for the treatment of patients with eCVD living with overweight or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0776C109" w14:textId="3D5DCE22" w:rsidR="0094651C" w:rsidRPr="00544E10" w:rsidRDefault="0094651C" w:rsidP="0094651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55D4135B"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that semaglutide be subsidised through the Pharmaceutical Benefits Scheme (PBS) for adults with established cardiovascular disease (eCVD) with obesity. Patients must have already experienced a cardiovascular event such as a heart attack, stroke, or have symptomatic peripheral arterial disease. The PBAC noted the submission proposed three potential patient populations based on different Body Mass Index (BMI) cut-offs: ≥27 kg/m2, ≥35 kg/m2 and ≥40 kg/m2. To best reach patients at high risk and considering the high cost of treatment, the PBAC determined it would be appropriate to limit PBS access to people with a BMI of 35 kg/m² or higher, or 32.5 kg/m² or higher for people of Asian, Aboriginal, or Torres Strait Islander ethnicity.</w:t>
            </w:r>
          </w:p>
          <w:p w14:paraId="761946F9"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comments from individuals, health care professionals and organisations. Many highlighted the benefits of treatment with semaglutide for people who have eCVD with obesity and the financial barriers to accessing semaglutide privately. Healthcare professionals and organisations also emphasised the importance of different eligibility criteria for people of Aboriginal, Torres Strait Islander and Asian ethnicity who have higher risk at lower BMI levels. The PBAC also noted the importance of weight loss to support patients' ability to adhere 'to other cardiac health improving interventions such as exercise and dietary </w:t>
            </w:r>
            <w:r w:rsidRPr="00544E10">
              <w:rPr>
                <w:rFonts w:asciiTheme="minorHAnsi" w:hAnsiTheme="minorHAnsi" w:cstheme="minorHAnsi"/>
                <w:color w:val="000000"/>
                <w:sz w:val="18"/>
                <w:szCs w:val="18"/>
              </w:rPr>
              <w:lastRenderedPageBreak/>
              <w:t xml:space="preserve">changes. The PBAC acknowledged that, while there are effective treatments on the PBS for people with eCVD, they still face residual risk of future cardiovascular events and adding semaglutide to current therapies may help reduce this risk. </w:t>
            </w:r>
          </w:p>
          <w:p w14:paraId="30F202A2"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noted that flow on changes to GLP-1 RA listings for type 2 diabetes mellitus would be required to only allow access under the subsequent PBS prescription phase if received semaglutide under the first PBS-prescription phas</w:t>
            </w:r>
            <w:r>
              <w:rPr>
                <w:rFonts w:asciiTheme="minorHAnsi" w:hAnsiTheme="minorHAnsi" w:cstheme="minorHAnsi"/>
                <w:color w:val="000000"/>
                <w:sz w:val="18"/>
                <w:szCs w:val="18"/>
              </w:rPr>
              <w:t>e</w:t>
            </w:r>
            <w:r w:rsidRPr="00544E10">
              <w:rPr>
                <w:rFonts w:asciiTheme="minorHAnsi" w:hAnsiTheme="minorHAnsi" w:cstheme="minorHAnsi"/>
                <w:color w:val="000000"/>
                <w:sz w:val="18"/>
                <w:szCs w:val="18"/>
              </w:rPr>
              <w:t>.</w:t>
            </w:r>
          </w:p>
          <w:p w14:paraId="7122DFBB"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evidence from a large clinical trial involving over 17,000 people. In this trial, people who took semaglutide alongside their usual heart medicines had a lower chance of having another major cardiovascular event (such as a heart attack) compared to those who took usual heart medicines only. The PBAC estimated that based on the trial results, for every 1,000 people treated with semaglutide over 3.5 years that also had a BMI ≥35 kg/m2, there would be 39 fewer major heart events and 4 fewer deaths compared to those who did not take semaglutide.</w:t>
            </w:r>
          </w:p>
          <w:p w14:paraId="694CC163"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However, the PBAC considered the reduction in major cardiovascular events may be smaller in practice than what was observed in the clinical trial. Based on patient experience using semaglutide overseas, the PBAC expected patients would transition more slowly to the most effective high doses, there would be ongoing use of lower doses and higher rates of treatment discontinuation. The PBAC also noted that the reduction in cardiovascular events in the clinical trial may only be partially attributed to reductions in weight. </w:t>
            </w:r>
          </w:p>
          <w:p w14:paraId="71D8332F" w14:textId="07860FA5" w:rsidR="0094651C" w:rsidRPr="00544E10"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some of the assumptions the sponsor used to justify its requested price were inaccurate</w:t>
            </w:r>
            <w:r w:rsidR="00953F90">
              <w:rPr>
                <w:rFonts w:asciiTheme="minorHAnsi" w:hAnsiTheme="minorHAnsi" w:cstheme="minorHAnsi"/>
                <w:color w:val="000000"/>
                <w:sz w:val="18"/>
                <w:szCs w:val="18"/>
              </w:rPr>
              <w:t xml:space="preserve"> and </w:t>
            </w:r>
            <w:r w:rsidRPr="00544E10">
              <w:rPr>
                <w:rFonts w:asciiTheme="minorHAnsi" w:hAnsiTheme="minorHAnsi" w:cstheme="minorHAnsi"/>
                <w:color w:val="000000"/>
                <w:sz w:val="18"/>
                <w:szCs w:val="18"/>
              </w:rPr>
              <w:t xml:space="preserve">that the sponsor had overstated the benefits of semaglutide, particularly in the duration of benefit for people who discontinue treatment. The PBAC advised that a reduction in the price was required to reflect more realistic estimates of benefits. The </w:t>
            </w:r>
            <w:r w:rsidRPr="00544E10">
              <w:rPr>
                <w:rFonts w:asciiTheme="minorHAnsi" w:hAnsiTheme="minorHAnsi" w:cstheme="minorHAnsi"/>
                <w:color w:val="000000"/>
                <w:sz w:val="18"/>
                <w:szCs w:val="18"/>
              </w:rPr>
              <w:lastRenderedPageBreak/>
              <w:t>PBAC considered there was a significant risk that people would access subsidy for semaglutide outside of the proposed criteria (particularly for patients with established cardiovascular disease and a BMI of less than 35 kg/m2) and patients with high cardiovascular risk but no prior cardiovascular event). It therefore advised that a risk sharing arrangement with the sponsor was required to adequately manage the expenditure risk to the Commonwealth.</w:t>
            </w:r>
          </w:p>
        </w:tc>
      </w:tr>
      <w:tr w:rsidR="00106AF8" w:rsidRPr="00544E10" w14:paraId="42A3B1AF" w14:textId="77777777" w:rsidTr="39DDF63A">
        <w:trPr>
          <w:cantSplit/>
          <w:trHeight w:val="2003"/>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88750F" w14:textId="20BE0688"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TAFASITAMAB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Powder for I.V. infusion 200 mg</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Minjuvi</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9F5CE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2</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6BFFBDE0" w14:textId="7D653209"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Relapsed and/or refractory follicular lymphoma (FL)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243D46" w14:textId="2E3D74F0"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To request listing of </w:t>
            </w:r>
            <w:proofErr w:type="spellStart"/>
            <w:r w:rsidRPr="00544E10">
              <w:rPr>
                <w:rFonts w:asciiTheme="minorHAnsi" w:hAnsiTheme="minorHAnsi" w:cstheme="minorHAnsi"/>
                <w:color w:val="000000" w:themeColor="text1"/>
                <w:sz w:val="18"/>
                <w:szCs w:val="18"/>
              </w:rPr>
              <w:t>tafasitamab</w:t>
            </w:r>
            <w:proofErr w:type="spellEnd"/>
            <w:r w:rsidRPr="00544E10">
              <w:rPr>
                <w:rFonts w:asciiTheme="minorHAnsi" w:hAnsiTheme="minorHAnsi" w:cstheme="minorHAnsi"/>
                <w:color w:val="000000" w:themeColor="text1"/>
                <w:sz w:val="18"/>
                <w:szCs w:val="18"/>
              </w:rPr>
              <w:t xml:space="preserve"> for use in combination with lenalidomide and rituximab for the treatment of patients with relapsed and/or refractory FL.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(Telephone/Online)</w:t>
            </w:r>
          </w:p>
        </w:tc>
        <w:tc>
          <w:tcPr>
            <w:tcW w:w="1559" w:type="dxa"/>
            <w:vAlign w:val="center"/>
          </w:tcPr>
          <w:p w14:paraId="024F8CDC" w14:textId="06BBE3CC" w:rsidR="00106AF8" w:rsidRPr="00544E10" w:rsidRDefault="00106AF8" w:rsidP="00106AF8">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4104AF19" w14:textId="1F435C83"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deferred making a recommendation for listing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on the PBS for use in combination with lenalidomide and rituximab for the treatment of follicular lymphoma that</w:t>
            </w:r>
            <w:r w:rsidR="00F77835">
              <w:rPr>
                <w:rFonts w:asciiTheme="minorHAnsi" w:hAnsiTheme="minorHAnsi" w:cstheme="minorHAnsi"/>
                <w:color w:val="000000"/>
                <w:sz w:val="18"/>
                <w:szCs w:val="18"/>
              </w:rPr>
              <w:t xml:space="preserve"> has</w:t>
            </w:r>
            <w:r w:rsidRPr="001205CE">
              <w:rPr>
                <w:rFonts w:asciiTheme="minorHAnsi" w:hAnsiTheme="minorHAnsi" w:cstheme="minorHAnsi"/>
                <w:color w:val="000000"/>
                <w:sz w:val="18"/>
                <w:szCs w:val="18"/>
              </w:rPr>
              <w:t xml:space="preserve"> progressed or is resistant to previous treatment. The PBAC deferred its</w:t>
            </w:r>
            <w:r w:rsidR="00DF7320">
              <w:rPr>
                <w:rFonts w:asciiTheme="minorHAnsi" w:hAnsiTheme="minorHAnsi" w:cstheme="minorHAnsi"/>
                <w:color w:val="000000"/>
                <w:sz w:val="18"/>
                <w:szCs w:val="18"/>
              </w:rPr>
              <w:t xml:space="preserve"> </w:t>
            </w:r>
            <w:r w:rsidRPr="001205CE">
              <w:rPr>
                <w:rFonts w:asciiTheme="minorHAnsi" w:hAnsiTheme="minorHAnsi" w:cstheme="minorHAnsi"/>
                <w:color w:val="000000"/>
                <w:sz w:val="18"/>
                <w:szCs w:val="18"/>
              </w:rPr>
              <w:t xml:space="preserve">decision because the TGA Delegate’s Overview was not available at the time of PBAC consideration. However, the PBAC was of a mind to recommend the listing of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on the basis that the price would be justified with a further price reduction to that proposed by the Sponsor in its pre-PBAC response. </w:t>
            </w:r>
          </w:p>
          <w:p w14:paraId="4B85ADB8" w14:textId="09BCCE8B" w:rsidR="001205CE" w:rsidRPr="001205CE" w:rsidRDefault="001205CE" w:rsidP="001205CE">
            <w:pPr>
              <w:ind w:left="11"/>
              <w:contextualSpacing/>
              <w:jc w:val="both"/>
              <w:rPr>
                <w:rFonts w:asciiTheme="minorHAnsi" w:hAnsiTheme="minorHAnsi" w:cstheme="minorHAnsi"/>
                <w:color w:val="000000"/>
                <w:sz w:val="18"/>
                <w:szCs w:val="18"/>
              </w:rPr>
            </w:pPr>
          </w:p>
          <w:p w14:paraId="6BBE2F4A"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health care professionals and organisations which highlighted the unmet needs for patients with follicular lymphoma, particularly those who are not fit for or unable to access stem cell transplantation. </w:t>
            </w:r>
          </w:p>
          <w:p w14:paraId="29738583"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7A292895"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accepted that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(in combination with lenalidomide and rituximab) is more effective than the standard of care in Australian clinical practice (rituximab-based chemotherapy) at extending survival without cancer progressing, and extending time to next treatment. However, the PBAC was concerned that the benefits observed in the clinical trial would not be realised in the Australian healthcare setting. This was due to the lack of evidence from clinical studies comparing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with rituximab-based chemotherapy. Further the clinical trials presented in the submission were conducted over a short period of time and therefore did not provide information about the extent to which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would extend survival. The PBAC also noted that people who received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t>
            </w:r>
            <w:r w:rsidRPr="001205CE">
              <w:rPr>
                <w:rFonts w:asciiTheme="minorHAnsi" w:hAnsiTheme="minorHAnsi" w:cstheme="minorHAnsi"/>
                <w:color w:val="000000"/>
                <w:sz w:val="18"/>
                <w:szCs w:val="18"/>
              </w:rPr>
              <w:lastRenderedPageBreak/>
              <w:t>in clinical trials experienced higher rates of adverse events compared to rituximab-based chemotherapy.</w:t>
            </w:r>
          </w:p>
          <w:p w14:paraId="5780B019"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02C75D61" w14:textId="77777777" w:rsidR="00106AF8"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The PBAC considered that the benefits claimed by the sponsor to justify its requested price were too optimistic, particularly its estimates of overall survival. The PBAC considered that the price would be justified if reduced to reflect more realistic estimates of benefits. The PBAC considered the cost to the government to be overestimated and advised that adjustments were required in estimating a more accurate cost.</w:t>
            </w:r>
          </w:p>
          <w:p w14:paraId="3D2F314C" w14:textId="77777777" w:rsidR="00F7796F" w:rsidRDefault="00F7796F" w:rsidP="001205CE">
            <w:pPr>
              <w:ind w:left="11"/>
              <w:contextualSpacing/>
              <w:jc w:val="both"/>
              <w:rPr>
                <w:rFonts w:asciiTheme="minorHAnsi" w:hAnsiTheme="minorHAnsi" w:cstheme="minorHAnsi"/>
                <w:color w:val="000000"/>
                <w:sz w:val="18"/>
                <w:szCs w:val="18"/>
              </w:rPr>
            </w:pPr>
          </w:p>
          <w:p w14:paraId="67B3343E" w14:textId="77777777" w:rsidR="00F7796F"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40DB9303" w14:textId="6297198B" w:rsidR="00F7796F" w:rsidRPr="00544E10"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0B7E1F" w:rsidRPr="00544E10" w14:paraId="27211C06" w14:textId="77777777" w:rsidTr="39DDF63A">
        <w:trPr>
          <w:cantSplit/>
          <w:trHeight w:val="214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E45E05" w14:textId="5395CC0D"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TESTOSTERONE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Transdermal cream 10 mg per mL, 50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AndroFeme</w:t>
            </w:r>
            <w:proofErr w:type="spellEnd"/>
            <w:r w:rsidRPr="00544E10">
              <w:rPr>
                <w:rFonts w:asciiTheme="minorHAnsi" w:hAnsiTheme="minorHAnsi" w:cstheme="minorHAnsi"/>
                <w:color w:val="000000" w:themeColor="text1"/>
                <w:sz w:val="18"/>
                <w:szCs w:val="18"/>
              </w:rPr>
              <w:t xml:space="preserve">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LAWLEY PHARMACEUTICALS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FF79851" w14:textId="34C1E9FC"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Hypoactive sexual desire dysfunction (HSDD)</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9B4599" w14:textId="0E3A4B88"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testosterone for the treatment of HSDD in postmenopausal women that have failed to be treated by appropriate education and correction of modifiable biopsychosocial factors according to the International Society for the Study of Women’s Sexual Health process of care.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Restricted Benefit</w:t>
            </w:r>
          </w:p>
        </w:tc>
        <w:tc>
          <w:tcPr>
            <w:tcW w:w="1559" w:type="dxa"/>
            <w:vAlign w:val="center"/>
          </w:tcPr>
          <w:p w14:paraId="57C9E741" w14:textId="6D7051DB" w:rsidR="000B7E1F" w:rsidRPr="00544E10" w:rsidRDefault="000B7E1F" w:rsidP="000B7E1F">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Not Recommended</w:t>
            </w:r>
          </w:p>
        </w:tc>
        <w:tc>
          <w:tcPr>
            <w:tcW w:w="5639" w:type="dxa"/>
            <w:vAlign w:val="center"/>
          </w:tcPr>
          <w:p w14:paraId="4D855428"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did not recommend testosterone 1% cream (AndroFeme1®) for the treatment of hypoactive sexual desire dysfunction (HSDD) in postmenopausal women. </w:t>
            </w:r>
          </w:p>
          <w:p w14:paraId="380C5F49" w14:textId="77777777" w:rsidR="001205CE" w:rsidRDefault="001205CE" w:rsidP="001205CE">
            <w:pPr>
              <w:ind w:left="11"/>
              <w:contextualSpacing/>
              <w:jc w:val="both"/>
              <w:rPr>
                <w:rFonts w:asciiTheme="minorHAnsi" w:hAnsiTheme="minorHAnsi" w:cstheme="minorHAnsi"/>
                <w:color w:val="000000"/>
                <w:sz w:val="18"/>
                <w:szCs w:val="18"/>
              </w:rPr>
            </w:pPr>
          </w:p>
          <w:p w14:paraId="043D0A53"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individuals, health professionals and organisations that raised issues of undertreatment and gender inequity, and acknowledged the impact of HSDD on postmenopausal women. The PBAC noted that some comments supporting the listing of testosterone were not related to HSDD. This included describing benefits that have not been evaluated and benefits that are outside the approved TGA indication (e.g., brain fog, memory or mood issues, hot flushes). The PBAC also noted that many inputs inappropriately equated HSDD with low libido. </w:t>
            </w:r>
          </w:p>
          <w:p w14:paraId="5C8E509B" w14:textId="287DFC19" w:rsidR="001205CE" w:rsidRP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questioned the clinical place of testosterone in treating HSDD, noting it is difficult to define the condition and an appropriate scope of use. </w:t>
            </w:r>
          </w:p>
          <w:p w14:paraId="5AB744E4"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43DABEF6" w14:textId="77777777" w:rsidR="001205CE" w:rsidRP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considered the strength of the clinical evidence comparing testosterone with placebo presented in the submission to be low. It noted that the restrictions used to select trial participants were not representative of the proposed PBS listing, and some trials used inconsistent definitions of sexual dysfunction. The PBAC also noted that inappropriate use of testosterone is associated with adverse effects </w:t>
            </w:r>
            <w:r w:rsidRPr="001205CE">
              <w:rPr>
                <w:rFonts w:asciiTheme="minorHAnsi" w:hAnsiTheme="minorHAnsi" w:cstheme="minorHAnsi"/>
                <w:color w:val="000000"/>
                <w:sz w:val="18"/>
                <w:szCs w:val="18"/>
              </w:rPr>
              <w:lastRenderedPageBreak/>
              <w:t>including the potential for androgenisation if testosterone levels are not carefully monitored. Overall, it considered the clinical data did not show that testosterone was more effective than placebo, or as safe, for the relevant patients.</w:t>
            </w:r>
          </w:p>
          <w:p w14:paraId="39DCBEEE"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00369083" w14:textId="77777777" w:rsidR="000B7E1F" w:rsidRDefault="001205CE" w:rsidP="39DDF63A">
            <w:pPr>
              <w:ind w:left="11"/>
              <w:contextualSpacing/>
              <w:jc w:val="both"/>
              <w:rPr>
                <w:rFonts w:asciiTheme="minorHAnsi" w:hAnsiTheme="minorHAnsi" w:cstheme="minorBidi"/>
                <w:color w:val="000000"/>
                <w:sz w:val="18"/>
                <w:szCs w:val="18"/>
              </w:rPr>
            </w:pPr>
            <w:r w:rsidRPr="39DDF63A">
              <w:rPr>
                <w:rFonts w:asciiTheme="minorHAnsi" w:hAnsiTheme="minorHAnsi" w:cstheme="minorBidi"/>
                <w:color w:val="000000" w:themeColor="text1"/>
                <w:sz w:val="18"/>
                <w:szCs w:val="18"/>
              </w:rPr>
              <w:t>The PBAC noted that the requested price was not supported by the claimed clinical benefits in HSDD and hence it was unknown if the price reflected value for money. The PBAC also considered that there would be a high risk of use outside the restriction and that the screening test had a high risk of bias. The PBAC considered there was insufficient evidence to support a resubmission, but that the submission was eligible for an Independent Review.</w:t>
            </w:r>
          </w:p>
          <w:p w14:paraId="71C6B051" w14:textId="5595209A" w:rsidR="00CA32D6" w:rsidRPr="00544E10" w:rsidRDefault="00CA32D6" w:rsidP="39DDF63A">
            <w:pPr>
              <w:ind w:left="11"/>
              <w:contextualSpacing/>
              <w:jc w:val="both"/>
              <w:rPr>
                <w:rFonts w:asciiTheme="minorHAnsi" w:hAnsiTheme="minorHAnsi" w:cstheme="minorBidi"/>
                <w:color w:val="000000" w:themeColor="text1"/>
                <w:sz w:val="18"/>
                <w:szCs w:val="18"/>
              </w:rPr>
            </w:pPr>
          </w:p>
          <w:p w14:paraId="5D2019E0" w14:textId="54AD6DF6" w:rsidR="00CA32D6" w:rsidRPr="00544E10" w:rsidRDefault="4C3465F5" w:rsidP="39DDF63A">
            <w:pPr>
              <w:ind w:left="11"/>
              <w:contextualSpacing/>
              <w:jc w:val="both"/>
              <w:rPr>
                <w:rFonts w:asciiTheme="minorHAnsi" w:hAnsiTheme="minorHAnsi" w:cstheme="minorBidi"/>
                <w:color w:val="000000" w:themeColor="text1"/>
                <w:sz w:val="18"/>
                <w:szCs w:val="18"/>
              </w:rPr>
            </w:pPr>
            <w:r w:rsidRPr="39DDF63A">
              <w:rPr>
                <w:rFonts w:asciiTheme="minorHAnsi" w:hAnsiTheme="minorHAnsi" w:cstheme="minorBidi"/>
                <w:color w:val="000000" w:themeColor="text1"/>
                <w:sz w:val="18"/>
                <w:szCs w:val="18"/>
              </w:rPr>
              <w:t>Sponsor’s comment:</w:t>
            </w:r>
          </w:p>
          <w:p w14:paraId="77B99F4C" w14:textId="06BEF8EE" w:rsidR="00CA32D6" w:rsidRPr="00544E10" w:rsidRDefault="4C3465F5" w:rsidP="39DDF63A">
            <w:pPr>
              <w:ind w:left="11"/>
              <w:contextualSpacing/>
              <w:jc w:val="both"/>
              <w:rPr>
                <w:rFonts w:ascii="Aptos" w:eastAsia="Aptos" w:hAnsi="Aptos" w:cs="Aptos"/>
                <w:sz w:val="18"/>
                <w:szCs w:val="18"/>
              </w:rPr>
            </w:pPr>
            <w:r w:rsidRPr="39DDF63A">
              <w:rPr>
                <w:rFonts w:ascii="Aptos" w:eastAsia="Aptos" w:hAnsi="Aptos" w:cs="Aptos"/>
                <w:sz w:val="18"/>
                <w:szCs w:val="18"/>
              </w:rPr>
              <w:t xml:space="preserve">Regrettably, the sponsor notes the PBAC’s decision not to recommend PBS listing of </w:t>
            </w:r>
            <w:proofErr w:type="spellStart"/>
            <w:r w:rsidRPr="39DDF63A">
              <w:rPr>
                <w:rFonts w:ascii="Aptos" w:eastAsia="Aptos" w:hAnsi="Aptos" w:cs="Aptos"/>
                <w:sz w:val="18"/>
                <w:szCs w:val="18"/>
              </w:rPr>
              <w:t>AndroFeme</w:t>
            </w:r>
            <w:proofErr w:type="spellEnd"/>
            <w:r w:rsidRPr="39DDF63A">
              <w:rPr>
                <w:rFonts w:ascii="Aptos" w:eastAsia="Aptos" w:hAnsi="Aptos" w:cs="Aptos"/>
                <w:sz w:val="18"/>
                <w:szCs w:val="18"/>
              </w:rPr>
              <w:t>® 1. The sponsor has provided further information on its website.</w:t>
            </w:r>
          </w:p>
        </w:tc>
      </w:tr>
      <w:tr w:rsidR="00521AAC" w:rsidRPr="00544E10" w14:paraId="6462FF4C" w14:textId="77777777" w:rsidTr="39DDF63A">
        <w:trPr>
          <w:cantSplit/>
          <w:trHeight w:val="42"/>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3CDDEF" w14:textId="1510A8DD"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TEZEPELUMAB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210 mg in 1.91 mL single dose pre-filled pen (110 mg per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Tezspire</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61AE5CE" w14:textId="3B2AE8BF"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Asthma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EECA5B" w14:textId="782FC5A5"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for the treatment of severe uncontrolled asthma in patients 12 years and older who have failed to achieve adequate control with optimised asthma therapy.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73D5D993" w14:textId="5BBE381C" w:rsidR="00521AAC" w:rsidRPr="00544E10" w:rsidRDefault="00521AAC" w:rsidP="00521AA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74A8DF60" w14:textId="77777777" w:rsidR="00521AAC" w:rsidRDefault="00521AAC" w:rsidP="004436D6">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of tezepelumab on the Pharmaceutical Benefits Scheme (PBS) for the treatment of patients aged 12 years and older with severe uncontrolled asthma (SUA) that is non-eosinophilic and non-allergic. The PBAC also recommended listing tezepelumab for the treatment of patients aged 12 years and older with SUA that is eosinophilic or allergic.</w:t>
            </w:r>
          </w:p>
          <w:p w14:paraId="503D469C" w14:textId="2ECF6D6E" w:rsidR="004436D6"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p>
          <w:p w14:paraId="26F26CDA" w14:textId="7626F977"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and organisations supporting the listing of tezepelumab for these indications. The PBAC noted that comments emphasised that there is a clinical need for patients with non-eosinophilic and non-allergic SUA as they are ineligible, and not suitable, for biologics currently subsidised through the PBS. The PBAC accepted there was a clinical need for alternative biologic treatment for patients with SUA on the PBS, particularly for non-eosinophilic and non-allergic population, given there are no specific agents currently available for these patients.</w:t>
            </w:r>
          </w:p>
          <w:p w14:paraId="344FD83A" w14:textId="77777777" w:rsidR="004436D6" w:rsidRDefault="00521AAC" w:rsidP="00521AAC">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br/>
            </w:r>
            <w:r w:rsidRPr="00544E10">
              <w:rPr>
                <w:rFonts w:asciiTheme="minorHAnsi" w:hAnsiTheme="minorHAnsi" w:cstheme="minorHAnsi"/>
                <w:color w:val="000000"/>
                <w:sz w:val="18"/>
                <w:szCs w:val="18"/>
              </w:rPr>
              <w:t xml:space="preserve">The PBAC noted that there were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alternative biologics available for the eosinophilic or allergic population.</w:t>
            </w:r>
          </w:p>
          <w:p w14:paraId="0CF05DBD" w14:textId="7CC1882E"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4436D6">
              <w:rPr>
                <w:rFonts w:asciiTheme="minorHAnsi" w:hAnsiTheme="minorHAnsi" w:cstheme="minorHAnsi"/>
                <w:b/>
                <w:bCs/>
                <w:color w:val="000000"/>
                <w:sz w:val="18"/>
                <w:szCs w:val="18"/>
              </w:rPr>
              <w:t>Non-eosinophilic and non-allergic severe uncontrolled asthma</w:t>
            </w:r>
            <w:r w:rsidRPr="004436D6">
              <w:rPr>
                <w:rFonts w:asciiTheme="minorHAnsi" w:hAnsiTheme="minorHAnsi" w:cstheme="minorHAnsi"/>
                <w:b/>
                <w:bCs/>
                <w:color w:val="000000"/>
                <w:sz w:val="18"/>
                <w:szCs w:val="18"/>
              </w:rPr>
              <w:br/>
            </w:r>
            <w:r w:rsidRPr="00544E10">
              <w:rPr>
                <w:rFonts w:asciiTheme="minorHAnsi" w:hAnsiTheme="minorHAnsi" w:cstheme="minorHAnsi"/>
                <w:color w:val="000000"/>
                <w:sz w:val="18"/>
                <w:szCs w:val="18"/>
              </w:rPr>
              <w:t>Based on the evidence included in the submission, the PBAC was satisfied that tezepelumab is more effective than the current standard of care at reducing the frequency of asthma exacerbations for some people with non-eosinophilic and non-allergic SUA. However, in the PBAC’s view, the size of this benefit was uncertain and likely to be modest due to only marginal differences being observed in trials. The PBAC was also satisfied that tezepelumab had similar safety to the current standard of care.</w:t>
            </w:r>
          </w:p>
          <w:p w14:paraId="292196D1" w14:textId="77777777"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the assumptions used by the sponsor to justify its requested price were overly optimistic - particularly assumptions of benefits being realised over many years that were based on approximately 1 year of clinical trial data. The PBAC considered the cost of tezepelumab would be acceptable with a price reduction to reflect more realistic estimates of benefits.</w:t>
            </w:r>
          </w:p>
          <w:p w14:paraId="6D8C707B" w14:textId="1BE81C3B" w:rsidR="004E5BFF" w:rsidRDefault="004E5BFF" w:rsidP="001205CE">
            <w:pPr>
              <w:contextualSpacing/>
              <w:jc w:val="both"/>
              <w:rPr>
                <w:rFonts w:asciiTheme="minorHAnsi" w:hAnsiTheme="minorHAnsi" w:cstheme="minorHAnsi"/>
                <w:b/>
                <w:bCs/>
                <w:color w:val="000000"/>
                <w:sz w:val="18"/>
                <w:szCs w:val="18"/>
              </w:rPr>
            </w:pPr>
          </w:p>
          <w:p w14:paraId="32289BEF" w14:textId="5BEB50ED" w:rsidR="004E5BFF" w:rsidRPr="004436D6" w:rsidRDefault="00521AAC" w:rsidP="004E5BFF">
            <w:pPr>
              <w:ind w:left="11"/>
              <w:contextualSpacing/>
              <w:jc w:val="both"/>
              <w:rPr>
                <w:rFonts w:asciiTheme="minorHAnsi" w:hAnsiTheme="minorHAnsi" w:cstheme="minorHAnsi"/>
                <w:b/>
                <w:bCs/>
                <w:color w:val="000000"/>
                <w:sz w:val="18"/>
                <w:szCs w:val="18"/>
              </w:rPr>
            </w:pPr>
            <w:r w:rsidRPr="004436D6">
              <w:rPr>
                <w:rFonts w:asciiTheme="minorHAnsi" w:hAnsiTheme="minorHAnsi" w:cstheme="minorHAnsi"/>
                <w:b/>
                <w:bCs/>
                <w:color w:val="000000"/>
                <w:sz w:val="18"/>
                <w:szCs w:val="18"/>
              </w:rPr>
              <w:t>Eosinophilic or allergic severe uncontrolled asthma</w:t>
            </w:r>
          </w:p>
          <w:p w14:paraId="19E82FED" w14:textId="22C59E30"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Based on the evidence included in the submission, the PBAC was satisfied tezepelumab was as effective as dupilumab, benralizumab, mepolizumab and omalizumab at reducing asthma exacerbations and had similar safety. The PBAC advised that the cost of tezepelumab would be acceptable if it cost no more than the least costly biologic for the eosinophilic SUA population and the allergic SUA population over a 1-year time frame. The PBAC considered the equi-effective doses for eosinophilic SUA were:</w:t>
            </w:r>
          </w:p>
          <w:p w14:paraId="58D785E5"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tezepelumab 210 mg by subcutaneous (SC) injection every 4 weeks (13 doses over 1 year)</w:t>
            </w:r>
          </w:p>
          <w:p w14:paraId="58905304"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dupilumab 400 mg (non-OCS dependent) or 600 mg (OCS dependent) by SC injection followed by 200 mg (non-OCS </w:t>
            </w:r>
            <w:r w:rsidRPr="00E05F21">
              <w:rPr>
                <w:rFonts w:asciiTheme="minorHAnsi" w:hAnsiTheme="minorHAnsi" w:cstheme="minorHAnsi"/>
                <w:color w:val="000000"/>
                <w:sz w:val="18"/>
                <w:szCs w:val="18"/>
              </w:rPr>
              <w:lastRenderedPageBreak/>
              <w:t>dependent) or 300 mg (OCS dependent) SC given every 2 weeks (27 doses over 1 year)</w:t>
            </w:r>
          </w:p>
          <w:p w14:paraId="7CF3B8BE"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benralizumab 30 mg by SC injection every 4 weeks for the first 3 doses, then every 8 weeks (7.5 doses over 1 year)</w:t>
            </w:r>
          </w:p>
          <w:p w14:paraId="4CBC4266"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mepolizumab 100 mg by SC injection every 4 weeks (13 doses over 1 year).</w:t>
            </w:r>
          </w:p>
          <w:p w14:paraId="4346E40F" w14:textId="77777777" w:rsidR="00E05F21" w:rsidRDefault="00521AAC" w:rsidP="00E05F21">
            <w:p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In patients with allergic SUA, the PBAC considered the equi-effective doses were:</w:t>
            </w:r>
          </w:p>
          <w:p w14:paraId="76DB4C58" w14:textId="77777777" w:rsidR="00E05F21"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tezepelumab 210 mg by SC injection every 4 weeks (13 doses over 1 year)</w:t>
            </w:r>
          </w:p>
          <w:p w14:paraId="5F76508B" w14:textId="77777777" w:rsidR="00E05F21"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dupilumab 400 mg (non-OCS dependent) or 600 mg (OCS dependent) by SC injection followed by 200 mg (non-OCS dependent) or 300 mg (OCS dependent) given every 2 weeks (27 doses over 1 year)</w:t>
            </w:r>
          </w:p>
          <w:p w14:paraId="6E08D868" w14:textId="4E51DA5D" w:rsidR="00E05F21" w:rsidRPr="00CB0D37"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omalizumab 398 mg by SC injection every 4 weeks (dosed at 2 or 4 weeks depending on patient weight and immunoglobulin E levels; 13 doses over 1 year)</w:t>
            </w:r>
          </w:p>
        </w:tc>
      </w:tr>
      <w:tr w:rsidR="00AD5933" w:rsidRPr="00544E10" w14:paraId="154B4A7E"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BF9F22" w14:textId="77777777" w:rsidR="00AD5933" w:rsidRDefault="00AD5933" w:rsidP="00AD5933">
            <w:pPr>
              <w:jc w:val="center"/>
              <w:rPr>
                <w:rFonts w:asciiTheme="minorHAnsi" w:hAnsiTheme="minorHAnsi" w:cstheme="minorHAnsi"/>
                <w:color w:val="000000"/>
                <w:sz w:val="18"/>
                <w:szCs w:val="18"/>
              </w:rPr>
            </w:pPr>
          </w:p>
          <w:p w14:paraId="44E8E7A4" w14:textId="1818E666" w:rsidR="00AD5933" w:rsidRPr="00544E10" w:rsidRDefault="00AD5933" w:rsidP="00C1349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TOCILIZUMAB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Concentrate for injection 80 mg in 4 mL</w:t>
            </w:r>
            <w:r w:rsidRPr="00544E10">
              <w:rPr>
                <w:rFonts w:asciiTheme="minorHAnsi" w:hAnsiTheme="minorHAnsi" w:cstheme="minorHAnsi"/>
                <w:color w:val="000000"/>
                <w:sz w:val="18"/>
                <w:szCs w:val="18"/>
              </w:rPr>
              <w:b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200 mg in 10 mL</w:t>
            </w:r>
            <w:r w:rsidRPr="00544E10">
              <w:rPr>
                <w:rFonts w:asciiTheme="minorHAnsi" w:hAnsiTheme="minorHAnsi" w:cstheme="minorHAnsi"/>
                <w:color w:val="000000"/>
                <w:sz w:val="18"/>
                <w:szCs w:val="18"/>
              </w:rPr>
              <w:b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400 mg in 20 mL</w:t>
            </w:r>
            <w:r w:rsidRPr="00544E10">
              <w:rPr>
                <w:rFonts w:asciiTheme="minorHAnsi" w:hAnsiTheme="minorHAnsi" w:cstheme="minorHAnsi"/>
                <w:color w:val="000000"/>
                <w:sz w:val="18"/>
                <w:szCs w:val="18"/>
              </w:rPr>
              <w:br/>
              <w:t>Injection 162 mg in 0.9 mL</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pen</w:t>
            </w:r>
            <w:r w:rsidRPr="00544E10">
              <w:rPr>
                <w:rFonts w:asciiTheme="minorHAnsi" w:hAnsiTheme="minorHAnsi" w:cstheme="minorHAnsi"/>
                <w:color w:val="000000"/>
                <w:sz w:val="18"/>
                <w:szCs w:val="18"/>
              </w:rPr>
              <w:br/>
              <w:t xml:space="preserve">Injection 162 mg in 0.9 mL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lastRenderedPageBreak/>
              <w:t>Avtozma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60B6109" w14:textId="7CB56F8F" w:rsidR="00AD5933" w:rsidRPr="00544E10" w:rsidRDefault="00AD5933" w:rsidP="00AD59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Severe active juvenile idiopathic arthritis</w:t>
            </w:r>
            <w:r w:rsidRPr="00544E10">
              <w:rPr>
                <w:rFonts w:asciiTheme="minorHAnsi" w:hAnsiTheme="minorHAnsi" w:cstheme="minorHAnsi"/>
                <w:color w:val="000000"/>
                <w:sz w:val="18"/>
                <w:szCs w:val="18"/>
              </w:rPr>
              <w:br/>
              <w:t>Severe active rheumatoid arthritis</w:t>
            </w:r>
            <w:r w:rsidRPr="00544E10">
              <w:rPr>
                <w:rFonts w:asciiTheme="minorHAnsi" w:hAnsiTheme="minorHAnsi" w:cstheme="minorHAnsi"/>
                <w:color w:val="000000"/>
                <w:sz w:val="18"/>
                <w:szCs w:val="18"/>
              </w:rPr>
              <w:br/>
              <w:t>Systemic juvenile idiopathic arthritis</w:t>
            </w:r>
            <w:r w:rsidRPr="00544E10">
              <w:rPr>
                <w:rFonts w:asciiTheme="minorHAnsi" w:hAnsiTheme="minorHAnsi" w:cstheme="minorHAnsi"/>
                <w:color w:val="000000"/>
                <w:sz w:val="18"/>
                <w:szCs w:val="18"/>
              </w:rPr>
              <w:br/>
              <w:t>Active giant cell arteritis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9663AB" w14:textId="5785BD1B" w:rsidR="00AD5933" w:rsidRPr="00544E10" w:rsidRDefault="00AD5933" w:rsidP="00AD59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a new tocilizumab biosimilar that mirrors the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D7A8950" w14:textId="40B48DE6" w:rsidR="00AD5933" w:rsidRPr="00544E10" w:rsidRDefault="00AD5933" w:rsidP="00AD593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0F29503" w14:textId="69B48944" w:rsidR="00AD5933" w:rsidRPr="00544E10" w:rsidRDefault="00AD5933" w:rsidP="00AD593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a new tocilizumab biosimilar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on a cost-minimisation basis and under the same conditions as its reference biologic (Actemra®), for the same indications. The PBAC advised the equi-effective doses to be 1 mg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 1 mg Actemra. The PBAC considered that application of the biosimilar uptake policy (i.e. lowering the authority level in some cases and adding administrative advice encouraging uptake of biosimilar prescribing for treatment-naïve patients) is clinically appropriate for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w:t>
            </w:r>
          </w:p>
        </w:tc>
      </w:tr>
      <w:tr w:rsidR="009C675E" w:rsidRPr="00544E10" w14:paraId="64D11B6D" w14:textId="77777777" w:rsidTr="39DDF63A">
        <w:trPr>
          <w:cantSplit/>
          <w:trHeight w:val="300"/>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75724F" w14:textId="2C6ACFFD"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TOFERSEN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for intrathecal injection 100 mg in 15 mL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Qalsody</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28AEEC76" w14:textId="18B9D855"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Amyotrophic lateral sclerosis (ALS)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B22157" w14:textId="2CACE9EE"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w:t>
            </w:r>
            <w:proofErr w:type="spellStart"/>
            <w:r w:rsidRPr="00544E10">
              <w:rPr>
                <w:rFonts w:asciiTheme="minorHAnsi" w:hAnsiTheme="minorHAnsi" w:cstheme="minorHAnsi"/>
                <w:color w:val="000000"/>
                <w:sz w:val="18"/>
                <w:szCs w:val="18"/>
              </w:rPr>
              <w:t>tofersen</w:t>
            </w:r>
            <w:proofErr w:type="spellEnd"/>
            <w:r w:rsidRPr="00544E10">
              <w:rPr>
                <w:rFonts w:asciiTheme="minorHAnsi" w:hAnsiTheme="minorHAnsi" w:cstheme="minorHAnsi"/>
                <w:color w:val="000000"/>
                <w:sz w:val="18"/>
                <w:szCs w:val="18"/>
              </w:rPr>
              <w:t xml:space="preserve"> for the treatment of ALS associated with a mutation in the superoxide dismutase 1 gene in patients who have not experienced respiratory failure.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21B5E278" w14:textId="00971A05" w:rsidR="009C675E" w:rsidRPr="00544E10" w:rsidRDefault="009C675E" w:rsidP="009C675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061A12A1" w14:textId="7F0056DC" w:rsidR="009C675E" w:rsidRPr="00544E10" w:rsidRDefault="00BF4EA7" w:rsidP="15988E5D">
            <w:pPr>
              <w:spacing w:before="240" w:after="240"/>
              <w:contextualSpacing/>
              <w:jc w:val="both"/>
              <w:rPr>
                <w:rFonts w:asciiTheme="minorHAnsi" w:hAnsiTheme="minorHAnsi" w:cstheme="minorBidi"/>
                <w:color w:val="000000" w:themeColor="text1"/>
                <w:sz w:val="18"/>
                <w:szCs w:val="18"/>
                <w:highlight w:val="red"/>
              </w:rPr>
            </w:pPr>
            <w:r w:rsidRPr="001A6399">
              <w:rPr>
                <w:rFonts w:asciiTheme="minorHAnsi" w:hAnsiTheme="minorHAnsi" w:cstheme="minorBidi"/>
                <w:color w:val="000000" w:themeColor="text1"/>
                <w:sz w:val="18"/>
                <w:szCs w:val="18"/>
              </w:rPr>
              <w:t>T</w:t>
            </w:r>
            <w:r w:rsidR="26B634A0" w:rsidRPr="001A6399">
              <w:rPr>
                <w:rFonts w:ascii="Aptos" w:eastAsia="Aptos" w:hAnsi="Aptos" w:cs="Aptos"/>
                <w:sz w:val="18"/>
                <w:szCs w:val="18"/>
              </w:rPr>
              <w:t>h</w:t>
            </w:r>
            <w:r w:rsidR="26B634A0" w:rsidRPr="15988E5D">
              <w:rPr>
                <w:rFonts w:ascii="Aptos" w:eastAsia="Aptos" w:hAnsi="Aptos" w:cs="Aptos"/>
                <w:sz w:val="18"/>
                <w:szCs w:val="18"/>
              </w:rPr>
              <w:t xml:space="preserve">e PBAC did not recommend listing </w:t>
            </w:r>
            <w:proofErr w:type="spellStart"/>
            <w:r w:rsidR="26B634A0" w:rsidRPr="15988E5D">
              <w:rPr>
                <w:rFonts w:ascii="Aptos" w:eastAsia="Aptos" w:hAnsi="Aptos" w:cs="Aptos"/>
                <w:sz w:val="18"/>
                <w:szCs w:val="18"/>
              </w:rPr>
              <w:t>tofersen</w:t>
            </w:r>
            <w:proofErr w:type="spellEnd"/>
            <w:r w:rsidR="26B634A0" w:rsidRPr="15988E5D">
              <w:rPr>
                <w:rFonts w:ascii="Aptos" w:eastAsia="Aptos" w:hAnsi="Aptos" w:cs="Aptos"/>
                <w:sz w:val="18"/>
                <w:szCs w:val="18"/>
              </w:rPr>
              <w:t xml:space="preserve"> (</w:t>
            </w:r>
            <w:proofErr w:type="spellStart"/>
            <w:r w:rsidR="26B634A0" w:rsidRPr="15988E5D">
              <w:rPr>
                <w:rFonts w:ascii="Aptos" w:eastAsia="Aptos" w:hAnsi="Aptos" w:cs="Aptos"/>
                <w:sz w:val="18"/>
                <w:szCs w:val="18"/>
              </w:rPr>
              <w:t>Qalsody</w:t>
            </w:r>
            <w:proofErr w:type="spellEnd"/>
            <w:r w:rsidR="26B634A0" w:rsidRPr="15988E5D">
              <w:rPr>
                <w:rFonts w:ascii="Aptos" w:eastAsia="Aptos" w:hAnsi="Aptos" w:cs="Aptos"/>
                <w:sz w:val="18"/>
                <w:szCs w:val="18"/>
              </w:rPr>
              <w:t>®) on the PBS for the treatment of patients with amyotrophic lateral sclerosis (ALS) who have a superoxide di</w:t>
            </w:r>
            <w:r w:rsidR="00F07ECA">
              <w:rPr>
                <w:rFonts w:ascii="Aptos" w:eastAsia="Aptos" w:hAnsi="Aptos" w:cs="Aptos"/>
                <w:sz w:val="18"/>
                <w:szCs w:val="18"/>
              </w:rPr>
              <w:t>s</w:t>
            </w:r>
            <w:r w:rsidR="26B634A0" w:rsidRPr="15988E5D">
              <w:rPr>
                <w:rFonts w:ascii="Aptos" w:eastAsia="Aptos" w:hAnsi="Aptos" w:cs="Aptos"/>
                <w:sz w:val="18"/>
                <w:szCs w:val="18"/>
              </w:rPr>
              <w:t xml:space="preserve">mutase 1 (SOD1) gene pathogenic variant. The PBAC welcomed input from individuals, health professionals and organisations. This input strongly supported the submission and described the debilitating effects of SOD1-ALS on patients and their </w:t>
            </w:r>
            <w:proofErr w:type="spellStart"/>
            <w:r w:rsidR="26B634A0" w:rsidRPr="15988E5D">
              <w:rPr>
                <w:rFonts w:ascii="Aptos" w:eastAsia="Aptos" w:hAnsi="Aptos" w:cs="Aptos"/>
                <w:sz w:val="18"/>
                <w:szCs w:val="18"/>
              </w:rPr>
              <w:t>carers</w:t>
            </w:r>
            <w:proofErr w:type="spellEnd"/>
            <w:r w:rsidR="26B634A0" w:rsidRPr="15988E5D">
              <w:rPr>
                <w:rFonts w:ascii="Aptos" w:eastAsia="Aptos" w:hAnsi="Aptos" w:cs="Aptos"/>
                <w:sz w:val="18"/>
                <w:szCs w:val="18"/>
              </w:rPr>
              <w:t xml:space="preserve">. The PBAC also noted the high unmet need for targeted treatments for this rare subtype of ALS. </w:t>
            </w:r>
          </w:p>
          <w:p w14:paraId="1241721E" w14:textId="17D87064" w:rsidR="009C675E" w:rsidRPr="00544E10" w:rsidRDefault="26B634A0" w:rsidP="15988E5D">
            <w:pPr>
              <w:spacing w:before="240" w:after="240"/>
              <w:contextualSpacing/>
              <w:jc w:val="both"/>
            </w:pPr>
            <w:r w:rsidRPr="15988E5D">
              <w:rPr>
                <w:rFonts w:ascii="Aptos" w:eastAsia="Aptos" w:hAnsi="Aptos" w:cs="Aptos"/>
                <w:sz w:val="18"/>
                <w:szCs w:val="18"/>
              </w:rPr>
              <w:t xml:space="preserve">The PBAC considered that, although not demonstrated statistically in the trial,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was likely more effective than best supportive care at slowing the progression of SOD1-ALS and increasing overall survival. However, the PBAC noted that the effect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in preventing loss of physical function would likely be modest. The PBAC considered that given the progressive nature of SOD1-ALS, stabilisation of disease would still be beneficial for patients, their families and their </w:t>
            </w:r>
            <w:proofErr w:type="spellStart"/>
            <w:r w:rsidRPr="15988E5D">
              <w:rPr>
                <w:rFonts w:ascii="Aptos" w:eastAsia="Aptos" w:hAnsi="Aptos" w:cs="Aptos"/>
                <w:sz w:val="18"/>
                <w:szCs w:val="18"/>
              </w:rPr>
              <w:t>carers</w:t>
            </w:r>
            <w:proofErr w:type="spellEnd"/>
            <w:r w:rsidRPr="15988E5D">
              <w:rPr>
                <w:rFonts w:ascii="Aptos" w:eastAsia="Aptos" w:hAnsi="Aptos" w:cs="Aptos"/>
                <w:sz w:val="18"/>
                <w:szCs w:val="18"/>
              </w:rPr>
              <w:t xml:space="preserve">. The PBAC also noted that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was less safe than best supportive care, with side effects mainly associated with its administration via lumbar puncture.</w:t>
            </w:r>
          </w:p>
          <w:p w14:paraId="73E698EB" w14:textId="14AE9741" w:rsidR="009C675E" w:rsidRPr="00544E10" w:rsidRDefault="26B634A0" w:rsidP="15988E5D">
            <w:pPr>
              <w:spacing w:before="240" w:after="240"/>
              <w:contextualSpacing/>
              <w:jc w:val="both"/>
            </w:pPr>
            <w:r w:rsidRPr="15988E5D">
              <w:rPr>
                <w:rFonts w:ascii="Aptos" w:eastAsia="Aptos" w:hAnsi="Aptos" w:cs="Aptos"/>
                <w:sz w:val="18"/>
                <w:szCs w:val="18"/>
              </w:rPr>
              <w:t xml:space="preserve">The benefits the sponsor claimed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would deliver at the requested price were, in the PBAC’s view, overly optimistic. In particular, the PBAC considered that the benefits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in terms of how quickly the disease progresses and how long people treated with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live were </w:t>
            </w:r>
            <w:r w:rsidRPr="15988E5D">
              <w:rPr>
                <w:rFonts w:ascii="Aptos" w:eastAsia="Aptos" w:hAnsi="Aptos" w:cs="Aptos"/>
                <w:sz w:val="18"/>
                <w:szCs w:val="18"/>
              </w:rPr>
              <w:lastRenderedPageBreak/>
              <w:t xml:space="preserve">overestimated in the economic model. The PBAC advised that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would be cost effective with a significant price reduction, which would reflect more realistic estimates of benefits and costs. The PBAC also considered that the estimates of eligible patients and associated costs presented in the submission were highly uncertain. The PBAC recommended that the utilisation estimates be recalculated and that a risk sharing arrangement with the sponsor would be required to mitigate risk associated with the uncertain long-term benefits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and the uncertain duration of therapy.</w:t>
            </w:r>
          </w:p>
          <w:p w14:paraId="3358934A" w14:textId="77777777" w:rsidR="001373B8" w:rsidRDefault="26B634A0" w:rsidP="15988E5D">
            <w:pPr>
              <w:spacing w:before="240" w:after="240"/>
              <w:contextualSpacing/>
              <w:jc w:val="both"/>
              <w:rPr>
                <w:rFonts w:ascii="Aptos" w:eastAsia="Aptos" w:hAnsi="Aptos" w:cs="Aptos"/>
                <w:sz w:val="18"/>
                <w:szCs w:val="18"/>
              </w:rPr>
            </w:pPr>
            <w:r w:rsidRPr="15988E5D">
              <w:rPr>
                <w:rFonts w:ascii="Aptos" w:eastAsia="Aptos" w:hAnsi="Aptos" w:cs="Aptos"/>
                <w:sz w:val="18"/>
                <w:szCs w:val="18"/>
              </w:rPr>
              <w:t>The PBAC advised that the above issues could be addressed in an early re-entry submission.</w:t>
            </w:r>
          </w:p>
          <w:p w14:paraId="60C6FA50" w14:textId="77777777" w:rsidR="001373B8" w:rsidRDefault="001373B8" w:rsidP="15988E5D">
            <w:pPr>
              <w:spacing w:before="240" w:after="240"/>
              <w:contextualSpacing/>
              <w:jc w:val="both"/>
              <w:rPr>
                <w:rFonts w:ascii="Aptos" w:eastAsia="Aptos" w:hAnsi="Aptos" w:cs="Aptos"/>
                <w:sz w:val="18"/>
                <w:szCs w:val="18"/>
              </w:rPr>
            </w:pPr>
          </w:p>
          <w:p w14:paraId="25CB2F0B" w14:textId="77777777" w:rsidR="001373B8" w:rsidRDefault="001373B8" w:rsidP="15988E5D">
            <w:pPr>
              <w:spacing w:before="240" w:after="240"/>
              <w:contextualSpacing/>
              <w:jc w:val="both"/>
              <w:rPr>
                <w:rFonts w:ascii="Aptos" w:eastAsia="Aptos" w:hAnsi="Aptos" w:cs="Aptos"/>
                <w:sz w:val="18"/>
                <w:szCs w:val="18"/>
              </w:rPr>
            </w:pPr>
            <w:r>
              <w:rPr>
                <w:rFonts w:ascii="Aptos" w:eastAsia="Aptos" w:hAnsi="Aptos" w:cs="Aptos"/>
                <w:sz w:val="18"/>
                <w:szCs w:val="18"/>
              </w:rPr>
              <w:t>Sponsor’s comment:</w:t>
            </w:r>
          </w:p>
          <w:p w14:paraId="44565B26" w14:textId="206C5E13" w:rsidR="001373B8" w:rsidRPr="001373B8" w:rsidRDefault="001373B8" w:rsidP="001373B8">
            <w:pPr>
              <w:spacing w:before="240" w:after="240"/>
              <w:contextualSpacing/>
              <w:jc w:val="both"/>
              <w:rPr>
                <w:rFonts w:ascii="Aptos" w:eastAsia="Aptos" w:hAnsi="Aptos" w:cs="Aptos"/>
                <w:sz w:val="18"/>
                <w:szCs w:val="18"/>
              </w:rPr>
            </w:pPr>
            <w:r w:rsidRPr="001373B8">
              <w:rPr>
                <w:rFonts w:ascii="Aptos" w:eastAsia="Aptos" w:hAnsi="Aptos" w:cs="Aptos"/>
                <w:sz w:val="18"/>
                <w:szCs w:val="18"/>
              </w:rPr>
              <w:t xml:space="preserve">Biogen welcomes that the PBAC has recognised the high and urgent unmet need for treatments for people with amyotrophic lateral sclerosis (ALS) who have a superoxide dismutase 1 (SOD1) mutation, and that on balance, </w:t>
            </w:r>
            <w:proofErr w:type="spellStart"/>
            <w:r w:rsidRPr="001373B8">
              <w:rPr>
                <w:rFonts w:ascii="Aptos" w:eastAsia="Aptos" w:hAnsi="Aptos" w:cs="Aptos"/>
                <w:sz w:val="18"/>
                <w:szCs w:val="18"/>
              </w:rPr>
              <w:t>tofersen</w:t>
            </w:r>
            <w:proofErr w:type="spellEnd"/>
            <w:r w:rsidRPr="001373B8">
              <w:rPr>
                <w:rFonts w:ascii="Aptos" w:eastAsia="Aptos" w:hAnsi="Aptos" w:cs="Aptos"/>
                <w:sz w:val="18"/>
                <w:szCs w:val="18"/>
              </w:rPr>
              <w:t xml:space="preserve"> is likely to provide a meaningful benefit compared with best supportive care, including maintaining function for longer and increasing overall survival.</w:t>
            </w:r>
          </w:p>
          <w:p w14:paraId="59BDE398" w14:textId="5F9CE0E3" w:rsidR="001373B8" w:rsidRPr="001373B8" w:rsidRDefault="001373B8" w:rsidP="001373B8">
            <w:pPr>
              <w:spacing w:before="240" w:after="240"/>
              <w:contextualSpacing/>
              <w:jc w:val="both"/>
              <w:rPr>
                <w:rFonts w:ascii="Aptos" w:eastAsia="Aptos" w:hAnsi="Aptos" w:cs="Aptos"/>
                <w:sz w:val="18"/>
                <w:szCs w:val="18"/>
              </w:rPr>
            </w:pPr>
            <w:r w:rsidRPr="001373B8">
              <w:rPr>
                <w:rFonts w:ascii="Aptos" w:eastAsia="Aptos" w:hAnsi="Aptos" w:cs="Aptos"/>
                <w:sz w:val="18"/>
                <w:szCs w:val="18"/>
              </w:rPr>
              <w:t xml:space="preserve">Biogen will continue to work collaboratively with the PBAC to deliver equitable access to </w:t>
            </w:r>
            <w:proofErr w:type="spellStart"/>
            <w:r w:rsidRPr="001373B8">
              <w:rPr>
                <w:rFonts w:ascii="Aptos" w:eastAsia="Aptos" w:hAnsi="Aptos" w:cs="Aptos"/>
                <w:sz w:val="18"/>
                <w:szCs w:val="18"/>
              </w:rPr>
              <w:t>tofersen</w:t>
            </w:r>
            <w:proofErr w:type="spellEnd"/>
            <w:r w:rsidRPr="001373B8">
              <w:rPr>
                <w:rFonts w:ascii="Aptos" w:eastAsia="Aptos" w:hAnsi="Aptos" w:cs="Aptos"/>
                <w:sz w:val="18"/>
                <w:szCs w:val="18"/>
              </w:rPr>
              <w:t xml:space="preserve"> for people with this rare condition in a timely manner. Biogen would like to take this opportunity to thank the ALS community and healthcare professionals who supported the submission</w:t>
            </w:r>
            <w:r>
              <w:rPr>
                <w:rFonts w:ascii="Aptos" w:eastAsia="Aptos" w:hAnsi="Aptos" w:cs="Aptos"/>
                <w:sz w:val="18"/>
                <w:szCs w:val="18"/>
              </w:rPr>
              <w:t>.</w:t>
            </w:r>
          </w:p>
        </w:tc>
      </w:tr>
      <w:tr w:rsidR="009F7C36" w:rsidRPr="00544E10" w14:paraId="6C81C28D" w14:textId="77777777" w:rsidTr="39DDF63A">
        <w:trPr>
          <w:cantSplit/>
          <w:trHeight w:val="58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F51342" w14:textId="77777777" w:rsidR="009F7C36" w:rsidRDefault="009F7C36" w:rsidP="009F7C36">
            <w:pPr>
              <w:jc w:val="center"/>
              <w:rPr>
                <w:rFonts w:asciiTheme="minorHAnsi" w:hAnsiTheme="minorHAnsi" w:cstheme="minorHAnsi"/>
                <w:color w:val="000000"/>
                <w:sz w:val="18"/>
                <w:szCs w:val="18"/>
              </w:rPr>
            </w:pPr>
          </w:p>
          <w:p w14:paraId="44B6FCF9" w14:textId="6AA390C0"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TRASTUZUMAB DERUXTECAN</w:t>
            </w:r>
          </w:p>
          <w:p w14:paraId="7DC1193A"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100 mg</w:t>
            </w:r>
          </w:p>
          <w:p w14:paraId="1CE8C1D6"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Enhertu®</w:t>
            </w:r>
          </w:p>
          <w:p w14:paraId="280CCD6E"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ASTRAZENECA PTY LTD</w:t>
            </w:r>
          </w:p>
          <w:p w14:paraId="26EBAAC0"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4516234D" w14:textId="3A0259CC" w:rsidR="009F7C36" w:rsidRPr="009F7C36" w:rsidRDefault="009F7C36" w:rsidP="009F7C36">
            <w:pPr>
              <w:jc w:val="center"/>
              <w:rPr>
                <w:rFonts w:asciiTheme="minorHAnsi" w:hAnsiTheme="minorHAnsi" w:cstheme="minorHAnsi"/>
                <w:sz w:val="18"/>
                <w:szCs w:val="18"/>
              </w:rPr>
            </w:pPr>
            <w:r w:rsidRPr="00544E10">
              <w:rPr>
                <w:rFonts w:asciiTheme="minorHAnsi" w:hAnsiTheme="minorHAnsi" w:cstheme="minorHAnsi"/>
                <w:color w:val="000000"/>
                <w:sz w:val="18"/>
                <w:szCs w:val="18"/>
              </w:rPr>
              <w:lastRenderedPageBreak/>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D5520BA" w14:textId="073BBCFB"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Gastric or gastroesophageal junction (G/GOJ) 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CDA2CE"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trastuzumab deruxtecan for the treatment of metastatic human epidermal growth factor receptor 2-positive (HER2+) G/GOJ cancer following trastuzumab therapy.</w:t>
            </w:r>
          </w:p>
          <w:p w14:paraId="66923D99"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14:paraId="45D58504" w14:textId="77777777" w:rsidR="009F7C36" w:rsidRPr="00544E10" w:rsidRDefault="009F7C36" w:rsidP="009F7C36">
            <w:pPr>
              <w:jc w:val="center"/>
              <w:rPr>
                <w:rFonts w:asciiTheme="minorHAnsi" w:hAnsiTheme="minorHAnsi" w:cstheme="minorHAnsi"/>
                <w:color w:val="000000"/>
                <w:sz w:val="18"/>
                <w:szCs w:val="18"/>
              </w:rPr>
            </w:pPr>
          </w:p>
        </w:tc>
        <w:tc>
          <w:tcPr>
            <w:tcW w:w="1559" w:type="dxa"/>
            <w:vAlign w:val="center"/>
          </w:tcPr>
          <w:p w14:paraId="2B5CD7A0" w14:textId="13520388" w:rsidR="009F7C36" w:rsidRPr="00544E10" w:rsidRDefault="009F7C36" w:rsidP="009F7C3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Not Recommended</w:t>
            </w:r>
          </w:p>
        </w:tc>
        <w:tc>
          <w:tcPr>
            <w:tcW w:w="5639" w:type="dxa"/>
            <w:vAlign w:val="center"/>
          </w:tcPr>
          <w:p w14:paraId="27CC2BA4" w14:textId="3AE6AAB4" w:rsidR="00BF4EA7" w:rsidRP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did not recommend trastuzumab deruxtecan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for treatment of metastatic human epidermal growth factor receptor 2-positive (HER2+) gastric or gastroesophageal junction (G/GOJ) cancer following trastuzumab therapy. </w:t>
            </w:r>
          </w:p>
          <w:p w14:paraId="5EB2F9E9" w14:textId="77777777" w:rsidR="00BF4EA7" w:rsidRPr="00BF4EA7" w:rsidRDefault="00BF4EA7" w:rsidP="00BF4EA7">
            <w:pPr>
              <w:ind w:left="11"/>
              <w:contextualSpacing/>
              <w:jc w:val="both"/>
              <w:rPr>
                <w:rFonts w:asciiTheme="minorHAnsi" w:hAnsiTheme="minorHAnsi" w:cstheme="minorHAnsi"/>
                <w:color w:val="000000"/>
                <w:sz w:val="18"/>
                <w:szCs w:val="18"/>
              </w:rPr>
            </w:pPr>
          </w:p>
          <w:p w14:paraId="132A367D" w14:textId="77777777" w:rsid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 xml:space="preserve">In May 2025, the PBAC deferred making a recommendation to allow for further consultation with the sponsor about a potential pathway forward towards PBS listing. The PBAC considered there is a high clinical need for more effective treatments, given the poor prognosis of HER2+ G/GOJ adenocarcinoma when it progresses despite initial treatment </w:t>
            </w:r>
            <w:r w:rsidRPr="00BF4EA7">
              <w:rPr>
                <w:rFonts w:asciiTheme="minorHAnsi" w:hAnsiTheme="minorHAnsi" w:cstheme="minorHAnsi"/>
                <w:color w:val="000000"/>
                <w:sz w:val="18"/>
                <w:szCs w:val="18"/>
              </w:rPr>
              <w:lastRenderedPageBreak/>
              <w:t>(trastuzumab). The PBAC recalled input from health care professionals and organisations was supportive of the submission given the superior efficacy albeit at a risk of significant side effects. The PBAC was satisfied there was a clinical need for effective treatments for people whose cancer had progressed following trastuzumab treatment. It also acknowledged the financial burden of unfunded treatments.</w:t>
            </w:r>
          </w:p>
          <w:p w14:paraId="4043A3B6" w14:textId="77777777" w:rsidR="00BF4EA7" w:rsidRPr="00BF4EA7" w:rsidRDefault="00BF4EA7" w:rsidP="00BF4EA7">
            <w:pPr>
              <w:ind w:left="11"/>
              <w:contextualSpacing/>
              <w:jc w:val="both"/>
              <w:rPr>
                <w:rFonts w:asciiTheme="minorHAnsi" w:hAnsiTheme="minorHAnsi" w:cstheme="minorHAnsi"/>
                <w:color w:val="000000"/>
                <w:sz w:val="18"/>
                <w:szCs w:val="18"/>
              </w:rPr>
            </w:pPr>
          </w:p>
          <w:p w14:paraId="3DAF6D1C" w14:textId="77777777" w:rsid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previously considered that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was not as safe but was more effective than standard of care (chemotherapy). However, the submission evidence did not allow confidence in the extent the positive trial results would be realised for Australians because of differences in diagnosis, treatment and disease management between the trial and Australian clinical practice. </w:t>
            </w:r>
          </w:p>
          <w:p w14:paraId="3E1F4B8C" w14:textId="77777777" w:rsidR="00BF4EA7" w:rsidRDefault="00BF4EA7" w:rsidP="00BF4EA7">
            <w:pPr>
              <w:ind w:left="11"/>
              <w:contextualSpacing/>
              <w:jc w:val="both"/>
              <w:rPr>
                <w:rFonts w:asciiTheme="minorHAnsi" w:hAnsiTheme="minorHAnsi" w:cstheme="minorHAnsi"/>
                <w:color w:val="000000"/>
                <w:sz w:val="18"/>
                <w:szCs w:val="18"/>
              </w:rPr>
            </w:pPr>
          </w:p>
          <w:p w14:paraId="27F57F25" w14:textId="77777777" w:rsidR="009F7C36"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previously advised the medicine would be cost effective with a price reduction reflecting more realistic estimates of benefits and costs. The sponsor provided additional information for PBAC’s consideration</w:t>
            </w:r>
            <w:r>
              <w:rPr>
                <w:rFonts w:asciiTheme="minorHAnsi" w:hAnsiTheme="minorHAnsi" w:cstheme="minorHAnsi"/>
                <w:color w:val="000000"/>
                <w:sz w:val="18"/>
                <w:szCs w:val="18"/>
              </w:rPr>
              <w:t>. H</w:t>
            </w:r>
            <w:r w:rsidRPr="00BF4EA7">
              <w:rPr>
                <w:rFonts w:asciiTheme="minorHAnsi" w:hAnsiTheme="minorHAnsi" w:cstheme="minorHAnsi"/>
                <w:color w:val="000000"/>
                <w:sz w:val="18"/>
                <w:szCs w:val="18"/>
              </w:rPr>
              <w:t>owever</w:t>
            </w:r>
            <w:r>
              <w:rPr>
                <w:rFonts w:asciiTheme="minorHAnsi" w:hAnsiTheme="minorHAnsi" w:cstheme="minorHAnsi"/>
                <w:color w:val="000000"/>
                <w:sz w:val="18"/>
                <w:szCs w:val="18"/>
              </w:rPr>
              <w:t>,</w:t>
            </w:r>
            <w:r w:rsidRPr="00BF4EA7">
              <w:rPr>
                <w:rFonts w:asciiTheme="minorHAnsi" w:hAnsiTheme="minorHAnsi" w:cstheme="minorHAnsi"/>
                <w:color w:val="000000"/>
                <w:sz w:val="18"/>
                <w:szCs w:val="18"/>
              </w:rPr>
              <w:t xml:space="preserve"> the proposed approach was not consistent with the PBAC’s previous advice and the PBAC considered the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was not cost effective at the proposed price. The PBAC noted that the sponsor may make a resubmission to incorporate any updated clinical data to support changes to the assumptions about the benefits for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w:t>
            </w:r>
          </w:p>
          <w:p w14:paraId="0AFA6753" w14:textId="77777777" w:rsidR="001B39CE" w:rsidRDefault="001B39CE" w:rsidP="00BF4EA7">
            <w:pPr>
              <w:ind w:left="11"/>
              <w:contextualSpacing/>
              <w:jc w:val="both"/>
              <w:rPr>
                <w:rFonts w:asciiTheme="minorHAnsi" w:hAnsiTheme="minorHAnsi" w:cstheme="minorHAnsi"/>
                <w:color w:val="000000"/>
                <w:sz w:val="18"/>
                <w:szCs w:val="18"/>
              </w:rPr>
            </w:pPr>
          </w:p>
          <w:p w14:paraId="01D43782" w14:textId="77777777" w:rsidR="001B39CE" w:rsidRDefault="001B39CE" w:rsidP="00BF4EA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23C8E18E" w14:textId="61762594" w:rsidR="001B39CE" w:rsidRPr="00544E10" w:rsidRDefault="001B39CE" w:rsidP="00BF4EA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B156A3" w:rsidRPr="00544E10" w14:paraId="66F5C62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117D61" w14:textId="67BDABE6"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TUCATINIB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50 mg</w:t>
            </w:r>
            <w:r w:rsidRPr="00544E10">
              <w:rPr>
                <w:rFonts w:asciiTheme="minorHAnsi" w:hAnsiTheme="minorHAnsi" w:cstheme="minorHAnsi"/>
                <w:color w:val="000000"/>
                <w:sz w:val="18"/>
                <w:szCs w:val="18"/>
              </w:rPr>
              <w:br/>
              <w:t>Tablet 150mg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Tukysa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PFIZER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F03CA48" w14:textId="72788D3D"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Breast cancer </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73F00B" w14:textId="15CF5293"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a listing of tucatinib for use in combination with trastuzumab and capecitabine for the treatment of metastatic (Stage IV) human epidermal growth factor receptor 2 positive breast cancer in patients who have received two prior lines of HER2-directed therapy and have progressed on trastuzumab deruxtecan.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DCC9F33" w14:textId="4D9F9D28" w:rsidR="00B156A3" w:rsidRPr="00544E10" w:rsidRDefault="00B156A3" w:rsidP="00B156A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15BCA30"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tucatinib be subsidised through the PBS for use in combination with the currently subsidised treatment trastuzumab plus capecitabine, for the treatment of metastatic (Stage IV) human epidermal growth factor receptor 2 positive (HER2-positve) breast cancer in patients who have received at least two prior lines of HER2-directed therapy or who have progressed while on treatment with trastuzumab deruxtecan.</w:t>
            </w:r>
          </w:p>
          <w:p w14:paraId="56A23FE9"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welcomed the input from individuals, organisations and a health professional who described the significant challenges faced by people (on their third-line or more of treatment) living with metastatic HER2-positive breast cancer including pain, anxiety, fatigue and neurological symptoms. The PBAC acknowledged the substantial impact of this condition on quality of life and ability to work. Consumers identified improved survival (extending life) as the most important outcome at this stage of the condition. The PBAC recognised that, while several treatments are available on the PBS, there is a need for more effective options for people whose cancer has progressed after multiple lines of therapy, especially for those with brain metastases.</w:t>
            </w:r>
          </w:p>
          <w:p w14:paraId="60EB380E"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accepted that adding tucatinib to treatment with trastuzumab plus capecitabine is more effective than trastuzumab plus capecitabine alone. In the main clinical trial, people who received tucatinib in combination with trastuzumab and capecitabine lived a median of 24.7 months after starting treatment compared to 19.2 months for those who received trastuzumab and capecitabine alone. At two years, 51% of people taking tucatinib were still alive, compared to 40% in the comparator group. For people with brain metastases, tucatinib also improved the time before the cancer got worse. However, tucatinib was associated with higher rates of some side effects, such as diarrhoea (13% of people experienced severe diarrhoea compared to 9% in the comparator group).</w:t>
            </w:r>
          </w:p>
          <w:p w14:paraId="5E04531F" w14:textId="297AA3D0" w:rsidR="00B156A3" w:rsidRPr="00544E10"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tucatinib would be acceptably cost-effective at the cost-utility analysis (CUA) component price proposed, based on the </w:t>
            </w:r>
            <w:r w:rsidRPr="00544E10">
              <w:rPr>
                <w:rFonts w:asciiTheme="minorHAnsi" w:hAnsiTheme="minorHAnsi" w:cstheme="minorHAnsi"/>
                <w:color w:val="000000"/>
                <w:sz w:val="18"/>
                <w:szCs w:val="18"/>
              </w:rPr>
              <w:lastRenderedPageBreak/>
              <w:t xml:space="preserve">resubmission’s comparison of tucatinib versus trastuzumab plus capecitabine. The PBAC did not accept that tucatinib would replace trastuzumab emtansine (T-DM1) and therefore considered that the price should be based only on tucatinib replacing trastuzumab and capecitabine alone. The PBAC considered that the estimates of the financial impact of listing tucatinib on the PBS should only be derived based on the assumption that tucatinib would replace trastuzumab plus capecitabine only. </w:t>
            </w:r>
          </w:p>
        </w:tc>
      </w:tr>
      <w:tr w:rsidR="00565212" w:rsidRPr="00544E10" w14:paraId="1E44F319"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04DC3" w14:textId="3BE3BFB7" w:rsidR="00565212" w:rsidRPr="00565212" w:rsidRDefault="00565212" w:rsidP="00565212">
            <w:pPr>
              <w:jc w:val="center"/>
              <w:rPr>
                <w:rFonts w:asciiTheme="minorHAnsi" w:hAnsiTheme="minorHAnsi" w:cstheme="minorHAnsi"/>
                <w:sz w:val="18"/>
                <w:szCs w:val="18"/>
              </w:rPr>
            </w:pPr>
            <w:r w:rsidRPr="00544E10">
              <w:rPr>
                <w:rFonts w:asciiTheme="minorHAnsi" w:hAnsiTheme="minorHAnsi" w:cstheme="minorHAnsi"/>
                <w:color w:val="000000"/>
                <w:sz w:val="18"/>
                <w:szCs w:val="18"/>
              </w:rPr>
              <w:lastRenderedPageBreak/>
              <w:t>VEDOLIZUMAB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Powder for injection 300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Entyvio®</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TAKEDA PHARMACEUTICALS </w:t>
            </w:r>
            <w:r w:rsidR="00E22024">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5574327E" w14:textId="6DC9D9D6" w:rsidR="00565212" w:rsidRPr="00544E10" w:rsidRDefault="00565212" w:rsidP="005652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Crohn disease (CD)</w:t>
            </w:r>
            <w:r w:rsidRPr="00544E10">
              <w:rPr>
                <w:rFonts w:asciiTheme="minorHAnsi" w:hAnsiTheme="minorHAnsi" w:cstheme="minorHAnsi"/>
                <w:color w:val="000000"/>
                <w:sz w:val="18"/>
                <w:szCs w:val="18"/>
              </w:rPr>
              <w:br/>
              <w:t>Moderate to severe ulcerative colitis (MSUC)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C1E0F7" w14:textId="73B6DE1A" w:rsidR="00565212" w:rsidRPr="00544E10" w:rsidRDefault="00565212" w:rsidP="005652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change to the existing listings for vedolizumab (powder for injection 300 mg) for severe CD and MSUC, that is, additional restrictions with increased repeats to allow for dosing every 4 weeks.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9E051B9" w14:textId="497372EC" w:rsidR="00565212" w:rsidRPr="00544E10" w:rsidRDefault="00565212" w:rsidP="0056521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479DE1C6" w14:textId="4EE791D9"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 xml:space="preserve">The PBAC did not recommend vedolizumab 300 mg IV dose escalation from every 8 weeks to every 4 weeks for the treatment of moderate to severe ulcerative colitis or severe Crohn disease. The PBAC considered that the submission did not account all the costs involved with more frequent infusions, and the modelling of expected usage and financial implications was incomplete. </w:t>
            </w:r>
          </w:p>
          <w:p w14:paraId="7333A850" w14:textId="77777777" w:rsidR="00703A09" w:rsidRDefault="00703A09" w:rsidP="00703A09">
            <w:pPr>
              <w:ind w:left="11"/>
              <w:contextualSpacing/>
              <w:jc w:val="both"/>
              <w:rPr>
                <w:rFonts w:asciiTheme="minorHAnsi" w:hAnsiTheme="minorHAnsi" w:cstheme="minorHAnsi"/>
                <w:color w:val="000000"/>
                <w:sz w:val="18"/>
                <w:szCs w:val="18"/>
              </w:rPr>
            </w:pPr>
          </w:p>
          <w:p w14:paraId="7308D819" w14:textId="0EEB47F1"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The PBAC noted that vedolizumab 4 weekly dosing had non-inferior safety and superior effectiveness to 8 weekly dosing in patients who no longer showed an adequate response to 8 weekly dosing. The evidence indicated that 4 weekly dosing could be beneficial for patients who have responded to induction therapy, but who could not maintain a response to 8 weekly dosing. The clinical criteria for dose escalation were poorly defined, and there was a high risk that dose escalation would be used outside of its intended indication, particularly for patients who had not responded to 8 weekly maintenance treatment and would usually trial a different medicine. The PBAC recognised the need for disease modifying treatments options for the management of inflammatory bowel diseases and welcomed input from Crohn’s &amp; Colitis Australia.</w:t>
            </w:r>
          </w:p>
          <w:p w14:paraId="14E00F97" w14:textId="77777777" w:rsidR="00703A09" w:rsidRPr="00703A09" w:rsidRDefault="00703A09" w:rsidP="00703A09">
            <w:pPr>
              <w:ind w:left="11"/>
              <w:contextualSpacing/>
              <w:jc w:val="both"/>
              <w:rPr>
                <w:rFonts w:asciiTheme="minorHAnsi" w:hAnsiTheme="minorHAnsi" w:cstheme="minorHAnsi"/>
                <w:color w:val="000000"/>
                <w:sz w:val="18"/>
                <w:szCs w:val="18"/>
              </w:rPr>
            </w:pPr>
          </w:p>
          <w:p w14:paraId="35571A37" w14:textId="77777777"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lastRenderedPageBreak/>
              <w:t>The PBAC highlighted that providing dose escalation via a sponsor access program to patients who would otherwise not respond to 8 weekly maintenance therapy, instead of transitioning to another therapy, is not appropriate in the absence of a PBAC recommendation that vedolizumab is cost-effective in this population. The PBAC likewise highlighted that usage of the Medicare Benefits Schedule for the infusion of non-PBS doses of vedolizumab is likewise not appropriate and is considered non-compliance.</w:t>
            </w:r>
          </w:p>
          <w:p w14:paraId="06180BAC" w14:textId="77777777" w:rsidR="001B39CE" w:rsidRDefault="001B39CE" w:rsidP="00703A09">
            <w:pPr>
              <w:ind w:left="11"/>
              <w:contextualSpacing/>
              <w:jc w:val="both"/>
              <w:rPr>
                <w:rFonts w:asciiTheme="minorHAnsi" w:hAnsiTheme="minorHAnsi" w:cstheme="minorHAnsi"/>
                <w:color w:val="000000"/>
                <w:sz w:val="18"/>
                <w:szCs w:val="18"/>
              </w:rPr>
            </w:pPr>
          </w:p>
          <w:p w14:paraId="5F32DC60" w14:textId="0BFEDEBC" w:rsidR="001B39CE" w:rsidRDefault="001B39CE" w:rsidP="00703A09">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0DAC18ED" w14:textId="4B633D90" w:rsidR="00565212" w:rsidRPr="00544E10" w:rsidRDefault="001B39CE" w:rsidP="001B39CE">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3351D9" w:rsidRPr="00544E10" w14:paraId="6B0A2160"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8C37E32" w14:textId="32B1FF51" w:rsidR="006C35D2" w:rsidRDefault="006C35D2" w:rsidP="006C35D2">
            <w:pPr>
              <w:jc w:val="center"/>
              <w:rPr>
                <w:rFonts w:asciiTheme="minorHAnsi" w:hAnsiTheme="minorHAnsi" w:cstheme="minorHAnsi"/>
                <w:color w:val="000000"/>
                <w:sz w:val="18"/>
                <w:szCs w:val="18"/>
              </w:rPr>
            </w:pPr>
            <w:r w:rsidRPr="006C35D2">
              <w:rPr>
                <w:rFonts w:asciiTheme="minorHAnsi" w:hAnsiTheme="minorHAnsi" w:cstheme="minorHAnsi"/>
                <w:color w:val="000000"/>
                <w:sz w:val="18"/>
                <w:szCs w:val="18"/>
              </w:rPr>
              <w:lastRenderedPageBreak/>
              <w:t>WHEY PROTEIN FORMULA SUPPLEMENTED WITH AMINO ACIDS, LONG CHAIN POLYUNSATURATED FATTY ACIDS, VITAMINS AND MINERALS, AND LOW IN PROTEIN, PHOSPHATE, POTASSIUM AND LACTOSE</w:t>
            </w:r>
          </w:p>
          <w:p w14:paraId="7C773EDF"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Oral powder 400 g, 6</w:t>
            </w:r>
          </w:p>
          <w:p w14:paraId="6AEADB5D" w14:textId="77777777" w:rsidR="006C35D2" w:rsidRDefault="006C35D2" w:rsidP="0042735A">
            <w:pPr>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Renastart</w:t>
            </w:r>
            <w:proofErr w:type="spellEnd"/>
            <w:r>
              <w:rPr>
                <w:rFonts w:asciiTheme="minorHAnsi" w:hAnsiTheme="minorHAnsi" w:cstheme="minorHAnsi"/>
                <w:color w:val="000000"/>
                <w:sz w:val="18"/>
                <w:szCs w:val="18"/>
              </w:rPr>
              <w:t>®</w:t>
            </w:r>
          </w:p>
          <w:p w14:paraId="70984770"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VITAFLO AUSTRALIA PTY LIMITED</w:t>
            </w:r>
          </w:p>
          <w:p w14:paraId="29C01D82"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Committee Secretariat </w:t>
            </w:r>
          </w:p>
          <w:p w14:paraId="013C93E4" w14:textId="6B8269B9" w:rsidR="006C35D2" w:rsidRPr="00544E10"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existing listing</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233ED" w14:textId="7D8554BE" w:rsidR="003351D9" w:rsidRPr="00544E10" w:rsidRDefault="00E61E29"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Chronic renal failure</w:t>
            </w:r>
          </w:p>
        </w:tc>
        <w:tc>
          <w:tcPr>
            <w:tcW w:w="2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B8EC802" w14:textId="003EC82A" w:rsidR="003351D9" w:rsidRPr="00544E10" w:rsidRDefault="00E61E29"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To request a minor formulation change to </w:t>
            </w:r>
            <w:proofErr w:type="spellStart"/>
            <w:r>
              <w:rPr>
                <w:rFonts w:asciiTheme="minorHAnsi" w:hAnsiTheme="minorHAnsi" w:cstheme="minorHAnsi"/>
                <w:color w:val="000000"/>
                <w:sz w:val="18"/>
                <w:szCs w:val="18"/>
              </w:rPr>
              <w:t>Renastart</w:t>
            </w:r>
            <w:proofErr w:type="spellEnd"/>
            <w:r>
              <w:rPr>
                <w:rFonts w:asciiTheme="minorHAnsi" w:hAnsiTheme="minorHAnsi" w:cstheme="minorHAnsi"/>
                <w:color w:val="000000"/>
                <w:sz w:val="18"/>
                <w:szCs w:val="18"/>
              </w:rPr>
              <w:t xml:space="preserve"> for the treatment of chronic renal failure. </w:t>
            </w:r>
          </w:p>
        </w:tc>
        <w:tc>
          <w:tcPr>
            <w:tcW w:w="1559" w:type="dxa"/>
            <w:shd w:val="clear" w:color="auto" w:fill="D9D9D9" w:themeFill="background1" w:themeFillShade="D9"/>
            <w:vAlign w:val="center"/>
          </w:tcPr>
          <w:p w14:paraId="3F9BD54A" w14:textId="5E9FB244" w:rsidR="003351D9" w:rsidRPr="00544E10" w:rsidRDefault="00E61E29" w:rsidP="0042735A">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vAlign w:val="center"/>
          </w:tcPr>
          <w:p w14:paraId="58525EC2" w14:textId="047BC7E7" w:rsidR="003351D9" w:rsidRPr="00544E10" w:rsidRDefault="00E61E29" w:rsidP="0042735A">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This item was withdrawn.</w:t>
            </w:r>
          </w:p>
        </w:tc>
      </w:tr>
      <w:tr w:rsidR="0042735A" w:rsidRPr="00544E10" w14:paraId="576424DC" w14:textId="77777777" w:rsidTr="39DDF63A">
        <w:trPr>
          <w:cantSplit/>
          <w:trHeight w:val="11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2EC5FF" w14:textId="1507C8AE"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ZANUBRUTINIB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160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Brukinsa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BEIGENE AUS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B6E9F27" w14:textId="66AA689E"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Mantle cell lymphoma (MCL)</w:t>
            </w:r>
            <w:r w:rsidRPr="00544E10">
              <w:rPr>
                <w:rFonts w:asciiTheme="minorHAnsi" w:hAnsiTheme="minorHAnsi" w:cstheme="minorHAnsi"/>
                <w:color w:val="000000"/>
                <w:sz w:val="18"/>
                <w:szCs w:val="18"/>
              </w:rPr>
              <w:br/>
              <w:t>Waldenstrom macroglobulinaemia (WM)</w:t>
            </w:r>
            <w:r w:rsidRPr="00544E10">
              <w:rPr>
                <w:rFonts w:asciiTheme="minorHAnsi" w:hAnsiTheme="minorHAnsi" w:cstheme="minorHAnsi"/>
                <w:color w:val="000000"/>
                <w:sz w:val="18"/>
                <w:szCs w:val="18"/>
              </w:rPr>
              <w:br/>
              <w:t xml:space="preserve">Chronic lymphocytic </w:t>
            </w:r>
            <w:r w:rsidRPr="00544E10">
              <w:rPr>
                <w:rFonts w:asciiTheme="minorHAnsi" w:hAnsiTheme="minorHAnsi" w:cstheme="minorHAnsi"/>
                <w:color w:val="000000"/>
                <w:sz w:val="18"/>
                <w:szCs w:val="18"/>
              </w:rPr>
              <w:lastRenderedPageBreak/>
              <w:t>leukaemia (CLL) or small lymphocytic lymphoma (SLL)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DDC7B00" w14:textId="327C6917"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 xml:space="preserve">To request listing of a new form of zanubrutinib for the treatment of MCL, WM, and CLL or SLL.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4E67950D" w14:textId="69D85C36" w:rsidR="0042735A" w:rsidRPr="00544E10" w:rsidRDefault="0042735A" w:rsidP="0042735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CA8285E" w14:textId="5585F284" w:rsidR="0042735A" w:rsidRDefault="0042735A"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a new 160 mg tablet form of zanubrutinib under the same circumstances as the PBS-listed zanubrutinib 80 mg capsule on a cost-minimisation basis. </w:t>
            </w:r>
          </w:p>
          <w:p w14:paraId="64DAC6C3" w14:textId="77777777" w:rsidR="0042735A" w:rsidRDefault="0042735A"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input from medical organisations, and supporting the proposed listing to offers a simplified dosing regimen, improving patient </w:t>
            </w:r>
            <w:r w:rsidRPr="00544E10">
              <w:rPr>
                <w:rFonts w:asciiTheme="minorHAnsi" w:hAnsiTheme="minorHAnsi" w:cstheme="minorHAnsi"/>
                <w:color w:val="000000"/>
                <w:sz w:val="18"/>
                <w:szCs w:val="18"/>
              </w:rPr>
              <w:lastRenderedPageBreak/>
              <w:t>adherence, reducing pill burden and enhancing patients’ quality of life. The PBAC noted and welcomed input from</w:t>
            </w:r>
            <w:r w:rsidR="00327891">
              <w:rPr>
                <w:rFonts w:asciiTheme="minorHAnsi" w:hAnsiTheme="minorHAnsi" w:cstheme="minorHAnsi"/>
                <w:color w:val="000000"/>
                <w:sz w:val="18"/>
                <w:szCs w:val="18"/>
              </w:rPr>
              <w:t xml:space="preserve"> health care organisations</w:t>
            </w:r>
            <w:r w:rsidRPr="00544E10">
              <w:rPr>
                <w:rFonts w:asciiTheme="minorHAnsi" w:hAnsiTheme="minorHAnsi" w:cstheme="minorHAnsi"/>
                <w:color w:val="000000"/>
                <w:sz w:val="18"/>
                <w:szCs w:val="18"/>
              </w:rPr>
              <w:t xml:space="preserve">, as well as several individual patients and carers. </w:t>
            </w:r>
            <w:r w:rsidR="00327891">
              <w:rPr>
                <w:rFonts w:asciiTheme="minorHAnsi" w:hAnsiTheme="minorHAnsi" w:cstheme="minorHAnsi"/>
                <w:color w:val="000000"/>
                <w:sz w:val="18"/>
                <w:szCs w:val="18"/>
              </w:rPr>
              <w:t xml:space="preserve">The PBAC noted several potential benefits </w:t>
            </w:r>
            <w:r w:rsidR="00534502">
              <w:rPr>
                <w:rFonts w:asciiTheme="minorHAnsi" w:hAnsiTheme="minorHAnsi" w:cstheme="minorHAnsi"/>
                <w:color w:val="000000"/>
                <w:sz w:val="18"/>
                <w:szCs w:val="18"/>
              </w:rPr>
              <w:t xml:space="preserve">from Zanubrutinib, including </w:t>
            </w:r>
            <w:r w:rsidRPr="00544E10">
              <w:rPr>
                <w:rFonts w:asciiTheme="minorHAnsi" w:hAnsiTheme="minorHAnsi" w:cstheme="minorHAnsi"/>
                <w:color w:val="000000"/>
                <w:sz w:val="18"/>
                <w:szCs w:val="18"/>
              </w:rPr>
              <w:t xml:space="preserve">that the 160 mg tablet offers a simplified dosing regimen, which may improve patient adherence, reduce pill burden, and enhance quality of life for people living with rare blood cancers. </w:t>
            </w:r>
            <w:r w:rsidR="00534502">
              <w:rPr>
                <w:rFonts w:asciiTheme="minorHAnsi" w:hAnsiTheme="minorHAnsi" w:cstheme="minorHAnsi"/>
                <w:color w:val="000000"/>
                <w:sz w:val="18"/>
                <w:szCs w:val="18"/>
              </w:rPr>
              <w:t>The PBAC acknowledged</w:t>
            </w:r>
            <w:r w:rsidRPr="00544E10">
              <w:rPr>
                <w:rFonts w:asciiTheme="minorHAnsi" w:hAnsiTheme="minorHAnsi" w:cstheme="minorHAnsi"/>
                <w:color w:val="000000"/>
                <w:sz w:val="18"/>
                <w:szCs w:val="18"/>
              </w:rPr>
              <w:t xml:space="preserve"> described reduced treatment burden and improved wellbeing for both patients and families.</w:t>
            </w:r>
          </w:p>
          <w:p w14:paraId="29677E58" w14:textId="77777777" w:rsidR="00534502" w:rsidRDefault="00534502" w:rsidP="0042735A">
            <w:pPr>
              <w:ind w:left="11"/>
              <w:contextualSpacing/>
              <w:jc w:val="both"/>
              <w:rPr>
                <w:rFonts w:asciiTheme="minorHAnsi" w:hAnsiTheme="minorHAnsi" w:cstheme="minorHAnsi"/>
                <w:color w:val="000000"/>
                <w:sz w:val="18"/>
                <w:szCs w:val="18"/>
              </w:rPr>
            </w:pPr>
          </w:p>
          <w:p w14:paraId="76CDFCB2" w14:textId="0266CEEA" w:rsidR="00534502" w:rsidRPr="00544E10" w:rsidRDefault="00534502"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advised the equi-effective daily dose of 320 mg to be 2 x 160 mg tablets, being equal to 4 x 80 mg capsules. The PBAC also advised that its previous pricing advice for zanubrutinib 80 mg should apply to zanubrutinib 160 mg for the same treatments.</w:t>
            </w:r>
          </w:p>
        </w:tc>
      </w:tr>
    </w:tbl>
    <w:p w14:paraId="0F56A79F" w14:textId="020F3072" w:rsidR="00E71941" w:rsidRDefault="00E71941" w:rsidP="00E71941">
      <w:pPr>
        <w:tabs>
          <w:tab w:val="left" w:pos="5716"/>
        </w:tabs>
      </w:pPr>
    </w:p>
    <w:p w14:paraId="2CA67FEA" w14:textId="0A860E3A" w:rsidR="007510EF" w:rsidRDefault="007510EF">
      <w:r>
        <w:br w:type="page"/>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7510EF" w:rsidRPr="00544E10" w14:paraId="234F7336" w14:textId="77777777">
        <w:trPr>
          <w:cantSplit/>
          <w:trHeight w:val="300"/>
          <w:tblHeader/>
        </w:trPr>
        <w:tc>
          <w:tcPr>
            <w:tcW w:w="3417" w:type="dxa"/>
            <w:tcMar>
              <w:top w:w="28" w:type="dxa"/>
              <w:bottom w:w="28" w:type="dxa"/>
            </w:tcMar>
            <w:vAlign w:val="center"/>
          </w:tcPr>
          <w:p w14:paraId="4A95B2B5" w14:textId="77777777" w:rsidR="007510EF" w:rsidRPr="00544E10" w:rsidRDefault="007510EF">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lastRenderedPageBreak/>
              <w:t>DRUG NAME, FORM(S), STRENGTH(S), SPONSOR, TYPE OF SUBMISSION</w:t>
            </w:r>
          </w:p>
        </w:tc>
        <w:tc>
          <w:tcPr>
            <w:tcW w:w="1919" w:type="dxa"/>
            <w:tcMar>
              <w:top w:w="28" w:type="dxa"/>
              <w:bottom w:w="28" w:type="dxa"/>
            </w:tcMar>
            <w:vAlign w:val="center"/>
          </w:tcPr>
          <w:p w14:paraId="6BF599DA" w14:textId="77777777" w:rsidR="007510EF" w:rsidRPr="00544E10" w:rsidRDefault="007510EF">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481C20B4" w14:textId="77777777" w:rsidR="007510EF" w:rsidRPr="00544E10" w:rsidRDefault="007510EF">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7A1F716E" w14:textId="77777777" w:rsidR="007510EF" w:rsidRPr="00544E10" w:rsidRDefault="007510EF">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2C2746" w:rsidRPr="00544E10" w14:paraId="76B6A637"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D780F8" w14:textId="77ACA216"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Monitoring system for final trial overall survival results for cancer medicines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667B64B0" w14:textId="188C65B8"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D28F6E" w14:textId="5D27052E"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on whether:</w:t>
            </w:r>
            <w:r w:rsidRPr="00544E10">
              <w:rPr>
                <w:rFonts w:asciiTheme="minorHAnsi" w:hAnsiTheme="minorHAnsi" w:cstheme="minorHAnsi"/>
                <w:color w:val="000000"/>
                <w:sz w:val="18"/>
                <w:szCs w:val="18"/>
              </w:rPr>
              <w:br/>
              <w:t>- the monitoring system should be continued</w:t>
            </w:r>
            <w:r w:rsidRPr="00544E10">
              <w:rPr>
                <w:rFonts w:asciiTheme="minorHAnsi" w:hAnsiTheme="minorHAnsi" w:cstheme="minorHAnsi"/>
                <w:color w:val="000000"/>
                <w:sz w:val="18"/>
                <w:szCs w:val="18"/>
              </w:rPr>
              <w:br/>
              <w:t>- if any further project work should be undertaken for ‘red alert’ items</w:t>
            </w:r>
            <w:r w:rsidRPr="00544E10">
              <w:rPr>
                <w:rFonts w:asciiTheme="minorHAnsi" w:hAnsiTheme="minorHAnsi" w:cstheme="minorHAnsi"/>
                <w:color w:val="000000"/>
                <w:sz w:val="18"/>
                <w:szCs w:val="18"/>
              </w:rPr>
              <w:br/>
              <w:t>- if the monitoring system should be extended to any other disease areas.</w:t>
            </w:r>
          </w:p>
        </w:tc>
        <w:tc>
          <w:tcPr>
            <w:tcW w:w="1559" w:type="dxa"/>
            <w:vAlign w:val="center"/>
          </w:tcPr>
          <w:p w14:paraId="76D52595" w14:textId="3CFE9E89" w:rsidR="002C2746" w:rsidRPr="00544E10" w:rsidRDefault="002C2746" w:rsidP="002C274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14:paraId="6A0FAEED" w14:textId="0F14CC08" w:rsidR="002C2746" w:rsidRPr="00544E10" w:rsidRDefault="002C2746" w:rsidP="002C274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noted the draft report on a ‘Monitoring system for updated overall survival (OS) results for cancer trials’ (the Report), prepared by Monash University. The PBAC considered that following up on trial results to ensure that they aligned with the Committee’s expectations at the time of a positive recommendation was an important aspect of stewardship of the PBS. The PBAC considered that it would be worthwhile to continue the monitoring system for a further 2-3 years before evaluating the merits of the system but noted that the relative priority of this project compared to other potential post-market monitoring projects could be considered by the PBAC when reviewing the Post-market Review Workplan at a future meeting. The PBAC considered that if the monitoring system were continued for an additional period, that sponsors would be informed through an update to the published PMR Workplan and would continue to be consulted on the project following standard PBAC processes and timelines.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PBAC supported publication of the Report and associated PBAC Minutes on the PBS website and agreed that the Report should be provided to the HTA Review Implementation Advisory Group (IAG).</w:t>
            </w:r>
          </w:p>
        </w:tc>
      </w:tr>
      <w:tr w:rsidR="00D44771" w:rsidRPr="00544E10" w14:paraId="10B623BF"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7B9E00" w14:textId="77777777" w:rsidR="00C770CA"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PBAC advice on equitable access to medicines for the treatment of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Glucagon-like peptide-1 receptor agonists (GLP-1s)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p>
          <w:p w14:paraId="2338211A" w14:textId="3C1096F2"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3B5AB205" w14:textId="62922B99"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Obesity</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6C3FE9" w14:textId="1C9F73D6"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requested by Minister Butler on equitable access to GLP-1 obesity treatments through the PBS.</w:t>
            </w:r>
          </w:p>
        </w:tc>
        <w:tc>
          <w:tcPr>
            <w:tcW w:w="1559" w:type="dxa"/>
            <w:vAlign w:val="center"/>
          </w:tcPr>
          <w:p w14:paraId="50DC9C2B" w14:textId="2C2B97C2"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14:paraId="1C41C5C8" w14:textId="5A49B24A" w:rsidR="00A85BA9" w:rsidRPr="00A85BA9" w:rsidRDefault="00D44771" w:rsidP="00A85BA9">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w:t>
            </w:r>
            <w:r w:rsidR="00A85BA9">
              <w:rPr>
                <w:rFonts w:asciiTheme="minorHAnsi" w:hAnsiTheme="minorHAnsi" w:cstheme="minorHAnsi"/>
                <w:color w:val="000000"/>
                <w:sz w:val="18"/>
                <w:szCs w:val="18"/>
              </w:rPr>
              <w:t>T</w:t>
            </w:r>
            <w:r w:rsidR="00A85BA9" w:rsidRPr="00A85BA9">
              <w:rPr>
                <w:rFonts w:asciiTheme="minorHAnsi" w:hAnsiTheme="minorHAnsi" w:cstheme="minorHAnsi"/>
                <w:color w:val="000000"/>
                <w:sz w:val="18"/>
                <w:szCs w:val="18"/>
              </w:rPr>
              <w:t xml:space="preserve">he PBAC provided advice on priority groups to ensure equitable subsidised access to glucagon-like peptide-1 receptor agonists (GLP-1) for the treatment of obesity.  Based on current evidence, PBAC considered this should include: people with established cardiovascular disease, Aboriginal and Torres Strait Islander patients with obesity-related comorbidities, people with syndromic obesity, people with medication-induced obesity, and patients requiring weight loss to be eligible for surgery. The PBAC invited sponsor submissions for these populations, noting that any PBS listing would be subject to the legislative requirements to demonstrate clinical and cost-effectiveness through a sponsor-initiated submission. </w:t>
            </w:r>
          </w:p>
          <w:p w14:paraId="224D51AA"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0B42AF97" w14:textId="7ACAE782"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welcomed and considered input from individuals who have used GLP-1s, other individuals, health care professionals and organisations</w:t>
            </w:r>
            <w:r>
              <w:rPr>
                <w:rFonts w:asciiTheme="minorHAnsi" w:hAnsiTheme="minorHAnsi" w:cstheme="minorHAnsi"/>
                <w:color w:val="000000"/>
                <w:sz w:val="18"/>
                <w:szCs w:val="18"/>
              </w:rPr>
              <w:t xml:space="preserve">. </w:t>
            </w:r>
            <w:r w:rsidRPr="00A85BA9">
              <w:rPr>
                <w:rFonts w:asciiTheme="minorHAnsi" w:hAnsiTheme="minorHAnsi" w:cstheme="minorHAnsi"/>
                <w:color w:val="000000"/>
                <w:sz w:val="18"/>
                <w:szCs w:val="18"/>
              </w:rPr>
              <w:t xml:space="preserve">The PBAC noted that the broad categories of people who had used the </w:t>
            </w:r>
            <w:r w:rsidRPr="00A85BA9">
              <w:rPr>
                <w:rFonts w:asciiTheme="minorHAnsi" w:hAnsiTheme="minorHAnsi" w:cstheme="minorHAnsi"/>
                <w:color w:val="000000"/>
                <w:sz w:val="18"/>
                <w:szCs w:val="18"/>
              </w:rPr>
              <w:lastRenderedPageBreak/>
              <w:t xml:space="preserve">medicines and provided inputs included: people with inherited and genetic causes of obesity; people using obesogenic medications; and people who find it difficult to exercise due to their obesity or other conditions, such as disabilities and autoimmune diseases that affect joints. Consumers had a wide range of comorbidities, including cardiovascular disease, kidney and liver disease, type 2 diabetes, endocrine disorders, autoimmune disease, musculoskeletal conditions, obstructive sleep apnoea, and mental health conditions. </w:t>
            </w:r>
          </w:p>
          <w:p w14:paraId="1856FC9D"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5C25D4D2"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that while cost was a concern and barrier to ongoing access for many consumers, private market data indicated that there was a high willingness to pay for obesity treatments among Australian consumers with around 420,000 people receiving a private market supply of semaglutide or tirzepatide in July 2025.</w:t>
            </w:r>
          </w:p>
          <w:p w14:paraId="32626890"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045221DA"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advised a slow and managed roll-out of access to PBS-subsidised GLP-1 treatments in the Australian health care system would help to manage leakage and uncertainties around long-term use and outcomes. The PBAC considered that there may be merit in broader subsidy of GLP-1s for early intervention and prevention of obesity-related comorbidities, but such subsidy would need to be established as a program outside of the PBS as it would be difficult to achieve a cost-effective price of providing obesity medicines for these broader purposes at this time. The PBAC noted that if a large population were to be treated with GLP-1s, there would be an increased likelihood of rare, serious adverse events, which may outweigh the benefits in patients without pre-existing comorbidities and would inform ongoing appropriate use.</w:t>
            </w:r>
          </w:p>
          <w:p w14:paraId="5DE94AE3"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59EAC420"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the rapid emergence of research in obesity treatments and real-world evidence in this area, which is expected to drive significant changes in cost, supply, dosing, and utilisation over coming years. The PBAC noted the importance of real-world data to inform effective, equitable, safe and cost-effective use of GLP-1s.</w:t>
            </w:r>
          </w:p>
          <w:p w14:paraId="1E72DB6A"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3758388A"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considered that there was a need to improve access to non-pharmacological interventions, such as diet and physical activity support, and that digital models may provide an equitable avenue for broad access to these supports. The PBAC considered that there should not be any mandatory requirements for use of wraparound services for PBS-subsidised access to GLP 1s, as this would create a barrier to accessing therapy, particularly for people who were already at higher risk of obesity and its associated comorbidities, such as Aboriginal and/or Torres Strait Islanders, those socioeconomically disadvantaged, and those living in regional and remote areas.</w:t>
            </w:r>
          </w:p>
          <w:p w14:paraId="3A60053F" w14:textId="723DD5B1" w:rsidR="00D44771" w:rsidRPr="00544E10" w:rsidRDefault="00D44771" w:rsidP="00A85BA9">
            <w:pPr>
              <w:ind w:left="11"/>
              <w:contextualSpacing/>
              <w:jc w:val="both"/>
              <w:rPr>
                <w:rFonts w:asciiTheme="minorHAnsi" w:hAnsiTheme="minorHAnsi" w:cstheme="minorHAnsi"/>
                <w:color w:val="000000"/>
                <w:sz w:val="18"/>
                <w:szCs w:val="18"/>
              </w:rPr>
            </w:pPr>
          </w:p>
        </w:tc>
      </w:tr>
      <w:tr w:rsidR="00D44771" w:rsidRPr="00544E10" w14:paraId="6BC63320"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582537" w14:textId="186948E8"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PBS-listed ocular lubricants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forms and strengths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2898847A" w14:textId="778F81EC"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Severe dry eye </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E418BC" w14:textId="5778232F"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consider the provided utilisation analysis and financial estimates of costs to the PBS to support its consideration of potential changes to PBS-listings for ocular lubricants for severe dry eye.</w:t>
            </w:r>
          </w:p>
        </w:tc>
        <w:tc>
          <w:tcPr>
            <w:tcW w:w="1559" w:type="dxa"/>
            <w:vAlign w:val="center"/>
          </w:tcPr>
          <w:p w14:paraId="1F95CC00" w14:textId="36EAA402"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ED15749" w14:textId="77777777" w:rsid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limiting PBS prescribing of PF ocular lubricants to optometrists and ophthalmologists, to better align PBS restrictions with clinical guidelines and ensure that PF ocular lubricants are targeted to patients with severe dry eye who are most likely to require frequent dosing and specialist oversight. </w:t>
            </w:r>
          </w:p>
          <w:p w14:paraId="32171A52" w14:textId="77777777" w:rsidR="00B26E8F" w:rsidRDefault="00B26E8F" w:rsidP="00B26E8F">
            <w:pPr>
              <w:contextualSpacing/>
              <w:jc w:val="both"/>
              <w:rPr>
                <w:rFonts w:asciiTheme="minorHAnsi" w:hAnsiTheme="minorHAnsi" w:cstheme="minorHAnsi"/>
                <w:color w:val="000000"/>
                <w:sz w:val="18"/>
                <w:szCs w:val="18"/>
              </w:rPr>
            </w:pPr>
          </w:p>
          <w:p w14:paraId="75AEA017" w14:textId="77777777" w:rsid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that ophthalmologists and optometrists are the most appropriate practitioners to diagnose severe dry eye and determine the need for PF ocular lubricants, given the complexity of the condition and the associated risk of preservative-related ocular surface toxicity. The PBAC also considered that implementing this change may assist in moderating the upward trend in PBS expenditure for PF ocular lubricants.</w:t>
            </w:r>
          </w:p>
          <w:p w14:paraId="11B69B8C" w14:textId="77777777" w:rsidR="00B26E8F" w:rsidRDefault="00B26E8F" w:rsidP="00B26E8F">
            <w:pPr>
              <w:contextualSpacing/>
              <w:jc w:val="both"/>
              <w:rPr>
                <w:rFonts w:asciiTheme="minorHAnsi" w:hAnsiTheme="minorHAnsi" w:cstheme="minorHAnsi"/>
                <w:color w:val="000000"/>
                <w:sz w:val="18"/>
                <w:szCs w:val="18"/>
              </w:rPr>
            </w:pPr>
          </w:p>
          <w:p w14:paraId="34F713A5" w14:textId="2579FD1D" w:rsidR="00B26E8F" w:rsidRP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acknowledged some patients may face additional time or financial burdens when accessing specialist care but concluded that this approach supports quality use of medicines and maintains PBS access to PF ocular lubricants for those with the greatest clinical need.</w:t>
            </w:r>
          </w:p>
          <w:p w14:paraId="05B970D2" w14:textId="0CF12394"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In making this recommendation the PBAC considered a report presenting a utilisation analysis and financial estimates for potential changes to the restrictions for PBS listings of ocular lubricants in patients with severe dry eye report (“the Report”). The PBAC noted the advice received from the </w:t>
            </w:r>
            <w:r w:rsidRPr="00B26E8F">
              <w:rPr>
                <w:rFonts w:asciiTheme="minorHAnsi" w:hAnsiTheme="minorHAnsi" w:cstheme="minorHAnsi"/>
                <w:color w:val="000000"/>
                <w:sz w:val="18"/>
                <w:szCs w:val="18"/>
              </w:rPr>
              <w:lastRenderedPageBreak/>
              <w:t xml:space="preserve">Drug Utilisation Sub-Committee and the pre-PBAC responses received from sponsors and peak </w:t>
            </w:r>
            <w:r w:rsidR="00A97EA6" w:rsidRPr="00B26E8F">
              <w:rPr>
                <w:rFonts w:asciiTheme="minorHAnsi" w:hAnsiTheme="minorHAnsi" w:cstheme="minorHAnsi"/>
                <w:color w:val="000000"/>
                <w:sz w:val="18"/>
                <w:szCs w:val="18"/>
              </w:rPr>
              <w:t xml:space="preserve">representative </w:t>
            </w:r>
            <w:r w:rsidR="00A97EA6" w:rsidRPr="00B06FD1">
              <w:rPr>
                <w:rFonts w:asciiTheme="minorHAnsi" w:hAnsiTheme="minorHAnsi" w:cstheme="minorHAnsi"/>
                <w:color w:val="000000"/>
                <w:sz w:val="18"/>
                <w:szCs w:val="18"/>
              </w:rPr>
              <w:t>ophthalmology</w:t>
            </w:r>
            <w:r w:rsidR="00753E53" w:rsidRPr="00753E53">
              <w:rPr>
                <w:rFonts w:asciiTheme="minorHAnsi" w:hAnsiTheme="minorHAnsi" w:cstheme="minorHAnsi"/>
                <w:color w:val="000000"/>
                <w:sz w:val="18"/>
                <w:szCs w:val="18"/>
              </w:rPr>
              <w:t xml:space="preserve">/optometric </w:t>
            </w:r>
            <w:r w:rsidRPr="00B26E8F">
              <w:rPr>
                <w:rFonts w:asciiTheme="minorHAnsi" w:hAnsiTheme="minorHAnsi" w:cstheme="minorHAnsi"/>
                <w:color w:val="000000"/>
                <w:sz w:val="18"/>
                <w:szCs w:val="18"/>
              </w:rPr>
              <w:t>organisations.</w:t>
            </w:r>
          </w:p>
          <w:p w14:paraId="38FBB5BA"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3629CD88" w14:textId="77777777"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noted that annual PBS prescriptions for ocular lubricants increased from 1.9 million in 2015 to 2.3 million in 2023, with total government expenditure doubling from $26.1 million to $52.3 million, and that this growth was driven by preservative-free (PF) ocular lubricants. Expenditure on PF ocular lubricants increased from $14 million to $42 million, while expenditure on preservative-containing (PC) ocular lubricants declined from $12 million to $10 million. The PBAC noted that modelled estimates of future prescriptions and total government expenditure on ocular lubricants indicated an increase in expenditure from $53.2 million in 2023 to $93.2 million in 2031. Expenditure on PF multi-dose ocular lubricants is expected to increase from $27.9 million in 2023 to $71.3 million in 2031 while expenditure on PC ocular lubricants is expected to decrease from $10.0 million in 2023 to $1.5 million by 2031. The PBAC noted the divergence in price between PF and PC ocular lubricants, despite the original intent for cost minimisation, and acknowledged the steady increase in patient numbers alongside a clinical preference to keep patients on the same products once treatment is established. </w:t>
            </w:r>
          </w:p>
          <w:p w14:paraId="1FB735CE"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7CBE9872" w14:textId="77777777" w:rsidR="00B26E8F" w:rsidRP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two options presented in the report for changing the PBS restrictions for PF ocular lubricants:</w:t>
            </w:r>
          </w:p>
          <w:p w14:paraId="36EB368A" w14:textId="63344830" w:rsidR="00B26E8F" w:rsidRPr="00B26E8F" w:rsidRDefault="00B26E8F" w:rsidP="00B26E8F">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1</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downgrading of the restriction level for PF ocular lubricants to align with PC ocular lubricants, with an accompanying price reduction</w:t>
            </w:r>
          </w:p>
          <w:p w14:paraId="78981FF9" w14:textId="22485492" w:rsidR="00B26E8F" w:rsidRPr="00B26E8F" w:rsidRDefault="00B26E8F" w:rsidP="00B26E8F">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2</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limiting PBS prescribing of PF ocular lubricants to optometrists and ophthalmologists </w:t>
            </w:r>
          </w:p>
          <w:p w14:paraId="11BC155F"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7F0F9D79" w14:textId="77777777"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noted Option 1 would support continued patient access to allow switching from PC to PF ocular lubricants as needed, but that it may be </w:t>
            </w:r>
            <w:r w:rsidRPr="00B26E8F">
              <w:rPr>
                <w:rFonts w:asciiTheme="minorHAnsi" w:hAnsiTheme="minorHAnsi" w:cstheme="minorHAnsi"/>
                <w:color w:val="000000"/>
                <w:sz w:val="18"/>
                <w:szCs w:val="18"/>
              </w:rPr>
              <w:lastRenderedPageBreak/>
              <w:t>difficult to negotiate the substantial proposed price reductions with sponsors of PBS-listed PF products. The PBAC noted clinical advice that patients with severe dry eye disease typically require frequent administration of ocular lubricants, often exceeding six drops daily, and are therefore highly likely to be under the ongoing care of ophthalmologists or optometrists. PF ocular lubricants are clinically preferred in these cases due to the risk of preservative-related ocular surface toxicity.</w:t>
            </w:r>
          </w:p>
          <w:p w14:paraId="50725058"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50BFDE76" w14:textId="5EE4D0AB" w:rsidR="00D44771" w:rsidRP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Option 2, limiting PBS prescribing of preservative-free ocular lubricants to optometrists and ophthalmologists to align with clinical guidelines, target patients with severe dry eye requiring specialist oversight, and help moderate PBS expenditure while maintaining access for those with greatest clinical need. </w:t>
            </w:r>
          </w:p>
        </w:tc>
      </w:tr>
      <w:tr w:rsidR="00D44771" w:rsidRPr="00544E10" w14:paraId="693310B5"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984A7D" w14:textId="4BFEC0E7" w:rsidR="00D44771" w:rsidRPr="00544E10" w:rsidRDefault="00C770CA"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TENOFOVIR DISOPROXIL FUMARATE WITH EMTRICITABINE</w:t>
            </w:r>
            <w:r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Tablet containing tenofovir disoproxil fumarate 300 mg with emtricitabine 200 mg</w:t>
            </w:r>
            <w:r w:rsidR="00D44771" w:rsidRPr="00544E10">
              <w:rPr>
                <w:rFonts w:asciiTheme="minorHAnsi" w:hAnsiTheme="minorHAnsi" w:cstheme="minorHAnsi"/>
                <w:color w:val="000000"/>
                <w:sz w:val="18"/>
                <w:szCs w:val="18"/>
              </w:rPr>
              <w:br/>
              <w:t>Tablet containing tenofovir disoproxil maleate 300 mg with emtricitabine 200 mg</w:t>
            </w:r>
            <w:r w:rsidR="00D44771" w:rsidRPr="00544E10">
              <w:rPr>
                <w:rFonts w:asciiTheme="minorHAnsi" w:hAnsiTheme="minorHAnsi" w:cstheme="minorHAnsi"/>
                <w:color w:val="000000"/>
                <w:sz w:val="18"/>
                <w:szCs w:val="18"/>
              </w:rPr>
              <w:br/>
              <w:t>Tablet containing tenofovir disoproxil succinate 301 mg with emtricitabine 200 mg</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CIPLA TENOFOVIR + EMTRICITABINE 300/200</w:t>
            </w:r>
            <w:r w:rsidR="00D44771" w:rsidRPr="00544E10">
              <w:rPr>
                <w:rFonts w:asciiTheme="minorHAnsi" w:hAnsiTheme="minorHAnsi" w:cstheme="minorHAnsi"/>
                <w:color w:val="000000"/>
                <w:sz w:val="18"/>
                <w:szCs w:val="18"/>
              </w:rPr>
              <w:br/>
              <w:t>TENOFOVIR/EMTRICITABINE 300/200 APX</w:t>
            </w:r>
            <w:r w:rsidR="00D44771" w:rsidRPr="00544E10">
              <w:rPr>
                <w:rFonts w:asciiTheme="minorHAnsi" w:hAnsiTheme="minorHAnsi" w:cstheme="minorHAnsi"/>
                <w:color w:val="000000"/>
                <w:sz w:val="18"/>
                <w:szCs w:val="18"/>
              </w:rPr>
              <w:br/>
              <w:t>TENOFOVIR/EMTRICITABINE 300/200 ARX</w:t>
            </w:r>
            <w:r w:rsidR="00D44771" w:rsidRPr="00544E10">
              <w:rPr>
                <w:rFonts w:asciiTheme="minorHAnsi" w:hAnsiTheme="minorHAnsi" w:cstheme="minorHAnsi"/>
                <w:color w:val="000000"/>
                <w:sz w:val="18"/>
                <w:szCs w:val="18"/>
              </w:rPr>
              <w:br/>
              <w:t>TENOFOVIR DISOPROXIL EMTRICITABINE VIATRIS 300/200</w:t>
            </w:r>
            <w:r w:rsidR="00D44771" w:rsidRPr="00544E10">
              <w:rPr>
                <w:rFonts w:asciiTheme="minorHAnsi" w:hAnsiTheme="minorHAnsi" w:cstheme="minorHAnsi"/>
                <w:color w:val="000000"/>
                <w:sz w:val="18"/>
                <w:szCs w:val="18"/>
              </w:rPr>
              <w:br/>
              <w:t>TENOFOVIR/EMTRICITABINE SANDOZ 301/200</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lastRenderedPageBreak/>
              <w:br/>
              <w:t xml:space="preserve">CIPLA AUSTRALIA PTY LTD </w:t>
            </w:r>
            <w:r w:rsidR="00D44771" w:rsidRPr="00544E10">
              <w:rPr>
                <w:rFonts w:asciiTheme="minorHAnsi" w:hAnsiTheme="minorHAnsi" w:cstheme="minorHAnsi"/>
                <w:color w:val="000000"/>
                <w:sz w:val="18"/>
                <w:szCs w:val="18"/>
              </w:rPr>
              <w:br/>
              <w:t>ARROTEX PHARMACEUTICALS PTY LTD</w:t>
            </w:r>
            <w:r w:rsidR="00D44771" w:rsidRPr="00544E10">
              <w:rPr>
                <w:rFonts w:asciiTheme="minorHAnsi" w:hAnsiTheme="minorHAnsi" w:cstheme="minorHAnsi"/>
                <w:color w:val="000000"/>
                <w:sz w:val="18"/>
                <w:szCs w:val="18"/>
              </w:rPr>
              <w:br/>
              <w:t>ALPHAPHARM PTY LTD</w:t>
            </w:r>
            <w:r w:rsidR="00D44771" w:rsidRPr="00544E10">
              <w:rPr>
                <w:rFonts w:asciiTheme="minorHAnsi" w:hAnsiTheme="minorHAnsi" w:cstheme="minorHAnsi"/>
                <w:color w:val="000000"/>
                <w:sz w:val="18"/>
                <w:szCs w:val="18"/>
              </w:rPr>
              <w:br/>
              <w:t>SANDOZ PTY LTD</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(Correspondence)</w:t>
            </w:r>
          </w:p>
        </w:tc>
        <w:tc>
          <w:tcPr>
            <w:tcW w:w="1919" w:type="dxa"/>
            <w:tcBorders>
              <w:top w:val="single" w:sz="4" w:space="0" w:color="auto"/>
              <w:left w:val="single" w:sz="4" w:space="0" w:color="auto"/>
              <w:bottom w:val="single" w:sz="4" w:space="0" w:color="auto"/>
              <w:right w:val="single" w:sz="4" w:space="0" w:color="auto"/>
            </w:tcBorders>
            <w:vAlign w:val="center"/>
          </w:tcPr>
          <w:p w14:paraId="026E49D9" w14:textId="1725D406"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Pre-exposure prophylaxis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against human immunodeficiency virus (HIV) infection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13B24B" w14:textId="2143A4A0"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the PBAC consider whether increasing the number of repeats in the PBS listing for tenofovir disoproxil+ emtricitabine, for use as HIV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is appropriate.</w:t>
            </w:r>
          </w:p>
        </w:tc>
        <w:tc>
          <w:tcPr>
            <w:tcW w:w="1559" w:type="dxa"/>
            <w:vAlign w:val="center"/>
          </w:tcPr>
          <w:p w14:paraId="7AABC462" w14:textId="3B0F5BAD"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99CBFA" w14:textId="573CD59C" w:rsidR="00D44771" w:rsidRPr="00544E10" w:rsidRDefault="00D44771" w:rsidP="00D4477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increasing the number of repeats specified in the PBS listings for tenofovir disoproxil with emtricitabine 200 mg tablet, for pre-exposure prophylaxis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against HIV infection, from 2 to 5. The PBAC noted stakeholder correspondence requesting this change. The PBAC noted the basis of the request was to support patient access by reducing barriers, and to reduce rates of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discontinuation in individuals with ongoing HIV acquisition risks. The PBAC agreed that this change would support access to tenofovir disoproxil with emtricitabine for patients who require HIV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The PBAC noted that change may result in an increased uptake in utilisation of tenofovir disoproxil with emtricitabine, however it was not expected to result in an additional cost to the PBS beyond what was previously considered.</w:t>
            </w:r>
          </w:p>
        </w:tc>
      </w:tr>
    </w:tbl>
    <w:p w14:paraId="5F81D0AD" w14:textId="01A5A8F6" w:rsidR="00AF3D45" w:rsidRDefault="00AF3D45"/>
    <w:p w14:paraId="192A2A4E" w14:textId="58627F38" w:rsidR="009B16DE" w:rsidRDefault="00AF3D45">
      <w:r>
        <w:br w:type="page"/>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7198"/>
      </w:tblGrid>
      <w:tr w:rsidR="009B16DE" w:rsidRPr="00544E10" w14:paraId="64A32E50" w14:textId="77777777">
        <w:trPr>
          <w:cantSplit/>
          <w:trHeight w:val="300"/>
          <w:tblHeader/>
        </w:trPr>
        <w:tc>
          <w:tcPr>
            <w:tcW w:w="3417" w:type="dxa"/>
            <w:tcMar>
              <w:top w:w="28" w:type="dxa"/>
              <w:bottom w:w="28" w:type="dxa"/>
            </w:tcMar>
            <w:vAlign w:val="center"/>
          </w:tcPr>
          <w:p w14:paraId="122F62D4" w14:textId="77777777" w:rsidR="009B16DE" w:rsidRPr="00544E10" w:rsidRDefault="009B16DE">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lastRenderedPageBreak/>
              <w:t>DRUG NAME, FORM(S), STRENGTH(S), SPONSOR, TYPE OF SUBMISSION</w:t>
            </w:r>
          </w:p>
        </w:tc>
        <w:tc>
          <w:tcPr>
            <w:tcW w:w="1919" w:type="dxa"/>
            <w:tcMar>
              <w:top w:w="28" w:type="dxa"/>
              <w:bottom w:w="28" w:type="dxa"/>
            </w:tcMar>
            <w:vAlign w:val="center"/>
          </w:tcPr>
          <w:p w14:paraId="3EEF1AA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5DE8F5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vAlign w:val="center"/>
          </w:tcPr>
          <w:p w14:paraId="762E2DE2" w14:textId="77777777" w:rsidR="009B16DE" w:rsidRPr="00544E10" w:rsidRDefault="009B16DE">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DD4C34" w:rsidRPr="00544E10" w14:paraId="052E4900"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348C9A" w14:textId="30FD37E3"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CABOTEGRAVIR</w:t>
            </w:r>
            <w:r w:rsidRPr="005A52E5">
              <w:rPr>
                <w:rFonts w:ascii="Calibri" w:hAnsi="Calibri" w:cs="Calibri"/>
                <w:color w:val="000000"/>
                <w:sz w:val="18"/>
                <w:szCs w:val="18"/>
              </w:rPr>
              <w:br/>
            </w:r>
            <w:r w:rsidRPr="005A52E5">
              <w:rPr>
                <w:rFonts w:ascii="Calibri" w:hAnsi="Calibri" w:cs="Calibri"/>
                <w:color w:val="000000"/>
                <w:sz w:val="18"/>
                <w:szCs w:val="18"/>
              </w:rPr>
              <w:br/>
              <w:t>Suspension for injection 600 mg in 3 mL</w:t>
            </w:r>
            <w:r w:rsidRPr="005A52E5">
              <w:rPr>
                <w:rFonts w:ascii="Calibri" w:hAnsi="Calibri" w:cs="Calibri"/>
                <w:color w:val="000000"/>
                <w:sz w:val="18"/>
                <w:szCs w:val="18"/>
              </w:rPr>
              <w:br/>
            </w:r>
            <w:r w:rsidRPr="005A52E5">
              <w:rPr>
                <w:rFonts w:ascii="Calibri" w:hAnsi="Calibri" w:cs="Calibri"/>
                <w:color w:val="000000"/>
                <w:sz w:val="18"/>
                <w:szCs w:val="18"/>
              </w:rPr>
              <w:br/>
            </w:r>
            <w:proofErr w:type="spellStart"/>
            <w:r w:rsidRPr="005A52E5">
              <w:rPr>
                <w:rFonts w:ascii="Calibri" w:hAnsi="Calibri" w:cs="Calibri"/>
                <w:color w:val="000000"/>
                <w:sz w:val="18"/>
                <w:szCs w:val="18"/>
              </w:rPr>
              <w:t>Apretude</w:t>
            </w:r>
            <w:proofErr w:type="spellEnd"/>
            <w:r w:rsidRPr="005A52E5">
              <w:rPr>
                <w:rFonts w:ascii="Calibri" w:hAnsi="Calibri" w:cs="Calibri"/>
                <w:color w:val="000000"/>
                <w:sz w:val="18"/>
                <w:szCs w:val="18"/>
              </w:rPr>
              <w:t>®</w:t>
            </w:r>
            <w:r w:rsidRPr="005A52E5">
              <w:rPr>
                <w:rFonts w:ascii="Calibri" w:hAnsi="Calibri" w:cs="Calibri"/>
                <w:color w:val="000000"/>
                <w:sz w:val="18"/>
                <w:szCs w:val="18"/>
              </w:rPr>
              <w:br/>
            </w:r>
            <w:r w:rsidRPr="005A52E5">
              <w:rPr>
                <w:rFonts w:ascii="Calibri" w:hAnsi="Calibri" w:cs="Calibri"/>
                <w:color w:val="000000"/>
                <w:sz w:val="18"/>
                <w:szCs w:val="18"/>
              </w:rPr>
              <w:br/>
              <w:t>ViiV HEALTHCARE PTY LTD</w:t>
            </w:r>
            <w:r w:rsidRPr="005A52E5">
              <w:rPr>
                <w:rFonts w:ascii="Calibri" w:hAnsi="Calibri" w:cs="Calibri"/>
                <w:color w:val="000000"/>
                <w:sz w:val="18"/>
                <w:szCs w:val="18"/>
              </w:rPr>
              <w:br/>
            </w:r>
            <w:r w:rsidRPr="005A52E5">
              <w:rPr>
                <w:rFonts w:ascii="Calibri" w:hAnsi="Calibri" w:cs="Calibri"/>
                <w:color w:val="000000"/>
                <w:sz w:val="18"/>
                <w:szCs w:val="18"/>
              </w:rPr>
              <w:br/>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7202CC1B" w14:textId="273A9DFC"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 prevention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D11AE" w14:textId="35229C7E"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September 2023 recommendation that has not yet been accepted by the applicant.</w:t>
            </w:r>
          </w:p>
        </w:tc>
        <w:tc>
          <w:tcPr>
            <w:tcW w:w="7198" w:type="dxa"/>
            <w:vAlign w:val="center"/>
          </w:tcPr>
          <w:p w14:paraId="2B76FFFC" w14:textId="39CB5CE2"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November 2025, the PBAC extended its </w:t>
            </w:r>
            <w:r>
              <w:rPr>
                <w:rFonts w:ascii="Calibri" w:hAnsi="Calibri" w:cs="Calibri"/>
                <w:color w:val="000000"/>
                <w:sz w:val="18"/>
                <w:szCs w:val="18"/>
              </w:rPr>
              <w:t>September</w:t>
            </w:r>
            <w:r w:rsidRPr="002F2ABA">
              <w:rPr>
                <w:rFonts w:ascii="Calibri" w:hAnsi="Calibri" w:cs="Calibri"/>
                <w:color w:val="000000"/>
                <w:sz w:val="18"/>
                <w:szCs w:val="18"/>
              </w:rPr>
              <w:t xml:space="preserve"> 2023 recommendation for this drug for a further 12 months. </w:t>
            </w:r>
          </w:p>
          <w:p w14:paraId="60CBCAC1" w14:textId="0C978286" w:rsidR="00DD4C34" w:rsidRPr="00544E10" w:rsidRDefault="00DD4C34" w:rsidP="00DD4C34">
            <w:pPr>
              <w:ind w:left="11"/>
              <w:contextualSpacing/>
              <w:jc w:val="both"/>
              <w:rPr>
                <w:rFonts w:asciiTheme="minorHAnsi" w:hAnsiTheme="minorHAnsi" w:cstheme="minorHAnsi"/>
                <w:color w:val="000000" w:themeColor="text1"/>
                <w:sz w:val="18"/>
                <w:szCs w:val="18"/>
              </w:rPr>
            </w:pPr>
          </w:p>
        </w:tc>
      </w:tr>
      <w:tr w:rsidR="00DD4C34" w:rsidRPr="00544E10" w14:paraId="0178F3F5"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77B421" w14:textId="510899D5"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LENACAPAVIR</w:t>
            </w:r>
            <w:r w:rsidRPr="005A52E5">
              <w:rPr>
                <w:rFonts w:ascii="Calibri" w:hAnsi="Calibri" w:cs="Calibri"/>
                <w:color w:val="000000"/>
                <w:sz w:val="18"/>
                <w:szCs w:val="18"/>
              </w:rPr>
              <w:br/>
            </w:r>
            <w:r w:rsidRPr="005A52E5">
              <w:rPr>
                <w:rFonts w:ascii="Calibri" w:hAnsi="Calibri" w:cs="Calibri"/>
                <w:color w:val="000000"/>
                <w:sz w:val="18"/>
                <w:szCs w:val="18"/>
              </w:rPr>
              <w:br/>
              <w:t xml:space="preserve">Injection set containing 2 vials </w:t>
            </w:r>
            <w:proofErr w:type="spellStart"/>
            <w:r w:rsidRPr="005A52E5">
              <w:rPr>
                <w:rFonts w:ascii="Calibri" w:hAnsi="Calibri" w:cs="Calibri"/>
                <w:color w:val="000000"/>
                <w:sz w:val="18"/>
                <w:szCs w:val="18"/>
              </w:rPr>
              <w:t>lenacapavir</w:t>
            </w:r>
            <w:proofErr w:type="spellEnd"/>
            <w:r w:rsidRPr="005A52E5">
              <w:rPr>
                <w:rFonts w:ascii="Calibri" w:hAnsi="Calibri" w:cs="Calibri"/>
                <w:color w:val="000000"/>
                <w:sz w:val="18"/>
                <w:szCs w:val="18"/>
              </w:rPr>
              <w:t xml:space="preserve"> sodium solution for injection 463.5 mg in 1.5 mL and 2 disposable syringes</w:t>
            </w:r>
            <w:r w:rsidRPr="005A52E5">
              <w:rPr>
                <w:rFonts w:ascii="Calibri" w:hAnsi="Calibri" w:cs="Calibri"/>
                <w:color w:val="000000"/>
                <w:sz w:val="18"/>
                <w:szCs w:val="18"/>
              </w:rPr>
              <w:br/>
            </w:r>
            <w:r w:rsidRPr="005A52E5">
              <w:rPr>
                <w:rFonts w:ascii="Calibri" w:hAnsi="Calibri" w:cs="Calibri"/>
                <w:color w:val="000000"/>
                <w:sz w:val="18"/>
                <w:szCs w:val="18"/>
              </w:rPr>
              <w:br/>
            </w:r>
            <w:proofErr w:type="spellStart"/>
            <w:r w:rsidRPr="005A52E5">
              <w:rPr>
                <w:rFonts w:ascii="Calibri" w:hAnsi="Calibri" w:cs="Calibri"/>
                <w:color w:val="000000"/>
                <w:sz w:val="18"/>
                <w:szCs w:val="18"/>
              </w:rPr>
              <w:t>Sunlenca</w:t>
            </w:r>
            <w:proofErr w:type="spellEnd"/>
            <w:r w:rsidRPr="005A52E5">
              <w:rPr>
                <w:rFonts w:ascii="Calibri" w:hAnsi="Calibri" w:cs="Calibri"/>
                <w:color w:val="000000"/>
                <w:sz w:val="18"/>
                <w:szCs w:val="18"/>
              </w:rPr>
              <w:t>®</w:t>
            </w:r>
            <w:r w:rsidRPr="005A52E5">
              <w:rPr>
                <w:rFonts w:ascii="Calibri" w:hAnsi="Calibri" w:cs="Calibri"/>
                <w:color w:val="000000"/>
                <w:sz w:val="18"/>
                <w:szCs w:val="18"/>
              </w:rPr>
              <w:br/>
            </w:r>
            <w:r w:rsidRPr="005A52E5">
              <w:rPr>
                <w:rFonts w:ascii="Calibri" w:hAnsi="Calibri" w:cs="Calibri"/>
                <w:color w:val="000000"/>
                <w:sz w:val="18"/>
                <w:szCs w:val="18"/>
              </w:rPr>
              <w:br/>
              <w:t>GILEAD SCIENCES PTY LIMITED</w:t>
            </w:r>
            <w:r w:rsidRPr="005A52E5">
              <w:rPr>
                <w:rFonts w:ascii="Calibri" w:hAnsi="Calibri" w:cs="Calibri"/>
                <w:color w:val="000000"/>
                <w:sz w:val="18"/>
                <w:szCs w:val="18"/>
              </w:rPr>
              <w:br/>
            </w:r>
            <w:r w:rsidRPr="005A52E5">
              <w:rPr>
                <w:rFonts w:ascii="Calibri" w:hAnsi="Calibri" w:cs="Calibri"/>
                <w:color w:val="000000"/>
                <w:sz w:val="18"/>
                <w:szCs w:val="18"/>
              </w:rPr>
              <w:br/>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27462C62" w14:textId="5B33D89D"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216FA3" w14:textId="6F09EFBA"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14:paraId="0C8D9EA3" w14:textId="77777777"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14:paraId="33EF616A" w14:textId="6A09945D" w:rsidR="00DD4C34" w:rsidRPr="00544E10" w:rsidRDefault="00DD4C34" w:rsidP="00DD4C34">
            <w:pPr>
              <w:ind w:left="11"/>
              <w:contextualSpacing/>
              <w:jc w:val="both"/>
              <w:rPr>
                <w:rFonts w:asciiTheme="minorHAnsi" w:hAnsiTheme="minorHAnsi" w:cstheme="minorHAnsi"/>
                <w:color w:val="000000"/>
                <w:sz w:val="18"/>
                <w:szCs w:val="18"/>
              </w:rPr>
            </w:pPr>
          </w:p>
        </w:tc>
      </w:tr>
      <w:tr w:rsidR="00DD4C34" w:rsidRPr="00544E10" w14:paraId="4FF4B1E2"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E4BDE8" w14:textId="6F4DDC86"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PEMBROLIZUMAB</w:t>
            </w:r>
            <w:r w:rsidRPr="005A52E5">
              <w:rPr>
                <w:rFonts w:ascii="Calibri" w:hAnsi="Calibri" w:cs="Calibri"/>
                <w:color w:val="000000"/>
                <w:sz w:val="18"/>
                <w:szCs w:val="18"/>
              </w:rPr>
              <w:br/>
            </w:r>
            <w:r w:rsidRPr="005A52E5">
              <w:rPr>
                <w:rFonts w:ascii="Calibri" w:hAnsi="Calibri" w:cs="Calibri"/>
                <w:color w:val="000000"/>
                <w:sz w:val="18"/>
                <w:szCs w:val="18"/>
              </w:rPr>
              <w:br/>
              <w:t xml:space="preserve">Solution concentrate for I.V. infusion </w:t>
            </w:r>
            <w:r w:rsidR="006B2335">
              <w:rPr>
                <w:rFonts w:ascii="Calibri" w:hAnsi="Calibri" w:cs="Calibri"/>
                <w:color w:val="000000"/>
                <w:sz w:val="18"/>
                <w:szCs w:val="18"/>
              </w:rPr>
              <w:br/>
            </w:r>
            <w:r w:rsidRPr="005A52E5">
              <w:rPr>
                <w:rFonts w:ascii="Calibri" w:hAnsi="Calibri" w:cs="Calibri"/>
                <w:color w:val="000000"/>
                <w:sz w:val="18"/>
                <w:szCs w:val="18"/>
              </w:rPr>
              <w:t>100 mg in 4 mL</w:t>
            </w:r>
            <w:r w:rsidRPr="005A52E5">
              <w:rPr>
                <w:rFonts w:ascii="Calibri" w:hAnsi="Calibri" w:cs="Calibri"/>
                <w:color w:val="000000"/>
                <w:sz w:val="18"/>
                <w:szCs w:val="18"/>
              </w:rPr>
              <w:br/>
            </w:r>
            <w:r w:rsidRPr="005A52E5">
              <w:rPr>
                <w:rFonts w:ascii="Calibri" w:hAnsi="Calibri" w:cs="Calibri"/>
                <w:color w:val="000000"/>
                <w:sz w:val="18"/>
                <w:szCs w:val="18"/>
              </w:rPr>
              <w:br/>
              <w:t xml:space="preserve">Keytruda® </w:t>
            </w:r>
            <w:r w:rsidRPr="005A52E5">
              <w:rPr>
                <w:rFonts w:ascii="Calibri" w:hAnsi="Calibri" w:cs="Calibri"/>
                <w:color w:val="000000"/>
                <w:sz w:val="18"/>
                <w:szCs w:val="18"/>
              </w:rPr>
              <w:br/>
            </w:r>
            <w:r w:rsidRPr="005A52E5">
              <w:rPr>
                <w:rFonts w:ascii="Calibri" w:hAnsi="Calibri" w:cs="Calibri"/>
                <w:color w:val="000000"/>
                <w:sz w:val="18"/>
                <w:szCs w:val="18"/>
              </w:rPr>
              <w:br/>
              <w:t xml:space="preserve">MERCK SHARP &amp; DOHME </w:t>
            </w:r>
            <w:r w:rsidR="006B2335">
              <w:rPr>
                <w:rFonts w:ascii="Calibri" w:hAnsi="Calibri" w:cs="Calibri"/>
                <w:color w:val="000000"/>
                <w:sz w:val="18"/>
                <w:szCs w:val="18"/>
              </w:rPr>
              <w:br/>
            </w:r>
            <w:r w:rsidRPr="005A52E5">
              <w:rPr>
                <w:rFonts w:ascii="Calibri" w:hAnsi="Calibri" w:cs="Calibri"/>
                <w:color w:val="000000"/>
                <w:sz w:val="18"/>
                <w:szCs w:val="18"/>
              </w:rPr>
              <w:t>(Australia) PTY LTD</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lastRenderedPageBreak/>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18562974" w14:textId="615BE5C3"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lastRenderedPageBreak/>
              <w:t>Squamous cell 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F526" w14:textId="1D8A5EE1"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14:paraId="22A6F6BA" w14:textId="77777777"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14:paraId="2FEDC6E9" w14:textId="4148D883" w:rsidR="00DD4C34" w:rsidRPr="00544E10" w:rsidRDefault="00DD4C34" w:rsidP="00DD4C34">
            <w:pPr>
              <w:ind w:left="11"/>
              <w:contextualSpacing/>
              <w:jc w:val="both"/>
              <w:rPr>
                <w:rFonts w:asciiTheme="minorHAnsi" w:hAnsiTheme="minorHAnsi" w:cstheme="minorHAnsi"/>
                <w:color w:val="000000"/>
                <w:sz w:val="18"/>
                <w:szCs w:val="18"/>
              </w:rPr>
            </w:pPr>
          </w:p>
        </w:tc>
      </w:tr>
    </w:tbl>
    <w:p w14:paraId="3E7E334E" w14:textId="7BCA3FF0" w:rsidR="00B7375E" w:rsidRDefault="00B7375E" w:rsidP="00E71941">
      <w:pPr>
        <w:tabs>
          <w:tab w:val="left" w:pos="5716"/>
        </w:tabs>
      </w:pPr>
    </w:p>
    <w:p w14:paraId="1903CD0E" w14:textId="4777AAA0" w:rsidR="00875A0A" w:rsidRDefault="00B7375E">
      <w:r>
        <w:br w:type="page"/>
      </w:r>
    </w:p>
    <w:p w14:paraId="1B4E74F1" w14:textId="6BB077FA" w:rsidR="00D604F7" w:rsidRDefault="00875A0A" w:rsidP="00A04C7B">
      <w:pPr>
        <w:ind w:left="-567"/>
      </w:pPr>
      <w:r w:rsidRPr="00875A0A">
        <w:lastRenderedPageBreak/>
        <w:t>The following item was considered out-of-session between ordinary meetings (</w:t>
      </w:r>
      <w:r>
        <w:t xml:space="preserve">November 2025 - </w:t>
      </w:r>
      <w:r w:rsidRPr="00875A0A">
        <w:t>March</w:t>
      </w:r>
      <w:r>
        <w:t xml:space="preserve"> 2026</w:t>
      </w:r>
      <w:r w:rsidRPr="00875A0A">
        <w:t>)</w:t>
      </w:r>
      <w:r w:rsidR="00A04C7B">
        <w:t xml:space="preserve">. </w:t>
      </w:r>
      <w:r w:rsidR="00A04C7B">
        <w:br/>
      </w:r>
      <w:r w:rsidR="00A04C7B">
        <w:br/>
        <w:t>Please n</w:t>
      </w:r>
      <w:r w:rsidR="00A04C7B" w:rsidRPr="00D604F7">
        <w:t xml:space="preserve">ote </w:t>
      </w:r>
      <w:r w:rsidR="00A04C7B">
        <w:t xml:space="preserve">that </w:t>
      </w:r>
      <w:r w:rsidR="00A04C7B" w:rsidRPr="00D604F7">
        <w:t xml:space="preserve">this item was considered prior to the publication date for the </w:t>
      </w:r>
      <w:r w:rsidR="00A04C7B">
        <w:t>November 2025</w:t>
      </w:r>
      <w:r w:rsidR="00A04C7B" w:rsidRPr="00D604F7">
        <w:t xml:space="preserve"> PBAC meeting outcomes and hence has been included in this document</w:t>
      </w:r>
      <w:r w:rsidR="00A04C7B">
        <w:t>:</w:t>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D604F7" w:rsidRPr="00544E10" w14:paraId="5CA6BEF4" w14:textId="77777777" w:rsidTr="00A04C7B">
        <w:trPr>
          <w:cantSplit/>
          <w:trHeight w:val="391"/>
          <w:tblHeader/>
        </w:trPr>
        <w:tc>
          <w:tcPr>
            <w:tcW w:w="3417" w:type="dxa"/>
            <w:tcMar>
              <w:top w:w="28" w:type="dxa"/>
              <w:bottom w:w="28" w:type="dxa"/>
            </w:tcMar>
            <w:vAlign w:val="center"/>
          </w:tcPr>
          <w:p w14:paraId="16AC0F9A" w14:textId="77777777" w:rsidR="00D604F7" w:rsidRPr="00544E10" w:rsidRDefault="00D604F7">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61DF4BE1" w14:textId="77777777" w:rsidR="00D604F7" w:rsidRPr="00544E10" w:rsidRDefault="00D604F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4E6ED4C6" w14:textId="77777777" w:rsidR="00D604F7" w:rsidRPr="00544E10" w:rsidRDefault="00D604F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0CE58833" w14:textId="77777777" w:rsidR="00D604F7" w:rsidRPr="00544E10" w:rsidRDefault="00D604F7">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B26E8F" w:rsidRPr="00544E10" w14:paraId="640C918A"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0BE9F6" w14:textId="1CD62B84"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ACALABRUTINIB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Calquence</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E1B67F7" w14:textId="5F5031A8"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lymphocytic leukaemia (CLL) or small lymphocytic lymphoma (SLL)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3E806B" w14:textId="228DD78B"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acalabrutinb for use in combination with venetoclax for the treatment of previously untreated CLL or SLL.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2ED147AA" w14:textId="428B4064" w:rsidR="00B26E8F" w:rsidRPr="00544E10" w:rsidRDefault="00223596" w:rsidP="00B26E8F">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5639" w:type="dxa"/>
            <w:vAlign w:val="center"/>
          </w:tcPr>
          <w:p w14:paraId="4776F2FA" w14:textId="29D6E4A1"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recommended acalabrutinib for use in combination with venetoclax (AV) as a fixed duration regimen for the treatment of patients with chronic lymphocytic leukaemia or small lymphocytic lymphoma that have not already been treated with drug treatment.</w:t>
            </w:r>
          </w:p>
          <w:p w14:paraId="39543E1B"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6FDF711D"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acknowledged the benefit of having an alternative fixed duration regimen that has a different tolerability profile to existing options. The PBAC considered that listing a second all oral, fixed duration option would increase access for rural and regional patients. The PBAC noted the support for this PBS listing from Lymphoma Australia and Rare Cancers Australia.</w:t>
            </w:r>
          </w:p>
          <w:p w14:paraId="6A036789"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1FA7D24E"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was satisfied that AV was as effective as venetoclax given in combination with obinutuzumab (VO) at preventing cancer progression. The PBAC advised that the cost of AV would be acceptable if the overall cost per course of treatment was not higher than that of VO.  The PBAC considered there was a significant risk that people would access subsidy for AV outside of the proposed criteria. It therefore advised that a risk sharing arrangement with the sponsors of acalabrutinib and venetoclax would be required to mitigate this risk.</w:t>
            </w:r>
          </w:p>
          <w:p w14:paraId="043BC485"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2DB7177B" w14:textId="02B9B810" w:rsidR="00B26E8F" w:rsidRPr="00544E10"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considered that 12.97 acalabrutinib scripts and 10.84 venetoclax scripts would be equivalent to one initial and 8.67 continuing venetoclax scripts plus 7.355 obinutuzumab scripts. The PBAC advised that flow-on changes to add a new listing for venetoclax to allow its use in combination with acalabrutinib would be required, and that flow-on changes to the listings for venetoclax and obinutuzumab would be required to prevent the use of acalabrutinib in triple therapy and grandfather restrictions may be required to allow patients to transition from non-PBS subsidised AV to PBS-subsidised treatment.</w:t>
            </w:r>
          </w:p>
        </w:tc>
      </w:tr>
    </w:tbl>
    <w:p w14:paraId="24AACC98" w14:textId="77777777" w:rsidR="00D604F7" w:rsidRDefault="00D604F7"/>
    <w:p w14:paraId="0C20D061" w14:textId="077DBFC8" w:rsidR="00D018A9" w:rsidRDefault="00D018A9" w:rsidP="004F7770">
      <w:pPr>
        <w:ind w:left="-567"/>
        <w:rPr>
          <w:b/>
          <w:bCs/>
        </w:rPr>
      </w:pPr>
      <w:r>
        <w:rPr>
          <w:b/>
          <w:bCs/>
        </w:rPr>
        <w:t>Version 2:</w:t>
      </w:r>
    </w:p>
    <w:p w14:paraId="0928ADE5" w14:textId="7A9D4896" w:rsidR="00D018A9" w:rsidRDefault="00D018A9" w:rsidP="004F7770">
      <w:pPr>
        <w:ind w:left="-567"/>
      </w:pPr>
      <w:r>
        <w:t xml:space="preserve">Amendment: </w:t>
      </w:r>
      <w:r w:rsidR="00DD0E71" w:rsidRPr="00DD0E71">
        <w:t>POLYETHYLENE GLYCOL 400 WITH PROPYLENE GLYCOL</w:t>
      </w:r>
      <w:r w:rsidR="00DD0E71">
        <w:t xml:space="preserve"> (Systane®) – Amended PBAC outcome.</w:t>
      </w:r>
    </w:p>
    <w:p w14:paraId="53D29AC2" w14:textId="5187D76C" w:rsidR="00DD0E71" w:rsidRDefault="00DD0E71">
      <w:r>
        <w:br w:type="page"/>
      </w:r>
    </w:p>
    <w:p w14:paraId="09C018BA" w14:textId="4FBA16A6" w:rsidR="00B7375E" w:rsidRPr="00292120" w:rsidDel="008F66B5" w:rsidRDefault="00B7375E" w:rsidP="00B7375E">
      <w:pPr>
        <w:rPr>
          <w:rFonts w:cs="Arial"/>
          <w:b/>
          <w:bCs/>
          <w:lang w:val="en-US"/>
        </w:rPr>
      </w:pPr>
      <w:r w:rsidRPr="20381F86">
        <w:rPr>
          <w:rFonts w:cs="Arial"/>
          <w:b/>
          <w:bCs/>
          <w:lang w:val="en-US"/>
        </w:rPr>
        <w:lastRenderedPageBreak/>
        <w:t>Submission category types</w:t>
      </w:r>
    </w:p>
    <w:tbl>
      <w:tblPr>
        <w:tblStyle w:val="TableGrid"/>
        <w:tblW w:w="14458" w:type="dxa"/>
        <w:tblInd w:w="421" w:type="dxa"/>
        <w:tblLook w:val="04A0" w:firstRow="1" w:lastRow="0" w:firstColumn="1" w:lastColumn="0" w:noHBand="0" w:noVBand="1"/>
      </w:tblPr>
      <w:tblGrid>
        <w:gridCol w:w="1984"/>
        <w:gridCol w:w="12474"/>
      </w:tblGrid>
      <w:tr w:rsidR="00B7375E" w:rsidRPr="00292120" w:rsidDel="008F66B5" w14:paraId="4CF76239" w14:textId="77777777">
        <w:trPr>
          <w:trHeight w:val="300"/>
        </w:trPr>
        <w:tc>
          <w:tcPr>
            <w:tcW w:w="1984" w:type="dxa"/>
          </w:tcPr>
          <w:p w14:paraId="2981455A" w14:textId="77777777" w:rsidR="00B7375E" w:rsidRPr="00292120" w:rsidDel="008F66B5" w:rsidRDefault="00B7375E">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F4E66DC" w14:textId="77777777" w:rsidR="00B7375E" w:rsidRPr="00292120" w:rsidDel="008F66B5" w:rsidRDefault="00B7375E">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DCCE59B"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first in class medicine or vaccine, and/or a medicine or vaccine for a new population. OR </w:t>
            </w:r>
          </w:p>
          <w:p w14:paraId="1891436D"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drug with a codependent technology that requires an integrated codependent submission to the PBAC and MSAC. OR </w:t>
            </w:r>
          </w:p>
          <w:p w14:paraId="17D47774"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A drug or designated vaccine with a TGA Provisional determination related to the proposed population.</w:t>
            </w:r>
          </w:p>
        </w:tc>
      </w:tr>
      <w:tr w:rsidR="00B7375E" w:rsidRPr="00292120" w:rsidDel="008F66B5" w14:paraId="6F44DE55" w14:textId="77777777">
        <w:trPr>
          <w:trHeight w:val="300"/>
        </w:trPr>
        <w:tc>
          <w:tcPr>
            <w:tcW w:w="1984" w:type="dxa"/>
          </w:tcPr>
          <w:p w14:paraId="498010AE"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2</w:t>
            </w:r>
          </w:p>
        </w:tc>
        <w:tc>
          <w:tcPr>
            <w:tcW w:w="12474" w:type="dxa"/>
          </w:tcPr>
          <w:p w14:paraId="510CB33C" w14:textId="77777777" w:rsidR="00B7375E" w:rsidRPr="00292120" w:rsidDel="008F66B5" w:rsidRDefault="00B7375E">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B7375E" w:rsidRPr="00292120" w:rsidDel="008F66B5" w14:paraId="67A26BB6" w14:textId="77777777">
        <w:trPr>
          <w:trHeight w:val="300"/>
        </w:trPr>
        <w:tc>
          <w:tcPr>
            <w:tcW w:w="1984" w:type="dxa"/>
          </w:tcPr>
          <w:p w14:paraId="40126568"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3</w:t>
            </w:r>
          </w:p>
        </w:tc>
        <w:tc>
          <w:tcPr>
            <w:tcW w:w="12474" w:type="dxa"/>
          </w:tcPr>
          <w:p w14:paraId="1CC90A72" w14:textId="77777777" w:rsidR="00B7375E" w:rsidRPr="00292120" w:rsidDel="008F66B5" w:rsidRDefault="00B7375E">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B7375E" w:rsidRPr="00292120" w:rsidDel="008F66B5" w14:paraId="4921AF3C" w14:textId="77777777">
        <w:trPr>
          <w:trHeight w:val="300"/>
        </w:trPr>
        <w:tc>
          <w:tcPr>
            <w:tcW w:w="1984" w:type="dxa"/>
          </w:tcPr>
          <w:p w14:paraId="5D0B1D13" w14:textId="77777777" w:rsidR="00B7375E" w:rsidRPr="00292120" w:rsidDel="008F66B5" w:rsidRDefault="00B7375E">
            <w:pPr>
              <w:pStyle w:val="Default"/>
              <w:rPr>
                <w:rFonts w:ascii="Arial" w:hAnsi="Arial" w:cs="Arial"/>
                <w:b/>
                <w:bCs/>
                <w:sz w:val="20"/>
                <w:lang w:val="en-US"/>
              </w:rPr>
            </w:pPr>
            <w:r w:rsidRPr="20381F86">
              <w:rPr>
                <w:rFonts w:ascii="Arial" w:hAnsi="Arial" w:cs="Arial"/>
                <w:b/>
                <w:bCs/>
                <w:sz w:val="20"/>
              </w:rPr>
              <w:t xml:space="preserve">Category 4 </w:t>
            </w:r>
          </w:p>
        </w:tc>
        <w:tc>
          <w:tcPr>
            <w:tcW w:w="12474" w:type="dxa"/>
          </w:tcPr>
          <w:p w14:paraId="0E675AB1" w14:textId="77777777" w:rsidR="00B7375E" w:rsidRPr="00292120" w:rsidDel="008F66B5" w:rsidRDefault="00B7375E">
            <w:pPr>
              <w:pStyle w:val="Default"/>
              <w:rPr>
                <w:rFonts w:ascii="Arial" w:hAnsi="Arial" w:cs="Arial"/>
                <w:b/>
                <w:bCs/>
                <w:sz w:val="20"/>
              </w:rPr>
            </w:pPr>
            <w:r w:rsidRPr="20381F86">
              <w:rPr>
                <w:rFonts w:ascii="Arial" w:hAnsi="Arial" w:cs="Arial"/>
                <w:sz w:val="20"/>
              </w:rPr>
              <w:t xml:space="preserve">A request for one or more of the following: </w:t>
            </w:r>
          </w:p>
          <w:p w14:paraId="2E0EE449"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Listing of a new pharmaceutical item of a listed medicine. </w:t>
            </w:r>
          </w:p>
          <w:p w14:paraId="0C588FE7"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Consideration as an exempt item (Exempt item as per subsection 84AH of the </w:t>
            </w:r>
            <w:r w:rsidRPr="20381F86">
              <w:rPr>
                <w:rFonts w:ascii="Arial" w:hAnsi="Arial" w:cs="Arial"/>
                <w:i/>
                <w:iCs/>
                <w:color w:val="000000" w:themeColor="text1"/>
              </w:rPr>
              <w:t>National Health Act 1953</w:t>
            </w:r>
            <w:r w:rsidRPr="20381F86">
              <w:rPr>
                <w:rFonts w:ascii="Arial" w:hAnsi="Arial" w:cs="Arial"/>
                <w:color w:val="000000" w:themeColor="text1"/>
              </w:rPr>
              <w:t xml:space="preserve">). </w:t>
            </w:r>
          </w:p>
          <w:p w14:paraId="3C953A0E"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rPr>
              <w:t xml:space="preserve">Including a listed medicine on the prescriber bag, or varying an existing prescriber bag listing. </w:t>
            </w:r>
          </w:p>
          <w:p w14:paraId="43E0FA36"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change/new manner of administration of a listed medicine. </w:t>
            </w:r>
          </w:p>
          <w:p w14:paraId="28EBBC44"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 to the maximum quantity and/or number of repeats of a listed medicine. </w:t>
            </w:r>
          </w:p>
          <w:p w14:paraId="76A23D97"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A change or addition to the prescriber type(s) of a listed medicine.</w:t>
            </w:r>
          </w:p>
        </w:tc>
      </w:tr>
      <w:tr w:rsidR="00B7375E" w:rsidRPr="00292120" w:rsidDel="008F66B5" w14:paraId="5B787F52" w14:textId="77777777">
        <w:trPr>
          <w:trHeight w:val="1026"/>
        </w:trPr>
        <w:tc>
          <w:tcPr>
            <w:tcW w:w="1984" w:type="dxa"/>
          </w:tcPr>
          <w:p w14:paraId="2C4C617F" w14:textId="77777777" w:rsidR="00B7375E" w:rsidRPr="00292120" w:rsidDel="008F66B5" w:rsidRDefault="00B7375E">
            <w:pPr>
              <w:pStyle w:val="Default"/>
              <w:rPr>
                <w:rFonts w:ascii="Arial" w:hAnsi="Arial" w:cs="Arial"/>
                <w:sz w:val="20"/>
              </w:rPr>
            </w:pPr>
            <w:r w:rsidRPr="20381F86">
              <w:rPr>
                <w:rFonts w:ascii="Arial" w:hAnsi="Arial" w:cs="Arial"/>
                <w:b/>
                <w:bCs/>
                <w:sz w:val="20"/>
              </w:rPr>
              <w:t>Committee Secretariat</w:t>
            </w:r>
          </w:p>
        </w:tc>
        <w:tc>
          <w:tcPr>
            <w:tcW w:w="12474" w:type="dxa"/>
          </w:tcPr>
          <w:p w14:paraId="094510AB" w14:textId="77777777" w:rsidR="00B7375E" w:rsidRPr="00292120" w:rsidDel="008F66B5" w:rsidRDefault="00B7375E">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399D2732"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or varied listed drugs, medicinal preparations and designated vaccines that pose no greater risk</w:t>
            </w:r>
          </w:p>
          <w:p w14:paraId="5CF5700B"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Pharmaceutical benefits that can no longer be supplied early</w:t>
            </w:r>
          </w:p>
          <w:p w14:paraId="4ED84FC1"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brand of glucose indicator pharmaceutical item.</w:t>
            </w:r>
          </w:p>
        </w:tc>
      </w:tr>
    </w:tbl>
    <w:p w14:paraId="38B94F52" w14:textId="77777777" w:rsidR="00B7375E" w:rsidRPr="00292120" w:rsidDel="008F66B5" w:rsidRDefault="00B7375E" w:rsidP="00B7375E">
      <w:pPr>
        <w:rPr>
          <w:rFonts w:cs="Arial"/>
          <w:b/>
          <w:bCs/>
          <w:lang w:val="en-US"/>
        </w:rPr>
      </w:pPr>
    </w:p>
    <w:p w14:paraId="3824D129" w14:textId="77777777" w:rsidR="00B7375E" w:rsidRPr="00292120" w:rsidDel="008F66B5" w:rsidRDefault="00B7375E" w:rsidP="00B7375E">
      <w:pPr>
        <w:rPr>
          <w:rFonts w:cs="Arial"/>
          <w:b/>
          <w:bCs/>
          <w:lang w:val="en-US"/>
        </w:rPr>
      </w:pPr>
      <w:r w:rsidRPr="20381F86">
        <w:rPr>
          <w:rFonts w:cs="Arial"/>
          <w:b/>
          <w:bCs/>
          <w:lang w:val="en-US"/>
        </w:rPr>
        <w:br w:type="page"/>
      </w:r>
    </w:p>
    <w:p w14:paraId="7240BC43" w14:textId="4D532B7D" w:rsidR="00B7375E" w:rsidRPr="00292120" w:rsidDel="008F66B5" w:rsidRDefault="00B7375E" w:rsidP="006B2335">
      <w:pPr>
        <w:rPr>
          <w:rFonts w:cs="Arial"/>
          <w:b/>
          <w:bCs/>
          <w:lang w:val="en-US"/>
        </w:rPr>
      </w:pPr>
      <w:r w:rsidRPr="20381F86">
        <w:rPr>
          <w:rFonts w:cs="Arial"/>
          <w:b/>
          <w:bCs/>
          <w:lang w:val="en-US"/>
        </w:rPr>
        <w:lastRenderedPageBreak/>
        <w:t>Resubmission pathways</w:t>
      </w:r>
    </w:p>
    <w:tbl>
      <w:tblPr>
        <w:tblW w:w="4701" w:type="pct"/>
        <w:tblInd w:w="416" w:type="dxa"/>
        <w:tblCellMar>
          <w:left w:w="0" w:type="dxa"/>
          <w:right w:w="0" w:type="dxa"/>
        </w:tblCellMar>
        <w:tblLook w:val="04A0" w:firstRow="1" w:lastRow="0" w:firstColumn="1" w:lastColumn="0" w:noHBand="0" w:noVBand="1"/>
      </w:tblPr>
      <w:tblGrid>
        <w:gridCol w:w="1956"/>
        <w:gridCol w:w="11149"/>
      </w:tblGrid>
      <w:tr w:rsidR="00B7375E" w:rsidRPr="00292120" w:rsidDel="008F66B5" w14:paraId="2184E548" w14:textId="77777777">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388355F2" w14:textId="77777777" w:rsidR="00B7375E" w:rsidRPr="00292120" w:rsidDel="008F66B5" w:rsidRDefault="00B7375E">
            <w:pPr>
              <w:rPr>
                <w:rFonts w:cs="Arial"/>
              </w:rPr>
            </w:pPr>
            <w:r w:rsidRPr="20381F86">
              <w:rPr>
                <w:rFonts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cs="Arial"/>
              </w:rPr>
              <w:t>The resubmission pathways are classified into the following categories:</w:t>
            </w:r>
          </w:p>
        </w:tc>
      </w:tr>
      <w:tr w:rsidR="00B7375E" w:rsidRPr="00292120" w:rsidDel="008F66B5" w14:paraId="31A926A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25CAFC3" w14:textId="77777777" w:rsidR="00B7375E" w:rsidRPr="00292120" w:rsidDel="008F66B5" w:rsidRDefault="00B7375E">
            <w:pPr>
              <w:contextualSpacing/>
              <w:rPr>
                <w:rFonts w:cs="Arial"/>
                <w:b/>
                <w:bCs/>
              </w:rPr>
            </w:pPr>
            <w:r w:rsidRPr="20381F86">
              <w:rPr>
                <w:rFonts w:cs="Arial"/>
                <w:b/>
                <w:bCs/>
              </w:rPr>
              <w:t>Standard re-entry</w:t>
            </w:r>
          </w:p>
          <w:p w14:paraId="38CF6C96" w14:textId="77777777" w:rsidR="00B7375E" w:rsidRPr="00292120" w:rsidDel="008F66B5" w:rsidRDefault="00B7375E">
            <w:pPr>
              <w:rPr>
                <w:rFonts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85786F"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The Standard Re-entry Pathway is the default pathway for resubmissions </w:t>
            </w:r>
            <w:proofErr w:type="gramStart"/>
            <w:r w:rsidRPr="20381F86">
              <w:rPr>
                <w:rFonts w:cs="Arial"/>
                <w:color w:val="000000" w:themeColor="text1"/>
              </w:rPr>
              <w:t>and also</w:t>
            </w:r>
            <w:proofErr w:type="gramEnd"/>
            <w:r w:rsidRPr="20381F86">
              <w:rPr>
                <w:rFonts w:cs="Arial"/>
                <w:color w:val="000000" w:themeColor="text1"/>
              </w:rPr>
              <w:t xml:space="preserve"> applies where: </w:t>
            </w:r>
          </w:p>
          <w:p w14:paraId="0369FED0"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chooses not to accept the PBAC nominated resubmission pathway; or </w:t>
            </w:r>
          </w:p>
          <w:p w14:paraId="146125CA"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Early Re-entry or Early Resolution Pathway has been nominated by the PBAC and an applicant decides to address issues other than those identified by the PBAC (including a subset of issues); or </w:t>
            </w:r>
          </w:p>
          <w:p w14:paraId="6DF38102"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decides to lodge later than the allowable timelines for the other pathways. </w:t>
            </w:r>
          </w:p>
        </w:tc>
      </w:tr>
      <w:tr w:rsidR="00B7375E" w:rsidRPr="00292120" w:rsidDel="008F66B5" w14:paraId="0B8F9E3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413BE6E6" w14:textId="77777777" w:rsidR="00B7375E" w:rsidRPr="00292120" w:rsidDel="008F66B5" w:rsidRDefault="00B7375E">
            <w:pPr>
              <w:contextualSpacing/>
              <w:rPr>
                <w:rFonts w:cs="Arial"/>
                <w:b/>
                <w:bCs/>
              </w:rPr>
            </w:pPr>
            <w:r w:rsidRPr="20381F86">
              <w:rPr>
                <w:rFonts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15DB6C" w14:textId="77777777" w:rsidR="00B7375E" w:rsidRPr="00292120" w:rsidDel="008F66B5" w:rsidRDefault="00B7375E">
            <w:pPr>
              <w:contextualSpacing/>
              <w:rPr>
                <w:rFonts w:cs="Arial"/>
                <w:color w:val="000000"/>
              </w:rPr>
            </w:pPr>
            <w:r w:rsidRPr="20381F86">
              <w:rPr>
                <w:rFonts w:cs="Arial"/>
              </w:rPr>
              <w:t xml:space="preserve">An Early Re-entry Pathway may be nominated by the PBAC where the PBAC considers that the remaining issues could be easily resolved and the medicine or vaccine does not represent </w:t>
            </w:r>
            <w:r w:rsidRPr="20381F86">
              <w:rPr>
                <w:rFonts w:cs="Arial"/>
                <w:color w:val="000000" w:themeColor="text1"/>
              </w:rPr>
              <w:t xml:space="preserve">High Added Therapeutic Value (HATV) </w:t>
            </w:r>
            <w:r w:rsidRPr="20381F86">
              <w:rPr>
                <w:rFonts w:cs="Arial"/>
              </w:rPr>
              <w:t>for the proposed population. Applicants who accept this pathway are eligible for PBAC consideration at the immediate next meeting.</w:t>
            </w:r>
          </w:p>
        </w:tc>
      </w:tr>
      <w:tr w:rsidR="00B7375E" w:rsidRPr="00292120" w:rsidDel="008F66B5" w14:paraId="3C2AE7A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1FB597F9" w14:textId="77777777" w:rsidR="00B7375E" w:rsidRPr="00292120" w:rsidDel="008F66B5" w:rsidRDefault="00B7375E">
            <w:pPr>
              <w:rPr>
                <w:rFonts w:cs="Arial"/>
                <w:b/>
                <w:bCs/>
              </w:rPr>
            </w:pPr>
            <w:r w:rsidRPr="20381F86">
              <w:rPr>
                <w:rFonts w:cs="Arial"/>
                <w:b/>
                <w:bCs/>
              </w:rPr>
              <w:t>Early resolution pathway</w:t>
            </w:r>
          </w:p>
          <w:p w14:paraId="1493E5D4" w14:textId="77777777" w:rsidR="00B7375E" w:rsidRPr="00292120" w:rsidDel="008F66B5" w:rsidRDefault="00B7375E">
            <w:pPr>
              <w:rPr>
                <w:rFonts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E4BC9A"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For medicines or vaccines deemed by the PBAC to represent HATV AND where the PBAC considers that the remaining issues could be easily resolved, including when: </w:t>
            </w:r>
          </w:p>
          <w:p w14:paraId="4A241778"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new clinical study data requiring evaluation is not considered necessary by the PBAC to support new clinical claims to be made in the resubmission; and </w:t>
            </w:r>
          </w:p>
          <w:p w14:paraId="65A520EC"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0AECDEC5" w14:textId="77777777" w:rsidR="00B7375E" w:rsidRPr="00292120" w:rsidDel="008F66B5" w:rsidRDefault="00B7375E">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B7375E" w:rsidRPr="00292120" w:rsidDel="008F66B5" w14:paraId="569D362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55060BCB" w14:textId="77777777" w:rsidR="00B7375E" w:rsidRPr="00292120" w:rsidDel="008F66B5" w:rsidRDefault="00B7375E">
            <w:pPr>
              <w:rPr>
                <w:rFonts w:cs="Arial"/>
              </w:rPr>
            </w:pPr>
            <w:r w:rsidRPr="20381F86">
              <w:rPr>
                <w:rFonts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63FF5CEF" w14:textId="77777777" w:rsidR="00B7375E" w:rsidRPr="00F657EC" w:rsidDel="008F66B5" w:rsidRDefault="00B7375E">
            <w:pPr>
              <w:autoSpaceDE w:val="0"/>
              <w:autoSpaceDN w:val="0"/>
              <w:rPr>
                <w:rFonts w:cs="Arial"/>
                <w:b/>
              </w:rPr>
            </w:pPr>
            <w:r w:rsidRPr="20381F86">
              <w:rPr>
                <w:rFonts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6F33878" w14:textId="71EF6B65" w:rsidR="007510EF" w:rsidRPr="00E71941" w:rsidRDefault="007510EF" w:rsidP="00E71941">
      <w:pPr>
        <w:tabs>
          <w:tab w:val="left" w:pos="5716"/>
        </w:tabs>
      </w:pPr>
    </w:p>
    <w:sectPr w:rsidR="007510EF" w:rsidRPr="00E71941" w:rsidSect="00A04C7B">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3D2F" w14:textId="77777777" w:rsidR="009A74FE" w:rsidRDefault="009A74FE" w:rsidP="00824DBC">
      <w:pPr>
        <w:spacing w:after="0" w:line="240" w:lineRule="auto"/>
      </w:pPr>
      <w:r>
        <w:separator/>
      </w:r>
    </w:p>
  </w:endnote>
  <w:endnote w:type="continuationSeparator" w:id="0">
    <w:p w14:paraId="3C075DAE" w14:textId="77777777" w:rsidR="009A74FE" w:rsidRDefault="009A74FE" w:rsidP="008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5BE" w14:textId="2D7FCF77" w:rsidR="00352C64" w:rsidRDefault="00352C64">
    <w:pPr>
      <w:pStyle w:val="Footer"/>
    </w:pPr>
    <w:r>
      <w:rPr>
        <w:noProof/>
      </w:rPr>
      <mc:AlternateContent>
        <mc:Choice Requires="wps">
          <w:drawing>
            <wp:anchor distT="0" distB="0" distL="0" distR="0" simplePos="0" relativeHeight="251658244" behindDoc="0" locked="0" layoutInCell="1" allowOverlap="1" wp14:anchorId="1B46DFA3" wp14:editId="182B6EFA">
              <wp:simplePos x="635" y="635"/>
              <wp:positionH relativeFrom="page">
                <wp:align>center</wp:align>
              </wp:positionH>
              <wp:positionV relativeFrom="page">
                <wp:align>bottom</wp:align>
              </wp:positionV>
              <wp:extent cx="622300" cy="391160"/>
              <wp:effectExtent l="0" t="0" r="6350" b="0"/>
              <wp:wrapNone/>
              <wp:docPr id="3835464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7AD792B">
            <v:shapetype id="_x0000_t202" coordsize="21600,21600" o:spt="202" path="m,l,21600r21600,l21600,xe" w14:anchorId="1B46DFA3">
              <v:stroke joinstyle="miter"/>
              <v:path gradientshapeok="t" o:connecttype="rect"/>
            </v:shapetype>
            <v:shape id="Text Box 5"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9E77742" w14:textId="0DFCC5E7">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A593" w14:textId="0B4CF03E" w:rsidR="00352C64" w:rsidRDefault="00352C64">
    <w:pPr>
      <w:pStyle w:val="Footer"/>
    </w:pPr>
    <w:r>
      <w:rPr>
        <w:noProof/>
      </w:rPr>
      <mc:AlternateContent>
        <mc:Choice Requires="wps">
          <w:drawing>
            <wp:anchor distT="0" distB="0" distL="0" distR="0" simplePos="0" relativeHeight="251658245" behindDoc="0" locked="0" layoutInCell="1" allowOverlap="1" wp14:anchorId="21A92649" wp14:editId="6227B30C">
              <wp:simplePos x="914400" y="6968836"/>
              <wp:positionH relativeFrom="page">
                <wp:align>center</wp:align>
              </wp:positionH>
              <wp:positionV relativeFrom="page">
                <wp:align>bottom</wp:align>
              </wp:positionV>
              <wp:extent cx="622300" cy="391160"/>
              <wp:effectExtent l="0" t="0" r="6350" b="0"/>
              <wp:wrapNone/>
              <wp:docPr id="2008928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922BA31">
            <v:shapetype id="_x0000_t202" coordsize="21600,21600" o:spt="202" path="m,l,21600r21600,l21600,xe" w14:anchorId="21A92649">
              <v:stroke joinstyle="miter"/>
              <v:path gradientshapeok="t" o:connecttype="rect"/>
            </v:shapetype>
            <v:shape id="Text Box 6"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8CE8BEA" w14:textId="4243F56F">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97C0" w14:textId="50AEF85B" w:rsidR="00352C64" w:rsidRDefault="00352C64">
    <w:pPr>
      <w:pStyle w:val="Footer"/>
    </w:pPr>
    <w:r>
      <w:rPr>
        <w:noProof/>
      </w:rPr>
      <mc:AlternateContent>
        <mc:Choice Requires="wps">
          <w:drawing>
            <wp:anchor distT="0" distB="0" distL="0" distR="0" simplePos="0" relativeHeight="251658243" behindDoc="0" locked="0" layoutInCell="1" allowOverlap="1" wp14:anchorId="637AA7DA" wp14:editId="019D8C0F">
              <wp:simplePos x="635" y="635"/>
              <wp:positionH relativeFrom="page">
                <wp:align>center</wp:align>
              </wp:positionH>
              <wp:positionV relativeFrom="page">
                <wp:align>bottom</wp:align>
              </wp:positionV>
              <wp:extent cx="622300" cy="391160"/>
              <wp:effectExtent l="0" t="0" r="6350" b="0"/>
              <wp:wrapNone/>
              <wp:docPr id="1839297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76359F4">
            <v:shapetype id="_x0000_t202" coordsize="21600,21600" o:spt="202" path="m,l,21600r21600,l21600,xe" w14:anchorId="637AA7DA">
              <v:stroke joinstyle="miter"/>
              <v:path gradientshapeok="t" o:connecttype="rect"/>
            </v:shapetype>
            <v:shape id="Text Box 4"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textbox style="mso-fit-shape-to-text:t" inset="0,0,0,15pt">
                <w:txbxContent>
                  <w:p w:rsidRPr="00352C64" w:rsidR="00352C64" w:rsidP="00352C64" w:rsidRDefault="00352C64" w14:paraId="17D1F485" w14:textId="560B0092">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B0B1" w14:textId="77777777" w:rsidR="009A74FE" w:rsidRDefault="009A74FE" w:rsidP="00824DBC">
      <w:pPr>
        <w:spacing w:after="0" w:line="240" w:lineRule="auto"/>
      </w:pPr>
      <w:r>
        <w:separator/>
      </w:r>
    </w:p>
  </w:footnote>
  <w:footnote w:type="continuationSeparator" w:id="0">
    <w:p w14:paraId="56FE0D9F" w14:textId="77777777" w:rsidR="009A74FE" w:rsidRDefault="009A74FE" w:rsidP="008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14D" w14:textId="3963DFAF" w:rsidR="00352C64" w:rsidRDefault="00352C64">
    <w:pPr>
      <w:pStyle w:val="Header"/>
    </w:pPr>
    <w:r>
      <w:rPr>
        <w:noProof/>
      </w:rPr>
      <mc:AlternateContent>
        <mc:Choice Requires="wps">
          <w:drawing>
            <wp:anchor distT="0" distB="0" distL="0" distR="0" simplePos="0" relativeHeight="251658241" behindDoc="0" locked="0" layoutInCell="1" allowOverlap="1" wp14:anchorId="47891105" wp14:editId="1A5A390B">
              <wp:simplePos x="635" y="635"/>
              <wp:positionH relativeFrom="page">
                <wp:align>center</wp:align>
              </wp:positionH>
              <wp:positionV relativeFrom="page">
                <wp:align>top</wp:align>
              </wp:positionV>
              <wp:extent cx="622300" cy="391160"/>
              <wp:effectExtent l="0" t="0" r="6350" b="8890"/>
              <wp:wrapNone/>
              <wp:docPr id="1308222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E9BF4F7">
            <v:shapetype id="_x0000_t202" coordsize="21600,21600" o:spt="202" path="m,l,21600r21600,l21600,xe" w14:anchorId="47891105">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352C64" w:rsidR="00352C64" w:rsidP="00352C64" w:rsidRDefault="00352C64" w14:paraId="171AAEBA" w14:textId="444A8E9D">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128" w14:textId="689E99C7" w:rsidR="00824DBC" w:rsidRDefault="00352C64" w:rsidP="00824DBC">
    <w:pPr>
      <w:pStyle w:val="paragraph"/>
      <w:spacing w:before="0" w:beforeAutospacing="0" w:after="0" w:afterAutospacing="0"/>
      <w:jc w:val="center"/>
      <w:textAlignment w:val="baseline"/>
      <w:rPr>
        <w:rFonts w:ascii="Segoe UI" w:hAnsi="Segoe UI" w:cs="Segoe UI"/>
        <w:sz w:val="18"/>
        <w:szCs w:val="18"/>
      </w:rPr>
    </w:pPr>
    <w:r>
      <w:rPr>
        <w:rFonts w:ascii="Arial" w:eastAsiaTheme="majorEastAsia" w:hAnsi="Arial" w:cs="Arial"/>
        <w:b/>
        <w:bCs/>
        <w:noProof/>
        <w:color w:val="000000"/>
        <w:sz w:val="20"/>
        <w:szCs w:val="20"/>
        <w14:ligatures w14:val="standardContextual"/>
      </w:rPr>
      <mc:AlternateContent>
        <mc:Choice Requires="wps">
          <w:drawing>
            <wp:anchor distT="0" distB="0" distL="0" distR="0" simplePos="0" relativeHeight="251658242" behindDoc="0" locked="0" layoutInCell="1" allowOverlap="1" wp14:anchorId="277E4A6D" wp14:editId="5E51446A">
              <wp:simplePos x="914400" y="443345"/>
              <wp:positionH relativeFrom="page">
                <wp:align>center</wp:align>
              </wp:positionH>
              <wp:positionV relativeFrom="page">
                <wp:align>top</wp:align>
              </wp:positionV>
              <wp:extent cx="622300" cy="391160"/>
              <wp:effectExtent l="0" t="0" r="6350" b="8890"/>
              <wp:wrapNone/>
              <wp:docPr id="2046852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FF21ED2">
            <v:shapetype id="_x0000_t202" coordsize="21600,21600" o:spt="202" path="m,l,21600r21600,l21600,xe" w14:anchorId="277E4A6D">
              <v:stroke joinstyle="miter"/>
              <v:path gradientshapeok="t" o:connecttype="rect"/>
            </v:shapetype>
            <v:shape id="Text Box 3"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352C64" w:rsidR="00352C64" w:rsidP="00352C64" w:rsidRDefault="00352C64" w14:paraId="75F360E3" w14:textId="45C47B36">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r w:rsidR="00824DBC">
      <w:rPr>
        <w:rStyle w:val="normaltextrun"/>
        <w:rFonts w:ascii="Arial" w:eastAsiaTheme="majorEastAsia" w:hAnsi="Arial" w:cs="Arial"/>
        <w:b/>
        <w:bCs/>
        <w:color w:val="000000"/>
        <w:sz w:val="20"/>
        <w:szCs w:val="20"/>
      </w:rPr>
      <w:t>PHARMACEUTICAL BENEFITS ADVISORY COMMITTEE (PBAC) MEETING </w:t>
    </w:r>
    <w:r w:rsidR="00824DBC">
      <w:rPr>
        <w:rStyle w:val="normaltextrun"/>
        <w:rFonts w:ascii="Arial" w:eastAsiaTheme="majorEastAsia" w:hAnsi="Arial" w:cs="Arial"/>
        <w:b/>
        <w:bCs/>
        <w:sz w:val="20"/>
        <w:szCs w:val="20"/>
      </w:rPr>
      <w:t>OUTCOMES</w:t>
    </w:r>
    <w:r w:rsidR="00824DBC">
      <w:rPr>
        <w:rStyle w:val="eop"/>
        <w:rFonts w:ascii="Arial" w:eastAsiaTheme="majorEastAsia" w:hAnsi="Arial" w:cs="Arial"/>
        <w:sz w:val="20"/>
        <w:szCs w:val="20"/>
      </w:rPr>
      <w:t> </w:t>
    </w:r>
  </w:p>
  <w:p w14:paraId="17A021B4"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rPr>
      <w:t>November 2025 PBAC MEETING</w:t>
    </w:r>
    <w:r>
      <w:rPr>
        <w:rStyle w:val="eop"/>
        <w:rFonts w:ascii="Arial" w:eastAsiaTheme="majorEastAsia" w:hAnsi="Arial" w:cs="Arial"/>
        <w:sz w:val="20"/>
        <w:szCs w:val="20"/>
      </w:rPr>
      <w:t> </w:t>
    </w:r>
  </w:p>
  <w:p w14:paraId="7539A585"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0"/>
        <w:szCs w:val="20"/>
      </w:rPr>
      <w:t> </w:t>
    </w:r>
  </w:p>
  <w:p w14:paraId="62872984" w14:textId="77777777" w:rsidR="00824DBC" w:rsidRDefault="0082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F0E" w14:textId="7BCF8B26" w:rsidR="00352C64" w:rsidRDefault="00352C64">
    <w:pPr>
      <w:pStyle w:val="Header"/>
    </w:pPr>
    <w:r>
      <w:rPr>
        <w:noProof/>
      </w:rPr>
      <mc:AlternateContent>
        <mc:Choice Requires="wps">
          <w:drawing>
            <wp:anchor distT="0" distB="0" distL="0" distR="0" simplePos="0" relativeHeight="251658240" behindDoc="0" locked="0" layoutInCell="1" allowOverlap="1" wp14:anchorId="641A380C" wp14:editId="57CCDCB5">
              <wp:simplePos x="635" y="635"/>
              <wp:positionH relativeFrom="page">
                <wp:align>center</wp:align>
              </wp:positionH>
              <wp:positionV relativeFrom="page">
                <wp:align>top</wp:align>
              </wp:positionV>
              <wp:extent cx="622300" cy="391160"/>
              <wp:effectExtent l="0" t="0" r="6350" b="8890"/>
              <wp:wrapNone/>
              <wp:docPr id="424079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005B15C">
            <v:shapetype id="_x0000_t202" coordsize="21600,21600" o:spt="202" path="m,l,21600r21600,l21600,xe" w14:anchorId="641A380C">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textbox style="mso-fit-shape-to-text:t" inset="0,15pt,0,0">
                <w:txbxContent>
                  <w:p w:rsidRPr="00352C64" w:rsidR="00352C64" w:rsidP="00352C64" w:rsidRDefault="00352C64" w14:paraId="2CCFEE10" w14:textId="27098439">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074"/>
    <w:multiLevelType w:val="hybridMultilevel"/>
    <w:tmpl w:val="CFEE6A98"/>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 w15:restartNumberingAfterBreak="0">
    <w:nsid w:val="157272EA"/>
    <w:multiLevelType w:val="hybridMultilevel"/>
    <w:tmpl w:val="7B8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5F8"/>
    <w:multiLevelType w:val="hybridMultilevel"/>
    <w:tmpl w:val="C6FC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3013E"/>
    <w:multiLevelType w:val="hybridMultilevel"/>
    <w:tmpl w:val="8E5A9264"/>
    <w:lvl w:ilvl="0" w:tplc="0C090001">
      <w:start w:val="1"/>
      <w:numFmt w:val="bullet"/>
      <w:lvlText w:val=""/>
      <w:lvlJc w:val="left"/>
      <w:pPr>
        <w:ind w:left="731" w:hanging="360"/>
      </w:pPr>
      <w:rPr>
        <w:rFonts w:ascii="Symbol" w:hAnsi="Symbol" w:hint="default"/>
      </w:rPr>
    </w:lvl>
    <w:lvl w:ilvl="1" w:tplc="771043B0">
      <w:numFmt w:val="bullet"/>
      <w:lvlText w:val="•"/>
      <w:lvlJc w:val="left"/>
      <w:pPr>
        <w:ind w:left="1801" w:hanging="710"/>
      </w:pPr>
      <w:rPr>
        <w:rFonts w:ascii="Aptos" w:eastAsiaTheme="minorHAnsi" w:hAnsi="Aptos" w:cstheme="minorHAnsi"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28EE7899"/>
    <w:multiLevelType w:val="hybridMultilevel"/>
    <w:tmpl w:val="C546C440"/>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abstractNum w:abstractNumId="7" w15:restartNumberingAfterBreak="0">
    <w:nsid w:val="2ABA4E24"/>
    <w:multiLevelType w:val="hybridMultilevel"/>
    <w:tmpl w:val="11B22BE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8"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9"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0E6014"/>
    <w:multiLevelType w:val="hybridMultilevel"/>
    <w:tmpl w:val="4850AAC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2"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544559"/>
    <w:multiLevelType w:val="hybridMultilevel"/>
    <w:tmpl w:val="4C782DEA"/>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num w:numId="1" w16cid:durableId="627904043">
    <w:abstractNumId w:val="7"/>
  </w:num>
  <w:num w:numId="2" w16cid:durableId="605499989">
    <w:abstractNumId w:val="1"/>
  </w:num>
  <w:num w:numId="3" w16cid:durableId="1340156248">
    <w:abstractNumId w:val="11"/>
  </w:num>
  <w:num w:numId="4" w16cid:durableId="1030687391">
    <w:abstractNumId w:val="4"/>
  </w:num>
  <w:num w:numId="5" w16cid:durableId="1935237053">
    <w:abstractNumId w:val="3"/>
  </w:num>
  <w:num w:numId="6" w16cid:durableId="187184386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5069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97367">
    <w:abstractNumId w:val="12"/>
  </w:num>
  <w:num w:numId="9" w16cid:durableId="1955818708">
    <w:abstractNumId w:val="2"/>
  </w:num>
  <w:num w:numId="10" w16cid:durableId="1762793081">
    <w:abstractNumId w:val="5"/>
  </w:num>
  <w:num w:numId="11" w16cid:durableId="1042025453">
    <w:abstractNumId w:val="10"/>
  </w:num>
  <w:num w:numId="12" w16cid:durableId="902636996">
    <w:abstractNumId w:val="0"/>
  </w:num>
  <w:num w:numId="13" w16cid:durableId="509375501">
    <w:abstractNumId w:val="13"/>
  </w:num>
  <w:num w:numId="14" w16cid:durableId="38668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C"/>
    <w:rsid w:val="00001CC1"/>
    <w:rsid w:val="00002D85"/>
    <w:rsid w:val="000040E3"/>
    <w:rsid w:val="00006911"/>
    <w:rsid w:val="00010E85"/>
    <w:rsid w:val="0001616C"/>
    <w:rsid w:val="00016D43"/>
    <w:rsid w:val="00017E41"/>
    <w:rsid w:val="00021388"/>
    <w:rsid w:val="00042E3F"/>
    <w:rsid w:val="00045EA2"/>
    <w:rsid w:val="00054B74"/>
    <w:rsid w:val="0006598A"/>
    <w:rsid w:val="00067F21"/>
    <w:rsid w:val="00095168"/>
    <w:rsid w:val="00096F85"/>
    <w:rsid w:val="000A1856"/>
    <w:rsid w:val="000B40DF"/>
    <w:rsid w:val="000B7E1F"/>
    <w:rsid w:val="000C20EF"/>
    <w:rsid w:val="000D6AFD"/>
    <w:rsid w:val="000F03A4"/>
    <w:rsid w:val="000F0DF6"/>
    <w:rsid w:val="00106AF8"/>
    <w:rsid w:val="001147C6"/>
    <w:rsid w:val="001205CE"/>
    <w:rsid w:val="00137298"/>
    <w:rsid w:val="001373B8"/>
    <w:rsid w:val="00143BB8"/>
    <w:rsid w:val="00153464"/>
    <w:rsid w:val="00170562"/>
    <w:rsid w:val="00180620"/>
    <w:rsid w:val="00182A83"/>
    <w:rsid w:val="001858FD"/>
    <w:rsid w:val="0019523D"/>
    <w:rsid w:val="001970AE"/>
    <w:rsid w:val="001A4D94"/>
    <w:rsid w:val="001A6399"/>
    <w:rsid w:val="001A646D"/>
    <w:rsid w:val="001B0C71"/>
    <w:rsid w:val="001B38A4"/>
    <w:rsid w:val="001B39CE"/>
    <w:rsid w:val="001B431A"/>
    <w:rsid w:val="001B4831"/>
    <w:rsid w:val="001B5ADA"/>
    <w:rsid w:val="001C363B"/>
    <w:rsid w:val="001C4E49"/>
    <w:rsid w:val="001C5BCC"/>
    <w:rsid w:val="001C5C6E"/>
    <w:rsid w:val="001C6A47"/>
    <w:rsid w:val="001D561D"/>
    <w:rsid w:val="001E6F16"/>
    <w:rsid w:val="001F0FEF"/>
    <w:rsid w:val="001F433F"/>
    <w:rsid w:val="001F4E2D"/>
    <w:rsid w:val="00200E75"/>
    <w:rsid w:val="00212776"/>
    <w:rsid w:val="00215645"/>
    <w:rsid w:val="00217444"/>
    <w:rsid w:val="00220950"/>
    <w:rsid w:val="00223596"/>
    <w:rsid w:val="00224ADC"/>
    <w:rsid w:val="002253D2"/>
    <w:rsid w:val="00241C28"/>
    <w:rsid w:val="00246E7B"/>
    <w:rsid w:val="00252DBC"/>
    <w:rsid w:val="00253773"/>
    <w:rsid w:val="00254F33"/>
    <w:rsid w:val="0026069D"/>
    <w:rsid w:val="00274EA9"/>
    <w:rsid w:val="00280050"/>
    <w:rsid w:val="00281E03"/>
    <w:rsid w:val="00281FBF"/>
    <w:rsid w:val="002829C3"/>
    <w:rsid w:val="00285AC9"/>
    <w:rsid w:val="002922FC"/>
    <w:rsid w:val="00293129"/>
    <w:rsid w:val="00295C38"/>
    <w:rsid w:val="002A04F8"/>
    <w:rsid w:val="002A49F0"/>
    <w:rsid w:val="002B07BE"/>
    <w:rsid w:val="002B38D9"/>
    <w:rsid w:val="002C094F"/>
    <w:rsid w:val="002C2746"/>
    <w:rsid w:val="002D1BBC"/>
    <w:rsid w:val="002D5E7D"/>
    <w:rsid w:val="002E14DF"/>
    <w:rsid w:val="002F0441"/>
    <w:rsid w:val="002F2ABA"/>
    <w:rsid w:val="002F429E"/>
    <w:rsid w:val="00303E97"/>
    <w:rsid w:val="003133F4"/>
    <w:rsid w:val="00314109"/>
    <w:rsid w:val="00314BDC"/>
    <w:rsid w:val="003161FF"/>
    <w:rsid w:val="003174F0"/>
    <w:rsid w:val="003228F1"/>
    <w:rsid w:val="00323064"/>
    <w:rsid w:val="00325C21"/>
    <w:rsid w:val="00327891"/>
    <w:rsid w:val="003347F4"/>
    <w:rsid w:val="003351D9"/>
    <w:rsid w:val="00336053"/>
    <w:rsid w:val="00341443"/>
    <w:rsid w:val="0034768E"/>
    <w:rsid w:val="00351FEA"/>
    <w:rsid w:val="00352C64"/>
    <w:rsid w:val="003617AF"/>
    <w:rsid w:val="003846E1"/>
    <w:rsid w:val="0038760B"/>
    <w:rsid w:val="00390784"/>
    <w:rsid w:val="00391EAC"/>
    <w:rsid w:val="00392EAF"/>
    <w:rsid w:val="00394CE9"/>
    <w:rsid w:val="003A1A02"/>
    <w:rsid w:val="003A630A"/>
    <w:rsid w:val="003A6972"/>
    <w:rsid w:val="003A727A"/>
    <w:rsid w:val="003B33AA"/>
    <w:rsid w:val="003D2413"/>
    <w:rsid w:val="003D5CD8"/>
    <w:rsid w:val="003E6DA6"/>
    <w:rsid w:val="003E73D2"/>
    <w:rsid w:val="003E7D4C"/>
    <w:rsid w:val="003F0F89"/>
    <w:rsid w:val="003F2EF4"/>
    <w:rsid w:val="00401324"/>
    <w:rsid w:val="0041022F"/>
    <w:rsid w:val="00412883"/>
    <w:rsid w:val="00420D18"/>
    <w:rsid w:val="004243AE"/>
    <w:rsid w:val="00426111"/>
    <w:rsid w:val="0042735A"/>
    <w:rsid w:val="00431E50"/>
    <w:rsid w:val="00440AC5"/>
    <w:rsid w:val="00440C4A"/>
    <w:rsid w:val="004419EA"/>
    <w:rsid w:val="004436D6"/>
    <w:rsid w:val="0045372B"/>
    <w:rsid w:val="00454C28"/>
    <w:rsid w:val="004715DA"/>
    <w:rsid w:val="00471B47"/>
    <w:rsid w:val="004740D7"/>
    <w:rsid w:val="00474EDE"/>
    <w:rsid w:val="0048593A"/>
    <w:rsid w:val="0049085F"/>
    <w:rsid w:val="00491A0C"/>
    <w:rsid w:val="004B0C86"/>
    <w:rsid w:val="004C3EBA"/>
    <w:rsid w:val="004C5740"/>
    <w:rsid w:val="004C729C"/>
    <w:rsid w:val="004C7742"/>
    <w:rsid w:val="004D152A"/>
    <w:rsid w:val="004D22DE"/>
    <w:rsid w:val="004D3672"/>
    <w:rsid w:val="004D4AE3"/>
    <w:rsid w:val="004E0298"/>
    <w:rsid w:val="004E12C7"/>
    <w:rsid w:val="004E5BFF"/>
    <w:rsid w:val="004F57E1"/>
    <w:rsid w:val="004F7770"/>
    <w:rsid w:val="00512D9F"/>
    <w:rsid w:val="0051600E"/>
    <w:rsid w:val="005174A1"/>
    <w:rsid w:val="00521AAC"/>
    <w:rsid w:val="0052379A"/>
    <w:rsid w:val="0052626C"/>
    <w:rsid w:val="00530D39"/>
    <w:rsid w:val="00534502"/>
    <w:rsid w:val="0054410A"/>
    <w:rsid w:val="00545C5B"/>
    <w:rsid w:val="00547CC3"/>
    <w:rsid w:val="00556034"/>
    <w:rsid w:val="00562A08"/>
    <w:rsid w:val="00565212"/>
    <w:rsid w:val="00567398"/>
    <w:rsid w:val="0057353C"/>
    <w:rsid w:val="005736B1"/>
    <w:rsid w:val="00573CA4"/>
    <w:rsid w:val="005749E8"/>
    <w:rsid w:val="00577881"/>
    <w:rsid w:val="00580BDD"/>
    <w:rsid w:val="00582949"/>
    <w:rsid w:val="00586999"/>
    <w:rsid w:val="00591DA7"/>
    <w:rsid w:val="005A1F38"/>
    <w:rsid w:val="005A2B1F"/>
    <w:rsid w:val="005B3330"/>
    <w:rsid w:val="005B3B16"/>
    <w:rsid w:val="005C6E41"/>
    <w:rsid w:val="005D37A6"/>
    <w:rsid w:val="005D555C"/>
    <w:rsid w:val="005D7F2E"/>
    <w:rsid w:val="005E24B6"/>
    <w:rsid w:val="005E415E"/>
    <w:rsid w:val="005F6B22"/>
    <w:rsid w:val="00601B8E"/>
    <w:rsid w:val="00603393"/>
    <w:rsid w:val="00603F78"/>
    <w:rsid w:val="00615B42"/>
    <w:rsid w:val="006211DA"/>
    <w:rsid w:val="00627552"/>
    <w:rsid w:val="00627667"/>
    <w:rsid w:val="00636D5F"/>
    <w:rsid w:val="00643F8E"/>
    <w:rsid w:val="00644241"/>
    <w:rsid w:val="00644857"/>
    <w:rsid w:val="00647A54"/>
    <w:rsid w:val="00647D33"/>
    <w:rsid w:val="006525B9"/>
    <w:rsid w:val="00653857"/>
    <w:rsid w:val="006645B3"/>
    <w:rsid w:val="00666F61"/>
    <w:rsid w:val="00674076"/>
    <w:rsid w:val="00684F8B"/>
    <w:rsid w:val="006869AA"/>
    <w:rsid w:val="00692675"/>
    <w:rsid w:val="00696B4F"/>
    <w:rsid w:val="006A7465"/>
    <w:rsid w:val="006B2335"/>
    <w:rsid w:val="006B2761"/>
    <w:rsid w:val="006B461B"/>
    <w:rsid w:val="006B6BF5"/>
    <w:rsid w:val="006B6E25"/>
    <w:rsid w:val="006C1BDF"/>
    <w:rsid w:val="006C35D2"/>
    <w:rsid w:val="006C502A"/>
    <w:rsid w:val="006D2AC0"/>
    <w:rsid w:val="006D30D0"/>
    <w:rsid w:val="006F13D9"/>
    <w:rsid w:val="006F2DF8"/>
    <w:rsid w:val="006F56BD"/>
    <w:rsid w:val="00703A09"/>
    <w:rsid w:val="0071095A"/>
    <w:rsid w:val="00716069"/>
    <w:rsid w:val="00725213"/>
    <w:rsid w:val="007330A6"/>
    <w:rsid w:val="007378F7"/>
    <w:rsid w:val="00745D29"/>
    <w:rsid w:val="007510EF"/>
    <w:rsid w:val="00753E53"/>
    <w:rsid w:val="00754316"/>
    <w:rsid w:val="00760E84"/>
    <w:rsid w:val="00764178"/>
    <w:rsid w:val="00766940"/>
    <w:rsid w:val="00771EC2"/>
    <w:rsid w:val="00772692"/>
    <w:rsid w:val="00774824"/>
    <w:rsid w:val="0078603A"/>
    <w:rsid w:val="00794063"/>
    <w:rsid w:val="007A0A0F"/>
    <w:rsid w:val="007A0EE8"/>
    <w:rsid w:val="007A5444"/>
    <w:rsid w:val="007B0D69"/>
    <w:rsid w:val="007B100C"/>
    <w:rsid w:val="007B3E46"/>
    <w:rsid w:val="007B5E89"/>
    <w:rsid w:val="007E7294"/>
    <w:rsid w:val="007F5BAA"/>
    <w:rsid w:val="00816983"/>
    <w:rsid w:val="00820359"/>
    <w:rsid w:val="008235B5"/>
    <w:rsid w:val="00824DBC"/>
    <w:rsid w:val="00825D76"/>
    <w:rsid w:val="008322E8"/>
    <w:rsid w:val="0084089E"/>
    <w:rsid w:val="00843D92"/>
    <w:rsid w:val="008533DF"/>
    <w:rsid w:val="008569D4"/>
    <w:rsid w:val="00864F92"/>
    <w:rsid w:val="00865A07"/>
    <w:rsid w:val="00870DD5"/>
    <w:rsid w:val="008737E3"/>
    <w:rsid w:val="00875A0A"/>
    <w:rsid w:val="00895638"/>
    <w:rsid w:val="008A7C73"/>
    <w:rsid w:val="008B56EC"/>
    <w:rsid w:val="008B79EB"/>
    <w:rsid w:val="008C21D7"/>
    <w:rsid w:val="008C52F1"/>
    <w:rsid w:val="008D4BFD"/>
    <w:rsid w:val="008D7050"/>
    <w:rsid w:val="008E705E"/>
    <w:rsid w:val="008F3C47"/>
    <w:rsid w:val="00906377"/>
    <w:rsid w:val="0092684B"/>
    <w:rsid w:val="009370D8"/>
    <w:rsid w:val="00941475"/>
    <w:rsid w:val="0094651C"/>
    <w:rsid w:val="009539E4"/>
    <w:rsid w:val="00953F90"/>
    <w:rsid w:val="00955928"/>
    <w:rsid w:val="00961195"/>
    <w:rsid w:val="009627B9"/>
    <w:rsid w:val="00964ECF"/>
    <w:rsid w:val="00966821"/>
    <w:rsid w:val="00973DE8"/>
    <w:rsid w:val="00976BAF"/>
    <w:rsid w:val="009859C9"/>
    <w:rsid w:val="009909C2"/>
    <w:rsid w:val="0099223A"/>
    <w:rsid w:val="009A024D"/>
    <w:rsid w:val="009A74FE"/>
    <w:rsid w:val="009B16DE"/>
    <w:rsid w:val="009C3C35"/>
    <w:rsid w:val="009C4EB6"/>
    <w:rsid w:val="009C675E"/>
    <w:rsid w:val="009C75FE"/>
    <w:rsid w:val="009D1088"/>
    <w:rsid w:val="009D22E8"/>
    <w:rsid w:val="009E0A4E"/>
    <w:rsid w:val="009E5B87"/>
    <w:rsid w:val="009E78E5"/>
    <w:rsid w:val="009F5CE9"/>
    <w:rsid w:val="009F7C36"/>
    <w:rsid w:val="00A020F5"/>
    <w:rsid w:val="00A039C9"/>
    <w:rsid w:val="00A04C7B"/>
    <w:rsid w:val="00A057EC"/>
    <w:rsid w:val="00A17899"/>
    <w:rsid w:val="00A260BF"/>
    <w:rsid w:val="00A31A4E"/>
    <w:rsid w:val="00A34D77"/>
    <w:rsid w:val="00A37170"/>
    <w:rsid w:val="00A428C5"/>
    <w:rsid w:val="00A51C68"/>
    <w:rsid w:val="00A6166A"/>
    <w:rsid w:val="00A7577F"/>
    <w:rsid w:val="00A75BF0"/>
    <w:rsid w:val="00A84C8E"/>
    <w:rsid w:val="00A85BA9"/>
    <w:rsid w:val="00A87EAC"/>
    <w:rsid w:val="00A978B6"/>
    <w:rsid w:val="00A97EA6"/>
    <w:rsid w:val="00AA4A0A"/>
    <w:rsid w:val="00AB1E56"/>
    <w:rsid w:val="00AB429A"/>
    <w:rsid w:val="00AB60F7"/>
    <w:rsid w:val="00AB6C9E"/>
    <w:rsid w:val="00AC1104"/>
    <w:rsid w:val="00AD5933"/>
    <w:rsid w:val="00AD6346"/>
    <w:rsid w:val="00AE0C8E"/>
    <w:rsid w:val="00AE116D"/>
    <w:rsid w:val="00AE1A2B"/>
    <w:rsid w:val="00AF0697"/>
    <w:rsid w:val="00AF0B4C"/>
    <w:rsid w:val="00AF10F2"/>
    <w:rsid w:val="00AF3D45"/>
    <w:rsid w:val="00B06FD1"/>
    <w:rsid w:val="00B11E12"/>
    <w:rsid w:val="00B1552D"/>
    <w:rsid w:val="00B156A3"/>
    <w:rsid w:val="00B15B3C"/>
    <w:rsid w:val="00B26E8F"/>
    <w:rsid w:val="00B27CAE"/>
    <w:rsid w:val="00B3140C"/>
    <w:rsid w:val="00B4089E"/>
    <w:rsid w:val="00B43F0E"/>
    <w:rsid w:val="00B507EA"/>
    <w:rsid w:val="00B55ECB"/>
    <w:rsid w:val="00B572C3"/>
    <w:rsid w:val="00B63B82"/>
    <w:rsid w:val="00B674CA"/>
    <w:rsid w:val="00B7375E"/>
    <w:rsid w:val="00B7500E"/>
    <w:rsid w:val="00B75B42"/>
    <w:rsid w:val="00B8062C"/>
    <w:rsid w:val="00B8268D"/>
    <w:rsid w:val="00B85064"/>
    <w:rsid w:val="00B86D4A"/>
    <w:rsid w:val="00B87C25"/>
    <w:rsid w:val="00B9493B"/>
    <w:rsid w:val="00BA0CAC"/>
    <w:rsid w:val="00BA7532"/>
    <w:rsid w:val="00BB2E55"/>
    <w:rsid w:val="00BD791D"/>
    <w:rsid w:val="00BF2017"/>
    <w:rsid w:val="00BF4EA7"/>
    <w:rsid w:val="00C01F5E"/>
    <w:rsid w:val="00C06582"/>
    <w:rsid w:val="00C13496"/>
    <w:rsid w:val="00C14C2E"/>
    <w:rsid w:val="00C2191E"/>
    <w:rsid w:val="00C27123"/>
    <w:rsid w:val="00C30B02"/>
    <w:rsid w:val="00C35A7D"/>
    <w:rsid w:val="00C414F2"/>
    <w:rsid w:val="00C65D57"/>
    <w:rsid w:val="00C71B81"/>
    <w:rsid w:val="00C74742"/>
    <w:rsid w:val="00C770CA"/>
    <w:rsid w:val="00C806F6"/>
    <w:rsid w:val="00C8598A"/>
    <w:rsid w:val="00C9016E"/>
    <w:rsid w:val="00C90FEA"/>
    <w:rsid w:val="00C95144"/>
    <w:rsid w:val="00C95B49"/>
    <w:rsid w:val="00CA32D6"/>
    <w:rsid w:val="00CB0D37"/>
    <w:rsid w:val="00CC33D0"/>
    <w:rsid w:val="00CC35E3"/>
    <w:rsid w:val="00CC6A9F"/>
    <w:rsid w:val="00CD6184"/>
    <w:rsid w:val="00CD6363"/>
    <w:rsid w:val="00CE397A"/>
    <w:rsid w:val="00CE739F"/>
    <w:rsid w:val="00CF69A5"/>
    <w:rsid w:val="00D0079F"/>
    <w:rsid w:val="00D018A9"/>
    <w:rsid w:val="00D07644"/>
    <w:rsid w:val="00D17F49"/>
    <w:rsid w:val="00D17F7D"/>
    <w:rsid w:val="00D201AB"/>
    <w:rsid w:val="00D227F2"/>
    <w:rsid w:val="00D34533"/>
    <w:rsid w:val="00D40E64"/>
    <w:rsid w:val="00D44771"/>
    <w:rsid w:val="00D47169"/>
    <w:rsid w:val="00D53EB3"/>
    <w:rsid w:val="00D54DE4"/>
    <w:rsid w:val="00D604F7"/>
    <w:rsid w:val="00D62349"/>
    <w:rsid w:val="00D72E30"/>
    <w:rsid w:val="00D8082B"/>
    <w:rsid w:val="00D86CF5"/>
    <w:rsid w:val="00D9091C"/>
    <w:rsid w:val="00D90E99"/>
    <w:rsid w:val="00D9690F"/>
    <w:rsid w:val="00DB3AD2"/>
    <w:rsid w:val="00DB4E08"/>
    <w:rsid w:val="00DC2A26"/>
    <w:rsid w:val="00DD0E71"/>
    <w:rsid w:val="00DD2B93"/>
    <w:rsid w:val="00DD4C34"/>
    <w:rsid w:val="00DD76BE"/>
    <w:rsid w:val="00DE2B58"/>
    <w:rsid w:val="00DF412D"/>
    <w:rsid w:val="00DF7003"/>
    <w:rsid w:val="00DF7320"/>
    <w:rsid w:val="00E02460"/>
    <w:rsid w:val="00E0449B"/>
    <w:rsid w:val="00E05F21"/>
    <w:rsid w:val="00E074B7"/>
    <w:rsid w:val="00E1347E"/>
    <w:rsid w:val="00E144DE"/>
    <w:rsid w:val="00E17611"/>
    <w:rsid w:val="00E2043A"/>
    <w:rsid w:val="00E22024"/>
    <w:rsid w:val="00E30D99"/>
    <w:rsid w:val="00E36D6F"/>
    <w:rsid w:val="00E40EC3"/>
    <w:rsid w:val="00E46ED9"/>
    <w:rsid w:val="00E50326"/>
    <w:rsid w:val="00E54BF9"/>
    <w:rsid w:val="00E576CA"/>
    <w:rsid w:val="00E61E29"/>
    <w:rsid w:val="00E71941"/>
    <w:rsid w:val="00E7450B"/>
    <w:rsid w:val="00E82B71"/>
    <w:rsid w:val="00E86DD4"/>
    <w:rsid w:val="00E9197D"/>
    <w:rsid w:val="00E91D1F"/>
    <w:rsid w:val="00EC5985"/>
    <w:rsid w:val="00ED15FD"/>
    <w:rsid w:val="00ED29E2"/>
    <w:rsid w:val="00ED44EF"/>
    <w:rsid w:val="00ED65E1"/>
    <w:rsid w:val="00EE55DB"/>
    <w:rsid w:val="00EE6766"/>
    <w:rsid w:val="00EE7E7A"/>
    <w:rsid w:val="00EF41B7"/>
    <w:rsid w:val="00EF4E15"/>
    <w:rsid w:val="00F03E48"/>
    <w:rsid w:val="00F07ECA"/>
    <w:rsid w:val="00F11102"/>
    <w:rsid w:val="00F13341"/>
    <w:rsid w:val="00F14291"/>
    <w:rsid w:val="00F14D6C"/>
    <w:rsid w:val="00F17E58"/>
    <w:rsid w:val="00F238F5"/>
    <w:rsid w:val="00F23C09"/>
    <w:rsid w:val="00F2720C"/>
    <w:rsid w:val="00F32DFB"/>
    <w:rsid w:val="00F36574"/>
    <w:rsid w:val="00F40301"/>
    <w:rsid w:val="00F406A6"/>
    <w:rsid w:val="00F65157"/>
    <w:rsid w:val="00F700B0"/>
    <w:rsid w:val="00F7029A"/>
    <w:rsid w:val="00F746C0"/>
    <w:rsid w:val="00F752A2"/>
    <w:rsid w:val="00F75B50"/>
    <w:rsid w:val="00F76162"/>
    <w:rsid w:val="00F77835"/>
    <w:rsid w:val="00F7796F"/>
    <w:rsid w:val="00F83816"/>
    <w:rsid w:val="00F84775"/>
    <w:rsid w:val="00F93285"/>
    <w:rsid w:val="00F9364C"/>
    <w:rsid w:val="00FA15ED"/>
    <w:rsid w:val="00FA5C84"/>
    <w:rsid w:val="00FB1099"/>
    <w:rsid w:val="00FB600D"/>
    <w:rsid w:val="00FB6AC4"/>
    <w:rsid w:val="00FD219A"/>
    <w:rsid w:val="00FE050D"/>
    <w:rsid w:val="00FE72DF"/>
    <w:rsid w:val="00FF36A9"/>
    <w:rsid w:val="00FF6340"/>
    <w:rsid w:val="15988E5D"/>
    <w:rsid w:val="261B510B"/>
    <w:rsid w:val="26B634A0"/>
    <w:rsid w:val="39DDF63A"/>
    <w:rsid w:val="4C3465F5"/>
    <w:rsid w:val="714BB7D9"/>
    <w:rsid w:val="71A2F084"/>
    <w:rsid w:val="724F2BA4"/>
    <w:rsid w:val="727C0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D5F6"/>
  <w15:chartTrackingRefBased/>
  <w15:docId w15:val="{07049FA6-46CF-45EF-ACFE-7F95E4B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D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D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D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D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D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BC"/>
    <w:pPr>
      <w:spacing w:before="160"/>
      <w:jc w:val="center"/>
    </w:pPr>
    <w:rPr>
      <w:i/>
      <w:iCs/>
      <w:color w:val="404040" w:themeColor="text1" w:themeTint="BF"/>
    </w:rPr>
  </w:style>
  <w:style w:type="character" w:customStyle="1" w:styleId="QuoteChar">
    <w:name w:val="Quote Char"/>
    <w:basedOn w:val="DefaultParagraphFont"/>
    <w:link w:val="Quote"/>
    <w:uiPriority w:val="29"/>
    <w:rsid w:val="00824DBC"/>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824DBC"/>
    <w:pPr>
      <w:ind w:left="720"/>
      <w:contextualSpacing/>
    </w:pPr>
  </w:style>
  <w:style w:type="character" w:styleId="IntenseEmphasis">
    <w:name w:val="Intense Emphasis"/>
    <w:basedOn w:val="DefaultParagraphFont"/>
    <w:uiPriority w:val="21"/>
    <w:qFormat/>
    <w:rsid w:val="00824DBC"/>
    <w:rPr>
      <w:i/>
      <w:iCs/>
      <w:color w:val="0F4761" w:themeColor="accent1" w:themeShade="BF"/>
    </w:rPr>
  </w:style>
  <w:style w:type="paragraph" w:styleId="IntenseQuote">
    <w:name w:val="Intense Quote"/>
    <w:basedOn w:val="Normal"/>
    <w:next w:val="Normal"/>
    <w:link w:val="IntenseQuoteChar"/>
    <w:uiPriority w:val="30"/>
    <w:qFormat/>
    <w:rsid w:val="0082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BC"/>
    <w:rPr>
      <w:i/>
      <w:iCs/>
      <w:color w:val="0F4761" w:themeColor="accent1" w:themeShade="BF"/>
    </w:rPr>
  </w:style>
  <w:style w:type="character" w:styleId="IntenseReference">
    <w:name w:val="Intense Reference"/>
    <w:basedOn w:val="DefaultParagraphFont"/>
    <w:uiPriority w:val="32"/>
    <w:qFormat/>
    <w:rsid w:val="00824DBC"/>
    <w:rPr>
      <w:b/>
      <w:bCs/>
      <w:smallCaps/>
      <w:color w:val="0F4761" w:themeColor="accent1" w:themeShade="BF"/>
      <w:spacing w:val="5"/>
    </w:rPr>
  </w:style>
  <w:style w:type="paragraph" w:styleId="Header">
    <w:name w:val="header"/>
    <w:aliases w:val="Page Header,Header title,he=header,cntr/bld"/>
    <w:basedOn w:val="Normal"/>
    <w:link w:val="HeaderChar"/>
    <w:unhideWhenUsed/>
    <w:rsid w:val="00824DBC"/>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824DBC"/>
  </w:style>
  <w:style w:type="paragraph" w:styleId="Footer">
    <w:name w:val="footer"/>
    <w:basedOn w:val="Normal"/>
    <w:link w:val="FooterChar"/>
    <w:uiPriority w:val="99"/>
    <w:unhideWhenUsed/>
    <w:rsid w:val="0082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BC"/>
  </w:style>
  <w:style w:type="paragraph" w:customStyle="1" w:styleId="paragraph">
    <w:name w:val="paragraph"/>
    <w:basedOn w:val="Normal"/>
    <w:rsid w:val="00824DB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customStyle="1" w:styleId="normaltextrun">
    <w:name w:val="normaltextrun"/>
    <w:basedOn w:val="DefaultParagraphFont"/>
    <w:rsid w:val="00824DBC"/>
  </w:style>
  <w:style w:type="character" w:customStyle="1" w:styleId="eop">
    <w:name w:val="eop"/>
    <w:basedOn w:val="DefaultParagraphFont"/>
    <w:rsid w:val="00824DBC"/>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E71941"/>
  </w:style>
  <w:style w:type="table" w:styleId="TableGrid">
    <w:name w:val="Table Grid"/>
    <w:basedOn w:val="TableNormal"/>
    <w:rsid w:val="00B7375E"/>
    <w:pPr>
      <w:spacing w:after="0" w:line="240" w:lineRule="auto"/>
    </w:pPr>
    <w:rPr>
      <w:rFonts w:ascii="Times New Roman" w:eastAsia="Times New Roman" w:hAnsi="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375E"/>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Default">
    <w:name w:val="Default"/>
    <w:rsid w:val="00B7375E"/>
    <w:pPr>
      <w:autoSpaceDE w:val="0"/>
      <w:autoSpaceDN w:val="0"/>
      <w:adjustRightInd w:val="0"/>
      <w:spacing w:after="0" w:line="240" w:lineRule="auto"/>
    </w:pPr>
    <w:rPr>
      <w:rFonts w:ascii="Times New Roman" w:eastAsia="Times New Roman" w:hAnsi="Times New Roman"/>
      <w:color w:val="000000"/>
      <w:kern w:val="0"/>
      <w:sz w:val="24"/>
      <w:lang w:eastAsia="en-AU"/>
      <w14:ligatures w14:val="none"/>
    </w:rPr>
  </w:style>
  <w:style w:type="character" w:styleId="CommentReference">
    <w:name w:val="annotation reference"/>
    <w:basedOn w:val="DefaultParagraphFont"/>
    <w:uiPriority w:val="99"/>
    <w:semiHidden/>
    <w:unhideWhenUsed/>
    <w:rsid w:val="00F65157"/>
    <w:rPr>
      <w:sz w:val="16"/>
      <w:szCs w:val="16"/>
    </w:rPr>
  </w:style>
  <w:style w:type="paragraph" w:styleId="CommentText">
    <w:name w:val="annotation text"/>
    <w:basedOn w:val="Normal"/>
    <w:link w:val="CommentTextChar"/>
    <w:uiPriority w:val="99"/>
    <w:unhideWhenUsed/>
    <w:rsid w:val="00F65157"/>
    <w:pPr>
      <w:spacing w:line="240" w:lineRule="auto"/>
    </w:pPr>
    <w:rPr>
      <w:szCs w:val="20"/>
    </w:rPr>
  </w:style>
  <w:style w:type="character" w:customStyle="1" w:styleId="CommentTextChar">
    <w:name w:val="Comment Text Char"/>
    <w:basedOn w:val="DefaultParagraphFont"/>
    <w:link w:val="CommentText"/>
    <w:uiPriority w:val="99"/>
    <w:rsid w:val="00F65157"/>
    <w:rPr>
      <w:szCs w:val="20"/>
    </w:rPr>
  </w:style>
  <w:style w:type="paragraph" w:styleId="CommentSubject">
    <w:name w:val="annotation subject"/>
    <w:basedOn w:val="CommentText"/>
    <w:next w:val="CommentText"/>
    <w:link w:val="CommentSubjectChar"/>
    <w:uiPriority w:val="99"/>
    <w:semiHidden/>
    <w:unhideWhenUsed/>
    <w:rsid w:val="00F65157"/>
    <w:rPr>
      <w:b/>
      <w:bCs/>
    </w:rPr>
  </w:style>
  <w:style w:type="character" w:customStyle="1" w:styleId="CommentSubjectChar">
    <w:name w:val="Comment Subject Char"/>
    <w:basedOn w:val="CommentTextChar"/>
    <w:link w:val="CommentSubject"/>
    <w:uiPriority w:val="99"/>
    <w:semiHidden/>
    <w:rsid w:val="00F6515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8E5262A2-E78E-4CF6-8C86-A0F8F2AC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C3247-6E72-48D6-9CDD-D4824271C5E3}">
  <ds:schemaRefs>
    <ds:schemaRef ds:uri="http://schemas.microsoft.com/sharepoint/v3/contenttype/forms"/>
  </ds:schemaRefs>
</ds:datastoreItem>
</file>

<file path=customXml/itemProps3.xml><?xml version="1.0" encoding="utf-8"?>
<ds:datastoreItem xmlns:ds="http://schemas.openxmlformats.org/officeDocument/2006/customXml" ds:itemID="{1AFE0C2C-4966-49A7-9F5B-BB292E01C46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18829</Words>
  <Characters>106120</Characters>
  <Application>Microsoft Office Word</Application>
  <DocSecurity>0</DocSecurity>
  <Lines>3000</Lines>
  <Paragraphs>603</Paragraphs>
  <ScaleCrop>false</ScaleCrop>
  <Company>Department of Health, Disability and Ageing</Company>
  <LinksUpToDate>false</LinksUpToDate>
  <CharactersWithSpaces>124785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ELKINGTON, Michele</dc:creator>
  <cp:keywords/>
  <dc:description/>
  <cp:lastModifiedBy>ELKINGTON, Michele</cp:lastModifiedBy>
  <cp:revision>122</cp:revision>
  <dcterms:created xsi:type="dcterms:W3CDTF">2025-12-16T07:17:00Z</dcterms:created>
  <dcterms:modified xsi:type="dcterms:W3CDTF">2026-02-17T01:04:00Z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1946efe9,4df9e5c2,7a007c61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6da1738d,16dc7476,77bdd1c1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2025-12-09T06:14:32Z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3c5486cd-cd52-4030-82ee-5fd72191b576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MediaServiceImageTags">
    <vt:lpwstr/>
  </property>
  <property fmtid="{D5CDD505-2E9C-101B-9397-08002B2CF9AE}" pid="18" name="docLang">
    <vt:lpwstr>en</vt:lpwstr>
  </property>
</Properties>
</file>