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ABD3" w14:textId="6AD6C162" w:rsidR="00D652B5" w:rsidRDefault="00820B02" w:rsidP="00D652B5">
      <w:pPr>
        <w:pStyle w:val="Heading1"/>
      </w:pPr>
      <w:r>
        <w:t xml:space="preserve">Single drug/vaccine </w:t>
      </w:r>
      <w:r w:rsidR="0028250F">
        <w:t>agenda items</w:t>
      </w:r>
    </w:p>
    <w:p w14:paraId="498951C4" w14:textId="6D998044" w:rsidR="007567D2" w:rsidRDefault="007567D2" w:rsidP="00A94408">
      <w:pPr>
        <w:pStyle w:val="Default"/>
        <w:ind w:right="656"/>
        <w:jc w:val="both"/>
        <w:rPr>
          <w:rFonts w:asciiTheme="minorHAnsi" w:hAnsiTheme="minorHAnsi" w:cstheme="minorHAnsi"/>
          <w:sz w:val="20"/>
          <w:szCs w:val="20"/>
        </w:rPr>
      </w:pPr>
      <w:r w:rsidRPr="005B5602">
        <w:rPr>
          <w:rFonts w:asciiTheme="minorHAnsi" w:hAnsiTheme="minorHAnsi" w:cstheme="minorHAnsi"/>
          <w:sz w:val="20"/>
          <w:szCs w:val="20"/>
        </w:rPr>
        <w:t xml:space="preserve">The </w:t>
      </w:r>
      <w:r w:rsidR="009E648E" w:rsidRPr="005B5602">
        <w:rPr>
          <w:rFonts w:asciiTheme="minorHAnsi" w:hAnsiTheme="minorHAnsi" w:cstheme="minorHAnsi"/>
          <w:sz w:val="20"/>
          <w:szCs w:val="20"/>
        </w:rPr>
        <w:t>PBAC outcomes and recommendations are presented</w:t>
      </w:r>
      <w:r w:rsidRPr="005B5602">
        <w:rPr>
          <w:rFonts w:asciiTheme="minorHAnsi" w:hAnsiTheme="minorHAnsi" w:cstheme="minorHAnsi"/>
          <w:sz w:val="20"/>
          <w:szCs w:val="20"/>
        </w:rPr>
        <w:t xml:space="preserve"> in alphabetical order by </w:t>
      </w:r>
      <w:r w:rsidR="0081587F">
        <w:rPr>
          <w:rFonts w:asciiTheme="minorHAnsi" w:hAnsiTheme="minorHAnsi" w:cstheme="minorHAnsi"/>
          <w:sz w:val="20"/>
          <w:szCs w:val="20"/>
        </w:rPr>
        <w:t>agenda item</w:t>
      </w:r>
      <w:r w:rsidRPr="005B5602">
        <w:rPr>
          <w:rFonts w:asciiTheme="minorHAnsi" w:hAnsiTheme="minorHAnsi" w:cstheme="minorHAnsi"/>
          <w:sz w:val="20"/>
          <w:szCs w:val="20"/>
        </w:rPr>
        <w:t xml:space="preserve"> name</w:t>
      </w:r>
      <w:r w:rsidR="00D97548" w:rsidRPr="005B5602">
        <w:rPr>
          <w:rFonts w:asciiTheme="minorHAnsi" w:hAnsiTheme="minorHAnsi" w:cstheme="minorHAnsi"/>
          <w:sz w:val="20"/>
          <w:szCs w:val="20"/>
        </w:rPr>
        <w:t>.</w:t>
      </w:r>
    </w:p>
    <w:p w14:paraId="5BEA8AF7" w14:textId="77777777" w:rsidR="003D69CD" w:rsidRPr="005B5602" w:rsidRDefault="003D69CD" w:rsidP="00A94408">
      <w:pPr>
        <w:pStyle w:val="Default"/>
        <w:ind w:right="656"/>
        <w:jc w:val="both"/>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665"/>
        <w:gridCol w:w="1816"/>
        <w:gridCol w:w="2668"/>
        <w:gridCol w:w="1416"/>
        <w:gridCol w:w="6823"/>
      </w:tblGrid>
      <w:tr w:rsidR="006A4749" w:rsidRPr="0009421C" w14:paraId="2F780D8A" w14:textId="77777777" w:rsidTr="00CE688F">
        <w:trPr>
          <w:cantSplit/>
          <w:trHeight w:val="20"/>
          <w:tblHeader/>
          <w:jc w:val="center"/>
        </w:trPr>
        <w:tc>
          <w:tcPr>
            <w:tcW w:w="866" w:type="pct"/>
            <w:tcMar>
              <w:top w:w="28" w:type="dxa"/>
              <w:bottom w:w="28" w:type="dxa"/>
            </w:tcMar>
            <w:vAlign w:val="center"/>
          </w:tcPr>
          <w:p w14:paraId="58BB41E5" w14:textId="2FEDC3F7" w:rsidR="006A4749" w:rsidRPr="0009421C" w:rsidRDefault="006A4749" w:rsidP="00AE78E3">
            <w:pPr>
              <w:keepLines/>
              <w:widowControl w:val="0"/>
              <w:ind w:right="-106"/>
              <w:jc w:val="center"/>
              <w:rPr>
                <w:rFonts w:asciiTheme="minorHAnsi" w:hAnsiTheme="minorHAnsi" w:cstheme="minorHAnsi"/>
                <w:b/>
                <w:sz w:val="18"/>
                <w:szCs w:val="18"/>
              </w:rPr>
            </w:pPr>
            <w:bookmarkStart w:id="0" w:name="_Hlk143070631"/>
            <w:bookmarkStart w:id="1" w:name="_Hlk164175861"/>
            <w:r w:rsidRPr="0009421C">
              <w:rPr>
                <w:rFonts w:asciiTheme="minorHAnsi" w:hAnsiTheme="minorHAnsi" w:cstheme="minorHAnsi"/>
                <w:b/>
                <w:sz w:val="18"/>
                <w:szCs w:val="18"/>
              </w:rPr>
              <w:t xml:space="preserve">DRUG NAME, FORM(S), STRENGTH(S), SPONSOR, </w:t>
            </w:r>
            <w:r w:rsidR="000D5309">
              <w:rPr>
                <w:rFonts w:asciiTheme="minorHAnsi" w:hAnsiTheme="minorHAnsi" w:cstheme="minorHAnsi"/>
                <w:b/>
                <w:sz w:val="18"/>
                <w:szCs w:val="18"/>
              </w:rPr>
              <w:t>CATEGORY/</w:t>
            </w:r>
            <w:r w:rsidRPr="0009421C">
              <w:rPr>
                <w:rFonts w:asciiTheme="minorHAnsi" w:hAnsiTheme="minorHAnsi" w:cstheme="minorHAnsi"/>
                <w:b/>
                <w:sz w:val="18"/>
                <w:szCs w:val="18"/>
              </w:rPr>
              <w:t>TYPE OF SUBMISSION</w:t>
            </w:r>
          </w:p>
        </w:tc>
        <w:tc>
          <w:tcPr>
            <w:tcW w:w="590" w:type="pct"/>
            <w:tcMar>
              <w:top w:w="28" w:type="dxa"/>
              <w:bottom w:w="28" w:type="dxa"/>
            </w:tcMar>
            <w:vAlign w:val="center"/>
          </w:tcPr>
          <w:p w14:paraId="64FD3362" w14:textId="3DF64AED"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DRUG TYPE AND USE</w:t>
            </w:r>
          </w:p>
        </w:tc>
        <w:tc>
          <w:tcPr>
            <w:tcW w:w="867" w:type="pct"/>
            <w:tcMar>
              <w:top w:w="28" w:type="dxa"/>
              <w:bottom w:w="28" w:type="dxa"/>
            </w:tcMar>
            <w:vAlign w:val="center"/>
          </w:tcPr>
          <w:p w14:paraId="60A9336E" w14:textId="77777777"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LISTING REQUESTED BY SPONSOR / PURPOSE OF SUBMISSION</w:t>
            </w:r>
          </w:p>
        </w:tc>
        <w:tc>
          <w:tcPr>
            <w:tcW w:w="460" w:type="pct"/>
            <w:vAlign w:val="center"/>
          </w:tcPr>
          <w:p w14:paraId="26ABD2DA" w14:textId="77777777" w:rsidR="006A4749" w:rsidRPr="0009421C" w:rsidRDefault="006A4749" w:rsidP="00402818">
            <w:pPr>
              <w:pStyle w:val="Header"/>
              <w:keepLines/>
              <w:jc w:val="center"/>
              <w:rPr>
                <w:rFonts w:asciiTheme="minorHAnsi" w:hAnsiTheme="minorHAnsi" w:cstheme="minorBidi"/>
                <w:b/>
                <w:bCs/>
                <w:snapToGrid w:val="0"/>
                <w:sz w:val="18"/>
                <w:szCs w:val="18"/>
                <w:lang w:eastAsia="en-US"/>
              </w:rPr>
            </w:pPr>
            <w:r w:rsidRPr="0009421C">
              <w:rPr>
                <w:rFonts w:asciiTheme="minorHAnsi" w:hAnsiTheme="minorHAnsi" w:cstheme="minorBidi"/>
                <w:b/>
                <w:bCs/>
                <w:snapToGrid w:val="0"/>
                <w:sz w:val="18"/>
                <w:szCs w:val="18"/>
                <w:lang w:eastAsia="en-US"/>
              </w:rPr>
              <w:t>PBAC OUTCOME</w:t>
            </w:r>
          </w:p>
        </w:tc>
        <w:bookmarkEnd w:id="0"/>
        <w:tc>
          <w:tcPr>
            <w:tcW w:w="2217" w:type="pct"/>
            <w:vAlign w:val="center"/>
          </w:tcPr>
          <w:p w14:paraId="5626F454" w14:textId="7122FBBE" w:rsidR="006A4749" w:rsidRPr="0009421C" w:rsidRDefault="00827C8A" w:rsidP="00402818">
            <w:pPr>
              <w:pStyle w:val="Header"/>
              <w:keepLines/>
              <w:jc w:val="center"/>
              <w:rPr>
                <w:rFonts w:asciiTheme="minorHAnsi" w:hAnsiTheme="minorHAnsi" w:cstheme="minorBidi"/>
                <w:b/>
                <w:bCs/>
                <w:snapToGrid w:val="0"/>
                <w:sz w:val="18"/>
                <w:szCs w:val="18"/>
                <w:lang w:eastAsia="en-US"/>
              </w:rPr>
            </w:pPr>
            <w:r>
              <w:rPr>
                <w:rFonts w:asciiTheme="minorHAnsi" w:hAnsiTheme="minorHAnsi" w:cstheme="minorBidi"/>
                <w:b/>
                <w:bCs/>
                <w:snapToGrid w:val="0"/>
                <w:sz w:val="18"/>
                <w:szCs w:val="18"/>
                <w:lang w:eastAsia="en-US"/>
              </w:rPr>
              <w:t>OUTCOME DETAILS</w:t>
            </w:r>
          </w:p>
        </w:tc>
      </w:tr>
      <w:bookmarkEnd w:id="1"/>
      <w:tr w:rsidR="00B821C6" w:rsidRPr="0009421C" w:rsidDel="008F66B5" w14:paraId="59456C9B" w14:textId="11C3513F" w:rsidTr="00CE688F">
        <w:trPr>
          <w:cantSplit/>
          <w:trHeight w:val="20"/>
          <w:jc w:val="center"/>
        </w:trPr>
        <w:tc>
          <w:tcPr>
            <w:tcW w:w="86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1CBAAB"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BLINATUMOMAB</w:t>
            </w:r>
          </w:p>
          <w:p w14:paraId="58320AFC" w14:textId="77777777" w:rsidR="003143F4" w:rsidRPr="003143F4" w:rsidRDefault="003143F4" w:rsidP="00AE78E3">
            <w:pPr>
              <w:jc w:val="center"/>
              <w:rPr>
                <w:rFonts w:ascii="Calibri" w:hAnsi="Calibri" w:cs="Calibri"/>
                <w:color w:val="000000"/>
                <w:sz w:val="18"/>
                <w:szCs w:val="18"/>
              </w:rPr>
            </w:pPr>
          </w:p>
          <w:p w14:paraId="12DC4FB9"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Powder for I.V. infusion 38.5 micrograms</w:t>
            </w:r>
          </w:p>
          <w:p w14:paraId="28EB2E72" w14:textId="77777777" w:rsidR="003143F4" w:rsidRPr="003143F4" w:rsidRDefault="003143F4" w:rsidP="00AE78E3">
            <w:pPr>
              <w:jc w:val="center"/>
              <w:rPr>
                <w:rFonts w:ascii="Calibri" w:hAnsi="Calibri" w:cs="Calibri"/>
                <w:color w:val="000000"/>
                <w:sz w:val="18"/>
                <w:szCs w:val="18"/>
              </w:rPr>
            </w:pPr>
          </w:p>
          <w:p w14:paraId="616194C4" w14:textId="363D9AE4" w:rsidR="003143F4" w:rsidRPr="003143F4" w:rsidRDefault="003143F4" w:rsidP="00AE78E3">
            <w:pPr>
              <w:jc w:val="center"/>
              <w:rPr>
                <w:rFonts w:ascii="Calibri" w:hAnsi="Calibri" w:cs="Calibri"/>
                <w:color w:val="000000"/>
                <w:sz w:val="18"/>
                <w:szCs w:val="18"/>
              </w:rPr>
            </w:pPr>
            <w:proofErr w:type="spellStart"/>
            <w:r w:rsidRPr="003143F4">
              <w:rPr>
                <w:rFonts w:ascii="Calibri" w:hAnsi="Calibri" w:cs="Calibri"/>
                <w:color w:val="000000"/>
                <w:sz w:val="18"/>
                <w:szCs w:val="18"/>
              </w:rPr>
              <w:t>Blincyto</w:t>
            </w:r>
            <w:proofErr w:type="spellEnd"/>
            <w:r w:rsidR="00296B50">
              <w:rPr>
                <w:rFonts w:ascii="Calibri" w:hAnsi="Calibri" w:cs="Calibri"/>
                <w:color w:val="000000"/>
                <w:sz w:val="18"/>
                <w:szCs w:val="18"/>
              </w:rPr>
              <w:t>®</w:t>
            </w:r>
          </w:p>
          <w:p w14:paraId="77951CBC" w14:textId="77777777" w:rsidR="003143F4" w:rsidRPr="003143F4" w:rsidRDefault="003143F4" w:rsidP="00AE78E3">
            <w:pPr>
              <w:jc w:val="center"/>
              <w:rPr>
                <w:rFonts w:ascii="Calibri" w:hAnsi="Calibri" w:cs="Calibri"/>
                <w:color w:val="000000"/>
                <w:sz w:val="18"/>
                <w:szCs w:val="18"/>
              </w:rPr>
            </w:pPr>
          </w:p>
          <w:p w14:paraId="2E7C49F7" w14:textId="77777777" w:rsidR="003143F4" w:rsidRPr="003143F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AMGEN AUSTRALIA PTY LTD</w:t>
            </w:r>
          </w:p>
          <w:p w14:paraId="712E5155" w14:textId="77777777" w:rsidR="003143F4" w:rsidRPr="003143F4" w:rsidRDefault="003143F4" w:rsidP="00AE78E3">
            <w:pPr>
              <w:jc w:val="center"/>
              <w:rPr>
                <w:rFonts w:ascii="Calibri" w:hAnsi="Calibri" w:cs="Calibri"/>
                <w:color w:val="000000"/>
                <w:sz w:val="18"/>
                <w:szCs w:val="18"/>
              </w:rPr>
            </w:pPr>
          </w:p>
          <w:p w14:paraId="74814FF5" w14:textId="1AA6F348" w:rsidR="00B821C6" w:rsidRPr="00AE15E4" w:rsidRDefault="003143F4" w:rsidP="00AE78E3">
            <w:pPr>
              <w:jc w:val="center"/>
              <w:rPr>
                <w:rFonts w:ascii="Calibri" w:hAnsi="Calibri" w:cs="Calibri"/>
                <w:color w:val="000000"/>
                <w:sz w:val="18"/>
                <w:szCs w:val="18"/>
              </w:rPr>
            </w:pPr>
            <w:r w:rsidRPr="003143F4">
              <w:rPr>
                <w:rFonts w:ascii="Calibri" w:hAnsi="Calibri" w:cs="Calibri"/>
                <w:color w:val="000000"/>
                <w:sz w:val="18"/>
                <w:szCs w:val="18"/>
              </w:rPr>
              <w:t>(Change to existing listing)</w:t>
            </w:r>
          </w:p>
        </w:tc>
        <w:tc>
          <w:tcPr>
            <w:tcW w:w="590" w:type="pct"/>
            <w:tcBorders>
              <w:top w:val="single" w:sz="4" w:space="0" w:color="auto"/>
              <w:left w:val="single" w:sz="4" w:space="0" w:color="auto"/>
              <w:bottom w:val="single" w:sz="4" w:space="0" w:color="auto"/>
              <w:right w:val="single" w:sz="4" w:space="0" w:color="auto"/>
            </w:tcBorders>
            <w:vAlign w:val="center"/>
          </w:tcPr>
          <w:p w14:paraId="48DC50EE" w14:textId="77777777" w:rsidR="00F127C6" w:rsidRPr="00623F94" w:rsidRDefault="00F127C6" w:rsidP="00AE78E3">
            <w:pPr>
              <w:jc w:val="center"/>
              <w:rPr>
                <w:rFonts w:ascii="Calibri" w:hAnsi="Calibri" w:cs="Calibri"/>
                <w:color w:val="000000"/>
                <w:sz w:val="18"/>
                <w:szCs w:val="18"/>
              </w:rPr>
            </w:pPr>
            <w:r w:rsidRPr="00623F94">
              <w:rPr>
                <w:rFonts w:ascii="Calibri" w:hAnsi="Calibri" w:cs="Calibri"/>
                <w:color w:val="000000"/>
                <w:sz w:val="18"/>
                <w:szCs w:val="18"/>
              </w:rPr>
              <w:t>Acute lymphoblastic leukaemia (ALL)</w:t>
            </w:r>
          </w:p>
          <w:p w14:paraId="456051AC" w14:textId="62D38BF2" w:rsidR="00B821C6" w:rsidRPr="00AE15E4" w:rsidRDefault="00F127C6" w:rsidP="00AE78E3">
            <w:pPr>
              <w:jc w:val="center"/>
              <w:rPr>
                <w:rFonts w:ascii="Calibri" w:hAnsi="Calibri" w:cs="Calibri"/>
                <w:color w:val="000000"/>
                <w:sz w:val="18"/>
                <w:szCs w:val="18"/>
              </w:rPr>
            </w:pPr>
            <w:r w:rsidRPr="00623F94">
              <w:rPr>
                <w:rFonts w:ascii="Calibri" w:hAnsi="Calibri" w:cs="Calibri"/>
                <w:color w:val="000000"/>
                <w:sz w:val="18"/>
                <w:szCs w:val="18"/>
              </w:rPr>
              <w:t>Precursor B-cell acute lymphoblastic leukaemia (Pre-B-cell ALL)</w:t>
            </w:r>
          </w:p>
        </w:tc>
        <w:tc>
          <w:tcPr>
            <w:tcW w:w="86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54750BCD" w:rsidR="00B821C6" w:rsidRPr="00AE15E4" w:rsidRDefault="009B6ECD" w:rsidP="00AE78E3">
            <w:pPr>
              <w:rPr>
                <w:rFonts w:ascii="Calibri" w:hAnsi="Calibri" w:cs="Calibri"/>
                <w:color w:val="000000"/>
                <w:sz w:val="18"/>
                <w:szCs w:val="18"/>
              </w:rPr>
            </w:pPr>
            <w:r w:rsidRPr="009B6ECD">
              <w:rPr>
                <w:rFonts w:ascii="Calibri" w:hAnsi="Calibri" w:cs="Calibri"/>
                <w:color w:val="000000"/>
                <w:sz w:val="18"/>
                <w:szCs w:val="18"/>
              </w:rPr>
              <w:t>To consider an amendment to clarify that newly</w:t>
            </w:r>
            <w:r w:rsidR="00403CA6">
              <w:rPr>
                <w:rFonts w:ascii="Calibri" w:hAnsi="Calibri" w:cs="Calibri"/>
                <w:color w:val="000000"/>
                <w:sz w:val="18"/>
                <w:szCs w:val="18"/>
              </w:rPr>
              <w:t xml:space="preserve"> </w:t>
            </w:r>
            <w:r w:rsidRPr="009B6ECD">
              <w:rPr>
                <w:rFonts w:ascii="Calibri" w:hAnsi="Calibri" w:cs="Calibri"/>
                <w:color w:val="000000"/>
                <w:sz w:val="18"/>
                <w:szCs w:val="18"/>
              </w:rPr>
              <w:t>diagnosed B-ALL Ph+ patients have a subsidised chemotherapy-free option: Induction treatment with a tyrosine kinase inhibitor (TKI) and corticosteroids, and consolidation treatment that includes blinatumomab.</w:t>
            </w:r>
          </w:p>
        </w:tc>
        <w:tc>
          <w:tcPr>
            <w:tcW w:w="460" w:type="pct"/>
            <w:vAlign w:val="center"/>
          </w:tcPr>
          <w:p w14:paraId="2316FD21" w14:textId="4B630683" w:rsidR="00B821C6" w:rsidRPr="009B6ECD" w:rsidDel="008F66B5" w:rsidRDefault="00C75574" w:rsidP="00402818">
            <w:pPr>
              <w:pStyle w:val="ListParagraph"/>
              <w:keepLines/>
              <w:ind w:left="0"/>
              <w:jc w:val="center"/>
              <w:rPr>
                <w:rFonts w:asciiTheme="minorHAnsi" w:eastAsia="Times New Roman" w:hAnsiTheme="minorHAnsi" w:cstheme="minorHAnsi"/>
                <w:strike/>
                <w:sz w:val="18"/>
                <w:szCs w:val="18"/>
              </w:rPr>
            </w:pPr>
            <w:r>
              <w:rPr>
                <w:rFonts w:ascii="Calibri" w:hAnsi="Calibri" w:cs="Calibri"/>
                <w:color w:val="000000"/>
                <w:sz w:val="18"/>
                <w:szCs w:val="18"/>
              </w:rPr>
              <w:t>TBA</w:t>
            </w:r>
          </w:p>
        </w:tc>
        <w:tc>
          <w:tcPr>
            <w:tcW w:w="2217" w:type="pct"/>
            <w:vAlign w:val="center"/>
          </w:tcPr>
          <w:p w14:paraId="43F997E8" w14:textId="260CF4D3" w:rsidR="00B821C6" w:rsidRPr="007220E0" w:rsidDel="008F66B5" w:rsidRDefault="007220E0" w:rsidP="0062577D">
            <w:pPr>
              <w:rPr>
                <w:rFonts w:asciiTheme="minorHAnsi" w:eastAsiaTheme="minorHAnsi" w:hAnsiTheme="minorHAnsi" w:cstheme="minorBidi"/>
                <w:sz w:val="18"/>
                <w:szCs w:val="18"/>
              </w:rPr>
            </w:pPr>
            <w:r w:rsidRPr="007220E0">
              <w:rPr>
                <w:rFonts w:asciiTheme="minorHAnsi" w:eastAsiaTheme="minorHAnsi" w:hAnsiTheme="minorHAnsi" w:cstheme="minorBidi"/>
                <w:sz w:val="18"/>
                <w:szCs w:val="18"/>
              </w:rPr>
              <w:t>This item was considered at the meeting; the outcome will be published once the minutes are finalised.</w:t>
            </w:r>
          </w:p>
        </w:tc>
      </w:tr>
      <w:tr w:rsidR="00623F94" w:rsidRPr="0009421C" w:rsidDel="008F66B5" w14:paraId="41369496" w14:textId="7EF7CEE9" w:rsidTr="00CE688F">
        <w:trPr>
          <w:cantSplit/>
          <w:trHeight w:val="20"/>
          <w:jc w:val="center"/>
        </w:trPr>
        <w:tc>
          <w:tcPr>
            <w:tcW w:w="866" w:type="pct"/>
            <w:tcMar>
              <w:top w:w="28" w:type="dxa"/>
              <w:bottom w:w="28" w:type="dxa"/>
            </w:tcMar>
            <w:vAlign w:val="center"/>
          </w:tcPr>
          <w:p w14:paraId="0BA053BF"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EPLERENONE</w:t>
            </w:r>
          </w:p>
          <w:p w14:paraId="20B98973" w14:textId="77777777" w:rsidR="00623F94" w:rsidRPr="00623F94" w:rsidRDefault="00623F94" w:rsidP="00AE78E3">
            <w:pPr>
              <w:jc w:val="center"/>
              <w:rPr>
                <w:rFonts w:ascii="Calibri" w:hAnsi="Calibri" w:cs="Calibri"/>
                <w:color w:val="000000"/>
                <w:sz w:val="18"/>
                <w:szCs w:val="18"/>
              </w:rPr>
            </w:pPr>
          </w:p>
          <w:p w14:paraId="08DACA10"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Tablet 25 mg</w:t>
            </w:r>
          </w:p>
          <w:p w14:paraId="4C866DA7"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Tablet 50 mg</w:t>
            </w:r>
          </w:p>
          <w:p w14:paraId="5C296F17" w14:textId="77777777" w:rsidR="00623F94" w:rsidRPr="00623F94" w:rsidRDefault="00623F94" w:rsidP="00AE78E3">
            <w:pPr>
              <w:jc w:val="center"/>
              <w:rPr>
                <w:rFonts w:ascii="Calibri" w:hAnsi="Calibri" w:cs="Calibri"/>
                <w:color w:val="000000"/>
                <w:sz w:val="18"/>
                <w:szCs w:val="18"/>
              </w:rPr>
            </w:pPr>
          </w:p>
          <w:p w14:paraId="3C97B3E0" w14:textId="77777777" w:rsidR="00623F94" w:rsidRPr="00623F94" w:rsidRDefault="00623F94" w:rsidP="00AE78E3">
            <w:pPr>
              <w:jc w:val="center"/>
              <w:rPr>
                <w:rFonts w:ascii="Calibri" w:hAnsi="Calibri" w:cs="Calibri"/>
                <w:color w:val="000000"/>
                <w:sz w:val="18"/>
                <w:szCs w:val="18"/>
              </w:rPr>
            </w:pPr>
            <w:proofErr w:type="spellStart"/>
            <w:r w:rsidRPr="00623F94">
              <w:rPr>
                <w:rFonts w:ascii="Calibri" w:hAnsi="Calibri" w:cs="Calibri"/>
                <w:color w:val="000000"/>
                <w:sz w:val="18"/>
                <w:szCs w:val="18"/>
              </w:rPr>
              <w:t>Inspra</w:t>
            </w:r>
            <w:proofErr w:type="spellEnd"/>
            <w:r w:rsidRPr="00623F94">
              <w:rPr>
                <w:rFonts w:ascii="Calibri" w:hAnsi="Calibri" w:cs="Calibri"/>
                <w:color w:val="000000"/>
                <w:sz w:val="18"/>
                <w:szCs w:val="18"/>
              </w:rPr>
              <w:t>®</w:t>
            </w:r>
          </w:p>
          <w:p w14:paraId="22DC6F25" w14:textId="77777777" w:rsidR="00623F94" w:rsidRPr="00623F94" w:rsidRDefault="00623F94" w:rsidP="00AE78E3">
            <w:pPr>
              <w:jc w:val="center"/>
              <w:rPr>
                <w:rFonts w:ascii="Calibri" w:hAnsi="Calibri" w:cs="Calibri"/>
                <w:color w:val="000000"/>
                <w:sz w:val="18"/>
                <w:szCs w:val="18"/>
              </w:rPr>
            </w:pPr>
          </w:p>
          <w:p w14:paraId="7DA09EF4" w14:textId="77777777"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VIATRIS PTY LTD</w:t>
            </w:r>
          </w:p>
          <w:p w14:paraId="15FEDF8B" w14:textId="77777777" w:rsidR="00623F94" w:rsidRDefault="00623F94" w:rsidP="00AE78E3">
            <w:pPr>
              <w:jc w:val="center"/>
              <w:rPr>
                <w:rFonts w:ascii="Calibri" w:hAnsi="Calibri" w:cs="Calibri"/>
                <w:color w:val="000000"/>
                <w:sz w:val="18"/>
                <w:szCs w:val="18"/>
              </w:rPr>
            </w:pPr>
          </w:p>
          <w:p w14:paraId="6C90C443" w14:textId="528D4A92" w:rsidR="00872037" w:rsidRPr="00623F94" w:rsidRDefault="00872037" w:rsidP="00AE78E3">
            <w:pPr>
              <w:jc w:val="center"/>
              <w:rPr>
                <w:rFonts w:ascii="Calibri" w:hAnsi="Calibri" w:cs="Calibri"/>
                <w:color w:val="000000"/>
                <w:sz w:val="18"/>
                <w:szCs w:val="18"/>
              </w:rPr>
            </w:pPr>
            <w:r>
              <w:rPr>
                <w:rFonts w:ascii="Calibri" w:hAnsi="Calibri" w:cs="Calibri"/>
                <w:color w:val="000000"/>
                <w:sz w:val="18"/>
                <w:szCs w:val="18"/>
              </w:rPr>
              <w:t>Matters outstanding</w:t>
            </w:r>
          </w:p>
          <w:p w14:paraId="01C26252" w14:textId="09FC1621"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w:t>
            </w:r>
            <w:r w:rsidR="00872037">
              <w:rPr>
                <w:rFonts w:ascii="Calibri" w:hAnsi="Calibri" w:cs="Calibri"/>
                <w:color w:val="000000"/>
                <w:sz w:val="18"/>
                <w:szCs w:val="18"/>
              </w:rPr>
              <w:t>Change to existing listing</w:t>
            </w:r>
            <w:r w:rsidRPr="00623F94">
              <w:rPr>
                <w:rFonts w:ascii="Calibri" w:hAnsi="Calibri" w:cs="Calibri"/>
                <w:color w:val="000000"/>
                <w:sz w:val="18"/>
                <w:szCs w:val="18"/>
              </w:rPr>
              <w:t>)</w:t>
            </w:r>
          </w:p>
        </w:tc>
        <w:tc>
          <w:tcPr>
            <w:tcW w:w="590" w:type="pct"/>
            <w:vAlign w:val="center"/>
          </w:tcPr>
          <w:p w14:paraId="500A95A7" w14:textId="419F3EF5" w:rsidR="00623F94" w:rsidRPr="00623F94" w:rsidRDefault="00623F94" w:rsidP="00AE78E3">
            <w:pPr>
              <w:jc w:val="center"/>
              <w:rPr>
                <w:rFonts w:ascii="Calibri" w:hAnsi="Calibri" w:cs="Calibri"/>
                <w:color w:val="000000"/>
                <w:sz w:val="18"/>
                <w:szCs w:val="18"/>
              </w:rPr>
            </w:pPr>
            <w:r w:rsidRPr="00623F94">
              <w:rPr>
                <w:rFonts w:ascii="Calibri" w:hAnsi="Calibri" w:cs="Calibri"/>
                <w:color w:val="000000"/>
                <w:sz w:val="18"/>
                <w:szCs w:val="18"/>
              </w:rPr>
              <w:t>Heart failure</w:t>
            </w:r>
          </w:p>
        </w:tc>
        <w:tc>
          <w:tcPr>
            <w:tcW w:w="867" w:type="pct"/>
            <w:tcMar>
              <w:top w:w="28" w:type="dxa"/>
              <w:bottom w:w="28" w:type="dxa"/>
            </w:tcMar>
            <w:vAlign w:val="center"/>
          </w:tcPr>
          <w:p w14:paraId="232C3EE4" w14:textId="39DA1B5A" w:rsidR="00623F94" w:rsidRPr="00623F94" w:rsidRDefault="00623F94" w:rsidP="00AE78E3">
            <w:pPr>
              <w:rPr>
                <w:rFonts w:ascii="Calibri" w:hAnsi="Calibri" w:cs="Calibri"/>
                <w:color w:val="000000"/>
                <w:sz w:val="18"/>
                <w:szCs w:val="18"/>
              </w:rPr>
            </w:pPr>
            <w:r w:rsidRPr="00623F94">
              <w:rPr>
                <w:rFonts w:ascii="Calibri" w:hAnsi="Calibri" w:cs="Calibri"/>
                <w:color w:val="000000"/>
                <w:sz w:val="18"/>
                <w:szCs w:val="18"/>
              </w:rPr>
              <w:t>To consider an amendment to the clinical criteria for eplerenone to align with clinical guidelines for the management of heart failure. This item was deferred at the July 2025 PBAC meeting</w:t>
            </w:r>
            <w:r w:rsidR="0069797F">
              <w:rPr>
                <w:rFonts w:ascii="Calibri" w:hAnsi="Calibri" w:cs="Calibri"/>
                <w:color w:val="000000"/>
                <w:sz w:val="18"/>
                <w:szCs w:val="18"/>
              </w:rPr>
              <w:t>.</w:t>
            </w:r>
          </w:p>
        </w:tc>
        <w:tc>
          <w:tcPr>
            <w:tcW w:w="460" w:type="pct"/>
            <w:vAlign w:val="center"/>
          </w:tcPr>
          <w:p w14:paraId="6FB45133" w14:textId="1FA63ADE" w:rsidR="00623F94" w:rsidRPr="0009421C" w:rsidDel="008F66B5" w:rsidRDefault="00623F94" w:rsidP="00623F94">
            <w:pPr>
              <w:pStyle w:val="ListParagraph"/>
              <w:keepLines/>
              <w:ind w:left="0"/>
              <w:jc w:val="center"/>
              <w:rPr>
                <w:rFonts w:asciiTheme="minorHAnsi" w:eastAsia="Times New Roman" w:hAnsiTheme="minorHAnsi" w:cstheme="minorHAnsi"/>
                <w:sz w:val="18"/>
                <w:szCs w:val="18"/>
              </w:rPr>
            </w:pPr>
            <w:r w:rsidRPr="0009421C">
              <w:rPr>
                <w:rFonts w:ascii="Calibri" w:hAnsi="Calibri" w:cs="Calibri"/>
                <w:color w:val="000000"/>
                <w:sz w:val="18"/>
                <w:szCs w:val="18"/>
              </w:rPr>
              <w:t>Recommended</w:t>
            </w:r>
          </w:p>
        </w:tc>
        <w:tc>
          <w:tcPr>
            <w:tcW w:w="2217" w:type="pct"/>
            <w:vAlign w:val="center"/>
          </w:tcPr>
          <w:p w14:paraId="4DB77AAC" w14:textId="77777777" w:rsidR="00C059C4" w:rsidRDefault="06E8C1BB" w:rsidP="00623F94">
            <w:pPr>
              <w:rPr>
                <w:rFonts w:ascii="Calibri" w:hAnsi="Calibri" w:cs="Calibri"/>
                <w:color w:val="000000" w:themeColor="text1"/>
                <w:sz w:val="18"/>
                <w:szCs w:val="18"/>
              </w:rPr>
            </w:pPr>
            <w:r w:rsidRPr="6495BF0B">
              <w:rPr>
                <w:rFonts w:ascii="Calibri" w:hAnsi="Calibri" w:cs="Calibri"/>
                <w:color w:val="000000" w:themeColor="text1"/>
                <w:sz w:val="18"/>
                <w:szCs w:val="18"/>
              </w:rPr>
              <w:t>The PBAC recommended amendments to the current PBS restriction for eplerenone (</w:t>
            </w:r>
            <w:proofErr w:type="spellStart"/>
            <w:r w:rsidRPr="6495BF0B">
              <w:rPr>
                <w:rFonts w:ascii="Calibri" w:hAnsi="Calibri" w:cs="Calibri"/>
                <w:color w:val="000000" w:themeColor="text1"/>
                <w:sz w:val="18"/>
                <w:szCs w:val="18"/>
              </w:rPr>
              <w:t>Inspra</w:t>
            </w:r>
            <w:proofErr w:type="spellEnd"/>
            <w:r w:rsidRPr="6495BF0B">
              <w:rPr>
                <w:rFonts w:ascii="Calibri" w:hAnsi="Calibri" w:cs="Calibri"/>
                <w:color w:val="000000" w:themeColor="text1"/>
                <w:sz w:val="18"/>
                <w:szCs w:val="18"/>
              </w:rPr>
              <w:t>®) to align with contemporary clinical guidelines for the management of heart failure (HF).</w:t>
            </w:r>
          </w:p>
          <w:p w14:paraId="321F418D" w14:textId="77777777" w:rsidR="00C059C4" w:rsidRDefault="00C059C4" w:rsidP="00623F94">
            <w:pPr>
              <w:rPr>
                <w:rFonts w:ascii="Calibri" w:hAnsi="Calibri" w:cs="Calibri"/>
                <w:color w:val="000000" w:themeColor="text1"/>
                <w:sz w:val="18"/>
                <w:szCs w:val="18"/>
              </w:rPr>
            </w:pPr>
          </w:p>
          <w:p w14:paraId="14253379" w14:textId="77777777" w:rsidR="00C059C4" w:rsidRDefault="06E8C1BB" w:rsidP="00623F94">
            <w:pPr>
              <w:rPr>
                <w:rFonts w:ascii="Calibri" w:hAnsi="Calibri" w:cs="Calibri"/>
                <w:color w:val="000000" w:themeColor="text1"/>
                <w:sz w:val="18"/>
                <w:szCs w:val="18"/>
              </w:rPr>
            </w:pPr>
            <w:r w:rsidRPr="6495BF0B">
              <w:rPr>
                <w:rFonts w:ascii="Calibri" w:hAnsi="Calibri" w:cs="Calibri"/>
                <w:color w:val="000000" w:themeColor="text1"/>
                <w:sz w:val="18"/>
                <w:szCs w:val="18"/>
              </w:rPr>
              <w:t>In its review of the updated restriction, the PBAC considered minor flow-on changes would also apply to sacubitril + valsartan for HF. The PBAC noted recent literature highlighting eplerenone's improved efficacy and safety profile over spironolactone in the HF population. The PBAC also noted that the amended listing will result in broader access to eplerenone, and provide an alternative to spironolactone, the main mineralocorticoid receptor agonist (MRA) used for HF on the PBS.</w:t>
            </w:r>
          </w:p>
          <w:p w14:paraId="5D12E845" w14:textId="77777777" w:rsidR="00C059C4" w:rsidRDefault="00C059C4" w:rsidP="00623F94">
            <w:pPr>
              <w:rPr>
                <w:rFonts w:ascii="Calibri" w:hAnsi="Calibri" w:cs="Calibri"/>
                <w:color w:val="000000" w:themeColor="text1"/>
                <w:sz w:val="18"/>
                <w:szCs w:val="18"/>
              </w:rPr>
            </w:pPr>
          </w:p>
          <w:p w14:paraId="739BF5EE" w14:textId="723457A2" w:rsidR="00623F94" w:rsidRPr="003817E7" w:rsidDel="008F66B5" w:rsidRDefault="06E8C1BB" w:rsidP="00623F94">
            <w:r w:rsidRPr="6495BF0B">
              <w:rPr>
                <w:rFonts w:ascii="Calibri" w:hAnsi="Calibri" w:cs="Calibri"/>
                <w:color w:val="000000" w:themeColor="text1"/>
                <w:sz w:val="18"/>
                <w:szCs w:val="18"/>
              </w:rPr>
              <w:t xml:space="preserve">The PBAC's recommendation was </w:t>
            </w:r>
            <w:r w:rsidR="00994686" w:rsidRPr="6495BF0B">
              <w:rPr>
                <w:rFonts w:ascii="Calibri" w:hAnsi="Calibri" w:cs="Calibri"/>
                <w:color w:val="000000" w:themeColor="text1"/>
                <w:sz w:val="18"/>
                <w:szCs w:val="18"/>
              </w:rPr>
              <w:t>based on</w:t>
            </w:r>
            <w:r w:rsidRPr="6495BF0B">
              <w:rPr>
                <w:rFonts w:ascii="Calibri" w:hAnsi="Calibri" w:cs="Calibri"/>
                <w:color w:val="000000" w:themeColor="text1"/>
                <w:sz w:val="18"/>
                <w:szCs w:val="18"/>
              </w:rPr>
              <w:t xml:space="preserve"> eplerenone’s cost-effectiveness as compared to spironolactone. The PBAC noted the considerable price reduction of eplerenone since its first listing in 2006 and accepted that it was cost-effective at the current price.</w:t>
            </w:r>
          </w:p>
        </w:tc>
      </w:tr>
      <w:tr w:rsidR="00835F88" w:rsidRPr="0009421C" w:rsidDel="008F66B5" w14:paraId="3C50A014" w14:textId="77777777" w:rsidTr="00032F31">
        <w:trPr>
          <w:cantSplit/>
          <w:trHeight w:val="20"/>
          <w:jc w:val="center"/>
        </w:trPr>
        <w:tc>
          <w:tcPr>
            <w:tcW w:w="866" w:type="pct"/>
            <w:tcMar>
              <w:top w:w="28" w:type="dxa"/>
              <w:bottom w:w="28" w:type="dxa"/>
            </w:tcMar>
            <w:vAlign w:val="center"/>
          </w:tcPr>
          <w:p w14:paraId="69B88494" w14:textId="3B12CBC2" w:rsidR="00835F88" w:rsidRPr="00835F88" w:rsidRDefault="00835F88" w:rsidP="00835F88">
            <w:pPr>
              <w:jc w:val="center"/>
              <w:rPr>
                <w:rFonts w:ascii="Calibri" w:hAnsi="Calibri" w:cs="Calibri"/>
                <w:color w:val="000000"/>
                <w:sz w:val="18"/>
                <w:szCs w:val="18"/>
              </w:rPr>
            </w:pPr>
            <w:r w:rsidRPr="00835F88">
              <w:rPr>
                <w:rFonts w:ascii="Calibri" w:hAnsi="Calibri" w:cs="Calibri"/>
                <w:color w:val="000000"/>
                <w:sz w:val="18"/>
                <w:szCs w:val="18"/>
              </w:rPr>
              <w:lastRenderedPageBreak/>
              <w:t>HYDROXYCHLOROQUINE</w:t>
            </w:r>
            <w:r w:rsidRPr="00835F88">
              <w:rPr>
                <w:rFonts w:ascii="Calibri" w:hAnsi="Calibri" w:cs="Calibri"/>
                <w:color w:val="000000"/>
                <w:sz w:val="18"/>
                <w:szCs w:val="18"/>
              </w:rPr>
              <w:br/>
            </w:r>
            <w:r w:rsidRPr="00835F88">
              <w:rPr>
                <w:rFonts w:ascii="Calibri" w:hAnsi="Calibri" w:cs="Calibri"/>
                <w:color w:val="000000"/>
                <w:sz w:val="18"/>
                <w:szCs w:val="18"/>
              </w:rPr>
              <w:br/>
              <w:t>Tablet containing hydroxychloroquine sulfate 200mg (LI)</w:t>
            </w:r>
            <w:r w:rsidRPr="00835F88">
              <w:rPr>
                <w:rFonts w:ascii="Calibri" w:hAnsi="Calibri" w:cs="Calibri"/>
                <w:color w:val="000000"/>
                <w:sz w:val="18"/>
                <w:szCs w:val="18"/>
              </w:rPr>
              <w:br/>
            </w:r>
            <w:r w:rsidRPr="00835F88">
              <w:rPr>
                <w:rFonts w:ascii="Calibri" w:hAnsi="Calibri" w:cs="Calibri"/>
                <w:color w:val="000000"/>
                <w:sz w:val="18"/>
                <w:szCs w:val="18"/>
              </w:rPr>
              <w:br/>
              <w:t>APO- HYDROXYCHLOROQUINE</w:t>
            </w:r>
            <w:r w:rsidRPr="00835F88">
              <w:rPr>
                <w:rFonts w:ascii="Calibri" w:hAnsi="Calibri" w:cs="Calibri"/>
                <w:color w:val="000000"/>
                <w:sz w:val="18"/>
                <w:szCs w:val="18"/>
              </w:rPr>
              <w:br/>
              <w:t>HEQUINEL</w:t>
            </w:r>
            <w:r w:rsidRPr="00835F88">
              <w:rPr>
                <w:rFonts w:ascii="Calibri" w:hAnsi="Calibri" w:cs="Calibri"/>
                <w:color w:val="000000"/>
                <w:sz w:val="18"/>
                <w:szCs w:val="18"/>
              </w:rPr>
              <w:br/>
              <w:t>HYDROXYCHLORQUINE GH</w:t>
            </w:r>
            <w:r w:rsidRPr="00835F88">
              <w:rPr>
                <w:rFonts w:ascii="Calibri" w:hAnsi="Calibri" w:cs="Calibri"/>
                <w:color w:val="000000"/>
                <w:sz w:val="18"/>
                <w:szCs w:val="18"/>
              </w:rPr>
              <w:br/>
              <w:t>PLAQUENIL®</w:t>
            </w:r>
            <w:r w:rsidRPr="00835F88">
              <w:rPr>
                <w:rFonts w:ascii="Calibri" w:hAnsi="Calibri" w:cs="Calibri"/>
                <w:color w:val="000000"/>
                <w:sz w:val="18"/>
                <w:szCs w:val="18"/>
              </w:rPr>
              <w:br/>
            </w:r>
            <w:r w:rsidRPr="00835F88">
              <w:rPr>
                <w:rFonts w:ascii="Calibri" w:hAnsi="Calibri" w:cs="Calibri"/>
                <w:color w:val="000000"/>
                <w:sz w:val="18"/>
                <w:szCs w:val="18"/>
              </w:rPr>
              <w:br/>
            </w:r>
            <w:proofErr w:type="spellStart"/>
            <w:r w:rsidRPr="00835F88">
              <w:rPr>
                <w:rFonts w:ascii="Calibri" w:hAnsi="Calibri" w:cs="Calibri"/>
                <w:color w:val="000000"/>
                <w:sz w:val="18"/>
                <w:szCs w:val="18"/>
              </w:rPr>
              <w:t>Apotex</w:t>
            </w:r>
            <w:proofErr w:type="spellEnd"/>
            <w:r w:rsidRPr="00835F88">
              <w:rPr>
                <w:rFonts w:ascii="Calibri" w:hAnsi="Calibri" w:cs="Calibri"/>
                <w:color w:val="000000"/>
                <w:sz w:val="18"/>
                <w:szCs w:val="18"/>
              </w:rPr>
              <w:t xml:space="preserve"> Pty Ltd</w:t>
            </w:r>
            <w:r w:rsidRPr="00835F88">
              <w:rPr>
                <w:rFonts w:ascii="Calibri" w:hAnsi="Calibri" w:cs="Calibri"/>
                <w:color w:val="000000"/>
                <w:sz w:val="18"/>
                <w:szCs w:val="18"/>
              </w:rPr>
              <w:br/>
              <w:t>Arrow Pharma Pty Ltd</w:t>
            </w:r>
            <w:r w:rsidRPr="00835F88">
              <w:rPr>
                <w:rFonts w:ascii="Calibri" w:hAnsi="Calibri" w:cs="Calibri"/>
                <w:color w:val="000000"/>
                <w:sz w:val="18"/>
                <w:szCs w:val="18"/>
              </w:rPr>
              <w:br/>
              <w:t>Generic Health Pty Ltd</w:t>
            </w:r>
            <w:r w:rsidRPr="00835F88">
              <w:rPr>
                <w:rFonts w:ascii="Calibri" w:hAnsi="Calibri" w:cs="Calibri"/>
                <w:color w:val="000000"/>
                <w:sz w:val="18"/>
                <w:szCs w:val="18"/>
              </w:rPr>
              <w:br/>
              <w:t>Sanofi-Aventis Australia Pty ltd</w:t>
            </w:r>
            <w:r w:rsidRPr="00835F88">
              <w:rPr>
                <w:rFonts w:ascii="Calibri" w:hAnsi="Calibri" w:cs="Calibri"/>
                <w:color w:val="000000"/>
                <w:sz w:val="18"/>
                <w:szCs w:val="18"/>
              </w:rPr>
              <w:br/>
            </w:r>
            <w:r w:rsidRPr="00835F88">
              <w:rPr>
                <w:rFonts w:ascii="Calibri" w:hAnsi="Calibri" w:cs="Calibri"/>
                <w:color w:val="000000"/>
                <w:sz w:val="18"/>
                <w:szCs w:val="18"/>
              </w:rPr>
              <w:br/>
              <w:t>(Change to existing listing)</w:t>
            </w:r>
          </w:p>
        </w:tc>
        <w:tc>
          <w:tcPr>
            <w:tcW w:w="590" w:type="pct"/>
            <w:vAlign w:val="center"/>
          </w:tcPr>
          <w:p w14:paraId="66C30891" w14:textId="6D98E2F2" w:rsidR="00835F88" w:rsidRPr="00835F88" w:rsidRDefault="00835F88" w:rsidP="00835F88">
            <w:pPr>
              <w:jc w:val="center"/>
              <w:rPr>
                <w:rFonts w:ascii="Calibri" w:hAnsi="Calibri" w:cs="Calibri"/>
                <w:color w:val="000000"/>
                <w:sz w:val="18"/>
                <w:szCs w:val="18"/>
              </w:rPr>
            </w:pPr>
            <w:r w:rsidRPr="00835F88">
              <w:rPr>
                <w:rFonts w:ascii="Calibri" w:hAnsi="Calibri" w:cs="Calibri"/>
                <w:color w:val="000000"/>
                <w:sz w:val="18"/>
                <w:szCs w:val="18"/>
              </w:rPr>
              <w:t>Unrestricted</w:t>
            </w:r>
          </w:p>
        </w:tc>
        <w:tc>
          <w:tcPr>
            <w:tcW w:w="867" w:type="pct"/>
            <w:tcMar>
              <w:top w:w="28" w:type="dxa"/>
              <w:bottom w:w="28" w:type="dxa"/>
            </w:tcMar>
            <w:vAlign w:val="center"/>
          </w:tcPr>
          <w:p w14:paraId="632C849B" w14:textId="1D47465E" w:rsidR="00835F88" w:rsidRPr="00835F88" w:rsidRDefault="00835F88" w:rsidP="00835F88">
            <w:pPr>
              <w:rPr>
                <w:rFonts w:ascii="Calibri" w:hAnsi="Calibri" w:cs="Calibri"/>
                <w:color w:val="000000"/>
                <w:sz w:val="18"/>
                <w:szCs w:val="18"/>
              </w:rPr>
            </w:pPr>
            <w:r w:rsidRPr="00835F88">
              <w:rPr>
                <w:rFonts w:ascii="Calibri" w:hAnsi="Calibri" w:cs="Calibri"/>
                <w:color w:val="000000"/>
                <w:sz w:val="18"/>
                <w:szCs w:val="18"/>
              </w:rPr>
              <w:t>To consider an increase to the number of repeats from one to three.</w:t>
            </w:r>
          </w:p>
        </w:tc>
        <w:tc>
          <w:tcPr>
            <w:tcW w:w="460" w:type="pct"/>
            <w:vAlign w:val="center"/>
          </w:tcPr>
          <w:p w14:paraId="3DE817A9" w14:textId="52633FB7" w:rsidR="00835F88" w:rsidRPr="00835F88" w:rsidRDefault="00835F88" w:rsidP="00835F88">
            <w:pPr>
              <w:pStyle w:val="ListParagraph"/>
              <w:keepLines/>
              <w:ind w:left="0"/>
              <w:jc w:val="center"/>
              <w:rPr>
                <w:rFonts w:ascii="Calibri" w:hAnsi="Calibri" w:cs="Calibri"/>
                <w:color w:val="000000"/>
                <w:sz w:val="18"/>
                <w:szCs w:val="18"/>
              </w:rPr>
            </w:pPr>
            <w:r w:rsidRPr="00835F88">
              <w:rPr>
                <w:rFonts w:ascii="Calibri" w:hAnsi="Calibri" w:cs="Calibri"/>
                <w:color w:val="000000"/>
                <w:sz w:val="18"/>
                <w:szCs w:val="18"/>
              </w:rPr>
              <w:t>Recommended</w:t>
            </w:r>
          </w:p>
        </w:tc>
        <w:tc>
          <w:tcPr>
            <w:tcW w:w="2217" w:type="pct"/>
          </w:tcPr>
          <w:p w14:paraId="0C980B17" w14:textId="77777777" w:rsidR="00835F88" w:rsidRDefault="00835F88" w:rsidP="00835F88">
            <w:pPr>
              <w:rPr>
                <w:rFonts w:ascii="Calibri" w:hAnsi="Calibri" w:cs="Calibri"/>
                <w:color w:val="000000"/>
                <w:sz w:val="18"/>
                <w:szCs w:val="18"/>
              </w:rPr>
            </w:pPr>
            <w:r w:rsidRPr="00835F88">
              <w:rPr>
                <w:rFonts w:ascii="Calibri" w:hAnsi="Calibri" w:cs="Calibri"/>
                <w:color w:val="000000"/>
                <w:sz w:val="18"/>
                <w:szCs w:val="18"/>
              </w:rPr>
              <w:t>The PBAC recommended amending the PBS listing for hydroxychloroquine sulfate 200 mg tablets to increase the maximum number of repeats per prescription from one repeat to three repeats.</w:t>
            </w:r>
          </w:p>
          <w:p w14:paraId="2DD13382" w14:textId="77777777" w:rsidR="00835F88" w:rsidRDefault="00835F88" w:rsidP="00835F88">
            <w:pPr>
              <w:rPr>
                <w:rFonts w:ascii="Calibri" w:hAnsi="Calibri" w:cs="Calibri"/>
                <w:color w:val="000000"/>
                <w:sz w:val="18"/>
                <w:szCs w:val="18"/>
              </w:rPr>
            </w:pPr>
          </w:p>
          <w:p w14:paraId="16B17A5D" w14:textId="77777777" w:rsidR="00C55EA4" w:rsidRDefault="00835F88" w:rsidP="00835F88">
            <w:pPr>
              <w:rPr>
                <w:rFonts w:ascii="Calibri" w:hAnsi="Calibri" w:cs="Calibri"/>
                <w:color w:val="000000"/>
                <w:sz w:val="18"/>
                <w:szCs w:val="18"/>
              </w:rPr>
            </w:pPr>
            <w:r w:rsidRPr="00835F88">
              <w:rPr>
                <w:rFonts w:ascii="Calibri" w:hAnsi="Calibri" w:cs="Calibri"/>
                <w:color w:val="000000"/>
                <w:sz w:val="18"/>
                <w:szCs w:val="18"/>
              </w:rPr>
              <w:t>The PBAC noted correspondence received from a clinical organisation which sought the increase in maximum repeats on the basis it would support patient access and continuity of treatment by aligning the duration of supply with the standard review cycle for rheumatology follow up visits.</w:t>
            </w:r>
          </w:p>
          <w:p w14:paraId="4ACA8A30" w14:textId="77777777" w:rsidR="00C55EA4" w:rsidRDefault="00C55EA4" w:rsidP="00835F88">
            <w:pPr>
              <w:rPr>
                <w:rFonts w:ascii="Calibri" w:hAnsi="Calibri" w:cs="Calibri"/>
                <w:color w:val="000000"/>
                <w:sz w:val="18"/>
                <w:szCs w:val="18"/>
              </w:rPr>
            </w:pPr>
          </w:p>
          <w:p w14:paraId="0BE070B6" w14:textId="3AC39902" w:rsidR="00835F88" w:rsidRPr="00835F88" w:rsidRDefault="00835F88" w:rsidP="00835F88">
            <w:pPr>
              <w:rPr>
                <w:rFonts w:ascii="Calibri" w:hAnsi="Calibri" w:cs="Calibri"/>
                <w:color w:val="000000" w:themeColor="text1"/>
                <w:sz w:val="18"/>
                <w:szCs w:val="18"/>
              </w:rPr>
            </w:pPr>
            <w:r w:rsidRPr="00835F88">
              <w:rPr>
                <w:rFonts w:ascii="Calibri" w:hAnsi="Calibri" w:cs="Calibri"/>
                <w:color w:val="000000"/>
                <w:sz w:val="18"/>
                <w:szCs w:val="18"/>
              </w:rPr>
              <w:t xml:space="preserve">The PBAC noted the change to the PBS listing is not expected to alter the prescribed dose of hydroxychloroquine, the overall treatment duration, or the eligible population. As such, it did not expect the change to </w:t>
            </w:r>
            <w:r w:rsidR="00C55EA4">
              <w:rPr>
                <w:rFonts w:ascii="Calibri" w:hAnsi="Calibri" w:cs="Calibri"/>
                <w:color w:val="000000"/>
                <w:sz w:val="18"/>
                <w:szCs w:val="18"/>
              </w:rPr>
              <w:t>add</w:t>
            </w:r>
            <w:r w:rsidRPr="00835F88">
              <w:rPr>
                <w:rFonts w:ascii="Calibri" w:hAnsi="Calibri" w:cs="Calibri"/>
                <w:color w:val="000000"/>
                <w:sz w:val="18"/>
                <w:szCs w:val="18"/>
              </w:rPr>
              <w:t xml:space="preserve"> cost</w:t>
            </w:r>
            <w:r w:rsidR="00C55EA4">
              <w:rPr>
                <w:rFonts w:ascii="Calibri" w:hAnsi="Calibri" w:cs="Calibri"/>
                <w:color w:val="000000"/>
                <w:sz w:val="18"/>
                <w:szCs w:val="18"/>
              </w:rPr>
              <w:t>s</w:t>
            </w:r>
            <w:r w:rsidRPr="00835F88">
              <w:rPr>
                <w:rFonts w:ascii="Calibri" w:hAnsi="Calibri" w:cs="Calibri"/>
                <w:color w:val="000000"/>
                <w:sz w:val="18"/>
                <w:szCs w:val="18"/>
              </w:rPr>
              <w:t xml:space="preserve"> to the PBS.</w:t>
            </w:r>
          </w:p>
        </w:tc>
      </w:tr>
      <w:tr w:rsidR="6495BF0B" w14:paraId="5C64CCB4" w14:textId="77777777" w:rsidTr="00CE688F">
        <w:trPr>
          <w:cantSplit/>
          <w:trHeight w:val="3061"/>
          <w:jc w:val="center"/>
        </w:trPr>
        <w:tc>
          <w:tcPr>
            <w:tcW w:w="866" w:type="pct"/>
            <w:tcMar>
              <w:top w:w="28" w:type="dxa"/>
              <w:bottom w:w="28" w:type="dxa"/>
            </w:tcMar>
            <w:vAlign w:val="center"/>
          </w:tcPr>
          <w:p w14:paraId="4C5F6F1B" w14:textId="783D67A6"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NUSINERSEN</w:t>
            </w:r>
          </w:p>
          <w:p w14:paraId="4E3B49EB" w14:textId="3F1FE07F" w:rsidR="6495BF0B" w:rsidRPr="00A546F4" w:rsidRDefault="6495BF0B" w:rsidP="006340F4">
            <w:pPr>
              <w:jc w:val="center"/>
              <w:rPr>
                <w:rFonts w:ascii="Calibri" w:hAnsi="Calibri" w:cs="Calibri"/>
                <w:color w:val="000000"/>
                <w:sz w:val="18"/>
                <w:szCs w:val="18"/>
              </w:rPr>
            </w:pPr>
          </w:p>
          <w:p w14:paraId="188DB8FA" w14:textId="4A87D092"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12mg/5mL intrathecal injection</w:t>
            </w:r>
          </w:p>
          <w:p w14:paraId="1F3840A6" w14:textId="76E385E9" w:rsidR="6495BF0B" w:rsidRPr="00A546F4" w:rsidRDefault="6495BF0B" w:rsidP="006340F4">
            <w:pPr>
              <w:jc w:val="center"/>
              <w:rPr>
                <w:rFonts w:ascii="Calibri" w:hAnsi="Calibri" w:cs="Calibri"/>
                <w:color w:val="000000"/>
                <w:sz w:val="18"/>
                <w:szCs w:val="18"/>
              </w:rPr>
            </w:pPr>
          </w:p>
          <w:p w14:paraId="4C360E98" w14:textId="34E83F95" w:rsidR="7BB84FBA" w:rsidRPr="00A546F4" w:rsidRDefault="7BB84FBA" w:rsidP="006340F4">
            <w:pPr>
              <w:jc w:val="center"/>
              <w:rPr>
                <w:rFonts w:ascii="Calibri" w:hAnsi="Calibri" w:cs="Calibri"/>
                <w:color w:val="000000"/>
                <w:sz w:val="18"/>
                <w:szCs w:val="18"/>
              </w:rPr>
            </w:pPr>
            <w:proofErr w:type="spellStart"/>
            <w:r w:rsidRPr="00A546F4">
              <w:rPr>
                <w:rFonts w:ascii="Calibri" w:hAnsi="Calibri" w:cs="Calibri"/>
                <w:color w:val="000000"/>
                <w:sz w:val="18"/>
                <w:szCs w:val="18"/>
              </w:rPr>
              <w:t>Spinraza</w:t>
            </w:r>
            <w:proofErr w:type="spellEnd"/>
            <w:r w:rsidR="006340F4" w:rsidRPr="00A546F4">
              <w:rPr>
                <w:rFonts w:ascii="Calibri" w:hAnsi="Calibri" w:cs="Calibri"/>
                <w:color w:val="000000"/>
                <w:sz w:val="18"/>
                <w:szCs w:val="18"/>
              </w:rPr>
              <w:t>®</w:t>
            </w:r>
          </w:p>
          <w:p w14:paraId="20A416E5" w14:textId="650E9C7C" w:rsidR="6495BF0B" w:rsidRPr="00A546F4" w:rsidRDefault="6495BF0B" w:rsidP="006340F4">
            <w:pPr>
              <w:jc w:val="center"/>
              <w:rPr>
                <w:rFonts w:ascii="Calibri" w:hAnsi="Calibri" w:cs="Calibri"/>
                <w:color w:val="000000"/>
                <w:sz w:val="18"/>
                <w:szCs w:val="18"/>
              </w:rPr>
            </w:pPr>
          </w:p>
          <w:p w14:paraId="752125D8" w14:textId="09C25C20" w:rsidR="7BB84FBA" w:rsidRPr="00A546F4" w:rsidRDefault="7BB84FBA" w:rsidP="006340F4">
            <w:pPr>
              <w:jc w:val="center"/>
              <w:rPr>
                <w:rFonts w:ascii="Calibri" w:hAnsi="Calibri" w:cs="Calibri"/>
                <w:color w:val="000000"/>
                <w:sz w:val="18"/>
                <w:szCs w:val="18"/>
              </w:rPr>
            </w:pPr>
            <w:r w:rsidRPr="00A546F4">
              <w:rPr>
                <w:rFonts w:ascii="Calibri" w:hAnsi="Calibri" w:cs="Calibri"/>
                <w:color w:val="000000"/>
                <w:sz w:val="18"/>
                <w:szCs w:val="18"/>
              </w:rPr>
              <w:t>BIOGEN AUSTRALIA PTY LTD</w:t>
            </w:r>
          </w:p>
          <w:p w14:paraId="769C2C87" w14:textId="1C4EFDF9" w:rsidR="6495BF0B" w:rsidRPr="00A546F4" w:rsidRDefault="6495BF0B" w:rsidP="006340F4">
            <w:pPr>
              <w:jc w:val="center"/>
              <w:rPr>
                <w:rFonts w:ascii="Calibri" w:hAnsi="Calibri" w:cs="Calibri"/>
                <w:color w:val="000000"/>
                <w:sz w:val="18"/>
                <w:szCs w:val="18"/>
              </w:rPr>
            </w:pPr>
          </w:p>
          <w:p w14:paraId="5EA18B71" w14:textId="6466005E" w:rsidR="6495BF0B" w:rsidRPr="00493990" w:rsidRDefault="7BB84FBA" w:rsidP="006340F4">
            <w:pPr>
              <w:jc w:val="center"/>
              <w:rPr>
                <w:rFonts w:asciiTheme="minorHAnsi" w:hAnsiTheme="minorHAnsi" w:cstheme="minorBidi"/>
                <w:color w:val="000000" w:themeColor="text1"/>
                <w:sz w:val="18"/>
                <w:szCs w:val="18"/>
              </w:rPr>
            </w:pPr>
            <w:r w:rsidRPr="00A546F4">
              <w:rPr>
                <w:rFonts w:ascii="Calibri" w:hAnsi="Calibri" w:cs="Calibri"/>
                <w:color w:val="000000"/>
                <w:sz w:val="18"/>
                <w:szCs w:val="18"/>
              </w:rPr>
              <w:t>(Change to existing listing)</w:t>
            </w:r>
          </w:p>
        </w:tc>
        <w:tc>
          <w:tcPr>
            <w:tcW w:w="590" w:type="pct"/>
            <w:vAlign w:val="center"/>
          </w:tcPr>
          <w:p w14:paraId="55697BFA" w14:textId="6A5FB1DD" w:rsidR="7BB84FBA" w:rsidRDefault="7BB84FBA" w:rsidP="006340F4">
            <w:pPr>
              <w:jc w:val="cente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Spinal muscular atrophy (SMA)</w:t>
            </w:r>
          </w:p>
        </w:tc>
        <w:tc>
          <w:tcPr>
            <w:tcW w:w="867" w:type="pct"/>
            <w:tcMar>
              <w:top w:w="28" w:type="dxa"/>
              <w:bottom w:w="28" w:type="dxa"/>
            </w:tcMar>
            <w:vAlign w:val="center"/>
          </w:tcPr>
          <w:p w14:paraId="6C1B45D5" w14:textId="2E754D0F" w:rsidR="6495BF0B" w:rsidRPr="00493990" w:rsidRDefault="7BB84FBA" w:rsidP="006340F4">
            <w:pP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To clarify nusinersen and risdiplam restrictions following gene therapy.</w:t>
            </w:r>
          </w:p>
        </w:tc>
        <w:tc>
          <w:tcPr>
            <w:tcW w:w="460" w:type="pct"/>
            <w:vAlign w:val="center"/>
          </w:tcPr>
          <w:p w14:paraId="133AC3F7" w14:textId="36475A15" w:rsidR="270F01A9" w:rsidRDefault="270F01A9" w:rsidP="006340F4">
            <w:pPr>
              <w:jc w:val="center"/>
              <w:rPr>
                <w:rFonts w:asciiTheme="minorHAnsi" w:hAnsiTheme="minorHAnsi" w:cstheme="minorBidi"/>
                <w:color w:val="000000" w:themeColor="text1"/>
                <w:sz w:val="18"/>
                <w:szCs w:val="18"/>
              </w:rPr>
            </w:pPr>
            <w:r w:rsidRPr="6495BF0B">
              <w:rPr>
                <w:rFonts w:asciiTheme="minorHAnsi" w:hAnsiTheme="minorHAnsi" w:cstheme="minorBidi"/>
                <w:color w:val="000000" w:themeColor="text1"/>
                <w:sz w:val="18"/>
                <w:szCs w:val="18"/>
              </w:rPr>
              <w:t>Recommended</w:t>
            </w:r>
          </w:p>
        </w:tc>
        <w:tc>
          <w:tcPr>
            <w:tcW w:w="2217" w:type="pct"/>
            <w:vAlign w:val="center"/>
          </w:tcPr>
          <w:p w14:paraId="4526D4B7" w14:textId="42263F1F" w:rsidR="270F01A9" w:rsidRDefault="270F01A9" w:rsidP="006340F4">
            <w:pPr>
              <w:rPr>
                <w:rFonts w:ascii="Calibri" w:eastAsia="Calibri" w:hAnsi="Calibri" w:cs="Calibri"/>
                <w:sz w:val="18"/>
                <w:szCs w:val="18"/>
              </w:rPr>
            </w:pPr>
            <w:r w:rsidRPr="6495BF0B">
              <w:rPr>
                <w:rFonts w:ascii="Calibri" w:eastAsia="Calibri" w:hAnsi="Calibri" w:cs="Calibri"/>
                <w:sz w:val="18"/>
                <w:szCs w:val="18"/>
              </w:rPr>
              <w:t>The PBAC recommended amending the initial treatment phase listings of nusinersen to allow treatment in children with spinal muscular atrophy (SMA) who have received gene therapy with onasemnogene abeparvovec outside the PBS. This was to address the unintended exclusion of a small subset of children from receiving PBS treatment. This exclusion resulted from the PBAC’s September 2021 recommendation to amend the nusinersen and risdiplam listings to require that children be untreated with gene therapy, or have prior PBS approval for gene therapy, to access these medicines for the treatment of SMA.</w:t>
            </w:r>
          </w:p>
          <w:p w14:paraId="0CCE211C" w14:textId="77777777" w:rsidR="006340F4" w:rsidRDefault="006340F4" w:rsidP="006340F4"/>
          <w:p w14:paraId="5A769F16" w14:textId="648D111E" w:rsidR="6495BF0B" w:rsidRDefault="270F01A9" w:rsidP="006340F4">
            <w:pPr>
              <w:rPr>
                <w:rFonts w:asciiTheme="minorHAnsi" w:hAnsiTheme="minorHAnsi" w:cstheme="minorBidi"/>
                <w:color w:val="000000" w:themeColor="text1"/>
                <w:sz w:val="18"/>
                <w:szCs w:val="18"/>
              </w:rPr>
            </w:pPr>
            <w:r w:rsidRPr="6495BF0B">
              <w:rPr>
                <w:rFonts w:ascii="Calibri" w:eastAsia="Calibri" w:hAnsi="Calibri" w:cs="Calibri"/>
                <w:sz w:val="18"/>
                <w:szCs w:val="18"/>
              </w:rPr>
              <w:t>The PBAC recommended that the same amendments be made to the risdiplam listings and the listings that allow these children to switch between nusinersen and risdiplam treatment if required. This approach aligned with the PBAC’s intent to provide equitable access and the best possible clinical outcomes for all eligible children, regardless of their prior treatment pathway.</w:t>
            </w:r>
          </w:p>
        </w:tc>
      </w:tr>
      <w:tr w:rsidR="001F7DDE" w:rsidRPr="0009421C" w:rsidDel="008F66B5" w14:paraId="4FFCA2D9" w14:textId="6E3CFFEB" w:rsidTr="00CE688F">
        <w:trPr>
          <w:cantSplit/>
          <w:trHeight w:val="20"/>
          <w:jc w:val="center"/>
        </w:trPr>
        <w:tc>
          <w:tcPr>
            <w:tcW w:w="866" w:type="pct"/>
            <w:tcMar>
              <w:top w:w="28" w:type="dxa"/>
              <w:bottom w:w="28" w:type="dxa"/>
            </w:tcMar>
            <w:vAlign w:val="center"/>
          </w:tcPr>
          <w:p w14:paraId="60BBC167"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lastRenderedPageBreak/>
              <w:t>PEMBROLIZUMAB</w:t>
            </w:r>
          </w:p>
          <w:p w14:paraId="1DF7698E" w14:textId="77777777" w:rsidR="001F7DDE" w:rsidRPr="00A546F4" w:rsidRDefault="001F7DDE" w:rsidP="00A546F4">
            <w:pPr>
              <w:jc w:val="center"/>
              <w:rPr>
                <w:rFonts w:ascii="Calibri" w:hAnsi="Calibri" w:cs="Calibri"/>
                <w:color w:val="000000"/>
                <w:sz w:val="18"/>
                <w:szCs w:val="18"/>
              </w:rPr>
            </w:pPr>
          </w:p>
          <w:p w14:paraId="37993DF5"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Solution concentrate for I.V. infusion 100 mg in 4 mL</w:t>
            </w:r>
          </w:p>
          <w:p w14:paraId="0CEAC3E3" w14:textId="77777777" w:rsidR="001F7DDE" w:rsidRPr="00A546F4" w:rsidRDefault="001F7DDE" w:rsidP="00A546F4">
            <w:pPr>
              <w:jc w:val="center"/>
              <w:rPr>
                <w:rFonts w:ascii="Calibri" w:hAnsi="Calibri" w:cs="Calibri"/>
                <w:color w:val="000000"/>
                <w:sz w:val="18"/>
                <w:szCs w:val="18"/>
              </w:rPr>
            </w:pPr>
          </w:p>
          <w:p w14:paraId="256993D0"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Keytruda</w:t>
            </w:r>
          </w:p>
          <w:p w14:paraId="5E585CD1" w14:textId="77777777" w:rsidR="001F7DDE" w:rsidRPr="00A546F4" w:rsidRDefault="001F7DDE" w:rsidP="00A546F4">
            <w:pPr>
              <w:jc w:val="center"/>
              <w:rPr>
                <w:rFonts w:ascii="Calibri" w:hAnsi="Calibri" w:cs="Calibri"/>
                <w:color w:val="000000"/>
                <w:sz w:val="18"/>
                <w:szCs w:val="18"/>
              </w:rPr>
            </w:pPr>
          </w:p>
          <w:p w14:paraId="7EED97FC" w14:textId="77777777" w:rsidR="001F7DDE" w:rsidRPr="00A546F4" w:rsidRDefault="001F7DDE" w:rsidP="00A546F4">
            <w:pPr>
              <w:jc w:val="center"/>
              <w:rPr>
                <w:rFonts w:ascii="Calibri" w:hAnsi="Calibri" w:cs="Calibri"/>
                <w:color w:val="000000"/>
                <w:sz w:val="18"/>
                <w:szCs w:val="18"/>
              </w:rPr>
            </w:pPr>
            <w:r w:rsidRPr="00A546F4">
              <w:rPr>
                <w:rFonts w:ascii="Calibri" w:hAnsi="Calibri" w:cs="Calibri"/>
                <w:color w:val="000000"/>
                <w:sz w:val="18"/>
                <w:szCs w:val="18"/>
              </w:rPr>
              <w:t>MERCK SHARP &amp; DOHME (AUSTRALIA) PTY LTD</w:t>
            </w:r>
          </w:p>
          <w:p w14:paraId="7BECAB7C" w14:textId="77777777" w:rsidR="001F7DDE" w:rsidRPr="00A546F4" w:rsidRDefault="001F7DDE" w:rsidP="00A546F4">
            <w:pPr>
              <w:jc w:val="center"/>
              <w:rPr>
                <w:rFonts w:ascii="Calibri" w:hAnsi="Calibri" w:cs="Calibri"/>
                <w:color w:val="000000"/>
                <w:sz w:val="18"/>
                <w:szCs w:val="18"/>
              </w:rPr>
            </w:pPr>
          </w:p>
          <w:p w14:paraId="582A49A2" w14:textId="3CE64DC7" w:rsidR="001F7DDE" w:rsidRPr="001F7DDE" w:rsidRDefault="001F7DDE" w:rsidP="00A546F4">
            <w:pPr>
              <w:jc w:val="center"/>
            </w:pPr>
            <w:r w:rsidRPr="00A546F4">
              <w:rPr>
                <w:rFonts w:ascii="Calibri" w:hAnsi="Calibri" w:cs="Calibri"/>
                <w:color w:val="000000"/>
                <w:sz w:val="18"/>
                <w:szCs w:val="18"/>
              </w:rPr>
              <w:t>(Change to existing listing)</w:t>
            </w:r>
          </w:p>
        </w:tc>
        <w:tc>
          <w:tcPr>
            <w:tcW w:w="590" w:type="pct"/>
            <w:vAlign w:val="center"/>
          </w:tcPr>
          <w:p w14:paraId="208166A4" w14:textId="3A4E9E4B" w:rsidR="001F7DDE" w:rsidRPr="001F7DDE" w:rsidRDefault="001F7DDE" w:rsidP="006340F4">
            <w:pPr>
              <w:pStyle w:val="ListParagraph"/>
              <w:keepLines/>
              <w:ind w:left="0"/>
              <w:jc w:val="center"/>
              <w:rPr>
                <w:rFonts w:asciiTheme="minorHAnsi" w:hAnsiTheme="minorHAnsi" w:cstheme="minorHAnsi"/>
                <w:color w:val="000000"/>
                <w:sz w:val="18"/>
                <w:szCs w:val="18"/>
              </w:rPr>
            </w:pPr>
            <w:r w:rsidRPr="001F7DDE">
              <w:rPr>
                <w:rFonts w:asciiTheme="minorHAnsi" w:hAnsiTheme="minorHAnsi" w:cstheme="minorHAnsi"/>
                <w:color w:val="000000"/>
                <w:sz w:val="18"/>
                <w:szCs w:val="18"/>
              </w:rPr>
              <w:t>Advanced and metastatic cancers</w:t>
            </w:r>
          </w:p>
        </w:tc>
        <w:tc>
          <w:tcPr>
            <w:tcW w:w="867" w:type="pct"/>
            <w:tcMar>
              <w:top w:w="28" w:type="dxa"/>
              <w:bottom w:w="28" w:type="dxa"/>
            </w:tcMar>
            <w:vAlign w:val="center"/>
          </w:tcPr>
          <w:p w14:paraId="55F05350" w14:textId="0C026D67" w:rsidR="001F7DDE" w:rsidRPr="001F7DDE" w:rsidRDefault="001F7DDE" w:rsidP="00AE78E3">
            <w:pPr>
              <w:pStyle w:val="ListParagraph"/>
              <w:keepLines/>
              <w:ind w:left="0"/>
              <w:rPr>
                <w:rFonts w:asciiTheme="minorHAnsi" w:hAnsiTheme="minorHAnsi" w:cstheme="minorHAnsi"/>
                <w:color w:val="000000"/>
                <w:sz w:val="18"/>
                <w:szCs w:val="18"/>
              </w:rPr>
            </w:pPr>
            <w:r w:rsidRPr="001F7DDE">
              <w:rPr>
                <w:rFonts w:asciiTheme="minorHAnsi" w:hAnsiTheme="minorHAnsi" w:cstheme="minorHAnsi"/>
                <w:color w:val="000000"/>
                <w:sz w:val="18"/>
                <w:szCs w:val="18"/>
              </w:rPr>
              <w:t>To consider a revised proposal for a broad (multi-cancer) listing for pembrolizumab for advanced and metastatic cancers.</w:t>
            </w:r>
          </w:p>
        </w:tc>
        <w:tc>
          <w:tcPr>
            <w:tcW w:w="460" w:type="pct"/>
            <w:vAlign w:val="center"/>
          </w:tcPr>
          <w:p w14:paraId="700BE01A" w14:textId="3463A2EC" w:rsidR="001F7DDE" w:rsidRPr="0009421C" w:rsidDel="008F66B5" w:rsidRDefault="00B07CF0" w:rsidP="001F7DDE">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3C317565" w14:textId="3F0FF24E"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recommended a </w:t>
            </w:r>
            <w:r w:rsidR="00AA310A">
              <w:rPr>
                <w:rFonts w:asciiTheme="minorHAnsi" w:hAnsiTheme="minorHAnsi" w:cstheme="minorBidi"/>
                <w:color w:val="000000"/>
                <w:sz w:val="18"/>
                <w:szCs w:val="18"/>
              </w:rPr>
              <w:t>broad (multi-cancer)</w:t>
            </w:r>
            <w:r w:rsidRPr="00BC4F7B">
              <w:rPr>
                <w:rFonts w:asciiTheme="minorHAnsi" w:hAnsiTheme="minorHAnsi" w:cstheme="minorBidi"/>
                <w:color w:val="000000"/>
                <w:sz w:val="18"/>
                <w:szCs w:val="18"/>
              </w:rPr>
              <w:t xml:space="preserve"> listing </w:t>
            </w:r>
            <w:r w:rsidR="00630000">
              <w:rPr>
                <w:rFonts w:asciiTheme="minorHAnsi" w:hAnsiTheme="minorHAnsi" w:cstheme="minorBidi"/>
                <w:color w:val="000000"/>
                <w:sz w:val="18"/>
                <w:szCs w:val="18"/>
              </w:rPr>
              <w:t>of</w:t>
            </w:r>
            <w:r w:rsidRPr="00BC4F7B">
              <w:rPr>
                <w:rFonts w:asciiTheme="minorHAnsi" w:hAnsiTheme="minorHAnsi" w:cstheme="minorBidi"/>
                <w:color w:val="000000"/>
                <w:sz w:val="18"/>
                <w:szCs w:val="18"/>
              </w:rPr>
              <w:t xml:space="preserve"> pembrolizumab </w:t>
            </w:r>
            <w:r w:rsidR="00630000">
              <w:rPr>
                <w:rFonts w:asciiTheme="minorHAnsi" w:hAnsiTheme="minorHAnsi" w:cstheme="minorBidi"/>
                <w:color w:val="000000"/>
                <w:sz w:val="18"/>
                <w:szCs w:val="18"/>
              </w:rPr>
              <w:t>for</w:t>
            </w:r>
            <w:r w:rsidRPr="00BC4F7B">
              <w:rPr>
                <w:rFonts w:asciiTheme="minorHAnsi" w:hAnsiTheme="minorHAnsi" w:cstheme="minorBidi"/>
                <w:color w:val="000000"/>
                <w:sz w:val="18"/>
                <w:szCs w:val="18"/>
              </w:rPr>
              <w:t xml:space="preserve"> </w:t>
            </w:r>
            <w:r w:rsidR="001B4EA4">
              <w:rPr>
                <w:rFonts w:asciiTheme="minorHAnsi" w:hAnsiTheme="minorHAnsi" w:cstheme="minorBidi"/>
                <w:color w:val="000000"/>
                <w:sz w:val="18"/>
                <w:szCs w:val="18"/>
              </w:rPr>
              <w:t xml:space="preserve">the treatment of </w:t>
            </w:r>
            <w:r w:rsidRPr="00BC4F7B">
              <w:rPr>
                <w:rFonts w:asciiTheme="minorHAnsi" w:hAnsiTheme="minorHAnsi" w:cstheme="minorBidi"/>
                <w:color w:val="000000"/>
                <w:sz w:val="18"/>
                <w:szCs w:val="18"/>
              </w:rPr>
              <w:t>advanced or metastatic cancers. The PBAC welcomed the</w:t>
            </w:r>
            <w:r w:rsidR="00630000">
              <w:rPr>
                <w:rFonts w:asciiTheme="minorHAnsi" w:hAnsiTheme="minorHAnsi" w:cstheme="minorBidi"/>
                <w:color w:val="000000"/>
                <w:sz w:val="18"/>
                <w:szCs w:val="18"/>
              </w:rPr>
              <w:t xml:space="preserve"> sponsor’s</w:t>
            </w:r>
            <w:r w:rsidRPr="00BC4F7B">
              <w:rPr>
                <w:rFonts w:asciiTheme="minorHAnsi" w:hAnsiTheme="minorHAnsi" w:cstheme="minorBidi"/>
                <w:color w:val="000000"/>
                <w:sz w:val="18"/>
                <w:szCs w:val="18"/>
              </w:rPr>
              <w:t xml:space="preserve"> revised approach to the restriction criteria and noted this had largely addressed its concerns from the July 2025 submission, particularly regarding access for patients with rare cancers. </w:t>
            </w:r>
          </w:p>
          <w:p w14:paraId="50717FB4" w14:textId="77777777" w:rsidR="00BC4F7B" w:rsidRPr="00BC4F7B" w:rsidRDefault="00BC4F7B" w:rsidP="00BC4F7B">
            <w:pPr>
              <w:rPr>
                <w:rFonts w:asciiTheme="minorHAnsi" w:hAnsiTheme="minorHAnsi" w:cstheme="minorBidi"/>
                <w:color w:val="000000"/>
                <w:sz w:val="18"/>
                <w:szCs w:val="18"/>
              </w:rPr>
            </w:pPr>
          </w:p>
          <w:p w14:paraId="2D3CF854" w14:textId="4940A78E"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The PBAC recalled it had recommended nivolumab ± ipilimumab for a broad listing for advanced and metastatic cancers in September 2025.</w:t>
            </w:r>
            <w:r w:rsidR="00825610">
              <w:rPr>
                <w:rFonts w:asciiTheme="minorHAnsi" w:hAnsiTheme="minorHAnsi" w:cstheme="minorBidi"/>
                <w:color w:val="000000"/>
                <w:sz w:val="18"/>
                <w:szCs w:val="18"/>
              </w:rPr>
              <w:t xml:space="preserve"> </w:t>
            </w:r>
            <w:r w:rsidRPr="00BC4F7B">
              <w:rPr>
                <w:rFonts w:asciiTheme="minorHAnsi" w:hAnsiTheme="minorHAnsi" w:cstheme="minorBidi"/>
                <w:color w:val="000000"/>
                <w:sz w:val="18"/>
                <w:szCs w:val="18"/>
              </w:rPr>
              <w:t>The PBAC considered it would be appropriate for pembrolizumab to join the Risk Sharing Arrangement (RSA) recommended for the nivolumab ± ipilimumab broad listing</w:t>
            </w:r>
            <w:r w:rsidR="003F1A0E">
              <w:rPr>
                <w:rFonts w:asciiTheme="minorHAnsi" w:hAnsiTheme="minorHAnsi" w:cstheme="minorBidi"/>
                <w:color w:val="000000"/>
                <w:sz w:val="18"/>
                <w:szCs w:val="18"/>
              </w:rPr>
              <w:t>,</w:t>
            </w:r>
            <w:r w:rsidRPr="00BC4F7B">
              <w:rPr>
                <w:rFonts w:asciiTheme="minorHAnsi" w:hAnsiTheme="minorHAnsi" w:cstheme="minorBidi"/>
                <w:color w:val="000000"/>
                <w:sz w:val="18"/>
                <w:szCs w:val="18"/>
              </w:rPr>
              <w:t xml:space="preserve"> should that recommendation proceed to listing</w:t>
            </w:r>
            <w:r w:rsidR="000E0AAE">
              <w:rPr>
                <w:rFonts w:asciiTheme="minorHAnsi" w:hAnsiTheme="minorHAnsi" w:cstheme="minorBidi"/>
                <w:color w:val="000000"/>
                <w:sz w:val="18"/>
                <w:szCs w:val="18"/>
              </w:rPr>
              <w:t>, and that</w:t>
            </w:r>
            <w:r w:rsidRPr="00BC4F7B">
              <w:rPr>
                <w:rFonts w:asciiTheme="minorHAnsi" w:hAnsiTheme="minorHAnsi" w:cstheme="minorBidi"/>
                <w:color w:val="000000"/>
                <w:sz w:val="18"/>
                <w:szCs w:val="18"/>
              </w:rPr>
              <w:t xml:space="preserve"> the restriction wording for both broad listings be </w:t>
            </w:r>
            <w:r w:rsidR="00FC28B6">
              <w:rPr>
                <w:rFonts w:asciiTheme="minorHAnsi" w:hAnsiTheme="minorHAnsi" w:cstheme="minorBidi"/>
                <w:color w:val="000000"/>
                <w:sz w:val="18"/>
                <w:szCs w:val="18"/>
              </w:rPr>
              <w:t xml:space="preserve">made </w:t>
            </w:r>
            <w:r w:rsidRPr="00BC4F7B">
              <w:rPr>
                <w:rFonts w:asciiTheme="minorHAnsi" w:hAnsiTheme="minorHAnsi" w:cstheme="minorBidi"/>
                <w:color w:val="000000"/>
                <w:sz w:val="18"/>
                <w:szCs w:val="18"/>
              </w:rPr>
              <w:t>consistent. The PBAC considered there would be several indications, including a number</w:t>
            </w:r>
            <w:r w:rsidR="00FC28B6">
              <w:rPr>
                <w:rFonts w:asciiTheme="minorHAnsi" w:hAnsiTheme="minorHAnsi" w:cstheme="minorBidi"/>
                <w:color w:val="000000"/>
                <w:sz w:val="18"/>
                <w:szCs w:val="18"/>
              </w:rPr>
              <w:t xml:space="preserve"> that are</w:t>
            </w:r>
            <w:r w:rsidRPr="00BC4F7B">
              <w:rPr>
                <w:rFonts w:asciiTheme="minorHAnsi" w:hAnsiTheme="minorHAnsi" w:cstheme="minorBidi"/>
                <w:color w:val="000000"/>
                <w:sz w:val="18"/>
                <w:szCs w:val="18"/>
              </w:rPr>
              <w:t xml:space="preserve"> already PBS-listed, where both pembrolizumab and nivolumab (</w:t>
            </w:r>
            <w:r w:rsidR="00FC28B6" w:rsidRPr="00BC4F7B">
              <w:rPr>
                <w:rFonts w:asciiTheme="minorHAnsi" w:hAnsiTheme="minorHAnsi" w:cstheme="minorBidi"/>
                <w:color w:val="000000"/>
                <w:sz w:val="18"/>
                <w:szCs w:val="18"/>
              </w:rPr>
              <w:t>±</w:t>
            </w:r>
            <w:r w:rsidRPr="00BC4F7B">
              <w:rPr>
                <w:rFonts w:asciiTheme="minorHAnsi" w:hAnsiTheme="minorHAnsi" w:cstheme="minorBidi"/>
                <w:color w:val="000000"/>
                <w:sz w:val="18"/>
                <w:szCs w:val="18"/>
              </w:rPr>
              <w:t xml:space="preserve"> ipilimumab) would be treatment options in the same or similar </w:t>
            </w:r>
            <w:r w:rsidR="00FC28B6">
              <w:rPr>
                <w:rFonts w:asciiTheme="minorHAnsi" w:hAnsiTheme="minorHAnsi" w:cstheme="minorBidi"/>
                <w:color w:val="000000"/>
                <w:sz w:val="18"/>
                <w:szCs w:val="18"/>
              </w:rPr>
              <w:t>populatio</w:t>
            </w:r>
            <w:r w:rsidRPr="00BC4F7B">
              <w:rPr>
                <w:rFonts w:asciiTheme="minorHAnsi" w:hAnsiTheme="minorHAnsi" w:cstheme="minorBidi"/>
                <w:color w:val="000000"/>
                <w:sz w:val="18"/>
                <w:szCs w:val="18"/>
              </w:rPr>
              <w:t xml:space="preserve">n. Therefore, a shared RSA across the immunotherapies would more effectively manage the intended price discounts and total budget impact </w:t>
            </w:r>
            <w:r w:rsidR="00B53DED">
              <w:rPr>
                <w:rFonts w:asciiTheme="minorHAnsi" w:hAnsiTheme="minorHAnsi" w:cstheme="minorBidi"/>
                <w:color w:val="000000"/>
                <w:sz w:val="18"/>
                <w:szCs w:val="18"/>
              </w:rPr>
              <w:t>of</w:t>
            </w:r>
            <w:r w:rsidRPr="00BC4F7B">
              <w:rPr>
                <w:rFonts w:asciiTheme="minorHAnsi" w:hAnsiTheme="minorHAnsi" w:cstheme="minorBidi"/>
                <w:color w:val="000000"/>
                <w:sz w:val="18"/>
                <w:szCs w:val="18"/>
              </w:rPr>
              <w:t xml:space="preserve"> the broad listings. </w:t>
            </w:r>
          </w:p>
          <w:p w14:paraId="170F837D" w14:textId="77777777" w:rsidR="00BC4F7B" w:rsidRPr="00BC4F7B" w:rsidRDefault="00BC4F7B" w:rsidP="00BC4F7B">
            <w:pPr>
              <w:rPr>
                <w:rFonts w:asciiTheme="minorHAnsi" w:hAnsiTheme="minorHAnsi" w:cstheme="minorBidi"/>
                <w:color w:val="000000"/>
                <w:sz w:val="18"/>
                <w:szCs w:val="18"/>
              </w:rPr>
            </w:pPr>
          </w:p>
          <w:p w14:paraId="49340523" w14:textId="576B8A75" w:rsidR="00BC4F7B" w:rsidRPr="00BC4F7B" w:rsidRDefault="00BC4F7B" w:rsidP="00BC4F7B">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reaffirmed its </w:t>
            </w:r>
            <w:r w:rsidR="00435C53" w:rsidRPr="00BC4F7B">
              <w:rPr>
                <w:rFonts w:asciiTheme="minorHAnsi" w:hAnsiTheme="minorHAnsi" w:cstheme="minorBidi"/>
                <w:color w:val="000000"/>
                <w:sz w:val="18"/>
                <w:szCs w:val="18"/>
              </w:rPr>
              <w:t xml:space="preserve">September 2025 </w:t>
            </w:r>
            <w:r w:rsidRPr="00BC4F7B">
              <w:rPr>
                <w:rFonts w:asciiTheme="minorHAnsi" w:hAnsiTheme="minorHAnsi" w:cstheme="minorBidi"/>
                <w:color w:val="000000"/>
                <w:sz w:val="18"/>
                <w:szCs w:val="18"/>
              </w:rPr>
              <w:t xml:space="preserve">advice </w:t>
            </w:r>
            <w:r w:rsidR="00D331BB">
              <w:rPr>
                <w:rFonts w:asciiTheme="minorHAnsi" w:hAnsiTheme="minorHAnsi" w:cstheme="minorBidi"/>
                <w:color w:val="000000"/>
                <w:sz w:val="18"/>
                <w:szCs w:val="18"/>
              </w:rPr>
              <w:t>tha</w:t>
            </w:r>
            <w:r w:rsidRPr="00BC4F7B">
              <w:rPr>
                <w:rFonts w:asciiTheme="minorHAnsi" w:hAnsiTheme="minorHAnsi" w:cstheme="minorBidi"/>
                <w:color w:val="000000"/>
                <w:sz w:val="18"/>
                <w:szCs w:val="18"/>
              </w:rPr>
              <w:t>t</w:t>
            </w:r>
            <w:r w:rsidR="00D331BB">
              <w:rPr>
                <w:rFonts w:asciiTheme="minorHAnsi" w:hAnsiTheme="minorHAnsi" w:cstheme="minorBidi"/>
                <w:color w:val="000000"/>
                <w:sz w:val="18"/>
                <w:szCs w:val="18"/>
              </w:rPr>
              <w:t xml:space="preserve"> the</w:t>
            </w:r>
            <w:r w:rsidRPr="00BC4F7B">
              <w:rPr>
                <w:rFonts w:asciiTheme="minorHAnsi" w:hAnsiTheme="minorHAnsi" w:cstheme="minorBidi"/>
                <w:color w:val="000000"/>
                <w:sz w:val="18"/>
                <w:szCs w:val="18"/>
              </w:rPr>
              <w:t xml:space="preserve"> successful implementation and appropriate use</w:t>
            </w:r>
            <w:r w:rsidR="004A78F4">
              <w:rPr>
                <w:rFonts w:asciiTheme="minorHAnsi" w:hAnsiTheme="minorHAnsi" w:cstheme="minorBidi"/>
                <w:color w:val="000000"/>
                <w:sz w:val="18"/>
                <w:szCs w:val="18"/>
              </w:rPr>
              <w:t xml:space="preserve"> of</w:t>
            </w:r>
            <w:r w:rsidRPr="00BC4F7B">
              <w:rPr>
                <w:rFonts w:asciiTheme="minorHAnsi" w:hAnsiTheme="minorHAnsi" w:cstheme="minorBidi"/>
                <w:color w:val="000000"/>
                <w:sz w:val="18"/>
                <w:szCs w:val="18"/>
              </w:rPr>
              <w:t xml:space="preserve"> </w:t>
            </w:r>
            <w:r w:rsidR="00D331BB">
              <w:rPr>
                <w:rFonts w:asciiTheme="minorHAnsi" w:hAnsiTheme="minorHAnsi" w:cstheme="minorBidi"/>
                <w:color w:val="000000"/>
                <w:sz w:val="18"/>
                <w:szCs w:val="18"/>
              </w:rPr>
              <w:t>such broad</w:t>
            </w:r>
            <w:r w:rsidRPr="00BC4F7B">
              <w:rPr>
                <w:rFonts w:asciiTheme="minorHAnsi" w:hAnsiTheme="minorHAnsi" w:cstheme="minorBidi"/>
                <w:color w:val="000000"/>
                <w:sz w:val="18"/>
                <w:szCs w:val="18"/>
              </w:rPr>
              <w:t xml:space="preserve"> listings</w:t>
            </w:r>
            <w:r w:rsidR="00A97E28">
              <w:rPr>
                <w:rFonts w:asciiTheme="minorHAnsi" w:hAnsiTheme="minorHAnsi" w:cstheme="minorBidi"/>
                <w:color w:val="000000"/>
                <w:sz w:val="18"/>
                <w:szCs w:val="18"/>
              </w:rPr>
              <w:t xml:space="preserve"> (</w:t>
            </w:r>
            <w:r w:rsidR="00A97E28" w:rsidRPr="00BC4F7B">
              <w:rPr>
                <w:rFonts w:asciiTheme="minorHAnsi" w:hAnsiTheme="minorHAnsi" w:cstheme="minorBidi"/>
                <w:color w:val="000000"/>
                <w:sz w:val="18"/>
                <w:szCs w:val="18"/>
              </w:rPr>
              <w:t>nivolumab ± ipilimumab</w:t>
            </w:r>
            <w:r w:rsidR="00A97E28">
              <w:rPr>
                <w:rFonts w:asciiTheme="minorHAnsi" w:hAnsiTheme="minorHAnsi" w:cstheme="minorBidi"/>
                <w:color w:val="000000"/>
                <w:sz w:val="18"/>
                <w:szCs w:val="18"/>
              </w:rPr>
              <w:t xml:space="preserve"> and pembrolizumab)</w:t>
            </w:r>
            <w:r w:rsidRPr="00BC4F7B">
              <w:rPr>
                <w:rFonts w:asciiTheme="minorHAnsi" w:hAnsiTheme="minorHAnsi" w:cstheme="minorBidi"/>
                <w:color w:val="000000"/>
                <w:sz w:val="18"/>
                <w:szCs w:val="18"/>
              </w:rPr>
              <w:t xml:space="preserve"> would be crucial to support</w:t>
            </w:r>
            <w:r w:rsidR="00A97E28">
              <w:rPr>
                <w:rFonts w:asciiTheme="minorHAnsi" w:hAnsiTheme="minorHAnsi" w:cstheme="minorBidi"/>
                <w:color w:val="000000"/>
                <w:sz w:val="18"/>
                <w:szCs w:val="18"/>
              </w:rPr>
              <w:t xml:space="preserve"> the</w:t>
            </w:r>
            <w:r w:rsidR="00DC1ADB">
              <w:rPr>
                <w:rFonts w:asciiTheme="minorHAnsi" w:hAnsiTheme="minorHAnsi" w:cstheme="minorBidi"/>
                <w:color w:val="000000"/>
                <w:sz w:val="18"/>
                <w:szCs w:val="18"/>
              </w:rPr>
              <w:t xml:space="preserve"> future</w:t>
            </w:r>
            <w:r w:rsidRPr="00BC4F7B">
              <w:rPr>
                <w:rFonts w:asciiTheme="minorHAnsi" w:hAnsiTheme="minorHAnsi" w:cstheme="minorBidi"/>
                <w:color w:val="000000"/>
                <w:sz w:val="18"/>
                <w:szCs w:val="18"/>
              </w:rPr>
              <w:t xml:space="preserve"> consideration of this and any similar broad listing proposals. The PBAC reiterated the importance of engagement from sponsors, patient groups, clinical peak bodies and healthcare practitioners in supporting the ongoing viability of the listing and added the necessity for both sponsors to be aligned in their approach. The PBAC requested the Department review how th</w:t>
            </w:r>
            <w:r w:rsidR="00F42946">
              <w:rPr>
                <w:rFonts w:asciiTheme="minorHAnsi" w:hAnsiTheme="minorHAnsi" w:cstheme="minorBidi"/>
                <w:color w:val="000000"/>
                <w:sz w:val="18"/>
                <w:szCs w:val="18"/>
              </w:rPr>
              <w:t>is</w:t>
            </w:r>
            <w:r w:rsidRPr="00BC4F7B">
              <w:rPr>
                <w:rFonts w:asciiTheme="minorHAnsi" w:hAnsiTheme="minorHAnsi" w:cstheme="minorBidi"/>
                <w:color w:val="000000"/>
                <w:sz w:val="18"/>
                <w:szCs w:val="18"/>
              </w:rPr>
              <w:t xml:space="preserve"> listing </w:t>
            </w:r>
            <w:r w:rsidR="00ED0C46">
              <w:rPr>
                <w:rFonts w:asciiTheme="minorHAnsi" w:hAnsiTheme="minorHAnsi" w:cstheme="minorBidi"/>
                <w:color w:val="000000"/>
                <w:sz w:val="18"/>
                <w:szCs w:val="18"/>
              </w:rPr>
              <w:t>will</w:t>
            </w:r>
            <w:r w:rsidRPr="00BC4F7B">
              <w:rPr>
                <w:rFonts w:asciiTheme="minorHAnsi" w:hAnsiTheme="minorHAnsi" w:cstheme="minorBidi"/>
                <w:color w:val="000000"/>
                <w:sz w:val="18"/>
                <w:szCs w:val="18"/>
              </w:rPr>
              <w:t xml:space="preserve"> be used after three years </w:t>
            </w:r>
            <w:r w:rsidR="002B0D15">
              <w:rPr>
                <w:rFonts w:asciiTheme="minorHAnsi" w:hAnsiTheme="minorHAnsi" w:cstheme="minorBidi"/>
                <w:color w:val="000000"/>
                <w:sz w:val="18"/>
                <w:szCs w:val="18"/>
              </w:rPr>
              <w:t xml:space="preserve">of listing </w:t>
            </w:r>
            <w:r w:rsidRPr="00BC4F7B">
              <w:rPr>
                <w:rFonts w:asciiTheme="minorHAnsi" w:hAnsiTheme="minorHAnsi" w:cstheme="minorBidi"/>
                <w:color w:val="000000"/>
                <w:sz w:val="18"/>
                <w:szCs w:val="18"/>
              </w:rPr>
              <w:t>to ensure the use remained consistent with its intention.</w:t>
            </w:r>
          </w:p>
          <w:p w14:paraId="6BB5E86D" w14:textId="77777777" w:rsidR="00BC4F7B" w:rsidRPr="00BC4F7B" w:rsidRDefault="00BC4F7B" w:rsidP="00BC4F7B">
            <w:pPr>
              <w:rPr>
                <w:rFonts w:asciiTheme="minorHAnsi" w:hAnsiTheme="minorHAnsi" w:cstheme="minorBidi"/>
                <w:color w:val="000000"/>
                <w:sz w:val="18"/>
                <w:szCs w:val="18"/>
              </w:rPr>
            </w:pPr>
          </w:p>
          <w:p w14:paraId="12A145BA" w14:textId="455CC682" w:rsidR="001F7DDE" w:rsidRPr="0009421C" w:rsidDel="008F66B5" w:rsidRDefault="00BC4F7B" w:rsidP="00F66AE3">
            <w:pPr>
              <w:rPr>
                <w:rFonts w:asciiTheme="minorHAnsi" w:hAnsiTheme="minorHAnsi" w:cstheme="minorBidi"/>
                <w:color w:val="000000"/>
                <w:sz w:val="18"/>
                <w:szCs w:val="18"/>
              </w:rPr>
            </w:pPr>
            <w:r w:rsidRPr="00BC4F7B">
              <w:rPr>
                <w:rFonts w:asciiTheme="minorHAnsi" w:hAnsiTheme="minorHAnsi" w:cstheme="minorBidi"/>
                <w:color w:val="000000"/>
                <w:sz w:val="18"/>
                <w:szCs w:val="18"/>
              </w:rPr>
              <w:t xml:space="preserve">The PBAC noted </w:t>
            </w:r>
            <w:r w:rsidR="00763965">
              <w:rPr>
                <w:rFonts w:asciiTheme="minorHAnsi" w:hAnsiTheme="minorHAnsi" w:cstheme="minorBidi"/>
                <w:color w:val="000000"/>
                <w:sz w:val="18"/>
                <w:szCs w:val="18"/>
              </w:rPr>
              <w:t>th</w:t>
            </w:r>
            <w:r w:rsidR="001C7DAE">
              <w:rPr>
                <w:rFonts w:asciiTheme="minorHAnsi" w:hAnsiTheme="minorHAnsi" w:cstheme="minorBidi"/>
                <w:color w:val="000000"/>
                <w:sz w:val="18"/>
                <w:szCs w:val="18"/>
              </w:rPr>
              <w:t>at</w:t>
            </w:r>
            <w:r w:rsidR="00763965">
              <w:rPr>
                <w:rFonts w:asciiTheme="minorHAnsi" w:hAnsiTheme="minorHAnsi" w:cstheme="minorBidi"/>
                <w:color w:val="000000"/>
                <w:sz w:val="18"/>
                <w:szCs w:val="18"/>
              </w:rPr>
              <w:t xml:space="preserve"> </w:t>
            </w:r>
            <w:r w:rsidR="001C7DAE">
              <w:rPr>
                <w:rFonts w:asciiTheme="minorHAnsi" w:hAnsiTheme="minorHAnsi" w:cstheme="minorBidi"/>
                <w:color w:val="000000"/>
                <w:sz w:val="18"/>
                <w:szCs w:val="18"/>
              </w:rPr>
              <w:t>broad listing requests for additional</w:t>
            </w:r>
            <w:r w:rsidRPr="00BC4F7B">
              <w:rPr>
                <w:rFonts w:asciiTheme="minorHAnsi" w:hAnsiTheme="minorHAnsi" w:cstheme="minorBidi"/>
                <w:color w:val="000000"/>
                <w:sz w:val="18"/>
                <w:szCs w:val="18"/>
              </w:rPr>
              <w:t xml:space="preserve"> PD-</w:t>
            </w:r>
            <w:proofErr w:type="gramStart"/>
            <w:r w:rsidRPr="00BC4F7B">
              <w:rPr>
                <w:rFonts w:asciiTheme="minorHAnsi" w:hAnsiTheme="minorHAnsi" w:cstheme="minorBidi"/>
                <w:color w:val="000000"/>
                <w:sz w:val="18"/>
                <w:szCs w:val="18"/>
              </w:rPr>
              <w:t>L(</w:t>
            </w:r>
            <w:proofErr w:type="gramEnd"/>
            <w:r w:rsidRPr="00BC4F7B">
              <w:rPr>
                <w:rFonts w:asciiTheme="minorHAnsi" w:hAnsiTheme="minorHAnsi" w:cstheme="minorBidi"/>
                <w:color w:val="000000"/>
                <w:sz w:val="18"/>
                <w:szCs w:val="18"/>
              </w:rPr>
              <w:t xml:space="preserve">1) inhibitors may </w:t>
            </w:r>
            <w:r w:rsidR="001C7DAE">
              <w:rPr>
                <w:rFonts w:asciiTheme="minorHAnsi" w:hAnsiTheme="minorHAnsi" w:cstheme="minorBidi"/>
                <w:color w:val="000000"/>
                <w:sz w:val="18"/>
                <w:szCs w:val="18"/>
              </w:rPr>
              <w:t>be sought</w:t>
            </w:r>
            <w:r w:rsidRPr="00BC4F7B">
              <w:rPr>
                <w:rFonts w:asciiTheme="minorHAnsi" w:hAnsiTheme="minorHAnsi" w:cstheme="minorBidi"/>
                <w:color w:val="000000"/>
                <w:sz w:val="18"/>
                <w:szCs w:val="18"/>
              </w:rPr>
              <w:t xml:space="preserve"> in the future. It considered this would be reasonable but that </w:t>
            </w:r>
            <w:r w:rsidR="00F66AE3" w:rsidRPr="00F66AE3">
              <w:rPr>
                <w:rFonts w:asciiTheme="minorHAnsi" w:hAnsiTheme="minorHAnsi" w:cstheme="minorBidi"/>
                <w:color w:val="000000"/>
                <w:sz w:val="18"/>
                <w:szCs w:val="18"/>
              </w:rPr>
              <w:t>each sponsor would need to lodge a submission</w:t>
            </w:r>
            <w:r w:rsidRPr="00BC4F7B">
              <w:rPr>
                <w:rFonts w:asciiTheme="minorHAnsi" w:hAnsiTheme="minorHAnsi" w:cstheme="minorBidi"/>
                <w:color w:val="000000"/>
                <w:sz w:val="18"/>
                <w:szCs w:val="18"/>
              </w:rPr>
              <w:t xml:space="preserve"> demonstrat</w:t>
            </w:r>
            <w:r w:rsidR="000D0B4C">
              <w:rPr>
                <w:rFonts w:asciiTheme="minorHAnsi" w:hAnsiTheme="minorHAnsi" w:cstheme="minorBidi"/>
                <w:color w:val="000000"/>
                <w:sz w:val="18"/>
                <w:szCs w:val="18"/>
              </w:rPr>
              <w:t>ing</w:t>
            </w:r>
            <w:r w:rsidR="00C56207">
              <w:rPr>
                <w:rFonts w:asciiTheme="minorHAnsi" w:hAnsiTheme="minorHAnsi" w:cstheme="minorBidi"/>
                <w:color w:val="000000"/>
                <w:sz w:val="18"/>
                <w:szCs w:val="18"/>
              </w:rPr>
              <w:t xml:space="preserve"> </w:t>
            </w:r>
            <w:r w:rsidRPr="00BC4F7B">
              <w:rPr>
                <w:rFonts w:asciiTheme="minorHAnsi" w:hAnsiTheme="minorHAnsi" w:cstheme="minorBidi"/>
                <w:color w:val="000000"/>
                <w:sz w:val="18"/>
                <w:szCs w:val="18"/>
              </w:rPr>
              <w:t xml:space="preserve">efficacy, safety and cost-effectiveness in </w:t>
            </w:r>
            <w:r w:rsidR="003D3DE3">
              <w:rPr>
                <w:rFonts w:asciiTheme="minorHAnsi" w:hAnsiTheme="minorHAnsi" w:cstheme="minorBidi"/>
                <w:color w:val="000000"/>
                <w:sz w:val="18"/>
                <w:szCs w:val="18"/>
              </w:rPr>
              <w:t>a</w:t>
            </w:r>
            <w:r w:rsidRPr="00BC4F7B">
              <w:rPr>
                <w:rFonts w:asciiTheme="minorHAnsi" w:hAnsiTheme="minorHAnsi" w:cstheme="minorBidi"/>
                <w:color w:val="000000"/>
                <w:sz w:val="18"/>
                <w:szCs w:val="18"/>
              </w:rPr>
              <w:t xml:space="preserve"> broad setting.</w:t>
            </w:r>
          </w:p>
        </w:tc>
      </w:tr>
      <w:tr w:rsidR="0069101C" w:rsidRPr="0009421C" w:rsidDel="008F66B5" w14:paraId="5B9E8177" w14:textId="77777777" w:rsidTr="00CE688F">
        <w:trPr>
          <w:cantSplit/>
          <w:trHeight w:val="20"/>
          <w:jc w:val="center"/>
        </w:trPr>
        <w:tc>
          <w:tcPr>
            <w:tcW w:w="866" w:type="pct"/>
            <w:tcMar>
              <w:top w:w="28" w:type="dxa"/>
              <w:bottom w:w="28" w:type="dxa"/>
            </w:tcMar>
            <w:vAlign w:val="center"/>
          </w:tcPr>
          <w:p w14:paraId="23FF4384"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lastRenderedPageBreak/>
              <w:t>RAXTOZINAMERAN</w:t>
            </w:r>
          </w:p>
          <w:p w14:paraId="12CDF247" w14:textId="77777777" w:rsidR="0069101C" w:rsidRPr="00A546F4" w:rsidRDefault="0069101C" w:rsidP="00A546F4">
            <w:pPr>
              <w:jc w:val="center"/>
              <w:rPr>
                <w:rFonts w:ascii="Calibri" w:hAnsi="Calibri" w:cs="Calibri"/>
                <w:color w:val="000000"/>
                <w:sz w:val="18"/>
                <w:szCs w:val="18"/>
              </w:rPr>
            </w:pPr>
          </w:p>
          <w:p w14:paraId="01D440AC"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I.M. injection, suspension for injection containing raxtozinameran 30 micrograms</w:t>
            </w:r>
          </w:p>
          <w:p w14:paraId="46C1C6C6" w14:textId="77777777" w:rsidR="0069101C" w:rsidRPr="00A546F4" w:rsidRDefault="0069101C" w:rsidP="00A546F4">
            <w:pPr>
              <w:jc w:val="center"/>
              <w:rPr>
                <w:rFonts w:ascii="Calibri" w:hAnsi="Calibri" w:cs="Calibri"/>
                <w:color w:val="000000"/>
                <w:sz w:val="18"/>
                <w:szCs w:val="18"/>
              </w:rPr>
            </w:pPr>
          </w:p>
          <w:p w14:paraId="12F36DEE"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Comirnaty® Omicron XBB.1.5</w:t>
            </w:r>
          </w:p>
          <w:p w14:paraId="1FCCFF55" w14:textId="77777777" w:rsidR="0069101C" w:rsidRPr="00A546F4" w:rsidRDefault="0069101C" w:rsidP="00A546F4">
            <w:pPr>
              <w:jc w:val="center"/>
              <w:rPr>
                <w:rFonts w:ascii="Calibri" w:hAnsi="Calibri" w:cs="Calibri"/>
                <w:color w:val="000000"/>
                <w:sz w:val="18"/>
                <w:szCs w:val="18"/>
              </w:rPr>
            </w:pPr>
          </w:p>
          <w:p w14:paraId="166C1861" w14:textId="77777777"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PFIZER AUSTRALIA PTY LTD</w:t>
            </w:r>
          </w:p>
          <w:p w14:paraId="4BEFF311" w14:textId="77777777" w:rsidR="0069101C" w:rsidRPr="00A546F4" w:rsidRDefault="0069101C" w:rsidP="00A546F4">
            <w:pPr>
              <w:jc w:val="center"/>
              <w:rPr>
                <w:rFonts w:ascii="Calibri" w:hAnsi="Calibri" w:cs="Calibri"/>
                <w:color w:val="000000"/>
                <w:sz w:val="18"/>
                <w:szCs w:val="18"/>
              </w:rPr>
            </w:pPr>
          </w:p>
          <w:p w14:paraId="193EC11B" w14:textId="234897F5" w:rsidR="0069101C" w:rsidRPr="00A546F4" w:rsidRDefault="0069101C" w:rsidP="00A546F4">
            <w:pPr>
              <w:jc w:val="center"/>
              <w:rPr>
                <w:rFonts w:ascii="Calibri" w:hAnsi="Calibri" w:cs="Calibri"/>
                <w:color w:val="000000"/>
                <w:sz w:val="18"/>
                <w:szCs w:val="18"/>
              </w:rPr>
            </w:pPr>
            <w:r w:rsidRPr="00A546F4">
              <w:rPr>
                <w:rFonts w:ascii="Calibri" w:hAnsi="Calibri" w:cs="Calibri"/>
                <w:color w:val="000000"/>
                <w:sz w:val="18"/>
                <w:szCs w:val="18"/>
              </w:rPr>
              <w:t>Matters outstanding</w:t>
            </w:r>
          </w:p>
          <w:p w14:paraId="7AC525E5" w14:textId="1AB2E434" w:rsidR="002C15B5" w:rsidRPr="001F7DDE" w:rsidRDefault="002C15B5" w:rsidP="00A546F4">
            <w:pPr>
              <w:jc w:val="center"/>
              <w:rPr>
                <w:rFonts w:asciiTheme="minorHAnsi" w:hAnsiTheme="minorHAnsi" w:cstheme="minorHAnsi"/>
                <w:color w:val="000000"/>
                <w:sz w:val="18"/>
                <w:szCs w:val="18"/>
              </w:rPr>
            </w:pPr>
            <w:r w:rsidRPr="00A546F4">
              <w:rPr>
                <w:rFonts w:ascii="Calibri" w:hAnsi="Calibri" w:cs="Calibri"/>
                <w:color w:val="000000"/>
                <w:sz w:val="18"/>
                <w:szCs w:val="18"/>
              </w:rPr>
              <w:t>(New NIP listing)</w:t>
            </w:r>
          </w:p>
        </w:tc>
        <w:tc>
          <w:tcPr>
            <w:tcW w:w="590" w:type="pct"/>
            <w:vAlign w:val="center"/>
          </w:tcPr>
          <w:p w14:paraId="784BBB92" w14:textId="4ED95D01" w:rsidR="0069101C" w:rsidRPr="001F7DDE" w:rsidRDefault="0069101C" w:rsidP="0069101C">
            <w:pPr>
              <w:pStyle w:val="ListParagraph"/>
              <w:keepLines/>
              <w:ind w:left="0"/>
              <w:jc w:val="center"/>
              <w:rPr>
                <w:rFonts w:asciiTheme="minorHAnsi" w:hAnsiTheme="minorHAnsi" w:cstheme="minorHAnsi"/>
                <w:color w:val="000000"/>
                <w:sz w:val="18"/>
                <w:szCs w:val="18"/>
              </w:rPr>
            </w:pPr>
            <w:r w:rsidRPr="00FB7608">
              <w:rPr>
                <w:rFonts w:asciiTheme="minorHAnsi" w:hAnsiTheme="minorHAnsi" w:cstheme="minorHAnsi"/>
                <w:color w:val="000000"/>
                <w:sz w:val="18"/>
                <w:szCs w:val="18"/>
              </w:rPr>
              <w:t>Prevention of coronavirus disease 2019 (COVID-19) caused by SARS-CoV-2</w:t>
            </w:r>
          </w:p>
        </w:tc>
        <w:tc>
          <w:tcPr>
            <w:tcW w:w="867" w:type="pct"/>
            <w:tcMar>
              <w:top w:w="28" w:type="dxa"/>
              <w:bottom w:w="28" w:type="dxa"/>
            </w:tcMar>
            <w:vAlign w:val="center"/>
          </w:tcPr>
          <w:p w14:paraId="0C67DA23" w14:textId="475216B7" w:rsidR="0069101C" w:rsidRPr="001F7DDE" w:rsidRDefault="0069101C" w:rsidP="0069101C">
            <w:pPr>
              <w:pStyle w:val="ListParagraph"/>
              <w:keepLines/>
              <w:ind w:left="0"/>
              <w:rPr>
                <w:rFonts w:asciiTheme="minorHAnsi" w:hAnsiTheme="minorHAnsi" w:cstheme="minorHAnsi"/>
                <w:color w:val="000000"/>
                <w:sz w:val="18"/>
                <w:szCs w:val="18"/>
              </w:rPr>
            </w:pPr>
            <w:r w:rsidRPr="00FB7608">
              <w:rPr>
                <w:rFonts w:asciiTheme="minorHAnsi" w:hAnsiTheme="minorHAnsi" w:cstheme="minorHAnsi"/>
                <w:color w:val="000000"/>
                <w:sz w:val="18"/>
                <w:szCs w:val="18"/>
              </w:rPr>
              <w:t>To request a National Immunisation Program listing for the prevention of COVID-19</w:t>
            </w:r>
            <w:r>
              <w:rPr>
                <w:rFonts w:asciiTheme="minorHAnsi" w:hAnsiTheme="minorHAnsi" w:cstheme="minorHAnsi"/>
                <w:color w:val="000000"/>
                <w:sz w:val="18"/>
                <w:szCs w:val="18"/>
              </w:rPr>
              <w:t xml:space="preserve"> </w:t>
            </w:r>
            <w:r w:rsidRPr="00FB7608">
              <w:rPr>
                <w:rFonts w:asciiTheme="minorHAnsi" w:hAnsiTheme="minorHAnsi" w:cstheme="minorHAnsi"/>
                <w:color w:val="000000"/>
                <w:sz w:val="18"/>
                <w:szCs w:val="18"/>
              </w:rPr>
              <w:t>caused by the SARS-CoV-2 virus in adults aged ≥ 18 years at increased risk of severe COVID-19 disease.</w:t>
            </w:r>
          </w:p>
        </w:tc>
        <w:tc>
          <w:tcPr>
            <w:tcW w:w="460" w:type="pct"/>
            <w:vAlign w:val="center"/>
          </w:tcPr>
          <w:p w14:paraId="07281B34" w14:textId="333E36FC" w:rsidR="0069101C" w:rsidRDefault="0069101C" w:rsidP="0069101C">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314F1730" w14:textId="77777777" w:rsid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recommended that the COVID-19 vaccine, Comirnaty</w:t>
            </w:r>
            <w:r w:rsidRPr="00B6373D">
              <w:rPr>
                <w:rFonts w:ascii="Calibri" w:hAnsi="Calibri" w:cs="Calibri"/>
                <w:color w:val="000000"/>
                <w:sz w:val="18"/>
                <w:szCs w:val="18"/>
                <w:vertAlign w:val="superscript"/>
              </w:rPr>
              <w:t>®</w:t>
            </w:r>
            <w:r w:rsidRPr="00B6373D">
              <w:rPr>
                <w:rFonts w:ascii="Calibri" w:hAnsi="Calibri" w:cs="Calibri"/>
                <w:color w:val="000000"/>
                <w:sz w:val="18"/>
                <w:szCs w:val="18"/>
              </w:rPr>
              <w:t>, be listed on the National Immunisation Program (NIP).</w:t>
            </w:r>
          </w:p>
          <w:p w14:paraId="7C8A7588" w14:textId="77777777" w:rsidR="00B6373D" w:rsidRPr="00B6373D" w:rsidRDefault="00B6373D" w:rsidP="00B6373D">
            <w:pPr>
              <w:rPr>
                <w:rFonts w:ascii="Calibri" w:hAnsi="Calibri" w:cs="Calibri"/>
                <w:color w:val="000000"/>
                <w:sz w:val="18"/>
                <w:szCs w:val="18"/>
              </w:rPr>
            </w:pPr>
          </w:p>
          <w:p w14:paraId="42394E73" w14:textId="77777777"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vaccine was recommended for use in in four populations of adults as requested by the sponsor:</w:t>
            </w:r>
            <w:r w:rsidRPr="00B6373D">
              <w:rPr>
                <w:rFonts w:ascii="Calibri" w:hAnsi="Calibri" w:cs="Calibri"/>
                <w:color w:val="000000"/>
                <w:sz w:val="18"/>
                <w:szCs w:val="18"/>
              </w:rPr>
              <w:br/>
              <w:t>• adults aged 75 years or more (2 doses per year)</w:t>
            </w:r>
            <w:r w:rsidRPr="00B6373D">
              <w:rPr>
                <w:rFonts w:ascii="Calibri" w:hAnsi="Calibri" w:cs="Calibri"/>
                <w:color w:val="000000"/>
                <w:sz w:val="18"/>
                <w:szCs w:val="18"/>
              </w:rPr>
              <w:br/>
              <w:t>• adults aged 65–74 years (1 dose per year)</w:t>
            </w:r>
            <w:r w:rsidRPr="00B6373D">
              <w:rPr>
                <w:rFonts w:ascii="Calibri" w:hAnsi="Calibri" w:cs="Calibri"/>
                <w:color w:val="000000"/>
                <w:sz w:val="18"/>
                <w:szCs w:val="18"/>
              </w:rPr>
              <w:br/>
              <w:t>• adults aged 18–64 years with severe immunocompromise (1 dose per year)</w:t>
            </w:r>
            <w:r w:rsidRPr="00B6373D">
              <w:rPr>
                <w:rFonts w:ascii="Calibri" w:hAnsi="Calibri" w:cs="Calibri"/>
                <w:color w:val="000000"/>
                <w:sz w:val="18"/>
                <w:szCs w:val="18"/>
              </w:rPr>
              <w:br/>
              <w:t xml:space="preserve">• Aboriginal and Torres Strait Islander adults aged 50–74 years (1 dose per year). </w:t>
            </w:r>
          </w:p>
          <w:p w14:paraId="36D28BA5" w14:textId="77777777" w:rsidR="00B6373D" w:rsidRDefault="00B6373D" w:rsidP="00B6373D">
            <w:pPr>
              <w:rPr>
                <w:rFonts w:ascii="Calibri" w:hAnsi="Calibri" w:cs="Calibri"/>
                <w:color w:val="000000"/>
                <w:sz w:val="18"/>
                <w:szCs w:val="18"/>
              </w:rPr>
            </w:pPr>
          </w:p>
          <w:p w14:paraId="2B836C98" w14:textId="7654D7C4"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noted the requested populations and doses were based on updated advice from the Australian Technical Advisory Group on Immunisation (ATAGI). This is a smaller group than current arrangements under the National COVID</w:t>
            </w:r>
            <w:r w:rsidRPr="00B6373D">
              <w:rPr>
                <w:rFonts w:ascii="Calibri" w:hAnsi="Calibri" w:cs="Calibri"/>
                <w:color w:val="000000"/>
                <w:sz w:val="18"/>
                <w:szCs w:val="18"/>
              </w:rPr>
              <w:noBreakHyphen/>
              <w:t>19 Vaccination Program (NCVP).</w:t>
            </w:r>
          </w:p>
          <w:p w14:paraId="39D6D3C1" w14:textId="77777777" w:rsidR="00B6373D" w:rsidRDefault="00B6373D" w:rsidP="00B6373D">
            <w:pPr>
              <w:rPr>
                <w:rFonts w:ascii="Calibri" w:hAnsi="Calibri" w:cs="Calibri"/>
                <w:color w:val="000000"/>
                <w:sz w:val="18"/>
                <w:szCs w:val="18"/>
              </w:rPr>
            </w:pPr>
          </w:p>
          <w:p w14:paraId="6BE9BC63" w14:textId="46440093"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December 2025 consideration followed the PBAC’s May 2025 consideration of raxtozinameran (Comirnaty Omicron XBB.1.5). The PBAC noted new vaccine versions are developed as the virus changes, and that the most recent Comirnaty vaccine at the time was the LP.8.1 version (registered by the TGA in October 2025). Consistent with its advice in May 2025, the PBAC considered it was important to use vaccines that target current variants of the COVID-19 virus.</w:t>
            </w:r>
          </w:p>
          <w:p w14:paraId="1D95B83D" w14:textId="77777777" w:rsidR="00B6373D" w:rsidRDefault="00B6373D" w:rsidP="00B6373D">
            <w:pPr>
              <w:rPr>
                <w:rFonts w:ascii="Calibri" w:hAnsi="Calibri" w:cs="Calibri"/>
                <w:color w:val="000000"/>
                <w:sz w:val="18"/>
                <w:szCs w:val="18"/>
              </w:rPr>
            </w:pPr>
          </w:p>
          <w:p w14:paraId="00ED1283" w14:textId="0186707A"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supported a platform recommendation for Comirnaty. This means the PBAC’s recommendation can also apply to future updated versions of Comirnaty made using the same vaccine platform, known as the BNT162b2 platform, which will support timely access to updated vaccines through the NIP after TGA approval.</w:t>
            </w:r>
          </w:p>
          <w:p w14:paraId="3B0AC166" w14:textId="77777777" w:rsidR="00B6373D" w:rsidRDefault="00B6373D" w:rsidP="00B6373D">
            <w:pPr>
              <w:rPr>
                <w:rFonts w:ascii="Calibri" w:hAnsi="Calibri" w:cs="Calibri"/>
                <w:color w:val="000000"/>
                <w:sz w:val="18"/>
                <w:szCs w:val="18"/>
              </w:rPr>
            </w:pPr>
          </w:p>
          <w:p w14:paraId="21EBD879" w14:textId="13C9AD51" w:rsidR="00B6373D" w:rsidRPr="00B6373D" w:rsidRDefault="00B6373D" w:rsidP="00B6373D">
            <w:pPr>
              <w:rPr>
                <w:rFonts w:ascii="Calibri" w:hAnsi="Calibri" w:cs="Calibri"/>
                <w:color w:val="000000"/>
                <w:sz w:val="18"/>
                <w:szCs w:val="18"/>
              </w:rPr>
            </w:pPr>
            <w:r w:rsidRPr="00B6373D">
              <w:rPr>
                <w:rFonts w:ascii="Calibri" w:hAnsi="Calibri" w:cs="Calibri"/>
                <w:color w:val="000000"/>
                <w:sz w:val="18"/>
                <w:szCs w:val="18"/>
              </w:rPr>
              <w:t>This PBAC recommendation is the first for a COVID-19 vaccine and is a necessary step to enable transition of COVID-19 vaccines from the NCVP to the NIP. The PBAC considered ongoing protection from COVID</w:t>
            </w:r>
            <w:r w:rsidRPr="00B6373D">
              <w:rPr>
                <w:rFonts w:ascii="Calibri" w:hAnsi="Calibri" w:cs="Calibri"/>
                <w:color w:val="000000"/>
                <w:sz w:val="18"/>
                <w:szCs w:val="18"/>
              </w:rPr>
              <w:noBreakHyphen/>
              <w:t>19 remains important, noting COVID</w:t>
            </w:r>
            <w:r w:rsidRPr="00B6373D">
              <w:rPr>
                <w:rFonts w:ascii="Calibri" w:hAnsi="Calibri" w:cs="Calibri"/>
                <w:color w:val="000000"/>
                <w:sz w:val="18"/>
                <w:szCs w:val="18"/>
              </w:rPr>
              <w:noBreakHyphen/>
              <w:t>19 was the leading cause of acute respiratory infection mortality in Australia between 2022 and 2024 (</w:t>
            </w:r>
            <w:hyperlink r:id="rId8" w:history="1">
              <w:r w:rsidRPr="00B6373D">
                <w:rPr>
                  <w:rStyle w:val="Hyperlink"/>
                  <w:rFonts w:ascii="Calibri" w:hAnsi="Calibri" w:cs="Calibri"/>
                  <w:sz w:val="18"/>
                  <w:szCs w:val="18"/>
                </w:rPr>
                <w:t xml:space="preserve">Australian CDC, </w:t>
              </w:r>
              <w:r w:rsidRPr="00B6373D">
                <w:rPr>
                  <w:rStyle w:val="Hyperlink"/>
                  <w:rFonts w:ascii="Calibri" w:hAnsi="Calibri" w:cs="Calibri"/>
                  <w:i/>
                  <w:iCs/>
                  <w:sz w:val="18"/>
                  <w:szCs w:val="18"/>
                </w:rPr>
                <w:t>Australian Respiratory Surveillance Report</w:t>
              </w:r>
              <w:r w:rsidRPr="00B6373D">
                <w:rPr>
                  <w:rStyle w:val="Hyperlink"/>
                  <w:rFonts w:ascii="Calibri" w:hAnsi="Calibri" w:cs="Calibri"/>
                  <w:sz w:val="18"/>
                  <w:szCs w:val="18"/>
                </w:rPr>
                <w:t xml:space="preserve"> 30 Dec 2024–26 Jan 2025</w:t>
              </w:r>
            </w:hyperlink>
            <w:r w:rsidRPr="00B6373D">
              <w:rPr>
                <w:rFonts w:ascii="Calibri" w:hAnsi="Calibri" w:cs="Calibri"/>
                <w:color w:val="000000"/>
                <w:sz w:val="18"/>
                <w:szCs w:val="18"/>
              </w:rPr>
              <w:t>).</w:t>
            </w:r>
          </w:p>
          <w:p w14:paraId="6AA8C9AD" w14:textId="77777777" w:rsidR="00B6373D" w:rsidRDefault="00B6373D" w:rsidP="00B6373D">
            <w:pPr>
              <w:rPr>
                <w:rFonts w:ascii="Calibri" w:hAnsi="Calibri" w:cs="Calibri"/>
                <w:color w:val="000000"/>
                <w:sz w:val="18"/>
                <w:szCs w:val="18"/>
              </w:rPr>
            </w:pPr>
          </w:p>
          <w:p w14:paraId="6FDC6C3A" w14:textId="26AA3465" w:rsidR="00B6373D" w:rsidRDefault="00B6373D" w:rsidP="00B6373D">
            <w:pPr>
              <w:rPr>
                <w:rFonts w:ascii="Calibri" w:hAnsi="Calibri" w:cs="Calibri"/>
                <w:color w:val="000000"/>
                <w:sz w:val="18"/>
                <w:szCs w:val="18"/>
              </w:rPr>
            </w:pPr>
            <w:r w:rsidRPr="00B6373D">
              <w:rPr>
                <w:rFonts w:ascii="Calibri" w:hAnsi="Calibri" w:cs="Calibri"/>
                <w:color w:val="000000"/>
                <w:sz w:val="18"/>
                <w:szCs w:val="18"/>
              </w:rPr>
              <w:t>The PBAC considered the sponsor’s economic assumptions were not appropriate and advised the analysis should use more conservative assumptions. Using the PBAC’s recommended assumptions at the sponsor’s proposed price, the PBAC considered the incremental cost</w:t>
            </w:r>
            <w:r w:rsidRPr="00B6373D">
              <w:rPr>
                <w:rFonts w:ascii="Calibri" w:hAnsi="Calibri" w:cs="Calibri"/>
                <w:color w:val="000000"/>
                <w:sz w:val="18"/>
                <w:szCs w:val="18"/>
              </w:rPr>
              <w:noBreakHyphen/>
              <w:t>effectiveness ratio (ICER) was unacceptably high. On this basis, the PBAC recommended that a lower price would be required to ensure the vaccine is cost-effective in the proposed circumstances of use.</w:t>
            </w:r>
          </w:p>
          <w:p w14:paraId="22FD621C" w14:textId="77777777" w:rsidR="007773EA" w:rsidRPr="00B6373D" w:rsidRDefault="007773EA" w:rsidP="00B6373D">
            <w:pPr>
              <w:rPr>
                <w:rFonts w:ascii="Calibri" w:hAnsi="Calibri" w:cs="Calibri"/>
                <w:color w:val="000000"/>
                <w:sz w:val="18"/>
                <w:szCs w:val="18"/>
              </w:rPr>
            </w:pPr>
          </w:p>
          <w:p w14:paraId="28A84CFE" w14:textId="3CD92DC7" w:rsidR="0069101C" w:rsidRPr="00BC4F7B" w:rsidRDefault="00B6373D" w:rsidP="0069101C">
            <w:pPr>
              <w:rPr>
                <w:rFonts w:asciiTheme="minorHAnsi" w:hAnsiTheme="minorHAnsi" w:cstheme="minorBidi"/>
                <w:color w:val="000000"/>
                <w:sz w:val="18"/>
                <w:szCs w:val="18"/>
              </w:rPr>
            </w:pPr>
            <w:r w:rsidRPr="00B6373D">
              <w:rPr>
                <w:rFonts w:ascii="Calibri" w:hAnsi="Calibri" w:cs="Calibri"/>
                <w:color w:val="000000"/>
                <w:sz w:val="18"/>
                <w:szCs w:val="18"/>
              </w:rPr>
              <w:lastRenderedPageBreak/>
              <w:t>The PBAC noted and accepted that with the revised assumptions and a price reduction, there would still be a very high cost to government of the proposed NIP listing.</w:t>
            </w:r>
          </w:p>
        </w:tc>
      </w:tr>
      <w:tr w:rsidR="00F2111B" w:rsidRPr="0009421C" w:rsidDel="008F66B5" w14:paraId="160A6F61" w14:textId="452A0DD4" w:rsidTr="00CE688F">
        <w:trPr>
          <w:cantSplit/>
          <w:trHeight w:val="20"/>
          <w:jc w:val="center"/>
        </w:trPr>
        <w:tc>
          <w:tcPr>
            <w:tcW w:w="866" w:type="pct"/>
            <w:tcMar>
              <w:top w:w="28" w:type="dxa"/>
              <w:bottom w:w="28" w:type="dxa"/>
            </w:tcMar>
            <w:vAlign w:val="center"/>
          </w:tcPr>
          <w:p w14:paraId="37081C05" w14:textId="188F311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lastRenderedPageBreak/>
              <w:t>RESPIRATORY SYNCYTIAL VIRUS</w:t>
            </w:r>
            <w:r w:rsidR="00B83D19" w:rsidRPr="00DB5749">
              <w:rPr>
                <w:rFonts w:ascii="Calibri" w:hAnsi="Calibri" w:cs="Calibri"/>
                <w:color w:val="000000"/>
                <w:sz w:val="18"/>
                <w:szCs w:val="18"/>
              </w:rPr>
              <w:t xml:space="preserve"> </w:t>
            </w:r>
            <w:r w:rsidRPr="00DB5749">
              <w:rPr>
                <w:rFonts w:ascii="Calibri" w:hAnsi="Calibri" w:cs="Calibri"/>
                <w:color w:val="000000"/>
                <w:sz w:val="18"/>
                <w:szCs w:val="18"/>
              </w:rPr>
              <w:t>VACCINE</w:t>
            </w:r>
          </w:p>
          <w:p w14:paraId="4D27B5C5" w14:textId="77777777" w:rsidR="00F2111B" w:rsidRPr="00DB5749" w:rsidRDefault="00F2111B" w:rsidP="00DB5749">
            <w:pPr>
              <w:jc w:val="center"/>
              <w:rPr>
                <w:rFonts w:ascii="Calibri" w:hAnsi="Calibri" w:cs="Calibri"/>
                <w:color w:val="000000"/>
                <w:sz w:val="18"/>
                <w:szCs w:val="18"/>
              </w:rPr>
            </w:pPr>
          </w:p>
          <w:p w14:paraId="07752B20" w14:textId="7777777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t>Powder and suspension for injection (0.5 mL)</w:t>
            </w:r>
          </w:p>
          <w:p w14:paraId="350414F6" w14:textId="77777777" w:rsidR="00F2111B" w:rsidRPr="00DB5749" w:rsidRDefault="00F2111B" w:rsidP="00DB5749">
            <w:pPr>
              <w:jc w:val="center"/>
              <w:rPr>
                <w:rFonts w:ascii="Calibri" w:hAnsi="Calibri" w:cs="Calibri"/>
                <w:color w:val="000000"/>
                <w:sz w:val="18"/>
                <w:szCs w:val="18"/>
              </w:rPr>
            </w:pPr>
          </w:p>
          <w:p w14:paraId="78A4ECE4" w14:textId="57A3659B" w:rsidR="00F2111B" w:rsidRPr="00DB5749" w:rsidRDefault="00F2111B" w:rsidP="00DB5749">
            <w:pPr>
              <w:jc w:val="center"/>
              <w:rPr>
                <w:rFonts w:ascii="Calibri" w:hAnsi="Calibri" w:cs="Calibri"/>
                <w:color w:val="000000"/>
                <w:sz w:val="18"/>
                <w:szCs w:val="18"/>
              </w:rPr>
            </w:pPr>
            <w:proofErr w:type="spellStart"/>
            <w:r w:rsidRPr="00DB5749">
              <w:rPr>
                <w:rFonts w:ascii="Calibri" w:hAnsi="Calibri" w:cs="Calibri"/>
                <w:color w:val="000000"/>
                <w:sz w:val="18"/>
                <w:szCs w:val="18"/>
              </w:rPr>
              <w:t>Arexvy</w:t>
            </w:r>
            <w:proofErr w:type="spellEnd"/>
            <w:r w:rsidR="00732A60" w:rsidRPr="00DB5749">
              <w:rPr>
                <w:rFonts w:ascii="Calibri" w:hAnsi="Calibri" w:cs="Calibri"/>
                <w:color w:val="000000"/>
                <w:sz w:val="18"/>
                <w:szCs w:val="18"/>
              </w:rPr>
              <w:t>®</w:t>
            </w:r>
          </w:p>
          <w:p w14:paraId="6A20EAA0" w14:textId="77777777" w:rsidR="00F2111B" w:rsidRPr="00DB5749" w:rsidRDefault="00F2111B" w:rsidP="00DB5749">
            <w:pPr>
              <w:jc w:val="center"/>
              <w:rPr>
                <w:rFonts w:ascii="Calibri" w:hAnsi="Calibri" w:cs="Calibri"/>
                <w:color w:val="000000"/>
                <w:sz w:val="18"/>
                <w:szCs w:val="18"/>
              </w:rPr>
            </w:pPr>
          </w:p>
          <w:p w14:paraId="0BD5E973" w14:textId="0054FCB7" w:rsidR="00F2111B" w:rsidRPr="00DB5749" w:rsidRDefault="00F2111B" w:rsidP="00DB5749">
            <w:pPr>
              <w:jc w:val="center"/>
              <w:rPr>
                <w:rFonts w:ascii="Calibri" w:hAnsi="Calibri" w:cs="Calibri"/>
                <w:color w:val="000000"/>
                <w:sz w:val="18"/>
                <w:szCs w:val="18"/>
              </w:rPr>
            </w:pPr>
            <w:r w:rsidRPr="00DB5749">
              <w:rPr>
                <w:rFonts w:ascii="Calibri" w:hAnsi="Calibri" w:cs="Calibri"/>
                <w:color w:val="000000"/>
                <w:sz w:val="18"/>
                <w:szCs w:val="18"/>
              </w:rPr>
              <w:t>GLAXOSMITHKLINE AUSTRALIA PTY LTD</w:t>
            </w:r>
          </w:p>
          <w:p w14:paraId="286994C8" w14:textId="77777777" w:rsidR="00F2111B" w:rsidRPr="00DB5749" w:rsidRDefault="00F2111B" w:rsidP="00DB5749">
            <w:pPr>
              <w:jc w:val="center"/>
              <w:rPr>
                <w:rFonts w:ascii="Calibri" w:hAnsi="Calibri" w:cs="Calibri"/>
                <w:color w:val="000000"/>
                <w:sz w:val="18"/>
                <w:szCs w:val="18"/>
              </w:rPr>
            </w:pPr>
          </w:p>
          <w:p w14:paraId="270DB8F7" w14:textId="77777777" w:rsidR="00C6730D"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21908999" w14:textId="547D93C7" w:rsidR="00F2111B" w:rsidRPr="00F2111B" w:rsidRDefault="00C6730D" w:rsidP="00DB5749">
            <w:pPr>
              <w:jc w:val="center"/>
              <w:rPr>
                <w:rFonts w:asciiTheme="minorHAnsi" w:hAnsiTheme="minorHAnsi" w:cstheme="minorHAnsi"/>
                <w:color w:val="000000"/>
                <w:sz w:val="18"/>
                <w:szCs w:val="18"/>
              </w:rPr>
            </w:pPr>
            <w:r w:rsidRPr="00DB5749">
              <w:rPr>
                <w:rFonts w:ascii="Calibri" w:hAnsi="Calibri" w:cs="Calibri"/>
                <w:color w:val="000000"/>
                <w:sz w:val="18"/>
                <w:szCs w:val="18"/>
              </w:rPr>
              <w:t>(New NIP listing)</w:t>
            </w:r>
          </w:p>
        </w:tc>
        <w:tc>
          <w:tcPr>
            <w:tcW w:w="590" w:type="pct"/>
            <w:vAlign w:val="center"/>
          </w:tcPr>
          <w:p w14:paraId="2BF07BA0" w14:textId="6899D624" w:rsidR="00F2111B" w:rsidRPr="00F2111B" w:rsidRDefault="00F2111B" w:rsidP="00AE78E3">
            <w:pPr>
              <w:pStyle w:val="ListParagraph"/>
              <w:keepLines/>
              <w:ind w:left="0"/>
              <w:jc w:val="center"/>
              <w:rPr>
                <w:rFonts w:asciiTheme="minorHAnsi" w:hAnsiTheme="minorHAnsi" w:cstheme="minorHAnsi"/>
                <w:color w:val="000000"/>
                <w:sz w:val="18"/>
                <w:szCs w:val="18"/>
              </w:rPr>
            </w:pPr>
            <w:r w:rsidRPr="00F2111B">
              <w:rPr>
                <w:rFonts w:asciiTheme="minorHAnsi" w:hAnsiTheme="minorHAnsi" w:cstheme="minorHAnsi"/>
                <w:color w:val="000000"/>
                <w:sz w:val="18"/>
                <w:szCs w:val="18"/>
              </w:rPr>
              <w:t>Prevention of lower respiratory tract disease caused by respiratory syncytial virus (RSV)</w:t>
            </w:r>
          </w:p>
        </w:tc>
        <w:tc>
          <w:tcPr>
            <w:tcW w:w="867" w:type="pct"/>
            <w:tcMar>
              <w:top w:w="28" w:type="dxa"/>
              <w:bottom w:w="28" w:type="dxa"/>
            </w:tcMar>
            <w:vAlign w:val="center"/>
          </w:tcPr>
          <w:p w14:paraId="26015281" w14:textId="1E834986" w:rsidR="00F2111B" w:rsidRPr="00F2111B" w:rsidRDefault="00F2111B" w:rsidP="00AE78E3">
            <w:pPr>
              <w:pStyle w:val="ListParagraph"/>
              <w:keepLines/>
              <w:ind w:left="0"/>
              <w:rPr>
                <w:rFonts w:asciiTheme="minorHAnsi" w:hAnsiTheme="minorHAnsi" w:cstheme="minorHAnsi"/>
                <w:color w:val="000000"/>
                <w:sz w:val="18"/>
                <w:szCs w:val="18"/>
              </w:rPr>
            </w:pPr>
            <w:r w:rsidRPr="00F2111B">
              <w:rPr>
                <w:rFonts w:asciiTheme="minorHAnsi" w:hAnsiTheme="minorHAnsi" w:cstheme="minorHAnsi"/>
                <w:color w:val="000000"/>
                <w:sz w:val="18"/>
                <w:szCs w:val="18"/>
              </w:rPr>
              <w:t xml:space="preserve">To request National Immunisation Program (NIP) listing for the prevention of lower respiratory tract </w:t>
            </w:r>
            <w:r w:rsidR="00FF5C50">
              <w:rPr>
                <w:rFonts w:asciiTheme="minorHAnsi" w:hAnsiTheme="minorHAnsi" w:cstheme="minorHAnsi"/>
                <w:color w:val="000000"/>
                <w:sz w:val="18"/>
                <w:szCs w:val="18"/>
              </w:rPr>
              <w:t>disease</w:t>
            </w:r>
            <w:r w:rsidRPr="00F2111B">
              <w:rPr>
                <w:rFonts w:asciiTheme="minorHAnsi" w:hAnsiTheme="minorHAnsi" w:cstheme="minorHAnsi"/>
                <w:color w:val="000000"/>
                <w:sz w:val="18"/>
                <w:szCs w:val="18"/>
              </w:rPr>
              <w:t xml:space="preserve"> (LRT</w:t>
            </w:r>
            <w:r w:rsidR="00FF5C50">
              <w:rPr>
                <w:rFonts w:asciiTheme="minorHAnsi" w:hAnsiTheme="minorHAnsi" w:cstheme="minorHAnsi"/>
                <w:color w:val="000000"/>
                <w:sz w:val="18"/>
                <w:szCs w:val="18"/>
              </w:rPr>
              <w:t>D</w:t>
            </w:r>
            <w:r w:rsidRPr="00F2111B">
              <w:rPr>
                <w:rFonts w:asciiTheme="minorHAnsi" w:hAnsiTheme="minorHAnsi" w:cstheme="minorHAnsi"/>
                <w:color w:val="000000"/>
                <w:sz w:val="18"/>
                <w:szCs w:val="18"/>
              </w:rPr>
              <w:t>) caused by RSV for adults 75 years of age and above, and for Aboriginal and Torres Strait Islander peoples aged 60 to 74 years.</w:t>
            </w:r>
          </w:p>
        </w:tc>
        <w:tc>
          <w:tcPr>
            <w:tcW w:w="460" w:type="pct"/>
            <w:vAlign w:val="center"/>
          </w:tcPr>
          <w:p w14:paraId="2FEF30D2" w14:textId="78927F3D" w:rsidR="00F2111B" w:rsidRPr="0009421C" w:rsidDel="008F66B5" w:rsidRDefault="00662441" w:rsidP="00F2111B">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vAlign w:val="center"/>
          </w:tcPr>
          <w:p w14:paraId="2D1D16FC" w14:textId="77777777" w:rsidR="00C3439A"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 xml:space="preserve">The PBAC recommended that </w:t>
            </w:r>
            <w:r w:rsidR="001040E2" w:rsidRPr="001040E2">
              <w:rPr>
                <w:rFonts w:asciiTheme="minorHAnsi" w:hAnsiTheme="minorHAnsi" w:cstheme="minorBidi"/>
                <w:color w:val="000000"/>
                <w:sz w:val="18"/>
                <w:szCs w:val="18"/>
              </w:rPr>
              <w:t>recombinant respiratory syncytial virus (</w:t>
            </w:r>
            <w:r w:rsidR="001040E2">
              <w:rPr>
                <w:rFonts w:asciiTheme="minorHAnsi" w:hAnsiTheme="minorHAnsi" w:cstheme="minorBidi"/>
                <w:color w:val="000000"/>
                <w:sz w:val="18"/>
                <w:szCs w:val="18"/>
              </w:rPr>
              <w:t>RSV</w:t>
            </w:r>
            <w:r w:rsidR="001040E2" w:rsidRPr="001040E2">
              <w:rPr>
                <w:rFonts w:asciiTheme="minorHAnsi" w:hAnsiTheme="minorHAnsi" w:cstheme="minorBidi"/>
                <w:color w:val="000000"/>
                <w:sz w:val="18"/>
                <w:szCs w:val="18"/>
              </w:rPr>
              <w:t xml:space="preserve">) pre-fusion </w:t>
            </w:r>
            <w:r w:rsidR="001040E2">
              <w:rPr>
                <w:rFonts w:asciiTheme="minorHAnsi" w:hAnsiTheme="minorHAnsi" w:cstheme="minorBidi"/>
                <w:color w:val="000000"/>
                <w:sz w:val="18"/>
                <w:szCs w:val="18"/>
              </w:rPr>
              <w:t>F</w:t>
            </w:r>
            <w:r w:rsidR="001040E2" w:rsidRPr="001040E2">
              <w:rPr>
                <w:rFonts w:asciiTheme="minorHAnsi" w:hAnsiTheme="minorHAnsi" w:cstheme="minorBidi"/>
                <w:color w:val="000000"/>
                <w:sz w:val="18"/>
                <w:szCs w:val="18"/>
              </w:rPr>
              <w:t xml:space="preserve"> protein (</w:t>
            </w:r>
            <w:r w:rsidR="00717701">
              <w:rPr>
                <w:rFonts w:asciiTheme="minorHAnsi" w:hAnsiTheme="minorHAnsi" w:cstheme="minorBidi"/>
                <w:color w:val="000000"/>
                <w:sz w:val="18"/>
                <w:szCs w:val="18"/>
              </w:rPr>
              <w:t>RSVP</w:t>
            </w:r>
            <w:r w:rsidR="001040E2" w:rsidRPr="001040E2">
              <w:rPr>
                <w:rFonts w:asciiTheme="minorHAnsi" w:hAnsiTheme="minorHAnsi" w:cstheme="minorBidi"/>
                <w:color w:val="000000"/>
                <w:sz w:val="18"/>
                <w:szCs w:val="18"/>
              </w:rPr>
              <w:t>re</w:t>
            </w:r>
            <w:r w:rsidR="00717701">
              <w:rPr>
                <w:rFonts w:asciiTheme="minorHAnsi" w:hAnsiTheme="minorHAnsi" w:cstheme="minorBidi"/>
                <w:color w:val="000000"/>
                <w:sz w:val="18"/>
                <w:szCs w:val="18"/>
              </w:rPr>
              <w:t>F</w:t>
            </w:r>
            <w:r w:rsidR="001040E2" w:rsidRPr="001040E2">
              <w:rPr>
                <w:rFonts w:asciiTheme="minorHAnsi" w:hAnsiTheme="minorHAnsi" w:cstheme="minorBidi"/>
                <w:color w:val="000000"/>
                <w:sz w:val="18"/>
                <w:szCs w:val="18"/>
              </w:rPr>
              <w:t>3</w:t>
            </w:r>
            <w:r w:rsidR="0091495D">
              <w:rPr>
                <w:rFonts w:asciiTheme="minorHAnsi" w:hAnsiTheme="minorHAnsi" w:cstheme="minorBidi"/>
                <w:color w:val="000000"/>
                <w:sz w:val="18"/>
                <w:szCs w:val="18"/>
              </w:rPr>
              <w:t xml:space="preserve"> OA</w:t>
            </w:r>
            <w:r w:rsidR="001040E2" w:rsidRPr="001040E2">
              <w:rPr>
                <w:rFonts w:asciiTheme="minorHAnsi" w:hAnsiTheme="minorHAnsi" w:cstheme="minorBidi"/>
                <w:color w:val="000000"/>
                <w:sz w:val="18"/>
                <w:szCs w:val="18"/>
              </w:rPr>
              <w:t>) vaccine</w:t>
            </w:r>
            <w:r w:rsidR="00F227EB">
              <w:rPr>
                <w:rFonts w:asciiTheme="minorHAnsi" w:hAnsiTheme="minorHAnsi" w:cstheme="minorBidi"/>
                <w:color w:val="000000"/>
                <w:sz w:val="18"/>
                <w:szCs w:val="18"/>
              </w:rPr>
              <w:t xml:space="preserve"> </w:t>
            </w:r>
            <w:r w:rsidRPr="00662441">
              <w:rPr>
                <w:rFonts w:asciiTheme="minorHAnsi" w:hAnsiTheme="minorHAnsi" w:cstheme="minorBidi"/>
                <w:color w:val="000000"/>
                <w:sz w:val="18"/>
                <w:szCs w:val="18"/>
              </w:rPr>
              <w:t>(</w:t>
            </w:r>
            <w:proofErr w:type="spellStart"/>
            <w:r w:rsidRPr="00662441">
              <w:rPr>
                <w:rFonts w:asciiTheme="minorHAnsi" w:hAnsiTheme="minorHAnsi" w:cstheme="minorBidi"/>
                <w:color w:val="000000"/>
                <w:sz w:val="18"/>
                <w:szCs w:val="18"/>
              </w:rPr>
              <w:t>Arexvy</w:t>
            </w:r>
            <w:proofErr w:type="spellEnd"/>
            <w:r w:rsidR="003A3D2A">
              <w:rPr>
                <w:rFonts w:asciiTheme="minorHAnsi" w:hAnsiTheme="minorHAnsi" w:cstheme="minorBidi"/>
                <w:color w:val="000000"/>
                <w:sz w:val="18"/>
                <w:szCs w:val="18"/>
              </w:rPr>
              <w:t>®</w:t>
            </w:r>
            <w:r w:rsidRPr="00662441">
              <w:rPr>
                <w:rFonts w:asciiTheme="minorHAnsi" w:hAnsiTheme="minorHAnsi" w:cstheme="minorBidi"/>
                <w:color w:val="000000"/>
                <w:sz w:val="18"/>
                <w:szCs w:val="18"/>
              </w:rPr>
              <w:t xml:space="preserve">) be </w:t>
            </w:r>
            <w:r w:rsidR="00703A88">
              <w:rPr>
                <w:rFonts w:asciiTheme="minorHAnsi" w:hAnsiTheme="minorHAnsi" w:cstheme="minorBidi"/>
                <w:color w:val="000000"/>
                <w:sz w:val="18"/>
                <w:szCs w:val="18"/>
              </w:rPr>
              <w:t>listed on the National Immunisation Program (NIP)</w:t>
            </w:r>
            <w:r w:rsidRPr="00662441">
              <w:rPr>
                <w:rFonts w:asciiTheme="minorHAnsi" w:hAnsiTheme="minorHAnsi" w:cstheme="minorBidi"/>
                <w:color w:val="000000"/>
                <w:sz w:val="18"/>
                <w:szCs w:val="18"/>
              </w:rPr>
              <w:t xml:space="preserve"> for the prevention of lower respiratory tract </w:t>
            </w:r>
            <w:r w:rsidRPr="00914EA2">
              <w:rPr>
                <w:rFonts w:asciiTheme="minorHAnsi" w:hAnsiTheme="minorHAnsi" w:cstheme="minorBidi"/>
                <w:color w:val="000000"/>
                <w:sz w:val="18"/>
                <w:szCs w:val="18"/>
              </w:rPr>
              <w:t>disease</w:t>
            </w:r>
            <w:r w:rsidRPr="00662441">
              <w:rPr>
                <w:rFonts w:asciiTheme="minorHAnsi" w:hAnsiTheme="minorHAnsi" w:cstheme="minorBidi"/>
                <w:color w:val="000000"/>
                <w:sz w:val="18"/>
                <w:szCs w:val="18"/>
              </w:rPr>
              <w:t xml:space="preserve"> (LRTD) caused by </w:t>
            </w:r>
            <w:r w:rsidR="008B502D">
              <w:rPr>
                <w:rFonts w:asciiTheme="minorHAnsi" w:hAnsiTheme="minorHAnsi" w:cstheme="minorBidi"/>
                <w:color w:val="000000"/>
                <w:sz w:val="18"/>
                <w:szCs w:val="18"/>
              </w:rPr>
              <w:t>RSV</w:t>
            </w:r>
            <w:r w:rsidRPr="00662441">
              <w:rPr>
                <w:rFonts w:asciiTheme="minorHAnsi" w:hAnsiTheme="minorHAnsi" w:cstheme="minorBidi"/>
                <w:color w:val="000000"/>
                <w:sz w:val="18"/>
                <w:szCs w:val="18"/>
              </w:rPr>
              <w:t xml:space="preserve"> </w:t>
            </w:r>
            <w:r w:rsidR="006869DE">
              <w:rPr>
                <w:rFonts w:asciiTheme="minorHAnsi" w:hAnsiTheme="minorHAnsi" w:cstheme="minorBidi"/>
                <w:color w:val="000000"/>
                <w:sz w:val="18"/>
                <w:szCs w:val="18"/>
              </w:rPr>
              <w:t>in</w:t>
            </w:r>
            <w:r w:rsidRPr="00662441">
              <w:rPr>
                <w:rFonts w:asciiTheme="minorHAnsi" w:hAnsiTheme="minorHAnsi" w:cstheme="minorBidi"/>
                <w:color w:val="000000"/>
                <w:sz w:val="18"/>
                <w:szCs w:val="18"/>
              </w:rPr>
              <w:t xml:space="preserve"> adults 75 years of age and above, and </w:t>
            </w:r>
            <w:r w:rsidR="006869DE">
              <w:rPr>
                <w:rFonts w:asciiTheme="minorHAnsi" w:hAnsiTheme="minorHAnsi" w:cstheme="minorBidi"/>
                <w:color w:val="000000"/>
                <w:sz w:val="18"/>
                <w:szCs w:val="18"/>
              </w:rPr>
              <w:t>in</w:t>
            </w:r>
            <w:r w:rsidRPr="00662441">
              <w:rPr>
                <w:rFonts w:asciiTheme="minorHAnsi" w:hAnsiTheme="minorHAnsi" w:cstheme="minorBidi"/>
                <w:color w:val="000000"/>
                <w:sz w:val="18"/>
                <w:szCs w:val="18"/>
              </w:rPr>
              <w:t xml:space="preserve"> Aboriginal and Torres Strait Islander peoples aged 60 to 74 years.</w:t>
            </w:r>
          </w:p>
          <w:p w14:paraId="4A91284C" w14:textId="77777777" w:rsidR="00C3439A" w:rsidRDefault="00C3439A" w:rsidP="00662441">
            <w:pPr>
              <w:rPr>
                <w:rFonts w:asciiTheme="minorHAnsi" w:hAnsiTheme="minorHAnsi" w:cstheme="minorBidi"/>
                <w:color w:val="000000"/>
                <w:sz w:val="18"/>
                <w:szCs w:val="18"/>
              </w:rPr>
            </w:pPr>
          </w:p>
          <w:p w14:paraId="072A66DD" w14:textId="77777777" w:rsidR="00E02E24"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 xml:space="preserve">Consistent with previous advice, the PBAC considered there is a high clinical need for vaccines, such as </w:t>
            </w:r>
            <w:proofErr w:type="spellStart"/>
            <w:r w:rsidR="0091495D">
              <w:rPr>
                <w:rFonts w:asciiTheme="minorHAnsi" w:hAnsiTheme="minorHAnsi" w:cstheme="minorBidi"/>
                <w:color w:val="000000"/>
                <w:sz w:val="18"/>
                <w:szCs w:val="18"/>
              </w:rPr>
              <w:t>Arexvy</w:t>
            </w:r>
            <w:proofErr w:type="spellEnd"/>
            <w:r w:rsidRPr="00662441">
              <w:rPr>
                <w:rFonts w:asciiTheme="minorHAnsi" w:hAnsiTheme="minorHAnsi" w:cstheme="minorBidi"/>
                <w:color w:val="000000"/>
                <w:sz w:val="18"/>
                <w:szCs w:val="18"/>
              </w:rPr>
              <w:t>, to reduce the risk of RSV in older adults.</w:t>
            </w:r>
            <w:r w:rsidR="00E02E24">
              <w:rPr>
                <w:rFonts w:asciiTheme="minorHAnsi" w:hAnsiTheme="minorHAnsi" w:cstheme="minorBidi"/>
                <w:color w:val="000000"/>
                <w:sz w:val="18"/>
                <w:szCs w:val="18"/>
              </w:rPr>
              <w:t xml:space="preserve"> </w:t>
            </w:r>
            <w:r w:rsidRPr="00662441">
              <w:rPr>
                <w:rFonts w:asciiTheme="minorHAnsi" w:hAnsiTheme="minorHAnsi" w:cstheme="minorBidi"/>
                <w:color w:val="000000"/>
                <w:sz w:val="18"/>
                <w:szCs w:val="18"/>
              </w:rPr>
              <w:t xml:space="preserve">The PBAC recalled that it had previously recommended </w:t>
            </w:r>
            <w:proofErr w:type="spellStart"/>
            <w:r w:rsidR="0091495D">
              <w:rPr>
                <w:rFonts w:asciiTheme="minorHAnsi" w:hAnsiTheme="minorHAnsi" w:cstheme="minorBidi"/>
                <w:color w:val="000000"/>
                <w:sz w:val="18"/>
                <w:szCs w:val="18"/>
              </w:rPr>
              <w:t>Arexvy</w:t>
            </w:r>
            <w:proofErr w:type="spellEnd"/>
            <w:r w:rsidRPr="00662441">
              <w:rPr>
                <w:rFonts w:asciiTheme="minorHAnsi" w:hAnsiTheme="minorHAnsi" w:cstheme="minorBidi"/>
                <w:color w:val="000000"/>
                <w:sz w:val="18"/>
                <w:szCs w:val="18"/>
              </w:rPr>
              <w:t xml:space="preserve"> in July 2025, and at that time it had advised the parameters to ensure that the vaccine was cost-effective in the proposed circumstances of use.</w:t>
            </w:r>
          </w:p>
          <w:p w14:paraId="4D480636" w14:textId="77777777" w:rsidR="00E02E24" w:rsidRDefault="00E02E24" w:rsidP="00662441">
            <w:pPr>
              <w:rPr>
                <w:rFonts w:asciiTheme="minorHAnsi" w:hAnsiTheme="minorHAnsi" w:cstheme="minorBidi"/>
                <w:color w:val="000000"/>
                <w:sz w:val="18"/>
                <w:szCs w:val="18"/>
              </w:rPr>
            </w:pPr>
          </w:p>
          <w:p w14:paraId="67EE2C0A" w14:textId="00B8D174" w:rsidR="00662441" w:rsidRPr="00662441" w:rsidRDefault="00662441" w:rsidP="00662441">
            <w:pPr>
              <w:rPr>
                <w:rFonts w:asciiTheme="minorHAnsi" w:hAnsiTheme="minorHAnsi" w:cstheme="minorBidi"/>
                <w:color w:val="000000"/>
                <w:sz w:val="18"/>
                <w:szCs w:val="18"/>
              </w:rPr>
            </w:pPr>
            <w:r w:rsidRPr="00662441">
              <w:rPr>
                <w:rFonts w:asciiTheme="minorHAnsi" w:hAnsiTheme="minorHAnsi" w:cstheme="minorBidi"/>
                <w:color w:val="000000"/>
                <w:sz w:val="18"/>
                <w:szCs w:val="18"/>
              </w:rPr>
              <w:t>The PBAC noted that the sponsor had provided a proposal for consideration including a revised price and updated cost inputs to reflect current cost data. The PBAC did not consider any new clinical data as part of this consideration, therefore the clinical conclusions were unchanged from its advice in July 2025. The PBAC considered that the revised inputs in the cost-effectiveness analysis were acceptable, and that the vaccine was cost</w:t>
            </w:r>
            <w:r w:rsidRPr="00662441">
              <w:rPr>
                <w:rFonts w:asciiTheme="minorHAnsi" w:hAnsiTheme="minorHAnsi" w:cstheme="minorBidi"/>
                <w:color w:val="000000"/>
                <w:sz w:val="18"/>
                <w:szCs w:val="18"/>
              </w:rPr>
              <w:noBreakHyphen/>
              <w:t>effective at the price proposed.</w:t>
            </w:r>
          </w:p>
          <w:p w14:paraId="371C6462" w14:textId="77777777" w:rsidR="00662441" w:rsidRPr="00662441" w:rsidRDefault="00662441" w:rsidP="00662441">
            <w:pPr>
              <w:rPr>
                <w:rFonts w:asciiTheme="minorHAnsi" w:hAnsiTheme="minorHAnsi" w:cstheme="minorBidi"/>
                <w:color w:val="000000"/>
                <w:sz w:val="18"/>
                <w:szCs w:val="18"/>
              </w:rPr>
            </w:pPr>
          </w:p>
          <w:p w14:paraId="0630B7DE" w14:textId="7A82DFAB" w:rsidR="00F2111B" w:rsidRPr="0009421C" w:rsidDel="008F66B5" w:rsidRDefault="00514779" w:rsidP="00F2111B">
            <w:pPr>
              <w:rPr>
                <w:rFonts w:asciiTheme="minorHAnsi" w:hAnsiTheme="minorHAnsi" w:cstheme="minorBidi"/>
                <w:color w:val="000000"/>
                <w:sz w:val="18"/>
                <w:szCs w:val="18"/>
              </w:rPr>
            </w:pPr>
            <w:r w:rsidRPr="00514779">
              <w:rPr>
                <w:rFonts w:asciiTheme="minorHAnsi" w:hAnsiTheme="minorHAnsi" w:cstheme="minorBidi"/>
                <w:color w:val="000000"/>
                <w:sz w:val="18"/>
                <w:szCs w:val="18"/>
              </w:rPr>
              <w:t xml:space="preserve">The PBAC reaffirmed the </w:t>
            </w:r>
            <w:proofErr w:type="spellStart"/>
            <w:r w:rsidRPr="00514779">
              <w:rPr>
                <w:rFonts w:asciiTheme="minorHAnsi" w:hAnsiTheme="minorHAnsi" w:cstheme="minorBidi"/>
                <w:color w:val="000000"/>
                <w:sz w:val="18"/>
                <w:szCs w:val="18"/>
              </w:rPr>
              <w:t>equi</w:t>
            </w:r>
            <w:proofErr w:type="spellEnd"/>
            <w:r w:rsidRPr="00514779">
              <w:rPr>
                <w:rFonts w:ascii="Cambria Math" w:hAnsi="Cambria Math" w:cs="Cambria Math"/>
                <w:color w:val="000000"/>
                <w:sz w:val="18"/>
                <w:szCs w:val="18"/>
              </w:rPr>
              <w:t>‑</w:t>
            </w:r>
            <w:r w:rsidRPr="00514779">
              <w:rPr>
                <w:rFonts w:asciiTheme="minorHAnsi" w:hAnsiTheme="minorHAnsi" w:cstheme="minorBidi"/>
                <w:color w:val="000000"/>
                <w:sz w:val="18"/>
                <w:szCs w:val="18"/>
              </w:rPr>
              <w:t xml:space="preserve">effective doses for comparing </w:t>
            </w:r>
            <w:proofErr w:type="spellStart"/>
            <w:r w:rsidRPr="00514779">
              <w:rPr>
                <w:rFonts w:asciiTheme="minorHAnsi" w:hAnsiTheme="minorHAnsi" w:cstheme="minorBidi"/>
                <w:color w:val="000000"/>
                <w:sz w:val="18"/>
                <w:szCs w:val="18"/>
              </w:rPr>
              <w:t>Arexvy</w:t>
            </w:r>
            <w:proofErr w:type="spellEnd"/>
            <w:r w:rsidRPr="00514779">
              <w:rPr>
                <w:rFonts w:asciiTheme="minorHAnsi" w:hAnsiTheme="minorHAnsi" w:cstheme="minorBidi"/>
                <w:color w:val="000000"/>
                <w:sz w:val="18"/>
                <w:szCs w:val="18"/>
              </w:rPr>
              <w:t xml:space="preserve"> with the </w:t>
            </w:r>
            <w:proofErr w:type="spellStart"/>
            <w:r w:rsidRPr="00514779">
              <w:rPr>
                <w:rFonts w:asciiTheme="minorHAnsi" w:hAnsiTheme="minorHAnsi" w:cstheme="minorBidi"/>
                <w:color w:val="000000"/>
                <w:sz w:val="18"/>
                <w:szCs w:val="18"/>
              </w:rPr>
              <w:t>RSVpreF</w:t>
            </w:r>
            <w:proofErr w:type="spellEnd"/>
            <w:r w:rsidRPr="00514779">
              <w:rPr>
                <w:rFonts w:asciiTheme="minorHAnsi" w:hAnsiTheme="minorHAnsi" w:cstheme="minorBidi"/>
                <w:color w:val="000000"/>
                <w:sz w:val="18"/>
                <w:szCs w:val="18"/>
              </w:rPr>
              <w:t xml:space="preserve"> vaccine (</w:t>
            </w:r>
            <w:proofErr w:type="spellStart"/>
            <w:r w:rsidRPr="00514779">
              <w:rPr>
                <w:rFonts w:asciiTheme="minorHAnsi" w:hAnsiTheme="minorHAnsi" w:cstheme="minorBidi"/>
                <w:color w:val="000000"/>
                <w:sz w:val="18"/>
                <w:szCs w:val="18"/>
              </w:rPr>
              <w:t>Abrysvo</w:t>
            </w:r>
            <w:proofErr w:type="spellEnd"/>
            <w:r w:rsidRPr="00514779">
              <w:rPr>
                <w:rFonts w:ascii="Calibri" w:hAnsi="Calibri" w:cs="Calibri"/>
                <w:color w:val="000000"/>
                <w:sz w:val="18"/>
                <w:szCs w:val="18"/>
              </w:rPr>
              <w:t>®</w:t>
            </w:r>
            <w:r w:rsidRPr="00514779">
              <w:rPr>
                <w:rFonts w:asciiTheme="minorHAnsi" w:hAnsiTheme="minorHAnsi" w:cstheme="minorBidi"/>
                <w:color w:val="000000"/>
                <w:sz w:val="18"/>
                <w:szCs w:val="18"/>
              </w:rPr>
              <w:t xml:space="preserve">): one dose (120 micrograms) of </w:t>
            </w:r>
            <w:proofErr w:type="spellStart"/>
            <w:r w:rsidRPr="00514779">
              <w:rPr>
                <w:rFonts w:asciiTheme="minorHAnsi" w:hAnsiTheme="minorHAnsi" w:cstheme="minorBidi"/>
                <w:color w:val="000000"/>
                <w:sz w:val="18"/>
                <w:szCs w:val="18"/>
              </w:rPr>
              <w:t>Arexvy</w:t>
            </w:r>
            <w:proofErr w:type="spellEnd"/>
            <w:r w:rsidRPr="00514779">
              <w:rPr>
                <w:rFonts w:asciiTheme="minorHAnsi" w:hAnsiTheme="minorHAnsi" w:cstheme="minorBidi"/>
                <w:color w:val="000000"/>
                <w:sz w:val="18"/>
                <w:szCs w:val="18"/>
              </w:rPr>
              <w:t xml:space="preserve"> is equivalent to one dose (120 micrograms) of </w:t>
            </w:r>
            <w:proofErr w:type="spellStart"/>
            <w:r w:rsidRPr="00514779">
              <w:rPr>
                <w:rFonts w:asciiTheme="minorHAnsi" w:hAnsiTheme="minorHAnsi" w:cstheme="minorBidi"/>
                <w:color w:val="000000"/>
                <w:sz w:val="18"/>
                <w:szCs w:val="18"/>
              </w:rPr>
              <w:t>Abrysvo</w:t>
            </w:r>
            <w:proofErr w:type="spellEnd"/>
            <w:r w:rsidRPr="00514779">
              <w:rPr>
                <w:rFonts w:asciiTheme="minorHAnsi" w:hAnsiTheme="minorHAnsi" w:cstheme="minorBidi"/>
                <w:color w:val="000000"/>
                <w:sz w:val="18"/>
                <w:szCs w:val="18"/>
              </w:rPr>
              <w:t>.</w:t>
            </w:r>
          </w:p>
        </w:tc>
      </w:tr>
      <w:tr w:rsidR="0085749F" w:rsidRPr="0009421C" w:rsidDel="008F66B5" w14:paraId="7750751C" w14:textId="047CD90A" w:rsidTr="00CE688F">
        <w:trPr>
          <w:cantSplit/>
          <w:trHeight w:val="20"/>
          <w:jc w:val="center"/>
        </w:trPr>
        <w:tc>
          <w:tcPr>
            <w:tcW w:w="866" w:type="pct"/>
            <w:tcMar>
              <w:top w:w="28" w:type="dxa"/>
              <w:bottom w:w="28" w:type="dxa"/>
            </w:tcMar>
            <w:vAlign w:val="center"/>
          </w:tcPr>
          <w:p w14:paraId="2192219A"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lastRenderedPageBreak/>
              <w:t>SELADELPAR</w:t>
            </w:r>
          </w:p>
          <w:p w14:paraId="7E1FCD2F" w14:textId="77777777" w:rsidR="0085749F" w:rsidRPr="00DB5749" w:rsidRDefault="0085749F" w:rsidP="00DB5749">
            <w:pPr>
              <w:jc w:val="center"/>
              <w:rPr>
                <w:rFonts w:ascii="Calibri" w:hAnsi="Calibri" w:cs="Calibri"/>
                <w:color w:val="000000"/>
                <w:sz w:val="18"/>
                <w:szCs w:val="18"/>
              </w:rPr>
            </w:pPr>
          </w:p>
          <w:p w14:paraId="250F85C7"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t>Capsule 10 mg</w:t>
            </w:r>
          </w:p>
          <w:p w14:paraId="5F8BE6F4" w14:textId="77777777" w:rsidR="0085749F" w:rsidRPr="00DB5749" w:rsidRDefault="0085749F" w:rsidP="00DB5749">
            <w:pPr>
              <w:jc w:val="center"/>
              <w:rPr>
                <w:rFonts w:ascii="Calibri" w:hAnsi="Calibri" w:cs="Calibri"/>
                <w:color w:val="000000"/>
                <w:sz w:val="18"/>
                <w:szCs w:val="18"/>
              </w:rPr>
            </w:pPr>
          </w:p>
          <w:p w14:paraId="1527F94F" w14:textId="77777777" w:rsidR="0085749F" w:rsidRPr="00DB5749" w:rsidRDefault="0085749F" w:rsidP="00DB5749">
            <w:pPr>
              <w:jc w:val="center"/>
              <w:rPr>
                <w:rFonts w:ascii="Calibri" w:hAnsi="Calibri" w:cs="Calibri"/>
                <w:color w:val="000000"/>
                <w:sz w:val="18"/>
                <w:szCs w:val="18"/>
              </w:rPr>
            </w:pPr>
            <w:proofErr w:type="spellStart"/>
            <w:r w:rsidRPr="00DB5749">
              <w:rPr>
                <w:rFonts w:ascii="Calibri" w:hAnsi="Calibri" w:cs="Calibri"/>
                <w:color w:val="000000"/>
                <w:sz w:val="18"/>
                <w:szCs w:val="18"/>
              </w:rPr>
              <w:t>Livdelzi</w:t>
            </w:r>
            <w:proofErr w:type="spellEnd"/>
            <w:r w:rsidRPr="00DB5749">
              <w:rPr>
                <w:rFonts w:ascii="Calibri" w:hAnsi="Calibri" w:cs="Calibri"/>
                <w:color w:val="000000"/>
                <w:sz w:val="18"/>
                <w:szCs w:val="18"/>
              </w:rPr>
              <w:t>®</w:t>
            </w:r>
          </w:p>
          <w:p w14:paraId="3993F6EF" w14:textId="77777777" w:rsidR="0085749F" w:rsidRPr="00DB5749" w:rsidRDefault="0085749F" w:rsidP="00DB5749">
            <w:pPr>
              <w:jc w:val="center"/>
              <w:rPr>
                <w:rFonts w:ascii="Calibri" w:hAnsi="Calibri" w:cs="Calibri"/>
                <w:color w:val="000000"/>
                <w:sz w:val="18"/>
                <w:szCs w:val="18"/>
              </w:rPr>
            </w:pPr>
          </w:p>
          <w:p w14:paraId="7C75013E" w14:textId="77777777" w:rsidR="0085749F" w:rsidRPr="00DB5749" w:rsidRDefault="0085749F" w:rsidP="00DB5749">
            <w:pPr>
              <w:jc w:val="center"/>
              <w:rPr>
                <w:rFonts w:ascii="Calibri" w:hAnsi="Calibri" w:cs="Calibri"/>
                <w:color w:val="000000"/>
                <w:sz w:val="18"/>
                <w:szCs w:val="18"/>
              </w:rPr>
            </w:pPr>
            <w:r w:rsidRPr="00DB5749">
              <w:rPr>
                <w:rFonts w:ascii="Calibri" w:hAnsi="Calibri" w:cs="Calibri"/>
                <w:color w:val="000000"/>
                <w:sz w:val="18"/>
                <w:szCs w:val="18"/>
              </w:rPr>
              <w:t>GILEAD SCIENCES PTY LTD</w:t>
            </w:r>
          </w:p>
          <w:p w14:paraId="2FBDA03C" w14:textId="77777777" w:rsidR="0085749F" w:rsidRPr="00DB5749" w:rsidRDefault="0085749F" w:rsidP="00DB5749">
            <w:pPr>
              <w:jc w:val="center"/>
              <w:rPr>
                <w:rFonts w:ascii="Calibri" w:hAnsi="Calibri" w:cs="Calibri"/>
                <w:color w:val="000000"/>
                <w:sz w:val="18"/>
                <w:szCs w:val="18"/>
              </w:rPr>
            </w:pPr>
          </w:p>
          <w:p w14:paraId="2A4D6582" w14:textId="77777777" w:rsidR="00C6730D"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66738803" w14:textId="2F733222" w:rsidR="0085749F" w:rsidRPr="00DB5749" w:rsidRDefault="00C6730D" w:rsidP="00DB5749">
            <w:pPr>
              <w:jc w:val="center"/>
              <w:rPr>
                <w:rFonts w:ascii="Calibri" w:hAnsi="Calibri" w:cs="Calibri"/>
                <w:color w:val="000000"/>
                <w:sz w:val="18"/>
                <w:szCs w:val="18"/>
              </w:rPr>
            </w:pPr>
            <w:r w:rsidRPr="00DB5749">
              <w:rPr>
                <w:rFonts w:ascii="Calibri" w:hAnsi="Calibri" w:cs="Calibri"/>
                <w:color w:val="000000"/>
                <w:sz w:val="18"/>
                <w:szCs w:val="18"/>
              </w:rPr>
              <w:t>(New PBS listing)</w:t>
            </w:r>
          </w:p>
        </w:tc>
        <w:tc>
          <w:tcPr>
            <w:tcW w:w="590" w:type="pct"/>
            <w:vAlign w:val="center"/>
          </w:tcPr>
          <w:p w14:paraId="0D951847" w14:textId="08D912B9" w:rsidR="0085749F" w:rsidRPr="0085749F" w:rsidRDefault="0085749F" w:rsidP="00AE78E3">
            <w:pPr>
              <w:pStyle w:val="ListParagraph"/>
              <w:keepLines/>
              <w:ind w:left="0"/>
              <w:jc w:val="center"/>
              <w:rPr>
                <w:rFonts w:asciiTheme="minorHAnsi" w:hAnsiTheme="minorHAnsi" w:cstheme="minorHAnsi"/>
                <w:color w:val="000000"/>
                <w:sz w:val="18"/>
                <w:szCs w:val="18"/>
              </w:rPr>
            </w:pPr>
            <w:r w:rsidRPr="0085749F">
              <w:rPr>
                <w:rFonts w:asciiTheme="minorHAnsi" w:hAnsiTheme="minorHAnsi" w:cstheme="minorHAnsi"/>
                <w:color w:val="000000"/>
                <w:sz w:val="18"/>
                <w:szCs w:val="18"/>
              </w:rPr>
              <w:t>Primary biliary cholangitis (PBC)</w:t>
            </w:r>
          </w:p>
        </w:tc>
        <w:tc>
          <w:tcPr>
            <w:tcW w:w="867" w:type="pct"/>
            <w:tcMar>
              <w:top w:w="28" w:type="dxa"/>
              <w:bottom w:w="28" w:type="dxa"/>
            </w:tcMar>
            <w:vAlign w:val="center"/>
          </w:tcPr>
          <w:p w14:paraId="114732B8" w14:textId="0AAFE7DA" w:rsidR="0085749F" w:rsidRPr="0085749F" w:rsidRDefault="0085749F" w:rsidP="00AE78E3">
            <w:pPr>
              <w:pStyle w:val="ListParagraph"/>
              <w:keepLines/>
              <w:ind w:left="0"/>
              <w:rPr>
                <w:rFonts w:asciiTheme="minorHAnsi" w:hAnsiTheme="minorHAnsi" w:cstheme="minorHAnsi"/>
                <w:color w:val="000000"/>
                <w:sz w:val="18"/>
                <w:szCs w:val="18"/>
              </w:rPr>
            </w:pPr>
            <w:r w:rsidRPr="0085749F">
              <w:rPr>
                <w:rFonts w:asciiTheme="minorHAnsi" w:hAnsiTheme="minorHAnsi" w:cstheme="minorHAnsi"/>
                <w:color w:val="000000"/>
                <w:sz w:val="18"/>
                <w:szCs w:val="18"/>
              </w:rPr>
              <w:t>To request a General Schedule Authority Required (STREAMLINED) listing for the treatment of PBC in patients who have had an inadequate response to first line therapy with ursodeoxycholic acid (UDCA) or are intolerant to UDCA.</w:t>
            </w:r>
          </w:p>
        </w:tc>
        <w:tc>
          <w:tcPr>
            <w:tcW w:w="460" w:type="pct"/>
            <w:tcBorders>
              <w:top w:val="single" w:sz="4" w:space="0" w:color="auto"/>
              <w:left w:val="single" w:sz="4" w:space="0" w:color="auto"/>
              <w:bottom w:val="single" w:sz="4" w:space="0" w:color="auto"/>
              <w:right w:val="single" w:sz="4" w:space="0" w:color="auto"/>
            </w:tcBorders>
            <w:vAlign w:val="center"/>
          </w:tcPr>
          <w:p w14:paraId="0F059B89" w14:textId="039A7E3C" w:rsidR="0085749F" w:rsidRPr="0009421C" w:rsidDel="008F66B5" w:rsidRDefault="00EE2F1A" w:rsidP="0085749F">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2217" w:type="pct"/>
            <w:tcBorders>
              <w:top w:val="single" w:sz="4" w:space="0" w:color="auto"/>
              <w:left w:val="single" w:sz="4" w:space="0" w:color="auto"/>
              <w:bottom w:val="single" w:sz="4" w:space="0" w:color="auto"/>
              <w:right w:val="single" w:sz="4" w:space="0" w:color="auto"/>
            </w:tcBorders>
            <w:vAlign w:val="center"/>
          </w:tcPr>
          <w:p w14:paraId="5B4088DD" w14:textId="57DDF7BC" w:rsidR="007642C7" w:rsidRDefault="00EE2F1A" w:rsidP="00EE2F1A">
            <w:pPr>
              <w:rPr>
                <w:rFonts w:asciiTheme="minorHAnsi" w:hAnsiTheme="minorHAnsi" w:cstheme="minorBidi"/>
                <w:color w:val="000000"/>
                <w:sz w:val="18"/>
                <w:szCs w:val="18"/>
              </w:rPr>
            </w:pPr>
            <w:r w:rsidRPr="00EE2F1A">
              <w:rPr>
                <w:rFonts w:asciiTheme="minorHAnsi" w:hAnsiTheme="minorHAnsi" w:cstheme="minorBidi"/>
                <w:color w:val="000000"/>
                <w:sz w:val="18"/>
                <w:szCs w:val="18"/>
                <w:lang w:val="en-GB"/>
              </w:rPr>
              <w:t xml:space="preserve">The PBAC </w:t>
            </w:r>
            <w:r w:rsidRPr="00EE2F1A">
              <w:rPr>
                <w:rFonts w:asciiTheme="minorHAnsi" w:hAnsiTheme="minorHAnsi" w:cstheme="minorBidi"/>
                <w:color w:val="000000"/>
                <w:sz w:val="18"/>
                <w:szCs w:val="18"/>
              </w:rPr>
              <w:t>recommended the PBS listing of</w:t>
            </w:r>
            <w:r w:rsidRPr="00EE2F1A">
              <w:rPr>
                <w:rFonts w:asciiTheme="minorHAnsi" w:hAnsiTheme="minorHAnsi" w:cstheme="minorBidi"/>
                <w:color w:val="000000"/>
                <w:sz w:val="18"/>
                <w:szCs w:val="18"/>
                <w:lang w:val="en-GB"/>
              </w:rPr>
              <w:t xml:space="preserve"> seladelpar for the treatment of </w:t>
            </w:r>
            <w:r w:rsidR="007642C7">
              <w:rPr>
                <w:rFonts w:asciiTheme="minorHAnsi" w:hAnsiTheme="minorHAnsi" w:cstheme="minorBidi"/>
                <w:color w:val="000000"/>
                <w:sz w:val="18"/>
                <w:szCs w:val="18"/>
                <w:lang w:val="en-GB"/>
              </w:rPr>
              <w:t>p</w:t>
            </w:r>
            <w:proofErr w:type="spellStart"/>
            <w:r w:rsidR="007642C7" w:rsidRPr="0085749F">
              <w:rPr>
                <w:rFonts w:asciiTheme="minorHAnsi" w:hAnsiTheme="minorHAnsi" w:cstheme="minorHAnsi"/>
                <w:color w:val="000000"/>
                <w:sz w:val="18"/>
                <w:szCs w:val="18"/>
              </w:rPr>
              <w:t>rimary</w:t>
            </w:r>
            <w:proofErr w:type="spellEnd"/>
            <w:r w:rsidR="007642C7" w:rsidRPr="0085749F">
              <w:rPr>
                <w:rFonts w:asciiTheme="minorHAnsi" w:hAnsiTheme="minorHAnsi" w:cstheme="minorHAnsi"/>
                <w:color w:val="000000"/>
                <w:sz w:val="18"/>
                <w:szCs w:val="18"/>
              </w:rPr>
              <w:t xml:space="preserve"> biliary cholangitis (PBC)</w:t>
            </w:r>
            <w:r w:rsidRPr="00EE2F1A">
              <w:rPr>
                <w:rFonts w:asciiTheme="minorHAnsi" w:hAnsiTheme="minorHAnsi" w:cstheme="minorBidi"/>
                <w:color w:val="000000"/>
                <w:sz w:val="18"/>
                <w:szCs w:val="18"/>
                <w:lang w:val="en-GB"/>
              </w:rPr>
              <w:t xml:space="preserve">, noting </w:t>
            </w:r>
            <w:r w:rsidRPr="00EE2F1A">
              <w:rPr>
                <w:rFonts w:asciiTheme="minorHAnsi" w:hAnsiTheme="minorHAnsi" w:cstheme="minorBidi"/>
                <w:color w:val="000000"/>
                <w:sz w:val="18"/>
                <w:szCs w:val="18"/>
              </w:rPr>
              <w:t xml:space="preserve">that the TGA </w:t>
            </w:r>
            <w:r w:rsidR="007642C7">
              <w:rPr>
                <w:rFonts w:asciiTheme="minorHAnsi" w:hAnsiTheme="minorHAnsi" w:cstheme="minorBidi"/>
                <w:color w:val="000000"/>
                <w:sz w:val="18"/>
                <w:szCs w:val="18"/>
              </w:rPr>
              <w:t>supported</w:t>
            </w:r>
            <w:r w:rsidRPr="00EE2F1A">
              <w:rPr>
                <w:rFonts w:asciiTheme="minorHAnsi" w:hAnsiTheme="minorHAnsi" w:cstheme="minorBidi"/>
                <w:color w:val="000000"/>
                <w:sz w:val="18"/>
                <w:szCs w:val="18"/>
              </w:rPr>
              <w:t xml:space="preserve"> </w:t>
            </w:r>
            <w:r w:rsidR="00295893">
              <w:rPr>
                <w:rFonts w:asciiTheme="minorHAnsi" w:hAnsiTheme="minorHAnsi" w:cstheme="minorBidi"/>
                <w:color w:val="000000"/>
                <w:sz w:val="18"/>
                <w:szCs w:val="18"/>
              </w:rPr>
              <w:t>registration of</w:t>
            </w:r>
            <w:r w:rsidRPr="00EE2F1A">
              <w:rPr>
                <w:rFonts w:asciiTheme="minorHAnsi" w:hAnsiTheme="minorHAnsi" w:cstheme="minorBidi"/>
                <w:color w:val="000000"/>
                <w:sz w:val="18"/>
                <w:szCs w:val="18"/>
              </w:rPr>
              <w:t xml:space="preserve"> seladelpar</w:t>
            </w:r>
            <w:r w:rsidR="007642C7">
              <w:rPr>
                <w:rFonts w:asciiTheme="minorHAnsi" w:hAnsiTheme="minorHAnsi" w:cstheme="minorBidi"/>
                <w:color w:val="000000"/>
                <w:sz w:val="18"/>
                <w:szCs w:val="18"/>
              </w:rPr>
              <w:t xml:space="preserve"> in Australia</w:t>
            </w:r>
            <w:r w:rsidRPr="00EE2F1A">
              <w:rPr>
                <w:rFonts w:asciiTheme="minorHAnsi" w:hAnsiTheme="minorHAnsi" w:cstheme="minorBidi"/>
                <w:color w:val="000000"/>
                <w:sz w:val="18"/>
                <w:szCs w:val="18"/>
              </w:rPr>
              <w:t>.</w:t>
            </w:r>
          </w:p>
          <w:p w14:paraId="0F9BFDD1" w14:textId="77777777" w:rsidR="007642C7" w:rsidRDefault="007642C7" w:rsidP="00EE2F1A">
            <w:pPr>
              <w:rPr>
                <w:rFonts w:asciiTheme="minorHAnsi" w:hAnsiTheme="minorHAnsi" w:cstheme="minorBidi"/>
                <w:color w:val="000000"/>
                <w:sz w:val="18"/>
                <w:szCs w:val="18"/>
                <w:lang w:val="en-GB"/>
              </w:rPr>
            </w:pPr>
          </w:p>
          <w:p w14:paraId="23ED6D38" w14:textId="16E4CB7A" w:rsidR="00EE2F1A" w:rsidRDefault="0020480F" w:rsidP="00EE2F1A">
            <w:pPr>
              <w:rPr>
                <w:rFonts w:asciiTheme="minorHAnsi" w:hAnsiTheme="minorHAnsi" w:cstheme="minorBidi"/>
                <w:color w:val="000000"/>
                <w:sz w:val="18"/>
                <w:szCs w:val="18"/>
                <w:lang w:val="en-GB"/>
              </w:rPr>
            </w:pPr>
            <w:r w:rsidRPr="0020480F">
              <w:rPr>
                <w:rFonts w:asciiTheme="minorHAnsi" w:hAnsiTheme="minorHAnsi" w:cstheme="minorBidi"/>
                <w:color w:val="000000"/>
                <w:sz w:val="18"/>
                <w:szCs w:val="18"/>
                <w:lang w:val="en-GB"/>
              </w:rPr>
              <w:t>The PBAC noted previous input from the Liver Foundation on the significant impact of PBC on quality of life. The PBAC noted it had previously considered seladelpar was as effective as obeticholic acid (OCA) at reducing markers of liver damage and improving cholestasis, with similar safety. The PBAC also noted patients treated with seladelpar reported improved itching symptoms and lower rates of PBC</w:t>
            </w:r>
            <w:r w:rsidRPr="0020480F">
              <w:rPr>
                <w:rFonts w:ascii="Cambria Math" w:hAnsi="Cambria Math" w:cs="Cambria Math"/>
                <w:color w:val="000000"/>
                <w:sz w:val="18"/>
                <w:szCs w:val="18"/>
                <w:lang w:val="en-GB"/>
              </w:rPr>
              <w:t>‑</w:t>
            </w:r>
            <w:r w:rsidRPr="0020480F">
              <w:rPr>
                <w:rFonts w:asciiTheme="minorHAnsi" w:hAnsiTheme="minorHAnsi" w:cstheme="minorBidi"/>
                <w:color w:val="000000"/>
                <w:sz w:val="18"/>
                <w:szCs w:val="18"/>
                <w:lang w:val="en-GB"/>
              </w:rPr>
              <w:t>related pruritus than patients treated with OCA, and acknowledged pruritus is a significant issue for people with PBC.</w:t>
            </w:r>
          </w:p>
          <w:p w14:paraId="02071FEF" w14:textId="77777777" w:rsidR="0020480F" w:rsidRPr="00EE2F1A" w:rsidRDefault="0020480F" w:rsidP="00EE2F1A">
            <w:pPr>
              <w:rPr>
                <w:rFonts w:asciiTheme="minorHAnsi" w:hAnsiTheme="minorHAnsi" w:cstheme="minorBidi"/>
                <w:color w:val="000000"/>
                <w:sz w:val="18"/>
                <w:szCs w:val="18"/>
                <w:lang w:val="en-GB"/>
              </w:rPr>
            </w:pPr>
          </w:p>
          <w:p w14:paraId="4F572840" w14:textId="227E5D42" w:rsidR="000124B6" w:rsidRDefault="00F3612E" w:rsidP="00EE2F1A">
            <w:pPr>
              <w:rPr>
                <w:rFonts w:asciiTheme="minorHAnsi" w:hAnsiTheme="minorHAnsi" w:cstheme="minorBidi"/>
                <w:color w:val="000000"/>
                <w:sz w:val="18"/>
                <w:szCs w:val="18"/>
                <w:lang w:val="en-GB"/>
              </w:rPr>
            </w:pPr>
            <w:r w:rsidRPr="00F3612E">
              <w:rPr>
                <w:rFonts w:asciiTheme="minorHAnsi" w:hAnsiTheme="minorHAnsi" w:cstheme="minorBidi"/>
                <w:color w:val="000000"/>
                <w:sz w:val="18"/>
                <w:szCs w:val="18"/>
                <w:lang w:val="en-GB"/>
              </w:rPr>
              <w:t>The PBAC considered a price premium for seladelpar over OCA would be reasonable (consistent with its approach for elafibranor in March 2025), given the potential reduction in PBC</w:t>
            </w:r>
            <w:r w:rsidRPr="00F3612E">
              <w:rPr>
                <w:rFonts w:ascii="Cambria Math" w:hAnsi="Cambria Math" w:cs="Cambria Math"/>
                <w:color w:val="000000"/>
                <w:sz w:val="18"/>
                <w:szCs w:val="18"/>
                <w:lang w:val="en-GB"/>
              </w:rPr>
              <w:t>‑</w:t>
            </w:r>
            <w:r w:rsidRPr="00F3612E">
              <w:rPr>
                <w:rFonts w:asciiTheme="minorHAnsi" w:hAnsiTheme="minorHAnsi" w:cstheme="minorBidi"/>
                <w:color w:val="000000"/>
                <w:sz w:val="18"/>
                <w:szCs w:val="18"/>
                <w:lang w:val="en-GB"/>
              </w:rPr>
              <w:t>related pruritus compared to OCA. The PBAC considered 10 mg of seladelpar once daily was equivalent to 5 mg or 10 mg of OCA once daily.</w:t>
            </w:r>
          </w:p>
          <w:p w14:paraId="7642C59D" w14:textId="77777777" w:rsidR="00F3612E" w:rsidRDefault="00F3612E" w:rsidP="00EE2F1A">
            <w:pPr>
              <w:rPr>
                <w:rFonts w:asciiTheme="minorHAnsi" w:hAnsiTheme="minorHAnsi" w:cstheme="minorBidi"/>
                <w:color w:val="000000"/>
                <w:sz w:val="18"/>
                <w:szCs w:val="18"/>
                <w:lang w:val="en-GB"/>
              </w:rPr>
            </w:pPr>
          </w:p>
          <w:p w14:paraId="6A282026" w14:textId="7AA401E8" w:rsidR="00EE2F1A" w:rsidRPr="00EE2F1A" w:rsidRDefault="00EE2F1A" w:rsidP="00EE2F1A">
            <w:pPr>
              <w:rPr>
                <w:rFonts w:asciiTheme="minorHAnsi" w:hAnsiTheme="minorHAnsi" w:cstheme="minorBidi"/>
                <w:color w:val="000000"/>
                <w:sz w:val="18"/>
                <w:szCs w:val="18"/>
                <w:lang w:val="en-GB"/>
              </w:rPr>
            </w:pPr>
            <w:r w:rsidRPr="00EE2F1A">
              <w:rPr>
                <w:rFonts w:asciiTheme="minorHAnsi" w:hAnsiTheme="minorHAnsi" w:cstheme="minorBidi"/>
                <w:color w:val="000000"/>
                <w:sz w:val="18"/>
                <w:szCs w:val="18"/>
                <w:lang w:val="en-GB"/>
              </w:rPr>
              <w:t xml:space="preserve">The PBAC considered seladelpar should join the risk sharing arrangement (RSA) for OCA with no increase in </w:t>
            </w:r>
            <w:r w:rsidR="007E32DB">
              <w:rPr>
                <w:rFonts w:asciiTheme="minorHAnsi" w:hAnsiTheme="minorHAnsi" w:cstheme="minorBidi"/>
                <w:color w:val="000000"/>
                <w:sz w:val="18"/>
                <w:szCs w:val="18"/>
                <w:lang w:val="en-GB"/>
              </w:rPr>
              <w:t xml:space="preserve">the </w:t>
            </w:r>
            <w:r w:rsidRPr="00EE2F1A">
              <w:rPr>
                <w:rFonts w:asciiTheme="minorHAnsi" w:hAnsiTheme="minorHAnsi" w:cstheme="minorBidi"/>
                <w:color w:val="000000"/>
                <w:sz w:val="18"/>
                <w:szCs w:val="18"/>
                <w:lang w:val="en-GB"/>
              </w:rPr>
              <w:t>expenditure caps.</w:t>
            </w:r>
          </w:p>
          <w:p w14:paraId="206650E3" w14:textId="77777777" w:rsidR="00EE2F1A" w:rsidRPr="00EE2F1A" w:rsidRDefault="00EE2F1A" w:rsidP="00EE2F1A">
            <w:pPr>
              <w:rPr>
                <w:rFonts w:asciiTheme="minorHAnsi" w:hAnsiTheme="minorHAnsi" w:cstheme="minorBidi"/>
                <w:color w:val="000000"/>
                <w:sz w:val="18"/>
                <w:szCs w:val="18"/>
                <w:lang w:val="en-GB"/>
              </w:rPr>
            </w:pPr>
          </w:p>
          <w:p w14:paraId="652C80A7" w14:textId="39056ACF" w:rsidR="0085749F" w:rsidRPr="00A75555" w:rsidDel="008F66B5" w:rsidRDefault="00291798" w:rsidP="0085749F">
            <w:pPr>
              <w:rPr>
                <w:rFonts w:asciiTheme="minorHAnsi" w:hAnsiTheme="minorHAnsi" w:cstheme="minorBidi"/>
                <w:color w:val="000000"/>
                <w:sz w:val="18"/>
                <w:szCs w:val="18"/>
              </w:rPr>
            </w:pPr>
            <w:r w:rsidRPr="00291798">
              <w:rPr>
                <w:rFonts w:asciiTheme="minorHAnsi" w:hAnsiTheme="minorHAnsi" w:cstheme="minorBidi"/>
                <w:color w:val="000000"/>
                <w:sz w:val="18"/>
                <w:szCs w:val="18"/>
              </w:rPr>
              <w:t xml:space="preserve">The PBAC noted that </w:t>
            </w:r>
            <w:r w:rsidR="00D23451">
              <w:rPr>
                <w:rFonts w:asciiTheme="minorHAnsi" w:hAnsiTheme="minorHAnsi" w:cstheme="minorBidi"/>
                <w:color w:val="000000"/>
                <w:sz w:val="18"/>
                <w:szCs w:val="18"/>
              </w:rPr>
              <w:t>listing</w:t>
            </w:r>
            <w:r w:rsidRPr="00291798">
              <w:rPr>
                <w:rFonts w:asciiTheme="minorHAnsi" w:hAnsiTheme="minorHAnsi" w:cstheme="minorBidi"/>
                <w:color w:val="000000"/>
                <w:sz w:val="18"/>
                <w:szCs w:val="18"/>
              </w:rPr>
              <w:t xml:space="preserve"> seladelpar would require </w:t>
            </w:r>
            <w:r w:rsidR="00997AF6">
              <w:rPr>
                <w:rFonts w:asciiTheme="minorHAnsi" w:hAnsiTheme="minorHAnsi" w:cstheme="minorBidi"/>
                <w:color w:val="000000"/>
                <w:sz w:val="18"/>
                <w:szCs w:val="18"/>
              </w:rPr>
              <w:t>flow-on</w:t>
            </w:r>
            <w:r w:rsidRPr="00291798">
              <w:rPr>
                <w:rFonts w:asciiTheme="minorHAnsi" w:hAnsiTheme="minorHAnsi" w:cstheme="minorBidi"/>
                <w:color w:val="000000"/>
                <w:sz w:val="18"/>
                <w:szCs w:val="18"/>
              </w:rPr>
              <w:t xml:space="preserve"> changes to the existing OCA and elafibranor PBS restrictions to enable patient switching between seladelpar, OCA and elafibranor. </w:t>
            </w:r>
            <w:r w:rsidR="00997AF6">
              <w:rPr>
                <w:rFonts w:asciiTheme="minorHAnsi" w:hAnsiTheme="minorHAnsi" w:cstheme="minorBidi"/>
                <w:color w:val="000000"/>
                <w:sz w:val="18"/>
                <w:szCs w:val="18"/>
              </w:rPr>
              <w:t>Flow-on</w:t>
            </w:r>
            <w:r w:rsidRPr="00291798">
              <w:rPr>
                <w:rFonts w:asciiTheme="minorHAnsi" w:hAnsiTheme="minorHAnsi" w:cstheme="minorBidi"/>
                <w:color w:val="000000"/>
                <w:sz w:val="18"/>
                <w:szCs w:val="18"/>
              </w:rPr>
              <w:t xml:space="preserve"> changes to the elafibranor listing would also be required to allow prescribing for immunocompromised patients and to remove the hepatic decompensation caution.</w:t>
            </w:r>
          </w:p>
        </w:tc>
      </w:tr>
      <w:tr w:rsidR="00B00A64" w:rsidRPr="0009421C" w:rsidDel="008F66B5" w14:paraId="7A902290" w14:textId="7B442279" w:rsidTr="00CE688F">
        <w:trPr>
          <w:cantSplit/>
          <w:trHeight w:val="20"/>
          <w:jc w:val="center"/>
        </w:trPr>
        <w:tc>
          <w:tcPr>
            <w:tcW w:w="866" w:type="pct"/>
            <w:tcMar>
              <w:top w:w="28" w:type="dxa"/>
              <w:bottom w:w="28" w:type="dxa"/>
            </w:tcMar>
            <w:vAlign w:val="center"/>
          </w:tcPr>
          <w:p w14:paraId="337AC702" w14:textId="4B23ABAF" w:rsidR="00B00A64" w:rsidRPr="00DB5749" w:rsidRDefault="00B00A64" w:rsidP="00DB5749">
            <w:pPr>
              <w:jc w:val="center"/>
              <w:rPr>
                <w:rFonts w:ascii="Calibri" w:hAnsi="Calibri" w:cs="Calibri"/>
                <w:color w:val="000000"/>
                <w:sz w:val="18"/>
                <w:szCs w:val="18"/>
              </w:rPr>
            </w:pPr>
            <w:bookmarkStart w:id="2" w:name="_Hlk143070613"/>
            <w:r w:rsidRPr="00DB5749">
              <w:rPr>
                <w:rFonts w:ascii="Calibri" w:hAnsi="Calibri" w:cs="Calibri"/>
                <w:color w:val="000000"/>
                <w:sz w:val="18"/>
                <w:szCs w:val="18"/>
              </w:rPr>
              <w:lastRenderedPageBreak/>
              <w:t>VELMANASE ALFA</w:t>
            </w:r>
          </w:p>
          <w:p w14:paraId="08316BE0" w14:textId="77777777" w:rsidR="00B00A64" w:rsidRPr="00DB5749" w:rsidRDefault="00B00A64" w:rsidP="00DB5749">
            <w:pPr>
              <w:jc w:val="center"/>
              <w:rPr>
                <w:rFonts w:ascii="Calibri" w:hAnsi="Calibri" w:cs="Calibri"/>
                <w:color w:val="000000"/>
                <w:sz w:val="18"/>
                <w:szCs w:val="18"/>
              </w:rPr>
            </w:pPr>
          </w:p>
          <w:p w14:paraId="6B04232D" w14:textId="3DCC505D" w:rsidR="00B00A64" w:rsidRPr="00DB5749" w:rsidRDefault="00B00A64" w:rsidP="00DB5749">
            <w:pPr>
              <w:jc w:val="center"/>
              <w:rPr>
                <w:rFonts w:ascii="Calibri" w:hAnsi="Calibri" w:cs="Calibri"/>
                <w:color w:val="000000"/>
                <w:sz w:val="18"/>
                <w:szCs w:val="18"/>
              </w:rPr>
            </w:pPr>
            <w:r w:rsidRPr="00DB5749">
              <w:rPr>
                <w:rFonts w:ascii="Calibri" w:hAnsi="Calibri" w:cs="Calibri"/>
                <w:color w:val="000000"/>
                <w:sz w:val="18"/>
                <w:szCs w:val="18"/>
              </w:rPr>
              <w:t>Powder for I.V. infusion 10 mg</w:t>
            </w:r>
          </w:p>
          <w:p w14:paraId="18C65509" w14:textId="77777777" w:rsidR="00B00A64" w:rsidRPr="00DB5749" w:rsidRDefault="00B00A64" w:rsidP="00DB5749">
            <w:pPr>
              <w:jc w:val="center"/>
              <w:rPr>
                <w:rFonts w:ascii="Calibri" w:hAnsi="Calibri" w:cs="Calibri"/>
                <w:color w:val="000000"/>
                <w:sz w:val="18"/>
                <w:szCs w:val="18"/>
              </w:rPr>
            </w:pPr>
          </w:p>
          <w:p w14:paraId="0BB8EC1A" w14:textId="77777777" w:rsidR="00B00A64" w:rsidRPr="00DB5749" w:rsidRDefault="00B00A64" w:rsidP="00DB5749">
            <w:pPr>
              <w:jc w:val="center"/>
              <w:rPr>
                <w:rFonts w:ascii="Calibri" w:hAnsi="Calibri" w:cs="Calibri"/>
                <w:color w:val="000000"/>
                <w:sz w:val="18"/>
                <w:szCs w:val="18"/>
              </w:rPr>
            </w:pPr>
            <w:proofErr w:type="spellStart"/>
            <w:r w:rsidRPr="00DB5749">
              <w:rPr>
                <w:rFonts w:ascii="Calibri" w:hAnsi="Calibri" w:cs="Calibri"/>
                <w:color w:val="000000"/>
                <w:sz w:val="18"/>
                <w:szCs w:val="18"/>
              </w:rPr>
              <w:t>Lamzede</w:t>
            </w:r>
            <w:proofErr w:type="spellEnd"/>
            <w:r w:rsidRPr="00DB5749">
              <w:rPr>
                <w:rFonts w:ascii="Calibri" w:hAnsi="Calibri" w:cs="Calibri"/>
                <w:color w:val="000000"/>
                <w:sz w:val="18"/>
                <w:szCs w:val="18"/>
              </w:rPr>
              <w:t>®</w:t>
            </w:r>
          </w:p>
          <w:p w14:paraId="50464CE7" w14:textId="77777777" w:rsidR="00B00A64" w:rsidRPr="00DB5749" w:rsidRDefault="00B00A64" w:rsidP="00DB5749">
            <w:pPr>
              <w:jc w:val="center"/>
              <w:rPr>
                <w:rFonts w:ascii="Calibri" w:hAnsi="Calibri" w:cs="Calibri"/>
                <w:color w:val="000000"/>
                <w:sz w:val="18"/>
                <w:szCs w:val="18"/>
              </w:rPr>
            </w:pPr>
          </w:p>
          <w:p w14:paraId="3401213F" w14:textId="77777777" w:rsidR="00B00A64" w:rsidRPr="00DB5749" w:rsidRDefault="00B00A64" w:rsidP="00DB5749">
            <w:pPr>
              <w:jc w:val="center"/>
              <w:rPr>
                <w:rFonts w:ascii="Calibri" w:hAnsi="Calibri" w:cs="Calibri"/>
                <w:color w:val="000000"/>
                <w:sz w:val="18"/>
                <w:szCs w:val="18"/>
              </w:rPr>
            </w:pPr>
            <w:r w:rsidRPr="00DB5749">
              <w:rPr>
                <w:rFonts w:ascii="Calibri" w:hAnsi="Calibri" w:cs="Calibri"/>
                <w:color w:val="000000"/>
                <w:sz w:val="18"/>
                <w:szCs w:val="18"/>
              </w:rPr>
              <w:t>CHIESI AUSTRALIA PTY LTD</w:t>
            </w:r>
          </w:p>
          <w:p w14:paraId="2A6533DF" w14:textId="77777777" w:rsidR="00B00A64" w:rsidRPr="00DB5749" w:rsidRDefault="00B00A64" w:rsidP="00DB5749">
            <w:pPr>
              <w:jc w:val="center"/>
              <w:rPr>
                <w:rFonts w:ascii="Calibri" w:hAnsi="Calibri" w:cs="Calibri"/>
                <w:color w:val="000000"/>
                <w:sz w:val="18"/>
                <w:szCs w:val="18"/>
              </w:rPr>
            </w:pPr>
          </w:p>
          <w:p w14:paraId="67F63E6B" w14:textId="77777777" w:rsidR="00E3218A" w:rsidRPr="00DB5749" w:rsidRDefault="00E3218A" w:rsidP="00DB5749">
            <w:pPr>
              <w:jc w:val="center"/>
              <w:rPr>
                <w:rFonts w:ascii="Calibri" w:hAnsi="Calibri" w:cs="Calibri"/>
                <w:color w:val="000000"/>
                <w:sz w:val="18"/>
                <w:szCs w:val="18"/>
              </w:rPr>
            </w:pPr>
            <w:r w:rsidRPr="00DB5749">
              <w:rPr>
                <w:rFonts w:ascii="Calibri" w:hAnsi="Calibri" w:cs="Calibri"/>
                <w:color w:val="000000"/>
                <w:sz w:val="18"/>
                <w:szCs w:val="18"/>
              </w:rPr>
              <w:t>Matters outstanding</w:t>
            </w:r>
          </w:p>
          <w:p w14:paraId="31C16E75" w14:textId="6CC57406" w:rsidR="00B00A64" w:rsidRPr="00DB5749" w:rsidRDefault="00E3218A" w:rsidP="00DB5749">
            <w:pPr>
              <w:jc w:val="center"/>
              <w:rPr>
                <w:rFonts w:ascii="Calibri" w:hAnsi="Calibri" w:cs="Calibri"/>
                <w:color w:val="000000"/>
                <w:sz w:val="18"/>
                <w:szCs w:val="18"/>
              </w:rPr>
            </w:pPr>
            <w:r w:rsidRPr="00DB5749">
              <w:rPr>
                <w:rFonts w:ascii="Calibri" w:hAnsi="Calibri" w:cs="Calibri"/>
                <w:color w:val="000000"/>
                <w:sz w:val="18"/>
                <w:szCs w:val="18"/>
              </w:rPr>
              <w:t>(New PBS listing)</w:t>
            </w:r>
          </w:p>
        </w:tc>
        <w:tc>
          <w:tcPr>
            <w:tcW w:w="590" w:type="pct"/>
            <w:vAlign w:val="center"/>
          </w:tcPr>
          <w:p w14:paraId="4FB638D2" w14:textId="5EBDE8CB" w:rsidR="00B00A64" w:rsidRPr="00B00A64" w:rsidRDefault="00B00A64" w:rsidP="00AE78E3">
            <w:pPr>
              <w:pStyle w:val="ListParagraph"/>
              <w:keepLines/>
              <w:ind w:left="0"/>
              <w:jc w:val="center"/>
              <w:rPr>
                <w:rFonts w:asciiTheme="minorHAnsi" w:hAnsiTheme="minorHAnsi" w:cstheme="minorHAnsi"/>
                <w:color w:val="000000"/>
                <w:sz w:val="18"/>
                <w:szCs w:val="18"/>
              </w:rPr>
            </w:pPr>
            <w:r w:rsidRPr="00B00A64">
              <w:rPr>
                <w:rFonts w:asciiTheme="minorHAnsi" w:hAnsiTheme="minorHAnsi" w:cstheme="minorHAnsi"/>
                <w:color w:val="000000"/>
                <w:sz w:val="18"/>
                <w:szCs w:val="18"/>
              </w:rPr>
              <w:t>Alpha-mannosidosis</w:t>
            </w:r>
            <w:r w:rsidR="00D73850">
              <w:rPr>
                <w:rFonts w:asciiTheme="minorHAnsi" w:hAnsiTheme="minorHAnsi" w:cstheme="minorHAnsi"/>
                <w:color w:val="000000"/>
                <w:sz w:val="18"/>
                <w:szCs w:val="18"/>
              </w:rPr>
              <w:t xml:space="preserve"> </w:t>
            </w:r>
            <w:r w:rsidR="00D73850" w:rsidRPr="00D73850">
              <w:rPr>
                <w:rFonts w:asciiTheme="minorHAnsi" w:hAnsiTheme="minorHAnsi" w:cstheme="minorHAnsi"/>
                <w:color w:val="000000"/>
                <w:sz w:val="18"/>
                <w:szCs w:val="18"/>
                <w:lang w:val="en-GB"/>
              </w:rPr>
              <w:t>(AM)</w:t>
            </w:r>
          </w:p>
        </w:tc>
        <w:tc>
          <w:tcPr>
            <w:tcW w:w="867" w:type="pct"/>
            <w:tcMar>
              <w:top w:w="28" w:type="dxa"/>
              <w:bottom w:w="28" w:type="dxa"/>
            </w:tcMar>
            <w:vAlign w:val="center"/>
          </w:tcPr>
          <w:p w14:paraId="2734018D" w14:textId="5E701ADD" w:rsidR="00B00A64" w:rsidRPr="00B00A64" w:rsidRDefault="00B00A64" w:rsidP="00AE78E3">
            <w:pPr>
              <w:pStyle w:val="ListParagraph"/>
              <w:keepLines/>
              <w:ind w:left="0"/>
              <w:rPr>
                <w:rFonts w:asciiTheme="minorHAnsi" w:hAnsiTheme="minorHAnsi" w:cstheme="minorHAnsi"/>
                <w:color w:val="000000"/>
                <w:sz w:val="18"/>
                <w:szCs w:val="18"/>
              </w:rPr>
            </w:pPr>
            <w:r w:rsidRPr="00B00A64">
              <w:rPr>
                <w:rFonts w:asciiTheme="minorHAnsi" w:hAnsiTheme="minorHAnsi" w:cstheme="minorHAnsi"/>
                <w:color w:val="000000"/>
                <w:sz w:val="18"/>
                <w:szCs w:val="18"/>
              </w:rPr>
              <w:t xml:space="preserve">To request a Section 100 (Highly Specialised Drugs Program) Authority Required (Written) listing as an enzyme replacement therapy for the treatment of non-neurological manifestations in patients with </w:t>
            </w:r>
            <w:r w:rsidR="0010272A" w:rsidRPr="0010272A">
              <w:rPr>
                <w:rFonts w:asciiTheme="minorHAnsi" w:hAnsiTheme="minorHAnsi" w:cstheme="minorHAnsi"/>
                <w:color w:val="000000"/>
                <w:sz w:val="18"/>
                <w:szCs w:val="18"/>
                <w:lang w:val="en-GB"/>
              </w:rPr>
              <w:t>AM</w:t>
            </w:r>
            <w:r w:rsidR="0010272A">
              <w:rPr>
                <w:rFonts w:asciiTheme="minorHAnsi" w:hAnsiTheme="minorHAnsi" w:cstheme="minorHAnsi"/>
                <w:color w:val="000000"/>
                <w:sz w:val="18"/>
                <w:szCs w:val="18"/>
                <w:lang w:val="en-GB"/>
              </w:rPr>
              <w:t>.</w:t>
            </w:r>
          </w:p>
        </w:tc>
        <w:tc>
          <w:tcPr>
            <w:tcW w:w="460" w:type="pct"/>
            <w:tcBorders>
              <w:top w:val="single" w:sz="4" w:space="0" w:color="auto"/>
              <w:left w:val="single" w:sz="4" w:space="0" w:color="auto"/>
              <w:bottom w:val="single" w:sz="4" w:space="0" w:color="auto"/>
              <w:right w:val="single" w:sz="4" w:space="0" w:color="auto"/>
            </w:tcBorders>
            <w:vAlign w:val="center"/>
          </w:tcPr>
          <w:p w14:paraId="7985984A" w14:textId="327E32F0" w:rsidR="00B00A64" w:rsidRPr="0009421C" w:rsidDel="008F66B5" w:rsidRDefault="007934D1" w:rsidP="00B00A6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w:t>
            </w:r>
            <w:r w:rsidR="00514D2E">
              <w:rPr>
                <w:rFonts w:asciiTheme="minorHAnsi" w:hAnsiTheme="minorHAnsi" w:cstheme="minorHAnsi"/>
                <w:color w:val="000000"/>
                <w:sz w:val="18"/>
                <w:szCs w:val="18"/>
              </w:rPr>
              <w:t>commended</w:t>
            </w:r>
            <w:r w:rsidR="00630B41">
              <w:rPr>
                <w:rFonts w:asciiTheme="minorHAnsi" w:hAnsiTheme="minorHAnsi" w:cstheme="minorHAnsi"/>
                <w:color w:val="000000"/>
                <w:sz w:val="18"/>
                <w:szCs w:val="18"/>
              </w:rPr>
              <w:t>*</w:t>
            </w:r>
          </w:p>
        </w:tc>
        <w:tc>
          <w:tcPr>
            <w:tcW w:w="2217" w:type="pct"/>
            <w:tcBorders>
              <w:top w:val="single" w:sz="4" w:space="0" w:color="auto"/>
              <w:left w:val="single" w:sz="4" w:space="0" w:color="auto"/>
              <w:bottom w:val="single" w:sz="4" w:space="0" w:color="auto"/>
              <w:right w:val="single" w:sz="4" w:space="0" w:color="auto"/>
            </w:tcBorders>
            <w:vAlign w:val="center"/>
          </w:tcPr>
          <w:p w14:paraId="1808D515" w14:textId="76948D9C" w:rsidR="00B1413F" w:rsidRDefault="00B1413F" w:rsidP="00B1413F">
            <w:pPr>
              <w:rPr>
                <w:rFonts w:asciiTheme="minorHAnsi" w:hAnsiTheme="minorHAnsi" w:cstheme="minorBidi"/>
                <w:color w:val="000000"/>
                <w:sz w:val="18"/>
                <w:szCs w:val="18"/>
                <w:lang w:val="en-GB"/>
              </w:rPr>
            </w:pPr>
            <w:r w:rsidRPr="00B1413F">
              <w:rPr>
                <w:rFonts w:asciiTheme="minorHAnsi" w:hAnsiTheme="minorHAnsi" w:cstheme="minorBidi"/>
                <w:color w:val="000000"/>
                <w:sz w:val="18"/>
                <w:szCs w:val="18"/>
                <w:lang w:val="en-GB"/>
              </w:rPr>
              <w:t>The PBAC recommended listing velmanase alfa (</w:t>
            </w:r>
            <w:proofErr w:type="spellStart"/>
            <w:r w:rsidRPr="00B1413F">
              <w:rPr>
                <w:rFonts w:asciiTheme="minorHAnsi" w:hAnsiTheme="minorHAnsi" w:cstheme="minorBidi"/>
                <w:color w:val="000000"/>
                <w:sz w:val="18"/>
                <w:szCs w:val="18"/>
                <w:lang w:val="en-GB"/>
              </w:rPr>
              <w:t>Lamzede</w:t>
            </w:r>
            <w:proofErr w:type="spellEnd"/>
            <w:r w:rsidRPr="00B1413F">
              <w:rPr>
                <w:rFonts w:asciiTheme="minorHAnsi" w:hAnsiTheme="minorHAnsi" w:cstheme="minorBidi"/>
                <w:color w:val="000000"/>
                <w:sz w:val="18"/>
                <w:szCs w:val="18"/>
                <w:lang w:val="en-GB"/>
              </w:rPr>
              <w:t xml:space="preserve">®) on the PBS </w:t>
            </w:r>
            <w:r>
              <w:rPr>
                <w:rFonts w:asciiTheme="minorHAnsi" w:hAnsiTheme="minorHAnsi" w:cstheme="minorBidi"/>
                <w:color w:val="000000"/>
                <w:sz w:val="18"/>
                <w:szCs w:val="18"/>
                <w:lang w:val="en-GB"/>
              </w:rPr>
              <w:t>for the treatment</w:t>
            </w:r>
            <w:r w:rsidRPr="00B1413F">
              <w:rPr>
                <w:rFonts w:asciiTheme="minorHAnsi" w:hAnsiTheme="minorHAnsi" w:cstheme="minorBidi"/>
                <w:color w:val="000000"/>
                <w:sz w:val="18"/>
                <w:szCs w:val="18"/>
                <w:lang w:val="en-GB"/>
              </w:rPr>
              <w:t xml:space="preserve"> the non</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neurological symptoms of alpha</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mannosidosis (AM).</w:t>
            </w:r>
          </w:p>
          <w:p w14:paraId="01439070" w14:textId="77777777" w:rsidR="00B1413F" w:rsidRDefault="00B1413F" w:rsidP="00FD544C">
            <w:pPr>
              <w:rPr>
                <w:rFonts w:asciiTheme="minorHAnsi" w:hAnsiTheme="minorHAnsi" w:cstheme="minorBidi"/>
                <w:color w:val="000000"/>
                <w:sz w:val="18"/>
                <w:szCs w:val="18"/>
                <w:lang w:val="en-GB"/>
              </w:rPr>
            </w:pPr>
          </w:p>
          <w:p w14:paraId="7B58EBF7" w14:textId="77777777" w:rsidR="00446023" w:rsidRDefault="00446023" w:rsidP="00446023">
            <w:pPr>
              <w:rPr>
                <w:rFonts w:asciiTheme="minorHAnsi" w:hAnsiTheme="minorHAnsi" w:cstheme="minorBidi"/>
                <w:color w:val="000000"/>
                <w:sz w:val="18"/>
                <w:szCs w:val="18"/>
                <w:lang w:val="en-GB"/>
              </w:rPr>
            </w:pPr>
            <w:r w:rsidRPr="00B1413F">
              <w:rPr>
                <w:rFonts w:asciiTheme="minorHAnsi" w:hAnsiTheme="minorHAnsi" w:cstheme="minorBidi"/>
                <w:color w:val="000000"/>
                <w:sz w:val="18"/>
                <w:szCs w:val="18"/>
                <w:lang w:val="en-GB"/>
              </w:rPr>
              <w:t>The PBAC acknowledged that AM is an extremely rare and devastating genetic condition. It is caused by problems with the alpha</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mannosidase enzyme, which leads to a build</w:t>
            </w:r>
            <w:r w:rsidRPr="00B1413F">
              <w:rPr>
                <w:rFonts w:ascii="Cambria Math" w:hAnsi="Cambria Math" w:cs="Cambria Math"/>
                <w:color w:val="000000"/>
                <w:sz w:val="18"/>
                <w:szCs w:val="18"/>
                <w:lang w:val="en-GB"/>
              </w:rPr>
              <w:t>‑</w:t>
            </w:r>
            <w:r w:rsidRPr="00B1413F">
              <w:rPr>
                <w:rFonts w:asciiTheme="minorHAnsi" w:hAnsiTheme="minorHAnsi" w:cstheme="minorBidi"/>
                <w:color w:val="000000"/>
                <w:sz w:val="18"/>
                <w:szCs w:val="18"/>
                <w:lang w:val="en-GB"/>
              </w:rPr>
              <w:t>up of oligosaccharides (complex sugar molecules) throughout the body and affects multiple body systems. The PBAC noted there are currently no effective pharmacological treatments available in Australia for this condition.</w:t>
            </w:r>
          </w:p>
          <w:p w14:paraId="105A7011" w14:textId="0ECEF859" w:rsidR="00FD544C" w:rsidRPr="00FD544C" w:rsidRDefault="00FD544C" w:rsidP="00FD544C">
            <w:pPr>
              <w:rPr>
                <w:rFonts w:asciiTheme="minorHAnsi" w:hAnsiTheme="minorHAnsi" w:cstheme="minorBidi"/>
                <w:color w:val="000000"/>
                <w:sz w:val="18"/>
                <w:szCs w:val="18"/>
                <w:lang w:val="en-GB"/>
              </w:rPr>
            </w:pPr>
            <w:r w:rsidRPr="00FD544C">
              <w:rPr>
                <w:rFonts w:asciiTheme="minorHAnsi" w:hAnsiTheme="minorHAnsi" w:cstheme="minorBidi"/>
                <w:color w:val="000000"/>
                <w:sz w:val="18"/>
                <w:szCs w:val="18"/>
                <w:lang w:val="en-GB"/>
              </w:rPr>
              <w:t xml:space="preserve"> </w:t>
            </w:r>
          </w:p>
          <w:p w14:paraId="60063C77" w14:textId="3E4606B3" w:rsidR="00FD544C" w:rsidRDefault="00FD544C" w:rsidP="00FD544C">
            <w:pPr>
              <w:rPr>
                <w:rFonts w:asciiTheme="minorHAnsi" w:hAnsiTheme="minorHAnsi" w:cstheme="minorBidi"/>
                <w:color w:val="000000"/>
                <w:sz w:val="18"/>
                <w:szCs w:val="18"/>
                <w:lang w:val="en-GB"/>
              </w:rPr>
            </w:pPr>
            <w:r w:rsidRPr="00FD544C">
              <w:rPr>
                <w:rFonts w:asciiTheme="minorHAnsi" w:hAnsiTheme="minorHAnsi" w:cstheme="minorBidi"/>
                <w:color w:val="000000"/>
                <w:sz w:val="18"/>
                <w:szCs w:val="18"/>
              </w:rPr>
              <w:t xml:space="preserve">The PBAC noted that the </w:t>
            </w:r>
            <w:r w:rsidR="00332EAD">
              <w:rPr>
                <w:rFonts w:asciiTheme="minorHAnsi" w:hAnsiTheme="minorHAnsi" w:cstheme="minorBidi"/>
                <w:color w:val="000000"/>
                <w:sz w:val="18"/>
                <w:szCs w:val="18"/>
              </w:rPr>
              <w:t>sponsor</w:t>
            </w:r>
            <w:r w:rsidR="0040441F">
              <w:rPr>
                <w:rFonts w:asciiTheme="minorHAnsi" w:hAnsiTheme="minorHAnsi" w:cstheme="minorBidi"/>
                <w:color w:val="000000"/>
                <w:sz w:val="18"/>
                <w:szCs w:val="18"/>
              </w:rPr>
              <w:t>’s response to the deferral</w:t>
            </w:r>
            <w:r w:rsidRPr="00FD544C">
              <w:rPr>
                <w:rFonts w:asciiTheme="minorHAnsi" w:hAnsiTheme="minorHAnsi" w:cstheme="minorBidi"/>
                <w:color w:val="000000"/>
                <w:sz w:val="18"/>
                <w:szCs w:val="18"/>
              </w:rPr>
              <w:t xml:space="preserve"> addressed the previous concerns regarding the proposed restriction and provided additional clinical and patient</w:t>
            </w:r>
            <w:r w:rsidRPr="00FD544C">
              <w:rPr>
                <w:rFonts w:asciiTheme="minorHAnsi" w:hAnsiTheme="minorHAnsi" w:cstheme="minorBidi"/>
                <w:color w:val="000000"/>
                <w:sz w:val="18"/>
                <w:szCs w:val="18"/>
              </w:rPr>
              <w:noBreakHyphen/>
              <w:t xml:space="preserve">relevant data regarding the benefits of treatment. </w:t>
            </w:r>
            <w:r w:rsidR="00332EAD" w:rsidRPr="00B1413F">
              <w:rPr>
                <w:rFonts w:asciiTheme="minorHAnsi" w:hAnsiTheme="minorHAnsi" w:cstheme="minorBidi"/>
                <w:color w:val="000000"/>
                <w:sz w:val="18"/>
                <w:szCs w:val="18"/>
                <w:lang w:val="en-GB"/>
              </w:rPr>
              <w:t>The PBAC considered the additional information supported longer</w:t>
            </w:r>
            <w:r w:rsidR="00332EAD" w:rsidRPr="00B1413F">
              <w:rPr>
                <w:rFonts w:ascii="Cambria Math" w:hAnsi="Cambria Math" w:cs="Cambria Math"/>
                <w:color w:val="000000"/>
                <w:sz w:val="18"/>
                <w:szCs w:val="18"/>
                <w:lang w:val="en-GB"/>
              </w:rPr>
              <w:t>‑</w:t>
            </w:r>
            <w:r w:rsidR="00332EAD" w:rsidRPr="00B1413F">
              <w:rPr>
                <w:rFonts w:asciiTheme="minorHAnsi" w:hAnsiTheme="minorHAnsi" w:cstheme="minorBidi"/>
                <w:color w:val="000000"/>
                <w:sz w:val="18"/>
                <w:szCs w:val="18"/>
                <w:lang w:val="en-GB"/>
              </w:rPr>
              <w:t>term meaningful clinical benefits for people with AM.</w:t>
            </w:r>
          </w:p>
          <w:p w14:paraId="5C5D8E3B" w14:textId="77777777" w:rsidR="00B1413F" w:rsidRPr="00B1413F" w:rsidRDefault="00B1413F" w:rsidP="00B1413F">
            <w:pPr>
              <w:rPr>
                <w:rFonts w:asciiTheme="minorHAnsi" w:hAnsiTheme="minorHAnsi" w:cstheme="minorBidi"/>
                <w:color w:val="000000"/>
                <w:sz w:val="18"/>
                <w:szCs w:val="18"/>
                <w:lang w:val="en-GB"/>
              </w:rPr>
            </w:pPr>
          </w:p>
          <w:p w14:paraId="15305741" w14:textId="7C16A5BE" w:rsidR="00B00A64" w:rsidRPr="001C468A" w:rsidDel="008F66B5" w:rsidRDefault="00DD2D20" w:rsidP="00B00A64">
            <w:pPr>
              <w:rPr>
                <w:rFonts w:asciiTheme="minorHAnsi" w:hAnsiTheme="minorHAnsi" w:cstheme="minorBidi"/>
                <w:color w:val="000000"/>
                <w:sz w:val="18"/>
                <w:szCs w:val="18"/>
              </w:rPr>
            </w:pPr>
            <w:r w:rsidRPr="00DD2D20">
              <w:rPr>
                <w:rFonts w:asciiTheme="minorHAnsi" w:hAnsiTheme="minorHAnsi" w:cstheme="minorBidi"/>
                <w:color w:val="000000"/>
                <w:sz w:val="18"/>
                <w:szCs w:val="18"/>
              </w:rPr>
              <w:t xml:space="preserve">The PBAC recommended </w:t>
            </w:r>
            <w:r>
              <w:rPr>
                <w:rFonts w:asciiTheme="minorHAnsi" w:hAnsiTheme="minorHAnsi" w:cstheme="minorBidi"/>
                <w:color w:val="000000"/>
                <w:sz w:val="18"/>
                <w:szCs w:val="18"/>
              </w:rPr>
              <w:t>listing</w:t>
            </w:r>
            <w:r w:rsidRPr="00DD2D20">
              <w:rPr>
                <w:rFonts w:asciiTheme="minorHAnsi" w:hAnsiTheme="minorHAnsi" w:cstheme="minorBidi"/>
                <w:color w:val="000000"/>
                <w:sz w:val="18"/>
                <w:szCs w:val="18"/>
              </w:rPr>
              <w:t xml:space="preserve"> on the basis that a further price reduction be provided, noting that </w:t>
            </w:r>
            <w:r w:rsidR="00313A36">
              <w:rPr>
                <w:rFonts w:asciiTheme="minorHAnsi" w:hAnsiTheme="minorHAnsi" w:cstheme="minorBidi"/>
                <w:color w:val="000000"/>
                <w:sz w:val="18"/>
                <w:szCs w:val="18"/>
              </w:rPr>
              <w:t>it considered the</w:t>
            </w:r>
            <w:r w:rsidRPr="00DD2D20">
              <w:rPr>
                <w:rFonts w:asciiTheme="minorHAnsi" w:hAnsiTheme="minorHAnsi" w:cstheme="minorBidi"/>
                <w:color w:val="000000"/>
                <w:sz w:val="18"/>
                <w:szCs w:val="18"/>
              </w:rPr>
              <w:t xml:space="preserve"> price proposed in the submission was not cost</w:t>
            </w:r>
            <w:r w:rsidRPr="00DD2D20">
              <w:rPr>
                <w:rFonts w:asciiTheme="minorHAnsi" w:hAnsiTheme="minorHAnsi" w:cstheme="minorBidi"/>
                <w:color w:val="000000"/>
                <w:sz w:val="18"/>
                <w:szCs w:val="18"/>
              </w:rPr>
              <w:noBreakHyphen/>
            </w:r>
            <w:r w:rsidR="001C468A" w:rsidRPr="00DD2D20">
              <w:rPr>
                <w:rFonts w:asciiTheme="minorHAnsi" w:hAnsiTheme="minorHAnsi" w:cstheme="minorBidi"/>
                <w:color w:val="000000"/>
                <w:sz w:val="18"/>
                <w:szCs w:val="18"/>
              </w:rPr>
              <w:t>effective,</w:t>
            </w:r>
            <w:r w:rsidRPr="00DD2D20">
              <w:rPr>
                <w:rFonts w:asciiTheme="minorHAnsi" w:hAnsiTheme="minorHAnsi" w:cstheme="minorBidi"/>
                <w:color w:val="000000"/>
                <w:sz w:val="18"/>
                <w:szCs w:val="18"/>
              </w:rPr>
              <w:t xml:space="preserve"> but that cost</w:t>
            </w:r>
            <w:r w:rsidRPr="00DD2D20">
              <w:rPr>
                <w:rFonts w:asciiTheme="minorHAnsi" w:hAnsiTheme="minorHAnsi" w:cstheme="minorBidi"/>
                <w:color w:val="000000"/>
                <w:sz w:val="18"/>
                <w:szCs w:val="18"/>
              </w:rPr>
              <w:noBreakHyphen/>
              <w:t>effectiveness could be achieved at a lower price.</w:t>
            </w:r>
          </w:p>
        </w:tc>
      </w:tr>
    </w:tbl>
    <w:bookmarkEnd w:id="2"/>
    <w:p w14:paraId="1C0C52B5" w14:textId="29CF8151" w:rsidR="006340F4" w:rsidRPr="00630B41" w:rsidRDefault="00514D2E">
      <w:pPr>
        <w:rPr>
          <w:rFonts w:asciiTheme="minorHAnsi" w:eastAsia="SimSun" w:hAnsiTheme="minorHAnsi" w:cstheme="minorHAnsi"/>
          <w:color w:val="000000"/>
          <w:sz w:val="18"/>
          <w:szCs w:val="18"/>
        </w:rPr>
      </w:pPr>
      <w:r w:rsidRPr="00630B41">
        <w:rPr>
          <w:rFonts w:asciiTheme="minorHAnsi" w:hAnsiTheme="minorHAnsi" w:cstheme="minorHAnsi"/>
          <w:sz w:val="18"/>
          <w:szCs w:val="18"/>
        </w:rPr>
        <w:t xml:space="preserve">* </w:t>
      </w:r>
      <w:r w:rsidR="00630B41" w:rsidRPr="00630B41">
        <w:rPr>
          <w:rFonts w:asciiTheme="minorHAnsi" w:hAnsiTheme="minorHAnsi" w:cstheme="minorHAnsi"/>
          <w:sz w:val="18"/>
          <w:szCs w:val="18"/>
        </w:rPr>
        <w:t xml:space="preserve">Pricing </w:t>
      </w:r>
      <w:r w:rsidR="00DD7950" w:rsidRPr="00630B41">
        <w:rPr>
          <w:rFonts w:asciiTheme="minorHAnsi" w:eastAsia="SimSun" w:hAnsiTheme="minorHAnsi" w:cstheme="minorHAnsi"/>
          <w:color w:val="000000"/>
          <w:sz w:val="18"/>
          <w:szCs w:val="18"/>
        </w:rPr>
        <w:t>Pathway A</w:t>
      </w:r>
      <w:r w:rsidR="006340F4" w:rsidRPr="00630B41">
        <w:rPr>
          <w:rFonts w:asciiTheme="minorHAnsi" w:hAnsiTheme="minorHAnsi" w:cstheme="minorHAnsi"/>
          <w:i/>
          <w:iCs/>
          <w:sz w:val="18"/>
          <w:szCs w:val="18"/>
        </w:rPr>
        <w:br w:type="page"/>
      </w:r>
    </w:p>
    <w:p w14:paraId="03350CEC" w14:textId="04250A64" w:rsidR="00C04E0F" w:rsidRPr="004F3C8C" w:rsidRDefault="6CADB218" w:rsidP="0081587F">
      <w:pPr>
        <w:pStyle w:val="Heading1"/>
      </w:pPr>
      <w:r w:rsidRPr="004F3C8C">
        <w:lastRenderedPageBreak/>
        <w:t>Other agenda items</w:t>
      </w:r>
    </w:p>
    <w:p w14:paraId="39864CE5" w14:textId="77777777" w:rsidR="00F82211" w:rsidRDefault="00F822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0"/>
        <w:gridCol w:w="1419"/>
        <w:gridCol w:w="2268"/>
        <w:gridCol w:w="8731"/>
      </w:tblGrid>
      <w:tr w:rsidR="00F80034" w:rsidRPr="0009421C" w:rsidDel="008F66B5" w14:paraId="4E7C7F21" w14:textId="77777777" w:rsidTr="00E808AE">
        <w:trPr>
          <w:trHeight w:val="20"/>
          <w:tblHeader/>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2963CE7D" w:rsidR="00C04E0F" w:rsidRPr="0009421C" w:rsidRDefault="0F60CC91" w:rsidP="00E808AE">
            <w:pPr>
              <w:jc w:val="center"/>
              <w:rPr>
                <w:rFonts w:ascii="Calibri" w:hAnsi="Calibri" w:cs="Calibri"/>
                <w:color w:val="000000"/>
                <w:sz w:val="18"/>
                <w:szCs w:val="18"/>
              </w:rPr>
            </w:pPr>
            <w:r w:rsidRPr="128117E3">
              <w:rPr>
                <w:rFonts w:asciiTheme="minorHAnsi" w:hAnsiTheme="minorHAnsi" w:cstheme="minorBidi"/>
                <w:b/>
                <w:bCs/>
                <w:sz w:val="18"/>
                <w:szCs w:val="18"/>
              </w:rPr>
              <w:t>AGENDA ITEM</w:t>
            </w:r>
            <w:r w:rsidR="40D30662" w:rsidRPr="128117E3">
              <w:rPr>
                <w:rFonts w:asciiTheme="minorHAnsi" w:hAnsiTheme="minorHAnsi" w:cstheme="minorBidi"/>
                <w:b/>
                <w:bCs/>
                <w:sz w:val="18"/>
                <w:szCs w:val="18"/>
              </w:rPr>
              <w:t>, FORM(S), STRENGTH(S), SPONSOR</w:t>
            </w:r>
          </w:p>
        </w:tc>
        <w:tc>
          <w:tcPr>
            <w:tcW w:w="461"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09421C" w:rsidRDefault="00C04E0F" w:rsidP="00EE514F">
            <w:pPr>
              <w:jc w:val="center"/>
              <w:rPr>
                <w:rFonts w:ascii="Calibri" w:hAnsi="Calibri" w:cs="Calibri"/>
                <w:color w:val="000000"/>
                <w:sz w:val="18"/>
                <w:szCs w:val="18"/>
              </w:rPr>
            </w:pPr>
            <w:r w:rsidRPr="0004054A">
              <w:rPr>
                <w:rFonts w:asciiTheme="minorHAnsi" w:hAnsiTheme="minorHAnsi" w:cstheme="minorHAnsi"/>
                <w:b/>
                <w:sz w:val="18"/>
                <w:szCs w:val="18"/>
              </w:rPr>
              <w:t>DRUG TYPE AND USE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09421C" w:rsidRDefault="40D30662" w:rsidP="00EE514F">
            <w:pPr>
              <w:jc w:val="center"/>
              <w:rPr>
                <w:rFonts w:ascii="Calibri" w:hAnsi="Calibri" w:cs="Calibri"/>
                <w:color w:val="000000"/>
                <w:sz w:val="18"/>
                <w:szCs w:val="18"/>
              </w:rPr>
            </w:pPr>
            <w:r w:rsidRPr="128117E3">
              <w:rPr>
                <w:rFonts w:asciiTheme="minorHAnsi" w:hAnsiTheme="minorHAnsi" w:cstheme="minorBidi"/>
                <w:b/>
                <w:bCs/>
                <w:sz w:val="18"/>
                <w:szCs w:val="18"/>
              </w:rPr>
              <w:t xml:space="preserve">PURPOSE OF </w:t>
            </w:r>
            <w:r w:rsidR="6CADB218" w:rsidRPr="128117E3">
              <w:rPr>
                <w:rFonts w:asciiTheme="minorHAnsi" w:hAnsiTheme="minorHAnsi" w:cstheme="minorBidi"/>
                <w:b/>
                <w:bCs/>
                <w:sz w:val="18"/>
                <w:szCs w:val="18"/>
              </w:rPr>
              <w:t>AGENDA ITEM</w:t>
            </w:r>
          </w:p>
        </w:tc>
        <w:tc>
          <w:tcPr>
            <w:tcW w:w="2837" w:type="pct"/>
            <w:vAlign w:val="center"/>
          </w:tcPr>
          <w:p w14:paraId="78862D15" w14:textId="1A3B64D2" w:rsidR="00C04E0F" w:rsidRPr="0009421C" w:rsidRDefault="00C04E0F" w:rsidP="00EE514F">
            <w:pPr>
              <w:rPr>
                <w:rFonts w:ascii="Calibri" w:hAnsi="Calibri" w:cs="Calibri"/>
                <w:color w:val="000000"/>
                <w:sz w:val="18"/>
                <w:szCs w:val="18"/>
              </w:rPr>
            </w:pPr>
            <w:r w:rsidRPr="0004054A">
              <w:rPr>
                <w:rFonts w:asciiTheme="minorHAnsi" w:hAnsiTheme="minorHAnsi" w:cstheme="minorHAnsi"/>
                <w:b/>
                <w:sz w:val="18"/>
                <w:szCs w:val="18"/>
              </w:rPr>
              <w:t>PBAC OUTCOME</w:t>
            </w:r>
          </w:p>
        </w:tc>
      </w:tr>
      <w:tr w:rsidR="0069797F" w:rsidRPr="0009421C" w:rsidDel="008F66B5" w14:paraId="63160A16"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75435C" w14:textId="07EB33C0" w:rsidR="0069797F" w:rsidRPr="00DB5749" w:rsidRDefault="0069797F" w:rsidP="00DB5749">
            <w:pPr>
              <w:jc w:val="center"/>
              <w:rPr>
                <w:rFonts w:ascii="Calibri" w:hAnsi="Calibri" w:cs="Calibri"/>
                <w:color w:val="000000"/>
                <w:sz w:val="18"/>
                <w:szCs w:val="18"/>
              </w:rPr>
            </w:pPr>
            <w:r w:rsidRPr="00DB5749">
              <w:rPr>
                <w:rFonts w:ascii="Calibri" w:hAnsi="Calibri" w:cs="Calibri"/>
                <w:color w:val="000000"/>
                <w:sz w:val="18"/>
                <w:szCs w:val="18"/>
              </w:rPr>
              <w:t>Designated Registered Nurse Prescribing</w:t>
            </w:r>
          </w:p>
        </w:tc>
        <w:tc>
          <w:tcPr>
            <w:tcW w:w="461" w:type="pct"/>
            <w:tcBorders>
              <w:top w:val="single" w:sz="4" w:space="0" w:color="auto"/>
              <w:left w:val="single" w:sz="4" w:space="0" w:color="auto"/>
              <w:bottom w:val="single" w:sz="4" w:space="0" w:color="auto"/>
              <w:right w:val="single" w:sz="4" w:space="0" w:color="auto"/>
            </w:tcBorders>
            <w:vAlign w:val="center"/>
          </w:tcPr>
          <w:p w14:paraId="0CA60E7F" w14:textId="157DDC0D" w:rsidR="0069797F" w:rsidRPr="00867C2B" w:rsidRDefault="0069797F" w:rsidP="00EE514F">
            <w:pPr>
              <w:jc w:val="center"/>
              <w:rPr>
                <w:rFonts w:asciiTheme="minorHAnsi" w:hAnsiTheme="minorHAnsi" w:cstheme="minorHAnsi"/>
                <w:sz w:val="18"/>
                <w:szCs w:val="18"/>
              </w:rPr>
            </w:pPr>
            <w:r w:rsidRPr="00365CF9">
              <w:rPr>
                <w:rFonts w:asciiTheme="minorHAnsi" w:hAnsiTheme="minorHAnsi" w:cstheme="minorHAnsi"/>
                <w:color w:val="000000"/>
                <w:sz w:val="18"/>
                <w:szCs w:val="18"/>
              </w:rPr>
              <w:t>Not Applicable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86E218" w14:textId="6F50B98A" w:rsidR="0069797F" w:rsidRDefault="0069797F" w:rsidP="00EE514F">
            <w:pPr>
              <w:rPr>
                <w:rFonts w:asciiTheme="minorHAnsi" w:hAnsiTheme="minorHAnsi" w:cstheme="minorHAnsi"/>
                <w:sz w:val="18"/>
                <w:szCs w:val="18"/>
              </w:rPr>
            </w:pPr>
            <w:r w:rsidRPr="00365CF9">
              <w:rPr>
                <w:rFonts w:asciiTheme="minorHAnsi" w:hAnsiTheme="minorHAnsi" w:cstheme="minorHAnsi"/>
                <w:color w:val="000000"/>
                <w:sz w:val="18"/>
                <w:szCs w:val="18"/>
              </w:rPr>
              <w:t xml:space="preserve">To </w:t>
            </w:r>
            <w:r w:rsidR="0055029C">
              <w:rPr>
                <w:rFonts w:asciiTheme="minorHAnsi" w:hAnsiTheme="minorHAnsi" w:cstheme="minorHAnsi"/>
                <w:color w:val="000000"/>
                <w:sz w:val="18"/>
                <w:szCs w:val="18"/>
              </w:rPr>
              <w:t>provide advice on</w:t>
            </w:r>
            <w:r w:rsidRPr="00365CF9">
              <w:rPr>
                <w:rFonts w:asciiTheme="minorHAnsi" w:hAnsiTheme="minorHAnsi" w:cstheme="minorHAnsi"/>
                <w:color w:val="000000"/>
                <w:sz w:val="18"/>
                <w:szCs w:val="18"/>
              </w:rPr>
              <w:t xml:space="preserve"> developed principles that will be used to assess the suitability of each</w:t>
            </w:r>
            <w:r w:rsidR="00317975">
              <w:rPr>
                <w:rFonts w:asciiTheme="minorHAnsi" w:hAnsiTheme="minorHAnsi" w:cstheme="minorHAnsi"/>
                <w:color w:val="000000"/>
                <w:sz w:val="18"/>
                <w:szCs w:val="18"/>
              </w:rPr>
              <w:t xml:space="preserve"> PBS</w:t>
            </w:r>
            <w:r w:rsidRPr="00365CF9">
              <w:rPr>
                <w:rFonts w:asciiTheme="minorHAnsi" w:hAnsiTheme="minorHAnsi" w:cstheme="minorHAnsi"/>
                <w:color w:val="000000"/>
                <w:sz w:val="18"/>
                <w:szCs w:val="18"/>
              </w:rPr>
              <w:t xml:space="preserve"> medicine for designated registered nurse PBS prescribing.</w:t>
            </w:r>
          </w:p>
        </w:tc>
        <w:tc>
          <w:tcPr>
            <w:tcW w:w="2837" w:type="pct"/>
            <w:vAlign w:val="center"/>
          </w:tcPr>
          <w:p w14:paraId="7B495E0C" w14:textId="77777777" w:rsid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considered how the PBS could safely support prescribing by designated registered nurse (RN) prescribers in the future.</w:t>
            </w:r>
          </w:p>
          <w:p w14:paraId="5CFCE3AF" w14:textId="77777777" w:rsidR="008C7547" w:rsidRPr="00882E54" w:rsidRDefault="008C7547" w:rsidP="00882E54">
            <w:pPr>
              <w:rPr>
                <w:rFonts w:asciiTheme="minorHAnsi" w:hAnsiTheme="minorHAnsi" w:cstheme="minorBidi"/>
                <w:color w:val="000000"/>
                <w:sz w:val="18"/>
                <w:szCs w:val="18"/>
              </w:rPr>
            </w:pPr>
          </w:p>
          <w:p w14:paraId="48A9E00E" w14:textId="77777777" w:rsidR="00882E54" w:rsidRP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Designated RN prescribers are registered nurses endorsed under the Nursing and Midwifery Board of Australia Registration standard. Designated RN prescribers would be able to prescribe certain medicines in partnership with an authorised health practitioner, supported by a prescribing agreement and clinical governance arrangements.</w:t>
            </w:r>
          </w:p>
          <w:p w14:paraId="56878D7F" w14:textId="77777777" w:rsidR="00B11827" w:rsidRDefault="00B11827" w:rsidP="00882E54">
            <w:pPr>
              <w:rPr>
                <w:rFonts w:asciiTheme="minorHAnsi" w:hAnsiTheme="minorHAnsi" w:cstheme="minorBidi"/>
                <w:color w:val="000000"/>
                <w:sz w:val="18"/>
                <w:szCs w:val="18"/>
              </w:rPr>
            </w:pPr>
          </w:p>
          <w:p w14:paraId="38054FEE" w14:textId="6AB5ABAA" w:rsid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endorsed guidance principles to help assess which PBS medicine listings may be suitable for designated RN prescribing. The principles use a tiered approach: an initial screen to identify medicines that may raise significant concerns, followed by further considerations (such as potential impacts on patient access and other practical issues) where the initial screen identifies minimal concerns.</w:t>
            </w:r>
          </w:p>
          <w:p w14:paraId="5B0BD63C" w14:textId="77777777" w:rsidR="008C7547" w:rsidRPr="00882E54" w:rsidRDefault="008C7547" w:rsidP="00882E54">
            <w:pPr>
              <w:rPr>
                <w:rFonts w:asciiTheme="minorHAnsi" w:hAnsiTheme="minorHAnsi" w:cstheme="minorBidi"/>
                <w:color w:val="000000"/>
                <w:sz w:val="18"/>
                <w:szCs w:val="18"/>
              </w:rPr>
            </w:pPr>
          </w:p>
          <w:p w14:paraId="3ED824F1" w14:textId="77777777" w:rsidR="00882E54" w:rsidRPr="00882E54" w:rsidRDefault="00882E54" w:rsidP="00882E54">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also endorsed a revised timeline for a staged PBAC review of PBS listings for designated RN prescribing.</w:t>
            </w:r>
          </w:p>
          <w:p w14:paraId="15D36AD2" w14:textId="77777777" w:rsidR="00B11827" w:rsidRDefault="00B11827" w:rsidP="00EE514F">
            <w:pPr>
              <w:rPr>
                <w:rFonts w:asciiTheme="minorHAnsi" w:hAnsiTheme="minorHAnsi" w:cstheme="minorBidi"/>
                <w:color w:val="000000"/>
                <w:sz w:val="18"/>
                <w:szCs w:val="18"/>
              </w:rPr>
            </w:pPr>
          </w:p>
          <w:p w14:paraId="269CA942" w14:textId="052FCCE0" w:rsidR="0069797F" w:rsidRPr="00F86E16" w:rsidRDefault="00882E54" w:rsidP="00EE514F">
            <w:pPr>
              <w:rPr>
                <w:rFonts w:asciiTheme="minorHAnsi" w:hAnsiTheme="minorHAnsi" w:cstheme="minorBidi"/>
                <w:color w:val="000000"/>
                <w:sz w:val="18"/>
                <w:szCs w:val="18"/>
              </w:rPr>
            </w:pPr>
            <w:r w:rsidRPr="00882E54">
              <w:rPr>
                <w:rFonts w:asciiTheme="minorHAnsi" w:hAnsiTheme="minorHAnsi" w:cstheme="minorBidi"/>
                <w:color w:val="000000"/>
                <w:sz w:val="18"/>
                <w:szCs w:val="18"/>
              </w:rPr>
              <w:t>The PBAC noted that implementation will also depend on legislative and jurisdictional settings. A Bill introduced to Parliament on 26 November 2025 proposes recognising designated RN prescribers as PBS prescribers from mid</w:t>
            </w:r>
            <w:r w:rsidRPr="00882E54">
              <w:rPr>
                <w:rFonts w:asciiTheme="minorHAnsi" w:hAnsiTheme="minorHAnsi" w:cstheme="minorBidi"/>
                <w:color w:val="000000"/>
                <w:sz w:val="18"/>
                <w:szCs w:val="18"/>
              </w:rPr>
              <w:noBreakHyphen/>
              <w:t>2026, and state and territory medicines and poisons laws may also need to be updated.</w:t>
            </w:r>
          </w:p>
        </w:tc>
      </w:tr>
      <w:tr w:rsidR="00F80034" w:rsidRPr="0009421C" w:rsidDel="008F66B5" w14:paraId="13225EF2" w14:textId="399D688C"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89DF25" w14:textId="210F666B" w:rsidR="00C04E0F" w:rsidRPr="00DB5749" w:rsidRDefault="00C24FEA" w:rsidP="00E808AE">
            <w:pPr>
              <w:jc w:val="center"/>
              <w:rPr>
                <w:rFonts w:ascii="Calibri" w:hAnsi="Calibri" w:cs="Calibri"/>
                <w:color w:val="000000"/>
                <w:sz w:val="18"/>
                <w:szCs w:val="18"/>
              </w:rPr>
            </w:pPr>
            <w:r w:rsidRPr="00DB5749">
              <w:rPr>
                <w:rFonts w:ascii="Calibri" w:hAnsi="Calibri" w:cs="Calibri"/>
                <w:color w:val="000000"/>
                <w:sz w:val="18"/>
                <w:szCs w:val="18"/>
              </w:rPr>
              <w:t xml:space="preserve">Biologics for </w:t>
            </w:r>
            <w:r w:rsidR="00EB7D6C" w:rsidRPr="00DB5749">
              <w:rPr>
                <w:rFonts w:ascii="Calibri" w:hAnsi="Calibri" w:cs="Calibri"/>
                <w:color w:val="000000"/>
                <w:sz w:val="18"/>
                <w:szCs w:val="18"/>
              </w:rPr>
              <w:t>U</w:t>
            </w:r>
            <w:r w:rsidRPr="00DB5749">
              <w:rPr>
                <w:rFonts w:ascii="Calibri" w:hAnsi="Calibri" w:cs="Calibri"/>
                <w:color w:val="000000"/>
                <w:sz w:val="18"/>
                <w:szCs w:val="18"/>
              </w:rPr>
              <w:t xml:space="preserve">lcerative </w:t>
            </w:r>
            <w:r w:rsidR="00EB7D6C" w:rsidRPr="00DB5749">
              <w:rPr>
                <w:rFonts w:ascii="Calibri" w:hAnsi="Calibri" w:cs="Calibri"/>
                <w:color w:val="000000"/>
                <w:sz w:val="18"/>
                <w:szCs w:val="18"/>
              </w:rPr>
              <w:t>C</w:t>
            </w:r>
            <w:r w:rsidRPr="00DB5749">
              <w:rPr>
                <w:rFonts w:ascii="Calibri" w:hAnsi="Calibri" w:cs="Calibri"/>
                <w:color w:val="000000"/>
                <w:sz w:val="18"/>
                <w:szCs w:val="18"/>
              </w:rPr>
              <w:t xml:space="preserve">olitis and Crohn </w:t>
            </w:r>
            <w:r w:rsidR="00EB7D6C" w:rsidRPr="00DB5749">
              <w:rPr>
                <w:rFonts w:ascii="Calibri" w:hAnsi="Calibri" w:cs="Calibri"/>
                <w:color w:val="000000"/>
                <w:sz w:val="18"/>
                <w:szCs w:val="18"/>
              </w:rPr>
              <w:t>D</w:t>
            </w:r>
            <w:r w:rsidRPr="00DB5749">
              <w:rPr>
                <w:rFonts w:ascii="Calibri" w:hAnsi="Calibri" w:cs="Calibri"/>
                <w:color w:val="000000"/>
                <w:sz w:val="18"/>
                <w:szCs w:val="18"/>
              </w:rPr>
              <w:t xml:space="preserve">isease in </w:t>
            </w:r>
            <w:r w:rsidR="00EB7D6C" w:rsidRPr="00DB5749">
              <w:rPr>
                <w:rFonts w:ascii="Calibri" w:hAnsi="Calibri" w:cs="Calibri"/>
                <w:color w:val="000000"/>
                <w:sz w:val="18"/>
                <w:szCs w:val="18"/>
              </w:rPr>
              <w:t>P</w:t>
            </w:r>
            <w:r w:rsidRPr="00DB5749">
              <w:rPr>
                <w:rFonts w:ascii="Calibri" w:hAnsi="Calibri" w:cs="Calibri"/>
                <w:color w:val="000000"/>
                <w:sz w:val="18"/>
                <w:szCs w:val="18"/>
              </w:rPr>
              <w:t>aediatric-to-</w:t>
            </w:r>
            <w:r w:rsidR="004A6142" w:rsidRPr="00DB5749">
              <w:rPr>
                <w:rFonts w:ascii="Calibri" w:hAnsi="Calibri" w:cs="Calibri"/>
                <w:color w:val="000000"/>
                <w:sz w:val="18"/>
                <w:szCs w:val="18"/>
              </w:rPr>
              <w:t>a</w:t>
            </w:r>
            <w:r w:rsidRPr="00DB5749">
              <w:rPr>
                <w:rFonts w:ascii="Calibri" w:hAnsi="Calibri" w:cs="Calibri"/>
                <w:color w:val="000000"/>
                <w:sz w:val="18"/>
                <w:szCs w:val="18"/>
              </w:rPr>
              <w:t xml:space="preserve">dult </w:t>
            </w:r>
            <w:r w:rsidR="00EB7D6C" w:rsidRPr="00DB5749">
              <w:rPr>
                <w:rFonts w:ascii="Calibri" w:hAnsi="Calibri" w:cs="Calibri"/>
                <w:color w:val="000000"/>
                <w:sz w:val="18"/>
                <w:szCs w:val="18"/>
              </w:rPr>
              <w:t>T</w:t>
            </w:r>
            <w:r w:rsidRPr="00DB5749">
              <w:rPr>
                <w:rFonts w:ascii="Calibri" w:hAnsi="Calibri" w:cs="Calibri"/>
                <w:color w:val="000000"/>
                <w:sz w:val="18"/>
                <w:szCs w:val="18"/>
              </w:rPr>
              <w:t>ransition</w:t>
            </w:r>
          </w:p>
          <w:p w14:paraId="144DC54F" w14:textId="77777777" w:rsidR="00EC349A" w:rsidRPr="00DB5749" w:rsidRDefault="00EC349A" w:rsidP="00E808AE">
            <w:pPr>
              <w:jc w:val="center"/>
              <w:rPr>
                <w:rFonts w:ascii="Calibri" w:hAnsi="Calibri" w:cs="Calibri"/>
                <w:color w:val="000000"/>
                <w:sz w:val="18"/>
                <w:szCs w:val="18"/>
              </w:rPr>
            </w:pPr>
          </w:p>
          <w:p w14:paraId="52B2EFEF" w14:textId="027D51AB" w:rsidR="004D7312" w:rsidRPr="00DB5749" w:rsidRDefault="00EC349A" w:rsidP="00E808AE">
            <w:pPr>
              <w:jc w:val="center"/>
              <w:rPr>
                <w:rFonts w:ascii="Calibri" w:hAnsi="Calibri" w:cs="Calibri"/>
                <w:color w:val="000000"/>
                <w:sz w:val="18"/>
                <w:szCs w:val="18"/>
              </w:rPr>
            </w:pPr>
            <w:r w:rsidRPr="00DB5749">
              <w:rPr>
                <w:rFonts w:ascii="Calibri" w:hAnsi="Calibri" w:cs="Calibri"/>
                <w:color w:val="000000"/>
                <w:sz w:val="18"/>
                <w:szCs w:val="18"/>
              </w:rPr>
              <w:t>Multiple drugs</w:t>
            </w:r>
            <w:r w:rsidR="00EE514F" w:rsidRPr="00DB5749">
              <w:rPr>
                <w:rFonts w:ascii="Calibri" w:hAnsi="Calibri" w:cs="Calibri"/>
                <w:color w:val="000000"/>
                <w:sz w:val="18"/>
                <w:szCs w:val="18"/>
              </w:rPr>
              <w:t>,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08DE0F92" w14:textId="709CD7E2" w:rsidR="00C04E0F" w:rsidRPr="0009421C" w:rsidRDefault="00EE514F" w:rsidP="00EE514F">
            <w:pPr>
              <w:jc w:val="center"/>
              <w:rPr>
                <w:rFonts w:asciiTheme="minorHAnsi" w:hAnsiTheme="minorHAnsi" w:cstheme="minorHAnsi"/>
                <w:sz w:val="18"/>
                <w:szCs w:val="18"/>
              </w:rPr>
            </w:pPr>
            <w:r>
              <w:rPr>
                <w:rFonts w:asciiTheme="minorHAnsi" w:hAnsiTheme="minorHAnsi" w:cstheme="minorHAnsi"/>
                <w:sz w:val="18"/>
                <w:szCs w:val="18"/>
              </w:rPr>
              <w:t>C</w:t>
            </w:r>
            <w:r w:rsidR="00867C2B" w:rsidRPr="00867C2B">
              <w:rPr>
                <w:rFonts w:asciiTheme="minorHAnsi" w:hAnsiTheme="minorHAnsi" w:cstheme="minorHAnsi"/>
                <w:sz w:val="18"/>
                <w:szCs w:val="18"/>
              </w:rPr>
              <w:t xml:space="preserve">rohn </w:t>
            </w:r>
            <w:r>
              <w:rPr>
                <w:rFonts w:asciiTheme="minorHAnsi" w:hAnsiTheme="minorHAnsi" w:cstheme="minorHAnsi"/>
                <w:sz w:val="18"/>
                <w:szCs w:val="18"/>
              </w:rPr>
              <w:t>d</w:t>
            </w:r>
            <w:r w:rsidR="00867C2B" w:rsidRPr="00867C2B">
              <w:rPr>
                <w:rFonts w:asciiTheme="minorHAnsi" w:hAnsiTheme="minorHAnsi" w:cstheme="minorHAnsi"/>
                <w:sz w:val="18"/>
                <w:szCs w:val="18"/>
              </w:rPr>
              <w:t>isease</w:t>
            </w:r>
            <w:r w:rsidR="003C2C66">
              <w:rPr>
                <w:rFonts w:asciiTheme="minorHAnsi" w:hAnsiTheme="minorHAnsi" w:cstheme="minorHAnsi"/>
                <w:sz w:val="18"/>
                <w:szCs w:val="18"/>
              </w:rPr>
              <w:br/>
              <w:t>U</w:t>
            </w:r>
            <w:r w:rsidR="00867C2B" w:rsidRPr="00867C2B">
              <w:rPr>
                <w:rFonts w:asciiTheme="minorHAnsi" w:hAnsiTheme="minorHAnsi" w:cstheme="minorHAnsi"/>
                <w:sz w:val="18"/>
                <w:szCs w:val="18"/>
              </w:rPr>
              <w:t>lcerative colitis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7C31E8E2" w:rsidR="00C04E0F" w:rsidRPr="0009421C" w:rsidRDefault="003350E3" w:rsidP="00EE514F">
            <w:pPr>
              <w:rPr>
                <w:rFonts w:asciiTheme="minorHAnsi" w:hAnsiTheme="minorHAnsi" w:cstheme="minorHAnsi"/>
                <w:sz w:val="18"/>
                <w:szCs w:val="18"/>
              </w:rPr>
            </w:pPr>
            <w:r>
              <w:rPr>
                <w:rFonts w:asciiTheme="minorHAnsi" w:hAnsiTheme="minorHAnsi" w:cstheme="minorHAnsi"/>
                <w:sz w:val="18"/>
                <w:szCs w:val="18"/>
              </w:rPr>
              <w:t>T</w:t>
            </w:r>
            <w:r w:rsidR="0069797F">
              <w:rPr>
                <w:rFonts w:asciiTheme="minorHAnsi" w:hAnsiTheme="minorHAnsi" w:cstheme="minorHAnsi"/>
                <w:sz w:val="18"/>
                <w:szCs w:val="18"/>
              </w:rPr>
              <w:t>o</w:t>
            </w:r>
            <w:r w:rsidRPr="003350E3">
              <w:rPr>
                <w:rFonts w:asciiTheme="minorHAnsi" w:hAnsiTheme="minorHAnsi" w:cstheme="minorHAnsi"/>
                <w:sz w:val="18"/>
                <w:szCs w:val="18"/>
              </w:rPr>
              <w:t xml:space="preserve"> provide advice regarding PBS subsidised access to biological and targeted synthetic disease modifying drugs (b/tsDMARD) for adolescent/adult patients with moderate to severe ulcerative colitis (UC) or severe Crohn disease (CD) where treatment was initiated during childhood and accessed via non-PBS pathways.</w:t>
            </w:r>
          </w:p>
        </w:tc>
        <w:tc>
          <w:tcPr>
            <w:tcW w:w="2837" w:type="pct"/>
            <w:vAlign w:val="center"/>
          </w:tcPr>
          <w:p w14:paraId="478F53B3" w14:textId="0FA62188" w:rsidR="001B5248" w:rsidRDefault="00F86E16" w:rsidP="00EE514F">
            <w:pPr>
              <w:rPr>
                <w:rFonts w:asciiTheme="minorHAnsi" w:hAnsiTheme="minorHAnsi" w:cstheme="minorBidi"/>
                <w:color w:val="000000"/>
                <w:sz w:val="18"/>
                <w:szCs w:val="18"/>
              </w:rPr>
            </w:pPr>
            <w:r w:rsidRPr="00F86E16">
              <w:rPr>
                <w:rFonts w:asciiTheme="minorHAnsi" w:hAnsiTheme="minorHAnsi" w:cstheme="minorBidi"/>
                <w:color w:val="000000"/>
                <w:sz w:val="18"/>
                <w:szCs w:val="18"/>
              </w:rPr>
              <w:t xml:space="preserve">The PBAC recommended changes to the PBS listing of golimumab, ozanimod, tofacitinib, upadacitinib, ustekinumab, vedolizumab to support access for </w:t>
            </w:r>
            <w:r w:rsidR="00784F53">
              <w:rPr>
                <w:rFonts w:asciiTheme="minorHAnsi" w:hAnsiTheme="minorHAnsi" w:cstheme="minorBidi"/>
                <w:color w:val="000000"/>
                <w:sz w:val="18"/>
                <w:szCs w:val="18"/>
              </w:rPr>
              <w:t>people</w:t>
            </w:r>
            <w:r w:rsidRPr="00F86E16">
              <w:rPr>
                <w:rFonts w:asciiTheme="minorHAnsi" w:hAnsiTheme="minorHAnsi" w:cstheme="minorBidi"/>
                <w:color w:val="000000"/>
                <w:sz w:val="18"/>
                <w:szCs w:val="18"/>
              </w:rPr>
              <w:t xml:space="preserve"> with ulcerative colitis (UC) and Crohn disease (CD) who </w:t>
            </w:r>
            <w:r w:rsidR="003B1289">
              <w:rPr>
                <w:rFonts w:asciiTheme="minorHAnsi" w:hAnsiTheme="minorHAnsi" w:cstheme="minorBidi"/>
                <w:color w:val="000000"/>
                <w:sz w:val="18"/>
                <w:szCs w:val="18"/>
              </w:rPr>
              <w:t>started</w:t>
            </w:r>
            <w:r w:rsidRPr="00F86E16">
              <w:rPr>
                <w:rFonts w:asciiTheme="minorHAnsi" w:hAnsiTheme="minorHAnsi" w:cstheme="minorBidi"/>
                <w:color w:val="000000"/>
                <w:sz w:val="18"/>
                <w:szCs w:val="18"/>
              </w:rPr>
              <w:t xml:space="preserve"> advanced therapy during childhood.</w:t>
            </w:r>
          </w:p>
          <w:p w14:paraId="4653DB53" w14:textId="77777777" w:rsidR="001B5248" w:rsidRDefault="001B5248" w:rsidP="00EE514F">
            <w:pPr>
              <w:rPr>
                <w:rFonts w:asciiTheme="minorHAnsi" w:hAnsiTheme="minorHAnsi" w:cstheme="minorBidi"/>
                <w:color w:val="000000"/>
                <w:sz w:val="18"/>
                <w:szCs w:val="18"/>
              </w:rPr>
            </w:pPr>
          </w:p>
          <w:p w14:paraId="0A9A0A28" w14:textId="3C0E72CF" w:rsidR="00162071" w:rsidRPr="00162071" w:rsidRDefault="003B1289" w:rsidP="00162071">
            <w:pPr>
              <w:rPr>
                <w:rFonts w:asciiTheme="minorHAnsi" w:hAnsiTheme="minorHAnsi" w:cstheme="minorBidi"/>
                <w:color w:val="000000"/>
                <w:sz w:val="18"/>
                <w:szCs w:val="18"/>
              </w:rPr>
            </w:pPr>
            <w:r>
              <w:rPr>
                <w:rFonts w:asciiTheme="minorHAnsi" w:hAnsiTheme="minorHAnsi" w:cstheme="minorBidi"/>
                <w:color w:val="000000"/>
                <w:sz w:val="18"/>
                <w:szCs w:val="18"/>
              </w:rPr>
              <w:t>Some young people</w:t>
            </w:r>
            <w:r w:rsidR="00F86E16" w:rsidRPr="00F86E16">
              <w:rPr>
                <w:rFonts w:asciiTheme="minorHAnsi" w:hAnsiTheme="minorHAnsi" w:cstheme="minorBidi"/>
                <w:color w:val="000000"/>
                <w:sz w:val="18"/>
                <w:szCs w:val="18"/>
              </w:rPr>
              <w:t xml:space="preserve"> </w:t>
            </w:r>
            <w:r w:rsidR="00236CDF" w:rsidRPr="00236CDF">
              <w:rPr>
                <w:rFonts w:asciiTheme="minorHAnsi" w:hAnsiTheme="minorHAnsi" w:cstheme="minorBidi"/>
                <w:color w:val="000000"/>
                <w:sz w:val="18"/>
                <w:szCs w:val="18"/>
              </w:rPr>
              <w:t>start these medicines through non</w:t>
            </w:r>
            <w:r w:rsidR="00236CDF" w:rsidRPr="00236CDF">
              <w:rPr>
                <w:rFonts w:ascii="Cambria Math" w:hAnsi="Cambria Math" w:cs="Cambria Math"/>
                <w:color w:val="000000"/>
                <w:sz w:val="18"/>
                <w:szCs w:val="18"/>
              </w:rPr>
              <w:t>‑</w:t>
            </w:r>
            <w:r w:rsidR="00236CDF" w:rsidRPr="00236CDF">
              <w:rPr>
                <w:rFonts w:asciiTheme="minorHAnsi" w:hAnsiTheme="minorHAnsi" w:cstheme="minorBidi"/>
                <w:color w:val="000000"/>
                <w:sz w:val="18"/>
                <w:szCs w:val="18"/>
              </w:rPr>
              <w:t>PBS pathways (for example, hospital individual patient use programs or compassionate access schemes). By the time they turn 18, treatment may have controlled symptoms and lowered biomarkers, which can make it hard to meet the disease</w:t>
            </w:r>
            <w:r w:rsidR="00236CDF" w:rsidRPr="00236CDF">
              <w:rPr>
                <w:rFonts w:ascii="Cambria Math" w:hAnsi="Cambria Math" w:cs="Cambria Math"/>
                <w:color w:val="000000"/>
                <w:sz w:val="18"/>
                <w:szCs w:val="18"/>
              </w:rPr>
              <w:t>‑</w:t>
            </w:r>
            <w:r w:rsidR="00236CDF" w:rsidRPr="00236CDF">
              <w:rPr>
                <w:rFonts w:asciiTheme="minorHAnsi" w:hAnsiTheme="minorHAnsi" w:cstheme="minorBidi"/>
                <w:color w:val="000000"/>
                <w:sz w:val="18"/>
                <w:szCs w:val="18"/>
              </w:rPr>
              <w:t>severity entry criteria in the adult PBS listings.</w:t>
            </w:r>
          </w:p>
          <w:p w14:paraId="4BC65646" w14:textId="5284526F" w:rsidR="00F86E16" w:rsidRDefault="00F86E16" w:rsidP="00EE514F">
            <w:pPr>
              <w:rPr>
                <w:rFonts w:asciiTheme="minorHAnsi" w:hAnsiTheme="minorHAnsi" w:cstheme="minorBidi"/>
                <w:color w:val="000000"/>
                <w:sz w:val="18"/>
                <w:szCs w:val="18"/>
              </w:rPr>
            </w:pPr>
          </w:p>
          <w:p w14:paraId="0D76913C" w14:textId="2B9128D6" w:rsidR="005F40CC" w:rsidRPr="005F40CC" w:rsidRDefault="005F40CC" w:rsidP="005F40CC">
            <w:pPr>
              <w:rPr>
                <w:rFonts w:asciiTheme="minorHAnsi" w:hAnsiTheme="minorHAnsi" w:cstheme="minorBidi"/>
                <w:color w:val="000000"/>
                <w:sz w:val="18"/>
                <w:szCs w:val="18"/>
              </w:rPr>
            </w:pPr>
            <w:r w:rsidRPr="005F40CC">
              <w:rPr>
                <w:rFonts w:asciiTheme="minorHAnsi" w:hAnsiTheme="minorHAnsi" w:cstheme="minorBidi"/>
                <w:color w:val="000000"/>
                <w:sz w:val="18"/>
                <w:szCs w:val="18"/>
              </w:rPr>
              <w:t xml:space="preserve">To avoid treatment disruption and potential clinical relapse, the PBAC recommended a pathway for these patients to move onto the adult PBS listings. Under the amended listings, </w:t>
            </w:r>
            <w:r w:rsidR="00B12D2F">
              <w:rPr>
                <w:rFonts w:asciiTheme="minorHAnsi" w:hAnsiTheme="minorHAnsi" w:cstheme="minorBidi"/>
                <w:color w:val="000000"/>
                <w:sz w:val="18"/>
                <w:szCs w:val="18"/>
              </w:rPr>
              <w:t>prescribers</w:t>
            </w:r>
            <w:r w:rsidRPr="005F40CC">
              <w:rPr>
                <w:rFonts w:asciiTheme="minorHAnsi" w:hAnsiTheme="minorHAnsi" w:cstheme="minorBidi"/>
                <w:color w:val="000000"/>
                <w:sz w:val="18"/>
                <w:szCs w:val="18"/>
              </w:rPr>
              <w:t xml:space="preserve"> will need to show that:</w:t>
            </w:r>
          </w:p>
          <w:p w14:paraId="18AE720E" w14:textId="77777777" w:rsidR="005F40CC" w:rsidRPr="005F40CC" w:rsidRDefault="005F40CC" w:rsidP="005F40CC">
            <w:pPr>
              <w:numPr>
                <w:ilvl w:val="0"/>
                <w:numId w:val="72"/>
              </w:numPr>
              <w:rPr>
                <w:rFonts w:asciiTheme="minorHAnsi" w:hAnsiTheme="minorHAnsi" w:cstheme="minorBidi"/>
                <w:color w:val="000000"/>
                <w:sz w:val="18"/>
                <w:szCs w:val="18"/>
              </w:rPr>
            </w:pPr>
            <w:r w:rsidRPr="005F40CC">
              <w:rPr>
                <w:rFonts w:asciiTheme="minorHAnsi" w:hAnsiTheme="minorHAnsi" w:cstheme="minorBidi"/>
                <w:color w:val="000000"/>
                <w:sz w:val="18"/>
                <w:szCs w:val="18"/>
              </w:rPr>
              <w:t>treatment started before age 18 through a non</w:t>
            </w:r>
            <w:r w:rsidRPr="005F40CC">
              <w:rPr>
                <w:rFonts w:asciiTheme="minorHAnsi" w:hAnsiTheme="minorHAnsi" w:cstheme="minorBidi"/>
                <w:color w:val="000000"/>
                <w:sz w:val="18"/>
                <w:szCs w:val="18"/>
              </w:rPr>
              <w:noBreakHyphen/>
              <w:t xml:space="preserve">PBS </w:t>
            </w:r>
            <w:proofErr w:type="gramStart"/>
            <w:r w:rsidRPr="005F40CC">
              <w:rPr>
                <w:rFonts w:asciiTheme="minorHAnsi" w:hAnsiTheme="minorHAnsi" w:cstheme="minorBidi"/>
                <w:color w:val="000000"/>
                <w:sz w:val="18"/>
                <w:szCs w:val="18"/>
              </w:rPr>
              <w:t>pathway;</w:t>
            </w:r>
            <w:proofErr w:type="gramEnd"/>
          </w:p>
          <w:p w14:paraId="775A52F5" w14:textId="0A1DFD30" w:rsidR="005F40CC" w:rsidRPr="005F40CC" w:rsidRDefault="00B12D2F" w:rsidP="005F40CC">
            <w:pPr>
              <w:numPr>
                <w:ilvl w:val="0"/>
                <w:numId w:val="72"/>
              </w:numPr>
              <w:rPr>
                <w:rFonts w:asciiTheme="minorHAnsi" w:hAnsiTheme="minorHAnsi" w:cstheme="minorBidi"/>
                <w:color w:val="000000"/>
                <w:sz w:val="18"/>
                <w:szCs w:val="18"/>
              </w:rPr>
            </w:pPr>
            <w:r>
              <w:rPr>
                <w:rFonts w:asciiTheme="minorHAnsi" w:hAnsiTheme="minorHAnsi" w:cstheme="minorBidi"/>
                <w:color w:val="000000"/>
                <w:sz w:val="18"/>
                <w:szCs w:val="18"/>
              </w:rPr>
              <w:t>the patient</w:t>
            </w:r>
            <w:r w:rsidR="005F40CC" w:rsidRPr="005F40CC">
              <w:rPr>
                <w:rFonts w:asciiTheme="minorHAnsi" w:hAnsiTheme="minorHAnsi" w:cstheme="minorBidi"/>
                <w:color w:val="000000"/>
                <w:sz w:val="18"/>
                <w:szCs w:val="18"/>
              </w:rPr>
              <w:t xml:space="preserve"> met the paediatric PBS criteria for initial therapy at the time treatment started; and</w:t>
            </w:r>
          </w:p>
          <w:p w14:paraId="5F2D72F8" w14:textId="4A4A7096" w:rsidR="005F40CC" w:rsidRPr="005F40CC" w:rsidRDefault="00B12D2F" w:rsidP="005F40CC">
            <w:pPr>
              <w:numPr>
                <w:ilvl w:val="0"/>
                <w:numId w:val="72"/>
              </w:numPr>
              <w:rPr>
                <w:rFonts w:asciiTheme="minorHAnsi" w:hAnsiTheme="minorHAnsi" w:cstheme="minorBidi"/>
                <w:color w:val="000000"/>
                <w:sz w:val="18"/>
                <w:szCs w:val="18"/>
              </w:rPr>
            </w:pPr>
            <w:r>
              <w:rPr>
                <w:rFonts w:asciiTheme="minorHAnsi" w:hAnsiTheme="minorHAnsi" w:cstheme="minorBidi"/>
                <w:color w:val="000000"/>
                <w:sz w:val="18"/>
                <w:szCs w:val="18"/>
              </w:rPr>
              <w:t>the patient has</w:t>
            </w:r>
            <w:r w:rsidR="005F40CC" w:rsidRPr="005F40CC">
              <w:rPr>
                <w:rFonts w:asciiTheme="minorHAnsi" w:hAnsiTheme="minorHAnsi" w:cstheme="minorBidi"/>
                <w:color w:val="000000"/>
                <w:sz w:val="18"/>
                <w:szCs w:val="18"/>
              </w:rPr>
              <w:t xml:space="preserve"> demonstrated or maintained an adequate clinical response.</w:t>
            </w:r>
          </w:p>
          <w:p w14:paraId="022BE6DB" w14:textId="77777777" w:rsidR="00E808AE" w:rsidRPr="00F86E16" w:rsidRDefault="00E808AE" w:rsidP="00EE514F">
            <w:pPr>
              <w:rPr>
                <w:rFonts w:asciiTheme="minorHAnsi" w:hAnsiTheme="minorHAnsi" w:cstheme="minorBidi"/>
                <w:color w:val="000000"/>
                <w:sz w:val="18"/>
                <w:szCs w:val="18"/>
              </w:rPr>
            </w:pPr>
          </w:p>
          <w:p w14:paraId="724AC112" w14:textId="6B956486" w:rsidR="00E808AE" w:rsidRDefault="00181C3D" w:rsidP="00EE514F">
            <w:pPr>
              <w:rPr>
                <w:rFonts w:asciiTheme="minorHAnsi" w:hAnsiTheme="minorHAnsi" w:cstheme="minorBidi"/>
                <w:color w:val="000000"/>
                <w:sz w:val="18"/>
                <w:szCs w:val="18"/>
              </w:rPr>
            </w:pPr>
            <w:r w:rsidRPr="00181C3D">
              <w:rPr>
                <w:rFonts w:asciiTheme="minorHAnsi" w:hAnsiTheme="minorHAnsi" w:cstheme="minorBidi"/>
                <w:color w:val="000000"/>
                <w:sz w:val="18"/>
                <w:szCs w:val="18"/>
              </w:rPr>
              <w:t xml:space="preserve">The PBAC also supported changes to PBS restrictions for subcutaneous </w:t>
            </w:r>
            <w:proofErr w:type="gramStart"/>
            <w:r w:rsidRPr="00181C3D">
              <w:rPr>
                <w:rFonts w:asciiTheme="minorHAnsi" w:hAnsiTheme="minorHAnsi" w:cstheme="minorBidi"/>
                <w:color w:val="000000"/>
                <w:sz w:val="18"/>
                <w:szCs w:val="18"/>
              </w:rPr>
              <w:t>infliximab</w:t>
            </w:r>
            <w:proofErr w:type="gramEnd"/>
            <w:r w:rsidRPr="00181C3D">
              <w:rPr>
                <w:rFonts w:asciiTheme="minorHAnsi" w:hAnsiTheme="minorHAnsi" w:cstheme="minorBidi"/>
                <w:color w:val="000000"/>
                <w:sz w:val="18"/>
                <w:szCs w:val="18"/>
              </w:rPr>
              <w:t xml:space="preserve"> so they align with the paediatric eligibility criteria already used for intravenous infliximab. This reflects evolving clinical practice, where subcutaneous infliximab is increasingly used in paediatric inflammatory bowel disease to reduce hospital infusion burden and </w:t>
            </w:r>
            <w:r w:rsidRPr="00181C3D">
              <w:rPr>
                <w:rFonts w:asciiTheme="minorHAnsi" w:hAnsiTheme="minorHAnsi" w:cstheme="minorBidi"/>
                <w:color w:val="000000"/>
                <w:sz w:val="18"/>
                <w:szCs w:val="18"/>
              </w:rPr>
              <w:lastRenderedPageBreak/>
              <w:t>improve convenience. The PBAC noted clinicians cited real</w:t>
            </w:r>
            <w:r w:rsidRPr="00181C3D">
              <w:rPr>
                <w:rFonts w:ascii="Cambria Math" w:hAnsi="Cambria Math" w:cs="Cambria Math"/>
                <w:color w:val="000000"/>
                <w:sz w:val="18"/>
                <w:szCs w:val="18"/>
              </w:rPr>
              <w:t>‑</w:t>
            </w:r>
            <w:r w:rsidRPr="00181C3D">
              <w:rPr>
                <w:rFonts w:asciiTheme="minorHAnsi" w:hAnsiTheme="minorHAnsi" w:cstheme="minorBidi"/>
                <w:color w:val="000000"/>
                <w:sz w:val="18"/>
                <w:szCs w:val="18"/>
              </w:rPr>
              <w:t>world evidence that subcutaneous infliximab is effective and well tolerated in this population.</w:t>
            </w:r>
          </w:p>
          <w:p w14:paraId="1C94D5D1" w14:textId="77777777" w:rsidR="00181C3D" w:rsidRPr="00F86E16" w:rsidRDefault="00181C3D" w:rsidP="00EE514F">
            <w:pPr>
              <w:rPr>
                <w:rFonts w:asciiTheme="minorHAnsi" w:hAnsiTheme="minorHAnsi" w:cstheme="minorBidi"/>
                <w:color w:val="000000"/>
                <w:sz w:val="18"/>
                <w:szCs w:val="18"/>
              </w:rPr>
            </w:pPr>
          </w:p>
          <w:p w14:paraId="1F9786FD" w14:textId="2DF9CA6E" w:rsidR="00C04E0F" w:rsidRPr="0009421C" w:rsidDel="008F66B5" w:rsidRDefault="00D77C31" w:rsidP="00EE514F">
            <w:pPr>
              <w:rPr>
                <w:rFonts w:asciiTheme="minorHAnsi" w:hAnsiTheme="minorHAnsi" w:cstheme="minorBidi"/>
                <w:color w:val="000000"/>
                <w:sz w:val="18"/>
                <w:szCs w:val="18"/>
              </w:rPr>
            </w:pPr>
            <w:r w:rsidRPr="00D77C31">
              <w:rPr>
                <w:rFonts w:asciiTheme="minorHAnsi" w:hAnsiTheme="minorHAnsi" w:cstheme="minorBidi"/>
                <w:color w:val="000000"/>
                <w:sz w:val="18"/>
                <w:szCs w:val="18"/>
              </w:rPr>
              <w:t>The PBAC noted these changes are intended for a small, clinically stable group transitioning from paediatric to adult care, and are not expected to expand the overall PBS</w:t>
            </w:r>
            <w:r w:rsidRPr="00D77C31">
              <w:rPr>
                <w:rFonts w:ascii="Cambria Math" w:hAnsi="Cambria Math" w:cs="Cambria Math"/>
                <w:color w:val="000000"/>
                <w:sz w:val="18"/>
                <w:szCs w:val="18"/>
              </w:rPr>
              <w:t>‑</w:t>
            </w:r>
            <w:r w:rsidRPr="00D77C31">
              <w:rPr>
                <w:rFonts w:asciiTheme="minorHAnsi" w:hAnsiTheme="minorHAnsi" w:cstheme="minorBidi"/>
                <w:color w:val="000000"/>
                <w:sz w:val="18"/>
                <w:szCs w:val="18"/>
              </w:rPr>
              <w:t>eligible population. The PBAC reviewed financial estimates and considered the amendments are not expected to add costs to the PBS.</w:t>
            </w:r>
            <w:r w:rsidR="001F296D">
              <w:rPr>
                <w:rFonts w:asciiTheme="minorHAnsi" w:hAnsiTheme="minorHAnsi" w:cstheme="minorBidi"/>
                <w:color w:val="000000"/>
                <w:sz w:val="18"/>
                <w:szCs w:val="18"/>
              </w:rPr>
              <w:t xml:space="preserve"> </w:t>
            </w:r>
          </w:p>
        </w:tc>
      </w:tr>
      <w:tr w:rsidR="00BE6767" w:rsidRPr="0009421C" w:rsidDel="008F66B5" w14:paraId="68799651"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2D391A" w14:textId="6E93478E" w:rsidR="007D1E6E" w:rsidRDefault="00F270E1" w:rsidP="00E808AE">
            <w:pPr>
              <w:jc w:val="center"/>
              <w:rPr>
                <w:rFonts w:asciiTheme="minorHAnsi" w:hAnsiTheme="minorHAnsi" w:cstheme="minorHAnsi"/>
                <w:sz w:val="18"/>
                <w:szCs w:val="18"/>
              </w:rPr>
            </w:pPr>
            <w:r w:rsidRPr="00F270E1">
              <w:rPr>
                <w:rFonts w:asciiTheme="minorHAnsi" w:hAnsiTheme="minorHAnsi" w:cstheme="minorHAnsi"/>
                <w:sz w:val="18"/>
                <w:szCs w:val="18"/>
              </w:rPr>
              <w:lastRenderedPageBreak/>
              <w:t>PBS medicines for Pulmonary Arterial Hypertension</w:t>
            </w:r>
          </w:p>
          <w:p w14:paraId="116D959F" w14:textId="77777777" w:rsidR="00E808AE" w:rsidRDefault="00E808AE" w:rsidP="00E808AE">
            <w:pPr>
              <w:jc w:val="center"/>
              <w:rPr>
                <w:rFonts w:asciiTheme="minorHAnsi" w:hAnsiTheme="minorHAnsi" w:cstheme="minorHAnsi"/>
                <w:sz w:val="18"/>
                <w:szCs w:val="18"/>
              </w:rPr>
            </w:pPr>
          </w:p>
          <w:p w14:paraId="4ECA4E47" w14:textId="0A3D9F0C" w:rsidR="007D1E6E" w:rsidRPr="000B7036" w:rsidRDefault="00DA6B67" w:rsidP="00E808AE">
            <w:pPr>
              <w:jc w:val="center"/>
              <w:rPr>
                <w:rFonts w:asciiTheme="minorHAnsi" w:hAnsiTheme="minorHAnsi" w:cstheme="minorHAnsi"/>
                <w:sz w:val="18"/>
                <w:szCs w:val="18"/>
              </w:rPr>
            </w:pPr>
            <w:r>
              <w:rPr>
                <w:rFonts w:asciiTheme="minorHAnsi" w:hAnsiTheme="minorHAnsi" w:cstheme="minorHAnsi"/>
                <w:sz w:val="18"/>
                <w:szCs w:val="18"/>
              </w:rPr>
              <w:t>Multiple drugs,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4229E29E" w14:textId="4A0848A5" w:rsidR="00BE6767" w:rsidRPr="00867C2B" w:rsidRDefault="00841934" w:rsidP="000F4416">
            <w:pPr>
              <w:jc w:val="center"/>
              <w:rPr>
                <w:rFonts w:asciiTheme="minorHAnsi" w:hAnsiTheme="minorHAnsi" w:cstheme="minorHAnsi"/>
                <w:sz w:val="18"/>
                <w:szCs w:val="18"/>
              </w:rPr>
            </w:pPr>
            <w:r w:rsidRPr="00841934">
              <w:rPr>
                <w:rFonts w:asciiTheme="minorHAnsi" w:hAnsiTheme="minorHAnsi" w:cstheme="minorHAnsi"/>
                <w:sz w:val="18"/>
                <w:szCs w:val="18"/>
              </w:rPr>
              <w:t>Pulmonary Arterial Hypertension</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E7A5A8" w14:textId="31666AC2" w:rsidR="00A3070B" w:rsidRPr="00381BA3" w:rsidRDefault="00381BA3" w:rsidP="00EE514F">
            <w:pPr>
              <w:rPr>
                <w:rFonts w:asciiTheme="minorHAnsi" w:hAnsiTheme="minorHAnsi" w:cstheme="minorHAnsi"/>
                <w:sz w:val="18"/>
                <w:szCs w:val="18"/>
              </w:rPr>
            </w:pPr>
            <w:r w:rsidRPr="00381BA3">
              <w:rPr>
                <w:rFonts w:asciiTheme="minorHAnsi" w:hAnsiTheme="minorHAnsi" w:cstheme="minorHAnsi"/>
                <w:sz w:val="18"/>
                <w:szCs w:val="18"/>
              </w:rPr>
              <w:t xml:space="preserve">To consider </w:t>
            </w:r>
            <w:r w:rsidR="00287460">
              <w:rPr>
                <w:rFonts w:asciiTheme="minorHAnsi" w:hAnsiTheme="minorHAnsi" w:cstheme="minorHAnsi"/>
                <w:sz w:val="18"/>
                <w:szCs w:val="18"/>
              </w:rPr>
              <w:t xml:space="preserve">the </w:t>
            </w:r>
            <w:r w:rsidR="004B42CA">
              <w:rPr>
                <w:rFonts w:asciiTheme="minorHAnsi" w:hAnsiTheme="minorHAnsi" w:cstheme="minorHAnsi"/>
                <w:sz w:val="18"/>
                <w:szCs w:val="18"/>
              </w:rPr>
              <w:t>impact on</w:t>
            </w:r>
            <w:r w:rsidRPr="00381BA3">
              <w:rPr>
                <w:rFonts w:asciiTheme="minorHAnsi" w:hAnsiTheme="minorHAnsi" w:cstheme="minorHAnsi"/>
                <w:sz w:val="18"/>
                <w:szCs w:val="18"/>
              </w:rPr>
              <w:t xml:space="preserve"> drug utilisation and financial implications of allowing earlier access to dual therapy in patients with World Health Organisation (WHO) functional class II PAH disease.</w:t>
            </w:r>
          </w:p>
        </w:tc>
        <w:tc>
          <w:tcPr>
            <w:tcW w:w="2837" w:type="pct"/>
            <w:vAlign w:val="center"/>
          </w:tcPr>
          <w:p w14:paraId="2F1B3E4E" w14:textId="68D5CC51" w:rsidR="00784F53" w:rsidRDefault="00657590" w:rsidP="00EE514F">
            <w:pPr>
              <w:rPr>
                <w:rFonts w:asciiTheme="minorHAnsi" w:hAnsiTheme="minorHAnsi" w:cstheme="minorBidi"/>
                <w:color w:val="000000"/>
                <w:sz w:val="18"/>
                <w:szCs w:val="18"/>
              </w:rPr>
            </w:pPr>
            <w:r w:rsidRPr="00657590">
              <w:rPr>
                <w:rFonts w:asciiTheme="minorHAnsi" w:hAnsiTheme="minorHAnsi" w:cstheme="minorBidi"/>
                <w:color w:val="000000"/>
                <w:sz w:val="18"/>
                <w:szCs w:val="18"/>
              </w:rPr>
              <w:t xml:space="preserve">The PBAC recommended that the availability of certain PBS listed medicines for the treatment of pulmonary arterial hypertension (PAH), </w:t>
            </w:r>
            <w:r w:rsidR="00C556D7">
              <w:rPr>
                <w:rFonts w:asciiTheme="minorHAnsi" w:hAnsiTheme="minorHAnsi" w:cstheme="minorBidi"/>
                <w:color w:val="000000"/>
                <w:sz w:val="18"/>
                <w:szCs w:val="18"/>
              </w:rPr>
              <w:t>that is,</w:t>
            </w:r>
            <w:r w:rsidRPr="00657590">
              <w:rPr>
                <w:rFonts w:asciiTheme="minorHAnsi" w:hAnsiTheme="minorHAnsi" w:cstheme="minorBidi"/>
                <w:color w:val="000000"/>
                <w:sz w:val="18"/>
                <w:szCs w:val="18"/>
              </w:rPr>
              <w:t xml:space="preserve"> endothelin receptor antagonists (ERAs) and phosphodiesterase-5 inhibitors (PDE-5i)</w:t>
            </w:r>
            <w:r w:rsidR="00784F53">
              <w:rPr>
                <w:rFonts w:asciiTheme="minorHAnsi" w:hAnsiTheme="minorHAnsi" w:cstheme="minorBidi"/>
                <w:color w:val="000000"/>
                <w:sz w:val="18"/>
                <w:szCs w:val="18"/>
              </w:rPr>
              <w:t>,</w:t>
            </w:r>
            <w:r w:rsidRPr="00657590">
              <w:rPr>
                <w:rFonts w:asciiTheme="minorHAnsi" w:hAnsiTheme="minorHAnsi" w:cstheme="minorBidi"/>
                <w:color w:val="000000"/>
                <w:sz w:val="18"/>
                <w:szCs w:val="18"/>
              </w:rPr>
              <w:t xml:space="preserve"> be broadened to </w:t>
            </w:r>
            <w:r w:rsidR="007739A3">
              <w:rPr>
                <w:rFonts w:asciiTheme="minorHAnsi" w:hAnsiTheme="minorHAnsi" w:cstheme="minorBidi"/>
                <w:color w:val="000000"/>
                <w:sz w:val="18"/>
                <w:szCs w:val="18"/>
              </w:rPr>
              <w:t>allow</w:t>
            </w:r>
            <w:r w:rsidRPr="00657590">
              <w:rPr>
                <w:rFonts w:asciiTheme="minorHAnsi" w:hAnsiTheme="minorHAnsi" w:cstheme="minorBidi"/>
                <w:color w:val="000000"/>
                <w:sz w:val="18"/>
                <w:szCs w:val="18"/>
              </w:rPr>
              <w:t xml:space="preserve"> combination use earlier in the disease course, to align PBS restrictions more closely with international treatment guidelines.</w:t>
            </w:r>
          </w:p>
          <w:p w14:paraId="6E67B0C6" w14:textId="77777777" w:rsidR="00784F53" w:rsidRDefault="00784F53" w:rsidP="00EE514F">
            <w:pPr>
              <w:rPr>
                <w:rFonts w:asciiTheme="minorHAnsi" w:hAnsiTheme="minorHAnsi" w:cstheme="minorBidi"/>
                <w:color w:val="000000"/>
                <w:sz w:val="18"/>
                <w:szCs w:val="18"/>
              </w:rPr>
            </w:pPr>
          </w:p>
          <w:p w14:paraId="31F87453" w14:textId="77777777" w:rsidR="00784F53" w:rsidRDefault="00657590" w:rsidP="00EE514F">
            <w:pPr>
              <w:rPr>
                <w:rFonts w:asciiTheme="minorHAnsi" w:hAnsiTheme="minorHAnsi" w:cstheme="minorBidi"/>
                <w:color w:val="000000"/>
                <w:sz w:val="18"/>
                <w:szCs w:val="18"/>
              </w:rPr>
            </w:pPr>
            <w:r w:rsidRPr="00657590">
              <w:rPr>
                <w:rFonts w:asciiTheme="minorHAnsi" w:hAnsiTheme="minorHAnsi" w:cstheme="minorBidi"/>
                <w:color w:val="000000"/>
                <w:sz w:val="18"/>
                <w:szCs w:val="18"/>
              </w:rPr>
              <w:t>The PBAC noted that flow-on PBS restriction changes would be required for epoprostenol and iloprost. The PBAC advised that the additional cost to Government of this amendment was reasonable and likely overestimated. The PBAC asked the Department to perform further work for consideration at a future meeting to further review PBS restrictions for consistency with treatment guidelines and practices, including broadening access to another PBS-listed PAH medicine (riociguat).</w:t>
            </w:r>
          </w:p>
          <w:p w14:paraId="6AAD3268" w14:textId="77777777" w:rsidR="00784F53" w:rsidRDefault="00784F53" w:rsidP="00EE514F">
            <w:pPr>
              <w:rPr>
                <w:rFonts w:asciiTheme="minorHAnsi" w:hAnsiTheme="minorHAnsi" w:cstheme="minorBidi"/>
                <w:color w:val="000000"/>
                <w:sz w:val="18"/>
                <w:szCs w:val="18"/>
              </w:rPr>
            </w:pPr>
          </w:p>
          <w:p w14:paraId="60CB0B33" w14:textId="19EF3338" w:rsidR="00BE6767" w:rsidRPr="00F86E16" w:rsidRDefault="00081418" w:rsidP="00EE514F">
            <w:pPr>
              <w:rPr>
                <w:rFonts w:asciiTheme="minorHAnsi" w:hAnsiTheme="minorHAnsi" w:cstheme="minorBidi"/>
                <w:color w:val="000000"/>
                <w:sz w:val="18"/>
                <w:szCs w:val="18"/>
              </w:rPr>
            </w:pPr>
            <w:r w:rsidRPr="00081418">
              <w:rPr>
                <w:rFonts w:asciiTheme="minorHAnsi" w:hAnsiTheme="minorHAnsi" w:cstheme="minorBidi"/>
                <w:color w:val="000000"/>
                <w:sz w:val="18"/>
                <w:szCs w:val="18"/>
              </w:rPr>
              <w:t xml:space="preserve">The PBAC </w:t>
            </w:r>
            <w:r>
              <w:rPr>
                <w:rFonts w:asciiTheme="minorHAnsi" w:hAnsiTheme="minorHAnsi" w:cstheme="minorBidi"/>
                <w:color w:val="000000"/>
                <w:sz w:val="18"/>
                <w:szCs w:val="18"/>
              </w:rPr>
              <w:t>advised</w:t>
            </w:r>
            <w:r w:rsidRPr="00081418">
              <w:rPr>
                <w:rFonts w:asciiTheme="minorHAnsi" w:hAnsiTheme="minorHAnsi" w:cstheme="minorBidi"/>
                <w:color w:val="000000"/>
                <w:sz w:val="18"/>
                <w:szCs w:val="18"/>
              </w:rPr>
              <w:t xml:space="preserve"> it would invite </w:t>
            </w:r>
            <w:r>
              <w:rPr>
                <w:rFonts w:asciiTheme="minorHAnsi" w:hAnsiTheme="minorHAnsi" w:cstheme="minorBidi"/>
                <w:color w:val="000000"/>
                <w:sz w:val="18"/>
                <w:szCs w:val="18"/>
              </w:rPr>
              <w:t xml:space="preserve">an application from </w:t>
            </w:r>
            <w:r w:rsidRPr="00081418">
              <w:rPr>
                <w:rFonts w:asciiTheme="minorHAnsi" w:hAnsiTheme="minorHAnsi" w:cstheme="minorBidi"/>
                <w:color w:val="000000"/>
                <w:sz w:val="18"/>
                <w:szCs w:val="18"/>
              </w:rPr>
              <w:t xml:space="preserve">the riociguat sponsor </w:t>
            </w:r>
            <w:r>
              <w:rPr>
                <w:rFonts w:asciiTheme="minorHAnsi" w:hAnsiTheme="minorHAnsi" w:cstheme="minorBidi"/>
                <w:color w:val="000000"/>
                <w:sz w:val="18"/>
                <w:szCs w:val="18"/>
              </w:rPr>
              <w:t>requesting</w:t>
            </w:r>
            <w:r w:rsidRPr="00081418">
              <w:rPr>
                <w:rFonts w:asciiTheme="minorHAnsi" w:hAnsiTheme="minorHAnsi" w:cstheme="minorBidi"/>
                <w:color w:val="000000"/>
                <w:sz w:val="18"/>
                <w:szCs w:val="18"/>
              </w:rPr>
              <w:t xml:space="preserve"> riociguat to be used with an endothelin receptor antagonist (ERA), and to estimate the likely change in use and the financial impact of this broader listing.</w:t>
            </w:r>
          </w:p>
        </w:tc>
      </w:tr>
      <w:tr w:rsidR="00BB4621" w:rsidRPr="0009421C" w:rsidDel="008F66B5" w14:paraId="768A0F42" w14:textId="77777777" w:rsidTr="00E808AE">
        <w:trPr>
          <w:trHeight w:val="20"/>
          <w:jc w:val="cent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FA1642" w14:textId="77777777" w:rsidR="00BB4621" w:rsidRDefault="005917BE" w:rsidP="00E808AE">
            <w:pPr>
              <w:jc w:val="center"/>
              <w:rPr>
                <w:rFonts w:asciiTheme="minorHAnsi" w:hAnsiTheme="minorHAnsi" w:cstheme="minorHAnsi"/>
                <w:sz w:val="18"/>
                <w:szCs w:val="18"/>
              </w:rPr>
            </w:pPr>
            <w:r w:rsidRPr="005917BE">
              <w:rPr>
                <w:rFonts w:asciiTheme="minorHAnsi" w:hAnsiTheme="minorHAnsi" w:cstheme="minorHAnsi"/>
                <w:sz w:val="18"/>
                <w:szCs w:val="18"/>
              </w:rPr>
              <w:t>Review of PBS Prescriber Bag: Tranche 2</w:t>
            </w:r>
          </w:p>
          <w:p w14:paraId="193F55DA" w14:textId="77777777" w:rsidR="003D1E2D" w:rsidRDefault="003D1E2D" w:rsidP="00E808AE">
            <w:pPr>
              <w:jc w:val="center"/>
              <w:rPr>
                <w:rFonts w:asciiTheme="minorHAnsi" w:hAnsiTheme="minorHAnsi" w:cstheme="minorHAnsi"/>
                <w:sz w:val="18"/>
                <w:szCs w:val="18"/>
              </w:rPr>
            </w:pPr>
          </w:p>
          <w:p w14:paraId="7D829B6E" w14:textId="6F210976" w:rsidR="00BB4621" w:rsidRPr="00F270E1" w:rsidRDefault="00DA6B67" w:rsidP="00E808AE">
            <w:pPr>
              <w:jc w:val="center"/>
              <w:rPr>
                <w:rFonts w:asciiTheme="minorHAnsi" w:hAnsiTheme="minorHAnsi" w:cstheme="minorHAnsi"/>
                <w:sz w:val="18"/>
                <w:szCs w:val="18"/>
              </w:rPr>
            </w:pPr>
            <w:r>
              <w:rPr>
                <w:rFonts w:asciiTheme="minorHAnsi" w:hAnsiTheme="minorHAnsi" w:cstheme="minorHAnsi"/>
                <w:sz w:val="18"/>
                <w:szCs w:val="18"/>
              </w:rPr>
              <w:t>Multiple drugs, brands and sponsors</w:t>
            </w:r>
          </w:p>
        </w:tc>
        <w:tc>
          <w:tcPr>
            <w:tcW w:w="461" w:type="pct"/>
            <w:tcBorders>
              <w:top w:val="single" w:sz="4" w:space="0" w:color="auto"/>
              <w:left w:val="single" w:sz="4" w:space="0" w:color="auto"/>
              <w:bottom w:val="single" w:sz="4" w:space="0" w:color="auto"/>
              <w:right w:val="single" w:sz="4" w:space="0" w:color="auto"/>
            </w:tcBorders>
            <w:vAlign w:val="center"/>
          </w:tcPr>
          <w:p w14:paraId="542F39B0" w14:textId="3C9B0E57" w:rsidR="00BB4621" w:rsidRDefault="00DD0711" w:rsidP="00EE514F">
            <w:pPr>
              <w:jc w:val="center"/>
              <w:rPr>
                <w:rFonts w:asciiTheme="minorHAnsi" w:hAnsiTheme="minorHAnsi" w:cstheme="minorHAnsi"/>
                <w:sz w:val="18"/>
                <w:szCs w:val="18"/>
              </w:rPr>
            </w:pPr>
            <w:r w:rsidRPr="00DD0711">
              <w:rPr>
                <w:rFonts w:asciiTheme="minorHAnsi" w:hAnsiTheme="minorHAnsi" w:cstheme="minorHAnsi"/>
                <w:sz w:val="18"/>
                <w:szCs w:val="18"/>
              </w:rPr>
              <w:t xml:space="preserve">Multiple </w:t>
            </w:r>
            <w:r>
              <w:rPr>
                <w:rFonts w:asciiTheme="minorHAnsi" w:hAnsiTheme="minorHAnsi" w:cstheme="minorHAnsi"/>
                <w:sz w:val="18"/>
                <w:szCs w:val="18"/>
              </w:rPr>
              <w:t>indication</w:t>
            </w:r>
          </w:p>
          <w:p w14:paraId="4AC67A69" w14:textId="77777777" w:rsidR="00DD0711" w:rsidRDefault="00DD0711" w:rsidP="00EE514F">
            <w:pPr>
              <w:jc w:val="center"/>
              <w:rPr>
                <w:rFonts w:asciiTheme="minorHAnsi" w:hAnsiTheme="minorHAnsi" w:cstheme="minorHAnsi"/>
                <w:sz w:val="18"/>
                <w:szCs w:val="18"/>
              </w:rPr>
            </w:pPr>
          </w:p>
          <w:p w14:paraId="1691CE17" w14:textId="3EA2523D" w:rsidR="00BB4621" w:rsidRPr="00841934" w:rsidRDefault="00DD0711" w:rsidP="00EE514F">
            <w:pPr>
              <w:jc w:val="center"/>
              <w:rPr>
                <w:rFonts w:asciiTheme="minorHAnsi" w:hAnsiTheme="minorHAnsi" w:cstheme="minorHAnsi"/>
                <w:sz w:val="18"/>
                <w:szCs w:val="18"/>
              </w:rPr>
            </w:pPr>
            <w:r w:rsidRPr="00DD0711">
              <w:rPr>
                <w:rFonts w:asciiTheme="minorHAnsi" w:hAnsiTheme="minorHAnsi" w:cstheme="minorHAnsi"/>
                <w:sz w:val="18"/>
                <w:szCs w:val="18"/>
              </w:rPr>
              <w:t>Multiple drugs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9BF708" w14:textId="62AE3687" w:rsidR="00BB4621" w:rsidRPr="00381BA3" w:rsidRDefault="003D1E2D" w:rsidP="00EE514F">
            <w:pPr>
              <w:rPr>
                <w:rFonts w:asciiTheme="minorHAnsi" w:hAnsiTheme="minorHAnsi" w:cstheme="minorHAnsi"/>
                <w:sz w:val="18"/>
                <w:szCs w:val="18"/>
              </w:rPr>
            </w:pPr>
            <w:r w:rsidRPr="003D1E2D">
              <w:rPr>
                <w:rFonts w:asciiTheme="minorHAnsi" w:hAnsiTheme="minorHAnsi" w:cstheme="minorHAnsi"/>
                <w:sz w:val="18"/>
                <w:szCs w:val="18"/>
              </w:rPr>
              <w:t>To consider stakeholder requests for inclusion of additional items in the Prescriber Bag and recommend which items should be added to the Prescriber Bag.</w:t>
            </w:r>
          </w:p>
        </w:tc>
        <w:tc>
          <w:tcPr>
            <w:tcW w:w="2837" w:type="pct"/>
            <w:vAlign w:val="center"/>
          </w:tcPr>
          <w:p w14:paraId="0D60AD09" w14:textId="417F07DF" w:rsidR="000F4416"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The PBAC provided advice on the suitability of a second and final tranche of medicines proposed as new additions to the PBS Prescriber Bag schedule by stakeholders. The PBAC reviewed the suitability of all requested medicines for Prescriber Bag listing and considered that most proposed requests for new additions did not satisfy the intent for inclusion in the PBS Prescriber Bag. The PBAC requested that the Department provide further information on specific medicines for its consideration at the March 2026 PBAC meeting.</w:t>
            </w:r>
          </w:p>
          <w:p w14:paraId="4571E196" w14:textId="77777777" w:rsidR="000F4416" w:rsidRPr="00F045E2" w:rsidRDefault="000F4416" w:rsidP="00EE514F">
            <w:pPr>
              <w:rPr>
                <w:rFonts w:asciiTheme="minorHAnsi" w:hAnsiTheme="minorHAnsi" w:cstheme="minorBidi"/>
                <w:color w:val="000000"/>
                <w:sz w:val="18"/>
                <w:szCs w:val="18"/>
              </w:rPr>
            </w:pPr>
          </w:p>
          <w:p w14:paraId="19975C3D" w14:textId="77777777" w:rsidR="00F045E2"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The PBAC recommended retaining furosemide tablets (pack size 50) on the Prescriber Bag. The PBAC agreed for the Department to continue working on the establishment of a palliative care listing of midazolam, rather than prescribers relying on Prescriber Bag supplies for this purpose.</w:t>
            </w:r>
          </w:p>
          <w:p w14:paraId="7FE1899F" w14:textId="77777777" w:rsidR="000F4416" w:rsidRPr="00F045E2" w:rsidRDefault="000F4416" w:rsidP="00EE514F">
            <w:pPr>
              <w:rPr>
                <w:rFonts w:asciiTheme="minorHAnsi" w:hAnsiTheme="minorHAnsi" w:cstheme="minorBidi"/>
                <w:color w:val="000000"/>
                <w:sz w:val="18"/>
                <w:szCs w:val="18"/>
              </w:rPr>
            </w:pPr>
          </w:p>
          <w:p w14:paraId="6460F453" w14:textId="5EBA59BD" w:rsidR="00BB4621" w:rsidRPr="004227CC" w:rsidRDefault="00F045E2" w:rsidP="00EE514F">
            <w:pPr>
              <w:rPr>
                <w:rFonts w:asciiTheme="minorHAnsi" w:hAnsiTheme="minorHAnsi" w:cstheme="minorBidi"/>
                <w:color w:val="000000"/>
                <w:sz w:val="18"/>
                <w:szCs w:val="18"/>
              </w:rPr>
            </w:pPr>
            <w:r w:rsidRPr="00F045E2">
              <w:rPr>
                <w:rFonts w:asciiTheme="minorHAnsi" w:hAnsiTheme="minorHAnsi" w:cstheme="minorBidi"/>
                <w:color w:val="000000"/>
                <w:sz w:val="18"/>
                <w:szCs w:val="18"/>
              </w:rPr>
              <w:t xml:space="preserve">The PBAC acknowledged stakeholder views that highlight the Prescriber Bag does not address broader access issues to medicines in circumstances such as rural and remote geographical location and access to medicines for certain vulnerable populations or specific population groups. However, the PBAC agreed that development of an appropriate policy response to address broader access to medicines issues is a matter for Government and beyond the scope of the Review of the contents of the Prescriber Bag schedule. The PBAC supports such exploration. The PBAC requested that the Department provide further information (e.g. proposed price, financial implications) to inform further consideration of a small number of medicines (the morning after pill, MS 2-step, prednisolone oral </w:t>
            </w:r>
            <w:r w:rsidRPr="00F045E2">
              <w:rPr>
                <w:rFonts w:asciiTheme="minorHAnsi" w:hAnsiTheme="minorHAnsi" w:cstheme="minorBidi"/>
                <w:color w:val="000000"/>
                <w:sz w:val="18"/>
                <w:szCs w:val="18"/>
              </w:rPr>
              <w:lastRenderedPageBreak/>
              <w:t>liquid and a corticosteroid tablet) given they do not meet intent the of the Prescriber Bag, however there is strong stakeholder support and PBAC interest in ensuring timely access to these medicines.</w:t>
            </w:r>
          </w:p>
        </w:tc>
      </w:tr>
    </w:tbl>
    <w:p w14:paraId="2FD72212" w14:textId="77777777" w:rsidR="00E00F33" w:rsidRDefault="00E00F33">
      <w:pPr>
        <w:rPr>
          <w:rFonts w:ascii="Arial" w:hAnsi="Arial" w:cs="Arial"/>
          <w:b/>
          <w:bCs/>
          <w:lang w:val="en-US"/>
        </w:rPr>
      </w:pPr>
      <w:r>
        <w:rPr>
          <w:rFonts w:ascii="Arial" w:hAnsi="Arial" w:cs="Arial"/>
          <w:b/>
          <w:bCs/>
          <w:lang w:val="en-US"/>
        </w:rPr>
        <w:lastRenderedPageBreak/>
        <w:br w:type="page"/>
      </w: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5000" w:type="pct"/>
        <w:tblLook w:val="04A0" w:firstRow="1" w:lastRow="0" w:firstColumn="1" w:lastColumn="0" w:noHBand="0" w:noVBand="1"/>
      </w:tblPr>
      <w:tblGrid>
        <w:gridCol w:w="2111"/>
        <w:gridCol w:w="13277"/>
      </w:tblGrid>
      <w:tr w:rsidR="007F48F6" w:rsidRPr="00292120" w:rsidDel="008F66B5" w14:paraId="49C9D26F" w14:textId="501D6309" w:rsidTr="00267532">
        <w:trPr>
          <w:trHeight w:val="300"/>
        </w:trPr>
        <w:tc>
          <w:tcPr>
            <w:tcW w:w="686" w:type="pct"/>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4314" w:type="pct"/>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00267532">
        <w:trPr>
          <w:trHeight w:val="300"/>
        </w:trPr>
        <w:tc>
          <w:tcPr>
            <w:tcW w:w="686" w:type="pct"/>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4314" w:type="pct"/>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00267532">
        <w:trPr>
          <w:trHeight w:val="300"/>
        </w:trPr>
        <w:tc>
          <w:tcPr>
            <w:tcW w:w="686" w:type="pct"/>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4314" w:type="pct"/>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00267532">
        <w:trPr>
          <w:trHeight w:val="300"/>
        </w:trPr>
        <w:tc>
          <w:tcPr>
            <w:tcW w:w="686" w:type="pct"/>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4314" w:type="pct"/>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00267532">
        <w:trPr>
          <w:trHeight w:val="1026"/>
        </w:trPr>
        <w:tc>
          <w:tcPr>
            <w:tcW w:w="686" w:type="pct"/>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4314" w:type="pct"/>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6C9AAA57" w14:textId="77777777" w:rsidR="00267532" w:rsidRDefault="00267532">
      <w:pPr>
        <w:rPr>
          <w:rFonts w:ascii="Arial" w:hAnsi="Arial" w:cs="Arial"/>
          <w:b/>
          <w:bCs/>
          <w:lang w:val="en-US"/>
        </w:rPr>
      </w:pPr>
      <w:r>
        <w:rPr>
          <w:rFonts w:ascii="Arial" w:hAnsi="Arial" w:cs="Arial"/>
          <w:b/>
          <w:bCs/>
          <w:lang w:val="en-US"/>
        </w:rPr>
        <w:br w:type="page"/>
      </w:r>
    </w:p>
    <w:p w14:paraId="6CE3C41E" w14:textId="7A7B7093"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5000" w:type="pct"/>
        <w:tblCellMar>
          <w:left w:w="0" w:type="dxa"/>
          <w:right w:w="0" w:type="dxa"/>
        </w:tblCellMar>
        <w:tblLook w:val="04A0" w:firstRow="1" w:lastRow="0" w:firstColumn="1" w:lastColumn="0" w:noHBand="0" w:noVBand="1"/>
      </w:tblPr>
      <w:tblGrid>
        <w:gridCol w:w="2199"/>
        <w:gridCol w:w="13179"/>
      </w:tblGrid>
      <w:tr w:rsidR="004A3371" w:rsidRPr="00292120" w:rsidDel="008F66B5" w14:paraId="1B32CA1F" w14:textId="277FF3EC" w:rsidTr="00267532">
        <w:trPr>
          <w:cantSplit/>
          <w:trHeight w:val="30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w:t>
            </w:r>
            <w:proofErr w:type="gramStart"/>
            <w:r w:rsidRPr="20381F86">
              <w:rPr>
                <w:rFonts w:ascii="Arial" w:hAnsi="Arial" w:cs="Arial"/>
                <w:color w:val="000000" w:themeColor="text1"/>
              </w:rPr>
              <w:t>and also</w:t>
            </w:r>
            <w:proofErr w:type="gramEnd"/>
            <w:r w:rsidRPr="20381F86">
              <w:rPr>
                <w:rFonts w:ascii="Arial" w:hAnsi="Arial" w:cs="Arial"/>
                <w:color w:val="000000" w:themeColor="text1"/>
              </w:rPr>
              <w:t xml:space="preserve">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2C156FC1"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w:t>
            </w:r>
            <w:r w:rsidR="00EB7E7F" w:rsidRPr="20381F86">
              <w:rPr>
                <w:rFonts w:ascii="Arial" w:hAnsi="Arial" w:cs="Arial"/>
                <w:color w:val="000000" w:themeColor="text1"/>
                <w:sz w:val="20"/>
                <w:szCs w:val="20"/>
              </w:rPr>
              <w:t>PBAC,</w:t>
            </w:r>
            <w:r w:rsidRPr="20381F86">
              <w:rPr>
                <w:rFonts w:ascii="Arial" w:hAnsi="Arial" w:cs="Arial"/>
                <w:color w:val="000000" w:themeColor="text1"/>
                <w:sz w:val="20"/>
                <w:szCs w:val="20"/>
              </w:rPr>
              <w:t xml:space="preserve">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Default="00461045" w:rsidP="00A94408">
      <w:pPr>
        <w:tabs>
          <w:tab w:val="left" w:pos="5210"/>
        </w:tabs>
        <w:rPr>
          <w:rFonts w:ascii="Arial" w:hAnsi="Arial" w:cs="Arial"/>
          <w:lang w:val="en-US"/>
        </w:rPr>
      </w:pPr>
    </w:p>
    <w:p w14:paraId="7C4C79FD" w14:textId="77777777" w:rsidR="00B21766" w:rsidRPr="00292120" w:rsidRDefault="00B21766" w:rsidP="00A94408">
      <w:pPr>
        <w:tabs>
          <w:tab w:val="left" w:pos="5210"/>
        </w:tabs>
        <w:rPr>
          <w:rFonts w:ascii="Arial" w:hAnsi="Arial" w:cs="Arial"/>
          <w:lang w:val="en-US"/>
        </w:rPr>
      </w:pPr>
    </w:p>
    <w:sectPr w:rsidR="00B21766" w:rsidRPr="00292120"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52DB" w14:textId="77777777" w:rsidR="00AC3077" w:rsidRDefault="00AC3077">
      <w:r>
        <w:separator/>
      </w:r>
    </w:p>
  </w:endnote>
  <w:endnote w:type="continuationSeparator" w:id="0">
    <w:p w14:paraId="3801E953" w14:textId="77777777" w:rsidR="00AC3077" w:rsidRDefault="00AC3077">
      <w:r>
        <w:continuationSeparator/>
      </w:r>
    </w:p>
  </w:endnote>
  <w:endnote w:type="continuationNotice" w:id="1">
    <w:p w14:paraId="6A873CEE" w14:textId="77777777" w:rsidR="00AC3077" w:rsidRDefault="00AC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49202CC2" w:rsidR="00E902E8" w:rsidRDefault="00A7543A"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261E6F7" wp14:editId="285908BB">
              <wp:simplePos x="635" y="635"/>
              <wp:positionH relativeFrom="page">
                <wp:align>center</wp:align>
              </wp:positionH>
              <wp:positionV relativeFrom="page">
                <wp:align>bottom</wp:align>
              </wp:positionV>
              <wp:extent cx="622300" cy="376555"/>
              <wp:effectExtent l="0" t="0" r="6350" b="0"/>
              <wp:wrapNone/>
              <wp:docPr id="920277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FB6989" w14:textId="3A0C6B2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61E6F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AFB6989" w14:textId="3A0C6B2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r w:rsidR="00E902E8">
      <w:rPr>
        <w:rStyle w:val="PageNumber"/>
      </w:rPr>
      <w:fldChar w:fldCharType="begin"/>
    </w:r>
    <w:r w:rsidR="00E902E8">
      <w:rPr>
        <w:rStyle w:val="PageNumber"/>
      </w:rPr>
      <w:instrText xml:space="preserve">PAGE  </w:instrText>
    </w:r>
    <w:r w:rsidR="00E902E8">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6A2C3144" w:rsidR="00E902E8" w:rsidRPr="00B46EE7" w:rsidRDefault="00A7543A" w:rsidP="00FE2A81">
    <w:pPr>
      <w:pStyle w:val="Footer"/>
      <w:framePr w:wrap="around" w:vAnchor="text" w:hAnchor="margin" w:xAlign="right" w:y="1"/>
      <w:rPr>
        <w:rStyle w:val="PageNumber"/>
        <w:rFonts w:ascii="Arial" w:hAnsi="Arial" w:cs="Arial"/>
        <w:b/>
        <w:bCs/>
      </w:rPr>
    </w:pPr>
    <w:r>
      <w:rPr>
        <w:rFonts w:ascii="Arial" w:hAnsi="Arial" w:cs="Arial"/>
        <w:b/>
        <w:bCs/>
        <w:noProof/>
      </w:rPr>
      <mc:AlternateContent>
        <mc:Choice Requires="wps">
          <w:drawing>
            <wp:anchor distT="0" distB="0" distL="0" distR="0" simplePos="0" relativeHeight="251663360" behindDoc="0" locked="0" layoutInCell="1" allowOverlap="1" wp14:anchorId="3C6ADEBC" wp14:editId="64E7B15C">
              <wp:simplePos x="10161767" y="6814268"/>
              <wp:positionH relativeFrom="page">
                <wp:align>center</wp:align>
              </wp:positionH>
              <wp:positionV relativeFrom="page">
                <wp:align>bottom</wp:align>
              </wp:positionV>
              <wp:extent cx="622300" cy="376555"/>
              <wp:effectExtent l="0" t="0" r="6350" b="0"/>
              <wp:wrapNone/>
              <wp:docPr id="21045519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D71CDB" w14:textId="2B7AD77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ADEB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4D71CDB" w14:textId="2B7AD77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r w:rsidR="00E902E8" w:rsidRPr="00B46EE7">
      <w:rPr>
        <w:rStyle w:val="PageNumber"/>
        <w:rFonts w:ascii="Arial" w:hAnsi="Arial" w:cs="Arial"/>
        <w:b/>
        <w:bCs/>
      </w:rPr>
      <w:fldChar w:fldCharType="begin"/>
    </w:r>
    <w:r w:rsidR="00E902E8" w:rsidRPr="00B0521C">
      <w:rPr>
        <w:rStyle w:val="PageNumber"/>
        <w:rFonts w:ascii="Arial" w:hAnsi="Arial" w:cs="Arial"/>
        <w:b/>
        <w:bCs/>
      </w:rPr>
      <w:instrText xml:space="preserve">PAGE  </w:instrText>
    </w:r>
    <w:r w:rsidR="00E902E8" w:rsidRPr="00B46EE7">
      <w:rPr>
        <w:rStyle w:val="PageNumber"/>
        <w:rFonts w:ascii="Arial" w:hAnsi="Arial" w:cs="Arial"/>
        <w:b/>
        <w:bCs/>
      </w:rPr>
      <w:fldChar w:fldCharType="separate"/>
    </w:r>
    <w:r w:rsidR="00E902E8" w:rsidRPr="00B0521C">
      <w:rPr>
        <w:rStyle w:val="PageNumber"/>
        <w:rFonts w:ascii="Arial" w:hAnsi="Arial" w:cs="Arial"/>
        <w:b/>
        <w:bCs/>
        <w:noProof/>
      </w:rPr>
      <w:t>65</w:t>
    </w:r>
    <w:r w:rsidR="00E902E8"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A02" w14:textId="4DD29A55" w:rsidR="00A7543A" w:rsidRDefault="00A7543A">
    <w:pPr>
      <w:pStyle w:val="Footer"/>
    </w:pPr>
    <w:r>
      <w:rPr>
        <w:noProof/>
      </w:rPr>
      <mc:AlternateContent>
        <mc:Choice Requires="wps">
          <w:drawing>
            <wp:anchor distT="0" distB="0" distL="0" distR="0" simplePos="0" relativeHeight="251661312" behindDoc="0" locked="0" layoutInCell="1" allowOverlap="1" wp14:anchorId="23779250" wp14:editId="2E5D9E19">
              <wp:simplePos x="635" y="635"/>
              <wp:positionH relativeFrom="page">
                <wp:align>center</wp:align>
              </wp:positionH>
              <wp:positionV relativeFrom="page">
                <wp:align>bottom</wp:align>
              </wp:positionV>
              <wp:extent cx="622300" cy="376555"/>
              <wp:effectExtent l="0" t="0" r="6350" b="0"/>
              <wp:wrapNone/>
              <wp:docPr id="21442033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22C125" w14:textId="3058A426"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7925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022C125" w14:textId="3058A426"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E02C" w14:textId="77777777" w:rsidR="00AC3077" w:rsidRDefault="00AC3077">
      <w:r>
        <w:separator/>
      </w:r>
    </w:p>
  </w:footnote>
  <w:footnote w:type="continuationSeparator" w:id="0">
    <w:p w14:paraId="5E1A4358" w14:textId="77777777" w:rsidR="00AC3077" w:rsidRDefault="00AC3077">
      <w:r>
        <w:continuationSeparator/>
      </w:r>
    </w:p>
  </w:footnote>
  <w:footnote w:type="continuationNotice" w:id="1">
    <w:p w14:paraId="1754111C" w14:textId="77777777" w:rsidR="00AC3077" w:rsidRDefault="00AC3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2A0" w14:textId="0CBF0C86" w:rsidR="00A7543A" w:rsidRDefault="00A7543A">
    <w:pPr>
      <w:pStyle w:val="Header"/>
    </w:pPr>
    <w:r>
      <w:rPr>
        <w:noProof/>
      </w:rPr>
      <mc:AlternateContent>
        <mc:Choice Requires="wps">
          <w:drawing>
            <wp:anchor distT="0" distB="0" distL="0" distR="0" simplePos="0" relativeHeight="251659264" behindDoc="0" locked="0" layoutInCell="1" allowOverlap="1" wp14:anchorId="18503385" wp14:editId="624AFDE8">
              <wp:simplePos x="635" y="635"/>
              <wp:positionH relativeFrom="page">
                <wp:align>center</wp:align>
              </wp:positionH>
              <wp:positionV relativeFrom="page">
                <wp:align>top</wp:align>
              </wp:positionV>
              <wp:extent cx="622300" cy="376555"/>
              <wp:effectExtent l="0" t="0" r="6350" b="4445"/>
              <wp:wrapNone/>
              <wp:docPr id="289033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1169F3" w14:textId="601A61F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0338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D1169F3" w14:textId="601A61F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5B196F4F" w:rsidR="00E902E8" w:rsidRPr="00571206" w:rsidRDefault="00A7543A" w:rsidP="00571206">
    <w:pPr>
      <w:autoSpaceDE w:val="0"/>
      <w:autoSpaceDN w:val="0"/>
      <w:adjustRightInd w:val="0"/>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0" distR="0" simplePos="0" relativeHeight="251660288" behindDoc="0" locked="0" layoutInCell="1" allowOverlap="1" wp14:anchorId="79D0179E" wp14:editId="40BBB5AE">
              <wp:simplePos x="461176" y="461176"/>
              <wp:positionH relativeFrom="page">
                <wp:align>center</wp:align>
              </wp:positionH>
              <wp:positionV relativeFrom="page">
                <wp:align>top</wp:align>
              </wp:positionV>
              <wp:extent cx="622300" cy="376555"/>
              <wp:effectExtent l="0" t="0" r="6350" b="4445"/>
              <wp:wrapNone/>
              <wp:docPr id="880493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A8D362" w14:textId="37C2030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0179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0A8D362" w14:textId="37C2030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591FDAAF" w:rsidR="00E902E8" w:rsidRDefault="006B0636" w:rsidP="00571206">
    <w:pPr>
      <w:pStyle w:val="Header"/>
      <w:jc w:val="center"/>
      <w:rPr>
        <w:rFonts w:ascii="Arial" w:hAnsi="Arial" w:cs="Arial"/>
        <w:b/>
      </w:rPr>
    </w:pPr>
    <w:r>
      <w:rPr>
        <w:rFonts w:ascii="Arial" w:hAnsi="Arial" w:cs="Arial"/>
        <w:b/>
      </w:rPr>
      <w:t>DECEMBER 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26F6" w14:textId="6B9C48C3" w:rsidR="00A7543A" w:rsidRDefault="00A7543A">
    <w:pPr>
      <w:pStyle w:val="Header"/>
    </w:pPr>
    <w:r>
      <w:rPr>
        <w:noProof/>
      </w:rPr>
      <mc:AlternateContent>
        <mc:Choice Requires="wps">
          <w:drawing>
            <wp:anchor distT="0" distB="0" distL="0" distR="0" simplePos="0" relativeHeight="251658240" behindDoc="0" locked="0" layoutInCell="1" allowOverlap="1" wp14:anchorId="65A061DD" wp14:editId="28435F42">
              <wp:simplePos x="635" y="635"/>
              <wp:positionH relativeFrom="page">
                <wp:align>center</wp:align>
              </wp:positionH>
              <wp:positionV relativeFrom="page">
                <wp:align>top</wp:align>
              </wp:positionV>
              <wp:extent cx="622300" cy="376555"/>
              <wp:effectExtent l="0" t="0" r="6350" b="4445"/>
              <wp:wrapNone/>
              <wp:docPr id="126438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04FED4" w14:textId="1DB0D725"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061D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F04FED4" w14:textId="1DB0D725"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5074FE"/>
    <w:multiLevelType w:val="hybridMultilevel"/>
    <w:tmpl w:val="25268A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3"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40"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2"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4"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9" w15:restartNumberingAfterBreak="0">
    <w:nsid w:val="6134592A"/>
    <w:multiLevelType w:val="hybridMultilevel"/>
    <w:tmpl w:val="7AD25DA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60"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61"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5" w15:restartNumberingAfterBreak="0">
    <w:nsid w:val="76794425"/>
    <w:multiLevelType w:val="hybridMultilevel"/>
    <w:tmpl w:val="3AF2E8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A61510"/>
    <w:multiLevelType w:val="multilevel"/>
    <w:tmpl w:val="99F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5"/>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7"/>
  </w:num>
  <w:num w:numId="9" w16cid:durableId="653804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1"/>
  </w:num>
  <w:num w:numId="11" w16cid:durableId="1146433718">
    <w:abstractNumId w:val="14"/>
  </w:num>
  <w:num w:numId="12" w16cid:durableId="403258695">
    <w:abstractNumId w:val="62"/>
  </w:num>
  <w:num w:numId="13" w16cid:durableId="1862627038">
    <w:abstractNumId w:val="69"/>
  </w:num>
  <w:num w:numId="14" w16cid:durableId="1933540907">
    <w:abstractNumId w:val="19"/>
  </w:num>
  <w:num w:numId="15" w16cid:durableId="410933758">
    <w:abstractNumId w:val="27"/>
  </w:num>
  <w:num w:numId="16" w16cid:durableId="1277060000">
    <w:abstractNumId w:val="36"/>
  </w:num>
  <w:num w:numId="17" w16cid:durableId="932201648">
    <w:abstractNumId w:val="66"/>
  </w:num>
  <w:num w:numId="18" w16cid:durableId="871497882">
    <w:abstractNumId w:val="11"/>
  </w:num>
  <w:num w:numId="19" w16cid:durableId="2057124610">
    <w:abstractNumId w:val="54"/>
  </w:num>
  <w:num w:numId="20" w16cid:durableId="174879048">
    <w:abstractNumId w:val="26"/>
  </w:num>
  <w:num w:numId="21" w16cid:durableId="258415052">
    <w:abstractNumId w:val="53"/>
  </w:num>
  <w:num w:numId="22" w16cid:durableId="1753772491">
    <w:abstractNumId w:val="57"/>
  </w:num>
  <w:num w:numId="23" w16cid:durableId="701518877">
    <w:abstractNumId w:val="51"/>
  </w:num>
  <w:num w:numId="24" w16cid:durableId="1493136778">
    <w:abstractNumId w:val="34"/>
  </w:num>
  <w:num w:numId="25" w16cid:durableId="527648721">
    <w:abstractNumId w:val="10"/>
  </w:num>
  <w:num w:numId="26" w16cid:durableId="753933244">
    <w:abstractNumId w:val="45"/>
  </w:num>
  <w:num w:numId="27" w16cid:durableId="1139153049">
    <w:abstractNumId w:val="37"/>
  </w:num>
  <w:num w:numId="28" w16cid:durableId="699205066">
    <w:abstractNumId w:val="22"/>
  </w:num>
  <w:num w:numId="29" w16cid:durableId="1951667345">
    <w:abstractNumId w:val="9"/>
  </w:num>
  <w:num w:numId="30" w16cid:durableId="860750086">
    <w:abstractNumId w:val="50"/>
  </w:num>
  <w:num w:numId="31" w16cid:durableId="2092240650">
    <w:abstractNumId w:val="1"/>
  </w:num>
  <w:num w:numId="32" w16cid:durableId="20669193">
    <w:abstractNumId w:val="7"/>
  </w:num>
  <w:num w:numId="33" w16cid:durableId="602032988">
    <w:abstractNumId w:val="35"/>
  </w:num>
  <w:num w:numId="34" w16cid:durableId="795491393">
    <w:abstractNumId w:val="20"/>
  </w:num>
  <w:num w:numId="35" w16cid:durableId="1371421239">
    <w:abstractNumId w:val="61"/>
  </w:num>
  <w:num w:numId="36" w16cid:durableId="495536337">
    <w:abstractNumId w:val="67"/>
  </w:num>
  <w:num w:numId="37" w16cid:durableId="508719203">
    <w:abstractNumId w:val="15"/>
  </w:num>
  <w:num w:numId="38" w16cid:durableId="258568966">
    <w:abstractNumId w:val="29"/>
  </w:num>
  <w:num w:numId="39" w16cid:durableId="1399867477">
    <w:abstractNumId w:val="46"/>
  </w:num>
  <w:num w:numId="40" w16cid:durableId="1150096549">
    <w:abstractNumId w:val="58"/>
  </w:num>
  <w:num w:numId="41" w16cid:durableId="1847667302">
    <w:abstractNumId w:val="33"/>
  </w:num>
  <w:num w:numId="42" w16cid:durableId="1178958632">
    <w:abstractNumId w:val="63"/>
  </w:num>
  <w:num w:numId="43" w16cid:durableId="764303977">
    <w:abstractNumId w:val="38"/>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2"/>
  </w:num>
  <w:num w:numId="50" w16cid:durableId="1981885625">
    <w:abstractNumId w:val="70"/>
  </w:num>
  <w:num w:numId="51" w16cid:durableId="1588225749">
    <w:abstractNumId w:val="40"/>
  </w:num>
  <w:num w:numId="52" w16cid:durableId="1233615601">
    <w:abstractNumId w:val="59"/>
  </w:num>
  <w:num w:numId="53" w16cid:durableId="1957903164">
    <w:abstractNumId w:val="16"/>
  </w:num>
  <w:num w:numId="54" w16cid:durableId="113528507">
    <w:abstractNumId w:val="60"/>
  </w:num>
  <w:num w:numId="55" w16cid:durableId="609044352">
    <w:abstractNumId w:val="48"/>
  </w:num>
  <w:num w:numId="56" w16cid:durableId="1704600303">
    <w:abstractNumId w:val="24"/>
  </w:num>
  <w:num w:numId="57" w16cid:durableId="1602568203">
    <w:abstractNumId w:val="39"/>
  </w:num>
  <w:num w:numId="58" w16cid:durableId="1486430306">
    <w:abstractNumId w:val="0"/>
  </w:num>
  <w:num w:numId="59" w16cid:durableId="234127176">
    <w:abstractNumId w:val="32"/>
  </w:num>
  <w:num w:numId="60" w16cid:durableId="2103794336">
    <w:abstractNumId w:val="64"/>
  </w:num>
  <w:num w:numId="61" w16cid:durableId="1903590950">
    <w:abstractNumId w:val="28"/>
  </w:num>
  <w:num w:numId="62" w16cid:durableId="1809662724">
    <w:abstractNumId w:val="3"/>
  </w:num>
  <w:num w:numId="63" w16cid:durableId="1377510151">
    <w:abstractNumId w:val="23"/>
  </w:num>
  <w:num w:numId="64" w16cid:durableId="1755781740">
    <w:abstractNumId w:val="44"/>
  </w:num>
  <w:num w:numId="65" w16cid:durableId="74058971">
    <w:abstractNumId w:val="56"/>
  </w:num>
  <w:num w:numId="66" w16cid:durableId="369300931">
    <w:abstractNumId w:val="5"/>
  </w:num>
  <w:num w:numId="67" w16cid:durableId="1781758842">
    <w:abstractNumId w:val="18"/>
  </w:num>
  <w:num w:numId="68" w16cid:durableId="1723168477">
    <w:abstractNumId w:val="42"/>
  </w:num>
  <w:num w:numId="69" w16cid:durableId="1973247146">
    <w:abstractNumId w:val="49"/>
  </w:num>
  <w:num w:numId="70" w16cid:durableId="2106881136">
    <w:abstractNumId w:val="30"/>
  </w:num>
  <w:num w:numId="71" w16cid:durableId="957642376">
    <w:abstractNumId w:val="65"/>
  </w:num>
  <w:num w:numId="72" w16cid:durableId="1457869079">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1B7"/>
    <w:rsid w:val="000034C3"/>
    <w:rsid w:val="00003584"/>
    <w:rsid w:val="00004628"/>
    <w:rsid w:val="0000462B"/>
    <w:rsid w:val="00004D33"/>
    <w:rsid w:val="00004D75"/>
    <w:rsid w:val="00004F9D"/>
    <w:rsid w:val="000050EB"/>
    <w:rsid w:val="000053F8"/>
    <w:rsid w:val="0000554D"/>
    <w:rsid w:val="00005B5B"/>
    <w:rsid w:val="00005DD2"/>
    <w:rsid w:val="00005EC6"/>
    <w:rsid w:val="00005F17"/>
    <w:rsid w:val="00005FA7"/>
    <w:rsid w:val="000063DB"/>
    <w:rsid w:val="000065C9"/>
    <w:rsid w:val="000068DD"/>
    <w:rsid w:val="00006BB1"/>
    <w:rsid w:val="00006E1B"/>
    <w:rsid w:val="0000733C"/>
    <w:rsid w:val="000074BD"/>
    <w:rsid w:val="00007932"/>
    <w:rsid w:val="00007BAD"/>
    <w:rsid w:val="00007D16"/>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4B6"/>
    <w:rsid w:val="000128E9"/>
    <w:rsid w:val="000129ED"/>
    <w:rsid w:val="00012DEC"/>
    <w:rsid w:val="00013238"/>
    <w:rsid w:val="00013284"/>
    <w:rsid w:val="0001362E"/>
    <w:rsid w:val="000136A0"/>
    <w:rsid w:val="00013785"/>
    <w:rsid w:val="00014746"/>
    <w:rsid w:val="000147E4"/>
    <w:rsid w:val="00014B96"/>
    <w:rsid w:val="00014DC1"/>
    <w:rsid w:val="00014FF8"/>
    <w:rsid w:val="00015091"/>
    <w:rsid w:val="00015520"/>
    <w:rsid w:val="000155A7"/>
    <w:rsid w:val="00015748"/>
    <w:rsid w:val="00015C0E"/>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1B3B"/>
    <w:rsid w:val="000220E8"/>
    <w:rsid w:val="00022355"/>
    <w:rsid w:val="00022361"/>
    <w:rsid w:val="000223D3"/>
    <w:rsid w:val="00022435"/>
    <w:rsid w:val="00022686"/>
    <w:rsid w:val="000228B1"/>
    <w:rsid w:val="00022BDB"/>
    <w:rsid w:val="00022BF5"/>
    <w:rsid w:val="0002300F"/>
    <w:rsid w:val="0002305C"/>
    <w:rsid w:val="000231EA"/>
    <w:rsid w:val="00023228"/>
    <w:rsid w:val="00023286"/>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23"/>
    <w:rsid w:val="00031946"/>
    <w:rsid w:val="00031FAB"/>
    <w:rsid w:val="00032078"/>
    <w:rsid w:val="00032180"/>
    <w:rsid w:val="00032226"/>
    <w:rsid w:val="0003225B"/>
    <w:rsid w:val="000322EC"/>
    <w:rsid w:val="00032403"/>
    <w:rsid w:val="000324DA"/>
    <w:rsid w:val="00032AB9"/>
    <w:rsid w:val="00032CE5"/>
    <w:rsid w:val="00032F31"/>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6E2"/>
    <w:rsid w:val="00037F52"/>
    <w:rsid w:val="0004019D"/>
    <w:rsid w:val="0004054A"/>
    <w:rsid w:val="000407E0"/>
    <w:rsid w:val="00040C0F"/>
    <w:rsid w:val="000412FE"/>
    <w:rsid w:val="00041467"/>
    <w:rsid w:val="0004160D"/>
    <w:rsid w:val="00041F3D"/>
    <w:rsid w:val="00042017"/>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5D64"/>
    <w:rsid w:val="00046725"/>
    <w:rsid w:val="000468C0"/>
    <w:rsid w:val="00046DA2"/>
    <w:rsid w:val="000470CA"/>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6A05"/>
    <w:rsid w:val="00057006"/>
    <w:rsid w:val="000575B4"/>
    <w:rsid w:val="000601EA"/>
    <w:rsid w:val="000603A0"/>
    <w:rsid w:val="000603CB"/>
    <w:rsid w:val="000605F9"/>
    <w:rsid w:val="0006084C"/>
    <w:rsid w:val="000608FE"/>
    <w:rsid w:val="00060E7B"/>
    <w:rsid w:val="00060EDF"/>
    <w:rsid w:val="000615B0"/>
    <w:rsid w:val="000617D0"/>
    <w:rsid w:val="00061C73"/>
    <w:rsid w:val="00061E01"/>
    <w:rsid w:val="0006239E"/>
    <w:rsid w:val="0006295A"/>
    <w:rsid w:val="00062AF3"/>
    <w:rsid w:val="00062DBE"/>
    <w:rsid w:val="00062E3E"/>
    <w:rsid w:val="00062EE7"/>
    <w:rsid w:val="00062F87"/>
    <w:rsid w:val="00062FEE"/>
    <w:rsid w:val="0006305A"/>
    <w:rsid w:val="00063210"/>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418"/>
    <w:rsid w:val="00081B27"/>
    <w:rsid w:val="00081DCD"/>
    <w:rsid w:val="00082053"/>
    <w:rsid w:val="00082507"/>
    <w:rsid w:val="0008274B"/>
    <w:rsid w:val="000827F9"/>
    <w:rsid w:val="00082A9D"/>
    <w:rsid w:val="00082ED9"/>
    <w:rsid w:val="000834C8"/>
    <w:rsid w:val="00083789"/>
    <w:rsid w:val="00083792"/>
    <w:rsid w:val="000839D5"/>
    <w:rsid w:val="00083A63"/>
    <w:rsid w:val="00083BE8"/>
    <w:rsid w:val="00083CF0"/>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77E"/>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83C"/>
    <w:rsid w:val="000A29FA"/>
    <w:rsid w:val="000A2A86"/>
    <w:rsid w:val="000A2C2D"/>
    <w:rsid w:val="000A2DE4"/>
    <w:rsid w:val="000A2DFF"/>
    <w:rsid w:val="000A2FEC"/>
    <w:rsid w:val="000A30CC"/>
    <w:rsid w:val="000A3BB7"/>
    <w:rsid w:val="000A4187"/>
    <w:rsid w:val="000A418B"/>
    <w:rsid w:val="000A46A1"/>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3C88"/>
    <w:rsid w:val="000B47CF"/>
    <w:rsid w:val="000B491F"/>
    <w:rsid w:val="000B4A8E"/>
    <w:rsid w:val="000B5120"/>
    <w:rsid w:val="000B588A"/>
    <w:rsid w:val="000B5B24"/>
    <w:rsid w:val="000B5B51"/>
    <w:rsid w:val="000B5D32"/>
    <w:rsid w:val="000B624B"/>
    <w:rsid w:val="000B6487"/>
    <w:rsid w:val="000B6824"/>
    <w:rsid w:val="000B6DBE"/>
    <w:rsid w:val="000B7036"/>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1F5"/>
    <w:rsid w:val="000C22B0"/>
    <w:rsid w:val="000C2786"/>
    <w:rsid w:val="000C294C"/>
    <w:rsid w:val="000C2E72"/>
    <w:rsid w:val="000C2FFA"/>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A78"/>
    <w:rsid w:val="000C5B48"/>
    <w:rsid w:val="000C661A"/>
    <w:rsid w:val="000C77A9"/>
    <w:rsid w:val="000D04DB"/>
    <w:rsid w:val="000D0B4C"/>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489E"/>
    <w:rsid w:val="000D5309"/>
    <w:rsid w:val="000D53FC"/>
    <w:rsid w:val="000D5520"/>
    <w:rsid w:val="000D5763"/>
    <w:rsid w:val="000D5D71"/>
    <w:rsid w:val="000D5EFB"/>
    <w:rsid w:val="000D6091"/>
    <w:rsid w:val="000D6416"/>
    <w:rsid w:val="000D66F5"/>
    <w:rsid w:val="000D7005"/>
    <w:rsid w:val="000D70E3"/>
    <w:rsid w:val="000D7661"/>
    <w:rsid w:val="000D79EB"/>
    <w:rsid w:val="000D7E0C"/>
    <w:rsid w:val="000D7E79"/>
    <w:rsid w:val="000D7F3B"/>
    <w:rsid w:val="000E055E"/>
    <w:rsid w:val="000E08A5"/>
    <w:rsid w:val="000E0AAE"/>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7AA"/>
    <w:rsid w:val="000E6CF9"/>
    <w:rsid w:val="000E7005"/>
    <w:rsid w:val="000E72B8"/>
    <w:rsid w:val="000E73BD"/>
    <w:rsid w:val="000E76F0"/>
    <w:rsid w:val="000E7CD1"/>
    <w:rsid w:val="000F0297"/>
    <w:rsid w:val="000F069C"/>
    <w:rsid w:val="000F0A1A"/>
    <w:rsid w:val="000F0B27"/>
    <w:rsid w:val="000F0D4C"/>
    <w:rsid w:val="000F0D73"/>
    <w:rsid w:val="000F0DFC"/>
    <w:rsid w:val="000F0E95"/>
    <w:rsid w:val="000F14EE"/>
    <w:rsid w:val="000F18F2"/>
    <w:rsid w:val="000F1D4F"/>
    <w:rsid w:val="000F1DD0"/>
    <w:rsid w:val="000F23E0"/>
    <w:rsid w:val="000F26BE"/>
    <w:rsid w:val="000F2E82"/>
    <w:rsid w:val="000F305F"/>
    <w:rsid w:val="000F38B5"/>
    <w:rsid w:val="000F3A4F"/>
    <w:rsid w:val="000F3D50"/>
    <w:rsid w:val="000F4416"/>
    <w:rsid w:val="000F4952"/>
    <w:rsid w:val="000F56C3"/>
    <w:rsid w:val="000F5995"/>
    <w:rsid w:val="000F5D35"/>
    <w:rsid w:val="000F5DDE"/>
    <w:rsid w:val="000F67B1"/>
    <w:rsid w:val="000F69EF"/>
    <w:rsid w:val="000F6F0D"/>
    <w:rsid w:val="000F71CE"/>
    <w:rsid w:val="000F7390"/>
    <w:rsid w:val="000F7D67"/>
    <w:rsid w:val="001000EA"/>
    <w:rsid w:val="00100573"/>
    <w:rsid w:val="00100A53"/>
    <w:rsid w:val="00100B0B"/>
    <w:rsid w:val="00101E7D"/>
    <w:rsid w:val="001025E7"/>
    <w:rsid w:val="0010272A"/>
    <w:rsid w:val="0010275F"/>
    <w:rsid w:val="001029B4"/>
    <w:rsid w:val="001030AA"/>
    <w:rsid w:val="0010316E"/>
    <w:rsid w:val="001033CF"/>
    <w:rsid w:val="001038BB"/>
    <w:rsid w:val="00103D55"/>
    <w:rsid w:val="00103E13"/>
    <w:rsid w:val="00103F76"/>
    <w:rsid w:val="001040E2"/>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07F37"/>
    <w:rsid w:val="001101E1"/>
    <w:rsid w:val="00110379"/>
    <w:rsid w:val="001103CF"/>
    <w:rsid w:val="00110471"/>
    <w:rsid w:val="001108E0"/>
    <w:rsid w:val="00111638"/>
    <w:rsid w:val="00111F4C"/>
    <w:rsid w:val="001122F9"/>
    <w:rsid w:val="00112358"/>
    <w:rsid w:val="0011254F"/>
    <w:rsid w:val="00112561"/>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76F"/>
    <w:rsid w:val="00120A89"/>
    <w:rsid w:val="00120F0F"/>
    <w:rsid w:val="00120FAC"/>
    <w:rsid w:val="00121311"/>
    <w:rsid w:val="00121A8E"/>
    <w:rsid w:val="00121BF6"/>
    <w:rsid w:val="00122A1C"/>
    <w:rsid w:val="00123810"/>
    <w:rsid w:val="00123872"/>
    <w:rsid w:val="00123C91"/>
    <w:rsid w:val="001242F1"/>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5D"/>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D27"/>
    <w:rsid w:val="00142EED"/>
    <w:rsid w:val="00143382"/>
    <w:rsid w:val="00143743"/>
    <w:rsid w:val="001437D5"/>
    <w:rsid w:val="0014392F"/>
    <w:rsid w:val="00143C0F"/>
    <w:rsid w:val="00143E66"/>
    <w:rsid w:val="00143EB0"/>
    <w:rsid w:val="00143FEE"/>
    <w:rsid w:val="0014495D"/>
    <w:rsid w:val="00144CCA"/>
    <w:rsid w:val="00145715"/>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402E"/>
    <w:rsid w:val="00154487"/>
    <w:rsid w:val="00154524"/>
    <w:rsid w:val="001546E8"/>
    <w:rsid w:val="00154828"/>
    <w:rsid w:val="0015484C"/>
    <w:rsid w:val="00155698"/>
    <w:rsid w:val="00155809"/>
    <w:rsid w:val="00155BC9"/>
    <w:rsid w:val="00155C11"/>
    <w:rsid w:val="00155D66"/>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071"/>
    <w:rsid w:val="00162838"/>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0B85"/>
    <w:rsid w:val="001711A9"/>
    <w:rsid w:val="001712DE"/>
    <w:rsid w:val="00171570"/>
    <w:rsid w:val="0017186C"/>
    <w:rsid w:val="00171AD7"/>
    <w:rsid w:val="00171B2D"/>
    <w:rsid w:val="00171BE6"/>
    <w:rsid w:val="00171DC1"/>
    <w:rsid w:val="00171E1D"/>
    <w:rsid w:val="00171EF7"/>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1C3D"/>
    <w:rsid w:val="001820AF"/>
    <w:rsid w:val="0018238C"/>
    <w:rsid w:val="001828A4"/>
    <w:rsid w:val="00182B3C"/>
    <w:rsid w:val="00182E45"/>
    <w:rsid w:val="00182E99"/>
    <w:rsid w:val="001836E7"/>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157"/>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0A5"/>
    <w:rsid w:val="001B46AE"/>
    <w:rsid w:val="001B4EA4"/>
    <w:rsid w:val="001B5009"/>
    <w:rsid w:val="001B5248"/>
    <w:rsid w:val="001B54F0"/>
    <w:rsid w:val="001B5950"/>
    <w:rsid w:val="001B5DCE"/>
    <w:rsid w:val="001B61CA"/>
    <w:rsid w:val="001B653E"/>
    <w:rsid w:val="001B6AAD"/>
    <w:rsid w:val="001B6EB1"/>
    <w:rsid w:val="001B6FC7"/>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68A"/>
    <w:rsid w:val="001C4834"/>
    <w:rsid w:val="001C4C95"/>
    <w:rsid w:val="001C4FF2"/>
    <w:rsid w:val="001C53CE"/>
    <w:rsid w:val="001C56EB"/>
    <w:rsid w:val="001C5905"/>
    <w:rsid w:val="001C5BA6"/>
    <w:rsid w:val="001C5EAD"/>
    <w:rsid w:val="001C5F74"/>
    <w:rsid w:val="001C5FC4"/>
    <w:rsid w:val="001C68B6"/>
    <w:rsid w:val="001C69C7"/>
    <w:rsid w:val="001C7079"/>
    <w:rsid w:val="001C7181"/>
    <w:rsid w:val="001C7DAE"/>
    <w:rsid w:val="001D0229"/>
    <w:rsid w:val="001D028A"/>
    <w:rsid w:val="001D0868"/>
    <w:rsid w:val="001D1636"/>
    <w:rsid w:val="001D181F"/>
    <w:rsid w:val="001D1A42"/>
    <w:rsid w:val="001D2755"/>
    <w:rsid w:val="001D2F4D"/>
    <w:rsid w:val="001D2FFC"/>
    <w:rsid w:val="001D30A0"/>
    <w:rsid w:val="001D3816"/>
    <w:rsid w:val="001D39E8"/>
    <w:rsid w:val="001D3B1F"/>
    <w:rsid w:val="001D3ECA"/>
    <w:rsid w:val="001D4075"/>
    <w:rsid w:val="001D4852"/>
    <w:rsid w:val="001D4977"/>
    <w:rsid w:val="001D4E5E"/>
    <w:rsid w:val="001D548F"/>
    <w:rsid w:val="001D5714"/>
    <w:rsid w:val="001D600F"/>
    <w:rsid w:val="001D604E"/>
    <w:rsid w:val="001D617D"/>
    <w:rsid w:val="001D6843"/>
    <w:rsid w:val="001D7299"/>
    <w:rsid w:val="001D7641"/>
    <w:rsid w:val="001D79BC"/>
    <w:rsid w:val="001E00F0"/>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D67"/>
    <w:rsid w:val="001F1A00"/>
    <w:rsid w:val="001F1A90"/>
    <w:rsid w:val="001F1B8A"/>
    <w:rsid w:val="001F1C06"/>
    <w:rsid w:val="001F2058"/>
    <w:rsid w:val="001F23BC"/>
    <w:rsid w:val="001F265C"/>
    <w:rsid w:val="001F296D"/>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DDE"/>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0F"/>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875"/>
    <w:rsid w:val="0020790A"/>
    <w:rsid w:val="00207C47"/>
    <w:rsid w:val="00207E86"/>
    <w:rsid w:val="00210594"/>
    <w:rsid w:val="00210CDB"/>
    <w:rsid w:val="00210F65"/>
    <w:rsid w:val="002110F2"/>
    <w:rsid w:val="002114F0"/>
    <w:rsid w:val="00211DD3"/>
    <w:rsid w:val="002122A5"/>
    <w:rsid w:val="00212939"/>
    <w:rsid w:val="002129AB"/>
    <w:rsid w:val="00212B8B"/>
    <w:rsid w:val="00212BEC"/>
    <w:rsid w:val="002130F6"/>
    <w:rsid w:val="00213388"/>
    <w:rsid w:val="002133B8"/>
    <w:rsid w:val="0021371C"/>
    <w:rsid w:val="00213834"/>
    <w:rsid w:val="002139E7"/>
    <w:rsid w:val="00213C4D"/>
    <w:rsid w:val="00213C5E"/>
    <w:rsid w:val="00213F04"/>
    <w:rsid w:val="002144A1"/>
    <w:rsid w:val="002147A6"/>
    <w:rsid w:val="00214D4B"/>
    <w:rsid w:val="00214DAE"/>
    <w:rsid w:val="00215739"/>
    <w:rsid w:val="002157B5"/>
    <w:rsid w:val="0021638C"/>
    <w:rsid w:val="00216869"/>
    <w:rsid w:val="00216C6E"/>
    <w:rsid w:val="002170B0"/>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8A1"/>
    <w:rsid w:val="00225CB8"/>
    <w:rsid w:val="00226E88"/>
    <w:rsid w:val="00226F8B"/>
    <w:rsid w:val="0022715D"/>
    <w:rsid w:val="002278DD"/>
    <w:rsid w:val="0023053A"/>
    <w:rsid w:val="00230AF7"/>
    <w:rsid w:val="00230B76"/>
    <w:rsid w:val="00230BA9"/>
    <w:rsid w:val="00231068"/>
    <w:rsid w:val="00231F8F"/>
    <w:rsid w:val="00231FCB"/>
    <w:rsid w:val="00232552"/>
    <w:rsid w:val="00232AE1"/>
    <w:rsid w:val="002331D6"/>
    <w:rsid w:val="0023358A"/>
    <w:rsid w:val="0023444B"/>
    <w:rsid w:val="00234DBA"/>
    <w:rsid w:val="00234F6C"/>
    <w:rsid w:val="00234FCD"/>
    <w:rsid w:val="00234FD9"/>
    <w:rsid w:val="0023596F"/>
    <w:rsid w:val="00235BAB"/>
    <w:rsid w:val="00235FB4"/>
    <w:rsid w:val="00236374"/>
    <w:rsid w:val="00236CDF"/>
    <w:rsid w:val="00236F49"/>
    <w:rsid w:val="002371B1"/>
    <w:rsid w:val="002379E2"/>
    <w:rsid w:val="00237E07"/>
    <w:rsid w:val="00237F8D"/>
    <w:rsid w:val="002400A1"/>
    <w:rsid w:val="00240222"/>
    <w:rsid w:val="00240568"/>
    <w:rsid w:val="00240B0A"/>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2EA1"/>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8A9"/>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532"/>
    <w:rsid w:val="002675D3"/>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3C0"/>
    <w:rsid w:val="00275FB7"/>
    <w:rsid w:val="00276041"/>
    <w:rsid w:val="0027657E"/>
    <w:rsid w:val="002766B0"/>
    <w:rsid w:val="00277572"/>
    <w:rsid w:val="00277812"/>
    <w:rsid w:val="00277AA7"/>
    <w:rsid w:val="00277FD4"/>
    <w:rsid w:val="002802A1"/>
    <w:rsid w:val="002803B8"/>
    <w:rsid w:val="002805C4"/>
    <w:rsid w:val="0028078F"/>
    <w:rsid w:val="0028083A"/>
    <w:rsid w:val="002808CA"/>
    <w:rsid w:val="00280926"/>
    <w:rsid w:val="00281269"/>
    <w:rsid w:val="002812F7"/>
    <w:rsid w:val="00281303"/>
    <w:rsid w:val="00281922"/>
    <w:rsid w:val="00281B0A"/>
    <w:rsid w:val="00281FE4"/>
    <w:rsid w:val="0028250F"/>
    <w:rsid w:val="0028257E"/>
    <w:rsid w:val="00282720"/>
    <w:rsid w:val="00282CDE"/>
    <w:rsid w:val="00282D03"/>
    <w:rsid w:val="00283073"/>
    <w:rsid w:val="00283273"/>
    <w:rsid w:val="0028348A"/>
    <w:rsid w:val="00283C7F"/>
    <w:rsid w:val="00283E5C"/>
    <w:rsid w:val="002840B9"/>
    <w:rsid w:val="00284142"/>
    <w:rsid w:val="0028456B"/>
    <w:rsid w:val="00284579"/>
    <w:rsid w:val="00285478"/>
    <w:rsid w:val="00285792"/>
    <w:rsid w:val="002859BA"/>
    <w:rsid w:val="0028663C"/>
    <w:rsid w:val="00287329"/>
    <w:rsid w:val="00287460"/>
    <w:rsid w:val="00287C89"/>
    <w:rsid w:val="00287EC6"/>
    <w:rsid w:val="002905B5"/>
    <w:rsid w:val="002908DD"/>
    <w:rsid w:val="002911D8"/>
    <w:rsid w:val="00291798"/>
    <w:rsid w:val="00292120"/>
    <w:rsid w:val="0029294F"/>
    <w:rsid w:val="00292A15"/>
    <w:rsid w:val="00293203"/>
    <w:rsid w:val="0029322C"/>
    <w:rsid w:val="0029329A"/>
    <w:rsid w:val="00293A15"/>
    <w:rsid w:val="00293D58"/>
    <w:rsid w:val="00294048"/>
    <w:rsid w:val="00294F20"/>
    <w:rsid w:val="00295328"/>
    <w:rsid w:val="00295693"/>
    <w:rsid w:val="00295727"/>
    <w:rsid w:val="00295893"/>
    <w:rsid w:val="00295B54"/>
    <w:rsid w:val="00295BCF"/>
    <w:rsid w:val="002960C3"/>
    <w:rsid w:val="00296781"/>
    <w:rsid w:val="002969C0"/>
    <w:rsid w:val="00296B5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43D3"/>
    <w:rsid w:val="002A4E9B"/>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D15"/>
    <w:rsid w:val="002B0F2B"/>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B49"/>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571"/>
    <w:rsid w:val="002C0857"/>
    <w:rsid w:val="002C0B1F"/>
    <w:rsid w:val="002C0E18"/>
    <w:rsid w:val="002C15B5"/>
    <w:rsid w:val="002C180D"/>
    <w:rsid w:val="002C1B6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597"/>
    <w:rsid w:val="002D0B00"/>
    <w:rsid w:val="002D0DDF"/>
    <w:rsid w:val="002D17A5"/>
    <w:rsid w:val="002D1805"/>
    <w:rsid w:val="002D1AC7"/>
    <w:rsid w:val="002D1D54"/>
    <w:rsid w:val="002D21F7"/>
    <w:rsid w:val="002D2926"/>
    <w:rsid w:val="002D298D"/>
    <w:rsid w:val="002D347E"/>
    <w:rsid w:val="002D357B"/>
    <w:rsid w:val="002D37D6"/>
    <w:rsid w:val="002D3C72"/>
    <w:rsid w:val="002D3D17"/>
    <w:rsid w:val="002D3DB2"/>
    <w:rsid w:val="002D42A0"/>
    <w:rsid w:val="002D4367"/>
    <w:rsid w:val="002D43E8"/>
    <w:rsid w:val="002D440D"/>
    <w:rsid w:val="002D4C8C"/>
    <w:rsid w:val="002D4EF6"/>
    <w:rsid w:val="002D51F5"/>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7F3"/>
    <w:rsid w:val="002E6BF6"/>
    <w:rsid w:val="002E6D48"/>
    <w:rsid w:val="002E7003"/>
    <w:rsid w:val="002E736D"/>
    <w:rsid w:val="002E7754"/>
    <w:rsid w:val="002E78AC"/>
    <w:rsid w:val="002F0875"/>
    <w:rsid w:val="002F0884"/>
    <w:rsid w:val="002F1A5B"/>
    <w:rsid w:val="002F1B87"/>
    <w:rsid w:val="002F1C7E"/>
    <w:rsid w:val="002F2228"/>
    <w:rsid w:val="002F2C95"/>
    <w:rsid w:val="002F327E"/>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FA4"/>
    <w:rsid w:val="00306076"/>
    <w:rsid w:val="003060BB"/>
    <w:rsid w:val="0030617A"/>
    <w:rsid w:val="00306989"/>
    <w:rsid w:val="00307214"/>
    <w:rsid w:val="0030755C"/>
    <w:rsid w:val="00307F99"/>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943"/>
    <w:rsid w:val="00313A36"/>
    <w:rsid w:val="00313C59"/>
    <w:rsid w:val="00314373"/>
    <w:rsid w:val="003143F4"/>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975"/>
    <w:rsid w:val="00317FE3"/>
    <w:rsid w:val="00320015"/>
    <w:rsid w:val="00320263"/>
    <w:rsid w:val="003209C7"/>
    <w:rsid w:val="00320A02"/>
    <w:rsid w:val="00320AB2"/>
    <w:rsid w:val="003219EA"/>
    <w:rsid w:val="003225D5"/>
    <w:rsid w:val="0032265B"/>
    <w:rsid w:val="0032271E"/>
    <w:rsid w:val="0032293A"/>
    <w:rsid w:val="003229A0"/>
    <w:rsid w:val="00322BC4"/>
    <w:rsid w:val="00323247"/>
    <w:rsid w:val="003232F1"/>
    <w:rsid w:val="003233CF"/>
    <w:rsid w:val="0032378E"/>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8B7"/>
    <w:rsid w:val="00331B79"/>
    <w:rsid w:val="00331DCA"/>
    <w:rsid w:val="00332129"/>
    <w:rsid w:val="00332736"/>
    <w:rsid w:val="00332EAD"/>
    <w:rsid w:val="0033322F"/>
    <w:rsid w:val="003332EC"/>
    <w:rsid w:val="0033399A"/>
    <w:rsid w:val="003347EC"/>
    <w:rsid w:val="00334878"/>
    <w:rsid w:val="00334912"/>
    <w:rsid w:val="003350E3"/>
    <w:rsid w:val="003353DC"/>
    <w:rsid w:val="00335779"/>
    <w:rsid w:val="00335A70"/>
    <w:rsid w:val="0033637A"/>
    <w:rsid w:val="00336CE8"/>
    <w:rsid w:val="00336FF2"/>
    <w:rsid w:val="0033709A"/>
    <w:rsid w:val="00337375"/>
    <w:rsid w:val="003376B5"/>
    <w:rsid w:val="003376DF"/>
    <w:rsid w:val="003402DF"/>
    <w:rsid w:val="003405F6"/>
    <w:rsid w:val="00340A89"/>
    <w:rsid w:val="00340AA4"/>
    <w:rsid w:val="00340D16"/>
    <w:rsid w:val="00340D94"/>
    <w:rsid w:val="00340EB5"/>
    <w:rsid w:val="00341361"/>
    <w:rsid w:val="003415C8"/>
    <w:rsid w:val="00341AD8"/>
    <w:rsid w:val="00342488"/>
    <w:rsid w:val="00342A29"/>
    <w:rsid w:val="00342CF5"/>
    <w:rsid w:val="00343450"/>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914"/>
    <w:rsid w:val="00351A7F"/>
    <w:rsid w:val="00352465"/>
    <w:rsid w:val="003524B1"/>
    <w:rsid w:val="003525C0"/>
    <w:rsid w:val="0035262D"/>
    <w:rsid w:val="00352CFB"/>
    <w:rsid w:val="00352F20"/>
    <w:rsid w:val="0035309E"/>
    <w:rsid w:val="003530B9"/>
    <w:rsid w:val="00353174"/>
    <w:rsid w:val="003533E6"/>
    <w:rsid w:val="00353798"/>
    <w:rsid w:val="0035396F"/>
    <w:rsid w:val="003541D1"/>
    <w:rsid w:val="003541DB"/>
    <w:rsid w:val="00354278"/>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07D"/>
    <w:rsid w:val="003607A0"/>
    <w:rsid w:val="00360CBD"/>
    <w:rsid w:val="00360D4F"/>
    <w:rsid w:val="00360D68"/>
    <w:rsid w:val="00361072"/>
    <w:rsid w:val="00361163"/>
    <w:rsid w:val="003613A9"/>
    <w:rsid w:val="00361851"/>
    <w:rsid w:val="00361D52"/>
    <w:rsid w:val="00362461"/>
    <w:rsid w:val="003628AA"/>
    <w:rsid w:val="00362C59"/>
    <w:rsid w:val="00362D37"/>
    <w:rsid w:val="003632EB"/>
    <w:rsid w:val="00363DA3"/>
    <w:rsid w:val="00363F13"/>
    <w:rsid w:val="0036400A"/>
    <w:rsid w:val="00364B18"/>
    <w:rsid w:val="00364D63"/>
    <w:rsid w:val="00365105"/>
    <w:rsid w:val="0036579C"/>
    <w:rsid w:val="003657E7"/>
    <w:rsid w:val="00365CF9"/>
    <w:rsid w:val="00365E78"/>
    <w:rsid w:val="00366857"/>
    <w:rsid w:val="003668FF"/>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CC0"/>
    <w:rsid w:val="00372E17"/>
    <w:rsid w:val="00372F44"/>
    <w:rsid w:val="0037362F"/>
    <w:rsid w:val="0037380C"/>
    <w:rsid w:val="00374783"/>
    <w:rsid w:val="00374ACD"/>
    <w:rsid w:val="00374DD9"/>
    <w:rsid w:val="003750B5"/>
    <w:rsid w:val="00375135"/>
    <w:rsid w:val="00375165"/>
    <w:rsid w:val="00375520"/>
    <w:rsid w:val="00375687"/>
    <w:rsid w:val="00375C71"/>
    <w:rsid w:val="003762F4"/>
    <w:rsid w:val="003763FF"/>
    <w:rsid w:val="00377224"/>
    <w:rsid w:val="00377360"/>
    <w:rsid w:val="0037737B"/>
    <w:rsid w:val="003774D1"/>
    <w:rsid w:val="003774E1"/>
    <w:rsid w:val="003777B8"/>
    <w:rsid w:val="00377A8B"/>
    <w:rsid w:val="00377BAD"/>
    <w:rsid w:val="003802BD"/>
    <w:rsid w:val="003809D0"/>
    <w:rsid w:val="0038138B"/>
    <w:rsid w:val="003817E7"/>
    <w:rsid w:val="0038196D"/>
    <w:rsid w:val="00381BA3"/>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6E7"/>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42F"/>
    <w:rsid w:val="003A05C7"/>
    <w:rsid w:val="003A0717"/>
    <w:rsid w:val="003A074E"/>
    <w:rsid w:val="003A126C"/>
    <w:rsid w:val="003A1531"/>
    <w:rsid w:val="003A1CFF"/>
    <w:rsid w:val="003A2BB7"/>
    <w:rsid w:val="003A312D"/>
    <w:rsid w:val="003A37BF"/>
    <w:rsid w:val="003A3D2A"/>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60F"/>
    <w:rsid w:val="003A6A14"/>
    <w:rsid w:val="003A6A20"/>
    <w:rsid w:val="003A6FDD"/>
    <w:rsid w:val="003A72E4"/>
    <w:rsid w:val="003A7535"/>
    <w:rsid w:val="003A7616"/>
    <w:rsid w:val="003A799B"/>
    <w:rsid w:val="003A7CBB"/>
    <w:rsid w:val="003A7D18"/>
    <w:rsid w:val="003B00C2"/>
    <w:rsid w:val="003B017F"/>
    <w:rsid w:val="003B0434"/>
    <w:rsid w:val="003B07D1"/>
    <w:rsid w:val="003B0A3B"/>
    <w:rsid w:val="003B0DFF"/>
    <w:rsid w:val="003B1289"/>
    <w:rsid w:val="003B12DB"/>
    <w:rsid w:val="003B166A"/>
    <w:rsid w:val="003B1AF6"/>
    <w:rsid w:val="003B1B1B"/>
    <w:rsid w:val="003B1B75"/>
    <w:rsid w:val="003B1C8A"/>
    <w:rsid w:val="003B2134"/>
    <w:rsid w:val="003B25CD"/>
    <w:rsid w:val="003B2A4D"/>
    <w:rsid w:val="003B2E0C"/>
    <w:rsid w:val="003B2EEF"/>
    <w:rsid w:val="003B2FBC"/>
    <w:rsid w:val="003B3122"/>
    <w:rsid w:val="003B32CC"/>
    <w:rsid w:val="003B35CB"/>
    <w:rsid w:val="003B364C"/>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0FDA"/>
    <w:rsid w:val="003C1A62"/>
    <w:rsid w:val="003C1E2C"/>
    <w:rsid w:val="003C27F3"/>
    <w:rsid w:val="003C2C66"/>
    <w:rsid w:val="003C2F43"/>
    <w:rsid w:val="003C32FC"/>
    <w:rsid w:val="003C3793"/>
    <w:rsid w:val="003C3ABE"/>
    <w:rsid w:val="003C3CDD"/>
    <w:rsid w:val="003C3FD4"/>
    <w:rsid w:val="003C457C"/>
    <w:rsid w:val="003C49A9"/>
    <w:rsid w:val="003C4EBE"/>
    <w:rsid w:val="003C5502"/>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1E2D"/>
    <w:rsid w:val="003D23D5"/>
    <w:rsid w:val="003D2533"/>
    <w:rsid w:val="003D2813"/>
    <w:rsid w:val="003D28D1"/>
    <w:rsid w:val="003D295D"/>
    <w:rsid w:val="003D2F1C"/>
    <w:rsid w:val="003D2FE6"/>
    <w:rsid w:val="003D384C"/>
    <w:rsid w:val="003D3C58"/>
    <w:rsid w:val="003D3CD1"/>
    <w:rsid w:val="003D3DE3"/>
    <w:rsid w:val="003D4137"/>
    <w:rsid w:val="003D4417"/>
    <w:rsid w:val="003D489A"/>
    <w:rsid w:val="003D4AED"/>
    <w:rsid w:val="003D4EA6"/>
    <w:rsid w:val="003D4FB9"/>
    <w:rsid w:val="003D5944"/>
    <w:rsid w:val="003D5C91"/>
    <w:rsid w:val="003D5D05"/>
    <w:rsid w:val="003D5ECA"/>
    <w:rsid w:val="003D5ECF"/>
    <w:rsid w:val="003D5FB6"/>
    <w:rsid w:val="003D63D1"/>
    <w:rsid w:val="003D66AA"/>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46"/>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31F"/>
    <w:rsid w:val="003E7AFC"/>
    <w:rsid w:val="003E7C04"/>
    <w:rsid w:val="003E7C95"/>
    <w:rsid w:val="003E7FDA"/>
    <w:rsid w:val="003F01F7"/>
    <w:rsid w:val="003F0413"/>
    <w:rsid w:val="003F0570"/>
    <w:rsid w:val="003F0D15"/>
    <w:rsid w:val="003F1283"/>
    <w:rsid w:val="003F13F6"/>
    <w:rsid w:val="003F148F"/>
    <w:rsid w:val="003F174E"/>
    <w:rsid w:val="003F1A0E"/>
    <w:rsid w:val="003F1A53"/>
    <w:rsid w:val="003F1F13"/>
    <w:rsid w:val="003F2454"/>
    <w:rsid w:val="003F28BC"/>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CA6"/>
    <w:rsid w:val="00403D81"/>
    <w:rsid w:val="00403EDA"/>
    <w:rsid w:val="00403F44"/>
    <w:rsid w:val="0040409C"/>
    <w:rsid w:val="0040441F"/>
    <w:rsid w:val="00404A45"/>
    <w:rsid w:val="0040549B"/>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7CC"/>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5EDA"/>
    <w:rsid w:val="0042640D"/>
    <w:rsid w:val="0042646A"/>
    <w:rsid w:val="00426BBC"/>
    <w:rsid w:val="00427238"/>
    <w:rsid w:val="004273BF"/>
    <w:rsid w:val="0042760D"/>
    <w:rsid w:val="0042760E"/>
    <w:rsid w:val="0042767A"/>
    <w:rsid w:val="00427E91"/>
    <w:rsid w:val="004311FF"/>
    <w:rsid w:val="00431211"/>
    <w:rsid w:val="004314B6"/>
    <w:rsid w:val="00432185"/>
    <w:rsid w:val="0043230E"/>
    <w:rsid w:val="00432447"/>
    <w:rsid w:val="00432B50"/>
    <w:rsid w:val="00432D97"/>
    <w:rsid w:val="00432F21"/>
    <w:rsid w:val="004332A0"/>
    <w:rsid w:val="0043341A"/>
    <w:rsid w:val="004336D1"/>
    <w:rsid w:val="004337DF"/>
    <w:rsid w:val="004338BE"/>
    <w:rsid w:val="00433964"/>
    <w:rsid w:val="004342CE"/>
    <w:rsid w:val="004343AD"/>
    <w:rsid w:val="004349D9"/>
    <w:rsid w:val="00434C7F"/>
    <w:rsid w:val="004353AE"/>
    <w:rsid w:val="0043544F"/>
    <w:rsid w:val="00435C53"/>
    <w:rsid w:val="004362C0"/>
    <w:rsid w:val="00436425"/>
    <w:rsid w:val="004364E6"/>
    <w:rsid w:val="00436A04"/>
    <w:rsid w:val="00436B27"/>
    <w:rsid w:val="00436D9D"/>
    <w:rsid w:val="00436DBE"/>
    <w:rsid w:val="00437069"/>
    <w:rsid w:val="0043712E"/>
    <w:rsid w:val="00437E12"/>
    <w:rsid w:val="004400BC"/>
    <w:rsid w:val="00440B54"/>
    <w:rsid w:val="00440B81"/>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023"/>
    <w:rsid w:val="004462BD"/>
    <w:rsid w:val="004462FA"/>
    <w:rsid w:val="0044692E"/>
    <w:rsid w:val="0044693B"/>
    <w:rsid w:val="0044732A"/>
    <w:rsid w:val="0044747E"/>
    <w:rsid w:val="00447CBD"/>
    <w:rsid w:val="00450068"/>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5D3A"/>
    <w:rsid w:val="004569E8"/>
    <w:rsid w:val="00456A43"/>
    <w:rsid w:val="00456BD9"/>
    <w:rsid w:val="00457034"/>
    <w:rsid w:val="0045771B"/>
    <w:rsid w:val="00457BAA"/>
    <w:rsid w:val="00460550"/>
    <w:rsid w:val="00460981"/>
    <w:rsid w:val="004609DE"/>
    <w:rsid w:val="00461045"/>
    <w:rsid w:val="00461141"/>
    <w:rsid w:val="00461A3E"/>
    <w:rsid w:val="00461DC0"/>
    <w:rsid w:val="00462188"/>
    <w:rsid w:val="00462516"/>
    <w:rsid w:val="00462699"/>
    <w:rsid w:val="00462787"/>
    <w:rsid w:val="004628F0"/>
    <w:rsid w:val="00462AAF"/>
    <w:rsid w:val="00462D54"/>
    <w:rsid w:val="00462D63"/>
    <w:rsid w:val="004634D6"/>
    <w:rsid w:val="004636BC"/>
    <w:rsid w:val="00463731"/>
    <w:rsid w:val="00463886"/>
    <w:rsid w:val="004638A7"/>
    <w:rsid w:val="00463AF8"/>
    <w:rsid w:val="004644E4"/>
    <w:rsid w:val="00464C70"/>
    <w:rsid w:val="00464E03"/>
    <w:rsid w:val="00464F36"/>
    <w:rsid w:val="00464F3A"/>
    <w:rsid w:val="0046507A"/>
    <w:rsid w:val="004651BB"/>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D50"/>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52E"/>
    <w:rsid w:val="00482F51"/>
    <w:rsid w:val="00483166"/>
    <w:rsid w:val="0048333B"/>
    <w:rsid w:val="004835FA"/>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990"/>
    <w:rsid w:val="00493EB8"/>
    <w:rsid w:val="0049405F"/>
    <w:rsid w:val="004941F1"/>
    <w:rsid w:val="004942A0"/>
    <w:rsid w:val="00494307"/>
    <w:rsid w:val="00494B3B"/>
    <w:rsid w:val="00495178"/>
    <w:rsid w:val="004954A4"/>
    <w:rsid w:val="00495665"/>
    <w:rsid w:val="0049596B"/>
    <w:rsid w:val="0049608C"/>
    <w:rsid w:val="004963FE"/>
    <w:rsid w:val="004964B3"/>
    <w:rsid w:val="00496996"/>
    <w:rsid w:val="00496DD8"/>
    <w:rsid w:val="00497692"/>
    <w:rsid w:val="004976C1"/>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A6142"/>
    <w:rsid w:val="004A78F4"/>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C9E"/>
    <w:rsid w:val="004B2EBB"/>
    <w:rsid w:val="004B3507"/>
    <w:rsid w:val="004B36DF"/>
    <w:rsid w:val="004B36F4"/>
    <w:rsid w:val="004B3C81"/>
    <w:rsid w:val="004B3CA4"/>
    <w:rsid w:val="004B42CA"/>
    <w:rsid w:val="004B47F4"/>
    <w:rsid w:val="004B4C18"/>
    <w:rsid w:val="004B4E4F"/>
    <w:rsid w:val="004B50CC"/>
    <w:rsid w:val="004B5825"/>
    <w:rsid w:val="004B5D8E"/>
    <w:rsid w:val="004B61C8"/>
    <w:rsid w:val="004B622F"/>
    <w:rsid w:val="004B6415"/>
    <w:rsid w:val="004B64FA"/>
    <w:rsid w:val="004B6A7D"/>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39E"/>
    <w:rsid w:val="004C750E"/>
    <w:rsid w:val="004C7872"/>
    <w:rsid w:val="004C7933"/>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CB"/>
    <w:rsid w:val="004D6B20"/>
    <w:rsid w:val="004D6C2F"/>
    <w:rsid w:val="004D71FE"/>
    <w:rsid w:val="004D72CE"/>
    <w:rsid w:val="004D7312"/>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D36"/>
    <w:rsid w:val="004E20EE"/>
    <w:rsid w:val="004E23BB"/>
    <w:rsid w:val="004E251F"/>
    <w:rsid w:val="004E2B23"/>
    <w:rsid w:val="004E2E72"/>
    <w:rsid w:val="004E2FB9"/>
    <w:rsid w:val="004E3390"/>
    <w:rsid w:val="004E3726"/>
    <w:rsid w:val="004E37C8"/>
    <w:rsid w:val="004E416F"/>
    <w:rsid w:val="004E424D"/>
    <w:rsid w:val="004E4439"/>
    <w:rsid w:val="004E4DBF"/>
    <w:rsid w:val="004E5BF9"/>
    <w:rsid w:val="004E5F45"/>
    <w:rsid w:val="004E64DC"/>
    <w:rsid w:val="004E674C"/>
    <w:rsid w:val="004E6D9D"/>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96"/>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0472"/>
    <w:rsid w:val="00510D5A"/>
    <w:rsid w:val="00511358"/>
    <w:rsid w:val="00511D75"/>
    <w:rsid w:val="00511FF2"/>
    <w:rsid w:val="005121CE"/>
    <w:rsid w:val="00512232"/>
    <w:rsid w:val="005125EF"/>
    <w:rsid w:val="00512CD5"/>
    <w:rsid w:val="005135C0"/>
    <w:rsid w:val="005136AB"/>
    <w:rsid w:val="00513B7E"/>
    <w:rsid w:val="005140F7"/>
    <w:rsid w:val="00514326"/>
    <w:rsid w:val="00514597"/>
    <w:rsid w:val="00514779"/>
    <w:rsid w:val="00514D2E"/>
    <w:rsid w:val="00514F8E"/>
    <w:rsid w:val="005150AB"/>
    <w:rsid w:val="0051520F"/>
    <w:rsid w:val="0051557F"/>
    <w:rsid w:val="005159F9"/>
    <w:rsid w:val="00516164"/>
    <w:rsid w:val="005164CC"/>
    <w:rsid w:val="0051666B"/>
    <w:rsid w:val="00516C90"/>
    <w:rsid w:val="0051769B"/>
    <w:rsid w:val="00517D26"/>
    <w:rsid w:val="0052052F"/>
    <w:rsid w:val="00520571"/>
    <w:rsid w:val="00520966"/>
    <w:rsid w:val="00520FBB"/>
    <w:rsid w:val="005212B6"/>
    <w:rsid w:val="005220D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89"/>
    <w:rsid w:val="00532DEF"/>
    <w:rsid w:val="00532E23"/>
    <w:rsid w:val="005331D3"/>
    <w:rsid w:val="005331DA"/>
    <w:rsid w:val="005332FA"/>
    <w:rsid w:val="00533317"/>
    <w:rsid w:val="005334C9"/>
    <w:rsid w:val="005335ED"/>
    <w:rsid w:val="0053396F"/>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19D"/>
    <w:rsid w:val="005406D0"/>
    <w:rsid w:val="00540B60"/>
    <w:rsid w:val="00540D9E"/>
    <w:rsid w:val="0054171A"/>
    <w:rsid w:val="005419E2"/>
    <w:rsid w:val="00541B9A"/>
    <w:rsid w:val="005420CF"/>
    <w:rsid w:val="005420D6"/>
    <w:rsid w:val="005423CF"/>
    <w:rsid w:val="00542B75"/>
    <w:rsid w:val="00542C2A"/>
    <w:rsid w:val="0054337D"/>
    <w:rsid w:val="005434CF"/>
    <w:rsid w:val="005438E3"/>
    <w:rsid w:val="005439A8"/>
    <w:rsid w:val="00543CAC"/>
    <w:rsid w:val="00543CCD"/>
    <w:rsid w:val="00543E51"/>
    <w:rsid w:val="005440E4"/>
    <w:rsid w:val="00544497"/>
    <w:rsid w:val="005447D7"/>
    <w:rsid w:val="005448FE"/>
    <w:rsid w:val="0054544C"/>
    <w:rsid w:val="00545BEC"/>
    <w:rsid w:val="00545D04"/>
    <w:rsid w:val="005460BB"/>
    <w:rsid w:val="005468A5"/>
    <w:rsid w:val="00546A1D"/>
    <w:rsid w:val="00546C8E"/>
    <w:rsid w:val="00546CB9"/>
    <w:rsid w:val="00546E83"/>
    <w:rsid w:val="00546ED1"/>
    <w:rsid w:val="005471C3"/>
    <w:rsid w:val="00547725"/>
    <w:rsid w:val="00547886"/>
    <w:rsid w:val="0054795A"/>
    <w:rsid w:val="00550292"/>
    <w:rsid w:val="0055029C"/>
    <w:rsid w:val="0055066D"/>
    <w:rsid w:val="005506E5"/>
    <w:rsid w:val="0055097C"/>
    <w:rsid w:val="00550B6D"/>
    <w:rsid w:val="00551309"/>
    <w:rsid w:val="00551BDC"/>
    <w:rsid w:val="00551C79"/>
    <w:rsid w:val="00551D80"/>
    <w:rsid w:val="00552426"/>
    <w:rsid w:val="00552604"/>
    <w:rsid w:val="00552DCE"/>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4F7C"/>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549"/>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07"/>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7BE"/>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A21"/>
    <w:rsid w:val="005A0A74"/>
    <w:rsid w:val="005A118A"/>
    <w:rsid w:val="005A1897"/>
    <w:rsid w:val="005A2014"/>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55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EDE"/>
    <w:rsid w:val="005C1F7E"/>
    <w:rsid w:val="005C2057"/>
    <w:rsid w:val="005C20A0"/>
    <w:rsid w:val="005C20DB"/>
    <w:rsid w:val="005C25CC"/>
    <w:rsid w:val="005C299A"/>
    <w:rsid w:val="005C2BC0"/>
    <w:rsid w:val="005C2DD0"/>
    <w:rsid w:val="005C2EF2"/>
    <w:rsid w:val="005C311F"/>
    <w:rsid w:val="005C31EC"/>
    <w:rsid w:val="005C3234"/>
    <w:rsid w:val="005C34D5"/>
    <w:rsid w:val="005C3AE2"/>
    <w:rsid w:val="005C3DA9"/>
    <w:rsid w:val="005C4E5A"/>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3C"/>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413"/>
    <w:rsid w:val="005D4BA6"/>
    <w:rsid w:val="005D5A3A"/>
    <w:rsid w:val="005D63D9"/>
    <w:rsid w:val="005D65C7"/>
    <w:rsid w:val="005D6947"/>
    <w:rsid w:val="005D6BA6"/>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0D5"/>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769"/>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0CC"/>
    <w:rsid w:val="005F4391"/>
    <w:rsid w:val="005F570C"/>
    <w:rsid w:val="005F5922"/>
    <w:rsid w:val="005F5BD0"/>
    <w:rsid w:val="005F725D"/>
    <w:rsid w:val="005F74BD"/>
    <w:rsid w:val="005F7D2F"/>
    <w:rsid w:val="006003A9"/>
    <w:rsid w:val="006003EE"/>
    <w:rsid w:val="00600A7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AE9"/>
    <w:rsid w:val="00607C2D"/>
    <w:rsid w:val="00607C80"/>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1AA"/>
    <w:rsid w:val="00621363"/>
    <w:rsid w:val="00621719"/>
    <w:rsid w:val="00621B17"/>
    <w:rsid w:val="00622289"/>
    <w:rsid w:val="00622344"/>
    <w:rsid w:val="00622543"/>
    <w:rsid w:val="0062261D"/>
    <w:rsid w:val="00622643"/>
    <w:rsid w:val="00622676"/>
    <w:rsid w:val="00623312"/>
    <w:rsid w:val="0062351E"/>
    <w:rsid w:val="00623D80"/>
    <w:rsid w:val="00623E92"/>
    <w:rsid w:val="00623E93"/>
    <w:rsid w:val="00623F94"/>
    <w:rsid w:val="00624322"/>
    <w:rsid w:val="00624406"/>
    <w:rsid w:val="006248E3"/>
    <w:rsid w:val="00624DF9"/>
    <w:rsid w:val="00625685"/>
    <w:rsid w:val="0062577D"/>
    <w:rsid w:val="00625AE0"/>
    <w:rsid w:val="00625D3D"/>
    <w:rsid w:val="00625DB6"/>
    <w:rsid w:val="00626280"/>
    <w:rsid w:val="00626CAC"/>
    <w:rsid w:val="006276ED"/>
    <w:rsid w:val="00627AD4"/>
    <w:rsid w:val="00627FB7"/>
    <w:rsid w:val="00630000"/>
    <w:rsid w:val="00630B41"/>
    <w:rsid w:val="00630F33"/>
    <w:rsid w:val="006312A4"/>
    <w:rsid w:val="006312F8"/>
    <w:rsid w:val="006313C9"/>
    <w:rsid w:val="006317D2"/>
    <w:rsid w:val="00631C0F"/>
    <w:rsid w:val="0063210D"/>
    <w:rsid w:val="0063261C"/>
    <w:rsid w:val="006326BD"/>
    <w:rsid w:val="00632B09"/>
    <w:rsid w:val="006337EA"/>
    <w:rsid w:val="006340F4"/>
    <w:rsid w:val="00634871"/>
    <w:rsid w:val="006348ED"/>
    <w:rsid w:val="00634DF1"/>
    <w:rsid w:val="006355E6"/>
    <w:rsid w:val="0063593A"/>
    <w:rsid w:val="00635EFB"/>
    <w:rsid w:val="00636584"/>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F77"/>
    <w:rsid w:val="00642351"/>
    <w:rsid w:val="006424F7"/>
    <w:rsid w:val="00642A2C"/>
    <w:rsid w:val="00642B51"/>
    <w:rsid w:val="00642C32"/>
    <w:rsid w:val="0064314E"/>
    <w:rsid w:val="006433D0"/>
    <w:rsid w:val="00643467"/>
    <w:rsid w:val="006435F5"/>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98F"/>
    <w:rsid w:val="00651FCE"/>
    <w:rsid w:val="0065219E"/>
    <w:rsid w:val="00652202"/>
    <w:rsid w:val="0065227F"/>
    <w:rsid w:val="0065234B"/>
    <w:rsid w:val="006530E2"/>
    <w:rsid w:val="006535DE"/>
    <w:rsid w:val="006538F2"/>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590"/>
    <w:rsid w:val="00657AE2"/>
    <w:rsid w:val="00660186"/>
    <w:rsid w:val="006602CF"/>
    <w:rsid w:val="00660F20"/>
    <w:rsid w:val="00660FB0"/>
    <w:rsid w:val="00661356"/>
    <w:rsid w:val="006619EA"/>
    <w:rsid w:val="00661FA9"/>
    <w:rsid w:val="00661FFF"/>
    <w:rsid w:val="0066228C"/>
    <w:rsid w:val="006622CF"/>
    <w:rsid w:val="00662399"/>
    <w:rsid w:val="00662441"/>
    <w:rsid w:val="006628D0"/>
    <w:rsid w:val="0066292F"/>
    <w:rsid w:val="00662D68"/>
    <w:rsid w:val="006631BA"/>
    <w:rsid w:val="00663205"/>
    <w:rsid w:val="00663569"/>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61BE"/>
    <w:rsid w:val="006766B8"/>
    <w:rsid w:val="00676D78"/>
    <w:rsid w:val="00677143"/>
    <w:rsid w:val="0067717D"/>
    <w:rsid w:val="006807E1"/>
    <w:rsid w:val="006809A0"/>
    <w:rsid w:val="00680C81"/>
    <w:rsid w:val="00680C9A"/>
    <w:rsid w:val="00680DE4"/>
    <w:rsid w:val="0068116A"/>
    <w:rsid w:val="00681353"/>
    <w:rsid w:val="00681663"/>
    <w:rsid w:val="006819C2"/>
    <w:rsid w:val="00681CB3"/>
    <w:rsid w:val="00681EF3"/>
    <w:rsid w:val="006823D9"/>
    <w:rsid w:val="00682434"/>
    <w:rsid w:val="00682741"/>
    <w:rsid w:val="006827CF"/>
    <w:rsid w:val="00683235"/>
    <w:rsid w:val="00683367"/>
    <w:rsid w:val="00683B8F"/>
    <w:rsid w:val="0068400A"/>
    <w:rsid w:val="006841B1"/>
    <w:rsid w:val="006841F4"/>
    <w:rsid w:val="0068436A"/>
    <w:rsid w:val="0068454F"/>
    <w:rsid w:val="00684A55"/>
    <w:rsid w:val="00684E30"/>
    <w:rsid w:val="006851E5"/>
    <w:rsid w:val="0068523F"/>
    <w:rsid w:val="006855A0"/>
    <w:rsid w:val="00685BE5"/>
    <w:rsid w:val="006861C4"/>
    <w:rsid w:val="00686494"/>
    <w:rsid w:val="006864D8"/>
    <w:rsid w:val="00686525"/>
    <w:rsid w:val="0068674B"/>
    <w:rsid w:val="006869DE"/>
    <w:rsid w:val="00686C10"/>
    <w:rsid w:val="00686C23"/>
    <w:rsid w:val="00686EE5"/>
    <w:rsid w:val="00687033"/>
    <w:rsid w:val="0068762F"/>
    <w:rsid w:val="00687774"/>
    <w:rsid w:val="00687D28"/>
    <w:rsid w:val="00687EC6"/>
    <w:rsid w:val="00690A26"/>
    <w:rsid w:val="00690AC8"/>
    <w:rsid w:val="00690CCF"/>
    <w:rsid w:val="00690E24"/>
    <w:rsid w:val="0069101C"/>
    <w:rsid w:val="006911D7"/>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FF9"/>
    <w:rsid w:val="0069620B"/>
    <w:rsid w:val="00696363"/>
    <w:rsid w:val="0069659F"/>
    <w:rsid w:val="00696801"/>
    <w:rsid w:val="00696F04"/>
    <w:rsid w:val="0069709C"/>
    <w:rsid w:val="0069758F"/>
    <w:rsid w:val="0069767A"/>
    <w:rsid w:val="006978DB"/>
    <w:rsid w:val="0069797F"/>
    <w:rsid w:val="00697989"/>
    <w:rsid w:val="006979EF"/>
    <w:rsid w:val="006A049D"/>
    <w:rsid w:val="006A0623"/>
    <w:rsid w:val="006A0DCE"/>
    <w:rsid w:val="006A0DD6"/>
    <w:rsid w:val="006A0E97"/>
    <w:rsid w:val="006A12AE"/>
    <w:rsid w:val="006A12E9"/>
    <w:rsid w:val="006A1BC6"/>
    <w:rsid w:val="006A272F"/>
    <w:rsid w:val="006A2842"/>
    <w:rsid w:val="006A2855"/>
    <w:rsid w:val="006A2B81"/>
    <w:rsid w:val="006A300A"/>
    <w:rsid w:val="006A32FB"/>
    <w:rsid w:val="006A393F"/>
    <w:rsid w:val="006A4443"/>
    <w:rsid w:val="006A4749"/>
    <w:rsid w:val="006A4976"/>
    <w:rsid w:val="006A4B14"/>
    <w:rsid w:val="006A54EF"/>
    <w:rsid w:val="006A58A2"/>
    <w:rsid w:val="006A5A39"/>
    <w:rsid w:val="006A5C7F"/>
    <w:rsid w:val="006A5F5C"/>
    <w:rsid w:val="006A6263"/>
    <w:rsid w:val="006A6484"/>
    <w:rsid w:val="006A652E"/>
    <w:rsid w:val="006A67D8"/>
    <w:rsid w:val="006A6D0A"/>
    <w:rsid w:val="006A745D"/>
    <w:rsid w:val="006A75DE"/>
    <w:rsid w:val="006A7C98"/>
    <w:rsid w:val="006A7DAA"/>
    <w:rsid w:val="006A7EA3"/>
    <w:rsid w:val="006B021E"/>
    <w:rsid w:val="006B022C"/>
    <w:rsid w:val="006B0636"/>
    <w:rsid w:val="006B06CD"/>
    <w:rsid w:val="006B07D8"/>
    <w:rsid w:val="006B0CEB"/>
    <w:rsid w:val="006B13C1"/>
    <w:rsid w:val="006B1707"/>
    <w:rsid w:val="006B177B"/>
    <w:rsid w:val="006B1B45"/>
    <w:rsid w:val="006B1CE8"/>
    <w:rsid w:val="006B1CEF"/>
    <w:rsid w:val="006B1F80"/>
    <w:rsid w:val="006B2194"/>
    <w:rsid w:val="006B2489"/>
    <w:rsid w:val="006B271B"/>
    <w:rsid w:val="006B2CE0"/>
    <w:rsid w:val="006B2E64"/>
    <w:rsid w:val="006B3215"/>
    <w:rsid w:val="006B3348"/>
    <w:rsid w:val="006B3448"/>
    <w:rsid w:val="006B35F1"/>
    <w:rsid w:val="006B4346"/>
    <w:rsid w:val="006B4A1E"/>
    <w:rsid w:val="006B4F5C"/>
    <w:rsid w:val="006B5062"/>
    <w:rsid w:val="006B50A3"/>
    <w:rsid w:val="006B554A"/>
    <w:rsid w:val="006B5725"/>
    <w:rsid w:val="006B6BC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3C04"/>
    <w:rsid w:val="006C401C"/>
    <w:rsid w:val="006C441B"/>
    <w:rsid w:val="006C4B43"/>
    <w:rsid w:val="006C4E73"/>
    <w:rsid w:val="006C4EB7"/>
    <w:rsid w:val="006C5014"/>
    <w:rsid w:val="006C565B"/>
    <w:rsid w:val="006C5D35"/>
    <w:rsid w:val="006C6470"/>
    <w:rsid w:val="006C6633"/>
    <w:rsid w:val="006C75FA"/>
    <w:rsid w:val="006C7A92"/>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BFC"/>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D7CE6"/>
    <w:rsid w:val="006E02F2"/>
    <w:rsid w:val="006E1BA4"/>
    <w:rsid w:val="006E1FB4"/>
    <w:rsid w:val="006E23E0"/>
    <w:rsid w:val="006E24D7"/>
    <w:rsid w:val="006E3415"/>
    <w:rsid w:val="006E3962"/>
    <w:rsid w:val="006E3A8F"/>
    <w:rsid w:val="006E3F3C"/>
    <w:rsid w:val="006E404F"/>
    <w:rsid w:val="006E464C"/>
    <w:rsid w:val="006E4970"/>
    <w:rsid w:val="006E4A6B"/>
    <w:rsid w:val="006E4CCB"/>
    <w:rsid w:val="006E4CCC"/>
    <w:rsid w:val="006E50E9"/>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26F"/>
    <w:rsid w:val="006F77A9"/>
    <w:rsid w:val="006F7BBD"/>
    <w:rsid w:val="006F7CBA"/>
    <w:rsid w:val="0070068B"/>
    <w:rsid w:val="00700990"/>
    <w:rsid w:val="00700AB3"/>
    <w:rsid w:val="00700CF4"/>
    <w:rsid w:val="00701179"/>
    <w:rsid w:val="0070137F"/>
    <w:rsid w:val="007016BE"/>
    <w:rsid w:val="00701816"/>
    <w:rsid w:val="00702038"/>
    <w:rsid w:val="007025A3"/>
    <w:rsid w:val="00702A5C"/>
    <w:rsid w:val="007030B9"/>
    <w:rsid w:val="00703181"/>
    <w:rsid w:val="007034E5"/>
    <w:rsid w:val="00703505"/>
    <w:rsid w:val="00703713"/>
    <w:rsid w:val="00703A88"/>
    <w:rsid w:val="00703B08"/>
    <w:rsid w:val="00704001"/>
    <w:rsid w:val="007042E7"/>
    <w:rsid w:val="007044EC"/>
    <w:rsid w:val="00704571"/>
    <w:rsid w:val="007048F0"/>
    <w:rsid w:val="00704BE9"/>
    <w:rsid w:val="00705209"/>
    <w:rsid w:val="00705362"/>
    <w:rsid w:val="00705793"/>
    <w:rsid w:val="00705FAD"/>
    <w:rsid w:val="0070604E"/>
    <w:rsid w:val="00706227"/>
    <w:rsid w:val="00706DF0"/>
    <w:rsid w:val="00706F63"/>
    <w:rsid w:val="0070718C"/>
    <w:rsid w:val="00707670"/>
    <w:rsid w:val="00707E44"/>
    <w:rsid w:val="0071016B"/>
    <w:rsid w:val="00710339"/>
    <w:rsid w:val="00710630"/>
    <w:rsid w:val="00710C71"/>
    <w:rsid w:val="00710F4A"/>
    <w:rsid w:val="00711526"/>
    <w:rsid w:val="0071165C"/>
    <w:rsid w:val="0071190D"/>
    <w:rsid w:val="00711CAD"/>
    <w:rsid w:val="0071201B"/>
    <w:rsid w:val="007128F7"/>
    <w:rsid w:val="00712915"/>
    <w:rsid w:val="0071320C"/>
    <w:rsid w:val="0071356F"/>
    <w:rsid w:val="00713BCB"/>
    <w:rsid w:val="00713DC8"/>
    <w:rsid w:val="00714166"/>
    <w:rsid w:val="007145B1"/>
    <w:rsid w:val="007153F0"/>
    <w:rsid w:val="007154CF"/>
    <w:rsid w:val="007159A1"/>
    <w:rsid w:val="00715CFE"/>
    <w:rsid w:val="00716550"/>
    <w:rsid w:val="007167FF"/>
    <w:rsid w:val="00716812"/>
    <w:rsid w:val="00716B78"/>
    <w:rsid w:val="00716C0F"/>
    <w:rsid w:val="007171DB"/>
    <w:rsid w:val="00717651"/>
    <w:rsid w:val="00717701"/>
    <w:rsid w:val="0071796A"/>
    <w:rsid w:val="00717A8D"/>
    <w:rsid w:val="00717BF6"/>
    <w:rsid w:val="00717C21"/>
    <w:rsid w:val="00717F9F"/>
    <w:rsid w:val="007201B4"/>
    <w:rsid w:val="00720493"/>
    <w:rsid w:val="007209F2"/>
    <w:rsid w:val="00720B9E"/>
    <w:rsid w:val="0072128E"/>
    <w:rsid w:val="00721514"/>
    <w:rsid w:val="007217CB"/>
    <w:rsid w:val="00721887"/>
    <w:rsid w:val="00721962"/>
    <w:rsid w:val="00721CC5"/>
    <w:rsid w:val="00721D7F"/>
    <w:rsid w:val="00721DE0"/>
    <w:rsid w:val="007220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A60"/>
    <w:rsid w:val="00732D06"/>
    <w:rsid w:val="0073377D"/>
    <w:rsid w:val="00733D78"/>
    <w:rsid w:val="00733E70"/>
    <w:rsid w:val="00733FFC"/>
    <w:rsid w:val="0073438B"/>
    <w:rsid w:val="007343F1"/>
    <w:rsid w:val="00734428"/>
    <w:rsid w:val="007345A3"/>
    <w:rsid w:val="007347C7"/>
    <w:rsid w:val="00734864"/>
    <w:rsid w:val="0073490E"/>
    <w:rsid w:val="00734F75"/>
    <w:rsid w:val="00734FE8"/>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09EC"/>
    <w:rsid w:val="00751097"/>
    <w:rsid w:val="007519F6"/>
    <w:rsid w:val="00751B6D"/>
    <w:rsid w:val="00751E1F"/>
    <w:rsid w:val="0075296E"/>
    <w:rsid w:val="00752C51"/>
    <w:rsid w:val="00752F33"/>
    <w:rsid w:val="00752FE9"/>
    <w:rsid w:val="00753046"/>
    <w:rsid w:val="0075319C"/>
    <w:rsid w:val="007531A5"/>
    <w:rsid w:val="007535E3"/>
    <w:rsid w:val="00753FCB"/>
    <w:rsid w:val="007542B1"/>
    <w:rsid w:val="007545D7"/>
    <w:rsid w:val="00754A0F"/>
    <w:rsid w:val="007550FE"/>
    <w:rsid w:val="00755720"/>
    <w:rsid w:val="00755EE8"/>
    <w:rsid w:val="0075603B"/>
    <w:rsid w:val="00756609"/>
    <w:rsid w:val="007566A7"/>
    <w:rsid w:val="007567D2"/>
    <w:rsid w:val="00756E30"/>
    <w:rsid w:val="0075707E"/>
    <w:rsid w:val="00757941"/>
    <w:rsid w:val="0076005C"/>
    <w:rsid w:val="007606E7"/>
    <w:rsid w:val="007606EC"/>
    <w:rsid w:val="00760C28"/>
    <w:rsid w:val="007611FA"/>
    <w:rsid w:val="007615C0"/>
    <w:rsid w:val="0076181E"/>
    <w:rsid w:val="00761948"/>
    <w:rsid w:val="00761F21"/>
    <w:rsid w:val="0076251A"/>
    <w:rsid w:val="00762FCA"/>
    <w:rsid w:val="00763965"/>
    <w:rsid w:val="007639A5"/>
    <w:rsid w:val="00763DE8"/>
    <w:rsid w:val="00763EE9"/>
    <w:rsid w:val="007642C7"/>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964"/>
    <w:rsid w:val="00772D0D"/>
    <w:rsid w:val="0077319D"/>
    <w:rsid w:val="0077372B"/>
    <w:rsid w:val="007739A3"/>
    <w:rsid w:val="00773C06"/>
    <w:rsid w:val="00774311"/>
    <w:rsid w:val="00774469"/>
    <w:rsid w:val="007744B2"/>
    <w:rsid w:val="00774752"/>
    <w:rsid w:val="00774913"/>
    <w:rsid w:val="00774DD2"/>
    <w:rsid w:val="00775291"/>
    <w:rsid w:val="0077594E"/>
    <w:rsid w:val="00775FB9"/>
    <w:rsid w:val="00776268"/>
    <w:rsid w:val="00776DD3"/>
    <w:rsid w:val="00776E9E"/>
    <w:rsid w:val="007773EA"/>
    <w:rsid w:val="00777495"/>
    <w:rsid w:val="00777C2C"/>
    <w:rsid w:val="00777F38"/>
    <w:rsid w:val="0078016F"/>
    <w:rsid w:val="007804B1"/>
    <w:rsid w:val="007805EC"/>
    <w:rsid w:val="007807E9"/>
    <w:rsid w:val="007807EA"/>
    <w:rsid w:val="007808A4"/>
    <w:rsid w:val="00780928"/>
    <w:rsid w:val="00780B0E"/>
    <w:rsid w:val="00780DEE"/>
    <w:rsid w:val="00781689"/>
    <w:rsid w:val="00781F85"/>
    <w:rsid w:val="00782394"/>
    <w:rsid w:val="00782848"/>
    <w:rsid w:val="007829B1"/>
    <w:rsid w:val="00782C5A"/>
    <w:rsid w:val="00782D28"/>
    <w:rsid w:val="007834C1"/>
    <w:rsid w:val="00783873"/>
    <w:rsid w:val="00783F1A"/>
    <w:rsid w:val="007847D1"/>
    <w:rsid w:val="00784924"/>
    <w:rsid w:val="00784F53"/>
    <w:rsid w:val="00785B0C"/>
    <w:rsid w:val="00785CD9"/>
    <w:rsid w:val="00785D82"/>
    <w:rsid w:val="00785DE4"/>
    <w:rsid w:val="0078647B"/>
    <w:rsid w:val="00786627"/>
    <w:rsid w:val="007866B1"/>
    <w:rsid w:val="0078695B"/>
    <w:rsid w:val="00786ED4"/>
    <w:rsid w:val="0078716F"/>
    <w:rsid w:val="00787256"/>
    <w:rsid w:val="007873C8"/>
    <w:rsid w:val="007878EA"/>
    <w:rsid w:val="0078793D"/>
    <w:rsid w:val="00787F80"/>
    <w:rsid w:val="00790F50"/>
    <w:rsid w:val="00791374"/>
    <w:rsid w:val="00792111"/>
    <w:rsid w:val="007921C7"/>
    <w:rsid w:val="007922D1"/>
    <w:rsid w:val="0079263D"/>
    <w:rsid w:val="00792712"/>
    <w:rsid w:val="007929C5"/>
    <w:rsid w:val="00792B66"/>
    <w:rsid w:val="0079301E"/>
    <w:rsid w:val="007934D1"/>
    <w:rsid w:val="0079352C"/>
    <w:rsid w:val="007937E7"/>
    <w:rsid w:val="00793B34"/>
    <w:rsid w:val="00793B84"/>
    <w:rsid w:val="00793CBC"/>
    <w:rsid w:val="00793D87"/>
    <w:rsid w:val="00794795"/>
    <w:rsid w:val="007949E6"/>
    <w:rsid w:val="00794C18"/>
    <w:rsid w:val="00794CC2"/>
    <w:rsid w:val="00794D98"/>
    <w:rsid w:val="00794F29"/>
    <w:rsid w:val="007954BD"/>
    <w:rsid w:val="0079563E"/>
    <w:rsid w:val="00795767"/>
    <w:rsid w:val="00795A2A"/>
    <w:rsid w:val="00795E7E"/>
    <w:rsid w:val="007964B5"/>
    <w:rsid w:val="007967C5"/>
    <w:rsid w:val="00796A67"/>
    <w:rsid w:val="007972BC"/>
    <w:rsid w:val="007972FB"/>
    <w:rsid w:val="007977AD"/>
    <w:rsid w:val="007978FC"/>
    <w:rsid w:val="00797DEC"/>
    <w:rsid w:val="00797E8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87F"/>
    <w:rsid w:val="007A595E"/>
    <w:rsid w:val="007A59EC"/>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745"/>
    <w:rsid w:val="007B477A"/>
    <w:rsid w:val="007B482A"/>
    <w:rsid w:val="007B4D65"/>
    <w:rsid w:val="007B4F7F"/>
    <w:rsid w:val="007B52BB"/>
    <w:rsid w:val="007B56E1"/>
    <w:rsid w:val="007B5C49"/>
    <w:rsid w:val="007B6828"/>
    <w:rsid w:val="007B6C16"/>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69C"/>
    <w:rsid w:val="007D090A"/>
    <w:rsid w:val="007D0F10"/>
    <w:rsid w:val="007D14FF"/>
    <w:rsid w:val="007D186C"/>
    <w:rsid w:val="007D19F4"/>
    <w:rsid w:val="007D1AFD"/>
    <w:rsid w:val="007D1E6E"/>
    <w:rsid w:val="007D1E73"/>
    <w:rsid w:val="007D23C4"/>
    <w:rsid w:val="007D25E6"/>
    <w:rsid w:val="007D298F"/>
    <w:rsid w:val="007D2FC8"/>
    <w:rsid w:val="007D310A"/>
    <w:rsid w:val="007D3415"/>
    <w:rsid w:val="007D408D"/>
    <w:rsid w:val="007D44A7"/>
    <w:rsid w:val="007D4CA7"/>
    <w:rsid w:val="007D4CD5"/>
    <w:rsid w:val="007D5019"/>
    <w:rsid w:val="007D506C"/>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2DB"/>
    <w:rsid w:val="007E349F"/>
    <w:rsid w:val="007E3514"/>
    <w:rsid w:val="007E3829"/>
    <w:rsid w:val="007E4009"/>
    <w:rsid w:val="007E402B"/>
    <w:rsid w:val="007E4167"/>
    <w:rsid w:val="007E495E"/>
    <w:rsid w:val="007E4DF6"/>
    <w:rsid w:val="007E50F1"/>
    <w:rsid w:val="007E5172"/>
    <w:rsid w:val="007E5767"/>
    <w:rsid w:val="007E5FF3"/>
    <w:rsid w:val="007E6257"/>
    <w:rsid w:val="007E65FE"/>
    <w:rsid w:val="007E6782"/>
    <w:rsid w:val="007E6B64"/>
    <w:rsid w:val="007E6F9A"/>
    <w:rsid w:val="007E745E"/>
    <w:rsid w:val="007E7679"/>
    <w:rsid w:val="007E7683"/>
    <w:rsid w:val="007E7980"/>
    <w:rsid w:val="007E79F5"/>
    <w:rsid w:val="007E7AF0"/>
    <w:rsid w:val="007F02BF"/>
    <w:rsid w:val="007F0A9A"/>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3E92"/>
    <w:rsid w:val="007F48F6"/>
    <w:rsid w:val="007F51FF"/>
    <w:rsid w:val="007F5557"/>
    <w:rsid w:val="007F57D6"/>
    <w:rsid w:val="007F5CD4"/>
    <w:rsid w:val="007F5DFC"/>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289"/>
    <w:rsid w:val="0080250E"/>
    <w:rsid w:val="008026A8"/>
    <w:rsid w:val="0080281E"/>
    <w:rsid w:val="0080288E"/>
    <w:rsid w:val="008030FF"/>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5FF"/>
    <w:rsid w:val="00814892"/>
    <w:rsid w:val="00814D78"/>
    <w:rsid w:val="00815167"/>
    <w:rsid w:val="008151B0"/>
    <w:rsid w:val="0081587F"/>
    <w:rsid w:val="0081596C"/>
    <w:rsid w:val="00815C01"/>
    <w:rsid w:val="00815F87"/>
    <w:rsid w:val="00816161"/>
    <w:rsid w:val="008161AF"/>
    <w:rsid w:val="0081641E"/>
    <w:rsid w:val="00816744"/>
    <w:rsid w:val="0081696D"/>
    <w:rsid w:val="00816A62"/>
    <w:rsid w:val="00816B36"/>
    <w:rsid w:val="00817452"/>
    <w:rsid w:val="0081758D"/>
    <w:rsid w:val="00817C39"/>
    <w:rsid w:val="00817C8A"/>
    <w:rsid w:val="0082098B"/>
    <w:rsid w:val="008209DF"/>
    <w:rsid w:val="00820B02"/>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610"/>
    <w:rsid w:val="00825B07"/>
    <w:rsid w:val="008265E8"/>
    <w:rsid w:val="00826634"/>
    <w:rsid w:val="00826BAC"/>
    <w:rsid w:val="00826C0C"/>
    <w:rsid w:val="0082711A"/>
    <w:rsid w:val="00827A68"/>
    <w:rsid w:val="00827C8A"/>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5F88"/>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34"/>
    <w:rsid w:val="008419BC"/>
    <w:rsid w:val="0084240D"/>
    <w:rsid w:val="00842584"/>
    <w:rsid w:val="008429DB"/>
    <w:rsid w:val="00842BA8"/>
    <w:rsid w:val="008430F2"/>
    <w:rsid w:val="0084324E"/>
    <w:rsid w:val="008436FF"/>
    <w:rsid w:val="00843AA7"/>
    <w:rsid w:val="00843E4B"/>
    <w:rsid w:val="0084416C"/>
    <w:rsid w:val="00844AA3"/>
    <w:rsid w:val="00844B2A"/>
    <w:rsid w:val="00844ED2"/>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2A"/>
    <w:rsid w:val="00850DA6"/>
    <w:rsid w:val="0085106C"/>
    <w:rsid w:val="008514EC"/>
    <w:rsid w:val="00851AFC"/>
    <w:rsid w:val="00851F31"/>
    <w:rsid w:val="00851FBF"/>
    <w:rsid w:val="0085233E"/>
    <w:rsid w:val="008524F7"/>
    <w:rsid w:val="00852648"/>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31"/>
    <w:rsid w:val="00854C48"/>
    <w:rsid w:val="00854C8E"/>
    <w:rsid w:val="0085550E"/>
    <w:rsid w:val="008557F4"/>
    <w:rsid w:val="00855D65"/>
    <w:rsid w:val="00856542"/>
    <w:rsid w:val="008567FE"/>
    <w:rsid w:val="00856B56"/>
    <w:rsid w:val="00856FEF"/>
    <w:rsid w:val="0085729A"/>
    <w:rsid w:val="0085749F"/>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46EB"/>
    <w:rsid w:val="0086488A"/>
    <w:rsid w:val="00864991"/>
    <w:rsid w:val="00865ACA"/>
    <w:rsid w:val="00866BCC"/>
    <w:rsid w:val="00866D92"/>
    <w:rsid w:val="008678B9"/>
    <w:rsid w:val="00867C2B"/>
    <w:rsid w:val="00870856"/>
    <w:rsid w:val="00870F6E"/>
    <w:rsid w:val="00871326"/>
    <w:rsid w:val="0087157B"/>
    <w:rsid w:val="00871C4C"/>
    <w:rsid w:val="00871E03"/>
    <w:rsid w:val="00872037"/>
    <w:rsid w:val="008725E5"/>
    <w:rsid w:val="00873845"/>
    <w:rsid w:val="0087478C"/>
    <w:rsid w:val="008748D1"/>
    <w:rsid w:val="00874E52"/>
    <w:rsid w:val="00875652"/>
    <w:rsid w:val="00876400"/>
    <w:rsid w:val="00876522"/>
    <w:rsid w:val="00876AE3"/>
    <w:rsid w:val="00876E87"/>
    <w:rsid w:val="00876F21"/>
    <w:rsid w:val="0087726E"/>
    <w:rsid w:val="008775DB"/>
    <w:rsid w:val="008777A8"/>
    <w:rsid w:val="008778A9"/>
    <w:rsid w:val="00877B07"/>
    <w:rsid w:val="00877B7A"/>
    <w:rsid w:val="0088031D"/>
    <w:rsid w:val="008805AE"/>
    <w:rsid w:val="0088093C"/>
    <w:rsid w:val="00880C59"/>
    <w:rsid w:val="00880EFA"/>
    <w:rsid w:val="008815A9"/>
    <w:rsid w:val="0088195F"/>
    <w:rsid w:val="00881BC8"/>
    <w:rsid w:val="00881E65"/>
    <w:rsid w:val="00881EBC"/>
    <w:rsid w:val="0088248D"/>
    <w:rsid w:val="008828DF"/>
    <w:rsid w:val="00882C23"/>
    <w:rsid w:val="00882E43"/>
    <w:rsid w:val="00882E54"/>
    <w:rsid w:val="00882E91"/>
    <w:rsid w:val="00882EA8"/>
    <w:rsid w:val="008832BF"/>
    <w:rsid w:val="00883EE1"/>
    <w:rsid w:val="0088421A"/>
    <w:rsid w:val="00884764"/>
    <w:rsid w:val="00884ED2"/>
    <w:rsid w:val="00885317"/>
    <w:rsid w:val="0088567D"/>
    <w:rsid w:val="008857CE"/>
    <w:rsid w:val="00885969"/>
    <w:rsid w:val="00885D0E"/>
    <w:rsid w:val="00885E1B"/>
    <w:rsid w:val="008863EC"/>
    <w:rsid w:val="008865CF"/>
    <w:rsid w:val="00886995"/>
    <w:rsid w:val="00886BEE"/>
    <w:rsid w:val="00887227"/>
    <w:rsid w:val="008872A5"/>
    <w:rsid w:val="00887457"/>
    <w:rsid w:val="00887672"/>
    <w:rsid w:val="008900AA"/>
    <w:rsid w:val="00890211"/>
    <w:rsid w:val="00890427"/>
    <w:rsid w:val="008905B4"/>
    <w:rsid w:val="0089069D"/>
    <w:rsid w:val="0089096B"/>
    <w:rsid w:val="00890A1F"/>
    <w:rsid w:val="00891014"/>
    <w:rsid w:val="008914D6"/>
    <w:rsid w:val="008919D4"/>
    <w:rsid w:val="00892157"/>
    <w:rsid w:val="0089225A"/>
    <w:rsid w:val="008923E1"/>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19B"/>
    <w:rsid w:val="008A56ED"/>
    <w:rsid w:val="008A5BE4"/>
    <w:rsid w:val="008A5CA8"/>
    <w:rsid w:val="008A5F0F"/>
    <w:rsid w:val="008A6E7F"/>
    <w:rsid w:val="008A719B"/>
    <w:rsid w:val="008A7D0F"/>
    <w:rsid w:val="008A7E3B"/>
    <w:rsid w:val="008B0364"/>
    <w:rsid w:val="008B0379"/>
    <w:rsid w:val="008B0D70"/>
    <w:rsid w:val="008B0EA7"/>
    <w:rsid w:val="008B0FC7"/>
    <w:rsid w:val="008B18C5"/>
    <w:rsid w:val="008B1C9A"/>
    <w:rsid w:val="008B256F"/>
    <w:rsid w:val="008B258A"/>
    <w:rsid w:val="008B2977"/>
    <w:rsid w:val="008B29B7"/>
    <w:rsid w:val="008B3220"/>
    <w:rsid w:val="008B472D"/>
    <w:rsid w:val="008B480A"/>
    <w:rsid w:val="008B4F76"/>
    <w:rsid w:val="008B502D"/>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968"/>
    <w:rsid w:val="008C4C1B"/>
    <w:rsid w:val="008C57DA"/>
    <w:rsid w:val="008C5C81"/>
    <w:rsid w:val="008C5CDF"/>
    <w:rsid w:val="008C6469"/>
    <w:rsid w:val="008C6580"/>
    <w:rsid w:val="008C66A9"/>
    <w:rsid w:val="008C66B7"/>
    <w:rsid w:val="008C703F"/>
    <w:rsid w:val="008C714B"/>
    <w:rsid w:val="008C7162"/>
    <w:rsid w:val="008C7375"/>
    <w:rsid w:val="008C7547"/>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59"/>
    <w:rsid w:val="008D62B4"/>
    <w:rsid w:val="008D6331"/>
    <w:rsid w:val="008D6375"/>
    <w:rsid w:val="008D65B8"/>
    <w:rsid w:val="008D665D"/>
    <w:rsid w:val="008D7523"/>
    <w:rsid w:val="008D7D36"/>
    <w:rsid w:val="008E02E0"/>
    <w:rsid w:val="008E0670"/>
    <w:rsid w:val="008E0B71"/>
    <w:rsid w:val="008E114F"/>
    <w:rsid w:val="008E1153"/>
    <w:rsid w:val="008E1CA4"/>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98A"/>
    <w:rsid w:val="00901C47"/>
    <w:rsid w:val="00902190"/>
    <w:rsid w:val="00902C9D"/>
    <w:rsid w:val="0090328B"/>
    <w:rsid w:val="009032E9"/>
    <w:rsid w:val="009034C6"/>
    <w:rsid w:val="00903D57"/>
    <w:rsid w:val="00903EFE"/>
    <w:rsid w:val="009040EB"/>
    <w:rsid w:val="0090437C"/>
    <w:rsid w:val="0090472D"/>
    <w:rsid w:val="0090518E"/>
    <w:rsid w:val="0090563D"/>
    <w:rsid w:val="00905EA5"/>
    <w:rsid w:val="00906758"/>
    <w:rsid w:val="009067E1"/>
    <w:rsid w:val="00906EF4"/>
    <w:rsid w:val="00907057"/>
    <w:rsid w:val="00907779"/>
    <w:rsid w:val="00907922"/>
    <w:rsid w:val="009100EE"/>
    <w:rsid w:val="00910287"/>
    <w:rsid w:val="00910C5F"/>
    <w:rsid w:val="00910D9D"/>
    <w:rsid w:val="00910F33"/>
    <w:rsid w:val="009110BA"/>
    <w:rsid w:val="009111A4"/>
    <w:rsid w:val="00911691"/>
    <w:rsid w:val="00911869"/>
    <w:rsid w:val="009118B0"/>
    <w:rsid w:val="009119AC"/>
    <w:rsid w:val="00912000"/>
    <w:rsid w:val="009120D7"/>
    <w:rsid w:val="009124E6"/>
    <w:rsid w:val="00913565"/>
    <w:rsid w:val="00913944"/>
    <w:rsid w:val="00913EF4"/>
    <w:rsid w:val="009144CF"/>
    <w:rsid w:val="0091495D"/>
    <w:rsid w:val="00914C03"/>
    <w:rsid w:val="00914CD6"/>
    <w:rsid w:val="00914EA2"/>
    <w:rsid w:val="00915AC6"/>
    <w:rsid w:val="00915B92"/>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69E6"/>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876"/>
    <w:rsid w:val="00934BAB"/>
    <w:rsid w:val="00935A11"/>
    <w:rsid w:val="009361C0"/>
    <w:rsid w:val="0093661E"/>
    <w:rsid w:val="00936789"/>
    <w:rsid w:val="009369A1"/>
    <w:rsid w:val="00936E0F"/>
    <w:rsid w:val="00936EF5"/>
    <w:rsid w:val="009372E1"/>
    <w:rsid w:val="00937359"/>
    <w:rsid w:val="00937755"/>
    <w:rsid w:val="00937ACA"/>
    <w:rsid w:val="00937FBA"/>
    <w:rsid w:val="00940154"/>
    <w:rsid w:val="00940FF1"/>
    <w:rsid w:val="009412C1"/>
    <w:rsid w:val="009417AC"/>
    <w:rsid w:val="00942550"/>
    <w:rsid w:val="0094325C"/>
    <w:rsid w:val="009440A5"/>
    <w:rsid w:val="009440B0"/>
    <w:rsid w:val="0094420F"/>
    <w:rsid w:val="0094565D"/>
    <w:rsid w:val="00945766"/>
    <w:rsid w:val="009457AC"/>
    <w:rsid w:val="0094587A"/>
    <w:rsid w:val="00945B1E"/>
    <w:rsid w:val="0094609D"/>
    <w:rsid w:val="0094617D"/>
    <w:rsid w:val="00946309"/>
    <w:rsid w:val="00946484"/>
    <w:rsid w:val="00946970"/>
    <w:rsid w:val="009469D5"/>
    <w:rsid w:val="00946B28"/>
    <w:rsid w:val="00947447"/>
    <w:rsid w:val="00947B1C"/>
    <w:rsid w:val="0095008E"/>
    <w:rsid w:val="00950331"/>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DBA"/>
    <w:rsid w:val="0095706B"/>
    <w:rsid w:val="009570F9"/>
    <w:rsid w:val="009573EB"/>
    <w:rsid w:val="009575BF"/>
    <w:rsid w:val="00957F66"/>
    <w:rsid w:val="00960084"/>
    <w:rsid w:val="00960092"/>
    <w:rsid w:val="009600A3"/>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0126"/>
    <w:rsid w:val="009714A3"/>
    <w:rsid w:val="00971675"/>
    <w:rsid w:val="0097179C"/>
    <w:rsid w:val="0097191C"/>
    <w:rsid w:val="0097198A"/>
    <w:rsid w:val="00971B84"/>
    <w:rsid w:val="00971FC8"/>
    <w:rsid w:val="009734BF"/>
    <w:rsid w:val="009735EC"/>
    <w:rsid w:val="00973612"/>
    <w:rsid w:val="009737F3"/>
    <w:rsid w:val="00973917"/>
    <w:rsid w:val="00973C3E"/>
    <w:rsid w:val="009740F2"/>
    <w:rsid w:val="0097420B"/>
    <w:rsid w:val="00974ACC"/>
    <w:rsid w:val="00974BFD"/>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2FF"/>
    <w:rsid w:val="0098050A"/>
    <w:rsid w:val="00980592"/>
    <w:rsid w:val="009806B0"/>
    <w:rsid w:val="009807B8"/>
    <w:rsid w:val="00981140"/>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686"/>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97861"/>
    <w:rsid w:val="00997AF6"/>
    <w:rsid w:val="00997D26"/>
    <w:rsid w:val="009A0274"/>
    <w:rsid w:val="009A035E"/>
    <w:rsid w:val="009A0B9D"/>
    <w:rsid w:val="009A0C64"/>
    <w:rsid w:val="009A0C84"/>
    <w:rsid w:val="009A0CD8"/>
    <w:rsid w:val="009A0E15"/>
    <w:rsid w:val="009A0FEE"/>
    <w:rsid w:val="009A142F"/>
    <w:rsid w:val="009A18AB"/>
    <w:rsid w:val="009A1C75"/>
    <w:rsid w:val="009A230E"/>
    <w:rsid w:val="009A2387"/>
    <w:rsid w:val="009A2533"/>
    <w:rsid w:val="009A2D7C"/>
    <w:rsid w:val="009A2F67"/>
    <w:rsid w:val="009A2FCF"/>
    <w:rsid w:val="009A30CD"/>
    <w:rsid w:val="009A30FE"/>
    <w:rsid w:val="009A3FE3"/>
    <w:rsid w:val="009A4644"/>
    <w:rsid w:val="009A468E"/>
    <w:rsid w:val="009A48A4"/>
    <w:rsid w:val="009A4908"/>
    <w:rsid w:val="009A4A3E"/>
    <w:rsid w:val="009A4B89"/>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1FD"/>
    <w:rsid w:val="009B44F0"/>
    <w:rsid w:val="009B4713"/>
    <w:rsid w:val="009B4CA1"/>
    <w:rsid w:val="009B545D"/>
    <w:rsid w:val="009B5786"/>
    <w:rsid w:val="009B5957"/>
    <w:rsid w:val="009B59B1"/>
    <w:rsid w:val="009B5C0B"/>
    <w:rsid w:val="009B5C8C"/>
    <w:rsid w:val="009B6013"/>
    <w:rsid w:val="009B6D5D"/>
    <w:rsid w:val="009B6ECD"/>
    <w:rsid w:val="009B7273"/>
    <w:rsid w:val="009B72B7"/>
    <w:rsid w:val="009B7356"/>
    <w:rsid w:val="009B76DB"/>
    <w:rsid w:val="009B79D8"/>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A70"/>
    <w:rsid w:val="009C3AE8"/>
    <w:rsid w:val="009C4087"/>
    <w:rsid w:val="009C4959"/>
    <w:rsid w:val="009C49E0"/>
    <w:rsid w:val="009C4CFF"/>
    <w:rsid w:val="009C5961"/>
    <w:rsid w:val="009C6203"/>
    <w:rsid w:val="009C674C"/>
    <w:rsid w:val="009C6BE9"/>
    <w:rsid w:val="009C6DB6"/>
    <w:rsid w:val="009C76A3"/>
    <w:rsid w:val="009C79E5"/>
    <w:rsid w:val="009C7ACB"/>
    <w:rsid w:val="009C7C85"/>
    <w:rsid w:val="009D03F6"/>
    <w:rsid w:val="009D0701"/>
    <w:rsid w:val="009D107E"/>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55E8"/>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53F"/>
    <w:rsid w:val="009E19AE"/>
    <w:rsid w:val="009E1E60"/>
    <w:rsid w:val="009E1F86"/>
    <w:rsid w:val="009E2AAB"/>
    <w:rsid w:val="009E2C13"/>
    <w:rsid w:val="009E30B5"/>
    <w:rsid w:val="009E3112"/>
    <w:rsid w:val="009E34B7"/>
    <w:rsid w:val="009E399D"/>
    <w:rsid w:val="009E3BA8"/>
    <w:rsid w:val="009E3EC5"/>
    <w:rsid w:val="009E434B"/>
    <w:rsid w:val="009E4653"/>
    <w:rsid w:val="009E480B"/>
    <w:rsid w:val="009E4986"/>
    <w:rsid w:val="009E4C2E"/>
    <w:rsid w:val="009E5205"/>
    <w:rsid w:val="009E52B2"/>
    <w:rsid w:val="009E5772"/>
    <w:rsid w:val="009E5BAE"/>
    <w:rsid w:val="009E5BF5"/>
    <w:rsid w:val="009E5D18"/>
    <w:rsid w:val="009E5EC1"/>
    <w:rsid w:val="009E5F8E"/>
    <w:rsid w:val="009E6485"/>
    <w:rsid w:val="009E648E"/>
    <w:rsid w:val="009E65CA"/>
    <w:rsid w:val="009E699D"/>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EC9"/>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2C93"/>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96"/>
    <w:rsid w:val="00A114E5"/>
    <w:rsid w:val="00A115CB"/>
    <w:rsid w:val="00A116B1"/>
    <w:rsid w:val="00A11742"/>
    <w:rsid w:val="00A117F7"/>
    <w:rsid w:val="00A11A73"/>
    <w:rsid w:val="00A11A7E"/>
    <w:rsid w:val="00A11C67"/>
    <w:rsid w:val="00A11F1D"/>
    <w:rsid w:val="00A121D9"/>
    <w:rsid w:val="00A12318"/>
    <w:rsid w:val="00A1253F"/>
    <w:rsid w:val="00A128EA"/>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8EB"/>
    <w:rsid w:val="00A24A31"/>
    <w:rsid w:val="00A251F2"/>
    <w:rsid w:val="00A258E0"/>
    <w:rsid w:val="00A25A10"/>
    <w:rsid w:val="00A25FCF"/>
    <w:rsid w:val="00A264E0"/>
    <w:rsid w:val="00A26928"/>
    <w:rsid w:val="00A269B5"/>
    <w:rsid w:val="00A26A3F"/>
    <w:rsid w:val="00A2726D"/>
    <w:rsid w:val="00A27ADC"/>
    <w:rsid w:val="00A30627"/>
    <w:rsid w:val="00A3070B"/>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813"/>
    <w:rsid w:val="00A439B7"/>
    <w:rsid w:val="00A43D47"/>
    <w:rsid w:val="00A44090"/>
    <w:rsid w:val="00A440A6"/>
    <w:rsid w:val="00A448E8"/>
    <w:rsid w:val="00A44A4B"/>
    <w:rsid w:val="00A44C30"/>
    <w:rsid w:val="00A45121"/>
    <w:rsid w:val="00A45B00"/>
    <w:rsid w:val="00A45B93"/>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6F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2FFD"/>
    <w:rsid w:val="00A6310C"/>
    <w:rsid w:val="00A6316B"/>
    <w:rsid w:val="00A631ED"/>
    <w:rsid w:val="00A633C2"/>
    <w:rsid w:val="00A63460"/>
    <w:rsid w:val="00A63679"/>
    <w:rsid w:val="00A639BE"/>
    <w:rsid w:val="00A63A8F"/>
    <w:rsid w:val="00A63D6F"/>
    <w:rsid w:val="00A64389"/>
    <w:rsid w:val="00A64797"/>
    <w:rsid w:val="00A64817"/>
    <w:rsid w:val="00A64C28"/>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6E4"/>
    <w:rsid w:val="00A73C89"/>
    <w:rsid w:val="00A73FED"/>
    <w:rsid w:val="00A74143"/>
    <w:rsid w:val="00A743DC"/>
    <w:rsid w:val="00A746A3"/>
    <w:rsid w:val="00A7486D"/>
    <w:rsid w:val="00A74BE6"/>
    <w:rsid w:val="00A7541E"/>
    <w:rsid w:val="00A7543A"/>
    <w:rsid w:val="00A754C4"/>
    <w:rsid w:val="00A7554A"/>
    <w:rsid w:val="00A75555"/>
    <w:rsid w:val="00A7557C"/>
    <w:rsid w:val="00A758A4"/>
    <w:rsid w:val="00A75A61"/>
    <w:rsid w:val="00A75AC4"/>
    <w:rsid w:val="00A75BA0"/>
    <w:rsid w:val="00A75FDF"/>
    <w:rsid w:val="00A768A2"/>
    <w:rsid w:val="00A769F0"/>
    <w:rsid w:val="00A76A55"/>
    <w:rsid w:val="00A76CEB"/>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B14"/>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58A"/>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5E8E"/>
    <w:rsid w:val="00A964F1"/>
    <w:rsid w:val="00A967F4"/>
    <w:rsid w:val="00A96A4E"/>
    <w:rsid w:val="00A96FC0"/>
    <w:rsid w:val="00A97BFA"/>
    <w:rsid w:val="00A97E28"/>
    <w:rsid w:val="00AA007C"/>
    <w:rsid w:val="00AA0953"/>
    <w:rsid w:val="00AA0B30"/>
    <w:rsid w:val="00AA1168"/>
    <w:rsid w:val="00AA1EB2"/>
    <w:rsid w:val="00AA20ED"/>
    <w:rsid w:val="00AA24F3"/>
    <w:rsid w:val="00AA25C9"/>
    <w:rsid w:val="00AA310A"/>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AD2"/>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5E7"/>
    <w:rsid w:val="00AC0BD8"/>
    <w:rsid w:val="00AC1E53"/>
    <w:rsid w:val="00AC1E69"/>
    <w:rsid w:val="00AC2F56"/>
    <w:rsid w:val="00AC3077"/>
    <w:rsid w:val="00AC3669"/>
    <w:rsid w:val="00AC372E"/>
    <w:rsid w:val="00AC37F0"/>
    <w:rsid w:val="00AC40D8"/>
    <w:rsid w:val="00AC4249"/>
    <w:rsid w:val="00AC42FA"/>
    <w:rsid w:val="00AC455C"/>
    <w:rsid w:val="00AC45CA"/>
    <w:rsid w:val="00AC4B72"/>
    <w:rsid w:val="00AC4D66"/>
    <w:rsid w:val="00AC58DE"/>
    <w:rsid w:val="00AC5C0E"/>
    <w:rsid w:val="00AC5D6D"/>
    <w:rsid w:val="00AC5FCE"/>
    <w:rsid w:val="00AC615E"/>
    <w:rsid w:val="00AC62B7"/>
    <w:rsid w:val="00AC692A"/>
    <w:rsid w:val="00AC6BDA"/>
    <w:rsid w:val="00AC6C1D"/>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15E4"/>
    <w:rsid w:val="00AE275D"/>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8E3"/>
    <w:rsid w:val="00AE7A67"/>
    <w:rsid w:val="00AE7E09"/>
    <w:rsid w:val="00AF000E"/>
    <w:rsid w:val="00AF0D37"/>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7011"/>
    <w:rsid w:val="00AF71AA"/>
    <w:rsid w:val="00AF741B"/>
    <w:rsid w:val="00AF7453"/>
    <w:rsid w:val="00AF7C3D"/>
    <w:rsid w:val="00AF7D72"/>
    <w:rsid w:val="00AF7E72"/>
    <w:rsid w:val="00AF7F12"/>
    <w:rsid w:val="00B00223"/>
    <w:rsid w:val="00B00A64"/>
    <w:rsid w:val="00B00C97"/>
    <w:rsid w:val="00B00E2D"/>
    <w:rsid w:val="00B00EE8"/>
    <w:rsid w:val="00B0115C"/>
    <w:rsid w:val="00B012B5"/>
    <w:rsid w:val="00B01F83"/>
    <w:rsid w:val="00B01FA9"/>
    <w:rsid w:val="00B0219D"/>
    <w:rsid w:val="00B0239F"/>
    <w:rsid w:val="00B02BD8"/>
    <w:rsid w:val="00B02E29"/>
    <w:rsid w:val="00B0328C"/>
    <w:rsid w:val="00B0338C"/>
    <w:rsid w:val="00B036CF"/>
    <w:rsid w:val="00B0396C"/>
    <w:rsid w:val="00B03F9B"/>
    <w:rsid w:val="00B0432F"/>
    <w:rsid w:val="00B043ED"/>
    <w:rsid w:val="00B0521C"/>
    <w:rsid w:val="00B05418"/>
    <w:rsid w:val="00B054FF"/>
    <w:rsid w:val="00B05CB6"/>
    <w:rsid w:val="00B06078"/>
    <w:rsid w:val="00B0619C"/>
    <w:rsid w:val="00B0633F"/>
    <w:rsid w:val="00B06DE5"/>
    <w:rsid w:val="00B070A0"/>
    <w:rsid w:val="00B075B2"/>
    <w:rsid w:val="00B07600"/>
    <w:rsid w:val="00B07CC0"/>
    <w:rsid w:val="00B07CF0"/>
    <w:rsid w:val="00B07FC9"/>
    <w:rsid w:val="00B102F5"/>
    <w:rsid w:val="00B103E9"/>
    <w:rsid w:val="00B1060C"/>
    <w:rsid w:val="00B10BEF"/>
    <w:rsid w:val="00B10C2E"/>
    <w:rsid w:val="00B11539"/>
    <w:rsid w:val="00B11586"/>
    <w:rsid w:val="00B11827"/>
    <w:rsid w:val="00B11E6D"/>
    <w:rsid w:val="00B11FA4"/>
    <w:rsid w:val="00B1220A"/>
    <w:rsid w:val="00B12242"/>
    <w:rsid w:val="00B12B99"/>
    <w:rsid w:val="00B12D2F"/>
    <w:rsid w:val="00B13427"/>
    <w:rsid w:val="00B138DA"/>
    <w:rsid w:val="00B1393B"/>
    <w:rsid w:val="00B140D2"/>
    <w:rsid w:val="00B1413F"/>
    <w:rsid w:val="00B1462C"/>
    <w:rsid w:val="00B14CD1"/>
    <w:rsid w:val="00B15491"/>
    <w:rsid w:val="00B15580"/>
    <w:rsid w:val="00B1562F"/>
    <w:rsid w:val="00B15740"/>
    <w:rsid w:val="00B16C77"/>
    <w:rsid w:val="00B16D0D"/>
    <w:rsid w:val="00B16D63"/>
    <w:rsid w:val="00B170C5"/>
    <w:rsid w:val="00B172E7"/>
    <w:rsid w:val="00B174AB"/>
    <w:rsid w:val="00B17629"/>
    <w:rsid w:val="00B2135F"/>
    <w:rsid w:val="00B214E4"/>
    <w:rsid w:val="00B21766"/>
    <w:rsid w:val="00B21799"/>
    <w:rsid w:val="00B21A4D"/>
    <w:rsid w:val="00B21D6E"/>
    <w:rsid w:val="00B222B5"/>
    <w:rsid w:val="00B22C39"/>
    <w:rsid w:val="00B22D8C"/>
    <w:rsid w:val="00B22DE0"/>
    <w:rsid w:val="00B230F8"/>
    <w:rsid w:val="00B2344A"/>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A0A"/>
    <w:rsid w:val="00B27BEE"/>
    <w:rsid w:val="00B30160"/>
    <w:rsid w:val="00B301E2"/>
    <w:rsid w:val="00B302B8"/>
    <w:rsid w:val="00B304C0"/>
    <w:rsid w:val="00B3068C"/>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D4"/>
    <w:rsid w:val="00B346E2"/>
    <w:rsid w:val="00B34802"/>
    <w:rsid w:val="00B35447"/>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37FD3"/>
    <w:rsid w:val="00B4097F"/>
    <w:rsid w:val="00B410B3"/>
    <w:rsid w:val="00B417BB"/>
    <w:rsid w:val="00B4190C"/>
    <w:rsid w:val="00B41956"/>
    <w:rsid w:val="00B427F5"/>
    <w:rsid w:val="00B42A22"/>
    <w:rsid w:val="00B43085"/>
    <w:rsid w:val="00B43539"/>
    <w:rsid w:val="00B43B71"/>
    <w:rsid w:val="00B43F67"/>
    <w:rsid w:val="00B43F90"/>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6E1"/>
    <w:rsid w:val="00B518C6"/>
    <w:rsid w:val="00B52046"/>
    <w:rsid w:val="00B5259A"/>
    <w:rsid w:val="00B52C06"/>
    <w:rsid w:val="00B52CB1"/>
    <w:rsid w:val="00B5315C"/>
    <w:rsid w:val="00B53A25"/>
    <w:rsid w:val="00B53A95"/>
    <w:rsid w:val="00B53B6D"/>
    <w:rsid w:val="00B53C9A"/>
    <w:rsid w:val="00B53D31"/>
    <w:rsid w:val="00B53DED"/>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10EC"/>
    <w:rsid w:val="00B62014"/>
    <w:rsid w:val="00B629C9"/>
    <w:rsid w:val="00B63426"/>
    <w:rsid w:val="00B63656"/>
    <w:rsid w:val="00B6373D"/>
    <w:rsid w:val="00B63F21"/>
    <w:rsid w:val="00B63FB6"/>
    <w:rsid w:val="00B6401C"/>
    <w:rsid w:val="00B64086"/>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0EF4"/>
    <w:rsid w:val="00B712EE"/>
    <w:rsid w:val="00B715DC"/>
    <w:rsid w:val="00B71ACD"/>
    <w:rsid w:val="00B722FE"/>
    <w:rsid w:val="00B72597"/>
    <w:rsid w:val="00B729F1"/>
    <w:rsid w:val="00B7300C"/>
    <w:rsid w:val="00B73222"/>
    <w:rsid w:val="00B74648"/>
    <w:rsid w:val="00B74D56"/>
    <w:rsid w:val="00B753EA"/>
    <w:rsid w:val="00B75CCA"/>
    <w:rsid w:val="00B7657E"/>
    <w:rsid w:val="00B76875"/>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98C"/>
    <w:rsid w:val="00B82C49"/>
    <w:rsid w:val="00B82D90"/>
    <w:rsid w:val="00B82FB4"/>
    <w:rsid w:val="00B83432"/>
    <w:rsid w:val="00B83B69"/>
    <w:rsid w:val="00B83D19"/>
    <w:rsid w:val="00B83DFC"/>
    <w:rsid w:val="00B83F10"/>
    <w:rsid w:val="00B8406A"/>
    <w:rsid w:val="00B84439"/>
    <w:rsid w:val="00B84B85"/>
    <w:rsid w:val="00B86207"/>
    <w:rsid w:val="00B8654A"/>
    <w:rsid w:val="00B86589"/>
    <w:rsid w:val="00B865EE"/>
    <w:rsid w:val="00B86784"/>
    <w:rsid w:val="00B86A86"/>
    <w:rsid w:val="00B86B7E"/>
    <w:rsid w:val="00B87173"/>
    <w:rsid w:val="00B87449"/>
    <w:rsid w:val="00B8769D"/>
    <w:rsid w:val="00B87BE1"/>
    <w:rsid w:val="00B87DD5"/>
    <w:rsid w:val="00B90282"/>
    <w:rsid w:val="00B90B1B"/>
    <w:rsid w:val="00B90F96"/>
    <w:rsid w:val="00B91660"/>
    <w:rsid w:val="00B9219F"/>
    <w:rsid w:val="00B926CB"/>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ECF"/>
    <w:rsid w:val="00B97356"/>
    <w:rsid w:val="00B97A6D"/>
    <w:rsid w:val="00BA0391"/>
    <w:rsid w:val="00BA060B"/>
    <w:rsid w:val="00BA0710"/>
    <w:rsid w:val="00BA0A71"/>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80"/>
    <w:rsid w:val="00BA7BAB"/>
    <w:rsid w:val="00BA7C02"/>
    <w:rsid w:val="00BA7C73"/>
    <w:rsid w:val="00BA7C85"/>
    <w:rsid w:val="00BB00C3"/>
    <w:rsid w:val="00BB01F3"/>
    <w:rsid w:val="00BB043A"/>
    <w:rsid w:val="00BB073E"/>
    <w:rsid w:val="00BB0741"/>
    <w:rsid w:val="00BB07C5"/>
    <w:rsid w:val="00BB09ED"/>
    <w:rsid w:val="00BB10E2"/>
    <w:rsid w:val="00BB17AD"/>
    <w:rsid w:val="00BB1D2F"/>
    <w:rsid w:val="00BB2428"/>
    <w:rsid w:val="00BB292D"/>
    <w:rsid w:val="00BB300F"/>
    <w:rsid w:val="00BB309F"/>
    <w:rsid w:val="00BB3198"/>
    <w:rsid w:val="00BB369B"/>
    <w:rsid w:val="00BB3919"/>
    <w:rsid w:val="00BB3A56"/>
    <w:rsid w:val="00BB3ABF"/>
    <w:rsid w:val="00BB3C9D"/>
    <w:rsid w:val="00BB3E2E"/>
    <w:rsid w:val="00BB42AC"/>
    <w:rsid w:val="00BB4621"/>
    <w:rsid w:val="00BB49CB"/>
    <w:rsid w:val="00BB4CAE"/>
    <w:rsid w:val="00BB4E7B"/>
    <w:rsid w:val="00BB57B7"/>
    <w:rsid w:val="00BB57C7"/>
    <w:rsid w:val="00BB6087"/>
    <w:rsid w:val="00BB67F1"/>
    <w:rsid w:val="00BB6A14"/>
    <w:rsid w:val="00BB79C2"/>
    <w:rsid w:val="00BB7E42"/>
    <w:rsid w:val="00BB7F0F"/>
    <w:rsid w:val="00BC0413"/>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65F"/>
    <w:rsid w:val="00BC3A31"/>
    <w:rsid w:val="00BC406F"/>
    <w:rsid w:val="00BC4130"/>
    <w:rsid w:val="00BC4164"/>
    <w:rsid w:val="00BC426A"/>
    <w:rsid w:val="00BC4428"/>
    <w:rsid w:val="00BC4C86"/>
    <w:rsid w:val="00BC4C88"/>
    <w:rsid w:val="00BC4DFB"/>
    <w:rsid w:val="00BC4F7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308"/>
    <w:rsid w:val="00BD08F6"/>
    <w:rsid w:val="00BD0A29"/>
    <w:rsid w:val="00BD18E4"/>
    <w:rsid w:val="00BD1B3F"/>
    <w:rsid w:val="00BD2120"/>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21E3"/>
    <w:rsid w:val="00BE305B"/>
    <w:rsid w:val="00BE3684"/>
    <w:rsid w:val="00BE4775"/>
    <w:rsid w:val="00BE4D13"/>
    <w:rsid w:val="00BE5C0F"/>
    <w:rsid w:val="00BE5C9E"/>
    <w:rsid w:val="00BE5F4E"/>
    <w:rsid w:val="00BE618A"/>
    <w:rsid w:val="00BE62B2"/>
    <w:rsid w:val="00BE6350"/>
    <w:rsid w:val="00BE6767"/>
    <w:rsid w:val="00BE67F1"/>
    <w:rsid w:val="00BE7287"/>
    <w:rsid w:val="00BE7964"/>
    <w:rsid w:val="00BE7C93"/>
    <w:rsid w:val="00BF0362"/>
    <w:rsid w:val="00BF0479"/>
    <w:rsid w:val="00BF0AFA"/>
    <w:rsid w:val="00BF0CDC"/>
    <w:rsid w:val="00BF0D73"/>
    <w:rsid w:val="00BF1069"/>
    <w:rsid w:val="00BF17E1"/>
    <w:rsid w:val="00BF1A87"/>
    <w:rsid w:val="00BF1D23"/>
    <w:rsid w:val="00BF1F82"/>
    <w:rsid w:val="00BF2520"/>
    <w:rsid w:val="00BF25B1"/>
    <w:rsid w:val="00BF2B78"/>
    <w:rsid w:val="00BF2F94"/>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3F90"/>
    <w:rsid w:val="00C04BA2"/>
    <w:rsid w:val="00C04BAE"/>
    <w:rsid w:val="00C04E0F"/>
    <w:rsid w:val="00C05362"/>
    <w:rsid w:val="00C05537"/>
    <w:rsid w:val="00C05896"/>
    <w:rsid w:val="00C0599A"/>
    <w:rsid w:val="00C059C4"/>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137"/>
    <w:rsid w:val="00C1448C"/>
    <w:rsid w:val="00C145BD"/>
    <w:rsid w:val="00C145FD"/>
    <w:rsid w:val="00C149A6"/>
    <w:rsid w:val="00C14D7A"/>
    <w:rsid w:val="00C14D92"/>
    <w:rsid w:val="00C15028"/>
    <w:rsid w:val="00C153BC"/>
    <w:rsid w:val="00C15511"/>
    <w:rsid w:val="00C15BE4"/>
    <w:rsid w:val="00C15CA1"/>
    <w:rsid w:val="00C15FAD"/>
    <w:rsid w:val="00C16490"/>
    <w:rsid w:val="00C168E7"/>
    <w:rsid w:val="00C16CCB"/>
    <w:rsid w:val="00C17059"/>
    <w:rsid w:val="00C17174"/>
    <w:rsid w:val="00C171C5"/>
    <w:rsid w:val="00C178C4"/>
    <w:rsid w:val="00C17AD5"/>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4FEA"/>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3DC7"/>
    <w:rsid w:val="00C34197"/>
    <w:rsid w:val="00C3427B"/>
    <w:rsid w:val="00C3439A"/>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37EDC"/>
    <w:rsid w:val="00C400F0"/>
    <w:rsid w:val="00C40389"/>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B3B"/>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41A"/>
    <w:rsid w:val="00C53B12"/>
    <w:rsid w:val="00C53B6C"/>
    <w:rsid w:val="00C5406E"/>
    <w:rsid w:val="00C541AB"/>
    <w:rsid w:val="00C541B2"/>
    <w:rsid w:val="00C542C4"/>
    <w:rsid w:val="00C5477D"/>
    <w:rsid w:val="00C54928"/>
    <w:rsid w:val="00C54A44"/>
    <w:rsid w:val="00C54B86"/>
    <w:rsid w:val="00C54E2A"/>
    <w:rsid w:val="00C54E49"/>
    <w:rsid w:val="00C54FAF"/>
    <w:rsid w:val="00C550C8"/>
    <w:rsid w:val="00C55222"/>
    <w:rsid w:val="00C553E2"/>
    <w:rsid w:val="00C556D7"/>
    <w:rsid w:val="00C558CE"/>
    <w:rsid w:val="00C55EA4"/>
    <w:rsid w:val="00C56207"/>
    <w:rsid w:val="00C56403"/>
    <w:rsid w:val="00C5661F"/>
    <w:rsid w:val="00C56F92"/>
    <w:rsid w:val="00C56FD2"/>
    <w:rsid w:val="00C57085"/>
    <w:rsid w:val="00C575AF"/>
    <w:rsid w:val="00C576FC"/>
    <w:rsid w:val="00C579F3"/>
    <w:rsid w:val="00C57EE1"/>
    <w:rsid w:val="00C60361"/>
    <w:rsid w:val="00C60738"/>
    <w:rsid w:val="00C608D7"/>
    <w:rsid w:val="00C60D9F"/>
    <w:rsid w:val="00C61943"/>
    <w:rsid w:val="00C620BA"/>
    <w:rsid w:val="00C627C5"/>
    <w:rsid w:val="00C62DA8"/>
    <w:rsid w:val="00C62FAB"/>
    <w:rsid w:val="00C635B8"/>
    <w:rsid w:val="00C6395F"/>
    <w:rsid w:val="00C63C3D"/>
    <w:rsid w:val="00C644BF"/>
    <w:rsid w:val="00C64A43"/>
    <w:rsid w:val="00C65163"/>
    <w:rsid w:val="00C65728"/>
    <w:rsid w:val="00C658F4"/>
    <w:rsid w:val="00C65B6B"/>
    <w:rsid w:val="00C65F2D"/>
    <w:rsid w:val="00C6636B"/>
    <w:rsid w:val="00C66492"/>
    <w:rsid w:val="00C664AB"/>
    <w:rsid w:val="00C66584"/>
    <w:rsid w:val="00C665A9"/>
    <w:rsid w:val="00C66705"/>
    <w:rsid w:val="00C6730D"/>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A46"/>
    <w:rsid w:val="00C72BA3"/>
    <w:rsid w:val="00C72DD5"/>
    <w:rsid w:val="00C733A6"/>
    <w:rsid w:val="00C737B0"/>
    <w:rsid w:val="00C73D39"/>
    <w:rsid w:val="00C744A3"/>
    <w:rsid w:val="00C744D7"/>
    <w:rsid w:val="00C75574"/>
    <w:rsid w:val="00C75E95"/>
    <w:rsid w:val="00C760ED"/>
    <w:rsid w:val="00C76282"/>
    <w:rsid w:val="00C76750"/>
    <w:rsid w:val="00C7675A"/>
    <w:rsid w:val="00C76BB2"/>
    <w:rsid w:val="00C76D5D"/>
    <w:rsid w:val="00C76E9D"/>
    <w:rsid w:val="00C76F87"/>
    <w:rsid w:val="00C77906"/>
    <w:rsid w:val="00C800A2"/>
    <w:rsid w:val="00C80CB0"/>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37B"/>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16C"/>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5E7"/>
    <w:rsid w:val="00C9760B"/>
    <w:rsid w:val="00C976E0"/>
    <w:rsid w:val="00C9796B"/>
    <w:rsid w:val="00C97C19"/>
    <w:rsid w:val="00CA0174"/>
    <w:rsid w:val="00CA018B"/>
    <w:rsid w:val="00CA0294"/>
    <w:rsid w:val="00CA05EE"/>
    <w:rsid w:val="00CA0C53"/>
    <w:rsid w:val="00CA0FB8"/>
    <w:rsid w:val="00CA105A"/>
    <w:rsid w:val="00CA17A6"/>
    <w:rsid w:val="00CA18B5"/>
    <w:rsid w:val="00CA1AE4"/>
    <w:rsid w:val="00CA1BC5"/>
    <w:rsid w:val="00CA1E0C"/>
    <w:rsid w:val="00CA1FA7"/>
    <w:rsid w:val="00CA20E3"/>
    <w:rsid w:val="00CA2143"/>
    <w:rsid w:val="00CA245C"/>
    <w:rsid w:val="00CA24C5"/>
    <w:rsid w:val="00CA26EC"/>
    <w:rsid w:val="00CA2F60"/>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07"/>
    <w:rsid w:val="00CB1A88"/>
    <w:rsid w:val="00CB277F"/>
    <w:rsid w:val="00CB2809"/>
    <w:rsid w:val="00CB328B"/>
    <w:rsid w:val="00CB3318"/>
    <w:rsid w:val="00CB357D"/>
    <w:rsid w:val="00CB3628"/>
    <w:rsid w:val="00CB3B9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72E"/>
    <w:rsid w:val="00CC1732"/>
    <w:rsid w:val="00CC19EE"/>
    <w:rsid w:val="00CC1E56"/>
    <w:rsid w:val="00CC1EB1"/>
    <w:rsid w:val="00CC2001"/>
    <w:rsid w:val="00CC2270"/>
    <w:rsid w:val="00CC2970"/>
    <w:rsid w:val="00CC2EC5"/>
    <w:rsid w:val="00CC3277"/>
    <w:rsid w:val="00CC385B"/>
    <w:rsid w:val="00CC3EBF"/>
    <w:rsid w:val="00CC4150"/>
    <w:rsid w:val="00CC4207"/>
    <w:rsid w:val="00CC4980"/>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5EFC"/>
    <w:rsid w:val="00CD6321"/>
    <w:rsid w:val="00CD63D3"/>
    <w:rsid w:val="00CD6924"/>
    <w:rsid w:val="00CD6FAD"/>
    <w:rsid w:val="00CD7055"/>
    <w:rsid w:val="00CD7340"/>
    <w:rsid w:val="00CD73E8"/>
    <w:rsid w:val="00CD751E"/>
    <w:rsid w:val="00CD77A8"/>
    <w:rsid w:val="00CD7839"/>
    <w:rsid w:val="00CD78B1"/>
    <w:rsid w:val="00CE047A"/>
    <w:rsid w:val="00CE052C"/>
    <w:rsid w:val="00CE06B1"/>
    <w:rsid w:val="00CE0944"/>
    <w:rsid w:val="00CE0A76"/>
    <w:rsid w:val="00CE0CA9"/>
    <w:rsid w:val="00CE13D2"/>
    <w:rsid w:val="00CE166B"/>
    <w:rsid w:val="00CE16C8"/>
    <w:rsid w:val="00CE1B36"/>
    <w:rsid w:val="00CE2362"/>
    <w:rsid w:val="00CE29F4"/>
    <w:rsid w:val="00CE3120"/>
    <w:rsid w:val="00CE32D8"/>
    <w:rsid w:val="00CE35F0"/>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88F"/>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4820"/>
    <w:rsid w:val="00CF51C1"/>
    <w:rsid w:val="00CF548B"/>
    <w:rsid w:val="00CF5B47"/>
    <w:rsid w:val="00CF5B54"/>
    <w:rsid w:val="00CF5EE3"/>
    <w:rsid w:val="00CF6821"/>
    <w:rsid w:val="00CF6C00"/>
    <w:rsid w:val="00CF6C01"/>
    <w:rsid w:val="00CF6EB7"/>
    <w:rsid w:val="00CF6FDD"/>
    <w:rsid w:val="00CF7105"/>
    <w:rsid w:val="00CF7271"/>
    <w:rsid w:val="00CF72A2"/>
    <w:rsid w:val="00CF7305"/>
    <w:rsid w:val="00D003E5"/>
    <w:rsid w:val="00D005DF"/>
    <w:rsid w:val="00D005E0"/>
    <w:rsid w:val="00D00AD1"/>
    <w:rsid w:val="00D00C4A"/>
    <w:rsid w:val="00D00FF7"/>
    <w:rsid w:val="00D012FF"/>
    <w:rsid w:val="00D0157B"/>
    <w:rsid w:val="00D015D7"/>
    <w:rsid w:val="00D016D2"/>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6ED"/>
    <w:rsid w:val="00D13808"/>
    <w:rsid w:val="00D13E91"/>
    <w:rsid w:val="00D14317"/>
    <w:rsid w:val="00D1453F"/>
    <w:rsid w:val="00D146FE"/>
    <w:rsid w:val="00D14C28"/>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DEF"/>
    <w:rsid w:val="00D16E87"/>
    <w:rsid w:val="00D17211"/>
    <w:rsid w:val="00D17335"/>
    <w:rsid w:val="00D174ED"/>
    <w:rsid w:val="00D1797A"/>
    <w:rsid w:val="00D17BA1"/>
    <w:rsid w:val="00D17BF1"/>
    <w:rsid w:val="00D2079E"/>
    <w:rsid w:val="00D208E7"/>
    <w:rsid w:val="00D20EB2"/>
    <w:rsid w:val="00D2102D"/>
    <w:rsid w:val="00D21356"/>
    <w:rsid w:val="00D216EE"/>
    <w:rsid w:val="00D220B5"/>
    <w:rsid w:val="00D223EF"/>
    <w:rsid w:val="00D224CF"/>
    <w:rsid w:val="00D230C1"/>
    <w:rsid w:val="00D230FC"/>
    <w:rsid w:val="00D232D8"/>
    <w:rsid w:val="00D232DC"/>
    <w:rsid w:val="00D233CD"/>
    <w:rsid w:val="00D23451"/>
    <w:rsid w:val="00D23500"/>
    <w:rsid w:val="00D23AD3"/>
    <w:rsid w:val="00D23FC0"/>
    <w:rsid w:val="00D23FCE"/>
    <w:rsid w:val="00D2401D"/>
    <w:rsid w:val="00D24364"/>
    <w:rsid w:val="00D24478"/>
    <w:rsid w:val="00D2463D"/>
    <w:rsid w:val="00D2469E"/>
    <w:rsid w:val="00D2649E"/>
    <w:rsid w:val="00D264D3"/>
    <w:rsid w:val="00D26E62"/>
    <w:rsid w:val="00D26FA2"/>
    <w:rsid w:val="00D27201"/>
    <w:rsid w:val="00D27300"/>
    <w:rsid w:val="00D27875"/>
    <w:rsid w:val="00D30066"/>
    <w:rsid w:val="00D3053A"/>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1BB"/>
    <w:rsid w:val="00D33975"/>
    <w:rsid w:val="00D33A8C"/>
    <w:rsid w:val="00D34057"/>
    <w:rsid w:val="00D34630"/>
    <w:rsid w:val="00D3523D"/>
    <w:rsid w:val="00D35597"/>
    <w:rsid w:val="00D35689"/>
    <w:rsid w:val="00D35999"/>
    <w:rsid w:val="00D35D55"/>
    <w:rsid w:val="00D35E06"/>
    <w:rsid w:val="00D365FA"/>
    <w:rsid w:val="00D369BC"/>
    <w:rsid w:val="00D37093"/>
    <w:rsid w:val="00D377E8"/>
    <w:rsid w:val="00D37AAC"/>
    <w:rsid w:val="00D40425"/>
    <w:rsid w:val="00D40BC3"/>
    <w:rsid w:val="00D40D5A"/>
    <w:rsid w:val="00D40D6B"/>
    <w:rsid w:val="00D4129E"/>
    <w:rsid w:val="00D4185C"/>
    <w:rsid w:val="00D418A3"/>
    <w:rsid w:val="00D41AB6"/>
    <w:rsid w:val="00D41D10"/>
    <w:rsid w:val="00D42946"/>
    <w:rsid w:val="00D42DEC"/>
    <w:rsid w:val="00D43524"/>
    <w:rsid w:val="00D435AE"/>
    <w:rsid w:val="00D43984"/>
    <w:rsid w:val="00D44105"/>
    <w:rsid w:val="00D4459D"/>
    <w:rsid w:val="00D446B5"/>
    <w:rsid w:val="00D44AEB"/>
    <w:rsid w:val="00D44F42"/>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2D4"/>
    <w:rsid w:val="00D576CD"/>
    <w:rsid w:val="00D577BB"/>
    <w:rsid w:val="00D57B91"/>
    <w:rsid w:val="00D57E0C"/>
    <w:rsid w:val="00D60E67"/>
    <w:rsid w:val="00D614F6"/>
    <w:rsid w:val="00D61C87"/>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2B5"/>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850"/>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7AE"/>
    <w:rsid w:val="00D76CDC"/>
    <w:rsid w:val="00D77AD8"/>
    <w:rsid w:val="00D77C31"/>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08D"/>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96"/>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411"/>
    <w:rsid w:val="00DA45BD"/>
    <w:rsid w:val="00DA4997"/>
    <w:rsid w:val="00DA4B2A"/>
    <w:rsid w:val="00DA5000"/>
    <w:rsid w:val="00DA52EB"/>
    <w:rsid w:val="00DA5CD6"/>
    <w:rsid w:val="00DA6868"/>
    <w:rsid w:val="00DA6B67"/>
    <w:rsid w:val="00DA6DC2"/>
    <w:rsid w:val="00DA7044"/>
    <w:rsid w:val="00DA71A0"/>
    <w:rsid w:val="00DA75AA"/>
    <w:rsid w:val="00DA774A"/>
    <w:rsid w:val="00DA7866"/>
    <w:rsid w:val="00DA7A57"/>
    <w:rsid w:val="00DA7D93"/>
    <w:rsid w:val="00DB0312"/>
    <w:rsid w:val="00DB06ED"/>
    <w:rsid w:val="00DB0A9F"/>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749"/>
    <w:rsid w:val="00DB5768"/>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8F5"/>
    <w:rsid w:val="00DC198F"/>
    <w:rsid w:val="00DC1ADB"/>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CF0"/>
    <w:rsid w:val="00DC6D0D"/>
    <w:rsid w:val="00DC6F43"/>
    <w:rsid w:val="00DC7686"/>
    <w:rsid w:val="00DD06D7"/>
    <w:rsid w:val="00DD0711"/>
    <w:rsid w:val="00DD086B"/>
    <w:rsid w:val="00DD0C80"/>
    <w:rsid w:val="00DD1091"/>
    <w:rsid w:val="00DD145B"/>
    <w:rsid w:val="00DD1ACD"/>
    <w:rsid w:val="00DD2409"/>
    <w:rsid w:val="00DD2798"/>
    <w:rsid w:val="00DD2A6B"/>
    <w:rsid w:val="00DD2D20"/>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950"/>
    <w:rsid w:val="00DD7C32"/>
    <w:rsid w:val="00DD7D9D"/>
    <w:rsid w:val="00DE00A7"/>
    <w:rsid w:val="00DE0163"/>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7E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9E9"/>
    <w:rsid w:val="00DF4C68"/>
    <w:rsid w:val="00DF4D9D"/>
    <w:rsid w:val="00DF4F63"/>
    <w:rsid w:val="00DF5115"/>
    <w:rsid w:val="00DF5209"/>
    <w:rsid w:val="00DF5300"/>
    <w:rsid w:val="00DF571D"/>
    <w:rsid w:val="00DF5724"/>
    <w:rsid w:val="00DF6443"/>
    <w:rsid w:val="00DF649D"/>
    <w:rsid w:val="00DF64D4"/>
    <w:rsid w:val="00DF6D56"/>
    <w:rsid w:val="00DF7103"/>
    <w:rsid w:val="00DF7DDF"/>
    <w:rsid w:val="00DF7FFB"/>
    <w:rsid w:val="00E0034E"/>
    <w:rsid w:val="00E00733"/>
    <w:rsid w:val="00E00948"/>
    <w:rsid w:val="00E00C13"/>
    <w:rsid w:val="00E00C41"/>
    <w:rsid w:val="00E00C46"/>
    <w:rsid w:val="00E00F33"/>
    <w:rsid w:val="00E01D40"/>
    <w:rsid w:val="00E024F6"/>
    <w:rsid w:val="00E0287E"/>
    <w:rsid w:val="00E02D84"/>
    <w:rsid w:val="00E02E2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7E4"/>
    <w:rsid w:val="00E14E75"/>
    <w:rsid w:val="00E14EC6"/>
    <w:rsid w:val="00E14F2C"/>
    <w:rsid w:val="00E1521D"/>
    <w:rsid w:val="00E154D2"/>
    <w:rsid w:val="00E155E5"/>
    <w:rsid w:val="00E16343"/>
    <w:rsid w:val="00E16633"/>
    <w:rsid w:val="00E16C08"/>
    <w:rsid w:val="00E16E19"/>
    <w:rsid w:val="00E1752F"/>
    <w:rsid w:val="00E1769F"/>
    <w:rsid w:val="00E17723"/>
    <w:rsid w:val="00E17930"/>
    <w:rsid w:val="00E20164"/>
    <w:rsid w:val="00E21173"/>
    <w:rsid w:val="00E2136F"/>
    <w:rsid w:val="00E21AA6"/>
    <w:rsid w:val="00E223DC"/>
    <w:rsid w:val="00E229FC"/>
    <w:rsid w:val="00E22C6B"/>
    <w:rsid w:val="00E2304B"/>
    <w:rsid w:val="00E2320D"/>
    <w:rsid w:val="00E23447"/>
    <w:rsid w:val="00E234E0"/>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18A"/>
    <w:rsid w:val="00E32715"/>
    <w:rsid w:val="00E32844"/>
    <w:rsid w:val="00E32C72"/>
    <w:rsid w:val="00E32D36"/>
    <w:rsid w:val="00E32D82"/>
    <w:rsid w:val="00E32E13"/>
    <w:rsid w:val="00E32E22"/>
    <w:rsid w:val="00E3314E"/>
    <w:rsid w:val="00E33184"/>
    <w:rsid w:val="00E33276"/>
    <w:rsid w:val="00E334B8"/>
    <w:rsid w:val="00E335BC"/>
    <w:rsid w:val="00E33C3F"/>
    <w:rsid w:val="00E33C76"/>
    <w:rsid w:val="00E34523"/>
    <w:rsid w:val="00E34B17"/>
    <w:rsid w:val="00E35105"/>
    <w:rsid w:val="00E3511E"/>
    <w:rsid w:val="00E35FC8"/>
    <w:rsid w:val="00E36754"/>
    <w:rsid w:val="00E36B5F"/>
    <w:rsid w:val="00E36F8A"/>
    <w:rsid w:val="00E37035"/>
    <w:rsid w:val="00E37394"/>
    <w:rsid w:val="00E37482"/>
    <w:rsid w:val="00E374E7"/>
    <w:rsid w:val="00E37861"/>
    <w:rsid w:val="00E37A6A"/>
    <w:rsid w:val="00E37CC3"/>
    <w:rsid w:val="00E40479"/>
    <w:rsid w:val="00E405ED"/>
    <w:rsid w:val="00E408F2"/>
    <w:rsid w:val="00E40A1D"/>
    <w:rsid w:val="00E40B38"/>
    <w:rsid w:val="00E40FB5"/>
    <w:rsid w:val="00E41233"/>
    <w:rsid w:val="00E41685"/>
    <w:rsid w:val="00E41856"/>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991"/>
    <w:rsid w:val="00E52FE6"/>
    <w:rsid w:val="00E52FF6"/>
    <w:rsid w:val="00E530E1"/>
    <w:rsid w:val="00E532BD"/>
    <w:rsid w:val="00E53412"/>
    <w:rsid w:val="00E53D9D"/>
    <w:rsid w:val="00E53F98"/>
    <w:rsid w:val="00E540FF"/>
    <w:rsid w:val="00E54249"/>
    <w:rsid w:val="00E54446"/>
    <w:rsid w:val="00E54704"/>
    <w:rsid w:val="00E5544E"/>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81F"/>
    <w:rsid w:val="00E57BEF"/>
    <w:rsid w:val="00E6019E"/>
    <w:rsid w:val="00E603AF"/>
    <w:rsid w:val="00E604FA"/>
    <w:rsid w:val="00E606F4"/>
    <w:rsid w:val="00E60861"/>
    <w:rsid w:val="00E60FAB"/>
    <w:rsid w:val="00E6133F"/>
    <w:rsid w:val="00E615BD"/>
    <w:rsid w:val="00E6195B"/>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43"/>
    <w:rsid w:val="00E653D9"/>
    <w:rsid w:val="00E65948"/>
    <w:rsid w:val="00E659F9"/>
    <w:rsid w:val="00E66387"/>
    <w:rsid w:val="00E664A4"/>
    <w:rsid w:val="00E66BBD"/>
    <w:rsid w:val="00E66CF4"/>
    <w:rsid w:val="00E66EAB"/>
    <w:rsid w:val="00E670E6"/>
    <w:rsid w:val="00E67339"/>
    <w:rsid w:val="00E6734C"/>
    <w:rsid w:val="00E67560"/>
    <w:rsid w:val="00E67B4D"/>
    <w:rsid w:val="00E67B50"/>
    <w:rsid w:val="00E67EE0"/>
    <w:rsid w:val="00E67EF0"/>
    <w:rsid w:val="00E70322"/>
    <w:rsid w:val="00E705EE"/>
    <w:rsid w:val="00E70B72"/>
    <w:rsid w:val="00E70C4F"/>
    <w:rsid w:val="00E70E52"/>
    <w:rsid w:val="00E70FDA"/>
    <w:rsid w:val="00E7116F"/>
    <w:rsid w:val="00E7132D"/>
    <w:rsid w:val="00E713BF"/>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8AE"/>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4F"/>
    <w:rsid w:val="00E85DE8"/>
    <w:rsid w:val="00E86E7A"/>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05A"/>
    <w:rsid w:val="00E94133"/>
    <w:rsid w:val="00E943B7"/>
    <w:rsid w:val="00E94584"/>
    <w:rsid w:val="00E94D45"/>
    <w:rsid w:val="00E94EC8"/>
    <w:rsid w:val="00E95C26"/>
    <w:rsid w:val="00E95CEA"/>
    <w:rsid w:val="00E95D53"/>
    <w:rsid w:val="00E962EC"/>
    <w:rsid w:val="00E963CD"/>
    <w:rsid w:val="00E966B1"/>
    <w:rsid w:val="00E967F1"/>
    <w:rsid w:val="00E96978"/>
    <w:rsid w:val="00E96F37"/>
    <w:rsid w:val="00E976D8"/>
    <w:rsid w:val="00E97F6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3"/>
    <w:rsid w:val="00EA4FFF"/>
    <w:rsid w:val="00EA5245"/>
    <w:rsid w:val="00EA537D"/>
    <w:rsid w:val="00EA53F7"/>
    <w:rsid w:val="00EA54AD"/>
    <w:rsid w:val="00EA58A0"/>
    <w:rsid w:val="00EA5AE3"/>
    <w:rsid w:val="00EA5C8C"/>
    <w:rsid w:val="00EA5ECB"/>
    <w:rsid w:val="00EA5F70"/>
    <w:rsid w:val="00EA61A8"/>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207"/>
    <w:rsid w:val="00EB4B3C"/>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B7D6C"/>
    <w:rsid w:val="00EB7E7F"/>
    <w:rsid w:val="00EC05E1"/>
    <w:rsid w:val="00EC07BA"/>
    <w:rsid w:val="00EC08E4"/>
    <w:rsid w:val="00EC1003"/>
    <w:rsid w:val="00EC1186"/>
    <w:rsid w:val="00EC184E"/>
    <w:rsid w:val="00EC1D37"/>
    <w:rsid w:val="00EC20F4"/>
    <w:rsid w:val="00EC23D8"/>
    <w:rsid w:val="00EC25BB"/>
    <w:rsid w:val="00EC2FAC"/>
    <w:rsid w:val="00EC349A"/>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0C46"/>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26D"/>
    <w:rsid w:val="00EE23BC"/>
    <w:rsid w:val="00EE24E1"/>
    <w:rsid w:val="00EE25D9"/>
    <w:rsid w:val="00EE2876"/>
    <w:rsid w:val="00EE2F1A"/>
    <w:rsid w:val="00EE3458"/>
    <w:rsid w:val="00EE36D8"/>
    <w:rsid w:val="00EE37BA"/>
    <w:rsid w:val="00EE3E87"/>
    <w:rsid w:val="00EE433B"/>
    <w:rsid w:val="00EE434D"/>
    <w:rsid w:val="00EE46D0"/>
    <w:rsid w:val="00EE476D"/>
    <w:rsid w:val="00EE49A6"/>
    <w:rsid w:val="00EE4C73"/>
    <w:rsid w:val="00EE4F2E"/>
    <w:rsid w:val="00EE514F"/>
    <w:rsid w:val="00EE54C6"/>
    <w:rsid w:val="00EE5562"/>
    <w:rsid w:val="00EE59FC"/>
    <w:rsid w:val="00EE5ACC"/>
    <w:rsid w:val="00EE5C23"/>
    <w:rsid w:val="00EE6462"/>
    <w:rsid w:val="00EE6780"/>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8E5"/>
    <w:rsid w:val="00EF5EC9"/>
    <w:rsid w:val="00EF60DA"/>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5E2"/>
    <w:rsid w:val="00F04731"/>
    <w:rsid w:val="00F0481B"/>
    <w:rsid w:val="00F04D9B"/>
    <w:rsid w:val="00F05533"/>
    <w:rsid w:val="00F0588E"/>
    <w:rsid w:val="00F05AB2"/>
    <w:rsid w:val="00F05AB5"/>
    <w:rsid w:val="00F05BC9"/>
    <w:rsid w:val="00F05F1C"/>
    <w:rsid w:val="00F0608B"/>
    <w:rsid w:val="00F0659C"/>
    <w:rsid w:val="00F065FA"/>
    <w:rsid w:val="00F06776"/>
    <w:rsid w:val="00F06CDD"/>
    <w:rsid w:val="00F06D5D"/>
    <w:rsid w:val="00F103ED"/>
    <w:rsid w:val="00F10A31"/>
    <w:rsid w:val="00F1139F"/>
    <w:rsid w:val="00F113DC"/>
    <w:rsid w:val="00F11629"/>
    <w:rsid w:val="00F116E1"/>
    <w:rsid w:val="00F11AA5"/>
    <w:rsid w:val="00F11E55"/>
    <w:rsid w:val="00F11F89"/>
    <w:rsid w:val="00F1210C"/>
    <w:rsid w:val="00F127C6"/>
    <w:rsid w:val="00F128DE"/>
    <w:rsid w:val="00F129A2"/>
    <w:rsid w:val="00F12AF2"/>
    <w:rsid w:val="00F12B5D"/>
    <w:rsid w:val="00F12DF4"/>
    <w:rsid w:val="00F13400"/>
    <w:rsid w:val="00F13708"/>
    <w:rsid w:val="00F1411B"/>
    <w:rsid w:val="00F148AE"/>
    <w:rsid w:val="00F149A9"/>
    <w:rsid w:val="00F149EC"/>
    <w:rsid w:val="00F14C07"/>
    <w:rsid w:val="00F14C0C"/>
    <w:rsid w:val="00F14CD6"/>
    <w:rsid w:val="00F14CF7"/>
    <w:rsid w:val="00F14EB1"/>
    <w:rsid w:val="00F154D7"/>
    <w:rsid w:val="00F1559C"/>
    <w:rsid w:val="00F1585C"/>
    <w:rsid w:val="00F15CEA"/>
    <w:rsid w:val="00F15FFE"/>
    <w:rsid w:val="00F16901"/>
    <w:rsid w:val="00F16B69"/>
    <w:rsid w:val="00F16FA4"/>
    <w:rsid w:val="00F17085"/>
    <w:rsid w:val="00F170D8"/>
    <w:rsid w:val="00F17267"/>
    <w:rsid w:val="00F17553"/>
    <w:rsid w:val="00F20697"/>
    <w:rsid w:val="00F20B66"/>
    <w:rsid w:val="00F20C05"/>
    <w:rsid w:val="00F20DA4"/>
    <w:rsid w:val="00F2111B"/>
    <w:rsid w:val="00F211C9"/>
    <w:rsid w:val="00F21448"/>
    <w:rsid w:val="00F215D1"/>
    <w:rsid w:val="00F21C0B"/>
    <w:rsid w:val="00F21DC0"/>
    <w:rsid w:val="00F2210C"/>
    <w:rsid w:val="00F227EB"/>
    <w:rsid w:val="00F22C32"/>
    <w:rsid w:val="00F22F2A"/>
    <w:rsid w:val="00F23087"/>
    <w:rsid w:val="00F231FB"/>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0E1"/>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12E"/>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2946"/>
    <w:rsid w:val="00F42AB8"/>
    <w:rsid w:val="00F4311B"/>
    <w:rsid w:val="00F43206"/>
    <w:rsid w:val="00F4322A"/>
    <w:rsid w:val="00F4343F"/>
    <w:rsid w:val="00F435B6"/>
    <w:rsid w:val="00F436BB"/>
    <w:rsid w:val="00F43849"/>
    <w:rsid w:val="00F4392C"/>
    <w:rsid w:val="00F4452C"/>
    <w:rsid w:val="00F447B5"/>
    <w:rsid w:val="00F448F9"/>
    <w:rsid w:val="00F44EC7"/>
    <w:rsid w:val="00F44F4A"/>
    <w:rsid w:val="00F452E7"/>
    <w:rsid w:val="00F4596E"/>
    <w:rsid w:val="00F45E3F"/>
    <w:rsid w:val="00F46502"/>
    <w:rsid w:val="00F4670C"/>
    <w:rsid w:val="00F467C0"/>
    <w:rsid w:val="00F47987"/>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4DC"/>
    <w:rsid w:val="00F5253A"/>
    <w:rsid w:val="00F5325B"/>
    <w:rsid w:val="00F53585"/>
    <w:rsid w:val="00F53AF0"/>
    <w:rsid w:val="00F53C00"/>
    <w:rsid w:val="00F54084"/>
    <w:rsid w:val="00F544DD"/>
    <w:rsid w:val="00F54A32"/>
    <w:rsid w:val="00F54F4F"/>
    <w:rsid w:val="00F552F9"/>
    <w:rsid w:val="00F55337"/>
    <w:rsid w:val="00F55BB0"/>
    <w:rsid w:val="00F55F0A"/>
    <w:rsid w:val="00F560C8"/>
    <w:rsid w:val="00F562DF"/>
    <w:rsid w:val="00F5636E"/>
    <w:rsid w:val="00F5652C"/>
    <w:rsid w:val="00F568F6"/>
    <w:rsid w:val="00F56BEF"/>
    <w:rsid w:val="00F57491"/>
    <w:rsid w:val="00F5783D"/>
    <w:rsid w:val="00F57843"/>
    <w:rsid w:val="00F578D7"/>
    <w:rsid w:val="00F57C49"/>
    <w:rsid w:val="00F57D6B"/>
    <w:rsid w:val="00F608A9"/>
    <w:rsid w:val="00F609BF"/>
    <w:rsid w:val="00F60A98"/>
    <w:rsid w:val="00F60FD9"/>
    <w:rsid w:val="00F614E1"/>
    <w:rsid w:val="00F618C5"/>
    <w:rsid w:val="00F619E0"/>
    <w:rsid w:val="00F61A38"/>
    <w:rsid w:val="00F61B4D"/>
    <w:rsid w:val="00F61B54"/>
    <w:rsid w:val="00F61DA2"/>
    <w:rsid w:val="00F622E5"/>
    <w:rsid w:val="00F626FF"/>
    <w:rsid w:val="00F62A13"/>
    <w:rsid w:val="00F63036"/>
    <w:rsid w:val="00F6380C"/>
    <w:rsid w:val="00F63E23"/>
    <w:rsid w:val="00F64675"/>
    <w:rsid w:val="00F647C8"/>
    <w:rsid w:val="00F647E4"/>
    <w:rsid w:val="00F64D24"/>
    <w:rsid w:val="00F64E0F"/>
    <w:rsid w:val="00F65102"/>
    <w:rsid w:val="00F652AD"/>
    <w:rsid w:val="00F652B8"/>
    <w:rsid w:val="00F653D1"/>
    <w:rsid w:val="00F6577C"/>
    <w:rsid w:val="00F65D31"/>
    <w:rsid w:val="00F666A7"/>
    <w:rsid w:val="00F66A2E"/>
    <w:rsid w:val="00F66AE3"/>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1E"/>
    <w:rsid w:val="00F72F11"/>
    <w:rsid w:val="00F72F51"/>
    <w:rsid w:val="00F733A2"/>
    <w:rsid w:val="00F73999"/>
    <w:rsid w:val="00F739F6"/>
    <w:rsid w:val="00F73AB3"/>
    <w:rsid w:val="00F73AB7"/>
    <w:rsid w:val="00F7566A"/>
    <w:rsid w:val="00F7592F"/>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78E"/>
    <w:rsid w:val="00F86E16"/>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2AB2"/>
    <w:rsid w:val="00F9308E"/>
    <w:rsid w:val="00F932BC"/>
    <w:rsid w:val="00F93740"/>
    <w:rsid w:val="00F938D1"/>
    <w:rsid w:val="00F9404B"/>
    <w:rsid w:val="00F9493C"/>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8B"/>
    <w:rsid w:val="00FA087D"/>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61EE"/>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271"/>
    <w:rsid w:val="00FB3935"/>
    <w:rsid w:val="00FB3B49"/>
    <w:rsid w:val="00FB4250"/>
    <w:rsid w:val="00FB440D"/>
    <w:rsid w:val="00FB4497"/>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608"/>
    <w:rsid w:val="00FB77DE"/>
    <w:rsid w:val="00FC0251"/>
    <w:rsid w:val="00FC0440"/>
    <w:rsid w:val="00FC05D8"/>
    <w:rsid w:val="00FC1102"/>
    <w:rsid w:val="00FC16AD"/>
    <w:rsid w:val="00FC1F94"/>
    <w:rsid w:val="00FC28B6"/>
    <w:rsid w:val="00FC2E23"/>
    <w:rsid w:val="00FC3241"/>
    <w:rsid w:val="00FC341F"/>
    <w:rsid w:val="00FC374E"/>
    <w:rsid w:val="00FC3BB3"/>
    <w:rsid w:val="00FC3ED9"/>
    <w:rsid w:val="00FC4018"/>
    <w:rsid w:val="00FC48E6"/>
    <w:rsid w:val="00FC501B"/>
    <w:rsid w:val="00FC5443"/>
    <w:rsid w:val="00FC54D5"/>
    <w:rsid w:val="00FC5910"/>
    <w:rsid w:val="00FC605C"/>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FCC"/>
    <w:rsid w:val="00FD522F"/>
    <w:rsid w:val="00FD544C"/>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EA"/>
    <w:rsid w:val="00FF3F18"/>
    <w:rsid w:val="00FF3F6C"/>
    <w:rsid w:val="00FF4169"/>
    <w:rsid w:val="00FF42CC"/>
    <w:rsid w:val="00FF4B56"/>
    <w:rsid w:val="00FF4D79"/>
    <w:rsid w:val="00FF4FD5"/>
    <w:rsid w:val="00FF54DB"/>
    <w:rsid w:val="00FF57C0"/>
    <w:rsid w:val="00FF582B"/>
    <w:rsid w:val="00FF5899"/>
    <w:rsid w:val="00FF5C50"/>
    <w:rsid w:val="00FF6702"/>
    <w:rsid w:val="00FF6822"/>
    <w:rsid w:val="00FF7188"/>
    <w:rsid w:val="00FF729A"/>
    <w:rsid w:val="00FF72DC"/>
    <w:rsid w:val="00FF750F"/>
    <w:rsid w:val="00FF76DE"/>
    <w:rsid w:val="00FF7785"/>
    <w:rsid w:val="00FF79FE"/>
    <w:rsid w:val="014B5628"/>
    <w:rsid w:val="01F16DA1"/>
    <w:rsid w:val="0333E670"/>
    <w:rsid w:val="0391CE23"/>
    <w:rsid w:val="041D209C"/>
    <w:rsid w:val="043128A1"/>
    <w:rsid w:val="043C57EC"/>
    <w:rsid w:val="04BB11A1"/>
    <w:rsid w:val="058FA7A4"/>
    <w:rsid w:val="06005FEE"/>
    <w:rsid w:val="06E8C1BB"/>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CEE1BE"/>
    <w:rsid w:val="25DC6844"/>
    <w:rsid w:val="264A2EC2"/>
    <w:rsid w:val="270E0195"/>
    <w:rsid w:val="270F01A9"/>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9DD7DC"/>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95BF0B"/>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B84FBA"/>
    <w:rsid w:val="7BCAB92A"/>
    <w:rsid w:val="7C75D6B7"/>
    <w:rsid w:val="7CA6067A"/>
    <w:rsid w:val="7CEAA494"/>
    <w:rsid w:val="7D6B94DB"/>
    <w:rsid w:val="7DABE52D"/>
    <w:rsid w:val="7E0CF8FB"/>
    <w:rsid w:val="7EC929A2"/>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30E"/>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31276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73190633">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47385782">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75239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56908543">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u/resources/publications/arsr-30-december-2024-26-january-20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6AF2F-18BE-498A-B914-71AC86C7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4139</Words>
  <Characters>22768</Characters>
  <Application>Microsoft Office Word</Application>
  <DocSecurity>0</DocSecurity>
  <Lines>494</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2026-01-29T00:12:00Z</dcterms:created>
  <dcterms:modified xsi:type="dcterms:W3CDTF">2026-01-29T00:12:00Z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4b5d0799,113a4cc4,347b43f5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7fcdf249,36da5257,7d70ea02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2026-01-29T00:12:24Z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61bfec61-e5c9-4d4a-b142-c105a4cffbcc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