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804E" w14:textId="353DBE45" w:rsidR="00E63C8A" w:rsidRDefault="00E63C8A" w:rsidP="00C12F59">
      <w:pPr>
        <w:jc w:val="center"/>
        <w:rPr>
          <w:rFonts w:asciiTheme="minorHAnsi" w:hAnsiTheme="minorHAnsi" w:cstheme="minorHAnsi"/>
          <w:b/>
          <w:bCs/>
          <w:sz w:val="36"/>
          <w:szCs w:val="36"/>
        </w:rPr>
      </w:pPr>
      <w:r w:rsidRPr="00C12F59">
        <w:rPr>
          <w:rFonts w:asciiTheme="minorHAnsi" w:hAnsiTheme="minorHAnsi" w:cstheme="minorHAnsi"/>
          <w:b/>
          <w:bCs/>
          <w:sz w:val="36"/>
          <w:szCs w:val="36"/>
        </w:rPr>
        <w:t>OUTCOME STATEMENT</w:t>
      </w:r>
    </w:p>
    <w:p w14:paraId="737A003B" w14:textId="6F48A2ED" w:rsidR="00C12F59" w:rsidRPr="00C12F59" w:rsidRDefault="00C12F59" w:rsidP="00C12F59">
      <w:pPr>
        <w:jc w:val="center"/>
        <w:rPr>
          <w:rFonts w:asciiTheme="minorHAnsi" w:hAnsiTheme="minorHAnsi" w:cstheme="minorHAnsi"/>
          <w:b/>
          <w:bCs/>
          <w:sz w:val="36"/>
          <w:szCs w:val="36"/>
        </w:rPr>
      </w:pPr>
      <w:r>
        <w:rPr>
          <w:rFonts w:asciiTheme="minorHAnsi" w:hAnsiTheme="minorHAnsi" w:cstheme="minorHAnsi"/>
          <w:b/>
          <w:bCs/>
          <w:sz w:val="36"/>
          <w:szCs w:val="36"/>
        </w:rPr>
        <w:t>COVID-19 ORAL TREATMENT RESTRICTIONS</w:t>
      </w:r>
    </w:p>
    <w:p w14:paraId="537B3149" w14:textId="509F480C" w:rsidR="00E63C8A" w:rsidRPr="00C12F59" w:rsidRDefault="00E63C8A">
      <w:pPr>
        <w:rPr>
          <w:rFonts w:asciiTheme="minorHAnsi" w:hAnsiTheme="minorHAnsi" w:cstheme="minorHAnsi"/>
          <w:b/>
          <w:bCs/>
        </w:rPr>
      </w:pPr>
      <w:r w:rsidRPr="00C12F59">
        <w:rPr>
          <w:rFonts w:asciiTheme="minorHAnsi" w:hAnsiTheme="minorHAnsi" w:cstheme="minorHAnsi"/>
          <w:b/>
          <w:bCs/>
        </w:rPr>
        <w:t>MOLNUPIRAVIR, Capsule 200</w:t>
      </w:r>
      <w:r w:rsidR="00C12F59">
        <w:rPr>
          <w:rFonts w:asciiTheme="minorHAnsi" w:hAnsiTheme="minorHAnsi" w:cstheme="minorHAnsi"/>
          <w:b/>
          <w:bCs/>
        </w:rPr>
        <w:t> </w:t>
      </w:r>
      <w:r w:rsidRPr="00C12F59">
        <w:rPr>
          <w:rFonts w:asciiTheme="minorHAnsi" w:hAnsiTheme="minorHAnsi" w:cstheme="minorHAnsi"/>
          <w:b/>
          <w:bCs/>
        </w:rPr>
        <w:t>mg, Lagevrio</w:t>
      </w:r>
      <w:r w:rsidRPr="00C12F59">
        <w:rPr>
          <w:rFonts w:asciiTheme="minorHAnsi" w:hAnsiTheme="minorHAnsi" w:cstheme="minorHAnsi"/>
          <w:b/>
          <w:bCs/>
          <w:vertAlign w:val="superscript"/>
        </w:rPr>
        <w:t>®</w:t>
      </w:r>
      <w:r w:rsidRPr="00C12F59">
        <w:rPr>
          <w:rFonts w:asciiTheme="minorHAnsi" w:hAnsiTheme="minorHAnsi" w:cstheme="minorHAnsi"/>
          <w:b/>
          <w:bCs/>
        </w:rPr>
        <w:t>, Merck Sharp &amp; Dohme Australia Pty Ltd</w:t>
      </w:r>
    </w:p>
    <w:p w14:paraId="381EAE96" w14:textId="385C568C" w:rsidR="00E63C8A" w:rsidRPr="00C12F59" w:rsidRDefault="00E63C8A">
      <w:pPr>
        <w:rPr>
          <w:rFonts w:asciiTheme="minorHAnsi" w:hAnsiTheme="minorHAnsi" w:cstheme="minorHAnsi"/>
          <w:b/>
          <w:bCs/>
        </w:rPr>
      </w:pPr>
      <w:r w:rsidRPr="00C12F59">
        <w:rPr>
          <w:rFonts w:asciiTheme="minorHAnsi" w:hAnsiTheme="minorHAnsi" w:cstheme="minorHAnsi"/>
          <w:b/>
          <w:bCs/>
        </w:rPr>
        <w:t>NIRMATRELVIR AND RITONAVIR, Pack containing 4 tablets nirmatrelvir 150 mg and 2 tablets ritonavir 100</w:t>
      </w:r>
      <w:r w:rsidR="00C12F59">
        <w:rPr>
          <w:rFonts w:asciiTheme="minorHAnsi" w:hAnsiTheme="minorHAnsi" w:cstheme="minorHAnsi"/>
          <w:b/>
          <w:bCs/>
        </w:rPr>
        <w:t> </w:t>
      </w:r>
      <w:r w:rsidRPr="00C12F59">
        <w:rPr>
          <w:rFonts w:asciiTheme="minorHAnsi" w:hAnsiTheme="minorHAnsi" w:cstheme="minorHAnsi"/>
          <w:b/>
          <w:bCs/>
        </w:rPr>
        <w:t>mg, 5, Paxlovid</w:t>
      </w:r>
      <w:r w:rsidRPr="00C12F59">
        <w:rPr>
          <w:rFonts w:asciiTheme="minorHAnsi" w:hAnsiTheme="minorHAnsi" w:cstheme="minorHAnsi"/>
          <w:b/>
          <w:bCs/>
          <w:vertAlign w:val="superscript"/>
        </w:rPr>
        <w:t>®</w:t>
      </w:r>
      <w:r w:rsidRPr="00C12F59">
        <w:rPr>
          <w:rFonts w:asciiTheme="minorHAnsi" w:hAnsiTheme="minorHAnsi" w:cstheme="minorHAnsi"/>
          <w:b/>
          <w:bCs/>
        </w:rPr>
        <w:t>, Department of Health (Commonwealth)</w:t>
      </w:r>
    </w:p>
    <w:p w14:paraId="4391E0E6" w14:textId="77777777" w:rsidR="00C12F59" w:rsidRDefault="00C12F59">
      <w:pPr>
        <w:rPr>
          <w:rFonts w:asciiTheme="minorHAnsi" w:hAnsiTheme="minorHAnsi" w:cstheme="minorHAnsi"/>
        </w:rPr>
      </w:pPr>
    </w:p>
    <w:p w14:paraId="0E60232A" w14:textId="407E2D05" w:rsidR="008369CC" w:rsidRPr="00C12F59" w:rsidRDefault="00E63C8A">
      <w:pPr>
        <w:rPr>
          <w:rFonts w:asciiTheme="minorHAnsi" w:hAnsiTheme="minorHAnsi" w:cstheme="minorHAnsi"/>
        </w:rPr>
      </w:pPr>
      <w:r w:rsidRPr="00C12F59">
        <w:rPr>
          <w:rFonts w:asciiTheme="minorHAnsi" w:hAnsiTheme="minorHAnsi" w:cstheme="minorHAnsi"/>
        </w:rPr>
        <w:t>The Pharmaceutical Benefits Advisory Committee (PBAC)</w:t>
      </w:r>
      <w:r w:rsidR="00174F70" w:rsidRPr="00C12F59">
        <w:rPr>
          <w:rFonts w:asciiTheme="minorHAnsi" w:hAnsiTheme="minorHAnsi" w:cstheme="minorHAnsi"/>
        </w:rPr>
        <w:t xml:space="preserve"> </w:t>
      </w:r>
      <w:r w:rsidRPr="00C12F59">
        <w:rPr>
          <w:rFonts w:asciiTheme="minorHAnsi" w:hAnsiTheme="minorHAnsi" w:cstheme="minorHAnsi"/>
        </w:rPr>
        <w:t xml:space="preserve">recommended changes to the </w:t>
      </w:r>
      <w:r w:rsidR="00174F70" w:rsidRPr="00C12F59">
        <w:rPr>
          <w:rFonts w:asciiTheme="minorHAnsi" w:hAnsiTheme="minorHAnsi" w:cstheme="minorHAnsi"/>
        </w:rPr>
        <w:t>Pharmaceutical Benefits Scheme (</w:t>
      </w:r>
      <w:r w:rsidRPr="00C12F59">
        <w:rPr>
          <w:rFonts w:asciiTheme="minorHAnsi" w:hAnsiTheme="minorHAnsi" w:cstheme="minorHAnsi"/>
        </w:rPr>
        <w:t>PBS</w:t>
      </w:r>
      <w:r w:rsidR="00174F70" w:rsidRPr="00C12F59">
        <w:rPr>
          <w:rFonts w:asciiTheme="minorHAnsi" w:hAnsiTheme="minorHAnsi" w:cstheme="minorHAnsi"/>
        </w:rPr>
        <w:t>)</w:t>
      </w:r>
      <w:r w:rsidRPr="00C12F59">
        <w:rPr>
          <w:rFonts w:asciiTheme="minorHAnsi" w:hAnsiTheme="minorHAnsi" w:cstheme="minorHAnsi"/>
        </w:rPr>
        <w:t xml:space="preserve"> eligibility criteria for both </w:t>
      </w:r>
      <w:r w:rsidR="00174F70" w:rsidRPr="00C12F59">
        <w:rPr>
          <w:rFonts w:asciiTheme="minorHAnsi" w:hAnsiTheme="minorHAnsi" w:cstheme="minorHAnsi"/>
        </w:rPr>
        <w:t>molnupiravir (Lagevrio</w:t>
      </w:r>
      <w:r w:rsidR="00174F70" w:rsidRPr="00C12F59">
        <w:rPr>
          <w:rFonts w:asciiTheme="minorHAnsi" w:hAnsiTheme="minorHAnsi" w:cstheme="minorHAnsi"/>
          <w:vertAlign w:val="superscript"/>
        </w:rPr>
        <w:t>®</w:t>
      </w:r>
      <w:r w:rsidR="00174F70" w:rsidRPr="00C12F59">
        <w:rPr>
          <w:rFonts w:asciiTheme="minorHAnsi" w:hAnsiTheme="minorHAnsi" w:cstheme="minorHAnsi"/>
        </w:rPr>
        <w:t>) and nirmatrelvir and ritonavir (Paxlovid</w:t>
      </w:r>
      <w:r w:rsidR="00174F70" w:rsidRPr="00C12F59">
        <w:rPr>
          <w:rFonts w:asciiTheme="minorHAnsi" w:hAnsiTheme="minorHAnsi" w:cstheme="minorHAnsi"/>
          <w:vertAlign w:val="superscript"/>
        </w:rPr>
        <w:t>®</w:t>
      </w:r>
      <w:r w:rsidR="00174F70" w:rsidRPr="00C12F59">
        <w:rPr>
          <w:rFonts w:asciiTheme="minorHAnsi" w:hAnsiTheme="minorHAnsi" w:cstheme="minorHAnsi"/>
        </w:rPr>
        <w:t>)</w:t>
      </w:r>
      <w:r w:rsidR="008369CC" w:rsidRPr="00C12F59">
        <w:rPr>
          <w:rFonts w:asciiTheme="minorHAnsi" w:hAnsiTheme="minorHAnsi" w:cstheme="minorHAnsi"/>
        </w:rPr>
        <w:t xml:space="preserve">, in the light of current understanding of the evidence for effectiveness and safety of these medicines, recent </w:t>
      </w:r>
      <w:r w:rsidR="009707BE" w:rsidRPr="00C12F59">
        <w:rPr>
          <w:rFonts w:asciiTheme="minorHAnsi" w:hAnsiTheme="minorHAnsi" w:cstheme="minorHAnsi"/>
        </w:rPr>
        <w:t xml:space="preserve">PBS </w:t>
      </w:r>
      <w:r w:rsidR="008369CC" w:rsidRPr="00C12F59">
        <w:rPr>
          <w:rFonts w:asciiTheme="minorHAnsi" w:hAnsiTheme="minorHAnsi" w:cstheme="minorHAnsi"/>
        </w:rPr>
        <w:t>utilisation patterns, and the changing epidemiology of COVID-19.</w:t>
      </w:r>
    </w:p>
    <w:p w14:paraId="0A3E3AE7" w14:textId="4FD1BA38" w:rsidR="008369CC" w:rsidRPr="00DF1E04" w:rsidRDefault="008369CC" w:rsidP="00DF1E04">
      <w:pPr>
        <w:rPr>
          <w:rFonts w:asciiTheme="minorHAnsi" w:hAnsiTheme="minorHAnsi" w:cstheme="minorHAnsi"/>
        </w:rPr>
      </w:pPr>
      <w:r w:rsidRPr="00C12F59">
        <w:rPr>
          <w:rFonts w:asciiTheme="minorHAnsi" w:hAnsiTheme="minorHAnsi" w:cstheme="minorHAnsi"/>
        </w:rPr>
        <w:t>The PBAC recommended that treatment be provided as a General Schedule, Authority Required (Streamlined) benefit for the following groups of patients with COVID-19 disease not requiring supplemental oxygen for their COVID-19 and where treatment is commenced within 5 days of the onset of signs/symptoms</w:t>
      </w:r>
      <w:r w:rsidR="00A9452F">
        <w:rPr>
          <w:rFonts w:asciiTheme="minorHAnsi" w:hAnsiTheme="minorHAnsi" w:cstheme="minorHAnsi"/>
        </w:rPr>
        <w:t xml:space="preserve"> for</w:t>
      </w:r>
      <w:r w:rsidRPr="00C12F59">
        <w:rPr>
          <w:rFonts w:asciiTheme="minorHAnsi" w:hAnsiTheme="minorHAnsi" w:cstheme="minorHAnsi"/>
        </w:rPr>
        <w:t>:</w:t>
      </w:r>
    </w:p>
    <w:p w14:paraId="6B785252" w14:textId="5D465ACD" w:rsidR="008369CC" w:rsidRPr="00C12F59" w:rsidRDefault="008369CC" w:rsidP="008369CC">
      <w:pPr>
        <w:pStyle w:val="ListParagraph"/>
        <w:numPr>
          <w:ilvl w:val="0"/>
          <w:numId w:val="1"/>
        </w:numPr>
        <w:rPr>
          <w:rFonts w:asciiTheme="minorHAnsi" w:hAnsiTheme="minorHAnsi" w:cstheme="minorHAnsi"/>
        </w:rPr>
      </w:pPr>
      <w:r w:rsidRPr="00C12F59">
        <w:rPr>
          <w:rFonts w:asciiTheme="minorHAnsi" w:hAnsiTheme="minorHAnsi" w:cstheme="minorHAnsi"/>
        </w:rPr>
        <w:t>People 50 years of age or older, with two additional risk factors for developing severe disease;</w:t>
      </w:r>
    </w:p>
    <w:p w14:paraId="6F1654F1" w14:textId="1D3BF592" w:rsidR="008369CC" w:rsidRPr="00C12F59" w:rsidRDefault="008369CC" w:rsidP="008369CC">
      <w:pPr>
        <w:pStyle w:val="ListParagraph"/>
        <w:numPr>
          <w:ilvl w:val="0"/>
          <w:numId w:val="1"/>
        </w:numPr>
        <w:rPr>
          <w:rFonts w:asciiTheme="minorHAnsi" w:hAnsiTheme="minorHAnsi" w:cstheme="minorHAnsi"/>
        </w:rPr>
      </w:pPr>
      <w:r w:rsidRPr="00C12F59">
        <w:rPr>
          <w:rFonts w:asciiTheme="minorHAnsi" w:hAnsiTheme="minorHAnsi" w:cstheme="minorHAnsi"/>
        </w:rPr>
        <w:t>People 30 years of age or older, identifying as Aboriginal or Torres Strait Islander, with two additional risk factors for developing severe disease; and</w:t>
      </w:r>
    </w:p>
    <w:p w14:paraId="20489152" w14:textId="0FEFC624" w:rsidR="008369CC" w:rsidRPr="00C12F59" w:rsidRDefault="008369CC" w:rsidP="008369CC">
      <w:pPr>
        <w:pStyle w:val="ListParagraph"/>
        <w:numPr>
          <w:ilvl w:val="0"/>
          <w:numId w:val="1"/>
        </w:numPr>
        <w:rPr>
          <w:rFonts w:asciiTheme="minorHAnsi" w:hAnsiTheme="minorHAnsi" w:cstheme="minorHAnsi"/>
        </w:rPr>
      </w:pPr>
      <w:r w:rsidRPr="00C12F59">
        <w:rPr>
          <w:rFonts w:asciiTheme="minorHAnsi" w:hAnsiTheme="minorHAnsi" w:cstheme="minorHAnsi"/>
        </w:rPr>
        <w:t>People 18 years of age or older, with moderate to severe immunocompromise</w:t>
      </w:r>
      <w:r w:rsidR="00A9452F">
        <w:rPr>
          <w:rFonts w:asciiTheme="minorHAnsi" w:hAnsiTheme="minorHAnsi" w:cstheme="minorHAnsi"/>
        </w:rPr>
        <w:t>;</w:t>
      </w:r>
    </w:p>
    <w:p w14:paraId="7F4BB3FF" w14:textId="7AEBB7A6" w:rsidR="007E7B89" w:rsidRPr="007E7B89" w:rsidRDefault="007E7B89" w:rsidP="007E7B89">
      <w:pPr>
        <w:rPr>
          <w:rFonts w:asciiTheme="minorHAnsi" w:hAnsiTheme="minorHAnsi" w:cstheme="minorHAnsi"/>
          <w:lang w:val="en-US"/>
        </w:rPr>
      </w:pPr>
      <w:bookmarkStart w:id="0" w:name="_Hlk108110155"/>
      <w:r w:rsidRPr="007E7B89">
        <w:rPr>
          <w:rFonts w:asciiTheme="minorHAnsi" w:hAnsiTheme="minorHAnsi" w:cstheme="minorHAnsi"/>
          <w:lang w:val="en-US"/>
        </w:rPr>
        <w:t>and where treatment is commenced within 5 days of the onset of symptoms, or treatment is initiated as soon as possible after diagnosis is confirmed where asymptomatic</w:t>
      </w:r>
      <w:r w:rsidR="001F541D">
        <w:rPr>
          <w:rFonts w:asciiTheme="minorHAnsi" w:hAnsiTheme="minorHAnsi" w:cstheme="minorHAnsi"/>
          <w:lang w:val="en-US"/>
        </w:rPr>
        <w:t>,</w:t>
      </w:r>
      <w:r w:rsidRPr="007E7B89">
        <w:rPr>
          <w:rFonts w:asciiTheme="minorHAnsi" w:hAnsiTheme="minorHAnsi" w:cstheme="minorHAnsi"/>
          <w:lang w:val="en-US"/>
        </w:rPr>
        <w:t xml:space="preserve"> for:</w:t>
      </w:r>
    </w:p>
    <w:bookmarkEnd w:id="0"/>
    <w:p w14:paraId="164543C3" w14:textId="77777777" w:rsidR="007E7B89" w:rsidRPr="007E7B89" w:rsidRDefault="007E7B89" w:rsidP="007E7B89">
      <w:pPr>
        <w:numPr>
          <w:ilvl w:val="0"/>
          <w:numId w:val="1"/>
        </w:numPr>
        <w:rPr>
          <w:rFonts w:asciiTheme="minorHAnsi" w:hAnsiTheme="minorHAnsi" w:cstheme="minorHAnsi"/>
          <w:lang w:val="en-US"/>
        </w:rPr>
      </w:pPr>
      <w:r w:rsidRPr="007E7B89">
        <w:rPr>
          <w:rFonts w:asciiTheme="minorHAnsi" w:hAnsiTheme="minorHAnsi" w:cstheme="minorHAnsi"/>
          <w:lang w:val="en-US"/>
        </w:rPr>
        <w:t>People 70 years of age or older.</w:t>
      </w:r>
    </w:p>
    <w:p w14:paraId="0027D4E4" w14:textId="2CEDB038" w:rsidR="00E273C6" w:rsidRPr="00C12F59" w:rsidRDefault="009707BE">
      <w:pPr>
        <w:rPr>
          <w:rFonts w:asciiTheme="minorHAnsi" w:hAnsiTheme="minorHAnsi" w:cstheme="minorHAnsi"/>
        </w:rPr>
      </w:pPr>
      <w:r w:rsidRPr="00C12F59">
        <w:rPr>
          <w:rFonts w:asciiTheme="minorHAnsi" w:hAnsiTheme="minorHAnsi" w:cstheme="minorHAnsi"/>
        </w:rPr>
        <w:t>The PBAC</w:t>
      </w:r>
      <w:r w:rsidR="004317F3" w:rsidRPr="00C12F59">
        <w:rPr>
          <w:rFonts w:asciiTheme="minorHAnsi" w:hAnsiTheme="minorHAnsi" w:cstheme="minorHAnsi"/>
        </w:rPr>
        <w:t xml:space="preserve"> recommended changes to </w:t>
      </w:r>
      <w:r w:rsidR="007216F7" w:rsidRPr="00C12F59">
        <w:rPr>
          <w:rFonts w:asciiTheme="minorHAnsi" w:hAnsiTheme="minorHAnsi" w:cstheme="minorHAnsi"/>
        </w:rPr>
        <w:t xml:space="preserve">the </w:t>
      </w:r>
      <w:r w:rsidR="004317F3" w:rsidRPr="00C12F59">
        <w:rPr>
          <w:rFonts w:asciiTheme="minorHAnsi" w:hAnsiTheme="minorHAnsi" w:cstheme="minorHAnsi"/>
        </w:rPr>
        <w:t>list</w:t>
      </w:r>
      <w:r w:rsidR="007216F7" w:rsidRPr="00C12F59">
        <w:rPr>
          <w:rFonts w:asciiTheme="minorHAnsi" w:hAnsiTheme="minorHAnsi" w:cstheme="minorHAnsi"/>
        </w:rPr>
        <w:t xml:space="preserve"> of conditions that define high risk for developing severe disease</w:t>
      </w:r>
      <w:r w:rsidR="0031473A" w:rsidRPr="00C12F59">
        <w:rPr>
          <w:rFonts w:asciiTheme="minorHAnsi" w:hAnsiTheme="minorHAnsi" w:cstheme="minorHAnsi"/>
        </w:rPr>
        <w:t>, including clarification and/or expansion of eligibility in relation to respiratory, cardiac, and neurological co-morbidity</w:t>
      </w:r>
      <w:r w:rsidR="004317F3" w:rsidRPr="00C12F59">
        <w:rPr>
          <w:rFonts w:asciiTheme="minorHAnsi" w:hAnsiTheme="minorHAnsi" w:cstheme="minorHAnsi"/>
        </w:rPr>
        <w:t xml:space="preserve">. The PBAC acknowledged that a large majority of Australian adults </w:t>
      </w:r>
      <w:r w:rsidR="00955130" w:rsidRPr="00C12F59">
        <w:rPr>
          <w:rFonts w:asciiTheme="minorHAnsi" w:hAnsiTheme="minorHAnsi" w:cstheme="minorHAnsi"/>
        </w:rPr>
        <w:t xml:space="preserve">have </w:t>
      </w:r>
      <w:r w:rsidR="004317F3" w:rsidRPr="00C12F59">
        <w:rPr>
          <w:rFonts w:asciiTheme="minorHAnsi" w:hAnsiTheme="minorHAnsi" w:cstheme="minorHAnsi"/>
        </w:rPr>
        <w:t xml:space="preserve">received more than one COVID-19 vaccination, and recommended that </w:t>
      </w:r>
      <w:r w:rsidRPr="00C12F59">
        <w:rPr>
          <w:rFonts w:asciiTheme="minorHAnsi" w:hAnsiTheme="minorHAnsi" w:cstheme="minorHAnsi"/>
        </w:rPr>
        <w:t>the current condition ‘patient has received less than 2 doses of SARS-CoV-2 vaccine’</w:t>
      </w:r>
      <w:r w:rsidR="004317F3" w:rsidRPr="00C12F59">
        <w:rPr>
          <w:rFonts w:asciiTheme="minorHAnsi" w:hAnsiTheme="minorHAnsi" w:cstheme="minorHAnsi"/>
        </w:rPr>
        <w:t xml:space="preserve"> no longer </w:t>
      </w:r>
      <w:r w:rsidRPr="00C12F59">
        <w:rPr>
          <w:rFonts w:asciiTheme="minorHAnsi" w:hAnsiTheme="minorHAnsi" w:cstheme="minorHAnsi"/>
        </w:rPr>
        <w:t xml:space="preserve">need </w:t>
      </w:r>
      <w:r w:rsidR="004317F3" w:rsidRPr="00C12F59">
        <w:rPr>
          <w:rFonts w:asciiTheme="minorHAnsi" w:hAnsiTheme="minorHAnsi" w:cstheme="minorHAnsi"/>
        </w:rPr>
        <w:t>be included in the list.</w:t>
      </w:r>
    </w:p>
    <w:p w14:paraId="0749DDF0" w14:textId="26A45280" w:rsidR="004317F3" w:rsidRPr="00C12F59" w:rsidRDefault="004317F3">
      <w:pPr>
        <w:rPr>
          <w:rFonts w:asciiTheme="minorHAnsi" w:hAnsiTheme="minorHAnsi" w:cstheme="minorHAnsi"/>
        </w:rPr>
      </w:pPr>
      <w:r w:rsidRPr="00C12F59">
        <w:rPr>
          <w:rFonts w:asciiTheme="minorHAnsi" w:hAnsiTheme="minorHAnsi" w:cstheme="minorHAnsi"/>
        </w:rPr>
        <w:t xml:space="preserve">The PBAC recommended changes to </w:t>
      </w:r>
      <w:r w:rsidR="007216F7" w:rsidRPr="00C12F59">
        <w:rPr>
          <w:rFonts w:asciiTheme="minorHAnsi" w:hAnsiTheme="minorHAnsi" w:cstheme="minorHAnsi"/>
        </w:rPr>
        <w:t xml:space="preserve">the </w:t>
      </w:r>
      <w:r w:rsidRPr="00C12F59">
        <w:rPr>
          <w:rFonts w:asciiTheme="minorHAnsi" w:hAnsiTheme="minorHAnsi" w:cstheme="minorHAnsi"/>
        </w:rPr>
        <w:t>definition</w:t>
      </w:r>
      <w:r w:rsidR="007216F7" w:rsidRPr="00C12F59">
        <w:rPr>
          <w:rFonts w:asciiTheme="minorHAnsi" w:hAnsiTheme="minorHAnsi" w:cstheme="minorHAnsi"/>
        </w:rPr>
        <w:t xml:space="preserve"> of ‘moderate to severe immunocompromise</w:t>
      </w:r>
      <w:r w:rsidR="0031473A" w:rsidRPr="00C12F59">
        <w:rPr>
          <w:rFonts w:asciiTheme="minorHAnsi" w:hAnsiTheme="minorHAnsi" w:cstheme="minorHAnsi"/>
        </w:rPr>
        <w:t>,</w:t>
      </w:r>
      <w:r w:rsidR="007216F7" w:rsidRPr="00C12F59">
        <w:rPr>
          <w:rFonts w:asciiTheme="minorHAnsi" w:hAnsiTheme="minorHAnsi" w:cstheme="minorHAnsi"/>
        </w:rPr>
        <w:t>’</w:t>
      </w:r>
      <w:r w:rsidR="0031473A" w:rsidRPr="00C12F59">
        <w:rPr>
          <w:rFonts w:asciiTheme="minorHAnsi" w:hAnsiTheme="minorHAnsi" w:cstheme="minorHAnsi"/>
        </w:rPr>
        <w:t xml:space="preserve"> </w:t>
      </w:r>
      <w:r w:rsidR="007216F7" w:rsidRPr="00C12F59">
        <w:rPr>
          <w:rFonts w:asciiTheme="minorHAnsi" w:hAnsiTheme="minorHAnsi" w:cstheme="minorHAnsi"/>
        </w:rPr>
        <w:t>noting</w:t>
      </w:r>
      <w:r w:rsidR="0031473A" w:rsidRPr="00C12F59">
        <w:rPr>
          <w:rFonts w:asciiTheme="minorHAnsi" w:hAnsiTheme="minorHAnsi" w:cstheme="minorHAnsi"/>
        </w:rPr>
        <w:t xml:space="preserve"> correspondence received from the Australian Rheumatology Association in relation to </w:t>
      </w:r>
      <w:r w:rsidR="00A2726E" w:rsidRPr="00C12F59">
        <w:rPr>
          <w:rFonts w:asciiTheme="minorHAnsi" w:hAnsiTheme="minorHAnsi" w:cstheme="minorHAnsi"/>
        </w:rPr>
        <w:t xml:space="preserve">immunosuppression with use of </w:t>
      </w:r>
      <w:r w:rsidR="0031473A" w:rsidRPr="00C12F59">
        <w:rPr>
          <w:rFonts w:asciiTheme="minorHAnsi" w:hAnsiTheme="minorHAnsi" w:cstheme="minorHAnsi"/>
        </w:rPr>
        <w:t>methotrexate, azathioprine and abatacept.</w:t>
      </w:r>
    </w:p>
    <w:p w14:paraId="7298FA82" w14:textId="77777777" w:rsidR="00A9452F" w:rsidRDefault="00A9452F">
      <w:pPr>
        <w:rPr>
          <w:rFonts w:asciiTheme="minorHAnsi" w:hAnsiTheme="minorHAnsi" w:cstheme="minorHAnsi"/>
        </w:rPr>
      </w:pPr>
      <w:r>
        <w:rPr>
          <w:rFonts w:asciiTheme="minorHAnsi" w:hAnsiTheme="minorHAnsi" w:cstheme="minorHAnsi"/>
        </w:rPr>
        <w:br w:type="page"/>
      </w:r>
    </w:p>
    <w:p w14:paraId="5FBA12B1" w14:textId="13FD2C4B" w:rsidR="00C12F59" w:rsidRDefault="00E273C6">
      <w:pPr>
        <w:rPr>
          <w:rFonts w:asciiTheme="minorHAnsi" w:hAnsiTheme="minorHAnsi" w:cstheme="minorHAnsi"/>
        </w:rPr>
      </w:pPr>
      <w:r w:rsidRPr="00C12F59">
        <w:rPr>
          <w:rFonts w:asciiTheme="minorHAnsi" w:hAnsiTheme="minorHAnsi" w:cstheme="minorHAnsi"/>
        </w:rPr>
        <w:lastRenderedPageBreak/>
        <w:t xml:space="preserve">In considering the need for changes to PBS eligibility for these medicines, the PBAC also </w:t>
      </w:r>
      <w:r w:rsidR="007216F7" w:rsidRPr="00C12F59">
        <w:rPr>
          <w:rFonts w:asciiTheme="minorHAnsi" w:hAnsiTheme="minorHAnsi" w:cstheme="minorHAnsi"/>
        </w:rPr>
        <w:t>noted</w:t>
      </w:r>
      <w:r w:rsidRPr="00C12F59">
        <w:rPr>
          <w:rFonts w:asciiTheme="minorHAnsi" w:hAnsiTheme="minorHAnsi" w:cstheme="minorHAnsi"/>
        </w:rPr>
        <w:t xml:space="preserve"> correspondence from the Advisory Committee for the COVID-19 Response for People with Disability</w:t>
      </w:r>
      <w:r w:rsidR="00A2726E" w:rsidRPr="00C12F59">
        <w:rPr>
          <w:rFonts w:asciiTheme="minorHAnsi" w:hAnsiTheme="minorHAnsi" w:cstheme="minorHAnsi"/>
        </w:rPr>
        <w:t xml:space="preserve">, and from the </w:t>
      </w:r>
      <w:r w:rsidR="00955130" w:rsidRPr="00C12F59">
        <w:rPr>
          <w:rFonts w:asciiTheme="minorHAnsi" w:hAnsiTheme="minorHAnsi" w:cstheme="minorHAnsi"/>
        </w:rPr>
        <w:t xml:space="preserve">Australian Health Protection Principal Committee </w:t>
      </w:r>
      <w:r w:rsidR="00A2726E" w:rsidRPr="00C12F59">
        <w:rPr>
          <w:rFonts w:asciiTheme="minorHAnsi" w:hAnsiTheme="minorHAnsi" w:cstheme="minorHAnsi"/>
        </w:rPr>
        <w:t>Aged Care Advisory Group.</w:t>
      </w:r>
    </w:p>
    <w:p w14:paraId="3132AA2D" w14:textId="4E6DA75A" w:rsidR="00280050" w:rsidRDefault="00E63C8A">
      <w:r w:rsidRPr="00C12F59">
        <w:rPr>
          <w:rFonts w:asciiTheme="minorHAnsi" w:hAnsiTheme="minorHAnsi" w:cstheme="minorHAnsi"/>
        </w:rPr>
        <w:t xml:space="preserve">The PBAC will continue to monitor the conditions for PBS access considering new evidence for the effectiveness and safety of </w:t>
      </w:r>
      <w:r w:rsidR="009707BE" w:rsidRPr="00C12F59">
        <w:rPr>
          <w:rFonts w:asciiTheme="minorHAnsi" w:hAnsiTheme="minorHAnsi" w:cstheme="minorHAnsi"/>
        </w:rPr>
        <w:t>these medicines</w:t>
      </w:r>
      <w:r w:rsidRPr="00C12F59">
        <w:rPr>
          <w:rFonts w:asciiTheme="minorHAnsi" w:hAnsiTheme="minorHAnsi" w:cstheme="minorHAnsi"/>
        </w:rPr>
        <w:t xml:space="preserve"> and the epidemiology of COVID-19. The PBAC’s recommendation for listing was based on, among other matters, its </w:t>
      </w:r>
      <w:r w:rsidR="009707BE" w:rsidRPr="00C12F59">
        <w:rPr>
          <w:rFonts w:asciiTheme="minorHAnsi" w:hAnsiTheme="minorHAnsi" w:cstheme="minorHAnsi"/>
        </w:rPr>
        <w:t>understanding of the commitments the Commonwealth has already made regarding the procurement or funding of these medicines, and the expected utilisation of these medicines after recommendations for changes to eligibility are implemented.</w:t>
      </w:r>
      <w:r>
        <w:t xml:space="preserve"> </w:t>
      </w:r>
    </w:p>
    <w:sectPr w:rsidR="002800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00B35" w14:textId="77777777" w:rsidR="00C12F59" w:rsidRDefault="00C12F59" w:rsidP="00C12F59">
      <w:pPr>
        <w:spacing w:after="0" w:line="240" w:lineRule="auto"/>
      </w:pPr>
      <w:r>
        <w:separator/>
      </w:r>
    </w:p>
  </w:endnote>
  <w:endnote w:type="continuationSeparator" w:id="0">
    <w:p w14:paraId="1FBC3602" w14:textId="77777777" w:rsidR="00C12F59" w:rsidRDefault="00C12F59" w:rsidP="00C1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844" w14:textId="77777777" w:rsidR="00036544" w:rsidRDefault="00036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180972"/>
      <w:docPartObj>
        <w:docPartGallery w:val="Page Numbers (Bottom of Page)"/>
        <w:docPartUnique/>
      </w:docPartObj>
    </w:sdtPr>
    <w:sdtEndPr>
      <w:rPr>
        <w:rFonts w:asciiTheme="minorHAnsi" w:hAnsiTheme="minorHAnsi" w:cstheme="minorHAnsi"/>
        <w:noProof/>
      </w:rPr>
    </w:sdtEndPr>
    <w:sdtContent>
      <w:p w14:paraId="1A0C9962" w14:textId="6CAAA7A4" w:rsidR="0030594D" w:rsidRPr="0030594D" w:rsidRDefault="0030594D">
        <w:pPr>
          <w:pStyle w:val="Footer"/>
          <w:jc w:val="center"/>
          <w:rPr>
            <w:rFonts w:asciiTheme="minorHAnsi" w:hAnsiTheme="minorHAnsi" w:cstheme="minorHAnsi"/>
          </w:rPr>
        </w:pPr>
        <w:r w:rsidRPr="0030594D">
          <w:rPr>
            <w:rFonts w:asciiTheme="minorHAnsi" w:hAnsiTheme="minorHAnsi" w:cstheme="minorHAnsi"/>
          </w:rPr>
          <w:fldChar w:fldCharType="begin"/>
        </w:r>
        <w:r w:rsidRPr="0030594D">
          <w:rPr>
            <w:rFonts w:asciiTheme="minorHAnsi" w:hAnsiTheme="minorHAnsi" w:cstheme="minorHAnsi"/>
          </w:rPr>
          <w:instrText xml:space="preserve"> PAGE   \* MERGEFORMAT </w:instrText>
        </w:r>
        <w:r w:rsidRPr="0030594D">
          <w:rPr>
            <w:rFonts w:asciiTheme="minorHAnsi" w:hAnsiTheme="minorHAnsi" w:cstheme="minorHAnsi"/>
          </w:rPr>
          <w:fldChar w:fldCharType="separate"/>
        </w:r>
        <w:r w:rsidRPr="0030594D">
          <w:rPr>
            <w:rFonts w:asciiTheme="minorHAnsi" w:hAnsiTheme="minorHAnsi" w:cstheme="minorHAnsi"/>
            <w:noProof/>
          </w:rPr>
          <w:t>2</w:t>
        </w:r>
        <w:r w:rsidRPr="0030594D">
          <w:rPr>
            <w:rFonts w:asciiTheme="minorHAnsi" w:hAnsiTheme="minorHAnsi" w:cstheme="minorHAnsi"/>
            <w:noProof/>
          </w:rPr>
          <w:fldChar w:fldCharType="end"/>
        </w:r>
      </w:p>
    </w:sdtContent>
  </w:sdt>
  <w:p w14:paraId="28134D04" w14:textId="77777777" w:rsidR="0030594D" w:rsidRDefault="0030594D" w:rsidP="0030594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EF1E" w14:textId="77777777" w:rsidR="00036544" w:rsidRDefault="00036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0476F" w14:textId="77777777" w:rsidR="00C12F59" w:rsidRDefault="00C12F59" w:rsidP="00C12F59">
      <w:pPr>
        <w:spacing w:after="0" w:line="240" w:lineRule="auto"/>
      </w:pPr>
      <w:r>
        <w:separator/>
      </w:r>
    </w:p>
  </w:footnote>
  <w:footnote w:type="continuationSeparator" w:id="0">
    <w:p w14:paraId="5D27680F" w14:textId="77777777" w:rsidR="00C12F59" w:rsidRDefault="00C12F59" w:rsidP="00C12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FF91" w14:textId="77777777" w:rsidR="00036544" w:rsidRDefault="00036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9C00" w14:textId="660BC128" w:rsidR="00C12F59" w:rsidRPr="00036544" w:rsidRDefault="00C12F59" w:rsidP="00C12F59">
    <w:pPr>
      <w:pStyle w:val="Header"/>
      <w:jc w:val="right"/>
      <w:rPr>
        <w:rFonts w:asciiTheme="minorHAnsi" w:hAnsiTheme="minorHAnsi" w:cstheme="minorHAnsi"/>
      </w:rPr>
    </w:pPr>
    <w:r w:rsidRPr="00036544">
      <w:rPr>
        <w:rFonts w:asciiTheme="minorHAnsi" w:hAnsiTheme="minorHAnsi" w:cstheme="minorHAnsi"/>
      </w:rPr>
      <w:t>PBAC OOS 30 June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DE6BA" w14:textId="77777777" w:rsidR="00036544" w:rsidRDefault="00036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24D"/>
    <w:multiLevelType w:val="hybridMultilevel"/>
    <w:tmpl w:val="ABC655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51894DC6"/>
    <w:multiLevelType w:val="hybridMultilevel"/>
    <w:tmpl w:val="8104E076"/>
    <w:lvl w:ilvl="0" w:tplc="27601AC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B61D56"/>
    <w:multiLevelType w:val="hybridMultilevel"/>
    <w:tmpl w:val="345E66AA"/>
    <w:lvl w:ilvl="0" w:tplc="08B0A42C">
      <w:start w:val="1"/>
      <w:numFmt w:val="decimal"/>
      <w:lvlText w:val="(%1)"/>
      <w:lvlJc w:val="left"/>
      <w:pPr>
        <w:ind w:left="587" w:hanging="360"/>
      </w:pPr>
      <w:rPr>
        <w:rFonts w:ascii="Calibri" w:eastAsia="Calibri" w:hAnsi="Calibri" w:cs="Calibri" w:hint="default"/>
        <w:b/>
        <w:bCs/>
        <w:i w:val="0"/>
        <w:iCs w:val="0"/>
        <w:w w:val="100"/>
        <w:sz w:val="22"/>
        <w:szCs w:val="22"/>
        <w:lang w:val="en-US" w:eastAsia="en-US" w:bidi="ar-SA"/>
      </w:rPr>
    </w:lvl>
    <w:lvl w:ilvl="1" w:tplc="CF28D6F2">
      <w:start w:val="1"/>
      <w:numFmt w:val="lowerLetter"/>
      <w:lvlText w:val="%2."/>
      <w:lvlJc w:val="left"/>
      <w:pPr>
        <w:ind w:left="1240" w:hanging="360"/>
      </w:pPr>
      <w:rPr>
        <w:rFonts w:ascii="Calibri" w:eastAsia="Calibri" w:hAnsi="Calibri" w:cs="Calibri" w:hint="default"/>
        <w:b w:val="0"/>
        <w:bCs w:val="0"/>
        <w:i w:val="0"/>
        <w:iCs w:val="0"/>
        <w:spacing w:val="-1"/>
        <w:w w:val="100"/>
        <w:sz w:val="22"/>
        <w:szCs w:val="22"/>
        <w:lang w:val="en-US" w:eastAsia="en-US" w:bidi="ar-SA"/>
      </w:rPr>
    </w:lvl>
    <w:lvl w:ilvl="2" w:tplc="AA2E11A0">
      <w:numFmt w:val="bullet"/>
      <w:lvlText w:val="•"/>
      <w:lvlJc w:val="left"/>
      <w:pPr>
        <w:ind w:left="2242" w:hanging="360"/>
      </w:pPr>
      <w:rPr>
        <w:rFonts w:hint="default"/>
        <w:lang w:val="en-US" w:eastAsia="en-US" w:bidi="ar-SA"/>
      </w:rPr>
    </w:lvl>
    <w:lvl w:ilvl="3" w:tplc="6CFEBE32">
      <w:numFmt w:val="bullet"/>
      <w:lvlText w:val="•"/>
      <w:lvlJc w:val="left"/>
      <w:pPr>
        <w:ind w:left="3245" w:hanging="360"/>
      </w:pPr>
      <w:rPr>
        <w:rFonts w:hint="default"/>
        <w:lang w:val="en-US" w:eastAsia="en-US" w:bidi="ar-SA"/>
      </w:rPr>
    </w:lvl>
    <w:lvl w:ilvl="4" w:tplc="0D64288E">
      <w:numFmt w:val="bullet"/>
      <w:lvlText w:val="•"/>
      <w:lvlJc w:val="left"/>
      <w:pPr>
        <w:ind w:left="4248" w:hanging="360"/>
      </w:pPr>
      <w:rPr>
        <w:rFonts w:hint="default"/>
        <w:lang w:val="en-US" w:eastAsia="en-US" w:bidi="ar-SA"/>
      </w:rPr>
    </w:lvl>
    <w:lvl w:ilvl="5" w:tplc="1A9AF220">
      <w:numFmt w:val="bullet"/>
      <w:lvlText w:val="•"/>
      <w:lvlJc w:val="left"/>
      <w:pPr>
        <w:ind w:left="5251" w:hanging="360"/>
      </w:pPr>
      <w:rPr>
        <w:rFonts w:hint="default"/>
        <w:lang w:val="en-US" w:eastAsia="en-US" w:bidi="ar-SA"/>
      </w:rPr>
    </w:lvl>
    <w:lvl w:ilvl="6" w:tplc="4E101CF6">
      <w:numFmt w:val="bullet"/>
      <w:lvlText w:val="•"/>
      <w:lvlJc w:val="left"/>
      <w:pPr>
        <w:ind w:left="6254" w:hanging="360"/>
      </w:pPr>
      <w:rPr>
        <w:rFonts w:hint="default"/>
        <w:lang w:val="en-US" w:eastAsia="en-US" w:bidi="ar-SA"/>
      </w:rPr>
    </w:lvl>
    <w:lvl w:ilvl="7" w:tplc="72A24522">
      <w:numFmt w:val="bullet"/>
      <w:lvlText w:val="•"/>
      <w:lvlJc w:val="left"/>
      <w:pPr>
        <w:ind w:left="7257" w:hanging="360"/>
      </w:pPr>
      <w:rPr>
        <w:rFonts w:hint="default"/>
        <w:lang w:val="en-US" w:eastAsia="en-US" w:bidi="ar-SA"/>
      </w:rPr>
    </w:lvl>
    <w:lvl w:ilvl="8" w:tplc="8BA021F6">
      <w:numFmt w:val="bullet"/>
      <w:lvlText w:val="•"/>
      <w:lvlJc w:val="left"/>
      <w:pPr>
        <w:ind w:left="8260"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8A"/>
    <w:rsid w:val="00036544"/>
    <w:rsid w:val="00174F70"/>
    <w:rsid w:val="001F541D"/>
    <w:rsid w:val="00280050"/>
    <w:rsid w:val="0030594D"/>
    <w:rsid w:val="0031473A"/>
    <w:rsid w:val="004317F3"/>
    <w:rsid w:val="007216F7"/>
    <w:rsid w:val="00742236"/>
    <w:rsid w:val="0075657D"/>
    <w:rsid w:val="007E7B89"/>
    <w:rsid w:val="008369CC"/>
    <w:rsid w:val="0089518C"/>
    <w:rsid w:val="00955130"/>
    <w:rsid w:val="009707BE"/>
    <w:rsid w:val="00A2726E"/>
    <w:rsid w:val="00A9452F"/>
    <w:rsid w:val="00B8429C"/>
    <w:rsid w:val="00C12F59"/>
    <w:rsid w:val="00DF1E04"/>
    <w:rsid w:val="00E273C6"/>
    <w:rsid w:val="00E63C8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2B27"/>
  <w15:chartTrackingRefBased/>
  <w15:docId w15:val="{76E7BE25-38C2-4B40-9D15-7F60FA5E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9CC"/>
    <w:pPr>
      <w:ind w:left="720"/>
      <w:contextualSpacing/>
    </w:pPr>
  </w:style>
  <w:style w:type="character" w:styleId="CommentReference">
    <w:name w:val="annotation reference"/>
    <w:basedOn w:val="DefaultParagraphFont"/>
    <w:uiPriority w:val="99"/>
    <w:semiHidden/>
    <w:unhideWhenUsed/>
    <w:rsid w:val="00A2726E"/>
    <w:rPr>
      <w:sz w:val="16"/>
      <w:szCs w:val="16"/>
    </w:rPr>
  </w:style>
  <w:style w:type="paragraph" w:styleId="CommentText">
    <w:name w:val="annotation text"/>
    <w:basedOn w:val="Normal"/>
    <w:link w:val="CommentTextChar"/>
    <w:uiPriority w:val="99"/>
    <w:semiHidden/>
    <w:unhideWhenUsed/>
    <w:rsid w:val="00A2726E"/>
    <w:pPr>
      <w:spacing w:line="240" w:lineRule="auto"/>
    </w:pPr>
    <w:rPr>
      <w:sz w:val="20"/>
      <w:szCs w:val="20"/>
    </w:rPr>
  </w:style>
  <w:style w:type="character" w:customStyle="1" w:styleId="CommentTextChar">
    <w:name w:val="Comment Text Char"/>
    <w:basedOn w:val="DefaultParagraphFont"/>
    <w:link w:val="CommentText"/>
    <w:uiPriority w:val="99"/>
    <w:semiHidden/>
    <w:rsid w:val="00A2726E"/>
    <w:rPr>
      <w:sz w:val="20"/>
      <w:szCs w:val="20"/>
    </w:rPr>
  </w:style>
  <w:style w:type="paragraph" w:styleId="CommentSubject">
    <w:name w:val="annotation subject"/>
    <w:basedOn w:val="CommentText"/>
    <w:next w:val="CommentText"/>
    <w:link w:val="CommentSubjectChar"/>
    <w:uiPriority w:val="99"/>
    <w:semiHidden/>
    <w:unhideWhenUsed/>
    <w:rsid w:val="00A2726E"/>
    <w:rPr>
      <w:b/>
      <w:bCs/>
    </w:rPr>
  </w:style>
  <w:style w:type="character" w:customStyle="1" w:styleId="CommentSubjectChar">
    <w:name w:val="Comment Subject Char"/>
    <w:basedOn w:val="CommentTextChar"/>
    <w:link w:val="CommentSubject"/>
    <w:uiPriority w:val="99"/>
    <w:semiHidden/>
    <w:rsid w:val="00A2726E"/>
    <w:rPr>
      <w:b/>
      <w:bCs/>
      <w:sz w:val="20"/>
      <w:szCs w:val="20"/>
    </w:rPr>
  </w:style>
  <w:style w:type="paragraph" w:styleId="Header">
    <w:name w:val="header"/>
    <w:basedOn w:val="Normal"/>
    <w:link w:val="HeaderChar"/>
    <w:uiPriority w:val="99"/>
    <w:unhideWhenUsed/>
    <w:rsid w:val="00C12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F59"/>
  </w:style>
  <w:style w:type="paragraph" w:styleId="Footer">
    <w:name w:val="footer"/>
    <w:basedOn w:val="Normal"/>
    <w:link w:val="FooterChar"/>
    <w:uiPriority w:val="99"/>
    <w:unhideWhenUsed/>
    <w:rsid w:val="00C12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1D22-125A-450C-A4A7-5BE34099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Nick</dc:creator>
  <cp:keywords/>
  <dc:description/>
  <cp:lastModifiedBy>Vanessa</cp:lastModifiedBy>
  <cp:revision>10</cp:revision>
  <dcterms:created xsi:type="dcterms:W3CDTF">2022-07-04T08:43:00Z</dcterms:created>
  <dcterms:modified xsi:type="dcterms:W3CDTF">2022-07-08T02:20:00Z</dcterms:modified>
</cp:coreProperties>
</file>