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B0EE" w14:textId="77777777" w:rsidR="00D7136A" w:rsidRDefault="00464DA0" w:rsidP="00052897">
      <w:pPr>
        <w:contextualSpacing/>
        <w:jc w:val="both"/>
        <w:rPr>
          <w:rFonts w:ascii="Arial" w:hAnsi="Arial" w:cs="Arial"/>
          <w:b/>
          <w:szCs w:val="20"/>
          <w:lang w:val="en-AU" w:eastAsia="en-AU"/>
        </w:rPr>
      </w:pPr>
      <w:r>
        <w:rPr>
          <w:rFonts w:ascii="Arial" w:hAnsi="Arial" w:cs="Arial"/>
          <w:b/>
          <w:sz w:val="28"/>
          <w:lang w:val="en-AU" w:eastAsia="en-AU"/>
        </w:rPr>
        <w:t xml:space="preserve">PBAC CONSIDERATION OF THE </w:t>
      </w:r>
      <w:r w:rsidR="00D7136A">
        <w:rPr>
          <w:rFonts w:ascii="Arial" w:hAnsi="Arial" w:cs="Arial"/>
          <w:b/>
          <w:sz w:val="28"/>
          <w:lang w:val="en-AU" w:eastAsia="en-AU"/>
        </w:rPr>
        <w:t>REPORT</w:t>
      </w:r>
      <w:r w:rsidR="00267A9D">
        <w:rPr>
          <w:rFonts w:ascii="Arial" w:hAnsi="Arial" w:cs="Arial"/>
          <w:b/>
          <w:sz w:val="28"/>
          <w:lang w:val="en-AU" w:eastAsia="en-AU"/>
        </w:rPr>
        <w:t xml:space="preserve"> OF THE DRUG </w:t>
      </w:r>
      <w:r w:rsidR="00D7136A" w:rsidRPr="00B94022">
        <w:rPr>
          <w:rFonts w:ascii="Arial" w:hAnsi="Arial" w:cs="Arial"/>
          <w:b/>
          <w:sz w:val="28"/>
          <w:lang w:val="en-AU" w:eastAsia="en-AU"/>
        </w:rPr>
        <w:t>UTILISATION SUB-COMMITTEE</w:t>
      </w:r>
    </w:p>
    <w:p w14:paraId="7F124E9C" w14:textId="77777777" w:rsidR="00D7136A" w:rsidRPr="006951BF" w:rsidRDefault="00D7136A" w:rsidP="00052897">
      <w:pPr>
        <w:jc w:val="both"/>
        <w:rPr>
          <w:rFonts w:ascii="Arial" w:hAnsi="Arial" w:cs="Arial"/>
          <w:b/>
          <w:sz w:val="28"/>
          <w:szCs w:val="20"/>
          <w:lang w:val="en-AU" w:eastAsia="en-AU"/>
        </w:rPr>
      </w:pPr>
    </w:p>
    <w:p w14:paraId="7C5EA0B1" w14:textId="49FB8942" w:rsidR="00D7136A" w:rsidRPr="006951BF" w:rsidRDefault="00D7136A" w:rsidP="00052897">
      <w:pPr>
        <w:contextualSpacing/>
        <w:jc w:val="both"/>
        <w:rPr>
          <w:rFonts w:ascii="Arial" w:hAnsi="Arial" w:cs="Arial"/>
          <w:color w:val="A6A6A6"/>
          <w:sz w:val="22"/>
          <w:lang w:val="en-AU" w:eastAsia="en-AU"/>
        </w:rPr>
      </w:pPr>
      <w:r w:rsidRPr="006951BF">
        <w:rPr>
          <w:rFonts w:ascii="Arial" w:hAnsi="Arial" w:cs="Arial"/>
          <w:sz w:val="22"/>
          <w:lang w:val="en-AU" w:eastAsia="en-AU"/>
        </w:rPr>
        <w:t xml:space="preserve">The PBAC noted reports with associated stakeholder responses from the </w:t>
      </w:r>
      <w:r w:rsidR="008621E7">
        <w:rPr>
          <w:rFonts w:ascii="Arial" w:hAnsi="Arial" w:cs="Arial"/>
          <w:sz w:val="22"/>
          <w:lang w:val="en-AU" w:eastAsia="en-AU"/>
        </w:rPr>
        <w:t>February 2023</w:t>
      </w:r>
      <w:r w:rsidR="00DB4B4C">
        <w:rPr>
          <w:rFonts w:ascii="Arial" w:hAnsi="Arial" w:cs="Arial"/>
          <w:sz w:val="22"/>
          <w:lang w:val="en-AU" w:eastAsia="en-AU"/>
        </w:rPr>
        <w:t xml:space="preserve"> </w:t>
      </w:r>
      <w:r w:rsidR="00A31269" w:rsidRPr="006951BF">
        <w:rPr>
          <w:rFonts w:ascii="Arial" w:hAnsi="Arial" w:cs="Arial"/>
          <w:sz w:val="22"/>
          <w:lang w:val="en-AU" w:eastAsia="en-AU"/>
        </w:rPr>
        <w:t xml:space="preserve">Drug Utilisation Sub-Committee (DUSC) </w:t>
      </w:r>
      <w:r w:rsidRPr="006951BF">
        <w:rPr>
          <w:rFonts w:ascii="Arial" w:hAnsi="Arial" w:cs="Arial"/>
          <w:sz w:val="22"/>
          <w:lang w:val="en-AU" w:eastAsia="en-AU"/>
        </w:rPr>
        <w:t>meeting, which were provided in Item</w:t>
      </w:r>
      <w:r w:rsidR="00A31269" w:rsidRPr="006951BF">
        <w:rPr>
          <w:rFonts w:ascii="Arial" w:hAnsi="Arial" w:cs="Arial"/>
          <w:sz w:val="22"/>
          <w:lang w:val="en-AU" w:eastAsia="en-AU"/>
        </w:rPr>
        <w:t>s 10.0</w:t>
      </w:r>
      <w:r w:rsidR="006354AB">
        <w:rPr>
          <w:rFonts w:ascii="Arial" w:hAnsi="Arial" w:cs="Arial"/>
          <w:sz w:val="22"/>
          <w:lang w:val="en-AU" w:eastAsia="en-AU"/>
        </w:rPr>
        <w:t xml:space="preserve">2, </w:t>
      </w:r>
      <w:r w:rsidR="008621E7">
        <w:rPr>
          <w:rFonts w:ascii="Arial" w:hAnsi="Arial" w:cs="Arial"/>
          <w:sz w:val="22"/>
          <w:lang w:val="en-AU" w:eastAsia="en-AU"/>
        </w:rPr>
        <w:t xml:space="preserve">and </w:t>
      </w:r>
      <w:r w:rsidR="006354AB">
        <w:rPr>
          <w:rFonts w:ascii="Arial" w:hAnsi="Arial" w:cs="Arial"/>
          <w:sz w:val="22"/>
          <w:lang w:val="en-AU" w:eastAsia="en-AU"/>
        </w:rPr>
        <w:t>10.</w:t>
      </w:r>
      <w:r w:rsidR="008621E7">
        <w:rPr>
          <w:rFonts w:ascii="Arial" w:hAnsi="Arial" w:cs="Arial"/>
          <w:sz w:val="22"/>
          <w:lang w:val="en-AU" w:eastAsia="en-AU"/>
        </w:rPr>
        <w:t>03</w:t>
      </w:r>
      <w:r w:rsidR="00C229C3">
        <w:rPr>
          <w:rFonts w:ascii="Arial" w:hAnsi="Arial" w:cs="Arial"/>
          <w:sz w:val="22"/>
          <w:lang w:val="en-AU" w:eastAsia="en-AU"/>
        </w:rPr>
        <w:t xml:space="preserve"> </w:t>
      </w:r>
      <w:r w:rsidRPr="006951BF">
        <w:rPr>
          <w:rFonts w:ascii="Arial" w:hAnsi="Arial" w:cs="Arial"/>
          <w:sz w:val="22"/>
          <w:lang w:val="en-AU" w:eastAsia="en-AU"/>
        </w:rPr>
        <w:t xml:space="preserve">of the PBAC Agenda. </w:t>
      </w:r>
      <w:r w:rsidR="00A31269" w:rsidRPr="006951BF">
        <w:rPr>
          <w:rFonts w:ascii="Arial" w:hAnsi="Arial" w:cs="Arial"/>
          <w:sz w:val="22"/>
          <w:lang w:val="en-AU" w:eastAsia="en-AU"/>
        </w:rPr>
        <w:t>DUSC minutes relating to these items were provided to the PBAC</w:t>
      </w:r>
      <w:r w:rsidR="00F8213A">
        <w:rPr>
          <w:rFonts w:ascii="Arial" w:hAnsi="Arial" w:cs="Arial"/>
          <w:sz w:val="22"/>
          <w:lang w:val="en-AU" w:eastAsia="en-AU"/>
        </w:rPr>
        <w:t>. The outcomes of the DUSC consideration of these items are available in</w:t>
      </w:r>
      <w:r w:rsidR="00CB6BC5">
        <w:rPr>
          <w:rFonts w:ascii="Arial" w:hAnsi="Arial" w:cs="Arial"/>
          <w:sz w:val="22"/>
          <w:lang w:val="en-AU" w:eastAsia="en-AU"/>
        </w:rPr>
        <w:t xml:space="preserve"> the</w:t>
      </w:r>
      <w:r w:rsidR="00BD0BA3">
        <w:rPr>
          <w:rFonts w:ascii="Arial" w:hAnsi="Arial" w:cs="Arial"/>
          <w:sz w:val="22"/>
          <w:lang w:val="en-AU" w:eastAsia="en-AU"/>
        </w:rPr>
        <w:t xml:space="preserve"> </w:t>
      </w:r>
      <w:hyperlink r:id="rId8" w:history="1">
        <w:r w:rsidR="008621E7">
          <w:rPr>
            <w:rStyle w:val="Hyperlink"/>
            <w:rFonts w:ascii="Arial" w:hAnsi="Arial" w:cs="Arial"/>
            <w:sz w:val="22"/>
            <w:lang w:val="en-AU" w:eastAsia="en-AU"/>
          </w:rPr>
          <w:t>February 2023</w:t>
        </w:r>
        <w:r w:rsidR="00E86AE7" w:rsidRPr="00BD0BA3">
          <w:rPr>
            <w:rStyle w:val="Hyperlink"/>
            <w:rFonts w:ascii="Arial" w:hAnsi="Arial" w:cs="Arial"/>
            <w:sz w:val="22"/>
            <w:lang w:val="en-AU" w:eastAsia="en-AU"/>
          </w:rPr>
          <w:t xml:space="preserve"> DUSC outcome statement</w:t>
        </w:r>
      </w:hyperlink>
      <w:r w:rsidR="00BD0BA3">
        <w:rPr>
          <w:rFonts w:ascii="Arial" w:hAnsi="Arial" w:cs="Arial"/>
          <w:sz w:val="22"/>
          <w:lang w:val="en-AU" w:eastAsia="en-AU"/>
        </w:rPr>
        <w:t>.</w:t>
      </w:r>
    </w:p>
    <w:p w14:paraId="2BEF9007" w14:textId="56217C85" w:rsidR="005616CC" w:rsidRDefault="005616CC" w:rsidP="00052897">
      <w:pPr>
        <w:contextualSpacing/>
        <w:jc w:val="both"/>
        <w:rPr>
          <w:rFonts w:ascii="Arial" w:hAnsi="Arial" w:cs="Arial"/>
          <w:b/>
          <w:sz w:val="22"/>
          <w:lang w:val="en-AU" w:eastAsia="en-AU"/>
        </w:rPr>
      </w:pPr>
    </w:p>
    <w:p w14:paraId="5DB2DFD8" w14:textId="77777777" w:rsidR="001E1951" w:rsidRPr="006951BF" w:rsidRDefault="001E1951" w:rsidP="00973009">
      <w:pPr>
        <w:contextualSpacing/>
        <w:jc w:val="both"/>
        <w:rPr>
          <w:rFonts w:ascii="Arial" w:hAnsi="Arial" w:cs="Arial"/>
          <w:b/>
          <w:sz w:val="22"/>
          <w:lang w:val="en-AU" w:eastAsia="en-AU"/>
        </w:rPr>
      </w:pPr>
    </w:p>
    <w:p w14:paraId="536A5C33" w14:textId="193400C8" w:rsidR="00614F10" w:rsidRPr="008621E7" w:rsidRDefault="008621E7" w:rsidP="00973009">
      <w:pPr>
        <w:spacing w:after="120"/>
        <w:jc w:val="both"/>
        <w:rPr>
          <w:rFonts w:ascii="Arial" w:hAnsi="Arial" w:cs="Arial"/>
          <w:b/>
          <w:sz w:val="22"/>
          <w:szCs w:val="22"/>
          <w:lang w:val="en-AU" w:eastAsia="en-AU"/>
        </w:rPr>
      </w:pPr>
      <w:r w:rsidRPr="008621E7">
        <w:rPr>
          <w:rFonts w:ascii="Arial" w:hAnsi="Arial" w:cs="Arial"/>
          <w:b/>
          <w:sz w:val="22"/>
          <w:szCs w:val="22"/>
          <w:lang w:eastAsia="en-AU"/>
        </w:rPr>
        <w:t xml:space="preserve">EVOLOCUMAB FOR </w:t>
      </w:r>
      <w:r w:rsidRPr="008621E7">
        <w:rPr>
          <w:rFonts w:ascii="Arial" w:hAnsi="Arial" w:cs="Arial"/>
          <w:b/>
          <w:bCs/>
          <w:sz w:val="22"/>
          <w:szCs w:val="22"/>
        </w:rPr>
        <w:t>HYPERCHOLESTEROLAEMIA</w:t>
      </w:r>
    </w:p>
    <w:p w14:paraId="4711D0AD" w14:textId="20F349AF" w:rsidR="00A31269" w:rsidRDefault="00A31269" w:rsidP="00973009">
      <w:pPr>
        <w:spacing w:after="120"/>
        <w:jc w:val="both"/>
        <w:rPr>
          <w:rFonts w:ascii="Arial" w:hAnsi="Arial" w:cs="Arial"/>
          <w:i/>
          <w:sz w:val="22"/>
          <w:szCs w:val="22"/>
        </w:rPr>
      </w:pPr>
      <w:r w:rsidRPr="00362AC3">
        <w:rPr>
          <w:rFonts w:ascii="Arial" w:hAnsi="Arial" w:cs="Arial"/>
          <w:i/>
          <w:sz w:val="22"/>
          <w:szCs w:val="22"/>
        </w:rPr>
        <w:t>Outcome</w:t>
      </w:r>
    </w:p>
    <w:p w14:paraId="1F154514" w14:textId="5A036198" w:rsidR="008621E7" w:rsidRPr="008621E7" w:rsidRDefault="008621E7" w:rsidP="008621E7">
      <w:pPr>
        <w:spacing w:before="120" w:after="120"/>
        <w:jc w:val="both"/>
        <w:rPr>
          <w:rFonts w:ascii="Arial" w:hAnsi="Arial" w:cs="Arial"/>
          <w:sz w:val="22"/>
          <w:szCs w:val="22"/>
        </w:rPr>
      </w:pPr>
      <w:r w:rsidRPr="008621E7">
        <w:rPr>
          <w:rFonts w:ascii="Arial" w:hAnsi="Arial" w:cs="Arial"/>
          <w:sz w:val="22"/>
          <w:szCs w:val="22"/>
        </w:rPr>
        <w:t xml:space="preserve">The PBAC noted evolocumab utilisation for non-familial </w:t>
      </w:r>
      <w:r w:rsidR="00666881">
        <w:rPr>
          <w:rFonts w:ascii="Arial" w:hAnsi="Arial" w:cs="Arial"/>
          <w:sz w:val="22"/>
          <w:szCs w:val="22"/>
        </w:rPr>
        <w:t xml:space="preserve">hypercholesterolaemia </w:t>
      </w:r>
      <w:r w:rsidR="000A160F">
        <w:rPr>
          <w:rFonts w:ascii="Arial" w:hAnsi="Arial" w:cs="Arial"/>
          <w:sz w:val="22"/>
          <w:szCs w:val="22"/>
        </w:rPr>
        <w:t>(non-FH)</w:t>
      </w:r>
      <w:r w:rsidR="004048D8">
        <w:rPr>
          <w:rFonts w:ascii="Arial" w:hAnsi="Arial" w:cs="Arial"/>
          <w:sz w:val="22"/>
          <w:szCs w:val="22"/>
        </w:rPr>
        <w:t xml:space="preserve"> </w:t>
      </w:r>
      <w:r w:rsidRPr="008621E7">
        <w:rPr>
          <w:rFonts w:ascii="Arial" w:hAnsi="Arial" w:cs="Arial"/>
          <w:sz w:val="22"/>
          <w:szCs w:val="22"/>
        </w:rPr>
        <w:t xml:space="preserve">was </w:t>
      </w:r>
      <w:r w:rsidR="00080336">
        <w:rPr>
          <w:rFonts w:ascii="Arial" w:hAnsi="Arial" w:cs="Arial"/>
          <w:sz w:val="22"/>
          <w:szCs w:val="22"/>
        </w:rPr>
        <w:t>different from what was</w:t>
      </w:r>
      <w:r w:rsidRPr="008621E7">
        <w:rPr>
          <w:rFonts w:ascii="Arial" w:hAnsi="Arial" w:cs="Arial"/>
          <w:sz w:val="22"/>
          <w:szCs w:val="22"/>
        </w:rPr>
        <w:t xml:space="preserve"> estimated. </w:t>
      </w:r>
    </w:p>
    <w:p w14:paraId="0E07D92D" w14:textId="13867972" w:rsidR="008621E7" w:rsidRPr="008621E7" w:rsidRDefault="008621E7" w:rsidP="008621E7">
      <w:pPr>
        <w:spacing w:before="120" w:after="120"/>
        <w:jc w:val="both"/>
        <w:rPr>
          <w:rFonts w:ascii="Arial" w:hAnsi="Arial" w:cs="Arial"/>
          <w:sz w:val="22"/>
          <w:szCs w:val="22"/>
        </w:rPr>
      </w:pPr>
      <w:r w:rsidRPr="008621E7">
        <w:rPr>
          <w:rFonts w:ascii="Arial" w:hAnsi="Arial" w:cs="Arial"/>
          <w:sz w:val="22"/>
          <w:szCs w:val="22"/>
        </w:rPr>
        <w:t xml:space="preserve">The PBAC noted the restriction changes since PBS listing of evolocumab and noted the restriction changes that occurred in December 2022 were not included as part of the review. The PBAC noted low-density lipoprotein (LDL) cholesterol level (LDL-c) criteria in the PBS listing was revised from 3.3 mmol/L to 2.6 mmol/L in November 2021 and revised to 1.8 mmol/L in December 2022. The PBAC noted that as LDL-c criterion had been revised several times since PBS listing, there was </w:t>
      </w:r>
      <w:r w:rsidR="00666881">
        <w:rPr>
          <w:rFonts w:ascii="Arial" w:hAnsi="Arial" w:cs="Arial"/>
          <w:sz w:val="22"/>
          <w:szCs w:val="22"/>
        </w:rPr>
        <w:t xml:space="preserve">a </w:t>
      </w:r>
      <w:r w:rsidRPr="008621E7">
        <w:rPr>
          <w:rFonts w:ascii="Arial" w:hAnsi="Arial" w:cs="Arial"/>
          <w:sz w:val="22"/>
          <w:szCs w:val="22"/>
        </w:rPr>
        <w:t>potential for clinicians to be unaware of the lowered LDL-c threshold. The PBAC noted initial prescribing was extended to any medical practitioner in consultation with a specialist physician in December 2022. The PBAC commented that the utilisation of evolocumab would likely increase more rapidly as clinicians became aware of the lower LDL-c criterion and with the initial prescribing being expanded to include all medical practitioners.</w:t>
      </w:r>
    </w:p>
    <w:p w14:paraId="5E233CB5" w14:textId="6A0906BC" w:rsidR="008621E7" w:rsidRDefault="008621E7" w:rsidP="008621E7">
      <w:pPr>
        <w:spacing w:before="120" w:after="120"/>
        <w:jc w:val="both"/>
        <w:rPr>
          <w:rFonts w:ascii="Arial" w:hAnsi="Arial" w:cs="Arial"/>
          <w:sz w:val="22"/>
          <w:szCs w:val="22"/>
        </w:rPr>
      </w:pPr>
      <w:r w:rsidRPr="008621E7">
        <w:rPr>
          <w:rFonts w:ascii="Arial" w:hAnsi="Arial" w:cs="Arial"/>
          <w:sz w:val="22"/>
          <w:szCs w:val="22"/>
        </w:rPr>
        <w:t xml:space="preserve">The PBAC noted that although the PBS item codes for the non-FH listing were the same as those of homozygous FH, the majority of evolocumab utilisation could be distinguished through Authority and Streamlined codes. The PBAC noted a greater proportion of patients were consistently supplied evolocumab for the same indication according to item code (80.8%) compared to </w:t>
      </w:r>
      <w:r w:rsidR="00D61A27">
        <w:rPr>
          <w:rFonts w:ascii="Arial" w:hAnsi="Arial" w:cs="Arial"/>
          <w:sz w:val="22"/>
          <w:szCs w:val="22"/>
        </w:rPr>
        <w:t>A</w:t>
      </w:r>
      <w:r w:rsidRPr="008621E7">
        <w:rPr>
          <w:rFonts w:ascii="Arial" w:hAnsi="Arial" w:cs="Arial"/>
          <w:sz w:val="22"/>
          <w:szCs w:val="22"/>
        </w:rPr>
        <w:t xml:space="preserve">uthority or </w:t>
      </w:r>
      <w:r w:rsidR="00D61A27">
        <w:rPr>
          <w:rFonts w:ascii="Arial" w:hAnsi="Arial" w:cs="Arial"/>
          <w:sz w:val="22"/>
          <w:szCs w:val="22"/>
        </w:rPr>
        <w:t>S</w:t>
      </w:r>
      <w:r w:rsidRPr="008621E7">
        <w:rPr>
          <w:rFonts w:ascii="Arial" w:hAnsi="Arial" w:cs="Arial"/>
          <w:sz w:val="22"/>
          <w:szCs w:val="22"/>
        </w:rPr>
        <w:t xml:space="preserve">treamlined code (70.5%) in 2021. The PBAC considered inconsistency in indication was likely due to human error associated with prescribing software. The PBAC noted the complexities in navigating the presentation of restriction and the corresponding item codes in the prescribing software. </w:t>
      </w:r>
    </w:p>
    <w:p w14:paraId="4E681FBA" w14:textId="77777777" w:rsidR="00ED1C3D" w:rsidRPr="00ED1C3D" w:rsidRDefault="00ED1C3D" w:rsidP="00ED1C3D">
      <w:pPr>
        <w:contextualSpacing/>
        <w:jc w:val="both"/>
        <w:rPr>
          <w:rFonts w:ascii="Arial" w:hAnsi="Arial" w:cs="Arial"/>
          <w:b/>
          <w:sz w:val="22"/>
          <w:szCs w:val="22"/>
          <w:lang w:eastAsia="en-AU"/>
        </w:rPr>
      </w:pPr>
      <w:r w:rsidRPr="00ED1C3D">
        <w:rPr>
          <w:rFonts w:ascii="Arial" w:hAnsi="Arial" w:cs="Arial"/>
          <w:b/>
          <w:sz w:val="22"/>
          <w:szCs w:val="22"/>
          <w:lang w:eastAsia="en-AU"/>
        </w:rPr>
        <w:t xml:space="preserve">THE IMPACT OF REGULATORY REFORMS ON THE UTILISATION OF OPIOIDS </w:t>
      </w:r>
    </w:p>
    <w:p w14:paraId="60AFAC0C" w14:textId="3DC32B16" w:rsidR="00ED1C3D" w:rsidRDefault="00ED1C3D" w:rsidP="008621E7">
      <w:pPr>
        <w:spacing w:before="120" w:after="120"/>
        <w:jc w:val="both"/>
        <w:rPr>
          <w:rFonts w:ascii="Arial" w:hAnsi="Arial" w:cs="Arial"/>
          <w:i/>
          <w:iCs/>
          <w:sz w:val="22"/>
          <w:szCs w:val="22"/>
        </w:rPr>
      </w:pPr>
      <w:r w:rsidRPr="00ED1C3D">
        <w:rPr>
          <w:rFonts w:ascii="Arial" w:hAnsi="Arial" w:cs="Arial"/>
          <w:i/>
          <w:iCs/>
          <w:sz w:val="22"/>
          <w:szCs w:val="22"/>
        </w:rPr>
        <w:t>Outcome</w:t>
      </w:r>
    </w:p>
    <w:p w14:paraId="54E6D482" w14:textId="256C406B" w:rsidR="00ED1C3D" w:rsidRPr="00ED1C3D" w:rsidRDefault="00ED1C3D" w:rsidP="00ED1C3D">
      <w:pPr>
        <w:spacing w:before="120" w:after="120"/>
        <w:jc w:val="both"/>
        <w:rPr>
          <w:rFonts w:ascii="Arial" w:hAnsi="Arial" w:cs="Arial"/>
          <w:sz w:val="22"/>
          <w:szCs w:val="22"/>
        </w:rPr>
      </w:pPr>
      <w:r w:rsidRPr="00ED1C3D">
        <w:rPr>
          <w:rFonts w:ascii="Arial" w:hAnsi="Arial" w:cs="Arial"/>
          <w:sz w:val="22"/>
          <w:szCs w:val="22"/>
        </w:rPr>
        <w:t>The PBAC noted the report showed the number of PBS</w:t>
      </w:r>
      <w:r w:rsidR="001B648D">
        <w:rPr>
          <w:rFonts w:ascii="Arial" w:hAnsi="Arial" w:cs="Arial"/>
          <w:sz w:val="22"/>
          <w:szCs w:val="22"/>
        </w:rPr>
        <w:t>-</w:t>
      </w:r>
      <w:r w:rsidRPr="00ED1C3D">
        <w:rPr>
          <w:rFonts w:ascii="Arial" w:hAnsi="Arial" w:cs="Arial"/>
          <w:sz w:val="22"/>
          <w:szCs w:val="22"/>
        </w:rPr>
        <w:t>supplied prescriptions of opioids medicines had decreased. The PBAC noted the report showed no therapeutic shift to gabapentinoids listed on the PBS. The PBAC noted the number of treated patients had decreased, and it appeared that the number of initiating patients had decreased but commented that as the method only allowed one initiation per patient, the number of initiating patients may not be continuing to fall.</w:t>
      </w:r>
    </w:p>
    <w:p w14:paraId="36737072" w14:textId="4D7CA975" w:rsidR="00ED1C3D" w:rsidRPr="00ED1C3D" w:rsidRDefault="00ED1C3D" w:rsidP="00ED1C3D">
      <w:pPr>
        <w:spacing w:before="120" w:after="120"/>
        <w:jc w:val="both"/>
        <w:rPr>
          <w:rFonts w:ascii="Arial" w:hAnsi="Arial" w:cs="Arial"/>
          <w:sz w:val="22"/>
          <w:szCs w:val="22"/>
        </w:rPr>
      </w:pPr>
      <w:r w:rsidRPr="00ED1C3D">
        <w:rPr>
          <w:rFonts w:ascii="Arial" w:hAnsi="Arial" w:cs="Arial"/>
          <w:sz w:val="22"/>
          <w:szCs w:val="22"/>
        </w:rPr>
        <w:lastRenderedPageBreak/>
        <w:t>The PBAC noted the report showed the use of tapentadol was rising. The PBAC commented that patients may be being discharged post</w:t>
      </w:r>
      <w:r w:rsidR="001B648D">
        <w:rPr>
          <w:rFonts w:ascii="Arial" w:hAnsi="Arial" w:cs="Arial"/>
          <w:sz w:val="22"/>
          <w:szCs w:val="22"/>
        </w:rPr>
        <w:t>-</w:t>
      </w:r>
      <w:r w:rsidRPr="00ED1C3D">
        <w:rPr>
          <w:rFonts w:ascii="Arial" w:hAnsi="Arial" w:cs="Arial"/>
          <w:sz w:val="22"/>
          <w:szCs w:val="22"/>
        </w:rPr>
        <w:t>operatively from hospital on tapentadol, which may be contributing to its increasing use. The PBAC noted that tapentadol had been marketed as being useful for treating neuropathic pain. The PBAC noted that tapentadol ha</w:t>
      </w:r>
      <w:r w:rsidR="004048D8">
        <w:rPr>
          <w:rFonts w:ascii="Arial" w:hAnsi="Arial" w:cs="Arial"/>
          <w:sz w:val="22"/>
          <w:szCs w:val="22"/>
        </w:rPr>
        <w:t>d</w:t>
      </w:r>
      <w:r w:rsidRPr="00ED1C3D">
        <w:rPr>
          <w:rFonts w:ascii="Arial" w:hAnsi="Arial" w:cs="Arial"/>
          <w:sz w:val="22"/>
          <w:szCs w:val="22"/>
        </w:rPr>
        <w:t xml:space="preserve"> a higher potency than some other opioids and the modified</w:t>
      </w:r>
      <w:r w:rsidR="001B648D">
        <w:rPr>
          <w:rFonts w:ascii="Arial" w:hAnsi="Arial" w:cs="Arial"/>
          <w:sz w:val="22"/>
          <w:szCs w:val="22"/>
        </w:rPr>
        <w:t>-</w:t>
      </w:r>
      <w:r w:rsidRPr="00ED1C3D">
        <w:rPr>
          <w:rFonts w:ascii="Arial" w:hAnsi="Arial" w:cs="Arial"/>
          <w:sz w:val="22"/>
          <w:szCs w:val="22"/>
        </w:rPr>
        <w:t>release formulation may or may not be harm</w:t>
      </w:r>
      <w:r w:rsidR="001B648D">
        <w:rPr>
          <w:rFonts w:ascii="Arial" w:hAnsi="Arial" w:cs="Arial"/>
          <w:sz w:val="22"/>
          <w:szCs w:val="22"/>
        </w:rPr>
        <w:t>-</w:t>
      </w:r>
      <w:r w:rsidRPr="00ED1C3D">
        <w:rPr>
          <w:rFonts w:ascii="Arial" w:hAnsi="Arial" w:cs="Arial"/>
          <w:sz w:val="22"/>
          <w:szCs w:val="22"/>
        </w:rPr>
        <w:t>minimising.</w:t>
      </w:r>
    </w:p>
    <w:p w14:paraId="05AD8A80" w14:textId="77777777" w:rsidR="00ED1C3D" w:rsidRPr="00ED1C3D" w:rsidRDefault="00ED1C3D" w:rsidP="00ED1C3D">
      <w:pPr>
        <w:spacing w:before="120" w:after="120"/>
        <w:jc w:val="both"/>
        <w:rPr>
          <w:rFonts w:ascii="Arial" w:hAnsi="Arial" w:cs="Arial"/>
          <w:sz w:val="22"/>
          <w:szCs w:val="22"/>
        </w:rPr>
      </w:pPr>
      <w:r w:rsidRPr="00ED1C3D">
        <w:rPr>
          <w:rFonts w:ascii="Arial" w:hAnsi="Arial" w:cs="Arial"/>
          <w:sz w:val="22"/>
          <w:szCs w:val="22"/>
        </w:rPr>
        <w:t>The PBAC noted that the PBS opioid reforms intended to move the use of fentanyl patches more towards cancer pain, and that the use of fentanyl patches was decreasing. The PBAC commented that the decrease in use of fentanyl patches started prior to the restriction changes, however the decrease in the number of initiating patients was a positive outcome.</w:t>
      </w:r>
    </w:p>
    <w:p w14:paraId="6DA7161B" w14:textId="543043FF" w:rsidR="00ED1C3D" w:rsidRPr="00ED1C3D" w:rsidRDefault="00ED1C3D" w:rsidP="00ED1C3D">
      <w:pPr>
        <w:spacing w:before="120" w:after="120"/>
        <w:jc w:val="both"/>
        <w:rPr>
          <w:rFonts w:ascii="Arial" w:hAnsi="Arial" w:cs="Arial"/>
          <w:sz w:val="22"/>
          <w:szCs w:val="22"/>
        </w:rPr>
      </w:pPr>
      <w:r w:rsidRPr="00ED1C3D">
        <w:rPr>
          <w:rFonts w:ascii="Arial" w:hAnsi="Arial" w:cs="Arial"/>
          <w:sz w:val="22"/>
          <w:szCs w:val="22"/>
        </w:rPr>
        <w:t>The PBAC noted that since the reforms, fewer patients were supplied two or more treatments on the same day and the number of prescriptions written without repeats had reduced. The PBAC noted that reduced pack sizes only applied to a few of the medicines and accounted for 4% of the prescriptions and 10% of patients. The PBAC suggested that the proportion of prescriptions written for reduced pack sizes may have been higher in initiating patients, and considered a further analysis stratified by new and existing users may be informative.</w:t>
      </w:r>
    </w:p>
    <w:p w14:paraId="3E080032" w14:textId="77777777" w:rsidR="00ED1C3D" w:rsidRPr="00ED1C3D" w:rsidRDefault="00ED1C3D" w:rsidP="00ED1C3D">
      <w:pPr>
        <w:spacing w:before="120" w:after="120"/>
        <w:jc w:val="both"/>
        <w:rPr>
          <w:rFonts w:ascii="Arial" w:hAnsi="Arial" w:cs="Arial"/>
          <w:sz w:val="22"/>
          <w:szCs w:val="22"/>
        </w:rPr>
      </w:pPr>
      <w:r w:rsidRPr="00ED1C3D">
        <w:rPr>
          <w:rFonts w:ascii="Arial" w:hAnsi="Arial" w:cs="Arial"/>
          <w:sz w:val="22"/>
          <w:szCs w:val="22"/>
        </w:rPr>
        <w:t>The PBAC noted the sponsor responses to the utilisation analysis, and the responses from The National Aboriginal Community Controlled Health Organisation and Painaustralia. The PBAC commented that the results of the survey conducted by Painaustralia were concerning and noted that approximately 35% of patients surveyed said that they did not feel supported.</w:t>
      </w:r>
    </w:p>
    <w:p w14:paraId="53FC57B4" w14:textId="77777777" w:rsidR="00ED1C3D" w:rsidRPr="00ED1C3D" w:rsidRDefault="00ED1C3D" w:rsidP="00ED1C3D">
      <w:pPr>
        <w:spacing w:before="120" w:after="120"/>
        <w:jc w:val="both"/>
        <w:rPr>
          <w:rFonts w:ascii="Arial" w:hAnsi="Arial" w:cs="Arial"/>
          <w:sz w:val="22"/>
          <w:szCs w:val="22"/>
        </w:rPr>
      </w:pPr>
      <w:r w:rsidRPr="00ED1C3D">
        <w:rPr>
          <w:rFonts w:ascii="Arial" w:hAnsi="Arial" w:cs="Arial"/>
          <w:sz w:val="22"/>
          <w:szCs w:val="22"/>
        </w:rPr>
        <w:t>The PBAC noted the long term use of opioids for non-cancer pain in existing patients which represents a large volume of use is likely to be among complex patients where changes in opioid use are more likely to be realised over a longer time frame. The PBAC commented that a publication from 2015</w:t>
      </w:r>
      <w:r w:rsidRPr="00ED1C3D">
        <w:rPr>
          <w:rStyle w:val="FootnoteReference"/>
          <w:rFonts w:ascii="Arial" w:hAnsi="Arial" w:cs="Arial"/>
          <w:sz w:val="22"/>
          <w:szCs w:val="22"/>
        </w:rPr>
        <w:footnoteReference w:id="1"/>
      </w:r>
      <w:r w:rsidRPr="00ED1C3D">
        <w:rPr>
          <w:rFonts w:ascii="Arial" w:hAnsi="Arial" w:cs="Arial"/>
          <w:sz w:val="22"/>
          <w:szCs w:val="22"/>
        </w:rPr>
        <w:t xml:space="preserve"> found 51% of Australian patients using opioids chronically for non- cancer pain were unemployed because of pain, 60% were also diagnosed with depression and 32% were diagnosed with generalised anxiety. The report also noted 40% had an alcohol use disorder and 47% were smokers. The PBAC commented that these are patients with complex medical problems and they need other types of support outside the scope of the PBS listings.</w:t>
      </w:r>
    </w:p>
    <w:p w14:paraId="12BD708E" w14:textId="529C0E44" w:rsidR="00ED1C3D" w:rsidRPr="00ED1C3D" w:rsidRDefault="00ED1C3D" w:rsidP="00ED1C3D">
      <w:pPr>
        <w:spacing w:before="120" w:after="120"/>
        <w:jc w:val="both"/>
        <w:rPr>
          <w:rFonts w:ascii="Arial" w:hAnsi="Arial" w:cs="Arial"/>
          <w:sz w:val="22"/>
          <w:szCs w:val="22"/>
        </w:rPr>
      </w:pPr>
      <w:r w:rsidRPr="00ED1C3D">
        <w:rPr>
          <w:rFonts w:ascii="Arial" w:hAnsi="Arial" w:cs="Arial"/>
          <w:sz w:val="22"/>
          <w:szCs w:val="22"/>
        </w:rPr>
        <w:t xml:space="preserve">The PBAC commented that some </w:t>
      </w:r>
      <w:r w:rsidR="004048D8">
        <w:rPr>
          <w:rFonts w:ascii="Arial" w:hAnsi="Arial" w:cs="Arial"/>
          <w:sz w:val="22"/>
          <w:szCs w:val="22"/>
        </w:rPr>
        <w:t>general practitioners</w:t>
      </w:r>
      <w:r w:rsidRPr="00ED1C3D">
        <w:rPr>
          <w:rFonts w:ascii="Arial" w:hAnsi="Arial" w:cs="Arial"/>
          <w:sz w:val="22"/>
          <w:szCs w:val="22"/>
        </w:rPr>
        <w:t xml:space="preserve"> are continuing to prescribe opioids to patients due to the lack of access to public pain specialists and cost prohibitive private specialists. The PBAC commented that this continued prescribing </w:t>
      </w:r>
      <w:r w:rsidR="004048D8">
        <w:rPr>
          <w:rFonts w:ascii="Arial" w:hAnsi="Arial" w:cs="Arial"/>
          <w:sz w:val="22"/>
          <w:szCs w:val="22"/>
        </w:rPr>
        <w:t>wa</w:t>
      </w:r>
      <w:r w:rsidRPr="00ED1C3D">
        <w:rPr>
          <w:rFonts w:ascii="Arial" w:hAnsi="Arial" w:cs="Arial"/>
          <w:sz w:val="22"/>
          <w:szCs w:val="22"/>
        </w:rPr>
        <w:t xml:space="preserve">s a consequence of a broader issue of how pain is treated in the healthcare system. </w:t>
      </w:r>
    </w:p>
    <w:p w14:paraId="0893BB1A" w14:textId="47DC318D" w:rsidR="00ED1C3D" w:rsidRPr="00ED1C3D" w:rsidRDefault="00ED1C3D" w:rsidP="00ED1C3D">
      <w:pPr>
        <w:spacing w:before="120" w:after="120"/>
        <w:jc w:val="both"/>
        <w:rPr>
          <w:rFonts w:ascii="Arial" w:hAnsi="Arial" w:cs="Arial"/>
          <w:sz w:val="22"/>
          <w:szCs w:val="22"/>
        </w:rPr>
      </w:pPr>
      <w:r w:rsidRPr="00ED1C3D">
        <w:rPr>
          <w:rFonts w:ascii="Arial" w:hAnsi="Arial" w:cs="Arial"/>
          <w:sz w:val="22"/>
          <w:szCs w:val="22"/>
        </w:rPr>
        <w:t xml:space="preserve">PBAC noted further </w:t>
      </w:r>
      <w:r w:rsidR="004048D8">
        <w:rPr>
          <w:rFonts w:ascii="Arial" w:hAnsi="Arial" w:cs="Arial"/>
          <w:sz w:val="22"/>
          <w:szCs w:val="22"/>
        </w:rPr>
        <w:t>utilisation analyses were</w:t>
      </w:r>
      <w:r w:rsidRPr="00ED1C3D">
        <w:rPr>
          <w:rFonts w:ascii="Arial" w:hAnsi="Arial" w:cs="Arial"/>
          <w:sz w:val="22"/>
          <w:szCs w:val="22"/>
        </w:rPr>
        <w:t xml:space="preserve"> planned, including:</w:t>
      </w:r>
    </w:p>
    <w:p w14:paraId="267D7ACF" w14:textId="6A8FB0C9" w:rsidR="00ED1C3D" w:rsidRPr="00ED1C3D" w:rsidRDefault="00ED1C3D" w:rsidP="00ED1C3D">
      <w:pPr>
        <w:spacing w:before="120" w:after="120"/>
        <w:ind w:left="1134" w:hanging="425"/>
        <w:jc w:val="both"/>
        <w:rPr>
          <w:rFonts w:ascii="Arial" w:hAnsi="Arial" w:cs="Arial"/>
          <w:sz w:val="22"/>
          <w:szCs w:val="22"/>
        </w:rPr>
      </w:pPr>
      <w:r w:rsidRPr="00ED1C3D">
        <w:rPr>
          <w:rFonts w:ascii="Arial" w:hAnsi="Arial" w:cs="Arial"/>
          <w:sz w:val="22"/>
          <w:szCs w:val="22"/>
        </w:rPr>
        <w:t>•</w:t>
      </w:r>
      <w:r w:rsidRPr="00ED1C3D">
        <w:rPr>
          <w:rFonts w:ascii="Arial" w:hAnsi="Arial" w:cs="Arial"/>
          <w:sz w:val="22"/>
          <w:szCs w:val="22"/>
        </w:rPr>
        <w:tab/>
        <w:t xml:space="preserve">Use over time by </w:t>
      </w:r>
      <w:r w:rsidR="008B6009" w:rsidRPr="008B6009">
        <w:rPr>
          <w:rFonts w:ascii="Arial" w:hAnsi="Arial" w:cs="Arial"/>
          <w:sz w:val="22"/>
          <w:szCs w:val="22"/>
        </w:rPr>
        <w:t xml:space="preserve">defined daily doses </w:t>
      </w:r>
      <w:r w:rsidR="008B6009">
        <w:rPr>
          <w:rFonts w:ascii="Arial" w:hAnsi="Arial" w:cs="Arial"/>
          <w:sz w:val="22"/>
          <w:szCs w:val="22"/>
        </w:rPr>
        <w:t>(</w:t>
      </w:r>
      <w:r w:rsidRPr="00ED1C3D">
        <w:rPr>
          <w:rFonts w:ascii="Arial" w:hAnsi="Arial" w:cs="Arial"/>
          <w:sz w:val="22"/>
          <w:szCs w:val="22"/>
        </w:rPr>
        <w:t>DDDs</w:t>
      </w:r>
      <w:r w:rsidR="008B6009">
        <w:rPr>
          <w:rFonts w:ascii="Arial" w:hAnsi="Arial" w:cs="Arial"/>
          <w:sz w:val="22"/>
          <w:szCs w:val="22"/>
        </w:rPr>
        <w:t>)</w:t>
      </w:r>
      <w:r w:rsidRPr="00ED1C3D">
        <w:rPr>
          <w:rFonts w:ascii="Arial" w:hAnsi="Arial" w:cs="Arial"/>
          <w:sz w:val="22"/>
          <w:szCs w:val="22"/>
        </w:rPr>
        <w:t>.</w:t>
      </w:r>
    </w:p>
    <w:p w14:paraId="36DD310A" w14:textId="6565C8CF" w:rsidR="00ED1C3D" w:rsidRPr="00ED1C3D" w:rsidRDefault="00ED1C3D" w:rsidP="00ED1C3D">
      <w:pPr>
        <w:spacing w:before="120" w:after="120"/>
        <w:ind w:left="1134" w:hanging="425"/>
        <w:jc w:val="both"/>
        <w:rPr>
          <w:rFonts w:ascii="Arial" w:hAnsi="Arial" w:cs="Arial"/>
          <w:sz w:val="22"/>
          <w:szCs w:val="22"/>
        </w:rPr>
      </w:pPr>
      <w:r w:rsidRPr="00ED1C3D">
        <w:rPr>
          <w:rFonts w:ascii="Arial" w:hAnsi="Arial" w:cs="Arial"/>
          <w:sz w:val="22"/>
          <w:szCs w:val="22"/>
        </w:rPr>
        <w:t>•</w:t>
      </w:r>
      <w:r w:rsidRPr="00ED1C3D">
        <w:rPr>
          <w:rFonts w:ascii="Arial" w:hAnsi="Arial" w:cs="Arial"/>
          <w:sz w:val="22"/>
          <w:szCs w:val="22"/>
        </w:rPr>
        <w:tab/>
        <w:t>Use over time by jurisdiction (by state and regional/remote</w:t>
      </w:r>
      <w:r w:rsidR="00866D71">
        <w:rPr>
          <w:rFonts w:ascii="Arial" w:hAnsi="Arial" w:cs="Arial"/>
          <w:sz w:val="22"/>
          <w:szCs w:val="22"/>
        </w:rPr>
        <w:t xml:space="preserve"> area</w:t>
      </w:r>
      <w:r w:rsidRPr="00ED1C3D">
        <w:rPr>
          <w:rFonts w:ascii="Arial" w:hAnsi="Arial" w:cs="Arial"/>
          <w:sz w:val="22"/>
          <w:szCs w:val="22"/>
        </w:rPr>
        <w:t>) and age.</w:t>
      </w:r>
    </w:p>
    <w:p w14:paraId="5EAF1E4E" w14:textId="0CD59E32" w:rsidR="00ED1C3D" w:rsidRPr="00ED1C3D" w:rsidRDefault="00ED1C3D" w:rsidP="00ED1C3D">
      <w:pPr>
        <w:spacing w:before="120" w:after="120"/>
        <w:ind w:left="1134" w:hanging="425"/>
        <w:jc w:val="both"/>
        <w:rPr>
          <w:rFonts w:ascii="Arial" w:hAnsi="Arial" w:cs="Arial"/>
          <w:sz w:val="22"/>
          <w:szCs w:val="22"/>
        </w:rPr>
      </w:pPr>
      <w:r w:rsidRPr="00ED1C3D">
        <w:rPr>
          <w:rFonts w:ascii="Arial" w:hAnsi="Arial" w:cs="Arial"/>
          <w:sz w:val="22"/>
          <w:szCs w:val="22"/>
        </w:rPr>
        <w:lastRenderedPageBreak/>
        <w:t>•</w:t>
      </w:r>
      <w:r w:rsidRPr="00ED1C3D">
        <w:rPr>
          <w:rFonts w:ascii="Arial" w:hAnsi="Arial" w:cs="Arial"/>
          <w:sz w:val="22"/>
          <w:szCs w:val="22"/>
        </w:rPr>
        <w:tab/>
        <w:t>The proportion of reduced pack size use in initiating patients versus chronic patients and the proportion of initiating patients who become chronic users.</w:t>
      </w:r>
    </w:p>
    <w:p w14:paraId="7F2A6FB9" w14:textId="77777777" w:rsidR="00ED1C3D" w:rsidRPr="00ED1C3D" w:rsidRDefault="00ED1C3D" w:rsidP="00ED1C3D">
      <w:pPr>
        <w:spacing w:before="120" w:after="120"/>
        <w:ind w:left="1134" w:hanging="425"/>
        <w:jc w:val="both"/>
        <w:rPr>
          <w:rFonts w:ascii="Arial" w:hAnsi="Arial" w:cs="Arial"/>
          <w:sz w:val="22"/>
          <w:szCs w:val="22"/>
        </w:rPr>
      </w:pPr>
      <w:r w:rsidRPr="00ED1C3D">
        <w:rPr>
          <w:rFonts w:ascii="Arial" w:hAnsi="Arial" w:cs="Arial"/>
          <w:sz w:val="22"/>
          <w:szCs w:val="22"/>
        </w:rPr>
        <w:t>•</w:t>
      </w:r>
      <w:r w:rsidRPr="00ED1C3D">
        <w:rPr>
          <w:rFonts w:ascii="Arial" w:hAnsi="Arial" w:cs="Arial"/>
          <w:sz w:val="22"/>
          <w:szCs w:val="22"/>
        </w:rPr>
        <w:tab/>
        <w:t>An analysis to determine if there has been a shift to private prescriptions (if possible).</w:t>
      </w:r>
    </w:p>
    <w:p w14:paraId="1A0D00CC" w14:textId="77777777" w:rsidR="00ED1C3D" w:rsidRPr="00ED1C3D" w:rsidRDefault="00ED1C3D" w:rsidP="00ED1C3D">
      <w:pPr>
        <w:spacing w:before="120" w:after="120"/>
        <w:ind w:left="1134" w:hanging="425"/>
        <w:jc w:val="both"/>
        <w:rPr>
          <w:rFonts w:ascii="Arial" w:hAnsi="Arial" w:cs="Arial"/>
          <w:sz w:val="22"/>
          <w:szCs w:val="22"/>
        </w:rPr>
      </w:pPr>
      <w:r w:rsidRPr="00ED1C3D">
        <w:rPr>
          <w:rFonts w:ascii="Arial" w:hAnsi="Arial" w:cs="Arial"/>
          <w:sz w:val="22"/>
          <w:szCs w:val="22"/>
        </w:rPr>
        <w:t>•</w:t>
      </w:r>
      <w:r w:rsidRPr="00ED1C3D">
        <w:rPr>
          <w:rFonts w:ascii="Arial" w:hAnsi="Arial" w:cs="Arial"/>
          <w:sz w:val="22"/>
          <w:szCs w:val="22"/>
        </w:rPr>
        <w:tab/>
        <w:t>An analysis to determine if there has been a disproportionate effect on Aboriginal and Torres Strait Islander people (if possible).</w:t>
      </w:r>
    </w:p>
    <w:p w14:paraId="7FE45DDC" w14:textId="28337D9A" w:rsidR="00ED1C3D" w:rsidRPr="00ED1C3D" w:rsidRDefault="00ED1C3D" w:rsidP="00ED1C3D">
      <w:pPr>
        <w:spacing w:before="120" w:after="120"/>
        <w:ind w:left="1134" w:hanging="425"/>
        <w:jc w:val="both"/>
        <w:rPr>
          <w:rFonts w:ascii="Arial" w:hAnsi="Arial" w:cs="Arial"/>
          <w:sz w:val="22"/>
          <w:szCs w:val="22"/>
        </w:rPr>
      </w:pPr>
      <w:r w:rsidRPr="00ED1C3D">
        <w:rPr>
          <w:rFonts w:ascii="Arial" w:hAnsi="Arial" w:cs="Arial"/>
          <w:sz w:val="22"/>
          <w:szCs w:val="22"/>
        </w:rPr>
        <w:t>•</w:t>
      </w:r>
      <w:r w:rsidRPr="00ED1C3D">
        <w:rPr>
          <w:rFonts w:ascii="Arial" w:hAnsi="Arial" w:cs="Arial"/>
          <w:sz w:val="22"/>
          <w:szCs w:val="22"/>
        </w:rPr>
        <w:tab/>
        <w:t>An analysis by volume of use per person per year.</w:t>
      </w:r>
    </w:p>
    <w:p w14:paraId="76F1B342" w14:textId="77777777" w:rsidR="00ED1C3D" w:rsidRPr="00ED1C3D" w:rsidRDefault="00ED1C3D" w:rsidP="00ED1C3D">
      <w:pPr>
        <w:spacing w:before="120" w:after="120"/>
        <w:rPr>
          <w:rFonts w:ascii="Arial" w:hAnsi="Arial" w:cs="Arial"/>
          <w:sz w:val="22"/>
          <w:szCs w:val="22"/>
        </w:rPr>
      </w:pPr>
    </w:p>
    <w:p w14:paraId="0358B4CD" w14:textId="77777777" w:rsidR="00ED1C3D" w:rsidRPr="00ED1C3D" w:rsidRDefault="00ED1C3D" w:rsidP="008621E7">
      <w:pPr>
        <w:spacing w:before="120" w:after="120"/>
        <w:jc w:val="both"/>
        <w:rPr>
          <w:rFonts w:ascii="Arial" w:hAnsi="Arial" w:cs="Arial"/>
          <w:sz w:val="22"/>
          <w:szCs w:val="22"/>
        </w:rPr>
      </w:pPr>
    </w:p>
    <w:p w14:paraId="305E8070" w14:textId="77777777" w:rsidR="008621E7" w:rsidRPr="00ED1C3D" w:rsidRDefault="008621E7" w:rsidP="00973009">
      <w:pPr>
        <w:spacing w:after="120"/>
        <w:jc w:val="both"/>
        <w:rPr>
          <w:rFonts w:ascii="Arial" w:hAnsi="Arial" w:cs="Arial"/>
          <w:iCs/>
          <w:sz w:val="22"/>
          <w:szCs w:val="22"/>
        </w:rPr>
      </w:pPr>
    </w:p>
    <w:sectPr w:rsidR="008621E7" w:rsidRPr="00ED1C3D" w:rsidSect="007A242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2E665" w14:textId="77777777" w:rsidR="00BA5A6C" w:rsidRDefault="00BA5A6C">
      <w:r>
        <w:separator/>
      </w:r>
    </w:p>
  </w:endnote>
  <w:endnote w:type="continuationSeparator" w:id="0">
    <w:p w14:paraId="4140EA4A" w14:textId="77777777" w:rsidR="00BA5A6C" w:rsidRDefault="00BA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BA6D" w14:textId="77777777" w:rsidR="00150970" w:rsidRDefault="00150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F5BA" w14:textId="77777777" w:rsidR="001F312C" w:rsidRPr="004630FE" w:rsidRDefault="001F312C">
    <w:pPr>
      <w:pStyle w:val="Footer"/>
      <w:jc w:val="center"/>
      <w:rPr>
        <w:rFonts w:ascii="Arial" w:hAnsi="Arial" w:cs="Arial"/>
        <w:sz w:val="22"/>
      </w:rPr>
    </w:pPr>
  </w:p>
  <w:p w14:paraId="2DAABEFB" w14:textId="48945DEF" w:rsidR="001F312C" w:rsidRPr="004630FE" w:rsidRDefault="001F312C">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B84143">
      <w:rPr>
        <w:rFonts w:ascii="Arial" w:hAnsi="Arial" w:cs="Arial"/>
        <w:noProof/>
        <w:sz w:val="22"/>
      </w:rPr>
      <w:t>3</w:t>
    </w:r>
    <w:r w:rsidRPr="004630FE">
      <w:rPr>
        <w:rFonts w:ascii="Arial" w:hAnsi="Arial" w:cs="Arial"/>
        <w:noProof/>
        <w:sz w:val="22"/>
      </w:rPr>
      <w:fldChar w:fldCharType="end"/>
    </w:r>
  </w:p>
  <w:p w14:paraId="0A6D77EE" w14:textId="77777777" w:rsidR="001F312C" w:rsidRDefault="001F3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3D26" w14:textId="77777777" w:rsidR="00150970" w:rsidRDefault="00150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7071" w14:textId="77777777" w:rsidR="00BA5A6C" w:rsidRDefault="00BA5A6C">
      <w:r>
        <w:separator/>
      </w:r>
    </w:p>
  </w:footnote>
  <w:footnote w:type="continuationSeparator" w:id="0">
    <w:p w14:paraId="5FC0F2B4" w14:textId="77777777" w:rsidR="00BA5A6C" w:rsidRDefault="00BA5A6C">
      <w:r>
        <w:continuationSeparator/>
      </w:r>
    </w:p>
  </w:footnote>
  <w:footnote w:id="1">
    <w:p w14:paraId="3176F260" w14:textId="77777777" w:rsidR="00ED1C3D" w:rsidRDefault="00ED1C3D" w:rsidP="00ED1C3D">
      <w:pPr>
        <w:pStyle w:val="FootnoteText"/>
      </w:pPr>
      <w:r>
        <w:rPr>
          <w:rStyle w:val="FootnoteReference"/>
        </w:rPr>
        <w:footnoteRef/>
      </w:r>
      <w:r>
        <w:t xml:space="preserve"> </w:t>
      </w:r>
      <w:r w:rsidRPr="00443008">
        <w:t>Campbell G, Nielsen S, Bruno R, Lintzeris N, Cohen M, Hall W, Larance B, Mattick RP, Degenhardt L. The Pain and Opioids IN Treatment study: characteristics of a cohort using opioids to manage chronic non-cancer pain. Pain. 2015 Feb;156(2):231-242. doi: 10.1097/01.j.pain.0000460303.63948.8e. PMID: 25599444.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72D0" w14:textId="77777777" w:rsidR="00150970" w:rsidRDefault="00150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87D6" w14:textId="75563A8B" w:rsidR="001F312C" w:rsidRPr="00520B6E" w:rsidRDefault="008621E7" w:rsidP="004630FE">
    <w:pPr>
      <w:tabs>
        <w:tab w:val="center" w:pos="4153"/>
        <w:tab w:val="right" w:pos="8306"/>
      </w:tabs>
      <w:jc w:val="center"/>
      <w:rPr>
        <w:rFonts w:ascii="Arial" w:hAnsi="Arial" w:cs="Arial"/>
        <w:b/>
        <w:sz w:val="20"/>
      </w:rPr>
    </w:pPr>
    <w:r>
      <w:rPr>
        <w:rFonts w:ascii="Arial" w:hAnsi="Arial" w:cs="Arial"/>
        <w:b/>
        <w:sz w:val="20"/>
      </w:rPr>
      <w:t>MARCH 2023</w:t>
    </w:r>
    <w:r w:rsidR="001F312C" w:rsidRPr="00341E66">
      <w:rPr>
        <w:rFonts w:ascii="Arial" w:hAnsi="Arial" w:cs="Arial"/>
        <w:b/>
        <w:sz w:val="20"/>
      </w:rPr>
      <w:t xml:space="preserve"> </w:t>
    </w:r>
    <w:r w:rsidR="001F312C" w:rsidRPr="00520B6E">
      <w:rPr>
        <w:rFonts w:ascii="Arial" w:hAnsi="Arial" w:cs="Arial"/>
        <w:b/>
        <w:sz w:val="20"/>
      </w:rPr>
      <w:t>PBAC M</w:t>
    </w:r>
    <w:r w:rsidR="001F312C">
      <w:rPr>
        <w:rFonts w:ascii="Arial" w:hAnsi="Arial" w:cs="Arial"/>
        <w:b/>
        <w:sz w:val="20"/>
      </w:rPr>
      <w:t>EETING – CONSIDERATION OF THE</w:t>
    </w:r>
    <w:r w:rsidR="001F312C" w:rsidRPr="00520B6E">
      <w:rPr>
        <w:rFonts w:ascii="Arial" w:hAnsi="Arial" w:cs="Arial"/>
        <w:b/>
        <w:sz w:val="20"/>
      </w:rPr>
      <w:t xml:space="preserve"> </w:t>
    </w:r>
    <w:r w:rsidR="001F312C">
      <w:rPr>
        <w:rFonts w:ascii="Arial" w:hAnsi="Arial" w:cs="Arial"/>
        <w:b/>
        <w:sz w:val="20"/>
      </w:rPr>
      <w:t>REPORT OF THE DRUG UTILISATION SUB</w:t>
    </w:r>
    <w:r w:rsidR="001F312C">
      <w:rPr>
        <w:rFonts w:ascii="Arial" w:hAnsi="Arial" w:cs="Arial"/>
        <w:b/>
        <w:sz w:val="20"/>
      </w:rPr>
      <w:noBreakHyphen/>
      <w:t>COMMITTEE</w:t>
    </w:r>
  </w:p>
  <w:p w14:paraId="6758E2CC" w14:textId="77777777" w:rsidR="001F312C" w:rsidRDefault="001F3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668D" w14:textId="77777777" w:rsidR="00150970" w:rsidRDefault="00150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68F"/>
    <w:multiLevelType w:val="hybridMultilevel"/>
    <w:tmpl w:val="8FEA9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BB16DE"/>
    <w:multiLevelType w:val="multilevel"/>
    <w:tmpl w:val="51AA4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AB031B9"/>
    <w:multiLevelType w:val="multilevel"/>
    <w:tmpl w:val="6A0E1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4C1A3A"/>
    <w:multiLevelType w:val="hybridMultilevel"/>
    <w:tmpl w:val="C1B245C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48DD109F"/>
    <w:multiLevelType w:val="multilevel"/>
    <w:tmpl w:val="95D6B714"/>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60FC76BD"/>
    <w:multiLevelType w:val="hybridMultilevel"/>
    <w:tmpl w:val="F474C00E"/>
    <w:lvl w:ilvl="0" w:tplc="BF768F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5E65A0"/>
    <w:multiLevelType w:val="hybridMultilevel"/>
    <w:tmpl w:val="D0169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BD522C5"/>
    <w:multiLevelType w:val="multilevel"/>
    <w:tmpl w:val="4E1A9C78"/>
    <w:lvl w:ilvl="0">
      <w:start w:val="1"/>
      <w:numFmt w:val="decimal"/>
      <w:lvlText w:val="%1"/>
      <w:lvlJc w:val="left"/>
      <w:pPr>
        <w:ind w:left="1440" w:hanging="720"/>
      </w:pPr>
      <w:rPr>
        <w:rFonts w:hint="default"/>
      </w:rPr>
    </w:lvl>
    <w:lvl w:ilvl="1">
      <w:start w:val="1"/>
      <w:numFmt w:val="bullet"/>
      <w:lvlText w:val=""/>
      <w:lvlJc w:val="left"/>
      <w:pPr>
        <w:ind w:left="1440" w:hanging="720"/>
      </w:pPr>
      <w:rPr>
        <w:rFonts w:ascii="Symbol" w:hAnsi="Symbol" w:hint="default"/>
        <w:i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784D757A"/>
    <w:multiLevelType w:val="hybridMultilevel"/>
    <w:tmpl w:val="ABC2A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874411"/>
    <w:multiLevelType w:val="multilevel"/>
    <w:tmpl w:val="29F890D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0"/>
  </w:num>
  <w:num w:numId="2">
    <w:abstractNumId w:val="5"/>
  </w:num>
  <w:num w:numId="3">
    <w:abstractNumId w:val="2"/>
  </w:num>
  <w:num w:numId="4">
    <w:abstractNumId w:val="6"/>
  </w:num>
  <w:num w:numId="5">
    <w:abstractNumId w:val="4"/>
  </w:num>
  <w:num w:numId="6">
    <w:abstractNumId w:val="8"/>
  </w:num>
  <w:num w:numId="7">
    <w:abstractNumId w:val="1"/>
  </w:num>
  <w:num w:numId="8">
    <w:abstractNumId w:val="3"/>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6A"/>
    <w:rsid w:val="0000028F"/>
    <w:rsid w:val="00016CBD"/>
    <w:rsid w:val="0002143A"/>
    <w:rsid w:val="00034F16"/>
    <w:rsid w:val="000413ED"/>
    <w:rsid w:val="000437B9"/>
    <w:rsid w:val="00046F5C"/>
    <w:rsid w:val="00052897"/>
    <w:rsid w:val="0006056A"/>
    <w:rsid w:val="00060A45"/>
    <w:rsid w:val="0007306F"/>
    <w:rsid w:val="00080336"/>
    <w:rsid w:val="00084B66"/>
    <w:rsid w:val="00095F78"/>
    <w:rsid w:val="000A160F"/>
    <w:rsid w:val="000A2CDC"/>
    <w:rsid w:val="000B2DD0"/>
    <w:rsid w:val="000C6902"/>
    <w:rsid w:val="000E4B3A"/>
    <w:rsid w:val="0014056F"/>
    <w:rsid w:val="001416A4"/>
    <w:rsid w:val="00150970"/>
    <w:rsid w:val="00156D69"/>
    <w:rsid w:val="00176F11"/>
    <w:rsid w:val="001B5725"/>
    <w:rsid w:val="001B5726"/>
    <w:rsid w:val="001B648D"/>
    <w:rsid w:val="001D0ACE"/>
    <w:rsid w:val="001D0B69"/>
    <w:rsid w:val="001D38C7"/>
    <w:rsid w:val="001D45AF"/>
    <w:rsid w:val="001E1951"/>
    <w:rsid w:val="001E7E86"/>
    <w:rsid w:val="001F0355"/>
    <w:rsid w:val="001F312C"/>
    <w:rsid w:val="00215DE5"/>
    <w:rsid w:val="0022150A"/>
    <w:rsid w:val="002374AC"/>
    <w:rsid w:val="00244B20"/>
    <w:rsid w:val="00250A1C"/>
    <w:rsid w:val="00251848"/>
    <w:rsid w:val="00265781"/>
    <w:rsid w:val="00267A9D"/>
    <w:rsid w:val="0028590B"/>
    <w:rsid w:val="002A0EF1"/>
    <w:rsid w:val="002D4006"/>
    <w:rsid w:val="002D7178"/>
    <w:rsid w:val="002E7273"/>
    <w:rsid w:val="002F7591"/>
    <w:rsid w:val="002F775E"/>
    <w:rsid w:val="00301E55"/>
    <w:rsid w:val="0031133D"/>
    <w:rsid w:val="003172AB"/>
    <w:rsid w:val="003211BA"/>
    <w:rsid w:val="00326328"/>
    <w:rsid w:val="0034025C"/>
    <w:rsid w:val="00341334"/>
    <w:rsid w:val="00341E66"/>
    <w:rsid w:val="003603AD"/>
    <w:rsid w:val="00362AC3"/>
    <w:rsid w:val="00385940"/>
    <w:rsid w:val="00397836"/>
    <w:rsid w:val="003A0382"/>
    <w:rsid w:val="003B0BEA"/>
    <w:rsid w:val="003B695E"/>
    <w:rsid w:val="003B79EE"/>
    <w:rsid w:val="003C2B83"/>
    <w:rsid w:val="003E55CB"/>
    <w:rsid w:val="00400159"/>
    <w:rsid w:val="0040140B"/>
    <w:rsid w:val="004048D8"/>
    <w:rsid w:val="00407FAA"/>
    <w:rsid w:val="00446CF7"/>
    <w:rsid w:val="004630FE"/>
    <w:rsid w:val="00464B70"/>
    <w:rsid w:val="00464DA0"/>
    <w:rsid w:val="004669DB"/>
    <w:rsid w:val="004A1627"/>
    <w:rsid w:val="004C295B"/>
    <w:rsid w:val="004C4C12"/>
    <w:rsid w:val="004D4DEE"/>
    <w:rsid w:val="004E76AE"/>
    <w:rsid w:val="004F2C21"/>
    <w:rsid w:val="00507F23"/>
    <w:rsid w:val="00514593"/>
    <w:rsid w:val="005166A6"/>
    <w:rsid w:val="00520024"/>
    <w:rsid w:val="0054217F"/>
    <w:rsid w:val="00553E58"/>
    <w:rsid w:val="005616CC"/>
    <w:rsid w:val="005639BA"/>
    <w:rsid w:val="005642B3"/>
    <w:rsid w:val="00565336"/>
    <w:rsid w:val="005732A3"/>
    <w:rsid w:val="00575B2C"/>
    <w:rsid w:val="00582F85"/>
    <w:rsid w:val="005A71CE"/>
    <w:rsid w:val="005C202C"/>
    <w:rsid w:val="005D081A"/>
    <w:rsid w:val="005D774C"/>
    <w:rsid w:val="005F2273"/>
    <w:rsid w:val="005F5574"/>
    <w:rsid w:val="006102C6"/>
    <w:rsid w:val="00614F10"/>
    <w:rsid w:val="006354AB"/>
    <w:rsid w:val="00641F0C"/>
    <w:rsid w:val="00647788"/>
    <w:rsid w:val="00652D57"/>
    <w:rsid w:val="00664A75"/>
    <w:rsid w:val="00666863"/>
    <w:rsid w:val="00666881"/>
    <w:rsid w:val="00677683"/>
    <w:rsid w:val="00677983"/>
    <w:rsid w:val="00683251"/>
    <w:rsid w:val="006847AC"/>
    <w:rsid w:val="006951BF"/>
    <w:rsid w:val="006A2EB2"/>
    <w:rsid w:val="006A5F26"/>
    <w:rsid w:val="006D0A58"/>
    <w:rsid w:val="006D36DC"/>
    <w:rsid w:val="006D4F54"/>
    <w:rsid w:val="006D593A"/>
    <w:rsid w:val="006E57A3"/>
    <w:rsid w:val="0070348A"/>
    <w:rsid w:val="007178BA"/>
    <w:rsid w:val="0073297F"/>
    <w:rsid w:val="0074603E"/>
    <w:rsid w:val="0075366B"/>
    <w:rsid w:val="00793AF0"/>
    <w:rsid w:val="007A2421"/>
    <w:rsid w:val="007C1098"/>
    <w:rsid w:val="007C758A"/>
    <w:rsid w:val="007C75EE"/>
    <w:rsid w:val="007D7263"/>
    <w:rsid w:val="007E275C"/>
    <w:rsid w:val="007F4E20"/>
    <w:rsid w:val="00801B19"/>
    <w:rsid w:val="00816A6C"/>
    <w:rsid w:val="0082288D"/>
    <w:rsid w:val="0083210F"/>
    <w:rsid w:val="008361CD"/>
    <w:rsid w:val="008545D1"/>
    <w:rsid w:val="008613B3"/>
    <w:rsid w:val="008621E7"/>
    <w:rsid w:val="00866D71"/>
    <w:rsid w:val="008842CE"/>
    <w:rsid w:val="008866E8"/>
    <w:rsid w:val="00890D53"/>
    <w:rsid w:val="008934F5"/>
    <w:rsid w:val="008A4311"/>
    <w:rsid w:val="008A4B6F"/>
    <w:rsid w:val="008B279B"/>
    <w:rsid w:val="008B4388"/>
    <w:rsid w:val="008B6009"/>
    <w:rsid w:val="008D020C"/>
    <w:rsid w:val="008E354F"/>
    <w:rsid w:val="009203A6"/>
    <w:rsid w:val="00922E47"/>
    <w:rsid w:val="00925E21"/>
    <w:rsid w:val="00933952"/>
    <w:rsid w:val="00964E5C"/>
    <w:rsid w:val="00973009"/>
    <w:rsid w:val="00997EA7"/>
    <w:rsid w:val="009A1ACC"/>
    <w:rsid w:val="009E121B"/>
    <w:rsid w:val="009E143F"/>
    <w:rsid w:val="009E6EA9"/>
    <w:rsid w:val="009E7E00"/>
    <w:rsid w:val="00A03E25"/>
    <w:rsid w:val="00A0539F"/>
    <w:rsid w:val="00A1560D"/>
    <w:rsid w:val="00A25973"/>
    <w:rsid w:val="00A31269"/>
    <w:rsid w:val="00A32269"/>
    <w:rsid w:val="00A4098E"/>
    <w:rsid w:val="00A45D82"/>
    <w:rsid w:val="00A47E2F"/>
    <w:rsid w:val="00A50253"/>
    <w:rsid w:val="00A570BF"/>
    <w:rsid w:val="00A70179"/>
    <w:rsid w:val="00A74CCD"/>
    <w:rsid w:val="00A76D1B"/>
    <w:rsid w:val="00A9331B"/>
    <w:rsid w:val="00A93361"/>
    <w:rsid w:val="00AA5E4E"/>
    <w:rsid w:val="00AC0FFB"/>
    <w:rsid w:val="00AC2CB7"/>
    <w:rsid w:val="00AC4352"/>
    <w:rsid w:val="00AD2551"/>
    <w:rsid w:val="00AD37E5"/>
    <w:rsid w:val="00AE5FF1"/>
    <w:rsid w:val="00AF2F79"/>
    <w:rsid w:val="00AF3B3E"/>
    <w:rsid w:val="00AF6DA0"/>
    <w:rsid w:val="00B03643"/>
    <w:rsid w:val="00B13AD3"/>
    <w:rsid w:val="00B1693A"/>
    <w:rsid w:val="00B20C0D"/>
    <w:rsid w:val="00B26B58"/>
    <w:rsid w:val="00B445D9"/>
    <w:rsid w:val="00B50A69"/>
    <w:rsid w:val="00B532C3"/>
    <w:rsid w:val="00B754AD"/>
    <w:rsid w:val="00B8335A"/>
    <w:rsid w:val="00B84143"/>
    <w:rsid w:val="00B94AFC"/>
    <w:rsid w:val="00B95F3B"/>
    <w:rsid w:val="00B96629"/>
    <w:rsid w:val="00BA0860"/>
    <w:rsid w:val="00BA5A6C"/>
    <w:rsid w:val="00BB24D0"/>
    <w:rsid w:val="00BB5497"/>
    <w:rsid w:val="00BC3BE5"/>
    <w:rsid w:val="00BD0BA3"/>
    <w:rsid w:val="00BD4745"/>
    <w:rsid w:val="00BE182E"/>
    <w:rsid w:val="00BE4405"/>
    <w:rsid w:val="00C22340"/>
    <w:rsid w:val="00C229C3"/>
    <w:rsid w:val="00C22AB9"/>
    <w:rsid w:val="00C636C2"/>
    <w:rsid w:val="00CB56CD"/>
    <w:rsid w:val="00CB6BC5"/>
    <w:rsid w:val="00CD04DF"/>
    <w:rsid w:val="00CD2ADF"/>
    <w:rsid w:val="00CD3BA9"/>
    <w:rsid w:val="00CD4158"/>
    <w:rsid w:val="00D03290"/>
    <w:rsid w:val="00D068D4"/>
    <w:rsid w:val="00D47451"/>
    <w:rsid w:val="00D51F57"/>
    <w:rsid w:val="00D61A27"/>
    <w:rsid w:val="00D7136A"/>
    <w:rsid w:val="00D72D36"/>
    <w:rsid w:val="00D82194"/>
    <w:rsid w:val="00DA25F6"/>
    <w:rsid w:val="00DA2A81"/>
    <w:rsid w:val="00DB4B4C"/>
    <w:rsid w:val="00DC7A41"/>
    <w:rsid w:val="00DD315C"/>
    <w:rsid w:val="00DE6CA5"/>
    <w:rsid w:val="00E11B1E"/>
    <w:rsid w:val="00E149F0"/>
    <w:rsid w:val="00E16015"/>
    <w:rsid w:val="00E24412"/>
    <w:rsid w:val="00E25A33"/>
    <w:rsid w:val="00E37984"/>
    <w:rsid w:val="00E37FD3"/>
    <w:rsid w:val="00E51B48"/>
    <w:rsid w:val="00E659DB"/>
    <w:rsid w:val="00E65BFD"/>
    <w:rsid w:val="00E75D86"/>
    <w:rsid w:val="00E86AE7"/>
    <w:rsid w:val="00EA43F8"/>
    <w:rsid w:val="00EB38E2"/>
    <w:rsid w:val="00EC18FC"/>
    <w:rsid w:val="00ED0E5B"/>
    <w:rsid w:val="00ED1C3D"/>
    <w:rsid w:val="00EE523C"/>
    <w:rsid w:val="00EE68E4"/>
    <w:rsid w:val="00EF7DF2"/>
    <w:rsid w:val="00F046B8"/>
    <w:rsid w:val="00F159FC"/>
    <w:rsid w:val="00F32FEB"/>
    <w:rsid w:val="00F514E4"/>
    <w:rsid w:val="00F53FA7"/>
    <w:rsid w:val="00F628C7"/>
    <w:rsid w:val="00F66E50"/>
    <w:rsid w:val="00F67C46"/>
    <w:rsid w:val="00F71F01"/>
    <w:rsid w:val="00F8213A"/>
    <w:rsid w:val="00F87883"/>
    <w:rsid w:val="00FA12CB"/>
    <w:rsid w:val="00FA4D8A"/>
    <w:rsid w:val="00FB5E27"/>
    <w:rsid w:val="00FC15A2"/>
    <w:rsid w:val="00FD0680"/>
    <w:rsid w:val="00FD3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B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36A"/>
    <w:rPr>
      <w:rFonts w:eastAsia="Times New Roman"/>
      <w:sz w:val="24"/>
      <w:szCs w:val="24"/>
      <w:lang w:val="en-US"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semiHidden/>
    <w:unhideWhenUsed/>
    <w:rsid w:val="00D7136A"/>
    <w:rPr>
      <w:rFonts w:ascii="Tahoma" w:hAnsi="Tahoma" w:cs="Tahoma"/>
      <w:sz w:val="16"/>
      <w:szCs w:val="16"/>
    </w:rPr>
  </w:style>
  <w:style w:type="character" w:customStyle="1" w:styleId="BalloonTextChar">
    <w:name w:val="Balloon Text Char"/>
    <w:link w:val="BalloonText"/>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aliases w:val="BulletPoints,Bullet point,List Paragraph1,List Paragraph11,Recommendation,Numbered para,#List Paragraph,L,Bullet Level 1,Bullet Point,Bulletr List Paragraph,Content descriptions,FooterText,List Bullet 1,List Paragraph2,List Paragraph21,列"/>
    <w:basedOn w:val="Normal"/>
    <w:link w:val="ListParagraphChar"/>
    <w:uiPriority w:val="34"/>
    <w:qFormat/>
    <w:rsid w:val="00A31269"/>
    <w:pPr>
      <w:ind w:left="720" w:hanging="720"/>
      <w:contextualSpacing/>
    </w:pPr>
    <w:rPr>
      <w:rFonts w:ascii="Arial" w:hAnsi="Arial"/>
      <w:sz w:val="22"/>
      <w:lang w:val="en-AU"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aliases w:val="BulletPoints Char,Bullet point Char,List Paragraph1 Char,List Paragraph11 Char,Recommendation Char,Numbered para Char,#List Paragraph Char,L Char,Bullet Level 1 Char,Bullet Point Char,Bulletr List Paragraph Char,FooterText Char"/>
    <w:link w:val="ListParagraph"/>
    <w:uiPriority w:val="72"/>
    <w:qFormat/>
    <w:locked/>
    <w:rsid w:val="00A70179"/>
    <w:rPr>
      <w:rFonts w:ascii="Arial" w:eastAsia="Times New Roman" w:hAnsi="Arial"/>
      <w:sz w:val="22"/>
      <w:szCs w:val="24"/>
    </w:rPr>
  </w:style>
  <w:style w:type="character" w:styleId="FollowedHyperlink">
    <w:name w:val="FollowedHyperlink"/>
    <w:basedOn w:val="DefaultParagraphFont"/>
    <w:uiPriority w:val="99"/>
    <w:semiHidden/>
    <w:unhideWhenUsed/>
    <w:rsid w:val="009E121B"/>
    <w:rPr>
      <w:color w:val="800080" w:themeColor="followedHyperlink"/>
      <w:u w:val="single"/>
    </w:rPr>
  </w:style>
  <w:style w:type="paragraph" w:styleId="Revision">
    <w:name w:val="Revision"/>
    <w:hidden/>
    <w:uiPriority w:val="99"/>
    <w:semiHidden/>
    <w:rsid w:val="00084B66"/>
    <w:rPr>
      <w:rFonts w:eastAsia="Times New Roman"/>
      <w:sz w:val="24"/>
      <w:szCs w:val="24"/>
      <w:lang w:val="en-US" w:eastAsia="en-US"/>
    </w:rPr>
  </w:style>
  <w:style w:type="paragraph" w:styleId="NormalWeb">
    <w:name w:val="Normal (Web)"/>
    <w:basedOn w:val="Normal"/>
    <w:uiPriority w:val="99"/>
    <w:unhideWhenUsed/>
    <w:rsid w:val="007E275C"/>
    <w:pPr>
      <w:spacing w:before="100" w:beforeAutospacing="1" w:after="100" w:afterAutospacing="1"/>
    </w:pPr>
    <w:rPr>
      <w:lang w:val="en-AU" w:eastAsia="en-AU"/>
    </w:rPr>
  </w:style>
  <w:style w:type="paragraph" w:styleId="FootnoteText">
    <w:name w:val="footnote text"/>
    <w:basedOn w:val="Normal"/>
    <w:link w:val="FootnoteTextChar"/>
    <w:uiPriority w:val="99"/>
    <w:unhideWhenUsed/>
    <w:rsid w:val="00ED1C3D"/>
    <w:rPr>
      <w:rFonts w:ascii="Calibri" w:eastAsiaTheme="minorHAnsi" w:hAnsi="Calibri" w:cs="Calibri"/>
      <w:sz w:val="20"/>
      <w:szCs w:val="20"/>
      <w:lang w:val="en-AU"/>
    </w:rPr>
  </w:style>
  <w:style w:type="character" w:customStyle="1" w:styleId="FootnoteTextChar">
    <w:name w:val="Footnote Text Char"/>
    <w:basedOn w:val="DefaultParagraphFont"/>
    <w:link w:val="FootnoteText"/>
    <w:uiPriority w:val="99"/>
    <w:rsid w:val="00ED1C3D"/>
    <w:rPr>
      <w:rFonts w:ascii="Calibri" w:eastAsiaTheme="minorHAnsi" w:hAnsi="Calibri" w:cs="Calibri"/>
      <w:lang w:eastAsia="en-US"/>
    </w:rPr>
  </w:style>
  <w:style w:type="character" w:styleId="FootnoteReference">
    <w:name w:val="footnote reference"/>
    <w:basedOn w:val="DefaultParagraphFont"/>
    <w:uiPriority w:val="99"/>
    <w:unhideWhenUsed/>
    <w:rsid w:val="00ED1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27934">
      <w:bodyDiv w:val="1"/>
      <w:marLeft w:val="0"/>
      <w:marRight w:val="0"/>
      <w:marTop w:val="0"/>
      <w:marBottom w:val="0"/>
      <w:divBdr>
        <w:top w:val="none" w:sz="0" w:space="0" w:color="auto"/>
        <w:left w:val="none" w:sz="0" w:space="0" w:color="auto"/>
        <w:bottom w:val="none" w:sz="0" w:space="0" w:color="auto"/>
        <w:right w:val="none" w:sz="0" w:space="0" w:color="auto"/>
      </w:divBdr>
    </w:div>
    <w:div w:id="1120999041">
      <w:bodyDiv w:val="1"/>
      <w:marLeft w:val="0"/>
      <w:marRight w:val="0"/>
      <w:marTop w:val="0"/>
      <w:marBottom w:val="0"/>
      <w:divBdr>
        <w:top w:val="none" w:sz="0" w:space="0" w:color="auto"/>
        <w:left w:val="none" w:sz="0" w:space="0" w:color="auto"/>
        <w:bottom w:val="none" w:sz="0" w:space="0" w:color="auto"/>
        <w:right w:val="none" w:sz="0" w:space="0" w:color="auto"/>
      </w:divBdr>
    </w:div>
    <w:div w:id="1321426486">
      <w:bodyDiv w:val="1"/>
      <w:marLeft w:val="0"/>
      <w:marRight w:val="0"/>
      <w:marTop w:val="0"/>
      <w:marBottom w:val="0"/>
      <w:divBdr>
        <w:top w:val="none" w:sz="0" w:space="0" w:color="auto"/>
        <w:left w:val="none" w:sz="0" w:space="0" w:color="auto"/>
        <w:bottom w:val="none" w:sz="0" w:space="0" w:color="auto"/>
        <w:right w:val="none" w:sz="0" w:space="0" w:color="auto"/>
      </w:divBdr>
    </w:div>
    <w:div w:id="1481116492">
      <w:bodyDiv w:val="1"/>
      <w:marLeft w:val="0"/>
      <w:marRight w:val="0"/>
      <w:marTop w:val="0"/>
      <w:marBottom w:val="0"/>
      <w:divBdr>
        <w:top w:val="none" w:sz="0" w:space="0" w:color="auto"/>
        <w:left w:val="none" w:sz="0" w:space="0" w:color="auto"/>
        <w:bottom w:val="none" w:sz="0" w:space="0" w:color="auto"/>
        <w:right w:val="none" w:sz="0" w:space="0" w:color="auto"/>
      </w:divBdr>
    </w:div>
    <w:div w:id="1748070792">
      <w:bodyDiv w:val="1"/>
      <w:marLeft w:val="0"/>
      <w:marRight w:val="0"/>
      <w:marTop w:val="0"/>
      <w:marBottom w:val="0"/>
      <w:divBdr>
        <w:top w:val="none" w:sz="0" w:space="0" w:color="auto"/>
        <w:left w:val="none" w:sz="0" w:space="0" w:color="auto"/>
        <w:bottom w:val="none" w:sz="0" w:space="0" w:color="auto"/>
        <w:right w:val="none" w:sz="0" w:space="0" w:color="auto"/>
      </w:divBdr>
    </w:div>
    <w:div w:id="1786655798">
      <w:bodyDiv w:val="1"/>
      <w:marLeft w:val="0"/>
      <w:marRight w:val="0"/>
      <w:marTop w:val="0"/>
      <w:marBottom w:val="0"/>
      <w:divBdr>
        <w:top w:val="none" w:sz="0" w:space="0" w:color="auto"/>
        <w:left w:val="none" w:sz="0" w:space="0" w:color="auto"/>
        <w:bottom w:val="none" w:sz="0" w:space="0" w:color="auto"/>
        <w:right w:val="none" w:sz="0" w:space="0" w:color="auto"/>
      </w:divBdr>
    </w:div>
    <w:div w:id="1837182259">
      <w:bodyDiv w:val="1"/>
      <w:marLeft w:val="0"/>
      <w:marRight w:val="0"/>
      <w:marTop w:val="0"/>
      <w:marBottom w:val="0"/>
      <w:divBdr>
        <w:top w:val="none" w:sz="0" w:space="0" w:color="auto"/>
        <w:left w:val="none" w:sz="0" w:space="0" w:color="auto"/>
        <w:bottom w:val="none" w:sz="0" w:space="0" w:color="auto"/>
        <w:right w:val="none" w:sz="0" w:space="0" w:color="auto"/>
      </w:divBdr>
    </w:div>
    <w:div w:id="209716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elements/dusc-meetings/do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0BE58-614A-4570-82B5-5A52B7B8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2023-04-18T01:50:00Z</dcterms:created>
  <dcterms:modified xsi:type="dcterms:W3CDTF">2023-04-18T01:50:00Z</dcterms:modified>
</cp:coreProperties>
</file>