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292120" w:rsidRDefault="007567D2" w:rsidP="007C685F">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p w14:paraId="498951C4" w14:textId="211A8FF8" w:rsidR="007567D2" w:rsidRPr="00292120" w:rsidRDefault="007567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3288"/>
        <w:gridCol w:w="1987"/>
        <w:gridCol w:w="4336"/>
      </w:tblGrid>
      <w:tr w:rsidR="00F374F7" w:rsidRPr="00544497" w14:paraId="2F780D8A" w14:textId="77777777" w:rsidTr="0088248D">
        <w:trPr>
          <w:cantSplit/>
          <w:tblHeader/>
          <w:jc w:val="center"/>
        </w:trPr>
        <w:tc>
          <w:tcPr>
            <w:tcW w:w="3013" w:type="dxa"/>
            <w:shd w:val="clear" w:color="auto" w:fill="auto"/>
            <w:tcMar>
              <w:top w:w="28" w:type="dxa"/>
              <w:bottom w:w="28" w:type="dxa"/>
            </w:tcMar>
            <w:vAlign w:val="center"/>
          </w:tcPr>
          <w:p w14:paraId="58BB41E5" w14:textId="46F847AB" w:rsidR="00F374F7" w:rsidRPr="00D60E67" w:rsidRDefault="00F374F7" w:rsidP="00F3265E">
            <w:pPr>
              <w:keepLines/>
              <w:widowControl w:val="0"/>
              <w:spacing w:after="120"/>
              <w:ind w:right="-106"/>
              <w:jc w:val="center"/>
              <w:rPr>
                <w:rFonts w:asciiTheme="minorHAnsi" w:hAnsiTheme="minorHAnsi" w:cstheme="minorHAnsi"/>
                <w:b/>
                <w:sz w:val="18"/>
                <w:szCs w:val="18"/>
              </w:rPr>
            </w:pPr>
            <w:r w:rsidRPr="00D60E67">
              <w:rPr>
                <w:rFonts w:asciiTheme="minorHAnsi" w:hAnsiTheme="minorHAnsi" w:cstheme="minorHAnsi"/>
                <w:b/>
                <w:sz w:val="18"/>
                <w:szCs w:val="18"/>
              </w:rPr>
              <w:t>DRUG NAME, FORM(S), STRENGTH(S), SPONSOR, TYPE OF SUBMISSION</w:t>
            </w:r>
          </w:p>
        </w:tc>
        <w:tc>
          <w:tcPr>
            <w:tcW w:w="2764" w:type="dxa"/>
            <w:shd w:val="clear" w:color="auto" w:fill="auto"/>
            <w:tcMar>
              <w:top w:w="28" w:type="dxa"/>
              <w:bottom w:w="28" w:type="dxa"/>
            </w:tcMar>
            <w:vAlign w:val="center"/>
          </w:tcPr>
          <w:p w14:paraId="22DBCABB"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p>
        </w:tc>
        <w:tc>
          <w:tcPr>
            <w:tcW w:w="3288" w:type="dxa"/>
            <w:shd w:val="clear" w:color="auto" w:fill="auto"/>
            <w:tcMar>
              <w:top w:w="28" w:type="dxa"/>
              <w:bottom w:w="28" w:type="dxa"/>
            </w:tcMar>
            <w:vAlign w:val="center"/>
          </w:tcPr>
          <w:p w14:paraId="60A9336E" w14:textId="77777777" w:rsidR="00F374F7" w:rsidRPr="00D60E67" w:rsidRDefault="00F374F7" w:rsidP="00F3265E">
            <w:pPr>
              <w:keepLines/>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323" w:type="dxa"/>
            <w:gridSpan w:val="2"/>
            <w:shd w:val="clear" w:color="auto" w:fill="auto"/>
            <w:vAlign w:val="center"/>
          </w:tcPr>
          <w:p w14:paraId="5BEF59E0" w14:textId="77777777"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PBAC OUTCOME</w:t>
            </w:r>
          </w:p>
          <w:p w14:paraId="5626F454" w14:textId="542D2F29" w:rsidR="00F374F7" w:rsidRPr="00D60E67" w:rsidRDefault="00F374F7" w:rsidP="00F3265E">
            <w:pPr>
              <w:pStyle w:val="Header"/>
              <w:keepLines/>
              <w:spacing w:after="120"/>
              <w:jc w:val="center"/>
              <w:rPr>
                <w:rFonts w:asciiTheme="minorHAnsi" w:hAnsiTheme="minorHAnsi" w:cstheme="minorHAnsi"/>
                <w:b/>
                <w:snapToGrid w:val="0"/>
                <w:sz w:val="18"/>
                <w:szCs w:val="18"/>
                <w:lang w:eastAsia="en-US"/>
              </w:rPr>
            </w:pPr>
          </w:p>
        </w:tc>
      </w:tr>
      <w:tr w:rsidR="00411E50" w:rsidRPr="00544497" w14:paraId="0B22D8EA" w14:textId="77777777" w:rsidTr="0088248D">
        <w:trPr>
          <w:cantSplit/>
          <w:trHeight w:val="518"/>
          <w:jc w:val="center"/>
        </w:trPr>
        <w:tc>
          <w:tcPr>
            <w:tcW w:w="3013" w:type="dxa"/>
            <w:shd w:val="clear" w:color="auto" w:fill="auto"/>
            <w:tcMar>
              <w:top w:w="28" w:type="dxa"/>
              <w:bottom w:w="28" w:type="dxa"/>
            </w:tcMar>
            <w:vAlign w:val="center"/>
          </w:tcPr>
          <w:p w14:paraId="46A68F83" w14:textId="4CD35166" w:rsidR="00411E50" w:rsidRPr="00D60E67" w:rsidRDefault="00411E50" w:rsidP="00411E50">
            <w:pPr>
              <w:keepLines/>
              <w:jc w:val="center"/>
              <w:rPr>
                <w:rFonts w:asciiTheme="minorHAnsi" w:hAnsiTheme="minorHAnsi" w:cstheme="minorHAnsi"/>
                <w:sz w:val="18"/>
                <w:szCs w:val="18"/>
              </w:rPr>
            </w:pPr>
            <w:r w:rsidRPr="00D60E67">
              <w:rPr>
                <w:rFonts w:asciiTheme="minorHAnsi" w:hAnsiTheme="minorHAnsi" w:cstheme="minorHAnsi"/>
                <w:color w:val="000000"/>
                <w:sz w:val="18"/>
                <w:szCs w:val="18"/>
              </w:rPr>
              <w:t>EMPAGLIFLOZIN</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Tablet 10 mg</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Jardiance®</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BOEHRINGER INGELHEIM PTY LTD</w:t>
            </w:r>
            <w:r w:rsidRPr="00D60E67">
              <w:rPr>
                <w:rFonts w:asciiTheme="minorHAnsi" w:hAnsiTheme="minorHAnsi" w:cstheme="minorHAnsi"/>
                <w:color w:val="000000"/>
                <w:sz w:val="18"/>
                <w:szCs w:val="18"/>
              </w:rPr>
              <w:br/>
            </w:r>
            <w:r w:rsidRPr="00D60E67">
              <w:rPr>
                <w:rFonts w:asciiTheme="minorHAnsi" w:hAnsiTheme="minorHAnsi" w:cstheme="minorHAnsi"/>
                <w:color w:val="000000"/>
                <w:sz w:val="18"/>
                <w:szCs w:val="18"/>
              </w:rPr>
              <w:br/>
              <w:t>Category 2 submission</w:t>
            </w:r>
            <w:r w:rsidRPr="00D60E67">
              <w:rPr>
                <w:rFonts w:asciiTheme="minorHAnsi" w:hAnsiTheme="minorHAnsi" w:cstheme="minorHAnsi"/>
                <w:color w:val="000000"/>
                <w:sz w:val="18"/>
                <w:szCs w:val="18"/>
              </w:rPr>
              <w:br/>
              <w:t>(Change to PBS listing)</w:t>
            </w:r>
          </w:p>
        </w:tc>
        <w:tc>
          <w:tcPr>
            <w:tcW w:w="2764" w:type="dxa"/>
            <w:shd w:val="clear" w:color="auto" w:fill="auto"/>
            <w:vAlign w:val="center"/>
          </w:tcPr>
          <w:p w14:paraId="7EDC6C7A" w14:textId="63F1C3F5" w:rsidR="00411E50" w:rsidRPr="00D60E67" w:rsidRDefault="00411E50" w:rsidP="00411E50">
            <w:pPr>
              <w:keepLines/>
              <w:widowControl w:val="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Chronic heart failure</w:t>
            </w:r>
          </w:p>
        </w:tc>
        <w:tc>
          <w:tcPr>
            <w:tcW w:w="3288" w:type="dxa"/>
            <w:shd w:val="clear" w:color="auto" w:fill="auto"/>
            <w:tcMar>
              <w:top w:w="28" w:type="dxa"/>
              <w:bottom w:w="28" w:type="dxa"/>
            </w:tcMar>
            <w:vAlign w:val="center"/>
          </w:tcPr>
          <w:p w14:paraId="693A86FE" w14:textId="4E59CCF9" w:rsidR="00411E50" w:rsidRPr="00D60E67" w:rsidRDefault="00411E50" w:rsidP="00411E50">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To request a General Schedule Authority Required (STREAMLINED) listing for the treatment of chronic heart failure (NYHA classes II, III or IV) in patients with a left ventricular ejection fraction greater than 40%.</w:t>
            </w:r>
          </w:p>
        </w:tc>
        <w:tc>
          <w:tcPr>
            <w:tcW w:w="1987" w:type="dxa"/>
            <w:shd w:val="clear" w:color="auto" w:fill="auto"/>
            <w:vAlign w:val="center"/>
          </w:tcPr>
          <w:p w14:paraId="0559B616" w14:textId="61B8C6B1" w:rsidR="00411E50" w:rsidRPr="00D60E67" w:rsidRDefault="00411E50" w:rsidP="00411E50">
            <w:pPr>
              <w:pStyle w:val="ListParagraph"/>
              <w:keepLines/>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56310D00" w14:textId="7FC7C6EC" w:rsidR="00411E50" w:rsidRDefault="00411E50" w:rsidP="00411E50">
            <w:pPr>
              <w:keepLines/>
              <w:rPr>
                <w:rFonts w:asciiTheme="minorHAnsi" w:hAnsiTheme="minorHAnsi" w:cstheme="minorHAnsi"/>
                <w:color w:val="000000"/>
                <w:sz w:val="18"/>
                <w:szCs w:val="18"/>
              </w:rPr>
            </w:pPr>
            <w:r w:rsidRPr="00411E50">
              <w:rPr>
                <w:rFonts w:asciiTheme="minorHAnsi" w:hAnsiTheme="minorHAnsi" w:cstheme="minorHAnsi"/>
                <w:color w:val="000000"/>
                <w:sz w:val="18"/>
                <w:szCs w:val="18"/>
              </w:rPr>
              <w:t>The PBAC recommended extending the existing listing of empagliflozin to include a General Schedule Authority Required (S</w:t>
            </w:r>
            <w:r w:rsidR="00AC33C8">
              <w:rPr>
                <w:rFonts w:asciiTheme="minorHAnsi" w:hAnsiTheme="minorHAnsi" w:cstheme="minorHAnsi"/>
                <w:color w:val="000000"/>
                <w:sz w:val="18"/>
                <w:szCs w:val="18"/>
              </w:rPr>
              <w:t>TREAMLINED</w:t>
            </w:r>
            <w:r w:rsidRPr="00411E50">
              <w:rPr>
                <w:rFonts w:asciiTheme="minorHAnsi" w:hAnsiTheme="minorHAnsi" w:cstheme="minorHAnsi"/>
                <w:color w:val="000000"/>
                <w:sz w:val="18"/>
                <w:szCs w:val="18"/>
              </w:rPr>
              <w:t>) listing for the treatment of chronic heart failure in patients with a left ventricular ejection fraction greater than 40%. The PBAC considered there was a high unmet clinical need for effective treatments for patients with this condition.</w:t>
            </w:r>
            <w:r>
              <w:rPr>
                <w:rFonts w:asciiTheme="minorHAnsi" w:hAnsiTheme="minorHAnsi" w:cstheme="minorHAnsi"/>
                <w:color w:val="000000"/>
                <w:sz w:val="18"/>
                <w:szCs w:val="18"/>
              </w:rPr>
              <w:t xml:space="preserve"> </w:t>
            </w:r>
            <w:r w:rsidRPr="00411E50">
              <w:rPr>
                <w:rFonts w:asciiTheme="minorHAnsi" w:hAnsiTheme="minorHAnsi" w:cstheme="minorHAnsi"/>
                <w:color w:val="000000"/>
                <w:sz w:val="18"/>
                <w:szCs w:val="18"/>
              </w:rPr>
              <w:t>The PBAC noted that empagliflozin when added to standard care provided a statistically significant improvement in efficacy over standard care alone in the proposed population based on the primary composite outcome in EMPEROR-Preserved (time to first cardiovascular death or hospitalisation for heart failure).</w:t>
            </w:r>
          </w:p>
          <w:p w14:paraId="6E85E420" w14:textId="77777777" w:rsidR="00411E50" w:rsidRDefault="00411E50" w:rsidP="00411E50">
            <w:pPr>
              <w:keepLines/>
              <w:rPr>
                <w:rFonts w:asciiTheme="minorHAnsi" w:hAnsiTheme="minorHAnsi" w:cstheme="minorHAnsi"/>
                <w:color w:val="000000"/>
                <w:sz w:val="18"/>
                <w:szCs w:val="18"/>
              </w:rPr>
            </w:pPr>
          </w:p>
          <w:p w14:paraId="5DAB2E7A" w14:textId="32CC9BE8" w:rsidR="00411E50" w:rsidRPr="00D60E67" w:rsidRDefault="00411E50" w:rsidP="00411E50">
            <w:pPr>
              <w:keepLines/>
              <w:rPr>
                <w:rFonts w:asciiTheme="minorHAnsi" w:hAnsiTheme="minorHAnsi" w:cstheme="minorHAnsi"/>
                <w:color w:val="000000"/>
                <w:sz w:val="18"/>
                <w:szCs w:val="18"/>
              </w:rPr>
            </w:pPr>
            <w:r w:rsidRPr="00411E50">
              <w:rPr>
                <w:rFonts w:asciiTheme="minorHAnsi" w:hAnsiTheme="minorHAnsi" w:cstheme="minorHAnsi"/>
                <w:color w:val="000000"/>
                <w:sz w:val="18"/>
                <w:szCs w:val="18"/>
              </w:rPr>
              <w:t xml:space="preserve">The PBAC considered that the sponsor had addressed the substantive outstanding issues identified at the November 2022 PBAC meeting via the proposed price reduction and risk sharing arrangement.  </w:t>
            </w:r>
          </w:p>
        </w:tc>
      </w:tr>
      <w:tr w:rsidR="00BF0292" w:rsidRPr="00544497" w14:paraId="24350C4B" w14:textId="77777777" w:rsidTr="0088248D">
        <w:trPr>
          <w:cantSplit/>
          <w:trHeight w:val="518"/>
          <w:jc w:val="center"/>
        </w:trPr>
        <w:tc>
          <w:tcPr>
            <w:tcW w:w="3013" w:type="dxa"/>
            <w:shd w:val="clear" w:color="auto" w:fill="auto"/>
            <w:tcMar>
              <w:top w:w="28" w:type="dxa"/>
              <w:bottom w:w="28" w:type="dxa"/>
            </w:tcMar>
            <w:vAlign w:val="center"/>
          </w:tcPr>
          <w:p w14:paraId="75B546B0" w14:textId="616D9C9F" w:rsid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ENFORTUMAB VEDOTIN</w:t>
            </w:r>
          </w:p>
          <w:p w14:paraId="451E7519" w14:textId="77777777" w:rsidR="00BF0292" w:rsidRPr="00BF0292" w:rsidRDefault="00BF0292" w:rsidP="00BF0292">
            <w:pPr>
              <w:keepLines/>
              <w:jc w:val="center"/>
              <w:rPr>
                <w:rFonts w:asciiTheme="minorHAnsi" w:hAnsiTheme="minorHAnsi" w:cstheme="minorHAnsi"/>
                <w:color w:val="000000"/>
                <w:sz w:val="18"/>
                <w:szCs w:val="18"/>
              </w:rPr>
            </w:pPr>
          </w:p>
          <w:p w14:paraId="4665CA18" w14:textId="77777777" w:rsidR="00BF0292" w:rsidRP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Powder for I.V. infusion 20 mg</w:t>
            </w:r>
          </w:p>
          <w:p w14:paraId="4A06D3CF" w14:textId="321A4606" w:rsid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Powder for I.V. infusion 30 mg</w:t>
            </w:r>
          </w:p>
          <w:p w14:paraId="34FD2BEC" w14:textId="77777777" w:rsidR="00BF0292" w:rsidRPr="00BF0292" w:rsidRDefault="00BF0292" w:rsidP="00BF0292">
            <w:pPr>
              <w:keepLines/>
              <w:jc w:val="center"/>
              <w:rPr>
                <w:rFonts w:asciiTheme="minorHAnsi" w:hAnsiTheme="minorHAnsi" w:cstheme="minorHAnsi"/>
                <w:color w:val="000000"/>
                <w:sz w:val="18"/>
                <w:szCs w:val="18"/>
              </w:rPr>
            </w:pPr>
          </w:p>
          <w:p w14:paraId="02F884EB" w14:textId="3C7F2B28" w:rsid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Padcev®</w:t>
            </w:r>
          </w:p>
          <w:p w14:paraId="75A766A9" w14:textId="77777777" w:rsidR="00BF0292" w:rsidRPr="00BF0292" w:rsidRDefault="00BF0292" w:rsidP="00BF0292">
            <w:pPr>
              <w:keepLines/>
              <w:jc w:val="center"/>
              <w:rPr>
                <w:rFonts w:asciiTheme="minorHAnsi" w:hAnsiTheme="minorHAnsi" w:cstheme="minorHAnsi"/>
                <w:color w:val="000000"/>
                <w:sz w:val="18"/>
                <w:szCs w:val="18"/>
              </w:rPr>
            </w:pPr>
          </w:p>
          <w:p w14:paraId="130FE13F" w14:textId="6F8ACB1B" w:rsid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Astellas Pharma Australia Pty Ltd</w:t>
            </w:r>
          </w:p>
          <w:p w14:paraId="3A9ECADD" w14:textId="77777777" w:rsidR="00BF0292" w:rsidRPr="00BF0292" w:rsidRDefault="00BF0292" w:rsidP="00BF0292">
            <w:pPr>
              <w:keepLines/>
              <w:jc w:val="center"/>
              <w:rPr>
                <w:rFonts w:asciiTheme="minorHAnsi" w:hAnsiTheme="minorHAnsi" w:cstheme="minorHAnsi"/>
                <w:color w:val="000000"/>
                <w:sz w:val="18"/>
                <w:szCs w:val="18"/>
              </w:rPr>
            </w:pPr>
          </w:p>
          <w:p w14:paraId="6340F85E" w14:textId="77777777" w:rsidR="00BF0292" w:rsidRPr="00BF0292"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Early re-entry submission</w:t>
            </w:r>
          </w:p>
          <w:p w14:paraId="20522E41" w14:textId="4E850DC2" w:rsidR="00BF0292" w:rsidRPr="00D60E67"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(New PBS listing)</w:t>
            </w:r>
          </w:p>
        </w:tc>
        <w:tc>
          <w:tcPr>
            <w:tcW w:w="2764" w:type="dxa"/>
            <w:shd w:val="clear" w:color="auto" w:fill="auto"/>
            <w:vAlign w:val="center"/>
          </w:tcPr>
          <w:p w14:paraId="0BC53135" w14:textId="694F1A27" w:rsidR="00BF0292" w:rsidRPr="00D60E67" w:rsidRDefault="00BF0292" w:rsidP="00BF0292">
            <w:pPr>
              <w:keepLines/>
              <w:widowControl w:val="0"/>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Urothelial cancer</w:t>
            </w:r>
          </w:p>
        </w:tc>
        <w:tc>
          <w:tcPr>
            <w:tcW w:w="3288" w:type="dxa"/>
            <w:shd w:val="clear" w:color="auto" w:fill="auto"/>
            <w:tcMar>
              <w:top w:w="28" w:type="dxa"/>
              <w:bottom w:w="28" w:type="dxa"/>
            </w:tcMar>
            <w:vAlign w:val="center"/>
          </w:tcPr>
          <w:p w14:paraId="26FD7D92" w14:textId="448352F4" w:rsidR="00BF0292" w:rsidRPr="00D60E67" w:rsidRDefault="00BF0292" w:rsidP="00BF0292">
            <w:pPr>
              <w:keepLines/>
              <w:jc w:val="center"/>
              <w:rPr>
                <w:rFonts w:asciiTheme="minorHAnsi" w:hAnsiTheme="minorHAnsi" w:cstheme="minorHAnsi"/>
                <w:color w:val="000000"/>
                <w:sz w:val="18"/>
                <w:szCs w:val="18"/>
              </w:rPr>
            </w:pPr>
            <w:r w:rsidRPr="00BF0292">
              <w:rPr>
                <w:rFonts w:asciiTheme="minorHAnsi" w:hAnsiTheme="minorHAnsi" w:cstheme="minorHAnsi"/>
                <w:color w:val="000000"/>
                <w:sz w:val="18"/>
                <w:szCs w:val="18"/>
              </w:rPr>
              <w:t>Resubmission to request a Section 100</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(Efficient Funding of Chemotherapy</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Program) Authority Required</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(STREAMLINED) listing for the treatment</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of patients with locally advanced (Stage</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III) or metastatic (Stage IV) urothelial</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cancer</w:t>
            </w:r>
            <w:r w:rsidR="00970B9B">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who have progressed on or after</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treatment with a platinum-containing</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chemotherapy regimen and either a</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programmed cell death-1 (PD-1) inhibitor</w:t>
            </w:r>
            <w:r>
              <w:rPr>
                <w:rFonts w:asciiTheme="minorHAnsi" w:hAnsiTheme="minorHAnsi" w:cstheme="minorHAnsi"/>
                <w:color w:val="000000"/>
                <w:sz w:val="18"/>
                <w:szCs w:val="18"/>
              </w:rPr>
              <w:t xml:space="preserve"> </w:t>
            </w:r>
            <w:r w:rsidRPr="00BF0292">
              <w:rPr>
                <w:rFonts w:asciiTheme="minorHAnsi" w:hAnsiTheme="minorHAnsi" w:cstheme="minorHAnsi"/>
                <w:color w:val="000000"/>
                <w:sz w:val="18"/>
                <w:szCs w:val="18"/>
              </w:rPr>
              <w:t>or a programmed cell death ligand-1 (PD</w:t>
            </w:r>
            <w:r w:rsidR="00970B9B">
              <w:rPr>
                <w:rFonts w:asciiTheme="minorHAnsi" w:hAnsiTheme="minorHAnsi" w:cstheme="minorHAnsi"/>
                <w:color w:val="000000"/>
                <w:sz w:val="18"/>
                <w:szCs w:val="18"/>
              </w:rPr>
              <w:t>-</w:t>
            </w:r>
            <w:r w:rsidRPr="00BF0292">
              <w:rPr>
                <w:rFonts w:asciiTheme="minorHAnsi" w:hAnsiTheme="minorHAnsi" w:cstheme="minorHAnsi"/>
                <w:color w:val="000000"/>
                <w:sz w:val="18"/>
                <w:szCs w:val="18"/>
              </w:rPr>
              <w:t>L1) inhibitor.</w:t>
            </w:r>
          </w:p>
        </w:tc>
        <w:tc>
          <w:tcPr>
            <w:tcW w:w="1987" w:type="dxa"/>
            <w:shd w:val="clear" w:color="auto" w:fill="auto"/>
            <w:vAlign w:val="center"/>
          </w:tcPr>
          <w:p w14:paraId="65C7102C" w14:textId="66748CE2" w:rsidR="00BF0292" w:rsidRPr="00D60E67" w:rsidRDefault="00BF0292" w:rsidP="00BF0292">
            <w:pPr>
              <w:pStyle w:val="ListParagraph"/>
              <w:keepLines/>
              <w:ind w:left="0"/>
              <w:jc w:val="center"/>
              <w:rPr>
                <w:rFonts w:asciiTheme="minorHAnsi" w:hAnsiTheme="minorHAnsi" w:cstheme="minorHAnsi"/>
                <w:color w:val="000000"/>
                <w:sz w:val="18"/>
                <w:szCs w:val="18"/>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20C4426D" w14:textId="0C4788EC" w:rsidR="00BF0292" w:rsidRPr="00411E50" w:rsidRDefault="00BF0292" w:rsidP="00BF0292">
            <w:pPr>
              <w:keepLines/>
              <w:rPr>
                <w:rFonts w:asciiTheme="minorHAnsi" w:hAnsiTheme="minorHAnsi" w:cstheme="minorHAnsi"/>
                <w:color w:val="000000"/>
                <w:sz w:val="18"/>
                <w:szCs w:val="18"/>
              </w:rPr>
            </w:pPr>
            <w:r w:rsidRPr="00BF0292">
              <w:rPr>
                <w:rFonts w:asciiTheme="minorHAnsi" w:hAnsiTheme="minorHAnsi" w:cstheme="minorHAnsi"/>
                <w:color w:val="000000"/>
                <w:sz w:val="18"/>
                <w:szCs w:val="18"/>
              </w:rPr>
              <w:t>The PBAC recommended the Section 100 (Efficient Funding of Chemotherapy Program) Authority Required (</w:t>
            </w:r>
            <w:r w:rsidR="00970B9B">
              <w:rPr>
                <w:rFonts w:asciiTheme="minorHAnsi" w:hAnsiTheme="minorHAnsi" w:cstheme="minorHAnsi"/>
                <w:color w:val="000000"/>
                <w:sz w:val="18"/>
                <w:szCs w:val="18"/>
              </w:rPr>
              <w:t>STREAMLINED</w:t>
            </w:r>
            <w:r w:rsidRPr="00BF0292">
              <w:rPr>
                <w:rFonts w:asciiTheme="minorHAnsi" w:hAnsiTheme="minorHAnsi" w:cstheme="minorHAnsi"/>
                <w:color w:val="000000"/>
                <w:sz w:val="18"/>
                <w:szCs w:val="18"/>
              </w:rPr>
              <w:t>) listing of enfortumab vedotin for the treatment of patients with locally advanced (Stage III) or metastatic (Stage IV) urothelial cancer (la/mUC) who have progressed on or after a platinum-containing chemotherapy regimen and either a PD-1 inhibitor or a PD-L1 inhibitor. The PBAC was satisfied that enfortumab vedotin provides, for some patients, a significant improvement in efficacy over docetaxel or paclitaxel, administered as single agents. The PBAC considered that the sponsor had addressed the outstanding issues identified at the November 2022 meeting via the proposed price reduction and the proposed Special Revenue Arrangement.</w:t>
            </w:r>
          </w:p>
        </w:tc>
      </w:tr>
      <w:tr w:rsidR="005373F1" w:rsidRPr="00544497" w14:paraId="4A53848A" w14:textId="77777777" w:rsidTr="0088248D">
        <w:trPr>
          <w:cantSplit/>
          <w:trHeight w:val="518"/>
          <w:jc w:val="center"/>
        </w:trPr>
        <w:tc>
          <w:tcPr>
            <w:tcW w:w="3013" w:type="dxa"/>
            <w:shd w:val="clear" w:color="auto" w:fill="auto"/>
            <w:tcMar>
              <w:top w:w="28" w:type="dxa"/>
              <w:bottom w:w="28" w:type="dxa"/>
            </w:tcMar>
            <w:vAlign w:val="center"/>
          </w:tcPr>
          <w:p w14:paraId="32A6DB09" w14:textId="77777777" w:rsidR="005373F1"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NIRMATRELVIR AND RITONAVIR</w:t>
            </w:r>
          </w:p>
          <w:p w14:paraId="462DC28F" w14:textId="77777777" w:rsidR="005373F1" w:rsidRDefault="005373F1" w:rsidP="005373F1">
            <w:pPr>
              <w:keepLines/>
              <w:jc w:val="center"/>
              <w:rPr>
                <w:rFonts w:asciiTheme="minorHAnsi" w:hAnsiTheme="minorHAnsi" w:cstheme="minorHAnsi"/>
                <w:color w:val="000000"/>
                <w:sz w:val="18"/>
                <w:szCs w:val="18"/>
              </w:rPr>
            </w:pPr>
          </w:p>
          <w:p w14:paraId="648DBD11" w14:textId="77777777" w:rsidR="005373F1"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Pack containing 4 tablets nirmatrelvir 150 mg and 2 tablets ritonavir 100 mg, 5</w:t>
            </w:r>
          </w:p>
          <w:p w14:paraId="2C9B1C34" w14:textId="77777777" w:rsidR="005373F1" w:rsidRDefault="005373F1" w:rsidP="005373F1">
            <w:pPr>
              <w:keepLines/>
              <w:jc w:val="center"/>
              <w:rPr>
                <w:rFonts w:asciiTheme="minorHAnsi" w:hAnsiTheme="minorHAnsi" w:cstheme="minorHAnsi"/>
                <w:color w:val="000000"/>
                <w:sz w:val="18"/>
                <w:szCs w:val="18"/>
              </w:rPr>
            </w:pPr>
          </w:p>
          <w:p w14:paraId="5595C75D" w14:textId="77777777" w:rsidR="005373F1"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Paxlovid®</w:t>
            </w:r>
          </w:p>
          <w:p w14:paraId="6E0E17C5" w14:textId="77777777" w:rsidR="005373F1" w:rsidRDefault="005373F1" w:rsidP="005373F1">
            <w:pPr>
              <w:keepLines/>
              <w:jc w:val="center"/>
              <w:rPr>
                <w:rFonts w:asciiTheme="minorHAnsi" w:hAnsiTheme="minorHAnsi" w:cstheme="minorHAnsi"/>
                <w:color w:val="000000"/>
                <w:sz w:val="18"/>
                <w:szCs w:val="18"/>
              </w:rPr>
            </w:pPr>
          </w:p>
          <w:p w14:paraId="2DB2CA5E" w14:textId="77777777" w:rsidR="005373F1"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Department of Health (Commonwealth)</w:t>
            </w:r>
          </w:p>
          <w:p w14:paraId="3F0A3DE8" w14:textId="77777777" w:rsidR="005373F1" w:rsidRDefault="005373F1" w:rsidP="005373F1">
            <w:pPr>
              <w:keepLines/>
              <w:jc w:val="center"/>
              <w:rPr>
                <w:rFonts w:asciiTheme="minorHAnsi" w:hAnsiTheme="minorHAnsi" w:cstheme="minorHAnsi"/>
                <w:color w:val="000000"/>
                <w:sz w:val="18"/>
                <w:szCs w:val="18"/>
              </w:rPr>
            </w:pPr>
          </w:p>
          <w:p w14:paraId="346E31FA" w14:textId="06F5CB3F" w:rsidR="005373F1" w:rsidRPr="00BF0292"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(Change to PBS listing)</w:t>
            </w:r>
          </w:p>
        </w:tc>
        <w:tc>
          <w:tcPr>
            <w:tcW w:w="2764" w:type="dxa"/>
            <w:shd w:val="clear" w:color="auto" w:fill="auto"/>
            <w:vAlign w:val="center"/>
          </w:tcPr>
          <w:p w14:paraId="02801E30" w14:textId="1E82DAD3" w:rsidR="005373F1" w:rsidRPr="00BF0292" w:rsidRDefault="005373F1" w:rsidP="005373F1">
            <w:pPr>
              <w:keepLines/>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Mild to moderate COVID-19</w:t>
            </w:r>
          </w:p>
        </w:tc>
        <w:tc>
          <w:tcPr>
            <w:tcW w:w="3288" w:type="dxa"/>
            <w:shd w:val="clear" w:color="auto" w:fill="auto"/>
            <w:tcMar>
              <w:top w:w="28" w:type="dxa"/>
              <w:bottom w:w="28" w:type="dxa"/>
            </w:tcMar>
            <w:vAlign w:val="center"/>
          </w:tcPr>
          <w:p w14:paraId="0812CD2A" w14:textId="1D118734" w:rsidR="005373F1" w:rsidRPr="00BF0292" w:rsidRDefault="005373F1" w:rsidP="005373F1">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To review current Pharmaceutical Benefits Scheme (PBS) eligibility for nirmatrelvir and ritonavir; consider whether broader eligibility is appropriate while the Commonwealth is the Responsible Person; and recommend any changes to restrictions.</w:t>
            </w:r>
          </w:p>
        </w:tc>
        <w:tc>
          <w:tcPr>
            <w:tcW w:w="1987" w:type="dxa"/>
            <w:shd w:val="clear" w:color="auto" w:fill="auto"/>
            <w:vAlign w:val="center"/>
          </w:tcPr>
          <w:p w14:paraId="545580CD" w14:textId="447C925C" w:rsidR="005373F1" w:rsidRPr="00D60E67" w:rsidRDefault="005373F1" w:rsidP="005373F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336" w:type="dxa"/>
            <w:shd w:val="clear" w:color="auto" w:fill="auto"/>
            <w:vAlign w:val="center"/>
          </w:tcPr>
          <w:p w14:paraId="6F3B2050" w14:textId="112A7090" w:rsidR="005373F1" w:rsidRPr="00BF0292" w:rsidRDefault="005373F1" w:rsidP="005373F1">
            <w:pPr>
              <w:keepLines/>
              <w:rPr>
                <w:rFonts w:asciiTheme="minorHAnsi" w:hAnsiTheme="minorHAnsi" w:cstheme="minorHAnsi"/>
                <w:color w:val="000000"/>
                <w:sz w:val="18"/>
                <w:szCs w:val="18"/>
              </w:rPr>
            </w:pPr>
            <w:r>
              <w:rPr>
                <w:rFonts w:asciiTheme="minorHAnsi" w:hAnsiTheme="minorHAnsi" w:cstheme="minorHAnsi"/>
                <w:color w:val="000000"/>
                <w:sz w:val="18"/>
                <w:szCs w:val="18"/>
              </w:rPr>
              <w:t>The PBAC recommended to expand patient eligibility for PBS nirmatrelvir and ritonavir to include people aged 60-69 years with mild to moderate COVID-19 and one additional risk factor. The PBAC was satisfied that clinical benefit and safety exists for use of nirmatrelvir and ritonavir in the proposed new patient group. The PBAC considered that the listing will be cost effective in the expanded population for so long as pharmaceutical benefits dispensed are sourced from the stock already purchased by the Commonwealth, and which might otherwise expire unused. As such, the PBAC recommended that this expansion of patient eligibility only apply until the Commonwealth purchased stock is exhausted or has expired.</w:t>
            </w:r>
          </w:p>
        </w:tc>
      </w:tr>
    </w:tbl>
    <w:p w14:paraId="6E704BBA" w14:textId="77777777" w:rsidR="001B15BA" w:rsidRPr="00292120" w:rsidRDefault="001B15BA">
      <w:pPr>
        <w:rPr>
          <w:rFonts w:ascii="Arial" w:hAnsi="Arial" w:cs="Arial"/>
        </w:rPr>
      </w:pPr>
    </w:p>
    <w:p w14:paraId="511B88D5" w14:textId="40EE4D62" w:rsidR="003E0E09" w:rsidRPr="00411E50" w:rsidRDefault="003E0E09" w:rsidP="00411E50">
      <w:pPr>
        <w:rPr>
          <w:rFonts w:ascii="Arial" w:hAnsi="Arial" w:cs="Arial"/>
          <w:b/>
          <w:lang w:val="en-US"/>
        </w:rPr>
      </w:pPr>
    </w:p>
    <w:p w14:paraId="6B6D1A96" w14:textId="77777777" w:rsidR="005373F1" w:rsidRDefault="005373F1">
      <w:pPr>
        <w:rPr>
          <w:rFonts w:ascii="Arial" w:hAnsi="Arial" w:cs="Arial"/>
          <w:b/>
          <w:lang w:val="en-US"/>
        </w:rPr>
      </w:pPr>
      <w:r>
        <w:rPr>
          <w:rFonts w:ascii="Arial" w:hAnsi="Arial" w:cs="Arial"/>
          <w:b/>
          <w:lang w:val="en-US"/>
        </w:rPr>
        <w:br w:type="page"/>
      </w:r>
    </w:p>
    <w:p w14:paraId="6B64D1DE" w14:textId="242CF2D8" w:rsidR="007F48F6" w:rsidRPr="00292120" w:rsidRDefault="007F48F6" w:rsidP="007F48F6">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7F48F6">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A159CA">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5B583D">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codependent technology that requires an integrated codependent submission to the PBAC and MSAC. OR </w:t>
            </w:r>
          </w:p>
          <w:p w14:paraId="1380A86B" w14:textId="77777777" w:rsidR="007F48F6" w:rsidRPr="00292120" w:rsidRDefault="007F48F6" w:rsidP="005B583D">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5B583D">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5B583D">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77777777" w:rsidR="007F48F6" w:rsidRPr="00292120" w:rsidRDefault="007F48F6" w:rsidP="005B583D">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5B583D">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5B583D">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5B583D">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7EF9BA42"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5B583D">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5B583D">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9A1C7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9A1C7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6C9BA0D5"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97E" w14:textId="77777777" w:rsidR="00424F1F" w:rsidRDefault="0042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D82" w14:textId="77777777" w:rsidR="00424F1F" w:rsidRDefault="0042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69737A53" w14:textId="16FE90FB" w:rsidR="00E902E8" w:rsidRDefault="00E902E8" w:rsidP="00571206">
    <w:pPr>
      <w:pStyle w:val="Header"/>
      <w:jc w:val="center"/>
      <w:rPr>
        <w:rFonts w:ascii="Arial" w:hAnsi="Arial" w:cs="Arial"/>
        <w:b/>
      </w:rPr>
    </w:pPr>
    <w:r w:rsidRPr="00411E50">
      <w:rPr>
        <w:rFonts w:ascii="Arial" w:hAnsi="Arial" w:cs="Arial"/>
        <w:b/>
        <w:bCs/>
        <w:color w:val="000000"/>
      </w:rPr>
      <w:t xml:space="preserve"> </w:t>
    </w:r>
    <w:r w:rsidR="00411E50" w:rsidRPr="00411E50">
      <w:rPr>
        <w:rFonts w:ascii="Arial" w:hAnsi="Arial" w:cs="Arial"/>
        <w:b/>
        <w:bCs/>
        <w:color w:val="000000"/>
      </w:rPr>
      <w:t>ITEMS RE</w:t>
    </w:r>
    <w:r w:rsidR="00411E50">
      <w:rPr>
        <w:rFonts w:ascii="Arial" w:hAnsi="Arial" w:cs="Arial"/>
        <w:b/>
        <w:bCs/>
        <w:color w:val="000000"/>
      </w:rPr>
      <w:t>COMMENDED</w:t>
    </w:r>
    <w:r w:rsidR="00047072">
      <w:rPr>
        <w:rFonts w:ascii="Arial" w:hAnsi="Arial" w:cs="Arial"/>
        <w:b/>
        <w:bCs/>
        <w:color w:val="000000"/>
      </w:rPr>
      <w:t xml:space="preserve"> OUT OF SESSION</w:t>
    </w:r>
    <w:r w:rsidR="00411E50">
      <w:rPr>
        <w:rFonts w:ascii="Arial" w:hAnsi="Arial" w:cs="Arial"/>
        <w:b/>
        <w:bCs/>
        <w:color w:val="000000"/>
      </w:rPr>
      <w:t xml:space="preserve"> BETWEEN ORDINARY </w:t>
    </w:r>
    <w:r w:rsidR="00BF0292">
      <w:rPr>
        <w:rFonts w:ascii="Arial" w:hAnsi="Arial" w:cs="Arial"/>
        <w:b/>
        <w:bCs/>
        <w:color w:val="000000"/>
      </w:rPr>
      <w:t xml:space="preserve">PBAC </w:t>
    </w:r>
    <w:r w:rsidR="00411E50">
      <w:rPr>
        <w:rFonts w:ascii="Arial" w:hAnsi="Arial" w:cs="Arial"/>
        <w:b/>
        <w:bCs/>
        <w:color w:val="000000"/>
      </w:rPr>
      <w:t>MEETINGS</w:t>
    </w:r>
    <w:r w:rsidR="007A421B">
      <w:rPr>
        <w:rFonts w:ascii="Arial" w:hAnsi="Arial" w:cs="Arial"/>
        <w:b/>
        <w:bCs/>
        <w:color w:val="000000"/>
      </w:rPr>
      <w:t xml:space="preserve"> (</w:t>
    </w:r>
    <w:r w:rsidR="00424F1F">
      <w:rPr>
        <w:rFonts w:ascii="Arial" w:hAnsi="Arial" w:cs="Arial"/>
        <w:b/>
      </w:rPr>
      <w:t xml:space="preserve">NOVEMBER </w:t>
    </w:r>
    <w:r>
      <w:rPr>
        <w:rFonts w:ascii="Arial" w:hAnsi="Arial" w:cs="Arial"/>
        <w:b/>
      </w:rPr>
      <w:t xml:space="preserve">2022 </w:t>
    </w:r>
    <w:r w:rsidR="00411E50">
      <w:rPr>
        <w:rFonts w:ascii="Arial" w:hAnsi="Arial" w:cs="Arial"/>
        <w:b/>
      </w:rPr>
      <w:t>– MARCH 2023</w:t>
    </w:r>
    <w:r w:rsidR="007A421B">
      <w:rPr>
        <w:rFonts w:ascii="Arial" w:hAnsi="Arial" w:cs="Arial"/>
        <w:b/>
      </w:rPr>
      <w:t>)</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88A" w14:textId="77777777" w:rsidR="00424F1F" w:rsidRDefault="0042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3"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4"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4"/>
  </w:num>
  <w:num w:numId="6">
    <w:abstractNumId w:val="0"/>
  </w:num>
  <w:num w:numId="7">
    <w:abstractNumId w:val="6"/>
  </w:num>
  <w:num w:numId="8">
    <w:abstractNumId w:val="1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20"/>
  </w:num>
  <w:num w:numId="13">
    <w:abstractNumId w:val="22"/>
  </w:num>
  <w:num w:numId="14">
    <w:abstractNumId w:val="5"/>
  </w:num>
  <w:num w:numId="15">
    <w:abstractNumId w:val="8"/>
  </w:num>
  <w:num w:numId="16">
    <w:abstractNumId w:val="11"/>
  </w:num>
  <w:num w:numId="17">
    <w:abstractNumId w:val="21"/>
  </w:num>
  <w:num w:numId="18">
    <w:abstractNumId w:val="1"/>
  </w:num>
  <w:num w:numId="19">
    <w:abstractNumId w:val="17"/>
  </w:num>
  <w:num w:numId="20">
    <w:abstractNumId w:val="7"/>
  </w:num>
  <w:num w:numId="21">
    <w:abstractNumId w:val="16"/>
  </w:num>
  <w:num w:numId="22">
    <w:abstractNumId w:val="19"/>
  </w:num>
  <w:num w:numId="23">
    <w:abstractNumId w:val="15"/>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716D"/>
    <w:rsid w:val="00027346"/>
    <w:rsid w:val="00027672"/>
    <w:rsid w:val="00027AB0"/>
    <w:rsid w:val="00030320"/>
    <w:rsid w:val="00030887"/>
    <w:rsid w:val="00030A03"/>
    <w:rsid w:val="00030A49"/>
    <w:rsid w:val="000311AC"/>
    <w:rsid w:val="00031946"/>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970"/>
    <w:rsid w:val="000433CA"/>
    <w:rsid w:val="00043755"/>
    <w:rsid w:val="00043C1D"/>
    <w:rsid w:val="00044146"/>
    <w:rsid w:val="0004479C"/>
    <w:rsid w:val="00044BB4"/>
    <w:rsid w:val="00046725"/>
    <w:rsid w:val="000468C0"/>
    <w:rsid w:val="00046DA2"/>
    <w:rsid w:val="0004707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57B"/>
    <w:rsid w:val="00063D17"/>
    <w:rsid w:val="000643D0"/>
    <w:rsid w:val="000648E2"/>
    <w:rsid w:val="00065195"/>
    <w:rsid w:val="00065C22"/>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2D91"/>
    <w:rsid w:val="00192F48"/>
    <w:rsid w:val="0019395E"/>
    <w:rsid w:val="00193C35"/>
    <w:rsid w:val="0019441C"/>
    <w:rsid w:val="001950D9"/>
    <w:rsid w:val="00195379"/>
    <w:rsid w:val="00195A6E"/>
    <w:rsid w:val="0019614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1ABD"/>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912"/>
    <w:rsid w:val="00250DBA"/>
    <w:rsid w:val="00251087"/>
    <w:rsid w:val="00251294"/>
    <w:rsid w:val="00251AD5"/>
    <w:rsid w:val="00251E7D"/>
    <w:rsid w:val="002523E5"/>
    <w:rsid w:val="00253058"/>
    <w:rsid w:val="00253764"/>
    <w:rsid w:val="002550D8"/>
    <w:rsid w:val="00255896"/>
    <w:rsid w:val="00256078"/>
    <w:rsid w:val="002564FB"/>
    <w:rsid w:val="00256907"/>
    <w:rsid w:val="00257387"/>
    <w:rsid w:val="00257615"/>
    <w:rsid w:val="00257660"/>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0D05"/>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9DF"/>
    <w:rsid w:val="00311EEA"/>
    <w:rsid w:val="00312151"/>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186"/>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78AC"/>
    <w:rsid w:val="003C08BD"/>
    <w:rsid w:val="003C1A62"/>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303"/>
    <w:rsid w:val="003D17E4"/>
    <w:rsid w:val="003D1A6C"/>
    <w:rsid w:val="003D1AEC"/>
    <w:rsid w:val="003D23D5"/>
    <w:rsid w:val="003D2533"/>
    <w:rsid w:val="003D2F1C"/>
    <w:rsid w:val="003D2FE6"/>
    <w:rsid w:val="003D3CD1"/>
    <w:rsid w:val="003D489A"/>
    <w:rsid w:val="003D4EA6"/>
    <w:rsid w:val="003D5944"/>
    <w:rsid w:val="003D5D05"/>
    <w:rsid w:val="003D5ECA"/>
    <w:rsid w:val="003D5FB6"/>
    <w:rsid w:val="003D63D1"/>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1E50"/>
    <w:rsid w:val="00413BE9"/>
    <w:rsid w:val="00413E03"/>
    <w:rsid w:val="00414E73"/>
    <w:rsid w:val="00415367"/>
    <w:rsid w:val="004161C2"/>
    <w:rsid w:val="004170A6"/>
    <w:rsid w:val="004176BC"/>
    <w:rsid w:val="004177A1"/>
    <w:rsid w:val="00417CB0"/>
    <w:rsid w:val="00417F47"/>
    <w:rsid w:val="00417FB8"/>
    <w:rsid w:val="00420584"/>
    <w:rsid w:val="004207B4"/>
    <w:rsid w:val="00421048"/>
    <w:rsid w:val="0042164F"/>
    <w:rsid w:val="00422A93"/>
    <w:rsid w:val="00422BB1"/>
    <w:rsid w:val="00423EA1"/>
    <w:rsid w:val="00424D21"/>
    <w:rsid w:val="00424F1F"/>
    <w:rsid w:val="00424F3C"/>
    <w:rsid w:val="00425333"/>
    <w:rsid w:val="00425C24"/>
    <w:rsid w:val="0042646A"/>
    <w:rsid w:val="00427238"/>
    <w:rsid w:val="004273BF"/>
    <w:rsid w:val="00427E91"/>
    <w:rsid w:val="004311FF"/>
    <w:rsid w:val="004314B6"/>
    <w:rsid w:val="00432447"/>
    <w:rsid w:val="00432D97"/>
    <w:rsid w:val="00432F21"/>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997"/>
    <w:rsid w:val="004C6CDB"/>
    <w:rsid w:val="004C723F"/>
    <w:rsid w:val="004C7C36"/>
    <w:rsid w:val="004C7D16"/>
    <w:rsid w:val="004D0132"/>
    <w:rsid w:val="004D080F"/>
    <w:rsid w:val="004D138E"/>
    <w:rsid w:val="004D185E"/>
    <w:rsid w:val="004D2556"/>
    <w:rsid w:val="004D29F9"/>
    <w:rsid w:val="004D3753"/>
    <w:rsid w:val="004D4B61"/>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3F1"/>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949"/>
    <w:rsid w:val="00574AD1"/>
    <w:rsid w:val="0057501B"/>
    <w:rsid w:val="00575F52"/>
    <w:rsid w:val="005762C9"/>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ABB"/>
    <w:rsid w:val="005F3375"/>
    <w:rsid w:val="005F354A"/>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529E"/>
    <w:rsid w:val="00605384"/>
    <w:rsid w:val="00605829"/>
    <w:rsid w:val="00606CD7"/>
    <w:rsid w:val="00606FBC"/>
    <w:rsid w:val="006072E8"/>
    <w:rsid w:val="00607C2D"/>
    <w:rsid w:val="00607E71"/>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FD"/>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FB0"/>
    <w:rsid w:val="00661356"/>
    <w:rsid w:val="00662399"/>
    <w:rsid w:val="006628D0"/>
    <w:rsid w:val="00663E53"/>
    <w:rsid w:val="00664A30"/>
    <w:rsid w:val="00664B40"/>
    <w:rsid w:val="006652C0"/>
    <w:rsid w:val="006652FD"/>
    <w:rsid w:val="00665679"/>
    <w:rsid w:val="0066568C"/>
    <w:rsid w:val="0066590A"/>
    <w:rsid w:val="00665DB7"/>
    <w:rsid w:val="00666038"/>
    <w:rsid w:val="00666370"/>
    <w:rsid w:val="0066646F"/>
    <w:rsid w:val="00666775"/>
    <w:rsid w:val="00666A5B"/>
    <w:rsid w:val="0066768F"/>
    <w:rsid w:val="006701F6"/>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1F4"/>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430"/>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04B0"/>
    <w:rsid w:val="006C062E"/>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1D18"/>
    <w:rsid w:val="006D2594"/>
    <w:rsid w:val="006D2BD4"/>
    <w:rsid w:val="006D3530"/>
    <w:rsid w:val="006D3BF4"/>
    <w:rsid w:val="006D407D"/>
    <w:rsid w:val="006D4721"/>
    <w:rsid w:val="006D477F"/>
    <w:rsid w:val="006D47BC"/>
    <w:rsid w:val="006D4ACA"/>
    <w:rsid w:val="006D4F07"/>
    <w:rsid w:val="006D5843"/>
    <w:rsid w:val="006D6871"/>
    <w:rsid w:val="006D6CA2"/>
    <w:rsid w:val="006D71D3"/>
    <w:rsid w:val="006E02F2"/>
    <w:rsid w:val="006E1FB4"/>
    <w:rsid w:val="006E23E0"/>
    <w:rsid w:val="006E24D7"/>
    <w:rsid w:val="006E3415"/>
    <w:rsid w:val="006E3962"/>
    <w:rsid w:val="006E3A8F"/>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428"/>
    <w:rsid w:val="007347C7"/>
    <w:rsid w:val="0073490E"/>
    <w:rsid w:val="0073536C"/>
    <w:rsid w:val="007359A2"/>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7E7"/>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17E2"/>
    <w:rsid w:val="007A26C4"/>
    <w:rsid w:val="007A2742"/>
    <w:rsid w:val="007A2790"/>
    <w:rsid w:val="007A2F96"/>
    <w:rsid w:val="007A33C4"/>
    <w:rsid w:val="007A421B"/>
    <w:rsid w:val="007A49D9"/>
    <w:rsid w:val="007A5620"/>
    <w:rsid w:val="007B01E7"/>
    <w:rsid w:val="007B0810"/>
    <w:rsid w:val="007B0DC2"/>
    <w:rsid w:val="007B104F"/>
    <w:rsid w:val="007B120B"/>
    <w:rsid w:val="007B1418"/>
    <w:rsid w:val="007B1C29"/>
    <w:rsid w:val="007B2177"/>
    <w:rsid w:val="007B2FF1"/>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5B20"/>
    <w:rsid w:val="007C65FA"/>
    <w:rsid w:val="007C685F"/>
    <w:rsid w:val="007C7F59"/>
    <w:rsid w:val="007D069C"/>
    <w:rsid w:val="007D090A"/>
    <w:rsid w:val="007D1AFD"/>
    <w:rsid w:val="007D1E73"/>
    <w:rsid w:val="007D23C4"/>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729"/>
    <w:rsid w:val="007D7AA9"/>
    <w:rsid w:val="007D7F8B"/>
    <w:rsid w:val="007E075D"/>
    <w:rsid w:val="007E0803"/>
    <w:rsid w:val="007E0D86"/>
    <w:rsid w:val="007E170B"/>
    <w:rsid w:val="007E1720"/>
    <w:rsid w:val="007E18BA"/>
    <w:rsid w:val="007E18FA"/>
    <w:rsid w:val="007E1DF2"/>
    <w:rsid w:val="007E2170"/>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4C27"/>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0C7E"/>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7F4"/>
    <w:rsid w:val="00856542"/>
    <w:rsid w:val="00856B56"/>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256F"/>
    <w:rsid w:val="008B480A"/>
    <w:rsid w:val="008B4F76"/>
    <w:rsid w:val="008B58D9"/>
    <w:rsid w:val="008B64DC"/>
    <w:rsid w:val="008B6AFD"/>
    <w:rsid w:val="008B6B42"/>
    <w:rsid w:val="008B70D9"/>
    <w:rsid w:val="008B7236"/>
    <w:rsid w:val="008C0396"/>
    <w:rsid w:val="008C07A9"/>
    <w:rsid w:val="008C0944"/>
    <w:rsid w:val="008C0A39"/>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4E16"/>
    <w:rsid w:val="008F5536"/>
    <w:rsid w:val="008F6537"/>
    <w:rsid w:val="00900416"/>
    <w:rsid w:val="00900590"/>
    <w:rsid w:val="00901459"/>
    <w:rsid w:val="00901C47"/>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0B9B"/>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1578"/>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331"/>
    <w:rsid w:val="00A145EB"/>
    <w:rsid w:val="00A14987"/>
    <w:rsid w:val="00A14AB2"/>
    <w:rsid w:val="00A14AC9"/>
    <w:rsid w:val="00A159CA"/>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813"/>
    <w:rsid w:val="00A439B7"/>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6DF0"/>
    <w:rsid w:val="00A574BF"/>
    <w:rsid w:val="00A5790F"/>
    <w:rsid w:val="00A579F8"/>
    <w:rsid w:val="00A605E1"/>
    <w:rsid w:val="00A60C15"/>
    <w:rsid w:val="00A60F08"/>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3C8"/>
    <w:rsid w:val="00AC3669"/>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3BE"/>
    <w:rsid w:val="00AE751E"/>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C97"/>
    <w:rsid w:val="00B00E2D"/>
    <w:rsid w:val="00B0115C"/>
    <w:rsid w:val="00B01F83"/>
    <w:rsid w:val="00B02BD8"/>
    <w:rsid w:val="00B0328C"/>
    <w:rsid w:val="00B0338C"/>
    <w:rsid w:val="00B0396C"/>
    <w:rsid w:val="00B03F9B"/>
    <w:rsid w:val="00B0432F"/>
    <w:rsid w:val="00B043ED"/>
    <w:rsid w:val="00B054FF"/>
    <w:rsid w:val="00B05CB6"/>
    <w:rsid w:val="00B0633F"/>
    <w:rsid w:val="00B06DE5"/>
    <w:rsid w:val="00B070A0"/>
    <w:rsid w:val="00B07CC0"/>
    <w:rsid w:val="00B102F5"/>
    <w:rsid w:val="00B103E9"/>
    <w:rsid w:val="00B10BEF"/>
    <w:rsid w:val="00B11539"/>
    <w:rsid w:val="00B11586"/>
    <w:rsid w:val="00B11E6D"/>
    <w:rsid w:val="00B11FA4"/>
    <w:rsid w:val="00B12242"/>
    <w:rsid w:val="00B13427"/>
    <w:rsid w:val="00B1393B"/>
    <w:rsid w:val="00B140D2"/>
    <w:rsid w:val="00B1462C"/>
    <w:rsid w:val="00B14CD1"/>
    <w:rsid w:val="00B15491"/>
    <w:rsid w:val="00B15580"/>
    <w:rsid w:val="00B1562F"/>
    <w:rsid w:val="00B16D0D"/>
    <w:rsid w:val="00B16D63"/>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F67"/>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BE1"/>
    <w:rsid w:val="00B87DD5"/>
    <w:rsid w:val="00B90F96"/>
    <w:rsid w:val="00B9219F"/>
    <w:rsid w:val="00B926CB"/>
    <w:rsid w:val="00B92BB9"/>
    <w:rsid w:val="00B933B2"/>
    <w:rsid w:val="00B936CB"/>
    <w:rsid w:val="00B93BDF"/>
    <w:rsid w:val="00B93CAF"/>
    <w:rsid w:val="00B941B6"/>
    <w:rsid w:val="00B94A06"/>
    <w:rsid w:val="00B952E7"/>
    <w:rsid w:val="00B95B2F"/>
    <w:rsid w:val="00B95E21"/>
    <w:rsid w:val="00B97356"/>
    <w:rsid w:val="00B97A6D"/>
    <w:rsid w:val="00BA0391"/>
    <w:rsid w:val="00BA060B"/>
    <w:rsid w:val="00BA0710"/>
    <w:rsid w:val="00BA080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428"/>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292"/>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6270"/>
    <w:rsid w:val="00BF67B7"/>
    <w:rsid w:val="00BF703E"/>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6C42"/>
    <w:rsid w:val="00C06D80"/>
    <w:rsid w:val="00C06EB2"/>
    <w:rsid w:val="00C073DA"/>
    <w:rsid w:val="00C078C1"/>
    <w:rsid w:val="00C079DB"/>
    <w:rsid w:val="00C07C15"/>
    <w:rsid w:val="00C10B9B"/>
    <w:rsid w:val="00C10C30"/>
    <w:rsid w:val="00C1104C"/>
    <w:rsid w:val="00C11577"/>
    <w:rsid w:val="00C11990"/>
    <w:rsid w:val="00C11DC5"/>
    <w:rsid w:val="00C11F13"/>
    <w:rsid w:val="00C11F39"/>
    <w:rsid w:val="00C11F55"/>
    <w:rsid w:val="00C12249"/>
    <w:rsid w:val="00C1250E"/>
    <w:rsid w:val="00C138E7"/>
    <w:rsid w:val="00C139A1"/>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B6B"/>
    <w:rsid w:val="00C66492"/>
    <w:rsid w:val="00C664AB"/>
    <w:rsid w:val="00C66584"/>
    <w:rsid w:val="00C665A9"/>
    <w:rsid w:val="00C66705"/>
    <w:rsid w:val="00C67754"/>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3AC7"/>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20391"/>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4900"/>
    <w:rsid w:val="00D94E4C"/>
    <w:rsid w:val="00D95709"/>
    <w:rsid w:val="00D958D7"/>
    <w:rsid w:val="00D96083"/>
    <w:rsid w:val="00D96248"/>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15A"/>
    <w:rsid w:val="00DB1DCE"/>
    <w:rsid w:val="00DB31DB"/>
    <w:rsid w:val="00DB3213"/>
    <w:rsid w:val="00DB387C"/>
    <w:rsid w:val="00DB42F5"/>
    <w:rsid w:val="00DB4353"/>
    <w:rsid w:val="00DB43F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4523"/>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46A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499A"/>
    <w:rsid w:val="00EF4E97"/>
    <w:rsid w:val="00EF61FC"/>
    <w:rsid w:val="00EF7388"/>
    <w:rsid w:val="00EF75A6"/>
    <w:rsid w:val="00EF7C48"/>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7647"/>
    <w:rsid w:val="00F97724"/>
    <w:rsid w:val="00F97A19"/>
    <w:rsid w:val="00FA068B"/>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C51"/>
    <w:rsid w:val="00FB3935"/>
    <w:rsid w:val="00FB4250"/>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A8B"/>
    <w:rsid w:val="00FD0CE5"/>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locked/>
    <w:rsid w:val="00A35BF0"/>
    <w:rPr>
      <w:rFonts w:asciiTheme="minorHAnsi" w:hAnsiTheme="minorHAnsi" w:cs="Arial"/>
    </w:rPr>
  </w:style>
  <w:style w:type="paragraph" w:customStyle="1" w:styleId="ExecSumBodyText">
    <w:name w:val="Exec Sum Body Text"/>
    <w:basedOn w:val="Normal"/>
    <w:link w:val="ExecSumBodyTextChar"/>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392356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2023-02-02T00:25:00Z</dcterms:created>
  <dcterms:modified xsi:type="dcterms:W3CDTF">2023-04-13T09:19:00Z</dcterms:modified>
</cp:coreProperties>
</file>